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00" w:firstRow="0" w:lastRow="0" w:firstColumn="0" w:lastColumn="0" w:noHBand="0" w:noVBand="0"/>
      </w:tblPr>
      <w:tblGrid>
        <w:gridCol w:w="8436"/>
      </w:tblGrid>
      <w:tr w:rsidR="00A57D68" w:rsidRPr="002749BC" w14:paraId="03E3E0B9" w14:textId="77777777" w:rsidTr="00EB079F">
        <w:trPr>
          <w:trHeight w:val="4392"/>
        </w:trPr>
        <w:tc>
          <w:tcPr>
            <w:tcW w:w="8436" w:type="dxa"/>
            <w:vAlign w:val="center"/>
          </w:tcPr>
          <w:p w14:paraId="2AA12A63" w14:textId="77777777" w:rsidR="00A57D68" w:rsidRPr="002749BC" w:rsidRDefault="00A57D68" w:rsidP="00EB079F">
            <w:pPr>
              <w:pStyle w:val="logo"/>
            </w:pPr>
            <w:r w:rsidRPr="002749BC">
              <w:rPr>
                <w:noProof/>
                <w:lang w:eastAsia="en-AU"/>
              </w:rPr>
              <w:drawing>
                <wp:inline distT="0" distB="0" distL="0" distR="0" wp14:anchorId="0BF5DE63" wp14:editId="72613F79">
                  <wp:extent cx="2538095" cy="782320"/>
                  <wp:effectExtent l="19050" t="0" r="0" b="0"/>
                  <wp:docPr id="5" name="Picture 5" descr="Synergies_col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ynergies_col_logo"/>
                          <pic:cNvPicPr>
                            <a:picLocks noChangeAspect="1" noChangeArrowheads="1"/>
                          </pic:cNvPicPr>
                        </pic:nvPicPr>
                        <pic:blipFill>
                          <a:blip r:embed="rId12" cstate="print"/>
                          <a:srcRect/>
                          <a:stretch>
                            <a:fillRect/>
                          </a:stretch>
                        </pic:blipFill>
                        <pic:spPr bwMode="auto">
                          <a:xfrm>
                            <a:off x="0" y="0"/>
                            <a:ext cx="2538095" cy="782320"/>
                          </a:xfrm>
                          <a:prstGeom prst="rect">
                            <a:avLst/>
                          </a:prstGeom>
                          <a:noFill/>
                          <a:ln w="9525">
                            <a:noFill/>
                            <a:miter lim="800000"/>
                            <a:headEnd/>
                            <a:tailEnd/>
                          </a:ln>
                        </pic:spPr>
                      </pic:pic>
                    </a:graphicData>
                  </a:graphic>
                </wp:inline>
              </w:drawing>
            </w:r>
          </w:p>
        </w:tc>
      </w:tr>
      <w:tr w:rsidR="00A57D68" w:rsidRPr="002749BC" w14:paraId="654E2E8B" w14:textId="77777777" w:rsidTr="00EB079F">
        <w:trPr>
          <w:trHeight w:val="2555"/>
        </w:trPr>
        <w:tc>
          <w:tcPr>
            <w:tcW w:w="8436" w:type="dxa"/>
            <w:vAlign w:val="center"/>
          </w:tcPr>
          <w:p w14:paraId="5830DAFE" w14:textId="6BD3F095" w:rsidR="00A57D68" w:rsidRPr="002749BC" w:rsidRDefault="00924946" w:rsidP="00924946">
            <w:pPr>
              <w:pStyle w:val="MainTitle"/>
            </w:pPr>
            <w:r>
              <w:t>Please hold:</w:t>
            </w:r>
            <w:r w:rsidDel="00924946">
              <w:t xml:space="preserve"> </w:t>
            </w:r>
            <w:r>
              <w:t>costing telco customer wait times</w:t>
            </w:r>
          </w:p>
        </w:tc>
      </w:tr>
      <w:tr w:rsidR="00A57D68" w:rsidRPr="002749BC" w14:paraId="0D36C9C0" w14:textId="77777777" w:rsidTr="00EB079F">
        <w:trPr>
          <w:trHeight w:val="2408"/>
        </w:trPr>
        <w:tc>
          <w:tcPr>
            <w:tcW w:w="8436" w:type="dxa"/>
            <w:vAlign w:val="center"/>
          </w:tcPr>
          <w:p w14:paraId="035C7666" w14:textId="3CC17D83" w:rsidR="00A57D68" w:rsidRPr="002749BC" w:rsidRDefault="00323E38" w:rsidP="00EB079F">
            <w:pPr>
              <w:pStyle w:val="logo"/>
              <w:rPr>
                <w:szCs w:val="20"/>
              </w:rPr>
            </w:pPr>
            <w:r w:rsidRPr="002749BC">
              <w:t xml:space="preserve">Report for </w:t>
            </w:r>
            <w:r w:rsidR="00D23D1E" w:rsidRPr="002749BC">
              <w:t xml:space="preserve">the </w:t>
            </w:r>
            <w:r w:rsidRPr="002749BC">
              <w:t xml:space="preserve">Australian Communications Consumer </w:t>
            </w:r>
            <w:r w:rsidR="00D23D1E" w:rsidRPr="002749BC">
              <w:t>Action</w:t>
            </w:r>
            <w:r w:rsidRPr="002749BC">
              <w:t xml:space="preserve"> </w:t>
            </w:r>
            <w:r w:rsidR="009C3A57" w:rsidRPr="002749BC">
              <w:t>Network</w:t>
            </w:r>
            <w:r w:rsidR="00D23D1E" w:rsidRPr="002749BC">
              <w:br/>
            </w:r>
          </w:p>
        </w:tc>
      </w:tr>
      <w:tr w:rsidR="00A57D68" w:rsidRPr="002749BC" w14:paraId="3B28C3CA" w14:textId="77777777" w:rsidTr="00EB079F">
        <w:trPr>
          <w:trHeight w:val="2827"/>
        </w:trPr>
        <w:tc>
          <w:tcPr>
            <w:tcW w:w="8436" w:type="dxa"/>
            <w:vAlign w:val="bottom"/>
          </w:tcPr>
          <w:p w14:paraId="09E6820D" w14:textId="7959AF2C" w:rsidR="00A57D68" w:rsidRPr="002749BC" w:rsidRDefault="001B0CEE" w:rsidP="00EB079F">
            <w:pPr>
              <w:pStyle w:val="Dated"/>
            </w:pPr>
            <w:r w:rsidRPr="001B0CEE">
              <w:t>Ju</w:t>
            </w:r>
            <w:r w:rsidR="00594842">
              <w:t>ne</w:t>
            </w:r>
            <w:r w:rsidR="0028688F" w:rsidRPr="001B0CEE">
              <w:t xml:space="preserve"> 2019</w:t>
            </w:r>
          </w:p>
          <w:p w14:paraId="6B17E225" w14:textId="77777777" w:rsidR="00A57D68" w:rsidRPr="002749BC" w:rsidRDefault="00A57D68" w:rsidP="00EB079F">
            <w:pPr>
              <w:pStyle w:val="Dated"/>
            </w:pPr>
          </w:p>
          <w:p w14:paraId="0E4B92D7" w14:textId="77777777" w:rsidR="00A57D68" w:rsidRPr="002749BC" w:rsidRDefault="00A57D68" w:rsidP="00EB079F">
            <w:pPr>
              <w:pStyle w:val="Dated"/>
            </w:pPr>
          </w:p>
          <w:p w14:paraId="044CFD14" w14:textId="77777777" w:rsidR="00A57D68" w:rsidRPr="002749BC" w:rsidRDefault="00A57D68" w:rsidP="00EB079F">
            <w:pPr>
              <w:pStyle w:val="Dated"/>
            </w:pPr>
          </w:p>
          <w:p w14:paraId="189599DF" w14:textId="77777777" w:rsidR="00A57D68" w:rsidRPr="002749BC" w:rsidRDefault="00A57D68" w:rsidP="00EB079F">
            <w:pPr>
              <w:pStyle w:val="Coname"/>
            </w:pPr>
            <w:r w:rsidRPr="002749BC">
              <w:t>Synergies Economic Consulting Pty Ltd</w:t>
            </w:r>
          </w:p>
          <w:p w14:paraId="3E3CBCEE" w14:textId="77777777" w:rsidR="00A57D68" w:rsidRPr="002749BC" w:rsidRDefault="00A57D68" w:rsidP="00EB079F">
            <w:pPr>
              <w:pStyle w:val="Coname"/>
              <w:rPr>
                <w:rFonts w:ascii="Book Antiqua" w:hAnsi="Book Antiqua"/>
                <w:sz w:val="22"/>
                <w:szCs w:val="24"/>
              </w:rPr>
            </w:pPr>
            <w:r w:rsidRPr="002749BC">
              <w:t>www.synergies.com.au</w:t>
            </w:r>
          </w:p>
        </w:tc>
      </w:tr>
    </w:tbl>
    <w:p w14:paraId="25EBE13E" w14:textId="77777777" w:rsidR="00A57D68" w:rsidRPr="002749BC" w:rsidRDefault="00A57D68" w:rsidP="00EB079F">
      <w:pPr>
        <w:pStyle w:val="BodyText"/>
      </w:pPr>
    </w:p>
    <w:p w14:paraId="652CDE97" w14:textId="77777777" w:rsidR="00A57D68" w:rsidRPr="002749BC" w:rsidRDefault="00A57D68" w:rsidP="00EB079F">
      <w:pPr>
        <w:pStyle w:val="Contents"/>
        <w:rPr>
          <w:sz w:val="24"/>
        </w:rPr>
      </w:pPr>
      <w:r w:rsidRPr="002749BC">
        <w:rPr>
          <w:sz w:val="24"/>
        </w:rPr>
        <w:lastRenderedPageBreak/>
        <w:t>Disclaimer</w:t>
      </w:r>
    </w:p>
    <w:p w14:paraId="0564233F" w14:textId="5D64EDC7" w:rsidR="00A57D68" w:rsidRPr="002749BC" w:rsidRDefault="00A57D68" w:rsidP="00EB079F">
      <w:pPr>
        <w:pStyle w:val="BodyText"/>
        <w:rPr>
          <w:sz w:val="20"/>
        </w:rPr>
      </w:pPr>
      <w:r w:rsidRPr="002749BC">
        <w:rPr>
          <w:sz w:val="20"/>
        </w:rPr>
        <w:t xml:space="preserve">Synergies Economic Consulting (Synergies) has prepared this report for the use of the party or parties specified in the report (the client) for the purposes specified in the report (Purpose). </w:t>
      </w:r>
      <w:r w:rsidR="00AD5137">
        <w:rPr>
          <w:sz w:val="20"/>
        </w:rPr>
        <w:t xml:space="preserve"> </w:t>
      </w:r>
      <w:r w:rsidR="00AD5137" w:rsidRPr="00AD5137">
        <w:rPr>
          <w:sz w:val="20"/>
        </w:rPr>
        <w:t>Synergies advises that, where the report is used by any person other than the client or a person authorised by the client or for any purpose other than the Purpose for which it was prepared, that person does so at their own risk.</w:t>
      </w:r>
    </w:p>
    <w:p w14:paraId="6DA8D9F0" w14:textId="77777777" w:rsidR="00A57D68" w:rsidRPr="002749BC" w:rsidRDefault="00A57D68" w:rsidP="00EB079F">
      <w:pPr>
        <w:pStyle w:val="BodyText"/>
        <w:rPr>
          <w:sz w:val="20"/>
        </w:rPr>
      </w:pPr>
      <w:r w:rsidRPr="002749BC">
        <w:rPr>
          <w:sz w:val="20"/>
        </w:rPr>
        <w:t xml:space="preserve">The report is supplied in good faith and reflects the knowledge, expertise and experience of the consultants involved at the time of providing the report. </w:t>
      </w:r>
    </w:p>
    <w:p w14:paraId="01BDB2EB" w14:textId="77777777" w:rsidR="00A57D68" w:rsidRPr="002749BC" w:rsidRDefault="00A57D68" w:rsidP="00EB079F">
      <w:pPr>
        <w:pStyle w:val="BodyText"/>
        <w:rPr>
          <w:sz w:val="20"/>
        </w:rPr>
      </w:pPr>
      <w:r w:rsidRPr="002749BC">
        <w:rPr>
          <w:sz w:val="20"/>
        </w:rPr>
        <w:t xml:space="preserve">The matters dealt with in this report are limited to those requested by the client and those matters considered by Synergies to be relevant for the Purpose. </w:t>
      </w:r>
    </w:p>
    <w:p w14:paraId="6585960B" w14:textId="77777777" w:rsidR="00A57D68" w:rsidRPr="002749BC" w:rsidRDefault="00A57D68" w:rsidP="00EB079F">
      <w:pPr>
        <w:pStyle w:val="BodyText"/>
        <w:rPr>
          <w:sz w:val="20"/>
        </w:rPr>
      </w:pPr>
      <w:r w:rsidRPr="002749BC">
        <w:rPr>
          <w:sz w:val="20"/>
        </w:rPr>
        <w:t>The information, data, opinions, evaluations, assessments and analysis referred to in, or relied upon in the preparation of, this report have been obtained from and are based on sources believed by us to be reliable and up to date, but no</w:t>
      </w:r>
      <w:bookmarkStart w:id="0" w:name="_GoBack"/>
      <w:bookmarkEnd w:id="0"/>
      <w:r w:rsidRPr="002749BC">
        <w:rPr>
          <w:sz w:val="20"/>
        </w:rPr>
        <w:t xml:space="preserve"> responsibility will be accepted for any error of fact or opinion. </w:t>
      </w:r>
    </w:p>
    <w:p w14:paraId="50DA1870" w14:textId="77777777" w:rsidR="00A57D68" w:rsidRPr="002749BC" w:rsidRDefault="00A57D68" w:rsidP="00EB079F">
      <w:pPr>
        <w:pStyle w:val="BodyText"/>
        <w:rPr>
          <w:sz w:val="20"/>
        </w:rPr>
      </w:pPr>
      <w:r w:rsidRPr="002749BC">
        <w:rPr>
          <w:sz w:val="20"/>
        </w:rPr>
        <w:t xml:space="preserve">To the extent permitted by law, the opinions, recommendations, assessments and conclusions contained in this report are expressed without any warranties of any kind, express or implied. </w:t>
      </w:r>
    </w:p>
    <w:p w14:paraId="59E85581" w14:textId="77777777" w:rsidR="00A57D68" w:rsidRPr="002749BC" w:rsidRDefault="00A57D68" w:rsidP="000E227B">
      <w:pPr>
        <w:pStyle w:val="BodyText"/>
      </w:pPr>
      <w:r w:rsidRPr="002749BC">
        <w:rPr>
          <w:sz w:val="20"/>
        </w:rPr>
        <w:t>Synergies does not accept liability for any loss or damage including without limitation, compensatory, direct, indirect or consequential damages and claims of third parties, that may be caused directly or indirectly through the use of, reliance upon or interpretation of, the contents of the report.</w:t>
      </w:r>
    </w:p>
    <w:p w14:paraId="41252761" w14:textId="77777777" w:rsidR="00A57D68" w:rsidRPr="002749BC" w:rsidRDefault="00A57D68" w:rsidP="00EB079F">
      <w:pPr>
        <w:sectPr w:rsidR="00A57D68" w:rsidRPr="002749BC" w:rsidSect="00EB079F">
          <w:headerReference w:type="default" r:id="rId13"/>
          <w:footerReference w:type="default" r:id="rId14"/>
          <w:pgSz w:w="11906" w:h="16838" w:code="9"/>
          <w:pgMar w:top="2268" w:right="1701" w:bottom="1701" w:left="1701" w:header="709" w:footer="0" w:gutter="0"/>
          <w:cols w:space="708"/>
          <w:titlePg/>
          <w:docGrid w:linePitch="360"/>
        </w:sectPr>
      </w:pPr>
    </w:p>
    <w:p w14:paraId="49649532" w14:textId="77777777" w:rsidR="00A57D68" w:rsidRPr="002749BC" w:rsidRDefault="00A57D68" w:rsidP="00EB079F">
      <w:pPr>
        <w:pStyle w:val="Heading1nonumber"/>
      </w:pPr>
      <w:bookmarkStart w:id="1" w:name="_Toc12387751"/>
      <w:r w:rsidRPr="002749BC">
        <w:lastRenderedPageBreak/>
        <w:t>Executive Summary</w:t>
      </w:r>
      <w:bookmarkEnd w:id="1"/>
    </w:p>
    <w:p w14:paraId="771C7675" w14:textId="77777777" w:rsidR="005918D5" w:rsidRDefault="005918D5" w:rsidP="005918D5">
      <w:pPr>
        <w:pStyle w:val="Heading3nonumber"/>
      </w:pPr>
      <w:r>
        <w:t>Introduction</w:t>
      </w:r>
    </w:p>
    <w:p w14:paraId="0D756A0E" w14:textId="0EEE0648" w:rsidR="006224AC" w:rsidRDefault="005918D5" w:rsidP="005918D5">
      <w:pPr>
        <w:pStyle w:val="BodyText"/>
      </w:pPr>
      <w:r>
        <w:t>The Australian Communications Consumer Action Network (ACCAN) is Australia’s peak body for consumer representation in communications</w:t>
      </w:r>
      <w:r w:rsidR="006224AC">
        <w:t>. It</w:t>
      </w:r>
      <w:r>
        <w:t xml:space="preserve"> has identified long wait times to resolve</w:t>
      </w:r>
      <w:r w:rsidR="006224AC">
        <w:t xml:space="preserve"> problems and poor reliability as significant issues facing telecommunications consumers</w:t>
      </w:r>
      <w:r>
        <w:t xml:space="preserve">. The value of these aspects of telecommunications services </w:t>
      </w:r>
      <w:r w:rsidR="006224AC">
        <w:t>are not reflected in prices. This is because</w:t>
      </w:r>
      <w:r>
        <w:t xml:space="preserve"> consumers are generally not offered different tiers of reliability </w:t>
      </w:r>
      <w:r w:rsidR="006224AC">
        <w:t>or customer service</w:t>
      </w:r>
      <w:r>
        <w:t>.</w:t>
      </w:r>
    </w:p>
    <w:p w14:paraId="19F95C25" w14:textId="623D3B3B" w:rsidR="005918D5" w:rsidRDefault="005918D5" w:rsidP="005918D5">
      <w:pPr>
        <w:pStyle w:val="BodyText"/>
      </w:pPr>
      <w:r>
        <w:t xml:space="preserve">Yet poor </w:t>
      </w:r>
      <w:r w:rsidR="006224AC">
        <w:t xml:space="preserve">customer </w:t>
      </w:r>
      <w:r>
        <w:t xml:space="preserve">service </w:t>
      </w:r>
      <w:r w:rsidR="006224AC">
        <w:t xml:space="preserve">and </w:t>
      </w:r>
      <w:r>
        <w:t xml:space="preserve">reliability will impose costs </w:t>
      </w:r>
      <w:r w:rsidR="006224AC">
        <w:t>on consumers and the broader economy. T</w:t>
      </w:r>
      <w:r>
        <w:t xml:space="preserve">he </w:t>
      </w:r>
      <w:r w:rsidR="006224AC">
        <w:t>size</w:t>
      </w:r>
      <w:r>
        <w:t xml:space="preserve"> of these costs is relevant to regulatory questions concerning customer service standards, service guarantees and obligations to pay customers compensation for inconvenience or damage when standards are not met. </w:t>
      </w:r>
    </w:p>
    <w:p w14:paraId="78F7CBED" w14:textId="1A69547D" w:rsidR="006224AC" w:rsidRDefault="005918D5" w:rsidP="005918D5">
      <w:pPr>
        <w:pStyle w:val="BodyText"/>
      </w:pPr>
      <w:r>
        <w:t xml:space="preserve">ACCAN </w:t>
      </w:r>
      <w:r w:rsidR="006224AC">
        <w:t>asked</w:t>
      </w:r>
      <w:r>
        <w:t xml:space="preserve"> Synergies </w:t>
      </w:r>
      <w:r w:rsidR="006224AC">
        <w:t xml:space="preserve">for advice on </w:t>
      </w:r>
      <w:r>
        <w:t>estimat</w:t>
      </w:r>
      <w:r w:rsidR="006224AC">
        <w:t>ing</w:t>
      </w:r>
      <w:r>
        <w:t xml:space="preserve"> the value of </w:t>
      </w:r>
      <w:r w:rsidR="006224AC">
        <w:t xml:space="preserve">consumers’ time wasted </w:t>
      </w:r>
      <w:r w:rsidR="00632BB1">
        <w:t xml:space="preserve">(“time forgone”) </w:t>
      </w:r>
      <w:r w:rsidR="006224AC">
        <w:t xml:space="preserve">trying to resolve customer service issues </w:t>
      </w:r>
      <w:r w:rsidR="00924946">
        <w:t>and</w:t>
      </w:r>
      <w:r w:rsidR="006224AC">
        <w:t xml:space="preserve"> </w:t>
      </w:r>
      <w:r w:rsidR="00632BB1">
        <w:t xml:space="preserve">intermittent or delayed </w:t>
      </w:r>
      <w:r w:rsidR="006224AC">
        <w:t>supply (“reliability”)</w:t>
      </w:r>
      <w:r>
        <w:t xml:space="preserve">. </w:t>
      </w:r>
      <w:r w:rsidR="006224AC">
        <w:t>T</w:t>
      </w:r>
      <w:r>
        <w:t xml:space="preserve">his advice </w:t>
      </w:r>
      <w:r w:rsidR="006224AC">
        <w:t xml:space="preserve">is </w:t>
      </w:r>
      <w:r>
        <w:t>an evidence base and a source of practical guidance on</w:t>
      </w:r>
      <w:r w:rsidR="00BA2519">
        <w:t xml:space="preserve"> matters including</w:t>
      </w:r>
      <w:r w:rsidR="006224AC">
        <w:t>:</w:t>
      </w:r>
    </w:p>
    <w:p w14:paraId="53E3C33A" w14:textId="50398B5F" w:rsidR="006224AC" w:rsidRDefault="005918D5" w:rsidP="00320F86">
      <w:pPr>
        <w:pStyle w:val="bullet"/>
      </w:pPr>
      <w:r>
        <w:t>how to apply non-market valuation techniques in the telecommunications context</w:t>
      </w:r>
      <w:r w:rsidR="00632BB1">
        <w:t>;</w:t>
      </w:r>
      <w:r>
        <w:t xml:space="preserve"> </w:t>
      </w:r>
    </w:p>
    <w:p w14:paraId="2621BB21" w14:textId="4AA49B7F" w:rsidR="006224AC" w:rsidRDefault="005918D5" w:rsidP="00320F86">
      <w:pPr>
        <w:pStyle w:val="bullet"/>
      </w:pPr>
      <w:r>
        <w:t>the strengths and limitations of the techniques</w:t>
      </w:r>
      <w:r w:rsidR="00632BB1">
        <w:t>;</w:t>
      </w:r>
      <w:r>
        <w:t xml:space="preserve"> and </w:t>
      </w:r>
    </w:p>
    <w:p w14:paraId="0E50B1D0" w14:textId="27EE24C4" w:rsidR="005918D5" w:rsidRDefault="005918D5" w:rsidP="00320F86">
      <w:pPr>
        <w:pStyle w:val="bullet"/>
      </w:pPr>
      <w:r>
        <w:t xml:space="preserve">how they compare relative to using simpler proxies such as </w:t>
      </w:r>
      <w:r w:rsidR="001F78A5">
        <w:t xml:space="preserve">a </w:t>
      </w:r>
      <w:r>
        <w:t xml:space="preserve">wage rate for measuring the </w:t>
      </w:r>
      <w:r w:rsidR="001F78A5">
        <w:t>time forgone</w:t>
      </w:r>
      <w:r>
        <w:t xml:space="preserve">. </w:t>
      </w:r>
    </w:p>
    <w:p w14:paraId="48C23F25" w14:textId="77777777" w:rsidR="005918D5" w:rsidRPr="002749BC" w:rsidRDefault="005918D5" w:rsidP="005918D5">
      <w:pPr>
        <w:pStyle w:val="Heading3nonumber"/>
      </w:pPr>
      <w:r w:rsidRPr="000D6B2C">
        <w:t>Non-market valuation</w:t>
      </w:r>
    </w:p>
    <w:p w14:paraId="289C0A2E" w14:textId="308E6F95" w:rsidR="00632BB1" w:rsidRDefault="005918D5" w:rsidP="005918D5">
      <w:pPr>
        <w:pStyle w:val="BodyText"/>
        <w:rPr>
          <w:lang w:eastAsia="en-US"/>
        </w:rPr>
      </w:pPr>
      <w:r w:rsidRPr="00C76AA7">
        <w:t xml:space="preserve">Non-market valuation </w:t>
      </w:r>
      <w:r w:rsidR="00632BB1">
        <w:t xml:space="preserve">finds dollar values for </w:t>
      </w:r>
      <w:r w:rsidRPr="00C76AA7">
        <w:t>things that are not traded in markets.</w:t>
      </w:r>
      <w:r w:rsidR="001411FA">
        <w:t xml:space="preserve"> </w:t>
      </w:r>
      <w:r w:rsidRPr="002749BC">
        <w:rPr>
          <w:lang w:eastAsia="en-US"/>
        </w:rPr>
        <w:t>Multiple techniques are available to assess non-market values</w:t>
      </w:r>
      <w:r w:rsidR="001411FA">
        <w:rPr>
          <w:lang w:eastAsia="en-US"/>
        </w:rPr>
        <w:t xml:space="preserve"> and t</w:t>
      </w:r>
      <w:r w:rsidRPr="002749BC">
        <w:rPr>
          <w:lang w:eastAsia="en-US"/>
        </w:rPr>
        <w:t>hese techniques can be broadly classified into</w:t>
      </w:r>
      <w:r w:rsidR="00632BB1">
        <w:rPr>
          <w:lang w:eastAsia="en-US"/>
        </w:rPr>
        <w:t xml:space="preserve"> two categories:</w:t>
      </w:r>
    </w:p>
    <w:p w14:paraId="55B2AF08" w14:textId="0C24A898" w:rsidR="00632BB1" w:rsidRDefault="005918D5" w:rsidP="00320F86">
      <w:pPr>
        <w:pStyle w:val="bullet"/>
      </w:pPr>
      <w:r w:rsidRPr="00E53E21">
        <w:rPr>
          <w:i/>
        </w:rPr>
        <w:t>revealed preference</w:t>
      </w:r>
      <w:r w:rsidRPr="002749BC">
        <w:t xml:space="preserve"> </w:t>
      </w:r>
      <w:r w:rsidR="00427B14" w:rsidRPr="002749BC">
        <w:t xml:space="preserve">methods </w:t>
      </w:r>
      <w:r w:rsidR="00427B14">
        <w:t xml:space="preserve">rely on </w:t>
      </w:r>
      <w:r w:rsidR="00427B14" w:rsidRPr="002749BC">
        <w:t xml:space="preserve">relationships between </w:t>
      </w:r>
      <w:r w:rsidR="001F78A5">
        <w:t xml:space="preserve">how much of </w:t>
      </w:r>
      <w:r w:rsidR="00427B14" w:rsidRPr="002749BC">
        <w:t xml:space="preserve">some market-priced </w:t>
      </w:r>
      <w:r w:rsidR="001F78A5">
        <w:t>and non-market priced things</w:t>
      </w:r>
      <w:r w:rsidR="00427B14" w:rsidRPr="002749BC">
        <w:t xml:space="preserve"> </w:t>
      </w:r>
      <w:r w:rsidR="001F78A5">
        <w:t>consumers buy to work out how consumers value related things</w:t>
      </w:r>
      <w:r w:rsidR="00427B14">
        <w:t xml:space="preserve">; </w:t>
      </w:r>
      <w:r w:rsidRPr="002749BC">
        <w:t>and</w:t>
      </w:r>
    </w:p>
    <w:p w14:paraId="3665FCD8" w14:textId="6035B0EA" w:rsidR="005918D5" w:rsidRDefault="005918D5" w:rsidP="00320F86">
      <w:pPr>
        <w:pStyle w:val="bullet"/>
      </w:pPr>
      <w:r w:rsidRPr="00E53E21">
        <w:rPr>
          <w:i/>
        </w:rPr>
        <w:t>stated preference</w:t>
      </w:r>
      <w:r w:rsidRPr="002749BC">
        <w:t xml:space="preserve"> </w:t>
      </w:r>
      <w:r w:rsidR="00427B14" w:rsidRPr="002749BC">
        <w:t xml:space="preserve">valuation techniques survey a sample group to </w:t>
      </w:r>
      <w:r w:rsidR="001F78A5">
        <w:t>get</w:t>
      </w:r>
      <w:r w:rsidR="00427B14" w:rsidRPr="002749BC">
        <w:t xml:space="preserve"> information about how </w:t>
      </w:r>
      <w:r w:rsidR="001F78A5">
        <w:t>consumer</w:t>
      </w:r>
      <w:r w:rsidR="00427B14" w:rsidRPr="002749BC">
        <w:t xml:space="preserve">s value different options. </w:t>
      </w:r>
    </w:p>
    <w:p w14:paraId="2AD50B63" w14:textId="60C02778" w:rsidR="005918D5" w:rsidRDefault="006557C0" w:rsidP="005918D5">
      <w:pPr>
        <w:pStyle w:val="BodyText"/>
      </w:pPr>
      <w:r>
        <w:t>T</w:t>
      </w:r>
      <w:r w:rsidR="005918D5" w:rsidRPr="002749BC">
        <w:t xml:space="preserve">he values generated by these techniques can be </w:t>
      </w:r>
      <w:r w:rsidR="001F78A5">
        <w:t xml:space="preserve">used for different purposes. When a value is </w:t>
      </w:r>
      <w:r w:rsidR="005918D5">
        <w:t xml:space="preserve">taken from a previous study and </w:t>
      </w:r>
      <w:r w:rsidR="001F78A5">
        <w:t>used to estimate another value it is called a benefit transfer</w:t>
      </w:r>
      <w:r>
        <w:t>. There are well-established protocols to do a benefit transfer</w:t>
      </w:r>
      <w:r w:rsidR="005918D5">
        <w:t xml:space="preserve">, provided </w:t>
      </w:r>
      <w:r w:rsidR="005918D5">
        <w:lastRenderedPageBreak/>
        <w:t xml:space="preserve">the services and policy contexts of each study are similar. </w:t>
      </w:r>
      <w:r w:rsidR="001F1472">
        <w:t>N</w:t>
      </w:r>
      <w:r w:rsidR="005918D5" w:rsidRPr="002749BC">
        <w:t>on-market valuations from both revealed preference and stated preference techniques can be used for benefit transfer, subject to the contexts and attributes being sufficiently similar.</w:t>
      </w:r>
    </w:p>
    <w:p w14:paraId="4A229C85" w14:textId="77777777" w:rsidR="005918D5" w:rsidRDefault="005918D5" w:rsidP="005918D5">
      <w:pPr>
        <w:pStyle w:val="Heading3nonumber"/>
      </w:pPr>
      <w:r w:rsidRPr="007F5B50">
        <w:t>Literature Review</w:t>
      </w:r>
      <w:r>
        <w:t xml:space="preserve"> – </w:t>
      </w:r>
      <w:r w:rsidRPr="007F5B50">
        <w:t>Value</w:t>
      </w:r>
      <w:r>
        <w:t xml:space="preserve"> </w:t>
      </w:r>
      <w:r w:rsidRPr="007F5B50">
        <w:t>of Time</w:t>
      </w:r>
    </w:p>
    <w:p w14:paraId="2CDB8611" w14:textId="46B72140" w:rsidR="005918D5" w:rsidRDefault="005918D5" w:rsidP="005918D5">
      <w:pPr>
        <w:pStyle w:val="BodyText"/>
      </w:pPr>
      <w:r>
        <w:t xml:space="preserve">Synergies carried out a literature review to identify how customer time has been valued in other potentially relevant sectors (transport, water, waste management and others).  </w:t>
      </w:r>
    </w:p>
    <w:p w14:paraId="44B04BAE" w14:textId="00C7C2AF" w:rsidR="00961EC3" w:rsidRDefault="005918D5" w:rsidP="005918D5">
      <w:pPr>
        <w:pStyle w:val="BodyText"/>
      </w:pPr>
      <w:r>
        <w:t xml:space="preserve">Synergies found that value of time studies are most prevalent in the transport sector. </w:t>
      </w:r>
      <w:r w:rsidR="00961EC3">
        <w:t>These are</w:t>
      </w:r>
      <w:r>
        <w:t xml:space="preserve"> particularly important in the evaluation of public investment in transport infrastructure </w:t>
      </w:r>
      <w:r w:rsidR="00961EC3">
        <w:t>as</w:t>
      </w:r>
      <w:r>
        <w:t xml:space="preserve"> travel time reductions </w:t>
      </w:r>
      <w:r w:rsidR="00961EC3">
        <w:t>are</w:t>
      </w:r>
      <w:r>
        <w:t xml:space="preserve"> a core </w:t>
      </w:r>
      <w:r w:rsidR="00961EC3">
        <w:t xml:space="preserve">target </w:t>
      </w:r>
      <w:r>
        <w:t>benefit. Unsurprisingly, we found that the transport sector has developed the most sophisticated and well</w:t>
      </w:r>
      <w:r w:rsidR="00961EC3">
        <w:t>-</w:t>
      </w:r>
      <w:r>
        <w:t xml:space="preserve">supported framework for the valuation of customer time. </w:t>
      </w:r>
    </w:p>
    <w:p w14:paraId="7CB2F54A" w14:textId="5DAB6D27" w:rsidR="005918D5" w:rsidRDefault="005918D5" w:rsidP="005918D5">
      <w:pPr>
        <w:pStyle w:val="BodyText"/>
      </w:pPr>
      <w:r>
        <w:t xml:space="preserve">The value of travel time weighted across </w:t>
      </w:r>
      <w:r w:rsidR="00924946">
        <w:t xml:space="preserve">transport </w:t>
      </w:r>
      <w:r>
        <w:t>modes provided by a leading transport valuation framework</w:t>
      </w:r>
      <w:r w:rsidR="00924946">
        <w:t>,</w:t>
      </w:r>
      <w:r>
        <w:t xml:space="preserve"> gives a well-accepted and relatively up</w:t>
      </w:r>
      <w:r w:rsidR="00961EC3">
        <w:t>-</w:t>
      </w:r>
      <w:r>
        <w:t>to</w:t>
      </w:r>
      <w:r w:rsidR="00961EC3">
        <w:t>-</w:t>
      </w:r>
      <w:r>
        <w:t xml:space="preserve">date estimate for the Australian transport context of $13.70/hour (2018 dollars). </w:t>
      </w:r>
    </w:p>
    <w:p w14:paraId="78792425" w14:textId="77777777" w:rsidR="005918D5" w:rsidRDefault="005918D5" w:rsidP="005918D5">
      <w:pPr>
        <w:pStyle w:val="BodyText"/>
      </w:pPr>
      <w:r>
        <w:t xml:space="preserve">Synergies did not find estimates for the value of customer time in other economic sectors that we consider would be suitable for benefit transfer into a telecommunications context. </w:t>
      </w:r>
    </w:p>
    <w:p w14:paraId="5A6CA0D7" w14:textId="77777777" w:rsidR="005918D5" w:rsidRDefault="005918D5" w:rsidP="005918D5">
      <w:pPr>
        <w:pStyle w:val="Heading3nonumber"/>
      </w:pPr>
      <w:r w:rsidRPr="007F5B50">
        <w:t>Literature Review</w:t>
      </w:r>
      <w:r>
        <w:t xml:space="preserve"> – </w:t>
      </w:r>
      <w:r w:rsidRPr="00093528">
        <w:t>Value of reliability</w:t>
      </w:r>
    </w:p>
    <w:p w14:paraId="14634C9F" w14:textId="2E916BFB" w:rsidR="005918D5" w:rsidRDefault="005918D5" w:rsidP="005918D5">
      <w:pPr>
        <w:pStyle w:val="BodyText"/>
      </w:pPr>
      <w:r>
        <w:t xml:space="preserve">Synergies carried out a second literature review examining studies of the value of reliability to customers </w:t>
      </w:r>
      <w:r w:rsidR="00427B14">
        <w:t>across multiple sectors in Australia and internationally</w:t>
      </w:r>
      <w:r>
        <w:t xml:space="preserve">.  </w:t>
      </w:r>
    </w:p>
    <w:p w14:paraId="407F348C" w14:textId="3AEB64D8" w:rsidR="005918D5" w:rsidRDefault="005918D5" w:rsidP="005918D5">
      <w:pPr>
        <w:pStyle w:val="BodyText"/>
      </w:pPr>
      <w:r>
        <w:t>Synergies found that value of reliability studies are prevalent in the electricity and water sectors</w:t>
      </w:r>
      <w:r w:rsidR="00427B14">
        <w:t>. I</w:t>
      </w:r>
      <w:r>
        <w:t>n both cases</w:t>
      </w:r>
      <w:r w:rsidR="00924946">
        <w:t>,</w:t>
      </w:r>
      <w:r>
        <w:t xml:space="preserve"> attributes and methods have become relatively well established and consistent across different countries over more than a decade. In the telecommunications sector, we find that the quantification and valuation of reliability is much less prevalent, and the analytical frameworks used are more diverse.  </w:t>
      </w:r>
    </w:p>
    <w:p w14:paraId="0AD3436F" w14:textId="77777777" w:rsidR="005918D5" w:rsidRDefault="005918D5" w:rsidP="005918D5">
      <w:pPr>
        <w:pStyle w:val="Heading3nonumber"/>
      </w:pPr>
      <w:r>
        <w:t>Benefit Transfer</w:t>
      </w:r>
    </w:p>
    <w:p w14:paraId="65CEB604" w14:textId="7A599B1C" w:rsidR="005918D5" w:rsidRDefault="00961EC3" w:rsidP="005918D5">
      <w:pPr>
        <w:pStyle w:val="BodyText"/>
      </w:pPr>
      <w:r>
        <w:t>T</w:t>
      </w:r>
      <w:r w:rsidR="005918D5">
        <w:t>here is a promising benefit transfer opportunity f</w:t>
      </w:r>
      <w:r>
        <w:t>or</w:t>
      </w:r>
      <w:r w:rsidR="005918D5">
        <w:t xml:space="preserve"> valuing customer time, but not in the value of long delays in receiving a broadband service connection. </w:t>
      </w:r>
    </w:p>
    <w:p w14:paraId="1EE21C7F" w14:textId="4E1C2B90" w:rsidR="00961EC3" w:rsidRDefault="005918D5" w:rsidP="005918D5">
      <w:pPr>
        <w:pStyle w:val="BodyText"/>
        <w:rPr>
          <w:lang w:eastAsia="en-US"/>
        </w:rPr>
      </w:pPr>
      <w:r w:rsidRPr="00AB2971">
        <w:rPr>
          <w:lang w:eastAsia="en-US"/>
        </w:rPr>
        <w:t xml:space="preserve">In Australian transport planning, best practice for the estimation of non-market value </w:t>
      </w:r>
      <w:r w:rsidR="007917C0">
        <w:rPr>
          <w:lang w:eastAsia="en-US"/>
        </w:rPr>
        <w:t xml:space="preserve">is </w:t>
      </w:r>
      <w:r w:rsidRPr="00AB2971">
        <w:rPr>
          <w:lang w:eastAsia="en-US"/>
        </w:rPr>
        <w:t>in the Australian Transport Assessment and Planning (ATAP) Guidelines</w:t>
      </w:r>
      <w:r w:rsidR="007917C0">
        <w:rPr>
          <w:lang w:eastAsia="en-US"/>
        </w:rPr>
        <w:t>. These</w:t>
      </w:r>
      <w:r w:rsidRPr="00AB2971">
        <w:rPr>
          <w:lang w:eastAsia="en-US"/>
        </w:rPr>
        <w:t xml:space="preserve"> align closely with Infrastructure Australia's Reform and Investment Framework.</w:t>
      </w:r>
      <w:r>
        <w:rPr>
          <w:lang w:eastAsia="en-US"/>
        </w:rPr>
        <w:t xml:space="preserve"> </w:t>
      </w:r>
    </w:p>
    <w:p w14:paraId="4629963D" w14:textId="5A9A1E13" w:rsidR="005918D5" w:rsidRDefault="005918D5" w:rsidP="005918D5">
      <w:pPr>
        <w:pStyle w:val="BodyText"/>
      </w:pPr>
      <w:r w:rsidRPr="002749BC">
        <w:lastRenderedPageBreak/>
        <w:t xml:space="preserve">The ATAP Guidelines specify a value for the cost of each hour an average person spends travelling in a vehicle. Then a set of multipliers that can be applied to adjust the </w:t>
      </w:r>
      <w:r>
        <w:t xml:space="preserve">value </w:t>
      </w:r>
      <w:r w:rsidRPr="002749BC">
        <w:t xml:space="preserve">to </w:t>
      </w:r>
      <w:r>
        <w:t xml:space="preserve">account for the additional inconvenience or distaste people experience during other stages of a journey (relative to what they experience while travelling ‘in vehicle’). </w:t>
      </w:r>
      <w:r w:rsidRPr="002749BC">
        <w:t>The resulting generalised value of time measure is the weighted sum of the value of time across all steps making up a journey.</w:t>
      </w:r>
    </w:p>
    <w:p w14:paraId="44757362" w14:textId="042A6D11" w:rsidR="005918D5" w:rsidRPr="002749BC" w:rsidRDefault="00B431A8" w:rsidP="005918D5">
      <w:pPr>
        <w:pStyle w:val="BodyText"/>
      </w:pPr>
      <w:r>
        <w:t xml:space="preserve">This value can be applied to </w:t>
      </w:r>
      <w:r w:rsidR="006F1BB1">
        <w:t xml:space="preserve">time forgone trying to resolve </w:t>
      </w:r>
      <w:r w:rsidR="005918D5" w:rsidRPr="002749BC">
        <w:t>a</w:t>
      </w:r>
      <w:r w:rsidR="005918D5">
        <w:t xml:space="preserve"> telecommunications service</w:t>
      </w:r>
      <w:r w:rsidR="005918D5" w:rsidRPr="002749BC">
        <w:t xml:space="preserve"> issue</w:t>
      </w:r>
      <w:r w:rsidR="006F1BB1">
        <w:t xml:space="preserve">. Trying to resolve a service issue </w:t>
      </w:r>
      <w:r w:rsidR="007917C0">
        <w:t xml:space="preserve">involves </w:t>
      </w:r>
      <w:r w:rsidR="005918D5" w:rsidRPr="002749BC">
        <w:t xml:space="preserve">the following steps: </w:t>
      </w:r>
    </w:p>
    <w:p w14:paraId="68D84C8B" w14:textId="77777777" w:rsidR="005918D5" w:rsidRPr="002749BC" w:rsidRDefault="005918D5" w:rsidP="005918D5">
      <w:pPr>
        <w:pStyle w:val="numberedbullet"/>
      </w:pPr>
      <w:r>
        <w:t>The customer calls, visits or lodges a written communication and waits to be attended to by a customer service representative</w:t>
      </w:r>
    </w:p>
    <w:p w14:paraId="4CFD5772" w14:textId="77777777" w:rsidR="005918D5" w:rsidRPr="002749BC" w:rsidRDefault="005918D5" w:rsidP="005918D5">
      <w:pPr>
        <w:pStyle w:val="numberedbullet"/>
      </w:pPr>
      <w:r>
        <w:t>The customer</w:t>
      </w:r>
      <w:r w:rsidRPr="002749BC">
        <w:t xml:space="preserve"> explains the issue to the </w:t>
      </w:r>
      <w:r>
        <w:t>service representative (for engagement by email, this step may occur as the first step)</w:t>
      </w:r>
    </w:p>
    <w:p w14:paraId="2E10A049" w14:textId="77777777" w:rsidR="005918D5" w:rsidRPr="002749BC" w:rsidRDefault="005918D5" w:rsidP="005918D5">
      <w:pPr>
        <w:pStyle w:val="numberedbullet"/>
      </w:pPr>
      <w:r w:rsidRPr="002749BC">
        <w:t xml:space="preserve">If the </w:t>
      </w:r>
      <w:r>
        <w:t>service representative</w:t>
      </w:r>
      <w:r w:rsidRPr="002749BC">
        <w:t xml:space="preserve"> is able to resolve the issue the </w:t>
      </w:r>
      <w:r>
        <w:t>process then ends</w:t>
      </w:r>
    </w:p>
    <w:p w14:paraId="4EE1CB43" w14:textId="77777777" w:rsidR="005918D5" w:rsidRPr="002749BC" w:rsidRDefault="005918D5" w:rsidP="005918D5">
      <w:pPr>
        <w:pStyle w:val="numberedbullet"/>
      </w:pPr>
      <w:r w:rsidRPr="002749BC">
        <w:t xml:space="preserve">If the </w:t>
      </w:r>
      <w:r>
        <w:t>service representative</w:t>
      </w:r>
      <w:r w:rsidRPr="002749BC">
        <w:t xml:space="preserve"> is not able to resolve the issue, the </w:t>
      </w:r>
      <w:r>
        <w:t>customer is then handed off</w:t>
      </w:r>
      <w:r w:rsidRPr="002749BC">
        <w:t xml:space="preserve"> to another operator and the process resumes at step 2.</w:t>
      </w:r>
    </w:p>
    <w:p w14:paraId="473FB2C4" w14:textId="06829554" w:rsidR="005918D5" w:rsidRPr="002749BC" w:rsidRDefault="005918D5" w:rsidP="005918D5">
      <w:pPr>
        <w:pStyle w:val="BodyText"/>
      </w:pPr>
      <w:r>
        <w:fldChar w:fldCharType="begin"/>
      </w:r>
      <w:r>
        <w:instrText xml:space="preserve"> REF _Ref10550701 \h </w:instrText>
      </w:r>
      <w:r>
        <w:fldChar w:fldCharType="separate"/>
      </w:r>
      <w:r w:rsidR="00176422" w:rsidRPr="002749BC">
        <w:t xml:space="preserve">Figure </w:t>
      </w:r>
      <w:r w:rsidR="00176422">
        <w:t>ES</w:t>
      </w:r>
      <w:r w:rsidR="00176422">
        <w:rPr>
          <w:rFonts w:hint="eastAsia"/>
        </w:rPr>
        <w:t> </w:t>
      </w:r>
      <w:r>
        <w:fldChar w:fldCharType="end"/>
      </w:r>
      <w:r w:rsidR="006557C0">
        <w:t>1</w:t>
      </w:r>
      <w:r w:rsidRPr="002749BC">
        <w:t xml:space="preserve"> illustrates </w:t>
      </w:r>
      <w:r>
        <w:t>the steps in the process and shows the classification of each step as either progress or waiting time</w:t>
      </w:r>
      <w:r w:rsidRPr="002749BC">
        <w:t xml:space="preserve">. </w:t>
      </w:r>
    </w:p>
    <w:p w14:paraId="71B9D27B" w14:textId="2D3D0CF6" w:rsidR="005918D5" w:rsidRPr="002749BC" w:rsidRDefault="005918D5" w:rsidP="005918D5">
      <w:pPr>
        <w:pStyle w:val="Caption"/>
        <w:rPr>
          <w:b w:val="0"/>
          <w:bCs w:val="0"/>
        </w:rPr>
      </w:pPr>
      <w:bookmarkStart w:id="2" w:name="_Ref10550701"/>
      <w:r w:rsidRPr="002749BC">
        <w:t xml:space="preserve">Figure </w:t>
      </w:r>
      <w:r>
        <w:t>ES</w:t>
      </w:r>
      <w:r>
        <w:rPr>
          <w:rFonts w:hint="eastAsia"/>
        </w:rPr>
        <w:t> </w:t>
      </w:r>
      <w:bookmarkEnd w:id="2"/>
      <w:r w:rsidR="006557C0">
        <w:rPr>
          <w:noProof/>
        </w:rPr>
        <w:t>1</w:t>
      </w:r>
      <w:r w:rsidRPr="002749BC">
        <w:rPr>
          <w:b w:val="0"/>
        </w:rPr>
        <w:tab/>
      </w:r>
      <w:r>
        <w:rPr>
          <w:b w:val="0"/>
        </w:rPr>
        <w:t>Steps in r</w:t>
      </w:r>
      <w:r w:rsidRPr="002749BC">
        <w:rPr>
          <w:b w:val="0"/>
        </w:rPr>
        <w:t>esolving a</w:t>
      </w:r>
      <w:r>
        <w:rPr>
          <w:b w:val="0"/>
        </w:rPr>
        <w:t xml:space="preserve"> telco service</w:t>
      </w:r>
      <w:r w:rsidRPr="002749BC">
        <w:rPr>
          <w:b w:val="0"/>
        </w:rPr>
        <w:t xml:space="preserve"> issue </w:t>
      </w:r>
    </w:p>
    <w:tbl>
      <w:tblPr>
        <w:tblW w:w="0" w:type="auto"/>
        <w:tblInd w:w="108" w:type="dxa"/>
        <w:tblLook w:val="0000" w:firstRow="0" w:lastRow="0" w:firstColumn="0" w:lastColumn="0" w:noHBand="0" w:noVBand="0"/>
      </w:tblPr>
      <w:tblGrid>
        <w:gridCol w:w="8612"/>
      </w:tblGrid>
      <w:tr w:rsidR="005918D5" w:rsidRPr="002749BC" w14:paraId="46D285C0" w14:textId="77777777" w:rsidTr="00F80C48">
        <w:tc>
          <w:tcPr>
            <w:tcW w:w="12178" w:type="dxa"/>
          </w:tcPr>
          <w:p w14:paraId="00CCAB41" w14:textId="77777777" w:rsidR="005918D5" w:rsidRPr="002749BC" w:rsidRDefault="005918D5" w:rsidP="00F80C48">
            <w:pPr>
              <w:pStyle w:val="BodyText"/>
              <w:keepNext/>
            </w:pPr>
            <w:r>
              <w:rPr>
                <w:noProof/>
              </w:rPr>
              <w:drawing>
                <wp:inline distT="0" distB="0" distL="0" distR="0" wp14:anchorId="21521245" wp14:editId="64939B95">
                  <wp:extent cx="5247860" cy="2201178"/>
                  <wp:effectExtent l="0" t="0" r="0" b="8890"/>
                  <wp:docPr id="9" name="Picture 9" descr="Steps in resolving a telco service iss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266699" cy="2209080"/>
                          </a:xfrm>
                          <a:prstGeom prst="rect">
                            <a:avLst/>
                          </a:prstGeom>
                          <a:noFill/>
                        </pic:spPr>
                      </pic:pic>
                    </a:graphicData>
                  </a:graphic>
                </wp:inline>
              </w:drawing>
            </w:r>
          </w:p>
        </w:tc>
      </w:tr>
    </w:tbl>
    <w:p w14:paraId="1561E5E1" w14:textId="77777777" w:rsidR="005918D5" w:rsidRPr="002749BC" w:rsidRDefault="005918D5" w:rsidP="005918D5">
      <w:pPr>
        <w:pStyle w:val="Note"/>
        <w:keepNext w:val="0"/>
        <w:rPr>
          <w:rFonts w:ascii="Arial Bold" w:hAnsi="Arial Bold"/>
          <w:b/>
          <w:szCs w:val="14"/>
        </w:rPr>
      </w:pPr>
      <w:r w:rsidRPr="002749BC">
        <w:rPr>
          <w:rFonts w:ascii="Arial Bold" w:hAnsi="Arial Bold"/>
          <w:b/>
          <w:szCs w:val="14"/>
        </w:rPr>
        <w:t>Data source: Synergies illustration</w:t>
      </w:r>
    </w:p>
    <w:p w14:paraId="67BCA07C" w14:textId="0807FABB" w:rsidR="005918D5" w:rsidRPr="002749BC" w:rsidRDefault="005918D5" w:rsidP="005918D5">
      <w:pPr>
        <w:pStyle w:val="BodyText"/>
      </w:pPr>
      <w:r>
        <w:t xml:space="preserve">Each step of the above flow chart </w:t>
      </w:r>
      <w:r w:rsidR="009E02D8">
        <w:t xml:space="preserve">is similar to </w:t>
      </w:r>
      <w:r>
        <w:t>a</w:t>
      </w:r>
      <w:r w:rsidRPr="002749BC">
        <w:t xml:space="preserve"> public transport journey</w:t>
      </w:r>
      <w:r>
        <w:t>. For instance, making p</w:t>
      </w:r>
      <w:r w:rsidRPr="002749BC">
        <w:t xml:space="preserve">rogress </w:t>
      </w:r>
      <w:r>
        <w:t xml:space="preserve">on a service interaction is </w:t>
      </w:r>
      <w:r w:rsidR="009E02D8">
        <w:t>similar</w:t>
      </w:r>
      <w:r>
        <w:t xml:space="preserve"> to </w:t>
      </w:r>
      <w:r w:rsidRPr="002749BC">
        <w:t>time spent moving</w:t>
      </w:r>
      <w:r>
        <w:t xml:space="preserve"> on a </w:t>
      </w:r>
      <w:r w:rsidR="009E02D8">
        <w:t xml:space="preserve">public transport </w:t>
      </w:r>
      <w:r>
        <w:t>journey</w:t>
      </w:r>
      <w:r w:rsidR="009E02D8">
        <w:t>. Time spent</w:t>
      </w:r>
      <w:r>
        <w:t xml:space="preserve"> waiting </w:t>
      </w:r>
      <w:r w:rsidR="009E02D8">
        <w:t>for a service agent</w:t>
      </w:r>
      <w:r>
        <w:t xml:space="preserve"> is </w:t>
      </w:r>
      <w:r w:rsidR="009E02D8">
        <w:t>similar</w:t>
      </w:r>
      <w:r>
        <w:t xml:space="preserve"> to waiting for a bus or train to arrive. </w:t>
      </w:r>
    </w:p>
    <w:p w14:paraId="4A659448" w14:textId="583865F2" w:rsidR="005918D5" w:rsidRPr="002749BC" w:rsidRDefault="005918D5" w:rsidP="005918D5">
      <w:pPr>
        <w:pStyle w:val="BodyText"/>
      </w:pPr>
      <w:r>
        <w:lastRenderedPageBreak/>
        <w:fldChar w:fldCharType="begin"/>
      </w:r>
      <w:r>
        <w:instrText xml:space="preserve"> REF _Ref10551104 \h </w:instrText>
      </w:r>
      <w:r>
        <w:fldChar w:fldCharType="separate"/>
      </w:r>
      <w:r w:rsidR="00176422" w:rsidRPr="002749BC">
        <w:t xml:space="preserve">Table </w:t>
      </w:r>
      <w:r w:rsidR="00176422">
        <w:t>ES</w:t>
      </w:r>
      <w:r w:rsidR="00176422">
        <w:rPr>
          <w:rFonts w:hint="eastAsia"/>
        </w:rPr>
        <w:t> </w:t>
      </w:r>
      <w:r w:rsidR="00176422">
        <w:rPr>
          <w:noProof/>
        </w:rPr>
        <w:t>1</w:t>
      </w:r>
      <w:r>
        <w:fldChar w:fldCharType="end"/>
      </w:r>
      <w:r>
        <w:t xml:space="preserve"> shows</w:t>
      </w:r>
      <w:r w:rsidRPr="002749BC">
        <w:t xml:space="preserve"> the value</w:t>
      </w:r>
      <w:r>
        <w:t>s combined</w:t>
      </w:r>
      <w:r w:rsidRPr="002749BC">
        <w:t xml:space="preserve"> with the multipliers</w:t>
      </w:r>
      <w:r>
        <w:t xml:space="preserve"> specified by ATAP for those stages of a journey judged to be </w:t>
      </w:r>
      <w:r w:rsidR="009E02D8">
        <w:t>similar</w:t>
      </w:r>
      <w:r>
        <w:t xml:space="preserve"> to a stage in a customer’s telecommunications service “journey”. </w:t>
      </w:r>
    </w:p>
    <w:p w14:paraId="35F662D3" w14:textId="5D67A088" w:rsidR="005918D5" w:rsidRPr="002749BC" w:rsidRDefault="005918D5" w:rsidP="005918D5">
      <w:pPr>
        <w:pStyle w:val="Caption"/>
      </w:pPr>
      <w:bookmarkStart w:id="3" w:name="_Ref10551104"/>
      <w:bookmarkStart w:id="4" w:name="_Toc12387782"/>
      <w:r w:rsidRPr="002749BC">
        <w:t xml:space="preserve">Table </w:t>
      </w:r>
      <w:r>
        <w:t>ES</w:t>
      </w:r>
      <w:r>
        <w:rPr>
          <w:rFonts w:hint="eastAsia"/>
        </w:rPr>
        <w:t> </w:t>
      </w:r>
      <w:r w:rsidRPr="002749BC">
        <w:rPr>
          <w:noProof/>
        </w:rPr>
        <w:fldChar w:fldCharType="begin"/>
      </w:r>
      <w:r w:rsidRPr="002749BC">
        <w:rPr>
          <w:noProof/>
        </w:rPr>
        <w:instrText xml:space="preserve"> SEQ Table \* ARABIC </w:instrText>
      </w:r>
      <w:r w:rsidRPr="002749BC">
        <w:rPr>
          <w:noProof/>
        </w:rPr>
        <w:fldChar w:fldCharType="separate"/>
      </w:r>
      <w:r w:rsidR="00176422">
        <w:rPr>
          <w:noProof/>
        </w:rPr>
        <w:t>1</w:t>
      </w:r>
      <w:r w:rsidRPr="002749BC">
        <w:rPr>
          <w:noProof/>
        </w:rPr>
        <w:fldChar w:fldCharType="end"/>
      </w:r>
      <w:bookmarkEnd w:id="3"/>
      <w:r w:rsidRPr="002749BC">
        <w:t xml:space="preserve"> </w:t>
      </w:r>
      <w:r w:rsidRPr="002749BC">
        <w:tab/>
        <w:t>Applying ATAP parameters to resolving an issue on the phone ($/hour)</w:t>
      </w:r>
      <w:bookmarkEnd w:id="4"/>
    </w:p>
    <w:tbl>
      <w:tblPr>
        <w:tblW w:w="8504" w:type="dxa"/>
        <w:tblInd w:w="85" w:type="dxa"/>
        <w:tblLayout w:type="fixed"/>
        <w:tblCellMar>
          <w:left w:w="56" w:type="dxa"/>
          <w:right w:w="56" w:type="dxa"/>
        </w:tblCellMar>
        <w:tblLook w:val="0000" w:firstRow="0" w:lastRow="0" w:firstColumn="0" w:lastColumn="0" w:noHBand="0" w:noVBand="0"/>
        <w:tblCaption w:val="Applying ATAP parameters to resolving an issue on the phone"/>
        <w:tblDescription w:val="Final estimates of recommended and maximum values for each step in the customer service resolution process - derived from applying the ATAP guidelines. "/>
      </w:tblPr>
      <w:tblGrid>
        <w:gridCol w:w="3176"/>
        <w:gridCol w:w="2664"/>
        <w:gridCol w:w="2664"/>
      </w:tblGrid>
      <w:tr w:rsidR="005918D5" w:rsidRPr="002749BC" w14:paraId="705CC27E" w14:textId="77777777" w:rsidTr="00F80C48">
        <w:trPr>
          <w:tblHeader/>
        </w:trPr>
        <w:tc>
          <w:tcPr>
            <w:tcW w:w="3176" w:type="dxa"/>
            <w:tcBorders>
              <w:top w:val="single" w:sz="4" w:space="0" w:color="000000"/>
              <w:bottom w:val="single" w:sz="4" w:space="0" w:color="000000"/>
            </w:tcBorders>
            <w:shd w:val="clear" w:color="auto" w:fill="auto"/>
          </w:tcPr>
          <w:p w14:paraId="483A1C3B" w14:textId="77777777" w:rsidR="005918D5" w:rsidRPr="002749BC" w:rsidRDefault="005918D5" w:rsidP="00F80C48">
            <w:pPr>
              <w:pStyle w:val="Tablecolumnheadings"/>
            </w:pPr>
            <w:r>
              <w:t>Step in the process</w:t>
            </w:r>
          </w:p>
        </w:tc>
        <w:tc>
          <w:tcPr>
            <w:tcW w:w="2664" w:type="dxa"/>
            <w:tcBorders>
              <w:top w:val="single" w:sz="4" w:space="0" w:color="000000"/>
              <w:bottom w:val="single" w:sz="4" w:space="0" w:color="000000"/>
            </w:tcBorders>
            <w:shd w:val="clear" w:color="auto" w:fill="auto"/>
          </w:tcPr>
          <w:p w14:paraId="7859ECA1" w14:textId="77777777" w:rsidR="005918D5" w:rsidRPr="002749BC" w:rsidRDefault="005918D5" w:rsidP="00F80C48">
            <w:pPr>
              <w:pStyle w:val="Tablecolumnheadings"/>
              <w:jc w:val="center"/>
            </w:pPr>
            <w:r w:rsidRPr="002749BC">
              <w:t>Recommended value</w:t>
            </w:r>
          </w:p>
        </w:tc>
        <w:tc>
          <w:tcPr>
            <w:tcW w:w="2664" w:type="dxa"/>
            <w:tcBorders>
              <w:top w:val="single" w:sz="4" w:space="0" w:color="000000"/>
              <w:bottom w:val="single" w:sz="4" w:space="0" w:color="000000"/>
            </w:tcBorders>
            <w:shd w:val="clear" w:color="auto" w:fill="auto"/>
          </w:tcPr>
          <w:p w14:paraId="2CD7DD97" w14:textId="77777777" w:rsidR="005918D5" w:rsidRPr="002749BC" w:rsidRDefault="005918D5" w:rsidP="00F80C48">
            <w:pPr>
              <w:pStyle w:val="Tablecolumnheadings"/>
              <w:jc w:val="center"/>
            </w:pPr>
            <w:r w:rsidRPr="002749BC">
              <w:t>Maximum value</w:t>
            </w:r>
          </w:p>
        </w:tc>
      </w:tr>
      <w:tr w:rsidR="005918D5" w:rsidRPr="002749BC" w14:paraId="208C0EE6" w14:textId="77777777" w:rsidTr="00F80C48">
        <w:tc>
          <w:tcPr>
            <w:tcW w:w="3176" w:type="dxa"/>
            <w:tcBorders>
              <w:top w:val="single" w:sz="4" w:space="0" w:color="000000"/>
            </w:tcBorders>
            <w:shd w:val="clear" w:color="auto" w:fill="auto"/>
          </w:tcPr>
          <w:p w14:paraId="319E5768" w14:textId="77777777" w:rsidR="005918D5" w:rsidRPr="002749BC" w:rsidRDefault="005918D5" w:rsidP="00F80C48">
            <w:pPr>
              <w:pStyle w:val="Tablebody"/>
            </w:pPr>
            <w:r w:rsidRPr="002749BC">
              <w:t>Wait for answer</w:t>
            </w:r>
          </w:p>
        </w:tc>
        <w:tc>
          <w:tcPr>
            <w:tcW w:w="2664" w:type="dxa"/>
            <w:tcBorders>
              <w:top w:val="single" w:sz="4" w:space="0" w:color="000000"/>
            </w:tcBorders>
            <w:shd w:val="clear" w:color="auto" w:fill="auto"/>
          </w:tcPr>
          <w:p w14:paraId="228BFF88" w14:textId="77777777" w:rsidR="005918D5" w:rsidRPr="002749BC" w:rsidRDefault="005918D5" w:rsidP="00F80C48">
            <w:pPr>
              <w:pStyle w:val="Tablebody"/>
              <w:jc w:val="center"/>
            </w:pPr>
            <w:r w:rsidRPr="002749BC">
              <w:t>$13.67</w:t>
            </w:r>
          </w:p>
        </w:tc>
        <w:tc>
          <w:tcPr>
            <w:tcW w:w="2664" w:type="dxa"/>
            <w:tcBorders>
              <w:top w:val="single" w:sz="4" w:space="0" w:color="000000"/>
            </w:tcBorders>
            <w:shd w:val="clear" w:color="auto" w:fill="auto"/>
          </w:tcPr>
          <w:p w14:paraId="6FD6DA92" w14:textId="77777777" w:rsidR="005918D5" w:rsidRPr="002749BC" w:rsidRDefault="005918D5" w:rsidP="00F80C48">
            <w:pPr>
              <w:pStyle w:val="Tablebody"/>
              <w:jc w:val="center"/>
            </w:pPr>
            <w:r w:rsidRPr="002749BC">
              <w:t>$13.67 * 1.4 = $19.14</w:t>
            </w:r>
          </w:p>
        </w:tc>
      </w:tr>
      <w:tr w:rsidR="005918D5" w:rsidRPr="002749BC" w14:paraId="68097B1D" w14:textId="77777777" w:rsidTr="00F80C48">
        <w:tc>
          <w:tcPr>
            <w:tcW w:w="3176" w:type="dxa"/>
            <w:shd w:val="clear" w:color="auto" w:fill="auto"/>
          </w:tcPr>
          <w:p w14:paraId="38244AC6" w14:textId="77777777" w:rsidR="005918D5" w:rsidRPr="002749BC" w:rsidRDefault="005918D5" w:rsidP="00F80C48">
            <w:pPr>
              <w:pStyle w:val="Tablebody"/>
            </w:pPr>
            <w:r w:rsidRPr="002749BC">
              <w:t>Explain issue to operator</w:t>
            </w:r>
          </w:p>
        </w:tc>
        <w:tc>
          <w:tcPr>
            <w:tcW w:w="2664" w:type="dxa"/>
            <w:shd w:val="clear" w:color="auto" w:fill="auto"/>
          </w:tcPr>
          <w:p w14:paraId="635550C4" w14:textId="77777777" w:rsidR="005918D5" w:rsidRPr="002749BC" w:rsidRDefault="005918D5" w:rsidP="00F80C48">
            <w:pPr>
              <w:pStyle w:val="Tablebody"/>
              <w:jc w:val="center"/>
            </w:pPr>
            <w:r w:rsidRPr="002749BC">
              <w:t>$13.67</w:t>
            </w:r>
          </w:p>
        </w:tc>
        <w:tc>
          <w:tcPr>
            <w:tcW w:w="2664" w:type="dxa"/>
            <w:shd w:val="clear" w:color="auto" w:fill="auto"/>
          </w:tcPr>
          <w:p w14:paraId="5B0849F1" w14:textId="77777777" w:rsidR="005918D5" w:rsidRPr="002749BC" w:rsidRDefault="005918D5" w:rsidP="00F80C48">
            <w:pPr>
              <w:pStyle w:val="Tablebody"/>
              <w:jc w:val="center"/>
            </w:pPr>
            <w:r w:rsidRPr="002749BC">
              <w:t>$13.67</w:t>
            </w:r>
          </w:p>
        </w:tc>
      </w:tr>
      <w:tr w:rsidR="005918D5" w:rsidRPr="002749BC" w14:paraId="0EF0CB25" w14:textId="77777777" w:rsidTr="00F80C48">
        <w:tc>
          <w:tcPr>
            <w:tcW w:w="3176" w:type="dxa"/>
            <w:shd w:val="clear" w:color="auto" w:fill="auto"/>
          </w:tcPr>
          <w:p w14:paraId="4EC4FC33" w14:textId="77777777" w:rsidR="005918D5" w:rsidRPr="002749BC" w:rsidRDefault="005918D5" w:rsidP="00F80C48">
            <w:pPr>
              <w:pStyle w:val="Tablebody"/>
            </w:pPr>
            <w:r w:rsidRPr="002749BC">
              <w:t>Transfer to other operator</w:t>
            </w:r>
          </w:p>
        </w:tc>
        <w:tc>
          <w:tcPr>
            <w:tcW w:w="2664" w:type="dxa"/>
            <w:shd w:val="clear" w:color="auto" w:fill="auto"/>
          </w:tcPr>
          <w:p w14:paraId="760C033F" w14:textId="77777777" w:rsidR="005918D5" w:rsidRPr="002749BC" w:rsidRDefault="005918D5" w:rsidP="00F80C48">
            <w:pPr>
              <w:pStyle w:val="Tablebody"/>
              <w:jc w:val="center"/>
            </w:pPr>
            <w:r w:rsidRPr="002749BC">
              <w:t>$13.67 * 1.4 = $19.14</w:t>
            </w:r>
          </w:p>
        </w:tc>
        <w:tc>
          <w:tcPr>
            <w:tcW w:w="2664" w:type="dxa"/>
            <w:shd w:val="clear" w:color="auto" w:fill="auto"/>
          </w:tcPr>
          <w:p w14:paraId="45E5761B" w14:textId="77777777" w:rsidR="005918D5" w:rsidRPr="002749BC" w:rsidRDefault="005918D5" w:rsidP="00F80C48">
            <w:pPr>
              <w:pStyle w:val="Tablebody"/>
              <w:jc w:val="center"/>
            </w:pPr>
            <w:r w:rsidRPr="002749BC">
              <w:t>$13.67 * 1.5 = $20.51</w:t>
            </w:r>
          </w:p>
        </w:tc>
      </w:tr>
      <w:tr w:rsidR="005918D5" w:rsidRPr="002749BC" w14:paraId="202FF420" w14:textId="77777777" w:rsidTr="00F80C48">
        <w:tc>
          <w:tcPr>
            <w:tcW w:w="3176" w:type="dxa"/>
            <w:tcBorders>
              <w:bottom w:val="single" w:sz="4" w:space="0" w:color="000000"/>
            </w:tcBorders>
            <w:shd w:val="clear" w:color="auto" w:fill="auto"/>
          </w:tcPr>
          <w:p w14:paraId="46ADFC0B" w14:textId="77777777" w:rsidR="005918D5" w:rsidRPr="002749BC" w:rsidRDefault="005918D5" w:rsidP="00F80C48">
            <w:pPr>
              <w:pStyle w:val="Tablebody"/>
            </w:pPr>
            <w:r w:rsidRPr="002749BC">
              <w:t>Explain issue to next operator</w:t>
            </w:r>
          </w:p>
        </w:tc>
        <w:tc>
          <w:tcPr>
            <w:tcW w:w="2664" w:type="dxa"/>
            <w:tcBorders>
              <w:bottom w:val="single" w:sz="4" w:space="0" w:color="000000"/>
            </w:tcBorders>
            <w:shd w:val="clear" w:color="auto" w:fill="auto"/>
          </w:tcPr>
          <w:p w14:paraId="1BAB1547" w14:textId="77777777" w:rsidR="005918D5" w:rsidRPr="002749BC" w:rsidRDefault="005918D5" w:rsidP="00F80C48">
            <w:pPr>
              <w:pStyle w:val="Tablebody"/>
              <w:jc w:val="center"/>
            </w:pPr>
            <w:r w:rsidRPr="002749BC">
              <w:t>$13.67 * 1.4 = $19.14</w:t>
            </w:r>
          </w:p>
        </w:tc>
        <w:tc>
          <w:tcPr>
            <w:tcW w:w="2664" w:type="dxa"/>
            <w:tcBorders>
              <w:bottom w:val="single" w:sz="4" w:space="0" w:color="000000"/>
            </w:tcBorders>
            <w:shd w:val="clear" w:color="auto" w:fill="auto"/>
          </w:tcPr>
          <w:p w14:paraId="0D5C121F" w14:textId="77777777" w:rsidR="005918D5" w:rsidRPr="002749BC" w:rsidRDefault="005918D5" w:rsidP="00F80C48">
            <w:pPr>
              <w:pStyle w:val="Tablebody"/>
              <w:jc w:val="center"/>
            </w:pPr>
            <w:r w:rsidRPr="002749BC">
              <w:t>$13.67 * 1.65 = $22.56</w:t>
            </w:r>
          </w:p>
        </w:tc>
      </w:tr>
    </w:tbl>
    <w:p w14:paraId="6027866C" w14:textId="6D9A0689" w:rsidR="009E02D8" w:rsidRDefault="009E02D8" w:rsidP="005918D5">
      <w:pPr>
        <w:pStyle w:val="BodyText"/>
      </w:pPr>
      <w:r>
        <w:t>The table gives</w:t>
      </w:r>
      <w:r w:rsidRPr="002749BC">
        <w:t xml:space="preserve"> the recommended and maximum values for the four steps in the </w:t>
      </w:r>
      <w:r>
        <w:t xml:space="preserve">service </w:t>
      </w:r>
      <w:r w:rsidRPr="002749BC">
        <w:t xml:space="preserve">resolution process measured in $13.67 per hour in 2018 dollars. </w:t>
      </w:r>
      <w:r>
        <w:t>It</w:t>
      </w:r>
      <w:r w:rsidRPr="002749BC">
        <w:t xml:space="preserve"> shows that the recommended value of waiting time is $19.14 per hour, that is the waiting time penalty amounts to $5.47 per hour. Under extreme conditions, e.g. if a </w:t>
      </w:r>
      <w:r>
        <w:t>customer</w:t>
      </w:r>
      <w:r w:rsidRPr="002749BC">
        <w:t xml:space="preserve"> has to explain their problem to the fourth </w:t>
      </w:r>
      <w:r>
        <w:t>service representative</w:t>
      </w:r>
      <w:r w:rsidRPr="002749BC">
        <w:t>, it could be argued that this penalty value increases to up to $8.89 per hour making the total value of time $22.56 per hour.</w:t>
      </w:r>
    </w:p>
    <w:p w14:paraId="6AB52053" w14:textId="707B1F64" w:rsidR="005918D5" w:rsidRPr="00010369" w:rsidRDefault="005918D5" w:rsidP="005918D5">
      <w:pPr>
        <w:pStyle w:val="BodyText"/>
      </w:pPr>
      <w:r>
        <w:t xml:space="preserve">We stress that the values shown in </w:t>
      </w:r>
      <w:r>
        <w:fldChar w:fldCharType="begin"/>
      </w:r>
      <w:r>
        <w:instrText xml:space="preserve"> REF _Ref10551104 \h </w:instrText>
      </w:r>
      <w:r>
        <w:fldChar w:fldCharType="separate"/>
      </w:r>
      <w:r w:rsidR="00176422" w:rsidRPr="002749BC">
        <w:t xml:space="preserve">Table </w:t>
      </w:r>
      <w:r w:rsidR="00176422">
        <w:t>ES</w:t>
      </w:r>
      <w:r w:rsidR="00176422">
        <w:rPr>
          <w:rFonts w:hint="eastAsia"/>
        </w:rPr>
        <w:t> </w:t>
      </w:r>
      <w:r w:rsidR="00176422">
        <w:rPr>
          <w:noProof/>
        </w:rPr>
        <w:t>1</w:t>
      </w:r>
      <w:r>
        <w:fldChar w:fldCharType="end"/>
      </w:r>
      <w:r>
        <w:t xml:space="preserve"> represent recommended and maximum value estimates</w:t>
      </w:r>
      <w:r w:rsidR="00924946">
        <w:t>,</w:t>
      </w:r>
      <w:r>
        <w:t xml:space="preserve"> if ACCAN seeks to estimate values from the ATAP guidelines. We would expect there to be valid alternative estimates (both higher and lower than the estimates shown) based on other studies and methods described in this report.</w:t>
      </w:r>
    </w:p>
    <w:p w14:paraId="17F16542" w14:textId="3C6CE4CC" w:rsidR="00A57D68" w:rsidRPr="002749BC" w:rsidRDefault="005918D5" w:rsidP="00EB079F">
      <w:pPr>
        <w:pStyle w:val="BodyText"/>
      </w:pPr>
      <w:r>
        <w:rPr>
          <w:lang w:eastAsia="en-US"/>
        </w:rPr>
        <w:t xml:space="preserve">Synergies considers that applying the ATAP Guidelines in a telecommunications context as described here is both reasonable and defensible, while acknowledging that this benefit transfer approach would introduce some degree of imprecision. </w:t>
      </w:r>
      <w:r w:rsidR="009E02D8">
        <w:rPr>
          <w:lang w:eastAsia="en-US"/>
        </w:rPr>
        <w:t>Synergies also provides advice in the report on how to conduct bespoke research.</w:t>
      </w:r>
      <w:r w:rsidR="009E02D8" w:rsidRPr="0052496B" w:rsidDel="009E02D8">
        <w:t xml:space="preserve"> </w:t>
      </w:r>
    </w:p>
    <w:p w14:paraId="22C64515" w14:textId="77777777" w:rsidR="00A57D68" w:rsidRPr="002749BC" w:rsidRDefault="00A57D68" w:rsidP="00EB079F">
      <w:pPr>
        <w:pStyle w:val="Contents"/>
      </w:pPr>
      <w:r w:rsidRPr="002749BC">
        <w:br w:type="page"/>
      </w:r>
      <w:r w:rsidRPr="002749BC">
        <w:lastRenderedPageBreak/>
        <w:t>Contents</w:t>
      </w:r>
    </w:p>
    <w:p w14:paraId="62C1F901" w14:textId="1DCFACDF" w:rsidR="00320F86" w:rsidRDefault="00A57D68">
      <w:pPr>
        <w:pStyle w:val="TOC1"/>
        <w:rPr>
          <w:rFonts w:asciiTheme="minorHAnsi" w:eastAsiaTheme="minorEastAsia" w:hAnsiTheme="minorHAnsi" w:cstheme="minorBidi"/>
          <w:b w:val="0"/>
          <w:bCs w:val="0"/>
          <w:szCs w:val="22"/>
          <w:lang w:val="en-AU" w:eastAsia="en-AU"/>
        </w:rPr>
      </w:pPr>
      <w:r w:rsidRPr="002749BC">
        <w:rPr>
          <w:lang w:val="en-AU"/>
        </w:rPr>
        <w:fldChar w:fldCharType="begin"/>
      </w:r>
      <w:r w:rsidRPr="002749BC">
        <w:rPr>
          <w:lang w:val="en-AU"/>
        </w:rPr>
        <w:instrText xml:space="preserve"> TOC \o "1-2" \t "Heading 1,1,Heading 2,2,Heading 7,1,Heading 1 (no number),1,Heading 2 (no number),2" </w:instrText>
      </w:r>
      <w:r w:rsidRPr="002749BC">
        <w:rPr>
          <w:lang w:val="en-AU"/>
        </w:rPr>
        <w:fldChar w:fldCharType="separate"/>
      </w:r>
      <w:r w:rsidR="00320F86">
        <w:t>Executive Summary</w:t>
      </w:r>
      <w:r w:rsidR="00320F86">
        <w:tab/>
      </w:r>
      <w:r w:rsidR="00320F86">
        <w:fldChar w:fldCharType="begin"/>
      </w:r>
      <w:r w:rsidR="00320F86">
        <w:instrText xml:space="preserve"> PAGEREF _Toc12387751 \h </w:instrText>
      </w:r>
      <w:r w:rsidR="00320F86">
        <w:fldChar w:fldCharType="separate"/>
      </w:r>
      <w:r w:rsidR="00176422">
        <w:t>3</w:t>
      </w:r>
      <w:r w:rsidR="00320F86">
        <w:fldChar w:fldCharType="end"/>
      </w:r>
    </w:p>
    <w:p w14:paraId="467A822A" w14:textId="4B75CE28" w:rsidR="00320F86" w:rsidRDefault="00320F86">
      <w:pPr>
        <w:pStyle w:val="TOC1"/>
        <w:rPr>
          <w:rFonts w:asciiTheme="minorHAnsi" w:eastAsiaTheme="minorEastAsia" w:hAnsiTheme="minorHAnsi" w:cstheme="minorBidi"/>
          <w:b w:val="0"/>
          <w:bCs w:val="0"/>
          <w:szCs w:val="22"/>
          <w:lang w:val="en-AU" w:eastAsia="en-AU"/>
        </w:rPr>
      </w:pPr>
      <w:r>
        <w:t>1</w:t>
      </w:r>
      <w:r>
        <w:rPr>
          <w:rFonts w:asciiTheme="minorHAnsi" w:eastAsiaTheme="minorEastAsia" w:hAnsiTheme="minorHAnsi" w:cstheme="minorBidi"/>
          <w:b w:val="0"/>
          <w:bCs w:val="0"/>
          <w:szCs w:val="22"/>
          <w:lang w:val="en-AU" w:eastAsia="en-AU"/>
        </w:rPr>
        <w:tab/>
      </w:r>
      <w:r>
        <w:t>Introduction</w:t>
      </w:r>
      <w:r>
        <w:tab/>
      </w:r>
      <w:r>
        <w:fldChar w:fldCharType="begin"/>
      </w:r>
      <w:r>
        <w:instrText xml:space="preserve"> PAGEREF _Toc12387752 \h </w:instrText>
      </w:r>
      <w:r>
        <w:fldChar w:fldCharType="separate"/>
      </w:r>
      <w:r w:rsidR="00176422">
        <w:t>10</w:t>
      </w:r>
      <w:r>
        <w:fldChar w:fldCharType="end"/>
      </w:r>
    </w:p>
    <w:p w14:paraId="64E06730" w14:textId="1F75800B" w:rsidR="00320F86" w:rsidRDefault="00320F86">
      <w:pPr>
        <w:pStyle w:val="TOC1"/>
        <w:rPr>
          <w:rFonts w:asciiTheme="minorHAnsi" w:eastAsiaTheme="minorEastAsia" w:hAnsiTheme="minorHAnsi" w:cstheme="minorBidi"/>
          <w:b w:val="0"/>
          <w:bCs w:val="0"/>
          <w:szCs w:val="22"/>
          <w:lang w:val="en-AU" w:eastAsia="en-AU"/>
        </w:rPr>
      </w:pPr>
      <w:r>
        <w:t>2</w:t>
      </w:r>
      <w:r>
        <w:rPr>
          <w:rFonts w:asciiTheme="minorHAnsi" w:eastAsiaTheme="minorEastAsia" w:hAnsiTheme="minorHAnsi" w:cstheme="minorBidi"/>
          <w:b w:val="0"/>
          <w:bCs w:val="0"/>
          <w:szCs w:val="22"/>
          <w:lang w:val="en-AU" w:eastAsia="en-AU"/>
        </w:rPr>
        <w:tab/>
      </w:r>
      <w:r>
        <w:t>Non-market valuation</w:t>
      </w:r>
      <w:r>
        <w:tab/>
      </w:r>
      <w:r>
        <w:fldChar w:fldCharType="begin"/>
      </w:r>
      <w:r>
        <w:instrText xml:space="preserve"> PAGEREF _Toc12387753 \h </w:instrText>
      </w:r>
      <w:r>
        <w:fldChar w:fldCharType="separate"/>
      </w:r>
      <w:r w:rsidR="00176422">
        <w:t>12</w:t>
      </w:r>
      <w:r>
        <w:fldChar w:fldCharType="end"/>
      </w:r>
    </w:p>
    <w:p w14:paraId="0FE385CA" w14:textId="430050FB" w:rsidR="00320F86" w:rsidRDefault="00320F86">
      <w:pPr>
        <w:pStyle w:val="TOC2"/>
        <w:rPr>
          <w:rFonts w:asciiTheme="minorHAnsi" w:eastAsiaTheme="minorEastAsia" w:hAnsiTheme="minorHAnsi" w:cstheme="minorBidi"/>
          <w:szCs w:val="22"/>
          <w:lang w:val="en-AU" w:eastAsia="en-AU"/>
        </w:rPr>
      </w:pPr>
      <w:r>
        <w:t>2.1</w:t>
      </w:r>
      <w:r>
        <w:rPr>
          <w:rFonts w:asciiTheme="minorHAnsi" w:eastAsiaTheme="minorEastAsia" w:hAnsiTheme="minorHAnsi" w:cstheme="minorBidi"/>
          <w:szCs w:val="22"/>
          <w:lang w:val="en-AU" w:eastAsia="en-AU"/>
        </w:rPr>
        <w:tab/>
      </w:r>
      <w:r>
        <w:t>The role of non-market valuation</w:t>
      </w:r>
      <w:r>
        <w:tab/>
      </w:r>
      <w:r>
        <w:fldChar w:fldCharType="begin"/>
      </w:r>
      <w:r>
        <w:instrText xml:space="preserve"> PAGEREF _Toc12387754 \h </w:instrText>
      </w:r>
      <w:r>
        <w:fldChar w:fldCharType="separate"/>
      </w:r>
      <w:r w:rsidR="00176422">
        <w:t>12</w:t>
      </w:r>
      <w:r>
        <w:fldChar w:fldCharType="end"/>
      </w:r>
    </w:p>
    <w:p w14:paraId="269058B2" w14:textId="0AC714CD" w:rsidR="00320F86" w:rsidRDefault="00320F86">
      <w:pPr>
        <w:pStyle w:val="TOC2"/>
        <w:rPr>
          <w:rFonts w:asciiTheme="minorHAnsi" w:eastAsiaTheme="minorEastAsia" w:hAnsiTheme="minorHAnsi" w:cstheme="minorBidi"/>
          <w:szCs w:val="22"/>
          <w:lang w:val="en-AU" w:eastAsia="en-AU"/>
        </w:rPr>
      </w:pPr>
      <w:r>
        <w:t>2.2</w:t>
      </w:r>
      <w:r>
        <w:rPr>
          <w:rFonts w:asciiTheme="minorHAnsi" w:eastAsiaTheme="minorEastAsia" w:hAnsiTheme="minorHAnsi" w:cstheme="minorBidi"/>
          <w:szCs w:val="22"/>
          <w:lang w:val="en-AU" w:eastAsia="en-AU"/>
        </w:rPr>
        <w:tab/>
      </w:r>
      <w:r>
        <w:t>Techniques</w:t>
      </w:r>
      <w:r>
        <w:tab/>
      </w:r>
      <w:r>
        <w:fldChar w:fldCharType="begin"/>
      </w:r>
      <w:r>
        <w:instrText xml:space="preserve"> PAGEREF _Toc12387755 \h </w:instrText>
      </w:r>
      <w:r>
        <w:fldChar w:fldCharType="separate"/>
      </w:r>
      <w:r w:rsidR="00176422">
        <w:t>12</w:t>
      </w:r>
      <w:r>
        <w:fldChar w:fldCharType="end"/>
      </w:r>
    </w:p>
    <w:p w14:paraId="0AA774FE" w14:textId="6FD41509" w:rsidR="00320F86" w:rsidRDefault="00320F86">
      <w:pPr>
        <w:pStyle w:val="TOC1"/>
        <w:rPr>
          <w:rFonts w:asciiTheme="minorHAnsi" w:eastAsiaTheme="minorEastAsia" w:hAnsiTheme="minorHAnsi" w:cstheme="minorBidi"/>
          <w:b w:val="0"/>
          <w:bCs w:val="0"/>
          <w:szCs w:val="22"/>
          <w:lang w:val="en-AU" w:eastAsia="en-AU"/>
        </w:rPr>
      </w:pPr>
      <w:r>
        <w:t>3</w:t>
      </w:r>
      <w:r>
        <w:rPr>
          <w:rFonts w:asciiTheme="minorHAnsi" w:eastAsiaTheme="minorEastAsia" w:hAnsiTheme="minorHAnsi" w:cstheme="minorBidi"/>
          <w:b w:val="0"/>
          <w:bCs w:val="0"/>
          <w:szCs w:val="22"/>
          <w:lang w:val="en-AU" w:eastAsia="en-AU"/>
        </w:rPr>
        <w:tab/>
      </w:r>
      <w:r>
        <w:t>Literature Review – Value of Time</w:t>
      </w:r>
      <w:r>
        <w:tab/>
      </w:r>
      <w:r>
        <w:fldChar w:fldCharType="begin"/>
      </w:r>
      <w:r>
        <w:instrText xml:space="preserve"> PAGEREF _Toc12387756 \h </w:instrText>
      </w:r>
      <w:r>
        <w:fldChar w:fldCharType="separate"/>
      </w:r>
      <w:r w:rsidR="00176422">
        <w:t>21</w:t>
      </w:r>
      <w:r>
        <w:fldChar w:fldCharType="end"/>
      </w:r>
    </w:p>
    <w:p w14:paraId="553FDCF5" w14:textId="42251EB3" w:rsidR="00320F86" w:rsidRDefault="00320F86">
      <w:pPr>
        <w:pStyle w:val="TOC2"/>
        <w:rPr>
          <w:rFonts w:asciiTheme="minorHAnsi" w:eastAsiaTheme="minorEastAsia" w:hAnsiTheme="minorHAnsi" w:cstheme="minorBidi"/>
          <w:szCs w:val="22"/>
          <w:lang w:val="en-AU" w:eastAsia="en-AU"/>
        </w:rPr>
      </w:pPr>
      <w:r>
        <w:t>3.1</w:t>
      </w:r>
      <w:r>
        <w:rPr>
          <w:rFonts w:asciiTheme="minorHAnsi" w:eastAsiaTheme="minorEastAsia" w:hAnsiTheme="minorHAnsi" w:cstheme="minorBidi"/>
          <w:szCs w:val="22"/>
          <w:lang w:val="en-AU" w:eastAsia="en-AU"/>
        </w:rPr>
        <w:tab/>
      </w:r>
      <w:r>
        <w:t>Findings</w:t>
      </w:r>
      <w:r>
        <w:tab/>
      </w:r>
      <w:r>
        <w:fldChar w:fldCharType="begin"/>
      </w:r>
      <w:r>
        <w:instrText xml:space="preserve"> PAGEREF _Toc12387757 \h </w:instrText>
      </w:r>
      <w:r>
        <w:fldChar w:fldCharType="separate"/>
      </w:r>
      <w:r w:rsidR="00176422">
        <w:t>21</w:t>
      </w:r>
      <w:r>
        <w:fldChar w:fldCharType="end"/>
      </w:r>
    </w:p>
    <w:p w14:paraId="0E0C950C" w14:textId="09411947" w:rsidR="00320F86" w:rsidRDefault="00320F86">
      <w:pPr>
        <w:pStyle w:val="TOC2"/>
        <w:rPr>
          <w:rFonts w:asciiTheme="minorHAnsi" w:eastAsiaTheme="minorEastAsia" w:hAnsiTheme="minorHAnsi" w:cstheme="minorBidi"/>
          <w:szCs w:val="22"/>
          <w:lang w:val="en-AU" w:eastAsia="en-AU"/>
        </w:rPr>
      </w:pPr>
      <w:r>
        <w:t>3.2</w:t>
      </w:r>
      <w:r>
        <w:rPr>
          <w:rFonts w:asciiTheme="minorHAnsi" w:eastAsiaTheme="minorEastAsia" w:hAnsiTheme="minorHAnsi" w:cstheme="minorBidi"/>
          <w:szCs w:val="22"/>
          <w:lang w:val="en-AU" w:eastAsia="en-AU"/>
        </w:rPr>
        <w:tab/>
      </w:r>
      <w:r>
        <w:t>Studies considered</w:t>
      </w:r>
      <w:r>
        <w:tab/>
      </w:r>
      <w:r>
        <w:fldChar w:fldCharType="begin"/>
      </w:r>
      <w:r>
        <w:instrText xml:space="preserve"> PAGEREF _Toc12387758 \h </w:instrText>
      </w:r>
      <w:r>
        <w:fldChar w:fldCharType="separate"/>
      </w:r>
      <w:r w:rsidR="00176422">
        <w:t>23</w:t>
      </w:r>
      <w:r>
        <w:fldChar w:fldCharType="end"/>
      </w:r>
    </w:p>
    <w:p w14:paraId="13BEB25F" w14:textId="7A801179" w:rsidR="00320F86" w:rsidRDefault="00320F86">
      <w:pPr>
        <w:pStyle w:val="TOC1"/>
        <w:rPr>
          <w:rFonts w:asciiTheme="minorHAnsi" w:eastAsiaTheme="minorEastAsia" w:hAnsiTheme="minorHAnsi" w:cstheme="minorBidi"/>
          <w:b w:val="0"/>
          <w:bCs w:val="0"/>
          <w:szCs w:val="22"/>
          <w:lang w:val="en-AU" w:eastAsia="en-AU"/>
        </w:rPr>
      </w:pPr>
      <w:r>
        <w:t>4</w:t>
      </w:r>
      <w:r>
        <w:rPr>
          <w:rFonts w:asciiTheme="minorHAnsi" w:eastAsiaTheme="minorEastAsia" w:hAnsiTheme="minorHAnsi" w:cstheme="minorBidi"/>
          <w:b w:val="0"/>
          <w:bCs w:val="0"/>
          <w:szCs w:val="22"/>
          <w:lang w:val="en-AU" w:eastAsia="en-AU"/>
        </w:rPr>
        <w:tab/>
      </w:r>
      <w:r>
        <w:t>Literature Review: Value of reliability</w:t>
      </w:r>
      <w:r>
        <w:tab/>
      </w:r>
      <w:r>
        <w:fldChar w:fldCharType="begin"/>
      </w:r>
      <w:r>
        <w:instrText xml:space="preserve"> PAGEREF _Toc12387759 \h </w:instrText>
      </w:r>
      <w:r>
        <w:fldChar w:fldCharType="separate"/>
      </w:r>
      <w:r w:rsidR="00176422">
        <w:t>28</w:t>
      </w:r>
      <w:r>
        <w:fldChar w:fldCharType="end"/>
      </w:r>
    </w:p>
    <w:p w14:paraId="15CDA528" w14:textId="3A92CAFF" w:rsidR="00320F86" w:rsidRDefault="00320F86">
      <w:pPr>
        <w:pStyle w:val="TOC2"/>
        <w:rPr>
          <w:rFonts w:asciiTheme="minorHAnsi" w:eastAsiaTheme="minorEastAsia" w:hAnsiTheme="minorHAnsi" w:cstheme="minorBidi"/>
          <w:szCs w:val="22"/>
          <w:lang w:val="en-AU" w:eastAsia="en-AU"/>
        </w:rPr>
      </w:pPr>
      <w:r>
        <w:t>4.1</w:t>
      </w:r>
      <w:r>
        <w:rPr>
          <w:rFonts w:asciiTheme="minorHAnsi" w:eastAsiaTheme="minorEastAsia" w:hAnsiTheme="minorHAnsi" w:cstheme="minorBidi"/>
          <w:szCs w:val="22"/>
          <w:lang w:val="en-AU" w:eastAsia="en-AU"/>
        </w:rPr>
        <w:tab/>
      </w:r>
      <w:r>
        <w:t>Findings</w:t>
      </w:r>
      <w:r>
        <w:tab/>
      </w:r>
      <w:r>
        <w:fldChar w:fldCharType="begin"/>
      </w:r>
      <w:r>
        <w:instrText xml:space="preserve"> PAGEREF _Toc12387760 \h </w:instrText>
      </w:r>
      <w:r>
        <w:fldChar w:fldCharType="separate"/>
      </w:r>
      <w:r w:rsidR="00176422">
        <w:t>28</w:t>
      </w:r>
      <w:r>
        <w:fldChar w:fldCharType="end"/>
      </w:r>
    </w:p>
    <w:p w14:paraId="0D459D51" w14:textId="2EE1F9B9" w:rsidR="00320F86" w:rsidRDefault="00320F86">
      <w:pPr>
        <w:pStyle w:val="TOC2"/>
        <w:rPr>
          <w:rFonts w:asciiTheme="minorHAnsi" w:eastAsiaTheme="minorEastAsia" w:hAnsiTheme="minorHAnsi" w:cstheme="minorBidi"/>
          <w:szCs w:val="22"/>
          <w:lang w:val="en-AU" w:eastAsia="en-AU"/>
        </w:rPr>
      </w:pPr>
      <w:r>
        <w:t>4.2</w:t>
      </w:r>
      <w:r>
        <w:rPr>
          <w:rFonts w:asciiTheme="minorHAnsi" w:eastAsiaTheme="minorEastAsia" w:hAnsiTheme="minorHAnsi" w:cstheme="minorBidi"/>
          <w:szCs w:val="22"/>
          <w:lang w:val="en-AU" w:eastAsia="en-AU"/>
        </w:rPr>
        <w:tab/>
      </w:r>
      <w:r>
        <w:t>Overview of studies</w:t>
      </w:r>
      <w:r>
        <w:tab/>
      </w:r>
      <w:r>
        <w:fldChar w:fldCharType="begin"/>
      </w:r>
      <w:r>
        <w:instrText xml:space="preserve"> PAGEREF _Toc12387761 \h </w:instrText>
      </w:r>
      <w:r>
        <w:fldChar w:fldCharType="separate"/>
      </w:r>
      <w:r w:rsidR="00176422">
        <w:t>32</w:t>
      </w:r>
      <w:r>
        <w:fldChar w:fldCharType="end"/>
      </w:r>
    </w:p>
    <w:p w14:paraId="42B0DF3A" w14:textId="08CCC28D" w:rsidR="00320F86" w:rsidRDefault="00320F86">
      <w:pPr>
        <w:pStyle w:val="TOC2"/>
        <w:rPr>
          <w:rFonts w:asciiTheme="minorHAnsi" w:eastAsiaTheme="minorEastAsia" w:hAnsiTheme="minorHAnsi" w:cstheme="minorBidi"/>
          <w:szCs w:val="22"/>
          <w:lang w:val="en-AU" w:eastAsia="en-AU"/>
        </w:rPr>
      </w:pPr>
      <w:r>
        <w:t>4.3</w:t>
      </w:r>
      <w:r>
        <w:rPr>
          <w:rFonts w:asciiTheme="minorHAnsi" w:eastAsiaTheme="minorEastAsia" w:hAnsiTheme="minorHAnsi" w:cstheme="minorBidi"/>
          <w:szCs w:val="22"/>
          <w:lang w:val="en-AU" w:eastAsia="en-AU"/>
        </w:rPr>
        <w:tab/>
      </w:r>
      <w:r>
        <w:t>Case study: SA reliability standards review</w:t>
      </w:r>
      <w:r>
        <w:tab/>
      </w:r>
      <w:r>
        <w:fldChar w:fldCharType="begin"/>
      </w:r>
      <w:r>
        <w:instrText xml:space="preserve"> PAGEREF _Toc12387762 \h </w:instrText>
      </w:r>
      <w:r>
        <w:fldChar w:fldCharType="separate"/>
      </w:r>
      <w:r w:rsidR="00176422">
        <w:t>37</w:t>
      </w:r>
      <w:r>
        <w:fldChar w:fldCharType="end"/>
      </w:r>
    </w:p>
    <w:p w14:paraId="167093C2" w14:textId="3679AAB1" w:rsidR="00320F86" w:rsidRDefault="00320F86">
      <w:pPr>
        <w:pStyle w:val="TOC1"/>
        <w:rPr>
          <w:rFonts w:asciiTheme="minorHAnsi" w:eastAsiaTheme="minorEastAsia" w:hAnsiTheme="minorHAnsi" w:cstheme="minorBidi"/>
          <w:b w:val="0"/>
          <w:bCs w:val="0"/>
          <w:szCs w:val="22"/>
          <w:lang w:val="en-AU" w:eastAsia="en-AU"/>
        </w:rPr>
      </w:pPr>
      <w:r>
        <w:t>5</w:t>
      </w:r>
      <w:r>
        <w:rPr>
          <w:rFonts w:asciiTheme="minorHAnsi" w:eastAsiaTheme="minorEastAsia" w:hAnsiTheme="minorHAnsi" w:cstheme="minorBidi"/>
          <w:b w:val="0"/>
          <w:bCs w:val="0"/>
          <w:szCs w:val="22"/>
          <w:lang w:val="en-AU" w:eastAsia="en-AU"/>
        </w:rPr>
        <w:tab/>
      </w:r>
      <w:r>
        <w:t>Benefit Transfer</w:t>
      </w:r>
      <w:r>
        <w:tab/>
      </w:r>
      <w:r>
        <w:fldChar w:fldCharType="begin"/>
      </w:r>
      <w:r>
        <w:instrText xml:space="preserve"> PAGEREF _Toc12387763 \h </w:instrText>
      </w:r>
      <w:r>
        <w:fldChar w:fldCharType="separate"/>
      </w:r>
      <w:r w:rsidR="00176422">
        <w:t>39</w:t>
      </w:r>
      <w:r>
        <w:fldChar w:fldCharType="end"/>
      </w:r>
    </w:p>
    <w:p w14:paraId="77E12B3A" w14:textId="137C3F91" w:rsidR="00320F86" w:rsidRDefault="00320F86">
      <w:pPr>
        <w:pStyle w:val="TOC2"/>
        <w:rPr>
          <w:rFonts w:asciiTheme="minorHAnsi" w:eastAsiaTheme="minorEastAsia" w:hAnsiTheme="minorHAnsi" w:cstheme="minorBidi"/>
          <w:szCs w:val="22"/>
          <w:lang w:val="en-AU" w:eastAsia="en-AU"/>
        </w:rPr>
      </w:pPr>
      <w:r>
        <w:t>5.1</w:t>
      </w:r>
      <w:r>
        <w:rPr>
          <w:rFonts w:asciiTheme="minorHAnsi" w:eastAsiaTheme="minorEastAsia" w:hAnsiTheme="minorHAnsi" w:cstheme="minorBidi"/>
          <w:szCs w:val="22"/>
          <w:lang w:val="en-AU" w:eastAsia="en-AU"/>
        </w:rPr>
        <w:tab/>
      </w:r>
      <w:r>
        <w:t>Opportunities for benefit transfer</w:t>
      </w:r>
      <w:r>
        <w:tab/>
      </w:r>
      <w:r>
        <w:fldChar w:fldCharType="begin"/>
      </w:r>
      <w:r>
        <w:instrText xml:space="preserve"> PAGEREF _Toc12387764 \h </w:instrText>
      </w:r>
      <w:r>
        <w:fldChar w:fldCharType="separate"/>
      </w:r>
      <w:r w:rsidR="00176422">
        <w:t>39</w:t>
      </w:r>
      <w:r>
        <w:fldChar w:fldCharType="end"/>
      </w:r>
    </w:p>
    <w:p w14:paraId="1444414A" w14:textId="40EB5415" w:rsidR="00320F86" w:rsidRDefault="00320F86">
      <w:pPr>
        <w:pStyle w:val="TOC2"/>
        <w:rPr>
          <w:rFonts w:asciiTheme="minorHAnsi" w:eastAsiaTheme="minorEastAsia" w:hAnsiTheme="minorHAnsi" w:cstheme="minorBidi"/>
          <w:szCs w:val="22"/>
          <w:lang w:val="en-AU" w:eastAsia="en-AU"/>
        </w:rPr>
      </w:pPr>
      <w:r>
        <w:t>5.2</w:t>
      </w:r>
      <w:r>
        <w:rPr>
          <w:rFonts w:asciiTheme="minorHAnsi" w:eastAsiaTheme="minorEastAsia" w:hAnsiTheme="minorHAnsi" w:cstheme="minorBidi"/>
          <w:szCs w:val="22"/>
          <w:lang w:val="en-AU" w:eastAsia="en-AU"/>
        </w:rPr>
        <w:tab/>
      </w:r>
      <w:r>
        <w:t>Overview of the ATAP time valuation framework</w:t>
      </w:r>
      <w:r>
        <w:tab/>
      </w:r>
      <w:r>
        <w:fldChar w:fldCharType="begin"/>
      </w:r>
      <w:r>
        <w:instrText xml:space="preserve"> PAGEREF _Toc12387765 \h </w:instrText>
      </w:r>
      <w:r>
        <w:fldChar w:fldCharType="separate"/>
      </w:r>
      <w:r w:rsidR="00176422">
        <w:t>39</w:t>
      </w:r>
      <w:r>
        <w:fldChar w:fldCharType="end"/>
      </w:r>
    </w:p>
    <w:p w14:paraId="1989790B" w14:textId="336907F2" w:rsidR="00320F86" w:rsidRDefault="00320F86">
      <w:pPr>
        <w:pStyle w:val="TOC2"/>
        <w:rPr>
          <w:rFonts w:asciiTheme="minorHAnsi" w:eastAsiaTheme="minorEastAsia" w:hAnsiTheme="minorHAnsi" w:cstheme="minorBidi"/>
          <w:szCs w:val="22"/>
          <w:lang w:val="en-AU" w:eastAsia="en-AU"/>
        </w:rPr>
      </w:pPr>
      <w:r>
        <w:t>5.3</w:t>
      </w:r>
      <w:r>
        <w:rPr>
          <w:rFonts w:asciiTheme="minorHAnsi" w:eastAsiaTheme="minorEastAsia" w:hAnsiTheme="minorHAnsi" w:cstheme="minorBidi"/>
          <w:szCs w:val="22"/>
          <w:lang w:val="en-AU" w:eastAsia="en-AU"/>
        </w:rPr>
        <w:tab/>
      </w:r>
      <w:r>
        <w:t>Application of ATAP Guidelines to customer wait times</w:t>
      </w:r>
      <w:r>
        <w:tab/>
      </w:r>
      <w:r>
        <w:fldChar w:fldCharType="begin"/>
      </w:r>
      <w:r>
        <w:instrText xml:space="preserve"> PAGEREF _Toc12387766 \h </w:instrText>
      </w:r>
      <w:r>
        <w:fldChar w:fldCharType="separate"/>
      </w:r>
      <w:r w:rsidR="00176422">
        <w:t>40</w:t>
      </w:r>
      <w:r>
        <w:fldChar w:fldCharType="end"/>
      </w:r>
    </w:p>
    <w:p w14:paraId="49F56793" w14:textId="67E22D91" w:rsidR="00320F86" w:rsidRDefault="00320F86">
      <w:pPr>
        <w:pStyle w:val="TOC2"/>
        <w:rPr>
          <w:rFonts w:asciiTheme="minorHAnsi" w:eastAsiaTheme="minorEastAsia" w:hAnsiTheme="minorHAnsi" w:cstheme="minorBidi"/>
          <w:szCs w:val="22"/>
          <w:lang w:val="en-AU" w:eastAsia="en-AU"/>
        </w:rPr>
      </w:pPr>
      <w:r>
        <w:t>5.4</w:t>
      </w:r>
      <w:r>
        <w:rPr>
          <w:rFonts w:asciiTheme="minorHAnsi" w:eastAsiaTheme="minorEastAsia" w:hAnsiTheme="minorHAnsi" w:cstheme="minorBidi"/>
          <w:szCs w:val="22"/>
          <w:lang w:val="en-AU" w:eastAsia="en-AU"/>
        </w:rPr>
        <w:tab/>
      </w:r>
      <w:r>
        <w:t>Calculating the values</w:t>
      </w:r>
      <w:r>
        <w:tab/>
      </w:r>
      <w:r>
        <w:fldChar w:fldCharType="begin"/>
      </w:r>
      <w:r>
        <w:instrText xml:space="preserve"> PAGEREF _Toc12387767 \h </w:instrText>
      </w:r>
      <w:r>
        <w:fldChar w:fldCharType="separate"/>
      </w:r>
      <w:r w:rsidR="00176422">
        <w:t>43</w:t>
      </w:r>
      <w:r>
        <w:fldChar w:fldCharType="end"/>
      </w:r>
    </w:p>
    <w:p w14:paraId="66933E4D" w14:textId="2064B57C" w:rsidR="00320F86" w:rsidRDefault="00320F86">
      <w:pPr>
        <w:pStyle w:val="TOC2"/>
        <w:rPr>
          <w:rFonts w:asciiTheme="minorHAnsi" w:eastAsiaTheme="minorEastAsia" w:hAnsiTheme="minorHAnsi" w:cstheme="minorBidi"/>
          <w:szCs w:val="22"/>
          <w:lang w:val="en-AU" w:eastAsia="en-AU"/>
        </w:rPr>
      </w:pPr>
      <w:r>
        <w:t>5.5</w:t>
      </w:r>
      <w:r>
        <w:rPr>
          <w:rFonts w:asciiTheme="minorHAnsi" w:eastAsiaTheme="minorEastAsia" w:hAnsiTheme="minorHAnsi" w:cstheme="minorBidi"/>
          <w:szCs w:val="22"/>
          <w:lang w:val="en-AU" w:eastAsia="en-AU"/>
        </w:rPr>
        <w:tab/>
      </w:r>
      <w:r>
        <w:t>Defensibility</w:t>
      </w:r>
      <w:r>
        <w:tab/>
      </w:r>
      <w:r>
        <w:fldChar w:fldCharType="begin"/>
      </w:r>
      <w:r>
        <w:instrText xml:space="preserve"> PAGEREF _Toc12387768 \h </w:instrText>
      </w:r>
      <w:r>
        <w:fldChar w:fldCharType="separate"/>
      </w:r>
      <w:r w:rsidR="00176422">
        <w:t>44</w:t>
      </w:r>
      <w:r>
        <w:fldChar w:fldCharType="end"/>
      </w:r>
    </w:p>
    <w:p w14:paraId="39CA1040" w14:textId="038616C5" w:rsidR="00320F86" w:rsidRDefault="00320F86">
      <w:pPr>
        <w:pStyle w:val="TOC1"/>
        <w:rPr>
          <w:rFonts w:asciiTheme="minorHAnsi" w:eastAsiaTheme="minorEastAsia" w:hAnsiTheme="minorHAnsi" w:cstheme="minorBidi"/>
          <w:b w:val="0"/>
          <w:bCs w:val="0"/>
          <w:szCs w:val="22"/>
          <w:lang w:val="en-AU" w:eastAsia="en-AU"/>
        </w:rPr>
      </w:pPr>
      <w:r>
        <w:t>6</w:t>
      </w:r>
      <w:r>
        <w:rPr>
          <w:rFonts w:asciiTheme="minorHAnsi" w:eastAsiaTheme="minorEastAsia" w:hAnsiTheme="minorHAnsi" w:cstheme="minorBidi"/>
          <w:b w:val="0"/>
          <w:bCs w:val="0"/>
          <w:szCs w:val="22"/>
          <w:lang w:val="en-AU" w:eastAsia="en-AU"/>
        </w:rPr>
        <w:tab/>
      </w:r>
      <w:r>
        <w:t>Guidance for conducting bespoke primary research</w:t>
      </w:r>
      <w:r>
        <w:tab/>
      </w:r>
      <w:r>
        <w:fldChar w:fldCharType="begin"/>
      </w:r>
      <w:r>
        <w:instrText xml:space="preserve"> PAGEREF _Toc12387769 \h </w:instrText>
      </w:r>
      <w:r>
        <w:fldChar w:fldCharType="separate"/>
      </w:r>
      <w:r w:rsidR="00176422">
        <w:t>46</w:t>
      </w:r>
      <w:r>
        <w:fldChar w:fldCharType="end"/>
      </w:r>
    </w:p>
    <w:p w14:paraId="17DE3FE5" w14:textId="0903DED5" w:rsidR="00320F86" w:rsidRDefault="00320F86">
      <w:pPr>
        <w:pStyle w:val="TOC2"/>
        <w:rPr>
          <w:rFonts w:asciiTheme="minorHAnsi" w:eastAsiaTheme="minorEastAsia" w:hAnsiTheme="minorHAnsi" w:cstheme="minorBidi"/>
          <w:szCs w:val="22"/>
          <w:lang w:val="en-AU" w:eastAsia="en-AU"/>
        </w:rPr>
      </w:pPr>
      <w:r>
        <w:t>6.1</w:t>
      </w:r>
      <w:r>
        <w:rPr>
          <w:rFonts w:asciiTheme="minorHAnsi" w:eastAsiaTheme="minorEastAsia" w:hAnsiTheme="minorHAnsi" w:cstheme="minorBidi"/>
          <w:szCs w:val="22"/>
          <w:lang w:val="en-AU" w:eastAsia="en-AU"/>
        </w:rPr>
        <w:tab/>
      </w:r>
      <w:r>
        <w:t>Scope of guidance</w:t>
      </w:r>
      <w:r>
        <w:tab/>
      </w:r>
      <w:r>
        <w:fldChar w:fldCharType="begin"/>
      </w:r>
      <w:r>
        <w:instrText xml:space="preserve"> PAGEREF _Toc12387770 \h </w:instrText>
      </w:r>
      <w:r>
        <w:fldChar w:fldCharType="separate"/>
      </w:r>
      <w:r w:rsidR="00176422">
        <w:t>46</w:t>
      </w:r>
      <w:r>
        <w:fldChar w:fldCharType="end"/>
      </w:r>
    </w:p>
    <w:p w14:paraId="4445E319" w14:textId="0A65B93B" w:rsidR="00320F86" w:rsidRDefault="00320F86">
      <w:pPr>
        <w:pStyle w:val="TOC2"/>
        <w:rPr>
          <w:rFonts w:asciiTheme="minorHAnsi" w:eastAsiaTheme="minorEastAsia" w:hAnsiTheme="minorHAnsi" w:cstheme="minorBidi"/>
          <w:szCs w:val="22"/>
          <w:lang w:val="en-AU" w:eastAsia="en-AU"/>
        </w:rPr>
      </w:pPr>
      <w:r>
        <w:t>6.2</w:t>
      </w:r>
      <w:r>
        <w:rPr>
          <w:rFonts w:asciiTheme="minorHAnsi" w:eastAsiaTheme="minorEastAsia" w:hAnsiTheme="minorHAnsi" w:cstheme="minorBidi"/>
          <w:szCs w:val="22"/>
          <w:lang w:val="en-AU" w:eastAsia="en-AU"/>
        </w:rPr>
        <w:tab/>
      </w:r>
      <w:r>
        <w:t>Valuation approach</w:t>
      </w:r>
      <w:r>
        <w:tab/>
      </w:r>
      <w:r>
        <w:fldChar w:fldCharType="begin"/>
      </w:r>
      <w:r>
        <w:instrText xml:space="preserve"> PAGEREF _Toc12387771 \h </w:instrText>
      </w:r>
      <w:r>
        <w:fldChar w:fldCharType="separate"/>
      </w:r>
      <w:r w:rsidR="00176422">
        <w:t>47</w:t>
      </w:r>
      <w:r>
        <w:fldChar w:fldCharType="end"/>
      </w:r>
    </w:p>
    <w:p w14:paraId="482604AE" w14:textId="67940DDF" w:rsidR="00320F86" w:rsidRDefault="00320F86">
      <w:pPr>
        <w:pStyle w:val="TOC2"/>
        <w:rPr>
          <w:rFonts w:asciiTheme="minorHAnsi" w:eastAsiaTheme="minorEastAsia" w:hAnsiTheme="minorHAnsi" w:cstheme="minorBidi"/>
          <w:szCs w:val="22"/>
          <w:lang w:val="en-AU" w:eastAsia="en-AU"/>
        </w:rPr>
      </w:pPr>
      <w:r>
        <w:t>6.3</w:t>
      </w:r>
      <w:r>
        <w:rPr>
          <w:rFonts w:asciiTheme="minorHAnsi" w:eastAsiaTheme="minorEastAsia" w:hAnsiTheme="minorHAnsi" w:cstheme="minorBidi"/>
          <w:szCs w:val="22"/>
          <w:lang w:val="en-AU" w:eastAsia="en-AU"/>
        </w:rPr>
        <w:tab/>
      </w:r>
      <w:r>
        <w:t>Methodological considerations</w:t>
      </w:r>
      <w:r>
        <w:tab/>
      </w:r>
      <w:r>
        <w:fldChar w:fldCharType="begin"/>
      </w:r>
      <w:r>
        <w:instrText xml:space="preserve"> PAGEREF _Toc12387772 \h </w:instrText>
      </w:r>
      <w:r>
        <w:fldChar w:fldCharType="separate"/>
      </w:r>
      <w:r w:rsidR="00176422">
        <w:t>48</w:t>
      </w:r>
      <w:r>
        <w:fldChar w:fldCharType="end"/>
      </w:r>
    </w:p>
    <w:p w14:paraId="758E75CD" w14:textId="695761A2" w:rsidR="00320F86" w:rsidRDefault="00320F86">
      <w:pPr>
        <w:pStyle w:val="TOC1"/>
        <w:rPr>
          <w:rFonts w:asciiTheme="minorHAnsi" w:eastAsiaTheme="minorEastAsia" w:hAnsiTheme="minorHAnsi" w:cstheme="minorBidi"/>
          <w:b w:val="0"/>
          <w:bCs w:val="0"/>
          <w:szCs w:val="22"/>
          <w:lang w:val="en-AU" w:eastAsia="en-AU"/>
        </w:rPr>
      </w:pPr>
      <w:r>
        <w:t>7</w:t>
      </w:r>
      <w:r>
        <w:rPr>
          <w:rFonts w:asciiTheme="minorHAnsi" w:eastAsiaTheme="minorEastAsia" w:hAnsiTheme="minorHAnsi" w:cstheme="minorBidi"/>
          <w:b w:val="0"/>
          <w:bCs w:val="0"/>
          <w:szCs w:val="22"/>
          <w:lang w:val="en-AU" w:eastAsia="en-AU"/>
        </w:rPr>
        <w:tab/>
      </w:r>
      <w:r>
        <w:t>References</w:t>
      </w:r>
      <w:r>
        <w:tab/>
      </w:r>
      <w:r>
        <w:fldChar w:fldCharType="begin"/>
      </w:r>
      <w:r>
        <w:instrText xml:space="preserve"> PAGEREF _Toc12387773 \h </w:instrText>
      </w:r>
      <w:r>
        <w:fldChar w:fldCharType="separate"/>
      </w:r>
      <w:r w:rsidR="00176422">
        <w:t>50</w:t>
      </w:r>
      <w:r>
        <w:fldChar w:fldCharType="end"/>
      </w:r>
    </w:p>
    <w:p w14:paraId="754A3D91" w14:textId="234D89C8" w:rsidR="00320F86" w:rsidRDefault="00320F86">
      <w:pPr>
        <w:pStyle w:val="TOC1"/>
        <w:rPr>
          <w:rFonts w:asciiTheme="minorHAnsi" w:eastAsiaTheme="minorEastAsia" w:hAnsiTheme="minorHAnsi" w:cstheme="minorBidi"/>
          <w:b w:val="0"/>
          <w:bCs w:val="0"/>
          <w:szCs w:val="22"/>
          <w:lang w:val="en-AU" w:eastAsia="en-AU"/>
        </w:rPr>
      </w:pPr>
      <w:r>
        <w:t>8</w:t>
      </w:r>
      <w:r>
        <w:rPr>
          <w:rFonts w:asciiTheme="minorHAnsi" w:eastAsiaTheme="minorEastAsia" w:hAnsiTheme="minorHAnsi" w:cstheme="minorBidi"/>
          <w:b w:val="0"/>
          <w:bCs w:val="0"/>
          <w:szCs w:val="22"/>
          <w:lang w:val="en-AU" w:eastAsia="en-AU"/>
        </w:rPr>
        <w:tab/>
      </w:r>
      <w:r>
        <w:t>Appendices</w:t>
      </w:r>
      <w:r>
        <w:tab/>
      </w:r>
      <w:r>
        <w:fldChar w:fldCharType="begin"/>
      </w:r>
      <w:r>
        <w:instrText xml:space="preserve"> PAGEREF _Toc12387774 \h </w:instrText>
      </w:r>
      <w:r>
        <w:fldChar w:fldCharType="separate"/>
      </w:r>
      <w:r w:rsidR="00176422">
        <w:t>55</w:t>
      </w:r>
      <w:r>
        <w:fldChar w:fldCharType="end"/>
      </w:r>
    </w:p>
    <w:p w14:paraId="3C28ECDF" w14:textId="5F3D8D4A" w:rsidR="00320F86" w:rsidRDefault="00320F86">
      <w:pPr>
        <w:pStyle w:val="TOC1"/>
        <w:rPr>
          <w:rFonts w:asciiTheme="minorHAnsi" w:eastAsiaTheme="minorEastAsia" w:hAnsiTheme="minorHAnsi" w:cstheme="minorBidi"/>
          <w:b w:val="0"/>
          <w:bCs w:val="0"/>
          <w:szCs w:val="22"/>
          <w:lang w:val="en-AU" w:eastAsia="en-AU"/>
        </w:rPr>
      </w:pPr>
      <w:r>
        <w:t>A.</w:t>
      </w:r>
      <w:r>
        <w:rPr>
          <w:rFonts w:asciiTheme="minorHAnsi" w:eastAsiaTheme="minorEastAsia" w:hAnsiTheme="minorHAnsi" w:cstheme="minorBidi"/>
          <w:b w:val="0"/>
          <w:bCs w:val="0"/>
          <w:szCs w:val="22"/>
          <w:lang w:val="en-AU" w:eastAsia="en-AU"/>
        </w:rPr>
        <w:tab/>
      </w:r>
      <w:r>
        <w:t>Sample Choice Modelling Survey</w:t>
      </w:r>
      <w:r>
        <w:tab/>
      </w:r>
      <w:r>
        <w:fldChar w:fldCharType="begin"/>
      </w:r>
      <w:r>
        <w:instrText xml:space="preserve"> PAGEREF _Toc12387775 \h </w:instrText>
      </w:r>
      <w:r>
        <w:fldChar w:fldCharType="separate"/>
      </w:r>
      <w:r w:rsidR="00176422">
        <w:t>56</w:t>
      </w:r>
      <w:r>
        <w:fldChar w:fldCharType="end"/>
      </w:r>
    </w:p>
    <w:p w14:paraId="0913F0F8" w14:textId="7D6EED70" w:rsidR="00320F86" w:rsidRDefault="00320F86">
      <w:pPr>
        <w:pStyle w:val="TOC1"/>
        <w:rPr>
          <w:rFonts w:asciiTheme="minorHAnsi" w:eastAsiaTheme="minorEastAsia" w:hAnsiTheme="minorHAnsi" w:cstheme="minorBidi"/>
          <w:b w:val="0"/>
          <w:bCs w:val="0"/>
          <w:szCs w:val="22"/>
          <w:lang w:val="en-AU" w:eastAsia="en-AU"/>
        </w:rPr>
      </w:pPr>
      <w:r>
        <w:t>B.</w:t>
      </w:r>
      <w:r>
        <w:rPr>
          <w:rFonts w:asciiTheme="minorHAnsi" w:eastAsiaTheme="minorEastAsia" w:hAnsiTheme="minorHAnsi" w:cstheme="minorBidi"/>
          <w:b w:val="0"/>
          <w:bCs w:val="0"/>
          <w:szCs w:val="22"/>
          <w:lang w:val="en-AU" w:eastAsia="en-AU"/>
        </w:rPr>
        <w:tab/>
      </w:r>
      <w:r>
        <w:t>Income effects in benefit transfer</w:t>
      </w:r>
      <w:r>
        <w:tab/>
      </w:r>
      <w:r>
        <w:fldChar w:fldCharType="begin"/>
      </w:r>
      <w:r>
        <w:instrText xml:space="preserve"> PAGEREF _Toc12387776 \h </w:instrText>
      </w:r>
      <w:r>
        <w:fldChar w:fldCharType="separate"/>
      </w:r>
      <w:r w:rsidR="00176422">
        <w:t>57</w:t>
      </w:r>
      <w:r>
        <w:fldChar w:fldCharType="end"/>
      </w:r>
    </w:p>
    <w:p w14:paraId="5D101848" w14:textId="381C9829" w:rsidR="00320F86" w:rsidRDefault="00320F86">
      <w:pPr>
        <w:pStyle w:val="TOC1"/>
        <w:rPr>
          <w:rFonts w:asciiTheme="minorHAnsi" w:eastAsiaTheme="minorEastAsia" w:hAnsiTheme="minorHAnsi" w:cstheme="minorBidi"/>
          <w:b w:val="0"/>
          <w:bCs w:val="0"/>
          <w:szCs w:val="22"/>
          <w:lang w:val="en-AU" w:eastAsia="en-AU"/>
        </w:rPr>
      </w:pPr>
      <w:r>
        <w:lastRenderedPageBreak/>
        <w:t>C.</w:t>
      </w:r>
      <w:r>
        <w:rPr>
          <w:rFonts w:asciiTheme="minorHAnsi" w:eastAsiaTheme="minorEastAsia" w:hAnsiTheme="minorHAnsi" w:cstheme="minorBidi"/>
          <w:b w:val="0"/>
          <w:bCs w:val="0"/>
          <w:szCs w:val="22"/>
          <w:lang w:val="en-AU" w:eastAsia="en-AU"/>
        </w:rPr>
        <w:tab/>
      </w:r>
      <w:r>
        <w:t>Survey Design Considerations</w:t>
      </w:r>
      <w:r>
        <w:tab/>
      </w:r>
      <w:r>
        <w:fldChar w:fldCharType="begin"/>
      </w:r>
      <w:r>
        <w:instrText xml:space="preserve"> PAGEREF _Toc12387777 \h </w:instrText>
      </w:r>
      <w:r>
        <w:fldChar w:fldCharType="separate"/>
      </w:r>
      <w:r w:rsidR="00176422">
        <w:t>58</w:t>
      </w:r>
      <w:r>
        <w:fldChar w:fldCharType="end"/>
      </w:r>
    </w:p>
    <w:p w14:paraId="772C76DE" w14:textId="3A5B7C72" w:rsidR="00A57D68" w:rsidRPr="002749BC" w:rsidRDefault="00A57D68" w:rsidP="00EB079F">
      <w:pPr>
        <w:pStyle w:val="TOC1"/>
        <w:rPr>
          <w:lang w:val="en-AU"/>
        </w:rPr>
      </w:pPr>
      <w:r w:rsidRPr="002749BC">
        <w:rPr>
          <w:lang w:val="en-AU"/>
        </w:rPr>
        <w:fldChar w:fldCharType="end"/>
      </w:r>
    </w:p>
    <w:p w14:paraId="7FD92CBD" w14:textId="77777777" w:rsidR="00A57D68" w:rsidRPr="002749BC" w:rsidRDefault="00A57D68" w:rsidP="00EB079F">
      <w:pPr>
        <w:pStyle w:val="Contents"/>
      </w:pPr>
      <w:r w:rsidRPr="002749BC">
        <w:t>Figures and Tables</w:t>
      </w:r>
    </w:p>
    <w:p w14:paraId="3C2D515B" w14:textId="05D7E22F" w:rsidR="00320F86" w:rsidRDefault="00A57D68">
      <w:pPr>
        <w:pStyle w:val="TableofFigures"/>
        <w:rPr>
          <w:rFonts w:asciiTheme="minorHAnsi" w:eastAsiaTheme="minorEastAsia" w:hAnsiTheme="minorHAnsi" w:cstheme="minorBidi"/>
          <w:szCs w:val="22"/>
        </w:rPr>
      </w:pPr>
      <w:r w:rsidRPr="002749BC">
        <w:rPr>
          <w:b/>
          <w:szCs w:val="24"/>
        </w:rPr>
        <w:fldChar w:fldCharType="begin"/>
      </w:r>
      <w:r w:rsidRPr="002749BC">
        <w:instrText xml:space="preserve"> TOC \h \z \c "Figure" </w:instrText>
      </w:r>
      <w:r w:rsidRPr="002749BC">
        <w:rPr>
          <w:b/>
          <w:szCs w:val="24"/>
        </w:rPr>
        <w:fldChar w:fldCharType="separate"/>
      </w:r>
      <w:hyperlink w:anchor="_Toc12387778" w:history="1">
        <w:r w:rsidR="00320F86" w:rsidRPr="00F77DB1">
          <w:rPr>
            <w:rStyle w:val="Hyperlink"/>
          </w:rPr>
          <w:t>Figure 1</w:t>
        </w:r>
        <w:r w:rsidR="00320F86">
          <w:rPr>
            <w:rFonts w:asciiTheme="minorHAnsi" w:eastAsiaTheme="minorEastAsia" w:hAnsiTheme="minorHAnsi" w:cstheme="minorBidi"/>
            <w:szCs w:val="22"/>
          </w:rPr>
          <w:tab/>
        </w:r>
        <w:r w:rsidR="00320F86" w:rsidRPr="00F77DB1">
          <w:rPr>
            <w:rStyle w:val="Hyperlink"/>
          </w:rPr>
          <w:t>Classification of non-market valuation techniques</w:t>
        </w:r>
        <w:r w:rsidR="00320F86">
          <w:rPr>
            <w:webHidden/>
          </w:rPr>
          <w:tab/>
        </w:r>
        <w:r w:rsidR="00320F86">
          <w:rPr>
            <w:webHidden/>
          </w:rPr>
          <w:fldChar w:fldCharType="begin"/>
        </w:r>
        <w:r w:rsidR="00320F86">
          <w:rPr>
            <w:webHidden/>
          </w:rPr>
          <w:instrText xml:space="preserve"> PAGEREF _Toc12387778 \h </w:instrText>
        </w:r>
        <w:r w:rsidR="00320F86">
          <w:rPr>
            <w:webHidden/>
          </w:rPr>
        </w:r>
        <w:r w:rsidR="00320F86">
          <w:rPr>
            <w:webHidden/>
          </w:rPr>
          <w:fldChar w:fldCharType="separate"/>
        </w:r>
        <w:r w:rsidR="00176422">
          <w:rPr>
            <w:webHidden/>
          </w:rPr>
          <w:t>13</w:t>
        </w:r>
        <w:r w:rsidR="00320F86">
          <w:rPr>
            <w:webHidden/>
          </w:rPr>
          <w:fldChar w:fldCharType="end"/>
        </w:r>
      </w:hyperlink>
    </w:p>
    <w:p w14:paraId="3196EAB9" w14:textId="10A58811" w:rsidR="00320F86" w:rsidRDefault="00176422">
      <w:pPr>
        <w:pStyle w:val="TableofFigures"/>
        <w:rPr>
          <w:rFonts w:asciiTheme="minorHAnsi" w:eastAsiaTheme="minorEastAsia" w:hAnsiTheme="minorHAnsi" w:cstheme="minorBidi"/>
          <w:szCs w:val="22"/>
        </w:rPr>
      </w:pPr>
      <w:hyperlink w:anchor="_Toc12387779" w:history="1">
        <w:r w:rsidR="00320F86" w:rsidRPr="00F77DB1">
          <w:rPr>
            <w:rStyle w:val="Hyperlink"/>
          </w:rPr>
          <w:t>Figure 2</w:t>
        </w:r>
        <w:r w:rsidR="00320F86">
          <w:rPr>
            <w:rFonts w:asciiTheme="minorHAnsi" w:eastAsiaTheme="minorEastAsia" w:hAnsiTheme="minorHAnsi" w:cstheme="minorBidi"/>
            <w:szCs w:val="22"/>
          </w:rPr>
          <w:tab/>
        </w:r>
        <w:r w:rsidR="00320F86" w:rsidRPr="00F77DB1">
          <w:rPr>
            <w:rStyle w:val="Hyperlink"/>
          </w:rPr>
          <w:t>Steps in resolving a telco service issue</w:t>
        </w:r>
        <w:r w:rsidR="00320F86">
          <w:rPr>
            <w:webHidden/>
          </w:rPr>
          <w:tab/>
        </w:r>
        <w:r w:rsidR="00320F86">
          <w:rPr>
            <w:webHidden/>
          </w:rPr>
          <w:fldChar w:fldCharType="begin"/>
        </w:r>
        <w:r w:rsidR="00320F86">
          <w:rPr>
            <w:webHidden/>
          </w:rPr>
          <w:instrText xml:space="preserve"> PAGEREF _Toc12387779 \h </w:instrText>
        </w:r>
        <w:r w:rsidR="00320F86">
          <w:rPr>
            <w:webHidden/>
          </w:rPr>
        </w:r>
        <w:r w:rsidR="00320F86">
          <w:rPr>
            <w:webHidden/>
          </w:rPr>
          <w:fldChar w:fldCharType="separate"/>
        </w:r>
        <w:r>
          <w:rPr>
            <w:webHidden/>
          </w:rPr>
          <w:t>41</w:t>
        </w:r>
        <w:r w:rsidR="00320F86">
          <w:rPr>
            <w:webHidden/>
          </w:rPr>
          <w:fldChar w:fldCharType="end"/>
        </w:r>
      </w:hyperlink>
    </w:p>
    <w:p w14:paraId="05B78CCF" w14:textId="680A630E" w:rsidR="00320F86" w:rsidRDefault="00176422">
      <w:pPr>
        <w:pStyle w:val="TableofFigures"/>
        <w:rPr>
          <w:rFonts w:asciiTheme="minorHAnsi" w:eastAsiaTheme="minorEastAsia" w:hAnsiTheme="minorHAnsi" w:cstheme="minorBidi"/>
          <w:szCs w:val="22"/>
        </w:rPr>
      </w:pPr>
      <w:hyperlink w:anchor="_Toc12387780" w:history="1">
        <w:r w:rsidR="00320F86" w:rsidRPr="00F77DB1">
          <w:rPr>
            <w:rStyle w:val="Hyperlink"/>
          </w:rPr>
          <w:t>Figure A.1</w:t>
        </w:r>
        <w:r w:rsidR="00320F86">
          <w:rPr>
            <w:rFonts w:asciiTheme="minorHAnsi" w:eastAsiaTheme="minorEastAsia" w:hAnsiTheme="minorHAnsi" w:cstheme="minorBidi"/>
            <w:szCs w:val="22"/>
          </w:rPr>
          <w:tab/>
        </w:r>
        <w:r w:rsidR="00320F86" w:rsidRPr="00F77DB1">
          <w:rPr>
            <w:rStyle w:val="Hyperlink"/>
          </w:rPr>
          <w:t>Example of a choice modelling survey for broadband fixed line service (US, 2010)</w:t>
        </w:r>
        <w:r w:rsidR="00320F86">
          <w:rPr>
            <w:webHidden/>
          </w:rPr>
          <w:tab/>
        </w:r>
        <w:r w:rsidR="00320F86">
          <w:rPr>
            <w:webHidden/>
          </w:rPr>
          <w:fldChar w:fldCharType="begin"/>
        </w:r>
        <w:r w:rsidR="00320F86">
          <w:rPr>
            <w:webHidden/>
          </w:rPr>
          <w:instrText xml:space="preserve"> PAGEREF _Toc12387780 \h </w:instrText>
        </w:r>
        <w:r w:rsidR="00320F86">
          <w:rPr>
            <w:webHidden/>
          </w:rPr>
        </w:r>
        <w:r w:rsidR="00320F86">
          <w:rPr>
            <w:webHidden/>
          </w:rPr>
          <w:fldChar w:fldCharType="separate"/>
        </w:r>
        <w:r>
          <w:rPr>
            <w:webHidden/>
          </w:rPr>
          <w:t>56</w:t>
        </w:r>
        <w:r w:rsidR="00320F86">
          <w:rPr>
            <w:webHidden/>
          </w:rPr>
          <w:fldChar w:fldCharType="end"/>
        </w:r>
      </w:hyperlink>
    </w:p>
    <w:p w14:paraId="6DA18D41" w14:textId="05ACA9D0" w:rsidR="00320F86" w:rsidRDefault="00176422">
      <w:pPr>
        <w:pStyle w:val="TableofFigures"/>
        <w:rPr>
          <w:rFonts w:asciiTheme="minorHAnsi" w:eastAsiaTheme="minorEastAsia" w:hAnsiTheme="minorHAnsi" w:cstheme="minorBidi"/>
          <w:szCs w:val="22"/>
        </w:rPr>
      </w:pPr>
      <w:hyperlink w:anchor="_Toc12387781" w:history="1">
        <w:r w:rsidR="00320F86" w:rsidRPr="00F77DB1">
          <w:rPr>
            <w:rStyle w:val="Hyperlink"/>
          </w:rPr>
          <w:t>Figure B.1</w:t>
        </w:r>
        <w:r w:rsidR="00320F86">
          <w:rPr>
            <w:rFonts w:asciiTheme="minorHAnsi" w:eastAsiaTheme="minorEastAsia" w:hAnsiTheme="minorHAnsi" w:cstheme="minorBidi"/>
            <w:szCs w:val="22"/>
          </w:rPr>
          <w:tab/>
        </w:r>
        <w:r w:rsidR="00320F86" w:rsidRPr="00F77DB1">
          <w:rPr>
            <w:rStyle w:val="Hyperlink"/>
          </w:rPr>
          <w:t>Trends in NSW/Australia &amp; NZ Value of Time</w:t>
        </w:r>
        <w:r w:rsidR="00320F86">
          <w:rPr>
            <w:webHidden/>
          </w:rPr>
          <w:tab/>
        </w:r>
        <w:r w:rsidR="00320F86">
          <w:rPr>
            <w:webHidden/>
          </w:rPr>
          <w:fldChar w:fldCharType="begin"/>
        </w:r>
        <w:r w:rsidR="00320F86">
          <w:rPr>
            <w:webHidden/>
          </w:rPr>
          <w:instrText xml:space="preserve"> PAGEREF _Toc12387781 \h </w:instrText>
        </w:r>
        <w:r w:rsidR="00320F86">
          <w:rPr>
            <w:webHidden/>
          </w:rPr>
        </w:r>
        <w:r w:rsidR="00320F86">
          <w:rPr>
            <w:webHidden/>
          </w:rPr>
          <w:fldChar w:fldCharType="separate"/>
        </w:r>
        <w:r>
          <w:rPr>
            <w:webHidden/>
          </w:rPr>
          <w:t>57</w:t>
        </w:r>
        <w:r w:rsidR="00320F86">
          <w:rPr>
            <w:webHidden/>
          </w:rPr>
          <w:fldChar w:fldCharType="end"/>
        </w:r>
      </w:hyperlink>
    </w:p>
    <w:p w14:paraId="0C46DBD9" w14:textId="77777777" w:rsidR="00320F86" w:rsidRDefault="00A57D68">
      <w:pPr>
        <w:pStyle w:val="TableofFigures"/>
      </w:pPr>
      <w:r w:rsidRPr="002749BC">
        <w:rPr>
          <w:b/>
        </w:rPr>
        <w:fldChar w:fldCharType="end"/>
      </w:r>
      <w:r w:rsidRPr="002749BC">
        <w:rPr>
          <w:bCs/>
        </w:rPr>
        <w:fldChar w:fldCharType="begin"/>
      </w:r>
      <w:r w:rsidRPr="002749BC">
        <w:rPr>
          <w:bCs/>
        </w:rPr>
        <w:instrText xml:space="preserve"> TOC \h \z \c "Table" </w:instrText>
      </w:r>
      <w:r w:rsidRPr="002749BC">
        <w:rPr>
          <w:bCs/>
        </w:rPr>
        <w:fldChar w:fldCharType="separate"/>
      </w:r>
    </w:p>
    <w:p w14:paraId="156CC7FC" w14:textId="45575154" w:rsidR="00320F86" w:rsidRDefault="00176422">
      <w:pPr>
        <w:pStyle w:val="TableofFigures"/>
        <w:rPr>
          <w:rFonts w:asciiTheme="minorHAnsi" w:eastAsiaTheme="minorEastAsia" w:hAnsiTheme="minorHAnsi" w:cstheme="minorBidi"/>
          <w:szCs w:val="22"/>
        </w:rPr>
      </w:pPr>
      <w:hyperlink w:anchor="_Toc12387782" w:history="1">
        <w:r w:rsidR="00320F86" w:rsidRPr="00AA6D45">
          <w:rPr>
            <w:rStyle w:val="Hyperlink"/>
          </w:rPr>
          <w:t xml:space="preserve">Table ES 1 </w:t>
        </w:r>
        <w:r w:rsidR="00320F86">
          <w:rPr>
            <w:rFonts w:asciiTheme="minorHAnsi" w:eastAsiaTheme="minorEastAsia" w:hAnsiTheme="minorHAnsi" w:cstheme="minorBidi"/>
            <w:szCs w:val="22"/>
          </w:rPr>
          <w:tab/>
        </w:r>
        <w:r w:rsidR="00320F86" w:rsidRPr="00AA6D45">
          <w:rPr>
            <w:rStyle w:val="Hyperlink"/>
          </w:rPr>
          <w:t>Applying ATAP parameters to resolving an issue on the phone ($/hour)</w:t>
        </w:r>
        <w:r w:rsidR="00320F86">
          <w:rPr>
            <w:webHidden/>
          </w:rPr>
          <w:tab/>
        </w:r>
        <w:r w:rsidR="00320F86">
          <w:rPr>
            <w:webHidden/>
          </w:rPr>
          <w:fldChar w:fldCharType="begin"/>
        </w:r>
        <w:r w:rsidR="00320F86">
          <w:rPr>
            <w:webHidden/>
          </w:rPr>
          <w:instrText xml:space="preserve"> PAGEREF _Toc12387782 \h </w:instrText>
        </w:r>
        <w:r w:rsidR="00320F86">
          <w:rPr>
            <w:webHidden/>
          </w:rPr>
        </w:r>
        <w:r w:rsidR="00320F86">
          <w:rPr>
            <w:webHidden/>
          </w:rPr>
          <w:fldChar w:fldCharType="separate"/>
        </w:r>
        <w:r>
          <w:rPr>
            <w:webHidden/>
          </w:rPr>
          <w:t>6</w:t>
        </w:r>
        <w:r w:rsidR="00320F86">
          <w:rPr>
            <w:webHidden/>
          </w:rPr>
          <w:fldChar w:fldCharType="end"/>
        </w:r>
      </w:hyperlink>
    </w:p>
    <w:p w14:paraId="0940D236" w14:textId="0BDB8E10" w:rsidR="00320F86" w:rsidRDefault="00176422">
      <w:pPr>
        <w:pStyle w:val="TableofFigures"/>
        <w:rPr>
          <w:rFonts w:asciiTheme="minorHAnsi" w:eastAsiaTheme="minorEastAsia" w:hAnsiTheme="minorHAnsi" w:cstheme="minorBidi"/>
          <w:szCs w:val="22"/>
        </w:rPr>
      </w:pPr>
      <w:hyperlink w:anchor="_Toc12387783" w:history="1">
        <w:r w:rsidR="00320F86" w:rsidRPr="00AA6D45">
          <w:rPr>
            <w:rStyle w:val="Hyperlink"/>
          </w:rPr>
          <w:t xml:space="preserve">Table 2 </w:t>
        </w:r>
        <w:r w:rsidR="00320F86">
          <w:rPr>
            <w:rFonts w:asciiTheme="minorHAnsi" w:eastAsiaTheme="minorEastAsia" w:hAnsiTheme="minorHAnsi" w:cstheme="minorBidi"/>
            <w:szCs w:val="22"/>
          </w:rPr>
          <w:tab/>
        </w:r>
        <w:r w:rsidR="00320F86" w:rsidRPr="00AA6D45">
          <w:rPr>
            <w:rStyle w:val="Hyperlink"/>
          </w:rPr>
          <w:t>Comparison of valuation methods</w:t>
        </w:r>
        <w:r w:rsidR="00320F86">
          <w:rPr>
            <w:webHidden/>
          </w:rPr>
          <w:tab/>
        </w:r>
        <w:r w:rsidR="00320F86">
          <w:rPr>
            <w:webHidden/>
          </w:rPr>
          <w:fldChar w:fldCharType="begin"/>
        </w:r>
        <w:r w:rsidR="00320F86">
          <w:rPr>
            <w:webHidden/>
          </w:rPr>
          <w:instrText xml:space="preserve"> PAGEREF _Toc12387783 \h </w:instrText>
        </w:r>
        <w:r w:rsidR="00320F86">
          <w:rPr>
            <w:webHidden/>
          </w:rPr>
        </w:r>
        <w:r w:rsidR="00320F86">
          <w:rPr>
            <w:webHidden/>
          </w:rPr>
          <w:fldChar w:fldCharType="separate"/>
        </w:r>
        <w:r>
          <w:rPr>
            <w:webHidden/>
          </w:rPr>
          <w:t>18</w:t>
        </w:r>
        <w:r w:rsidR="00320F86">
          <w:rPr>
            <w:webHidden/>
          </w:rPr>
          <w:fldChar w:fldCharType="end"/>
        </w:r>
      </w:hyperlink>
    </w:p>
    <w:p w14:paraId="16CD15EC" w14:textId="5B4AC863" w:rsidR="00320F86" w:rsidRDefault="00176422">
      <w:pPr>
        <w:pStyle w:val="TableofFigures"/>
        <w:rPr>
          <w:rFonts w:asciiTheme="minorHAnsi" w:eastAsiaTheme="minorEastAsia" w:hAnsiTheme="minorHAnsi" w:cstheme="minorBidi"/>
          <w:szCs w:val="22"/>
        </w:rPr>
      </w:pPr>
      <w:hyperlink w:anchor="_Toc12387784" w:history="1">
        <w:r w:rsidR="00320F86" w:rsidRPr="00AA6D45">
          <w:rPr>
            <w:rStyle w:val="Hyperlink"/>
          </w:rPr>
          <w:t xml:space="preserve">Table 3 </w:t>
        </w:r>
        <w:r w:rsidR="00320F86">
          <w:rPr>
            <w:rFonts w:asciiTheme="minorHAnsi" w:eastAsiaTheme="minorEastAsia" w:hAnsiTheme="minorHAnsi" w:cstheme="minorBidi"/>
            <w:szCs w:val="22"/>
          </w:rPr>
          <w:tab/>
        </w:r>
        <w:r w:rsidR="00320F86" w:rsidRPr="00AA6D45">
          <w:rPr>
            <w:rStyle w:val="Hyperlink"/>
          </w:rPr>
          <w:t>Non-market valuation studies concerning the valuation of customer times in transport context</w:t>
        </w:r>
        <w:r w:rsidR="00320F86">
          <w:rPr>
            <w:webHidden/>
          </w:rPr>
          <w:tab/>
        </w:r>
        <w:r w:rsidR="00320F86">
          <w:rPr>
            <w:webHidden/>
          </w:rPr>
          <w:fldChar w:fldCharType="begin"/>
        </w:r>
        <w:r w:rsidR="00320F86">
          <w:rPr>
            <w:webHidden/>
          </w:rPr>
          <w:instrText xml:space="preserve"> PAGEREF _Toc12387784 \h </w:instrText>
        </w:r>
        <w:r w:rsidR="00320F86">
          <w:rPr>
            <w:webHidden/>
          </w:rPr>
        </w:r>
        <w:r w:rsidR="00320F86">
          <w:rPr>
            <w:webHidden/>
          </w:rPr>
          <w:fldChar w:fldCharType="separate"/>
        </w:r>
        <w:r>
          <w:rPr>
            <w:webHidden/>
          </w:rPr>
          <w:t>24</w:t>
        </w:r>
        <w:r w:rsidR="00320F86">
          <w:rPr>
            <w:webHidden/>
          </w:rPr>
          <w:fldChar w:fldCharType="end"/>
        </w:r>
      </w:hyperlink>
    </w:p>
    <w:p w14:paraId="54CEA9F8" w14:textId="0629F4E3" w:rsidR="00320F86" w:rsidRDefault="00176422">
      <w:pPr>
        <w:pStyle w:val="TableofFigures"/>
        <w:rPr>
          <w:rFonts w:asciiTheme="minorHAnsi" w:eastAsiaTheme="minorEastAsia" w:hAnsiTheme="minorHAnsi" w:cstheme="minorBidi"/>
          <w:szCs w:val="22"/>
        </w:rPr>
      </w:pPr>
      <w:hyperlink w:anchor="_Toc12387785" w:history="1">
        <w:r w:rsidR="00320F86" w:rsidRPr="00AA6D45">
          <w:rPr>
            <w:rStyle w:val="Hyperlink"/>
          </w:rPr>
          <w:t xml:space="preserve">Table 4 </w:t>
        </w:r>
        <w:r w:rsidR="00320F86">
          <w:rPr>
            <w:rFonts w:asciiTheme="minorHAnsi" w:eastAsiaTheme="minorEastAsia" w:hAnsiTheme="minorHAnsi" w:cstheme="minorBidi"/>
            <w:szCs w:val="22"/>
          </w:rPr>
          <w:tab/>
        </w:r>
        <w:r w:rsidR="00320F86" w:rsidRPr="00AA6D45">
          <w:rPr>
            <w:rStyle w:val="Hyperlink"/>
          </w:rPr>
          <w:t>Non-market valuation studies concerning the valuation of customer times in waste management context</w:t>
        </w:r>
        <w:r w:rsidR="00320F86">
          <w:rPr>
            <w:webHidden/>
          </w:rPr>
          <w:tab/>
        </w:r>
        <w:r w:rsidR="00320F86">
          <w:rPr>
            <w:webHidden/>
          </w:rPr>
          <w:fldChar w:fldCharType="begin"/>
        </w:r>
        <w:r w:rsidR="00320F86">
          <w:rPr>
            <w:webHidden/>
          </w:rPr>
          <w:instrText xml:space="preserve"> PAGEREF _Toc12387785 \h </w:instrText>
        </w:r>
        <w:r w:rsidR="00320F86">
          <w:rPr>
            <w:webHidden/>
          </w:rPr>
        </w:r>
        <w:r w:rsidR="00320F86">
          <w:rPr>
            <w:webHidden/>
          </w:rPr>
          <w:fldChar w:fldCharType="separate"/>
        </w:r>
        <w:r>
          <w:rPr>
            <w:webHidden/>
          </w:rPr>
          <w:t>25</w:t>
        </w:r>
        <w:r w:rsidR="00320F86">
          <w:rPr>
            <w:webHidden/>
          </w:rPr>
          <w:fldChar w:fldCharType="end"/>
        </w:r>
      </w:hyperlink>
    </w:p>
    <w:p w14:paraId="175B6185" w14:textId="15162DD0" w:rsidR="00320F86" w:rsidRDefault="00176422">
      <w:pPr>
        <w:pStyle w:val="TableofFigures"/>
        <w:rPr>
          <w:rFonts w:asciiTheme="minorHAnsi" w:eastAsiaTheme="minorEastAsia" w:hAnsiTheme="minorHAnsi" w:cstheme="minorBidi"/>
          <w:szCs w:val="22"/>
        </w:rPr>
      </w:pPr>
      <w:hyperlink w:anchor="_Toc12387786" w:history="1">
        <w:r w:rsidR="00320F86" w:rsidRPr="00AA6D45">
          <w:rPr>
            <w:rStyle w:val="Hyperlink"/>
          </w:rPr>
          <w:t xml:space="preserve">Table 5 </w:t>
        </w:r>
        <w:r w:rsidR="00320F86">
          <w:rPr>
            <w:rFonts w:asciiTheme="minorHAnsi" w:eastAsiaTheme="minorEastAsia" w:hAnsiTheme="minorHAnsi" w:cstheme="minorBidi"/>
            <w:szCs w:val="22"/>
          </w:rPr>
          <w:tab/>
        </w:r>
        <w:r w:rsidR="00320F86" w:rsidRPr="00AA6D45">
          <w:rPr>
            <w:rStyle w:val="Hyperlink"/>
          </w:rPr>
          <w:t>Non-market valuation studies concerning the valuation of customer times in other contexts</w:t>
        </w:r>
        <w:r w:rsidR="00320F86">
          <w:rPr>
            <w:webHidden/>
          </w:rPr>
          <w:tab/>
        </w:r>
        <w:r w:rsidR="00320F86">
          <w:rPr>
            <w:webHidden/>
          </w:rPr>
          <w:fldChar w:fldCharType="begin"/>
        </w:r>
        <w:r w:rsidR="00320F86">
          <w:rPr>
            <w:webHidden/>
          </w:rPr>
          <w:instrText xml:space="preserve"> PAGEREF _Toc12387786 \h </w:instrText>
        </w:r>
        <w:r w:rsidR="00320F86">
          <w:rPr>
            <w:webHidden/>
          </w:rPr>
        </w:r>
        <w:r w:rsidR="00320F86">
          <w:rPr>
            <w:webHidden/>
          </w:rPr>
          <w:fldChar w:fldCharType="separate"/>
        </w:r>
        <w:r>
          <w:rPr>
            <w:webHidden/>
          </w:rPr>
          <w:t>27</w:t>
        </w:r>
        <w:r w:rsidR="00320F86">
          <w:rPr>
            <w:webHidden/>
          </w:rPr>
          <w:fldChar w:fldCharType="end"/>
        </w:r>
      </w:hyperlink>
    </w:p>
    <w:p w14:paraId="27B8D74D" w14:textId="604D4580" w:rsidR="00320F86" w:rsidRDefault="00176422">
      <w:pPr>
        <w:pStyle w:val="TableofFigures"/>
        <w:rPr>
          <w:rFonts w:asciiTheme="minorHAnsi" w:eastAsiaTheme="minorEastAsia" w:hAnsiTheme="minorHAnsi" w:cstheme="minorBidi"/>
          <w:szCs w:val="22"/>
        </w:rPr>
      </w:pPr>
      <w:hyperlink w:anchor="_Toc12387787" w:history="1">
        <w:r w:rsidR="00320F86" w:rsidRPr="00AA6D45">
          <w:rPr>
            <w:rStyle w:val="Hyperlink"/>
          </w:rPr>
          <w:t xml:space="preserve">Table 6 </w:t>
        </w:r>
        <w:r w:rsidR="00320F86">
          <w:rPr>
            <w:rFonts w:asciiTheme="minorHAnsi" w:eastAsiaTheme="minorEastAsia" w:hAnsiTheme="minorHAnsi" w:cstheme="minorBidi"/>
            <w:szCs w:val="22"/>
          </w:rPr>
          <w:tab/>
        </w:r>
        <w:r w:rsidR="00320F86" w:rsidRPr="00AA6D45">
          <w:rPr>
            <w:rStyle w:val="Hyperlink"/>
          </w:rPr>
          <w:t>Non-market valuation studies on the value of reliability in electricity</w:t>
        </w:r>
        <w:r w:rsidR="00320F86">
          <w:rPr>
            <w:webHidden/>
          </w:rPr>
          <w:tab/>
        </w:r>
        <w:r w:rsidR="00320F86">
          <w:rPr>
            <w:webHidden/>
          </w:rPr>
          <w:fldChar w:fldCharType="begin"/>
        </w:r>
        <w:r w:rsidR="00320F86">
          <w:rPr>
            <w:webHidden/>
          </w:rPr>
          <w:instrText xml:space="preserve"> PAGEREF _Toc12387787 \h </w:instrText>
        </w:r>
        <w:r w:rsidR="00320F86">
          <w:rPr>
            <w:webHidden/>
          </w:rPr>
        </w:r>
        <w:r w:rsidR="00320F86">
          <w:rPr>
            <w:webHidden/>
          </w:rPr>
          <w:fldChar w:fldCharType="separate"/>
        </w:r>
        <w:r>
          <w:rPr>
            <w:webHidden/>
          </w:rPr>
          <w:t>33</w:t>
        </w:r>
        <w:r w:rsidR="00320F86">
          <w:rPr>
            <w:webHidden/>
          </w:rPr>
          <w:fldChar w:fldCharType="end"/>
        </w:r>
      </w:hyperlink>
    </w:p>
    <w:p w14:paraId="79287059" w14:textId="0DE424DD" w:rsidR="00320F86" w:rsidRDefault="00176422">
      <w:pPr>
        <w:pStyle w:val="TableofFigures"/>
        <w:rPr>
          <w:rFonts w:asciiTheme="minorHAnsi" w:eastAsiaTheme="minorEastAsia" w:hAnsiTheme="minorHAnsi" w:cstheme="minorBidi"/>
          <w:szCs w:val="22"/>
        </w:rPr>
      </w:pPr>
      <w:hyperlink w:anchor="_Toc12387788" w:history="1">
        <w:r w:rsidR="00320F86" w:rsidRPr="00AA6D45">
          <w:rPr>
            <w:rStyle w:val="Hyperlink"/>
          </w:rPr>
          <w:t xml:space="preserve">Table 7 </w:t>
        </w:r>
        <w:r w:rsidR="00320F86">
          <w:rPr>
            <w:rFonts w:asciiTheme="minorHAnsi" w:eastAsiaTheme="minorEastAsia" w:hAnsiTheme="minorHAnsi" w:cstheme="minorBidi"/>
            <w:szCs w:val="22"/>
          </w:rPr>
          <w:tab/>
        </w:r>
        <w:r w:rsidR="00320F86" w:rsidRPr="00AA6D45">
          <w:rPr>
            <w:rStyle w:val="Hyperlink"/>
          </w:rPr>
          <w:t>Non-market valuation studies on the value of reliability in water</w:t>
        </w:r>
        <w:r w:rsidR="00320F86">
          <w:rPr>
            <w:webHidden/>
          </w:rPr>
          <w:tab/>
        </w:r>
        <w:r w:rsidR="00320F86">
          <w:rPr>
            <w:webHidden/>
          </w:rPr>
          <w:fldChar w:fldCharType="begin"/>
        </w:r>
        <w:r w:rsidR="00320F86">
          <w:rPr>
            <w:webHidden/>
          </w:rPr>
          <w:instrText xml:space="preserve"> PAGEREF _Toc12387788 \h </w:instrText>
        </w:r>
        <w:r w:rsidR="00320F86">
          <w:rPr>
            <w:webHidden/>
          </w:rPr>
        </w:r>
        <w:r w:rsidR="00320F86">
          <w:rPr>
            <w:webHidden/>
          </w:rPr>
          <w:fldChar w:fldCharType="separate"/>
        </w:r>
        <w:r>
          <w:rPr>
            <w:webHidden/>
          </w:rPr>
          <w:t>35</w:t>
        </w:r>
        <w:r w:rsidR="00320F86">
          <w:rPr>
            <w:webHidden/>
          </w:rPr>
          <w:fldChar w:fldCharType="end"/>
        </w:r>
      </w:hyperlink>
    </w:p>
    <w:p w14:paraId="1F6AFC32" w14:textId="6986609D" w:rsidR="00320F86" w:rsidRDefault="00176422">
      <w:pPr>
        <w:pStyle w:val="TableofFigures"/>
        <w:rPr>
          <w:rFonts w:asciiTheme="minorHAnsi" w:eastAsiaTheme="minorEastAsia" w:hAnsiTheme="minorHAnsi" w:cstheme="minorBidi"/>
          <w:szCs w:val="22"/>
        </w:rPr>
      </w:pPr>
      <w:hyperlink w:anchor="_Toc12387789" w:history="1">
        <w:r w:rsidR="00320F86" w:rsidRPr="00AA6D45">
          <w:rPr>
            <w:rStyle w:val="Hyperlink"/>
          </w:rPr>
          <w:t xml:space="preserve">Table 8 </w:t>
        </w:r>
        <w:r w:rsidR="00320F86">
          <w:rPr>
            <w:rFonts w:asciiTheme="minorHAnsi" w:eastAsiaTheme="minorEastAsia" w:hAnsiTheme="minorHAnsi" w:cstheme="minorBidi"/>
            <w:szCs w:val="22"/>
          </w:rPr>
          <w:tab/>
        </w:r>
        <w:r w:rsidR="00320F86" w:rsidRPr="00AA6D45">
          <w:rPr>
            <w:rStyle w:val="Hyperlink"/>
          </w:rPr>
          <w:t>Non-market valuation studies on the value of reliability in broadband</w:t>
        </w:r>
        <w:r w:rsidR="00320F86">
          <w:rPr>
            <w:webHidden/>
          </w:rPr>
          <w:tab/>
        </w:r>
        <w:r w:rsidR="00320F86">
          <w:rPr>
            <w:webHidden/>
          </w:rPr>
          <w:fldChar w:fldCharType="begin"/>
        </w:r>
        <w:r w:rsidR="00320F86">
          <w:rPr>
            <w:webHidden/>
          </w:rPr>
          <w:instrText xml:space="preserve"> PAGEREF _Toc12387789 \h </w:instrText>
        </w:r>
        <w:r w:rsidR="00320F86">
          <w:rPr>
            <w:webHidden/>
          </w:rPr>
        </w:r>
        <w:r w:rsidR="00320F86">
          <w:rPr>
            <w:webHidden/>
          </w:rPr>
          <w:fldChar w:fldCharType="separate"/>
        </w:r>
        <w:r>
          <w:rPr>
            <w:webHidden/>
          </w:rPr>
          <w:t>36</w:t>
        </w:r>
        <w:r w:rsidR="00320F86">
          <w:rPr>
            <w:webHidden/>
          </w:rPr>
          <w:fldChar w:fldCharType="end"/>
        </w:r>
      </w:hyperlink>
    </w:p>
    <w:p w14:paraId="6659D95C" w14:textId="300EE8AE" w:rsidR="00320F86" w:rsidRDefault="00176422">
      <w:pPr>
        <w:pStyle w:val="TableofFigures"/>
        <w:rPr>
          <w:rFonts w:asciiTheme="minorHAnsi" w:eastAsiaTheme="minorEastAsia" w:hAnsiTheme="minorHAnsi" w:cstheme="minorBidi"/>
          <w:szCs w:val="22"/>
        </w:rPr>
      </w:pPr>
      <w:hyperlink w:anchor="_Toc12387790" w:history="1">
        <w:r w:rsidR="00320F86" w:rsidRPr="00AA6D45">
          <w:rPr>
            <w:rStyle w:val="Hyperlink"/>
          </w:rPr>
          <w:t xml:space="preserve">Table 9 </w:t>
        </w:r>
        <w:r w:rsidR="00320F86">
          <w:rPr>
            <w:rFonts w:asciiTheme="minorHAnsi" w:eastAsiaTheme="minorEastAsia" w:hAnsiTheme="minorHAnsi" w:cstheme="minorBidi"/>
            <w:szCs w:val="22"/>
          </w:rPr>
          <w:tab/>
        </w:r>
        <w:r w:rsidR="00320F86" w:rsidRPr="00AA6D45">
          <w:rPr>
            <w:rStyle w:val="Hyperlink"/>
          </w:rPr>
          <w:t>Applying ATAP parameters to resolving an issue</w:t>
        </w:r>
        <w:r w:rsidR="00320F86">
          <w:rPr>
            <w:webHidden/>
          </w:rPr>
          <w:tab/>
        </w:r>
        <w:r w:rsidR="00320F86">
          <w:rPr>
            <w:webHidden/>
          </w:rPr>
          <w:fldChar w:fldCharType="begin"/>
        </w:r>
        <w:r w:rsidR="00320F86">
          <w:rPr>
            <w:webHidden/>
          </w:rPr>
          <w:instrText xml:space="preserve"> PAGEREF _Toc12387790 \h </w:instrText>
        </w:r>
        <w:r w:rsidR="00320F86">
          <w:rPr>
            <w:webHidden/>
          </w:rPr>
        </w:r>
        <w:r w:rsidR="00320F86">
          <w:rPr>
            <w:webHidden/>
          </w:rPr>
          <w:fldChar w:fldCharType="separate"/>
        </w:r>
        <w:r>
          <w:rPr>
            <w:webHidden/>
          </w:rPr>
          <w:t>43</w:t>
        </w:r>
        <w:r w:rsidR="00320F86">
          <w:rPr>
            <w:webHidden/>
          </w:rPr>
          <w:fldChar w:fldCharType="end"/>
        </w:r>
      </w:hyperlink>
    </w:p>
    <w:p w14:paraId="1FF49E67" w14:textId="7084DC50" w:rsidR="00320F86" w:rsidRDefault="00176422">
      <w:pPr>
        <w:pStyle w:val="TableofFigures"/>
        <w:rPr>
          <w:rFonts w:asciiTheme="minorHAnsi" w:eastAsiaTheme="minorEastAsia" w:hAnsiTheme="minorHAnsi" w:cstheme="minorBidi"/>
          <w:szCs w:val="22"/>
        </w:rPr>
      </w:pPr>
      <w:hyperlink w:anchor="_Toc12387791" w:history="1">
        <w:r w:rsidR="00320F86" w:rsidRPr="00AA6D45">
          <w:rPr>
            <w:rStyle w:val="Hyperlink"/>
          </w:rPr>
          <w:t xml:space="preserve">Table 10 </w:t>
        </w:r>
        <w:r w:rsidR="00320F86">
          <w:rPr>
            <w:rFonts w:asciiTheme="minorHAnsi" w:eastAsiaTheme="minorEastAsia" w:hAnsiTheme="minorHAnsi" w:cstheme="minorBidi"/>
            <w:szCs w:val="22"/>
          </w:rPr>
          <w:tab/>
        </w:r>
        <w:r w:rsidR="00320F86" w:rsidRPr="00AA6D45">
          <w:rPr>
            <w:rStyle w:val="Hyperlink"/>
          </w:rPr>
          <w:t>Applying ATAP parameters to resolving an issue on the phone ($/hour)</w:t>
        </w:r>
        <w:r w:rsidR="00320F86">
          <w:rPr>
            <w:webHidden/>
          </w:rPr>
          <w:tab/>
        </w:r>
        <w:r w:rsidR="00320F86">
          <w:rPr>
            <w:webHidden/>
          </w:rPr>
          <w:fldChar w:fldCharType="begin"/>
        </w:r>
        <w:r w:rsidR="00320F86">
          <w:rPr>
            <w:webHidden/>
          </w:rPr>
          <w:instrText xml:space="preserve"> PAGEREF _Toc12387791 \h </w:instrText>
        </w:r>
        <w:r w:rsidR="00320F86">
          <w:rPr>
            <w:webHidden/>
          </w:rPr>
        </w:r>
        <w:r w:rsidR="00320F86">
          <w:rPr>
            <w:webHidden/>
          </w:rPr>
          <w:fldChar w:fldCharType="separate"/>
        </w:r>
        <w:r>
          <w:rPr>
            <w:webHidden/>
          </w:rPr>
          <w:t>44</w:t>
        </w:r>
        <w:r w:rsidR="00320F86">
          <w:rPr>
            <w:webHidden/>
          </w:rPr>
          <w:fldChar w:fldCharType="end"/>
        </w:r>
      </w:hyperlink>
    </w:p>
    <w:p w14:paraId="066D9230" w14:textId="065AAD71" w:rsidR="00320F86" w:rsidRDefault="00176422">
      <w:pPr>
        <w:pStyle w:val="TableofFigures"/>
        <w:rPr>
          <w:rFonts w:asciiTheme="minorHAnsi" w:eastAsiaTheme="minorEastAsia" w:hAnsiTheme="minorHAnsi" w:cstheme="minorBidi"/>
          <w:szCs w:val="22"/>
        </w:rPr>
      </w:pPr>
      <w:hyperlink w:anchor="_Toc12387792" w:history="1">
        <w:r w:rsidR="00320F86" w:rsidRPr="00AA6D45">
          <w:rPr>
            <w:rStyle w:val="Hyperlink"/>
          </w:rPr>
          <w:t>Table C.1</w:t>
        </w:r>
        <w:r w:rsidR="00320F86">
          <w:rPr>
            <w:rFonts w:asciiTheme="minorHAnsi" w:eastAsiaTheme="minorEastAsia" w:hAnsiTheme="minorHAnsi" w:cstheme="minorBidi"/>
            <w:szCs w:val="22"/>
          </w:rPr>
          <w:tab/>
        </w:r>
        <w:r w:rsidR="00320F86" w:rsidRPr="00AA6D45">
          <w:rPr>
            <w:rStyle w:val="Hyperlink"/>
          </w:rPr>
          <w:t>Dos and Don’ts of specifying attributes, attribute levels and customisation</w:t>
        </w:r>
        <w:r w:rsidR="00320F86">
          <w:rPr>
            <w:webHidden/>
          </w:rPr>
          <w:tab/>
        </w:r>
        <w:r w:rsidR="00320F86">
          <w:rPr>
            <w:webHidden/>
          </w:rPr>
          <w:fldChar w:fldCharType="begin"/>
        </w:r>
        <w:r w:rsidR="00320F86">
          <w:rPr>
            <w:webHidden/>
          </w:rPr>
          <w:instrText xml:space="preserve"> PAGEREF _Toc12387792 \h </w:instrText>
        </w:r>
        <w:r w:rsidR="00320F86">
          <w:rPr>
            <w:webHidden/>
          </w:rPr>
        </w:r>
        <w:r w:rsidR="00320F86">
          <w:rPr>
            <w:webHidden/>
          </w:rPr>
          <w:fldChar w:fldCharType="separate"/>
        </w:r>
        <w:r>
          <w:rPr>
            <w:webHidden/>
          </w:rPr>
          <w:t>58</w:t>
        </w:r>
        <w:r w:rsidR="00320F86">
          <w:rPr>
            <w:webHidden/>
          </w:rPr>
          <w:fldChar w:fldCharType="end"/>
        </w:r>
      </w:hyperlink>
    </w:p>
    <w:p w14:paraId="348DFAD4" w14:textId="1D9B1B18" w:rsidR="00320F86" w:rsidRDefault="00176422">
      <w:pPr>
        <w:pStyle w:val="TableofFigures"/>
        <w:rPr>
          <w:rFonts w:asciiTheme="minorHAnsi" w:eastAsiaTheme="minorEastAsia" w:hAnsiTheme="minorHAnsi" w:cstheme="minorBidi"/>
          <w:szCs w:val="22"/>
        </w:rPr>
      </w:pPr>
      <w:hyperlink w:anchor="_Toc12387793" w:history="1">
        <w:r w:rsidR="00320F86" w:rsidRPr="00AA6D45">
          <w:rPr>
            <w:rStyle w:val="Hyperlink"/>
          </w:rPr>
          <w:t>Table C.2</w:t>
        </w:r>
        <w:r w:rsidR="00320F86">
          <w:rPr>
            <w:rFonts w:asciiTheme="minorHAnsi" w:eastAsiaTheme="minorEastAsia" w:hAnsiTheme="minorHAnsi" w:cstheme="minorBidi"/>
            <w:szCs w:val="22"/>
          </w:rPr>
          <w:tab/>
        </w:r>
        <w:r w:rsidR="00320F86" w:rsidRPr="00AA6D45">
          <w:rPr>
            <w:rStyle w:val="Hyperlink"/>
          </w:rPr>
          <w:t>Dos and Don’ts of experiment design</w:t>
        </w:r>
        <w:r w:rsidR="00320F86">
          <w:rPr>
            <w:webHidden/>
          </w:rPr>
          <w:tab/>
        </w:r>
        <w:r w:rsidR="00320F86">
          <w:rPr>
            <w:webHidden/>
          </w:rPr>
          <w:fldChar w:fldCharType="begin"/>
        </w:r>
        <w:r w:rsidR="00320F86">
          <w:rPr>
            <w:webHidden/>
          </w:rPr>
          <w:instrText xml:space="preserve"> PAGEREF _Toc12387793 \h </w:instrText>
        </w:r>
        <w:r w:rsidR="00320F86">
          <w:rPr>
            <w:webHidden/>
          </w:rPr>
        </w:r>
        <w:r w:rsidR="00320F86">
          <w:rPr>
            <w:webHidden/>
          </w:rPr>
          <w:fldChar w:fldCharType="separate"/>
        </w:r>
        <w:r>
          <w:rPr>
            <w:webHidden/>
          </w:rPr>
          <w:t>58</w:t>
        </w:r>
        <w:r w:rsidR="00320F86">
          <w:rPr>
            <w:webHidden/>
          </w:rPr>
          <w:fldChar w:fldCharType="end"/>
        </w:r>
      </w:hyperlink>
    </w:p>
    <w:p w14:paraId="45DC641E" w14:textId="3B5B54F9" w:rsidR="00320F86" w:rsidRDefault="00176422">
      <w:pPr>
        <w:pStyle w:val="TableofFigures"/>
        <w:rPr>
          <w:rFonts w:asciiTheme="minorHAnsi" w:eastAsiaTheme="minorEastAsia" w:hAnsiTheme="minorHAnsi" w:cstheme="minorBidi"/>
          <w:szCs w:val="22"/>
        </w:rPr>
      </w:pPr>
      <w:hyperlink w:anchor="_Toc12387794" w:history="1">
        <w:r w:rsidR="00320F86" w:rsidRPr="00AA6D45">
          <w:rPr>
            <w:rStyle w:val="Hyperlink"/>
          </w:rPr>
          <w:t>Table C.3</w:t>
        </w:r>
        <w:r w:rsidR="00320F86">
          <w:rPr>
            <w:rFonts w:asciiTheme="minorHAnsi" w:eastAsiaTheme="minorEastAsia" w:hAnsiTheme="minorHAnsi" w:cstheme="minorBidi"/>
            <w:szCs w:val="22"/>
          </w:rPr>
          <w:tab/>
        </w:r>
        <w:r w:rsidR="00320F86" w:rsidRPr="00AA6D45">
          <w:rPr>
            <w:rStyle w:val="Hyperlink"/>
          </w:rPr>
          <w:t>Dos and Don’ts of experimental context, test of validity and questionnaire development</w:t>
        </w:r>
        <w:r w:rsidR="00320F86">
          <w:rPr>
            <w:webHidden/>
          </w:rPr>
          <w:tab/>
        </w:r>
        <w:r w:rsidR="00320F86">
          <w:rPr>
            <w:webHidden/>
          </w:rPr>
          <w:fldChar w:fldCharType="begin"/>
        </w:r>
        <w:r w:rsidR="00320F86">
          <w:rPr>
            <w:webHidden/>
          </w:rPr>
          <w:instrText xml:space="preserve"> PAGEREF _Toc12387794 \h </w:instrText>
        </w:r>
        <w:r w:rsidR="00320F86">
          <w:rPr>
            <w:webHidden/>
          </w:rPr>
        </w:r>
        <w:r w:rsidR="00320F86">
          <w:rPr>
            <w:webHidden/>
          </w:rPr>
          <w:fldChar w:fldCharType="separate"/>
        </w:r>
        <w:r>
          <w:rPr>
            <w:webHidden/>
          </w:rPr>
          <w:t>58</w:t>
        </w:r>
        <w:r w:rsidR="00320F86">
          <w:rPr>
            <w:webHidden/>
          </w:rPr>
          <w:fldChar w:fldCharType="end"/>
        </w:r>
      </w:hyperlink>
    </w:p>
    <w:p w14:paraId="32F9A938" w14:textId="6B40F5A9" w:rsidR="00320F86" w:rsidRDefault="00176422">
      <w:pPr>
        <w:pStyle w:val="TableofFigures"/>
        <w:rPr>
          <w:rFonts w:asciiTheme="minorHAnsi" w:eastAsiaTheme="minorEastAsia" w:hAnsiTheme="minorHAnsi" w:cstheme="minorBidi"/>
          <w:szCs w:val="22"/>
        </w:rPr>
      </w:pPr>
      <w:hyperlink w:anchor="_Toc12387795" w:history="1">
        <w:r w:rsidR="00320F86" w:rsidRPr="00AA6D45">
          <w:rPr>
            <w:rStyle w:val="Hyperlink"/>
          </w:rPr>
          <w:t>Table C.4</w:t>
        </w:r>
        <w:r w:rsidR="00320F86">
          <w:rPr>
            <w:rFonts w:asciiTheme="minorHAnsi" w:eastAsiaTheme="minorEastAsia" w:hAnsiTheme="minorHAnsi" w:cstheme="minorBidi"/>
            <w:szCs w:val="22"/>
          </w:rPr>
          <w:tab/>
        </w:r>
        <w:r w:rsidR="00320F86" w:rsidRPr="00AA6D45">
          <w:rPr>
            <w:rStyle w:val="Hyperlink"/>
          </w:rPr>
          <w:t>Dos and Don’ts of sample selection and sampling strategy</w:t>
        </w:r>
        <w:r w:rsidR="00320F86">
          <w:rPr>
            <w:webHidden/>
          </w:rPr>
          <w:tab/>
        </w:r>
        <w:r w:rsidR="00320F86">
          <w:rPr>
            <w:webHidden/>
          </w:rPr>
          <w:fldChar w:fldCharType="begin"/>
        </w:r>
        <w:r w:rsidR="00320F86">
          <w:rPr>
            <w:webHidden/>
          </w:rPr>
          <w:instrText xml:space="preserve"> PAGEREF _Toc12387795 \h </w:instrText>
        </w:r>
        <w:r w:rsidR="00320F86">
          <w:rPr>
            <w:webHidden/>
          </w:rPr>
        </w:r>
        <w:r w:rsidR="00320F86">
          <w:rPr>
            <w:webHidden/>
          </w:rPr>
          <w:fldChar w:fldCharType="separate"/>
        </w:r>
        <w:r>
          <w:rPr>
            <w:webHidden/>
          </w:rPr>
          <w:t>59</w:t>
        </w:r>
        <w:r w:rsidR="00320F86">
          <w:rPr>
            <w:webHidden/>
          </w:rPr>
          <w:fldChar w:fldCharType="end"/>
        </w:r>
      </w:hyperlink>
    </w:p>
    <w:p w14:paraId="2503558E" w14:textId="21AC0C72" w:rsidR="00A57D68" w:rsidRPr="002749BC" w:rsidRDefault="00A57D68" w:rsidP="00EB079F">
      <w:pPr>
        <w:pStyle w:val="TOC1"/>
        <w:rPr>
          <w:bCs w:val="0"/>
          <w:lang w:val="en-AU" w:eastAsia="en-AU"/>
        </w:rPr>
      </w:pPr>
      <w:r w:rsidRPr="002749BC">
        <w:rPr>
          <w:bCs w:val="0"/>
          <w:lang w:val="en-AU" w:eastAsia="en-AU"/>
        </w:rPr>
        <w:fldChar w:fldCharType="end"/>
      </w:r>
    </w:p>
    <w:p w14:paraId="2C3FC25D" w14:textId="7ED6E429" w:rsidR="0051383B" w:rsidRPr="002749BC" w:rsidRDefault="0051383B" w:rsidP="00714A1E"/>
    <w:p w14:paraId="14FBEE9C" w14:textId="77777777" w:rsidR="00A57D68" w:rsidRPr="002749BC" w:rsidRDefault="00A57D68" w:rsidP="00714A1E"/>
    <w:p w14:paraId="1D1BD6F1" w14:textId="0A5DC37D" w:rsidR="00786FE3" w:rsidRPr="002749BC" w:rsidRDefault="00786FE3" w:rsidP="00714A1E">
      <w:pPr>
        <w:pStyle w:val="Heading1"/>
      </w:pPr>
      <w:bookmarkStart w:id="5" w:name="_Toc12387752"/>
      <w:r w:rsidRPr="002749BC">
        <w:lastRenderedPageBreak/>
        <w:t>Introduction</w:t>
      </w:r>
      <w:bookmarkEnd w:id="5"/>
    </w:p>
    <w:p w14:paraId="49DD22A3" w14:textId="617CD897" w:rsidR="0091645C" w:rsidRPr="002749BC" w:rsidRDefault="0091645C" w:rsidP="00C42232">
      <w:pPr>
        <w:pStyle w:val="BodyText"/>
        <w:rPr>
          <w:lang w:eastAsia="en-US"/>
        </w:rPr>
      </w:pPr>
      <w:r w:rsidRPr="002749BC">
        <w:rPr>
          <w:lang w:eastAsia="en-US"/>
        </w:rPr>
        <w:t xml:space="preserve">The Australian Communications Consumer Action Network (ACCAN) is Australia’s peak body for consumer representation in communications. </w:t>
      </w:r>
      <w:r w:rsidR="0096284B" w:rsidRPr="002749BC">
        <w:rPr>
          <w:lang w:eastAsia="en-US"/>
        </w:rPr>
        <w:t xml:space="preserve">ACCAN </w:t>
      </w:r>
      <w:r w:rsidR="008A7CC6" w:rsidRPr="002749BC">
        <w:rPr>
          <w:lang w:eastAsia="en-US"/>
        </w:rPr>
        <w:t xml:space="preserve">has identified that long </w:t>
      </w:r>
      <w:r w:rsidR="001A4760" w:rsidRPr="002749BC">
        <w:rPr>
          <w:lang w:eastAsia="en-US"/>
        </w:rPr>
        <w:t xml:space="preserve">wait times to resolve </w:t>
      </w:r>
      <w:r w:rsidR="008A7CC6" w:rsidRPr="002749BC">
        <w:rPr>
          <w:lang w:eastAsia="en-US"/>
        </w:rPr>
        <w:t xml:space="preserve">customer service </w:t>
      </w:r>
      <w:r w:rsidR="001A4760" w:rsidRPr="002749BC">
        <w:rPr>
          <w:lang w:eastAsia="en-US"/>
        </w:rPr>
        <w:t>issues</w:t>
      </w:r>
      <w:r w:rsidR="008A7CC6" w:rsidRPr="002749BC">
        <w:rPr>
          <w:lang w:eastAsia="en-US"/>
        </w:rPr>
        <w:t xml:space="preserve"> and </w:t>
      </w:r>
      <w:r w:rsidR="00CE5E8F" w:rsidRPr="002749BC">
        <w:rPr>
          <w:lang w:eastAsia="en-US"/>
        </w:rPr>
        <w:t xml:space="preserve">poor </w:t>
      </w:r>
      <w:r w:rsidR="00DF3EF1" w:rsidRPr="002749BC">
        <w:rPr>
          <w:lang w:eastAsia="en-US"/>
        </w:rPr>
        <w:t>reliability for some fixed line and broadband services are issues of importance to consumers</w:t>
      </w:r>
      <w:r w:rsidR="0007679A" w:rsidRPr="002749BC">
        <w:rPr>
          <w:lang w:eastAsia="en-US"/>
        </w:rPr>
        <w:t xml:space="preserve">. Accordingly, ACCAN anticipates the need for continued strong advocacy on behalf of consumers for </w:t>
      </w:r>
      <w:r w:rsidR="00D2772F" w:rsidRPr="002749BC">
        <w:rPr>
          <w:lang w:eastAsia="en-US"/>
        </w:rPr>
        <w:t xml:space="preserve">measures to improve service in these areas.  </w:t>
      </w:r>
    </w:p>
    <w:p w14:paraId="424C532E" w14:textId="0F502D08" w:rsidR="00B52E94" w:rsidRPr="002749BC" w:rsidRDefault="00BA380D" w:rsidP="00C42232">
      <w:pPr>
        <w:pStyle w:val="BodyText"/>
        <w:rPr>
          <w:lang w:eastAsia="en-US"/>
        </w:rPr>
      </w:pPr>
      <w:r w:rsidRPr="002749BC">
        <w:rPr>
          <w:lang w:eastAsia="en-US"/>
        </w:rPr>
        <w:t xml:space="preserve">Neither </w:t>
      </w:r>
      <w:r w:rsidR="001A4760" w:rsidRPr="002749BC">
        <w:rPr>
          <w:lang w:eastAsia="en-US"/>
        </w:rPr>
        <w:t xml:space="preserve">consumer </w:t>
      </w:r>
      <w:r w:rsidR="00FA3CA3" w:rsidRPr="002749BC">
        <w:rPr>
          <w:lang w:eastAsia="en-US"/>
        </w:rPr>
        <w:t>wait times</w:t>
      </w:r>
      <w:r w:rsidR="001A4760" w:rsidRPr="002749BC">
        <w:rPr>
          <w:lang w:eastAsia="en-US"/>
        </w:rPr>
        <w:t xml:space="preserve"> </w:t>
      </w:r>
      <w:r w:rsidRPr="002749BC">
        <w:rPr>
          <w:lang w:eastAsia="en-US"/>
        </w:rPr>
        <w:t xml:space="preserve">nor </w:t>
      </w:r>
      <w:r w:rsidR="00FA3CA3" w:rsidRPr="002749BC">
        <w:rPr>
          <w:lang w:eastAsia="en-US"/>
        </w:rPr>
        <w:t>service</w:t>
      </w:r>
      <w:r w:rsidRPr="002749BC">
        <w:rPr>
          <w:lang w:eastAsia="en-US"/>
        </w:rPr>
        <w:t xml:space="preserve"> reliability are directly priced in </w:t>
      </w:r>
      <w:r w:rsidR="00FF24A8" w:rsidRPr="002749BC">
        <w:rPr>
          <w:lang w:eastAsia="en-US"/>
        </w:rPr>
        <w:t xml:space="preserve">the </w:t>
      </w:r>
      <w:r w:rsidRPr="002749BC">
        <w:rPr>
          <w:lang w:eastAsia="en-US"/>
        </w:rPr>
        <w:t xml:space="preserve">Australian </w:t>
      </w:r>
      <w:r w:rsidR="00FF24A8" w:rsidRPr="002749BC">
        <w:rPr>
          <w:lang w:eastAsia="en-US"/>
        </w:rPr>
        <w:t>telecommunication market</w:t>
      </w:r>
      <w:r w:rsidR="00AA0AA8" w:rsidRPr="002749BC">
        <w:rPr>
          <w:lang w:eastAsia="en-US"/>
        </w:rPr>
        <w:t xml:space="preserve">. That is, customers </w:t>
      </w:r>
      <w:r w:rsidR="00BC12A2" w:rsidRPr="002749BC">
        <w:rPr>
          <w:lang w:eastAsia="en-US"/>
        </w:rPr>
        <w:t xml:space="preserve">are not offered specific products allowing them </w:t>
      </w:r>
      <w:r w:rsidR="00AA0AA8" w:rsidRPr="002749BC">
        <w:rPr>
          <w:lang w:eastAsia="en-US"/>
        </w:rPr>
        <w:t xml:space="preserve">to pay more to reduce </w:t>
      </w:r>
      <w:r w:rsidR="001A4760" w:rsidRPr="002749BC">
        <w:rPr>
          <w:lang w:eastAsia="en-US"/>
        </w:rPr>
        <w:t xml:space="preserve">the time they must spend resolving service issues or to </w:t>
      </w:r>
      <w:r w:rsidR="00BC4AAD" w:rsidRPr="002749BC">
        <w:rPr>
          <w:lang w:eastAsia="en-US"/>
        </w:rPr>
        <w:t xml:space="preserve">reduce the likelihood or duration of </w:t>
      </w:r>
      <w:r w:rsidR="00C16B4E" w:rsidRPr="002749BC">
        <w:rPr>
          <w:lang w:eastAsia="en-US"/>
        </w:rPr>
        <w:t>periods without a service</w:t>
      </w:r>
      <w:r w:rsidR="00B54108">
        <w:rPr>
          <w:lang w:eastAsia="en-US"/>
        </w:rPr>
        <w:t>.</w:t>
      </w:r>
      <w:r w:rsidR="00164627" w:rsidRPr="005D11B8">
        <w:rPr>
          <w:rStyle w:val="FootnoteReference"/>
        </w:rPr>
        <w:footnoteReference w:id="2"/>
      </w:r>
      <w:r w:rsidR="00BC12A2" w:rsidRPr="002749BC">
        <w:rPr>
          <w:lang w:eastAsia="en-US"/>
        </w:rPr>
        <w:t xml:space="preserve"> </w:t>
      </w:r>
      <w:r w:rsidR="00765E14" w:rsidRPr="002749BC">
        <w:rPr>
          <w:lang w:eastAsia="en-US"/>
        </w:rPr>
        <w:t xml:space="preserve">Therefore, it is not possible to directly observe the value customers attach to these benefits through market prices. </w:t>
      </w:r>
      <w:r w:rsidR="00BC4AAD" w:rsidRPr="002749BC">
        <w:rPr>
          <w:lang w:eastAsia="en-US"/>
        </w:rPr>
        <w:t>Nonetheless,</w:t>
      </w:r>
      <w:r w:rsidR="00336FB5" w:rsidRPr="002749BC">
        <w:rPr>
          <w:lang w:eastAsia="en-US"/>
        </w:rPr>
        <w:t xml:space="preserve"> spending additional time on service calls or going without </w:t>
      </w:r>
      <w:r w:rsidR="008B3121" w:rsidRPr="002749BC">
        <w:rPr>
          <w:lang w:eastAsia="en-US"/>
        </w:rPr>
        <w:t xml:space="preserve">a broadband service for days will impose economic costs. The magnitude of these costs is highly relevant to </w:t>
      </w:r>
      <w:r w:rsidR="00D7599F">
        <w:rPr>
          <w:lang w:eastAsia="en-US"/>
        </w:rPr>
        <w:t>regulatory</w:t>
      </w:r>
      <w:r w:rsidR="008B3121" w:rsidRPr="002749BC">
        <w:rPr>
          <w:lang w:eastAsia="en-US"/>
        </w:rPr>
        <w:t xml:space="preserve"> questions concerning </w:t>
      </w:r>
      <w:r w:rsidR="00D7599F">
        <w:rPr>
          <w:lang w:eastAsia="en-US"/>
        </w:rPr>
        <w:t xml:space="preserve">customer </w:t>
      </w:r>
      <w:r w:rsidR="008B3121" w:rsidRPr="002749BC">
        <w:rPr>
          <w:lang w:eastAsia="en-US"/>
        </w:rPr>
        <w:t>service standards, service guarantees and obligations to pay customer</w:t>
      </w:r>
      <w:r w:rsidR="00D7599F">
        <w:rPr>
          <w:lang w:eastAsia="en-US"/>
        </w:rPr>
        <w:t>s</w:t>
      </w:r>
      <w:r w:rsidR="008B3121" w:rsidRPr="002749BC">
        <w:rPr>
          <w:lang w:eastAsia="en-US"/>
        </w:rPr>
        <w:t xml:space="preserve"> compensation</w:t>
      </w:r>
      <w:r w:rsidR="00D7599F">
        <w:rPr>
          <w:lang w:eastAsia="en-US"/>
        </w:rPr>
        <w:t xml:space="preserve"> for inconvenience or damage when standards are not met</w:t>
      </w:r>
      <w:r w:rsidR="008B3121" w:rsidRPr="002749BC">
        <w:rPr>
          <w:lang w:eastAsia="en-US"/>
        </w:rPr>
        <w:t xml:space="preserve">. </w:t>
      </w:r>
    </w:p>
    <w:p w14:paraId="7CD30163" w14:textId="11DC3C77" w:rsidR="00C42232" w:rsidRPr="002749BC" w:rsidRDefault="007452E6" w:rsidP="00C42232">
      <w:pPr>
        <w:pStyle w:val="BodyText"/>
        <w:rPr>
          <w:lang w:eastAsia="en-US"/>
        </w:rPr>
      </w:pPr>
      <w:r w:rsidRPr="002749BC">
        <w:rPr>
          <w:lang w:eastAsia="en-US"/>
        </w:rPr>
        <w:t xml:space="preserve">ACCAN has sought assistance from Synergies to improve the way that it </w:t>
      </w:r>
      <w:r w:rsidR="007F130C" w:rsidRPr="002749BC">
        <w:rPr>
          <w:lang w:eastAsia="en-US"/>
        </w:rPr>
        <w:t>estimates the value of consumer time forgone and</w:t>
      </w:r>
      <w:r w:rsidR="00FA3CA3" w:rsidRPr="002749BC">
        <w:rPr>
          <w:lang w:eastAsia="en-US"/>
        </w:rPr>
        <w:t xml:space="preserve"> service</w:t>
      </w:r>
      <w:r w:rsidR="007F130C" w:rsidRPr="002749BC">
        <w:rPr>
          <w:lang w:eastAsia="en-US"/>
        </w:rPr>
        <w:t xml:space="preserve"> reliability</w:t>
      </w:r>
      <w:r w:rsidRPr="002749BC">
        <w:rPr>
          <w:lang w:eastAsia="en-US"/>
        </w:rPr>
        <w:t xml:space="preserve">. </w:t>
      </w:r>
      <w:r w:rsidR="00203908" w:rsidRPr="002749BC">
        <w:rPr>
          <w:lang w:eastAsia="en-US"/>
        </w:rPr>
        <w:t xml:space="preserve">Synergies </w:t>
      </w:r>
      <w:r w:rsidR="00B752F7" w:rsidRPr="002749BC">
        <w:rPr>
          <w:lang w:eastAsia="en-US"/>
        </w:rPr>
        <w:t>has</w:t>
      </w:r>
      <w:r w:rsidR="004B404C" w:rsidRPr="002749BC">
        <w:rPr>
          <w:lang w:eastAsia="en-US"/>
        </w:rPr>
        <w:t xml:space="preserve"> prepared </w:t>
      </w:r>
      <w:r w:rsidR="007E2904" w:rsidRPr="002749BC">
        <w:rPr>
          <w:lang w:eastAsia="en-US"/>
        </w:rPr>
        <w:t xml:space="preserve">this </w:t>
      </w:r>
      <w:r w:rsidR="004B404C" w:rsidRPr="002749BC">
        <w:rPr>
          <w:lang w:eastAsia="en-US"/>
        </w:rPr>
        <w:t xml:space="preserve">advice to ACCAN </w:t>
      </w:r>
      <w:r w:rsidR="007E2904" w:rsidRPr="002749BC">
        <w:rPr>
          <w:lang w:eastAsia="en-US"/>
        </w:rPr>
        <w:t>as an evidence base and a source of practical guidance on how to apply non-market valuation techniques in the telecommunications context</w:t>
      </w:r>
      <w:r w:rsidR="00D7599F">
        <w:rPr>
          <w:lang w:eastAsia="en-US"/>
        </w:rPr>
        <w:t>, the strengths and limitations of the techniques, and how they compare relative to using simpler proxies such as wage rate for measuring the opportunity cost of time</w:t>
      </w:r>
      <w:r w:rsidR="007E2904" w:rsidRPr="002749BC">
        <w:rPr>
          <w:lang w:eastAsia="en-US"/>
        </w:rPr>
        <w:t xml:space="preserve">. Our advice </w:t>
      </w:r>
      <w:r w:rsidR="00443041" w:rsidRPr="002749BC">
        <w:rPr>
          <w:lang w:eastAsia="en-US"/>
        </w:rPr>
        <w:t>is presented in the following parts</w:t>
      </w:r>
      <w:r w:rsidR="00C42232" w:rsidRPr="002749BC">
        <w:rPr>
          <w:lang w:eastAsia="en-US"/>
        </w:rPr>
        <w:t>:</w:t>
      </w:r>
    </w:p>
    <w:p w14:paraId="497EBFF1" w14:textId="1E04062D" w:rsidR="0012041D" w:rsidRPr="002749BC" w:rsidRDefault="0012041D" w:rsidP="00443041">
      <w:pPr>
        <w:pStyle w:val="bullet"/>
      </w:pPr>
      <w:r w:rsidRPr="002749BC">
        <w:t xml:space="preserve">Section </w:t>
      </w:r>
      <w:r w:rsidR="00BC4AAD" w:rsidRPr="002749BC">
        <w:fldChar w:fldCharType="begin"/>
      </w:r>
      <w:r w:rsidR="00BC4AAD" w:rsidRPr="002749BC">
        <w:instrText xml:space="preserve"> REF _Ref5908284 \r \h </w:instrText>
      </w:r>
      <w:r w:rsidR="00DD5FE0" w:rsidRPr="002749BC">
        <w:instrText xml:space="preserve"> \* MERGEFORMAT </w:instrText>
      </w:r>
      <w:r w:rsidR="00BC4AAD" w:rsidRPr="002749BC">
        <w:fldChar w:fldCharType="separate"/>
      </w:r>
      <w:r w:rsidR="00176422">
        <w:t>2</w:t>
      </w:r>
      <w:r w:rsidR="00BC4AAD" w:rsidRPr="002749BC">
        <w:fldChar w:fldCharType="end"/>
      </w:r>
      <w:r w:rsidRPr="002749BC">
        <w:t xml:space="preserve"> provides an introduction to the main techniques and concepts in non-market valuation. </w:t>
      </w:r>
    </w:p>
    <w:p w14:paraId="45E91D96" w14:textId="5AA9F004" w:rsidR="00C42232" w:rsidRPr="002749BC" w:rsidRDefault="00443041" w:rsidP="00443041">
      <w:pPr>
        <w:pStyle w:val="bullet"/>
      </w:pPr>
      <w:r w:rsidRPr="002749BC">
        <w:t xml:space="preserve">Section </w:t>
      </w:r>
      <w:r w:rsidR="00BC4AAD" w:rsidRPr="002749BC">
        <w:fldChar w:fldCharType="begin"/>
      </w:r>
      <w:r w:rsidR="00BC4AAD" w:rsidRPr="002749BC">
        <w:instrText xml:space="preserve"> REF _Ref5908287 \r \h </w:instrText>
      </w:r>
      <w:r w:rsidR="00DD5FE0" w:rsidRPr="002749BC">
        <w:instrText xml:space="preserve"> \* MERGEFORMAT </w:instrText>
      </w:r>
      <w:r w:rsidR="00BC4AAD" w:rsidRPr="002749BC">
        <w:fldChar w:fldCharType="separate"/>
      </w:r>
      <w:r w:rsidR="00176422">
        <w:t>3</w:t>
      </w:r>
      <w:r w:rsidR="00BC4AAD" w:rsidRPr="002749BC">
        <w:fldChar w:fldCharType="end"/>
      </w:r>
      <w:r w:rsidRPr="002749BC">
        <w:t xml:space="preserve"> summarises </w:t>
      </w:r>
      <w:r w:rsidR="001145F3" w:rsidRPr="002749BC">
        <w:t xml:space="preserve">findings from </w:t>
      </w:r>
      <w:r w:rsidRPr="002749BC">
        <w:t xml:space="preserve">our </w:t>
      </w:r>
      <w:r w:rsidR="0014619F">
        <w:t xml:space="preserve">scan of the domestic and international </w:t>
      </w:r>
      <w:r w:rsidR="00C42232" w:rsidRPr="002749BC">
        <w:t xml:space="preserve">literature </w:t>
      </w:r>
      <w:r w:rsidR="0014619F">
        <w:t>on</w:t>
      </w:r>
      <w:r w:rsidR="00C42232" w:rsidRPr="002749BC">
        <w:t xml:space="preserve"> valuing the opportunity cost of time. </w:t>
      </w:r>
    </w:p>
    <w:p w14:paraId="00A8AC03" w14:textId="2778BA14" w:rsidR="001145F3" w:rsidRPr="002749BC" w:rsidRDefault="001145F3" w:rsidP="00443041">
      <w:pPr>
        <w:pStyle w:val="bullet"/>
      </w:pPr>
      <w:r w:rsidRPr="002749BC">
        <w:t xml:space="preserve">Section </w:t>
      </w:r>
      <w:r w:rsidR="00BC4AAD" w:rsidRPr="002749BC">
        <w:fldChar w:fldCharType="begin"/>
      </w:r>
      <w:r w:rsidR="00BC4AAD" w:rsidRPr="002749BC">
        <w:instrText xml:space="preserve"> REF _Ref5908293 \r \h </w:instrText>
      </w:r>
      <w:r w:rsidR="00DD5FE0" w:rsidRPr="002749BC">
        <w:instrText xml:space="preserve"> \* MERGEFORMAT </w:instrText>
      </w:r>
      <w:r w:rsidR="00BC4AAD" w:rsidRPr="002749BC">
        <w:fldChar w:fldCharType="separate"/>
      </w:r>
      <w:r w:rsidR="00176422">
        <w:t>4</w:t>
      </w:r>
      <w:r w:rsidR="00BC4AAD" w:rsidRPr="002749BC">
        <w:fldChar w:fldCharType="end"/>
      </w:r>
      <w:r w:rsidRPr="002749BC">
        <w:t xml:space="preserve"> summarises our findings from </w:t>
      </w:r>
      <w:r w:rsidR="0014619F">
        <w:t xml:space="preserve">a second literature review that focuses on </w:t>
      </w:r>
      <w:r w:rsidRPr="002749BC">
        <w:t xml:space="preserve">studies </w:t>
      </w:r>
      <w:r w:rsidR="0014619F">
        <w:t xml:space="preserve">that have sought to </w:t>
      </w:r>
      <w:r w:rsidRPr="002749BC">
        <w:t>valu</w:t>
      </w:r>
      <w:r w:rsidR="0014619F">
        <w:t>e</w:t>
      </w:r>
      <w:r w:rsidRPr="002749BC">
        <w:t xml:space="preserve"> </w:t>
      </w:r>
      <w:r w:rsidR="00BE5504" w:rsidRPr="002749BC">
        <w:t>service reliability</w:t>
      </w:r>
      <w:r w:rsidRPr="002749BC">
        <w:t>.</w:t>
      </w:r>
    </w:p>
    <w:p w14:paraId="1B20EF9E" w14:textId="2CAF38CE" w:rsidR="00C42232" w:rsidRPr="002749BC" w:rsidRDefault="0012041D" w:rsidP="00443041">
      <w:pPr>
        <w:pStyle w:val="bullet"/>
      </w:pPr>
      <w:r w:rsidRPr="002749BC">
        <w:lastRenderedPageBreak/>
        <w:t xml:space="preserve">Section </w:t>
      </w:r>
      <w:r w:rsidR="00BC4AAD" w:rsidRPr="002749BC">
        <w:fldChar w:fldCharType="begin"/>
      </w:r>
      <w:r w:rsidR="00BC4AAD" w:rsidRPr="002749BC">
        <w:instrText xml:space="preserve"> REF _Ref5908297 \r \h </w:instrText>
      </w:r>
      <w:r w:rsidR="00DD5FE0" w:rsidRPr="002749BC">
        <w:instrText xml:space="preserve"> \* MERGEFORMAT </w:instrText>
      </w:r>
      <w:r w:rsidR="00BC4AAD" w:rsidRPr="002749BC">
        <w:fldChar w:fldCharType="separate"/>
      </w:r>
      <w:r w:rsidR="00176422">
        <w:t>5</w:t>
      </w:r>
      <w:r w:rsidR="00BC4AAD" w:rsidRPr="002749BC">
        <w:fldChar w:fldCharType="end"/>
      </w:r>
      <w:r w:rsidRPr="002749BC">
        <w:t xml:space="preserve"> shows how </w:t>
      </w:r>
      <w:r w:rsidR="005A7C5B" w:rsidRPr="002749BC">
        <w:t xml:space="preserve">ACCAN could apply the technique of benefit transfer to apply non-market valuation estimates from the literature to derive values for </w:t>
      </w:r>
      <w:r w:rsidR="001B0CEE">
        <w:t>forgone</w:t>
      </w:r>
      <w:r w:rsidR="005A7C5B" w:rsidRPr="002749BC">
        <w:t xml:space="preserve"> customer time in a telecommunications context. </w:t>
      </w:r>
    </w:p>
    <w:p w14:paraId="4C9202EF" w14:textId="2E77CEB9" w:rsidR="00C42232" w:rsidRPr="002749BC" w:rsidRDefault="005A7C5B" w:rsidP="00443041">
      <w:pPr>
        <w:pStyle w:val="bullet"/>
      </w:pPr>
      <w:r w:rsidRPr="002749BC">
        <w:t xml:space="preserve">Section </w:t>
      </w:r>
      <w:r w:rsidR="00BC4AAD" w:rsidRPr="002749BC">
        <w:fldChar w:fldCharType="begin"/>
      </w:r>
      <w:r w:rsidR="00BC4AAD" w:rsidRPr="002749BC">
        <w:instrText xml:space="preserve"> REF _Ref5908302 \r \h </w:instrText>
      </w:r>
      <w:r w:rsidR="00DD5FE0" w:rsidRPr="002749BC">
        <w:instrText xml:space="preserve"> \* MERGEFORMAT </w:instrText>
      </w:r>
      <w:r w:rsidR="00BC4AAD" w:rsidRPr="002749BC">
        <w:fldChar w:fldCharType="separate"/>
      </w:r>
      <w:r w:rsidR="00176422">
        <w:t>6</w:t>
      </w:r>
      <w:r w:rsidR="00BC4AAD" w:rsidRPr="002749BC">
        <w:fldChar w:fldCharType="end"/>
      </w:r>
      <w:r w:rsidRPr="002749BC">
        <w:t xml:space="preserve"> provides advice</w:t>
      </w:r>
      <w:r w:rsidR="00C42232" w:rsidRPr="002749BC">
        <w:t xml:space="preserve"> on </w:t>
      </w:r>
      <w:r w:rsidRPr="002749BC">
        <w:t xml:space="preserve">how ACCAN should approach the development of </w:t>
      </w:r>
      <w:r w:rsidR="0014619F">
        <w:t>primary</w:t>
      </w:r>
      <w:r w:rsidR="0014619F" w:rsidRPr="002749BC">
        <w:t xml:space="preserve"> </w:t>
      </w:r>
      <w:r w:rsidRPr="002749BC">
        <w:t xml:space="preserve">research to </w:t>
      </w:r>
      <w:r w:rsidR="0014619F">
        <w:t>generate</w:t>
      </w:r>
      <w:r w:rsidR="0014619F" w:rsidRPr="002749BC">
        <w:t xml:space="preserve"> </w:t>
      </w:r>
      <w:r w:rsidRPr="002749BC">
        <w:t xml:space="preserve">non-market valuations specific to the Australian telecommunications context. </w:t>
      </w:r>
    </w:p>
    <w:p w14:paraId="0ACC6772" w14:textId="1C833800" w:rsidR="00786FE3" w:rsidRPr="002749BC" w:rsidRDefault="00786FE3" w:rsidP="00786FE3">
      <w:pPr>
        <w:pStyle w:val="Heading1"/>
      </w:pPr>
      <w:bookmarkStart w:id="6" w:name="_Ref5908284"/>
      <w:bookmarkStart w:id="7" w:name="_Toc12387753"/>
      <w:r w:rsidRPr="002749BC">
        <w:lastRenderedPageBreak/>
        <w:t>Non-market valuation</w:t>
      </w:r>
      <w:bookmarkEnd w:id="6"/>
      <w:bookmarkEnd w:id="7"/>
    </w:p>
    <w:p w14:paraId="710821F4" w14:textId="1BDA8B2D" w:rsidR="00786FE3" w:rsidRPr="001B0CEE" w:rsidRDefault="00786FE3" w:rsidP="001B0CEE">
      <w:pPr>
        <w:pStyle w:val="Heading2"/>
      </w:pPr>
      <w:bookmarkStart w:id="8" w:name="_Toc12387754"/>
      <w:r w:rsidRPr="001B0CEE">
        <w:t>The role of non-market valuation</w:t>
      </w:r>
      <w:bookmarkEnd w:id="8"/>
    </w:p>
    <w:p w14:paraId="1E4DDA19" w14:textId="71CB4B5F" w:rsidR="007444FF" w:rsidRPr="002749BC" w:rsidRDefault="00C53786" w:rsidP="00613282">
      <w:pPr>
        <w:pStyle w:val="BodyText"/>
        <w:rPr>
          <w:lang w:eastAsia="en-US"/>
        </w:rPr>
      </w:pPr>
      <w:r w:rsidRPr="002749BC">
        <w:rPr>
          <w:lang w:eastAsia="en-US"/>
        </w:rPr>
        <w:t xml:space="preserve">Many of the things </w:t>
      </w:r>
      <w:r w:rsidR="00274AA3">
        <w:rPr>
          <w:lang w:eastAsia="en-US"/>
        </w:rPr>
        <w:t>people</w:t>
      </w:r>
      <w:r w:rsidR="0014619F">
        <w:rPr>
          <w:lang w:eastAsia="en-US"/>
        </w:rPr>
        <w:t xml:space="preserve"> </w:t>
      </w:r>
      <w:r w:rsidRPr="002749BC">
        <w:rPr>
          <w:lang w:eastAsia="en-US"/>
        </w:rPr>
        <w:t xml:space="preserve">value are not explicitly bought and sold in markets and therefore </w:t>
      </w:r>
      <w:r w:rsidR="0014619F">
        <w:rPr>
          <w:lang w:eastAsia="en-US"/>
        </w:rPr>
        <w:t>it is not possible to use</w:t>
      </w:r>
      <w:r w:rsidR="0014619F" w:rsidRPr="002749BC">
        <w:rPr>
          <w:lang w:eastAsia="en-US"/>
        </w:rPr>
        <w:t xml:space="preserve"> </w:t>
      </w:r>
      <w:r w:rsidRPr="002749BC">
        <w:rPr>
          <w:lang w:eastAsia="en-US"/>
        </w:rPr>
        <w:t xml:space="preserve">market prices to estimate the value of those </w:t>
      </w:r>
      <w:r w:rsidR="0014619F">
        <w:rPr>
          <w:lang w:eastAsia="en-US"/>
        </w:rPr>
        <w:t>goods and services</w:t>
      </w:r>
      <w:r w:rsidRPr="002749BC">
        <w:rPr>
          <w:lang w:eastAsia="en-US"/>
        </w:rPr>
        <w:t xml:space="preserve">. </w:t>
      </w:r>
      <w:r w:rsidR="007444FF" w:rsidRPr="002749BC">
        <w:rPr>
          <w:lang w:eastAsia="en-US"/>
        </w:rPr>
        <w:t xml:space="preserve">Improving the condition of the natural environment, increasing access to </w:t>
      </w:r>
      <w:r w:rsidR="0014619F">
        <w:rPr>
          <w:lang w:eastAsia="en-US"/>
        </w:rPr>
        <w:t xml:space="preserve">public </w:t>
      </w:r>
      <w:r w:rsidR="007444FF" w:rsidRPr="002749BC">
        <w:rPr>
          <w:lang w:eastAsia="en-US"/>
        </w:rPr>
        <w:t xml:space="preserve">amenities, reducing time spent waiting for a bus, reducing the incidence of power blackouts. These are all examples of things that many people would attach some value to, even though they cannot simply purchase more of them as they would for a market traded service or product. </w:t>
      </w:r>
    </w:p>
    <w:p w14:paraId="56742EAC" w14:textId="796D1BB8" w:rsidR="00C53786" w:rsidRDefault="00C53786" w:rsidP="00613282">
      <w:pPr>
        <w:pStyle w:val="BodyText"/>
        <w:rPr>
          <w:lang w:eastAsia="en-US"/>
        </w:rPr>
      </w:pPr>
      <w:r w:rsidRPr="002749BC">
        <w:rPr>
          <w:lang w:eastAsia="en-US"/>
        </w:rPr>
        <w:t xml:space="preserve">At the same time, companies and policy makers face choices </w:t>
      </w:r>
      <w:r w:rsidR="002749BC" w:rsidRPr="002749BC">
        <w:rPr>
          <w:lang w:eastAsia="en-US"/>
        </w:rPr>
        <w:t>such as</w:t>
      </w:r>
      <w:r w:rsidRPr="002749BC">
        <w:rPr>
          <w:lang w:eastAsia="en-US"/>
        </w:rPr>
        <w:t xml:space="preserve"> where to make investments, what practices to change and what strategies to pursue that would ideally be informed by </w:t>
      </w:r>
      <w:r w:rsidR="002749BC" w:rsidRPr="002749BC">
        <w:rPr>
          <w:lang w:eastAsia="en-US"/>
        </w:rPr>
        <w:t>knowledge of the magnitude of</w:t>
      </w:r>
      <w:r w:rsidRPr="002749BC">
        <w:rPr>
          <w:lang w:eastAsia="en-US"/>
        </w:rPr>
        <w:t xml:space="preserve"> non-market (i</w:t>
      </w:r>
      <w:r w:rsidR="00130079">
        <w:rPr>
          <w:lang w:eastAsia="en-US"/>
        </w:rPr>
        <w:t>.</w:t>
      </w:r>
      <w:r w:rsidRPr="002749BC">
        <w:rPr>
          <w:lang w:eastAsia="en-US"/>
        </w:rPr>
        <w:t>e</w:t>
      </w:r>
      <w:r w:rsidR="00130079">
        <w:rPr>
          <w:lang w:eastAsia="en-US"/>
        </w:rPr>
        <w:t>.</w:t>
      </w:r>
      <w:r w:rsidRPr="002749BC">
        <w:rPr>
          <w:lang w:eastAsia="en-US"/>
        </w:rPr>
        <w:t xml:space="preserve"> unpriced) values affected by those choices. Non-market valuation is a field of applied economics that enables us to ascribe monetary values to </w:t>
      </w:r>
      <w:r w:rsidR="007444FF" w:rsidRPr="002749BC">
        <w:rPr>
          <w:lang w:eastAsia="en-US"/>
        </w:rPr>
        <w:t xml:space="preserve">things that are not explicitly traded in markets, in order to ensure that decisions can take better account </w:t>
      </w:r>
      <w:r w:rsidR="002749BC" w:rsidRPr="002749BC">
        <w:rPr>
          <w:lang w:eastAsia="en-US"/>
        </w:rPr>
        <w:t xml:space="preserve">of </w:t>
      </w:r>
      <w:r w:rsidR="007444FF" w:rsidRPr="002749BC">
        <w:rPr>
          <w:lang w:eastAsia="en-US"/>
        </w:rPr>
        <w:t>them</w:t>
      </w:r>
      <w:r w:rsidR="0014619F">
        <w:rPr>
          <w:lang w:eastAsia="en-US"/>
        </w:rPr>
        <w:t xml:space="preserve"> and lift the overall efficient use of resources to meet the interests of </w:t>
      </w:r>
      <w:r w:rsidR="00613D17">
        <w:rPr>
          <w:lang w:eastAsia="en-US"/>
        </w:rPr>
        <w:t>consumers or citizens</w:t>
      </w:r>
      <w:r w:rsidR="007444FF" w:rsidRPr="002749BC">
        <w:rPr>
          <w:lang w:eastAsia="en-US"/>
        </w:rPr>
        <w:t>.</w:t>
      </w:r>
    </w:p>
    <w:p w14:paraId="102640FF" w14:textId="78DD559A" w:rsidR="003626D1" w:rsidRPr="001B0CEE" w:rsidRDefault="00786FE3" w:rsidP="001B0CEE">
      <w:pPr>
        <w:pStyle w:val="Heading2"/>
      </w:pPr>
      <w:bookmarkStart w:id="9" w:name="_Toc12387755"/>
      <w:r w:rsidRPr="001B0CEE">
        <w:t>Techniques</w:t>
      </w:r>
      <w:bookmarkEnd w:id="9"/>
    </w:p>
    <w:p w14:paraId="717870DD" w14:textId="259FC644" w:rsidR="007207BB" w:rsidRPr="002749BC" w:rsidRDefault="009129D3" w:rsidP="00327FC0">
      <w:pPr>
        <w:pStyle w:val="BodyText"/>
      </w:pPr>
      <w:r w:rsidRPr="002749BC">
        <w:rPr>
          <w:lang w:eastAsia="en-US"/>
        </w:rPr>
        <w:t>M</w:t>
      </w:r>
      <w:r w:rsidR="00624C19" w:rsidRPr="002749BC">
        <w:rPr>
          <w:lang w:eastAsia="en-US"/>
        </w:rPr>
        <w:t>ultiple techniques</w:t>
      </w:r>
      <w:r w:rsidR="00C61498" w:rsidRPr="002749BC">
        <w:rPr>
          <w:lang w:eastAsia="en-US"/>
        </w:rPr>
        <w:t xml:space="preserve"> are available</w:t>
      </w:r>
      <w:r w:rsidR="00624C19" w:rsidRPr="002749BC">
        <w:rPr>
          <w:lang w:eastAsia="en-US"/>
        </w:rPr>
        <w:t xml:space="preserve"> </w:t>
      </w:r>
      <w:r w:rsidRPr="002749BC">
        <w:rPr>
          <w:lang w:eastAsia="en-US"/>
        </w:rPr>
        <w:t>to assess non-market values</w:t>
      </w:r>
      <w:r w:rsidR="00C61498" w:rsidRPr="002749BC">
        <w:rPr>
          <w:lang w:eastAsia="en-US"/>
        </w:rPr>
        <w:t xml:space="preserve">. These techniques can be broadly classified into revealed preference and stated preference techniques as illustrated in </w:t>
      </w:r>
      <w:r w:rsidR="0098541C" w:rsidRPr="002749BC">
        <w:rPr>
          <w:lang w:eastAsia="en-US"/>
        </w:rPr>
        <w:fldChar w:fldCharType="begin"/>
      </w:r>
      <w:r w:rsidR="0098541C" w:rsidRPr="002749BC">
        <w:rPr>
          <w:lang w:eastAsia="en-US"/>
        </w:rPr>
        <w:instrText xml:space="preserve"> REF _Ref5204904 \h </w:instrText>
      </w:r>
      <w:r w:rsidR="0098541C" w:rsidRPr="002749BC">
        <w:rPr>
          <w:lang w:eastAsia="en-US"/>
        </w:rPr>
      </w:r>
      <w:r w:rsidR="0098541C" w:rsidRPr="002749BC">
        <w:rPr>
          <w:lang w:eastAsia="en-US"/>
        </w:rPr>
        <w:fldChar w:fldCharType="separate"/>
      </w:r>
      <w:r w:rsidR="00176422" w:rsidRPr="002749BC">
        <w:t xml:space="preserve">Figure </w:t>
      </w:r>
      <w:r w:rsidR="00176422">
        <w:rPr>
          <w:noProof/>
        </w:rPr>
        <w:t>1</w:t>
      </w:r>
      <w:r w:rsidR="0098541C" w:rsidRPr="002749BC">
        <w:rPr>
          <w:lang w:eastAsia="en-US"/>
        </w:rPr>
        <w:fldChar w:fldCharType="end"/>
      </w:r>
      <w:r w:rsidR="0098541C" w:rsidRPr="002749BC">
        <w:rPr>
          <w:lang w:eastAsia="en-US"/>
        </w:rPr>
        <w:t xml:space="preserve">. In both cases, the techniques can be used </w:t>
      </w:r>
      <w:r w:rsidR="00C143C6" w:rsidRPr="002749BC">
        <w:rPr>
          <w:lang w:eastAsia="en-US"/>
        </w:rPr>
        <w:t xml:space="preserve">in specific contexts </w:t>
      </w:r>
      <w:r w:rsidR="0098541C" w:rsidRPr="002749BC">
        <w:rPr>
          <w:lang w:eastAsia="en-US"/>
        </w:rPr>
        <w:t xml:space="preserve">to estimate </w:t>
      </w:r>
      <w:r w:rsidR="00C143C6" w:rsidRPr="002749BC">
        <w:rPr>
          <w:lang w:eastAsia="en-US"/>
        </w:rPr>
        <w:t>non-market values to inform decision-making</w:t>
      </w:r>
      <w:r w:rsidR="00A0237D" w:rsidRPr="002749BC">
        <w:rPr>
          <w:lang w:eastAsia="en-US"/>
        </w:rPr>
        <w:t xml:space="preserve">. Further, subject to </w:t>
      </w:r>
      <w:r w:rsidR="008E187C" w:rsidRPr="002749BC">
        <w:rPr>
          <w:lang w:eastAsia="en-US"/>
        </w:rPr>
        <w:t xml:space="preserve">well-established protocols, the values generated by these techniques can be </w:t>
      </w:r>
      <w:r w:rsidR="00804118">
        <w:rPr>
          <w:lang w:eastAsia="en-US"/>
        </w:rPr>
        <w:t xml:space="preserve">taken from a previous study and transferred to </w:t>
      </w:r>
      <w:r w:rsidR="00F12B06">
        <w:rPr>
          <w:lang w:eastAsia="en-US"/>
        </w:rPr>
        <w:t>the investigation of interest, provided the services and policy contexts of each study are similar. This technique is referred to as ‘benefit transfer’.</w:t>
      </w:r>
      <w:r w:rsidR="00335747" w:rsidRPr="002749BC">
        <w:rPr>
          <w:lang w:eastAsia="en-US"/>
        </w:rPr>
        <w:t xml:space="preserve"> These </w:t>
      </w:r>
      <w:r w:rsidR="003500C0" w:rsidRPr="002749BC">
        <w:rPr>
          <w:lang w:eastAsia="en-US"/>
        </w:rPr>
        <w:t xml:space="preserve">techniques are explained in greater detail below.  </w:t>
      </w:r>
    </w:p>
    <w:p w14:paraId="388C0F9E" w14:textId="7A305D75" w:rsidR="0087590C" w:rsidRPr="002749BC" w:rsidRDefault="0087590C">
      <w:pPr>
        <w:pStyle w:val="Caption"/>
        <w:rPr>
          <w:b w:val="0"/>
          <w:bCs w:val="0"/>
        </w:rPr>
      </w:pPr>
      <w:bookmarkStart w:id="10" w:name="_Ref5204904"/>
      <w:bookmarkStart w:id="11" w:name="_Toc12387778"/>
      <w:r w:rsidRPr="002749BC">
        <w:lastRenderedPageBreak/>
        <w:t xml:space="preserve">Figure </w:t>
      </w:r>
      <w:r w:rsidRPr="002749BC">
        <w:rPr>
          <w:noProof/>
        </w:rPr>
        <w:fldChar w:fldCharType="begin"/>
      </w:r>
      <w:r w:rsidRPr="002749BC">
        <w:rPr>
          <w:noProof/>
        </w:rPr>
        <w:instrText xml:space="preserve"> SEQ Figure \* ARABIC </w:instrText>
      </w:r>
      <w:r w:rsidRPr="002749BC">
        <w:rPr>
          <w:noProof/>
        </w:rPr>
        <w:fldChar w:fldCharType="separate"/>
      </w:r>
      <w:r w:rsidR="00176422">
        <w:rPr>
          <w:noProof/>
        </w:rPr>
        <w:t>1</w:t>
      </w:r>
      <w:r w:rsidRPr="002749BC">
        <w:rPr>
          <w:noProof/>
        </w:rPr>
        <w:fldChar w:fldCharType="end"/>
      </w:r>
      <w:bookmarkEnd w:id="10"/>
      <w:r w:rsidRPr="002749BC">
        <w:rPr>
          <w:b w:val="0"/>
        </w:rPr>
        <w:tab/>
        <w:t>Classification of non-market valuation techniques</w:t>
      </w:r>
      <w:bookmarkEnd w:id="11"/>
    </w:p>
    <w:tbl>
      <w:tblPr>
        <w:tblW w:w="0" w:type="auto"/>
        <w:tblInd w:w="108" w:type="dxa"/>
        <w:tblLook w:val="0000" w:firstRow="0" w:lastRow="0" w:firstColumn="0" w:lastColumn="0" w:noHBand="0" w:noVBand="0"/>
      </w:tblPr>
      <w:tblGrid>
        <w:gridCol w:w="8612"/>
      </w:tblGrid>
      <w:tr w:rsidR="0087590C" w:rsidRPr="002749BC" w14:paraId="608F91EB" w14:textId="77777777">
        <w:tc>
          <w:tcPr>
            <w:tcW w:w="12178" w:type="dxa"/>
          </w:tcPr>
          <w:p w14:paraId="703FF464" w14:textId="5FACBBD6" w:rsidR="0087590C" w:rsidRPr="002749BC" w:rsidRDefault="00FA4556" w:rsidP="00D45DCB">
            <w:pPr>
              <w:pStyle w:val="BodyText"/>
              <w:keepNext/>
            </w:pPr>
            <w:r>
              <w:rPr>
                <w:noProof/>
              </w:rPr>
              <w:drawing>
                <wp:inline distT="0" distB="0" distL="0" distR="0" wp14:anchorId="1E9A293F" wp14:editId="705E6F19">
                  <wp:extent cx="5209544" cy="2865249"/>
                  <wp:effectExtent l="0" t="0" r="0" b="0"/>
                  <wp:docPr id="4" name="Picture 4" descr="Classification of non-market valuation techniques - a diagram showing the basic taxonomy of the main techniques of non-market valuation and their application to benefit transf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216435" cy="2869039"/>
                          </a:xfrm>
                          <a:prstGeom prst="rect">
                            <a:avLst/>
                          </a:prstGeom>
                          <a:noFill/>
                        </pic:spPr>
                      </pic:pic>
                    </a:graphicData>
                  </a:graphic>
                </wp:inline>
              </w:drawing>
            </w:r>
          </w:p>
        </w:tc>
      </w:tr>
    </w:tbl>
    <w:p w14:paraId="1B5C86DF" w14:textId="2FCAC617" w:rsidR="0087590C" w:rsidRPr="002749BC" w:rsidRDefault="0087590C" w:rsidP="00D45DCB">
      <w:pPr>
        <w:pStyle w:val="Note"/>
        <w:keepNext w:val="0"/>
        <w:rPr>
          <w:rFonts w:ascii="Arial Bold" w:hAnsi="Arial Bold"/>
          <w:b/>
          <w:szCs w:val="14"/>
        </w:rPr>
      </w:pPr>
      <w:r w:rsidRPr="002749BC">
        <w:rPr>
          <w:rFonts w:ascii="Arial Bold" w:hAnsi="Arial Bold"/>
          <w:b/>
          <w:szCs w:val="14"/>
        </w:rPr>
        <w:t>Data source: Synergies</w:t>
      </w:r>
    </w:p>
    <w:p w14:paraId="5C40B637" w14:textId="77777777" w:rsidR="00A34F81" w:rsidRPr="002749BC" w:rsidRDefault="00A34F81" w:rsidP="001B0CEE">
      <w:pPr>
        <w:pStyle w:val="Heading3"/>
      </w:pPr>
      <w:r w:rsidRPr="002749BC">
        <w:t>Revealed preference</w:t>
      </w:r>
    </w:p>
    <w:p w14:paraId="76860FE3" w14:textId="39F1F03E" w:rsidR="00A34F81" w:rsidRPr="002749BC" w:rsidRDefault="00A34F81" w:rsidP="00AE244C">
      <w:pPr>
        <w:pStyle w:val="BodyText"/>
      </w:pPr>
      <w:r w:rsidRPr="002749BC">
        <w:t xml:space="preserve">Revealed preference methods </w:t>
      </w:r>
      <w:r w:rsidR="002749BC">
        <w:t>rely on observable</w:t>
      </w:r>
      <w:r w:rsidRPr="002749BC">
        <w:t xml:space="preserve"> relationships between demand for some market-priced goods and preferences for related non-market goods and services. By observing particular household and business customer </w:t>
      </w:r>
      <w:r w:rsidR="00AE244C" w:rsidRPr="002749BC">
        <w:t>behaviours</w:t>
      </w:r>
      <w:r w:rsidRPr="002749BC">
        <w:t xml:space="preserve"> it is possible to infer their preferences for levels of provision </w:t>
      </w:r>
      <w:r w:rsidR="002749BC">
        <w:t xml:space="preserve">of related </w:t>
      </w:r>
      <w:r w:rsidRPr="002749BC">
        <w:t>services</w:t>
      </w:r>
      <w:r w:rsidR="002749BC">
        <w:t xml:space="preserve"> or characteristics</w:t>
      </w:r>
      <w:r w:rsidRPr="002749BC">
        <w:t xml:space="preserve">. </w:t>
      </w:r>
      <w:r w:rsidR="00AE244C" w:rsidRPr="002749BC">
        <w:t>Examples of revealed preference techniques include the t</w:t>
      </w:r>
      <w:r w:rsidRPr="002749BC">
        <w:t xml:space="preserve">ravel </w:t>
      </w:r>
      <w:r w:rsidR="00AE244C" w:rsidRPr="002749BC">
        <w:t>c</w:t>
      </w:r>
      <w:r w:rsidRPr="002749BC">
        <w:t xml:space="preserve">ost </w:t>
      </w:r>
      <w:r w:rsidR="00AE244C" w:rsidRPr="002749BC">
        <w:t>m</w:t>
      </w:r>
      <w:r w:rsidRPr="002749BC">
        <w:t>ethod</w:t>
      </w:r>
      <w:r w:rsidR="00AE244C" w:rsidRPr="002749BC">
        <w:t xml:space="preserve"> and h</w:t>
      </w:r>
      <w:r w:rsidRPr="002749BC">
        <w:t xml:space="preserve">edonic </w:t>
      </w:r>
      <w:r w:rsidR="00AE244C" w:rsidRPr="002749BC">
        <w:t>p</w:t>
      </w:r>
      <w:r w:rsidRPr="002749BC">
        <w:t>ricing</w:t>
      </w:r>
      <w:r w:rsidR="00AE244C" w:rsidRPr="002749BC">
        <w:t xml:space="preserve">.  </w:t>
      </w:r>
    </w:p>
    <w:p w14:paraId="48DEB0B6" w14:textId="5A4D045E" w:rsidR="00AE244C" w:rsidRDefault="00715D7E" w:rsidP="00AE244C">
      <w:pPr>
        <w:pStyle w:val="BodyText"/>
      </w:pPr>
      <w:r w:rsidRPr="002749BC">
        <w:t xml:space="preserve">The travel cost method assumes that the time and travel cost expenses that people incur to visit a site constitute the access price. Using this assumption, </w:t>
      </w:r>
      <w:r w:rsidR="002749BC">
        <w:t>one</w:t>
      </w:r>
      <w:r w:rsidRPr="002749BC">
        <w:t xml:space="preserve"> can estimate a sample group’s willingness to pay to visit the site by measuring the number of trips that they make at different travel costs.</w:t>
      </w:r>
    </w:p>
    <w:p w14:paraId="57AD7AB1" w14:textId="73953C72" w:rsidR="00D50521" w:rsidRPr="002749BC" w:rsidRDefault="007E4AC8" w:rsidP="00AE244C">
      <w:pPr>
        <w:pStyle w:val="BodyText"/>
      </w:pPr>
      <w:r>
        <w:t>In another technique (referred to as random utility modelling), commuter c</w:t>
      </w:r>
      <w:r w:rsidR="00D50521">
        <w:t>hoices</w:t>
      </w:r>
      <w:r>
        <w:t xml:space="preserve"> between different modes of transport can be used to estimate values for particular attributes associated with each mode – for example, travel time, comfort, safety, convenience, and cost. This technique is used extensively in the transport sector.</w:t>
      </w:r>
      <w:r w:rsidR="00D50521">
        <w:t xml:space="preserve"> </w:t>
      </w:r>
    </w:p>
    <w:p w14:paraId="53F8E09C" w14:textId="53F9A480" w:rsidR="00715D7E" w:rsidRPr="002749BC" w:rsidRDefault="00DE6CE8" w:rsidP="00AE244C">
      <w:pPr>
        <w:pStyle w:val="BodyText"/>
      </w:pPr>
      <w:r w:rsidRPr="00DE6CE8">
        <w:t xml:space="preserve">Hedonic pricing uses observed market prices for properties and develops a statistical relationship between prices and the non-market attributes associated with properties – such as ocean views or proximity to a park. The technique isolates the effect of these attributes on property values to arrive at an estimate of how much the market is </w:t>
      </w:r>
      <w:r w:rsidRPr="00DE6CE8">
        <w:lastRenderedPageBreak/>
        <w:t>prepared to pay for the non-market good of interest – in this case visual amenity and recreational opportunities</w:t>
      </w:r>
      <w:r>
        <w:t>.</w:t>
      </w:r>
    </w:p>
    <w:p w14:paraId="72AD8C0A" w14:textId="7FEF51D0" w:rsidR="00A34F81" w:rsidRPr="002749BC" w:rsidRDefault="00D50521" w:rsidP="00A34F81">
      <w:pPr>
        <w:pStyle w:val="BodyText"/>
      </w:pPr>
      <w:r>
        <w:t>In summary, r</w:t>
      </w:r>
      <w:r w:rsidR="00C3247C" w:rsidRPr="002749BC">
        <w:t>evealed preference techniques</w:t>
      </w:r>
      <w:r w:rsidR="00A34F81" w:rsidRPr="002749BC">
        <w:t xml:space="preserve"> require data on observed, actual choices </w:t>
      </w:r>
      <w:r w:rsidR="00C3247C" w:rsidRPr="002749BC">
        <w:t>such as</w:t>
      </w:r>
      <w:r w:rsidR="00A34F81" w:rsidRPr="002749BC">
        <w:t xml:space="preserve"> </w:t>
      </w:r>
      <w:r w:rsidR="00F12B06">
        <w:t>choices between different modes of transport</w:t>
      </w:r>
      <w:r w:rsidR="00C3247C" w:rsidRPr="002749BC">
        <w:t xml:space="preserve">, </w:t>
      </w:r>
      <w:r w:rsidR="00F12B06">
        <w:t xml:space="preserve">choices between </w:t>
      </w:r>
      <w:r w:rsidR="00A34F81" w:rsidRPr="002749BC">
        <w:t>recreation</w:t>
      </w:r>
      <w:r w:rsidR="00C3247C" w:rsidRPr="002749BC">
        <w:t xml:space="preserve"> </w:t>
      </w:r>
      <w:r w:rsidR="00F12B06">
        <w:t>sites that have different quality characteristics</w:t>
      </w:r>
      <w:r w:rsidR="00A34F81" w:rsidRPr="002749BC">
        <w:t xml:space="preserve">, </w:t>
      </w:r>
      <w:r>
        <w:t xml:space="preserve">or </w:t>
      </w:r>
      <w:r w:rsidR="00A34F81" w:rsidRPr="002749BC">
        <w:t>property purchase</w:t>
      </w:r>
      <w:r>
        <w:t xml:space="preserve"> or </w:t>
      </w:r>
      <w:r w:rsidR="00A34F81" w:rsidRPr="002749BC">
        <w:t xml:space="preserve">lease decisions. </w:t>
      </w:r>
      <w:r w:rsidR="001F0B93" w:rsidRPr="002749BC">
        <w:t xml:space="preserve">Where these data exist, they </w:t>
      </w:r>
      <w:r>
        <w:t xml:space="preserve">can </w:t>
      </w:r>
      <w:r w:rsidR="001F0B93" w:rsidRPr="002749BC">
        <w:t xml:space="preserve">provide reliable </w:t>
      </w:r>
      <w:r>
        <w:t>estimates</w:t>
      </w:r>
      <w:r w:rsidRPr="002749BC">
        <w:t xml:space="preserve"> </w:t>
      </w:r>
      <w:r w:rsidR="001F0B93" w:rsidRPr="002749BC">
        <w:t xml:space="preserve">of people’s preferences </w:t>
      </w:r>
      <w:r>
        <w:t>and monetary values for non-market goods</w:t>
      </w:r>
      <w:r w:rsidR="001F0B93" w:rsidRPr="002749BC">
        <w:t xml:space="preserve">. </w:t>
      </w:r>
      <w:r w:rsidR="00BF387D" w:rsidRPr="002749BC">
        <w:t>However, t</w:t>
      </w:r>
      <w:r w:rsidR="001F0B93" w:rsidRPr="002749BC">
        <w:t xml:space="preserve">he requirement for data on actual behaviours limits the use of revealed preference techniques </w:t>
      </w:r>
      <w:r w:rsidR="00F13C39" w:rsidRPr="002749BC">
        <w:t xml:space="preserve">to evaluating the value people place on choices that </w:t>
      </w:r>
      <w:r w:rsidR="00BF387D" w:rsidRPr="002749BC">
        <w:t>currently exist (or previously</w:t>
      </w:r>
      <w:r w:rsidR="00F13C39" w:rsidRPr="002749BC">
        <w:t xml:space="preserve"> exist</w:t>
      </w:r>
      <w:r w:rsidR="002555F2">
        <w:t>ed</w:t>
      </w:r>
      <w:r w:rsidR="00BF387D" w:rsidRPr="002749BC">
        <w:t>)</w:t>
      </w:r>
      <w:r w:rsidR="0017417E">
        <w:t>.</w:t>
      </w:r>
      <w:r w:rsidR="00BF387D" w:rsidRPr="005D11B8">
        <w:rPr>
          <w:rStyle w:val="FootnoteReference"/>
        </w:rPr>
        <w:footnoteReference w:id="3"/>
      </w:r>
      <w:r w:rsidR="00F13C39" w:rsidRPr="002749BC">
        <w:t xml:space="preserve"> </w:t>
      </w:r>
    </w:p>
    <w:p w14:paraId="45BDC013" w14:textId="00CE5A96" w:rsidR="00AE244C" w:rsidRPr="002749BC" w:rsidRDefault="00AE244C" w:rsidP="001B0CEE">
      <w:pPr>
        <w:pStyle w:val="Heading3"/>
      </w:pPr>
      <w:r w:rsidRPr="002749BC">
        <w:t>Stated Preference</w:t>
      </w:r>
    </w:p>
    <w:p w14:paraId="0775ED75" w14:textId="3996055A" w:rsidR="00F13C39" w:rsidRPr="002749BC" w:rsidRDefault="00F13C39" w:rsidP="00F13C39">
      <w:pPr>
        <w:pStyle w:val="BodyText"/>
        <w:rPr>
          <w:lang w:eastAsia="en-US"/>
        </w:rPr>
      </w:pPr>
      <w:r w:rsidRPr="002749BC">
        <w:rPr>
          <w:lang w:eastAsia="en-US"/>
        </w:rPr>
        <w:t>Stated preference valuation techniques survey a sample group to elicit information about how respondents value different options</w:t>
      </w:r>
      <w:r w:rsidR="00AB513D" w:rsidRPr="002749BC">
        <w:rPr>
          <w:lang w:eastAsia="en-US"/>
        </w:rPr>
        <w:t xml:space="preserve">. Stated preference techniques have become increasingly sophisticated over time both in response to concerns regarding the validity of responses and the desirability of extracting richer insights into customer preferences where products have more than one attribute.  </w:t>
      </w:r>
    </w:p>
    <w:p w14:paraId="2C85A915" w14:textId="77777777" w:rsidR="00AB513D" w:rsidRPr="002749BC" w:rsidRDefault="00AB513D" w:rsidP="00AB513D">
      <w:pPr>
        <w:pStyle w:val="Heading4"/>
      </w:pPr>
      <w:r w:rsidRPr="002749BC">
        <w:t>Contingent valuation</w:t>
      </w:r>
    </w:p>
    <w:p w14:paraId="1CE2A0CB" w14:textId="16BEB2C7" w:rsidR="007E4AC8" w:rsidRDefault="007E4AC8" w:rsidP="00AE67BC">
      <w:pPr>
        <w:pStyle w:val="BodyText"/>
      </w:pPr>
      <w:r>
        <w:t>There are two main forms of contingent valuation – open ended and discrete choice (or referendum format).</w:t>
      </w:r>
    </w:p>
    <w:p w14:paraId="6F9EF0CB" w14:textId="1B22A26F" w:rsidR="002555F2" w:rsidRDefault="007E4AC8" w:rsidP="00AE67BC">
      <w:pPr>
        <w:pStyle w:val="BodyText"/>
      </w:pPr>
      <w:r>
        <w:t>Open ended c</w:t>
      </w:r>
      <w:r w:rsidR="00AB513D" w:rsidRPr="002749BC">
        <w:t xml:space="preserve">ontingent </w:t>
      </w:r>
      <w:r>
        <w:t>v</w:t>
      </w:r>
      <w:r w:rsidR="00AB513D" w:rsidRPr="002749BC">
        <w:t xml:space="preserve">aluation was </w:t>
      </w:r>
      <w:r>
        <w:t xml:space="preserve">once </w:t>
      </w:r>
      <w:r w:rsidR="00AB513D" w:rsidRPr="002749BC">
        <w:t xml:space="preserve">the most common stated preference method. In its most basic form, respondents are asked an </w:t>
      </w:r>
      <w:r w:rsidR="00B44AB8" w:rsidRPr="002749BC">
        <w:t>open-ended</w:t>
      </w:r>
      <w:r w:rsidR="00AB513D" w:rsidRPr="002749BC">
        <w:t xml:space="preserve"> question about how much they would be willing to pay for a given improvement in a service or product</w:t>
      </w:r>
      <w:r w:rsidR="00B44AB8" w:rsidRPr="005D11B8">
        <w:rPr>
          <w:rStyle w:val="FootnoteReference"/>
        </w:rPr>
        <w:footnoteReference w:id="4"/>
      </w:r>
      <w:r w:rsidR="00AB513D" w:rsidRPr="002749BC">
        <w:t xml:space="preserve">. Then the responses are </w:t>
      </w:r>
      <w:r w:rsidR="00AE67BC" w:rsidRPr="002749BC">
        <w:t>regressed against variables of interest</w:t>
      </w:r>
      <w:r w:rsidR="00AB513D" w:rsidRPr="002749BC">
        <w:t xml:space="preserve"> to see how individual willingness to pay is affected by </w:t>
      </w:r>
      <w:r w:rsidR="00AE67BC" w:rsidRPr="002749BC">
        <w:t>those</w:t>
      </w:r>
      <w:r w:rsidR="00AB513D" w:rsidRPr="002749BC">
        <w:t xml:space="preserve"> variables. This form of contingent valuation is now rarely used because </w:t>
      </w:r>
      <w:r w:rsidR="00AE67BC" w:rsidRPr="002749BC">
        <w:t>responses</w:t>
      </w:r>
      <w:r w:rsidR="00AB513D" w:rsidRPr="002749BC">
        <w:t xml:space="preserve"> </w:t>
      </w:r>
      <w:r w:rsidR="00AE67BC" w:rsidRPr="002749BC">
        <w:t>have</w:t>
      </w:r>
      <w:r w:rsidR="00AB513D" w:rsidRPr="002749BC">
        <w:t xml:space="preserve"> been found to be vulnerable to a range of biases</w:t>
      </w:r>
      <w:r w:rsidR="0017417E">
        <w:t>.</w:t>
      </w:r>
      <w:r w:rsidR="00AE67BC" w:rsidRPr="005D11B8">
        <w:rPr>
          <w:rStyle w:val="FootnoteReference"/>
        </w:rPr>
        <w:footnoteReference w:id="5"/>
      </w:r>
      <w:r w:rsidR="00AE67BC" w:rsidRPr="002749BC">
        <w:rPr>
          <w:vertAlign w:val="superscript"/>
        </w:rPr>
        <w:t>,</w:t>
      </w:r>
      <w:r w:rsidR="00AB513D" w:rsidRPr="005D11B8">
        <w:rPr>
          <w:rStyle w:val="FootnoteReference"/>
        </w:rPr>
        <w:footnoteReference w:id="6"/>
      </w:r>
    </w:p>
    <w:p w14:paraId="26DCF87B" w14:textId="4CB5137D" w:rsidR="00AE67BC" w:rsidRPr="002749BC" w:rsidRDefault="00AE67BC" w:rsidP="00AE67BC">
      <w:pPr>
        <w:pStyle w:val="BodyText"/>
      </w:pPr>
      <w:r w:rsidRPr="002749BC">
        <w:t>The second main form of contingent valuation – sometimes called the</w:t>
      </w:r>
      <w:r w:rsidR="00AB513D" w:rsidRPr="002749BC">
        <w:t xml:space="preserve"> referendum form</w:t>
      </w:r>
      <w:r w:rsidRPr="002749BC">
        <w:t xml:space="preserve"> – </w:t>
      </w:r>
      <w:r w:rsidR="00AB513D" w:rsidRPr="002749BC">
        <w:t>present</w:t>
      </w:r>
      <w:r w:rsidRPr="002749BC">
        <w:t>s respondents</w:t>
      </w:r>
      <w:r w:rsidR="00AB513D" w:rsidRPr="002749BC">
        <w:t xml:space="preserve"> with a </w:t>
      </w:r>
      <w:r w:rsidRPr="002749BC">
        <w:t>specific</w:t>
      </w:r>
      <w:r w:rsidR="00AB513D" w:rsidRPr="002749BC">
        <w:t xml:space="preserve"> payment </w:t>
      </w:r>
      <w:r w:rsidRPr="002749BC">
        <w:t xml:space="preserve">amount </w:t>
      </w:r>
      <w:r w:rsidR="00AB513D" w:rsidRPr="002749BC">
        <w:t xml:space="preserve">and </w:t>
      </w:r>
      <w:r w:rsidRPr="002749BC">
        <w:t>respondents are asked</w:t>
      </w:r>
      <w:r w:rsidR="00AB513D" w:rsidRPr="002749BC">
        <w:t xml:space="preserve"> </w:t>
      </w:r>
      <w:r w:rsidR="00AB513D" w:rsidRPr="002749BC">
        <w:lastRenderedPageBreak/>
        <w:t xml:space="preserve">whether they would be </w:t>
      </w:r>
      <w:r w:rsidRPr="002749BC">
        <w:t>willing</w:t>
      </w:r>
      <w:r w:rsidR="00AB513D" w:rsidRPr="002749BC">
        <w:t xml:space="preserve"> to pay that amount. </w:t>
      </w:r>
      <w:r w:rsidRPr="002749BC">
        <w:t xml:space="preserve">This closed questioning structure, combined with well-established protocols for designing surveys, addresses most of the concerns regarding bias in survey responses. Contingent valuation of this kind offers respondents a binary choice, typically between paying no extra and maintaining the status quo or paying the specified amount to improve quality as measured by a given attribute of interest, like travel time. Thus, in a contingent valuation survey (referendum form), respondents </w:t>
      </w:r>
      <w:r w:rsidR="00451E42" w:rsidRPr="002749BC">
        <w:t>could</w:t>
      </w:r>
      <w:r w:rsidRPr="002749BC">
        <w:t xml:space="preserve"> be asked:</w:t>
      </w:r>
    </w:p>
    <w:p w14:paraId="7230D0F6" w14:textId="4B17285F" w:rsidR="00AE67BC" w:rsidRPr="002749BC" w:rsidRDefault="002555F2" w:rsidP="00AE67BC">
      <w:pPr>
        <w:pStyle w:val="Quote"/>
        <w:rPr>
          <w:lang w:val="en-AU"/>
        </w:rPr>
      </w:pPr>
      <w:r>
        <w:rPr>
          <w:lang w:val="en-AU"/>
        </w:rPr>
        <w:t>“</w:t>
      </w:r>
      <w:r w:rsidR="00AE67BC" w:rsidRPr="002749BC">
        <w:rPr>
          <w:lang w:val="en-AU"/>
        </w:rPr>
        <w:t xml:space="preserve">Would you be willing to pay an additional $10 per year for a guarantee that customer service call wait times would </w:t>
      </w:r>
      <w:r w:rsidR="00451E42" w:rsidRPr="002749BC">
        <w:rPr>
          <w:lang w:val="en-AU"/>
        </w:rPr>
        <w:t>not exceed 10 minutes</w:t>
      </w:r>
      <w:r w:rsidR="00AE67BC" w:rsidRPr="002749BC">
        <w:rPr>
          <w:lang w:val="en-AU"/>
        </w:rPr>
        <w:t>? (yes or no)</w:t>
      </w:r>
      <w:r>
        <w:rPr>
          <w:lang w:val="en-AU"/>
        </w:rPr>
        <w:t>”</w:t>
      </w:r>
    </w:p>
    <w:p w14:paraId="19B0D086" w14:textId="52776AA5" w:rsidR="00003502" w:rsidRPr="002749BC" w:rsidRDefault="00B44AB8" w:rsidP="00B44AB8">
      <w:pPr>
        <w:pStyle w:val="BodyText"/>
        <w:rPr>
          <w:lang w:eastAsia="en-US"/>
        </w:rPr>
      </w:pPr>
      <w:r w:rsidRPr="002749BC">
        <w:rPr>
          <w:lang w:eastAsia="en-US"/>
        </w:rPr>
        <w:t xml:space="preserve">Respondents are assumed to be trying to maximise their welfare by weighing the benefit they get from the improvement in quality against the increased cost. In the question above, the two factors influencing the respondent’s utility are </w:t>
      </w:r>
      <w:r w:rsidR="003D5EEB" w:rsidRPr="002749BC">
        <w:rPr>
          <w:lang w:eastAsia="en-US"/>
        </w:rPr>
        <w:t xml:space="preserve">the bid amount “$10” and </w:t>
      </w:r>
      <w:r w:rsidRPr="002749BC">
        <w:rPr>
          <w:lang w:eastAsia="en-US"/>
        </w:rPr>
        <w:t xml:space="preserve">the quality level </w:t>
      </w:r>
      <w:r w:rsidR="003D5EEB" w:rsidRPr="002749BC">
        <w:rPr>
          <w:lang w:eastAsia="en-US"/>
        </w:rPr>
        <w:t>defined as “</w:t>
      </w:r>
      <w:r w:rsidR="003D5EEB" w:rsidRPr="002749BC">
        <w:t>service call wait times that don’t exceed 10 minutes</w:t>
      </w:r>
      <w:r w:rsidR="003D5EEB" w:rsidRPr="002749BC">
        <w:rPr>
          <w:lang w:eastAsia="en-US"/>
        </w:rPr>
        <w:t>”</w:t>
      </w:r>
      <w:r w:rsidRPr="002749BC">
        <w:rPr>
          <w:lang w:eastAsia="en-US"/>
        </w:rPr>
        <w:t xml:space="preserve">. </w:t>
      </w:r>
      <w:r w:rsidR="003D5EEB" w:rsidRPr="002749BC">
        <w:rPr>
          <w:lang w:eastAsia="en-US"/>
        </w:rPr>
        <w:t xml:space="preserve">In practice, the levels of these factors </w:t>
      </w:r>
      <w:r w:rsidR="007E4AC8">
        <w:rPr>
          <w:lang w:eastAsia="en-US"/>
        </w:rPr>
        <w:t xml:space="preserve">are varied </w:t>
      </w:r>
      <w:r w:rsidR="003D5EEB" w:rsidRPr="002749BC">
        <w:rPr>
          <w:lang w:eastAsia="en-US"/>
        </w:rPr>
        <w:t>systematically across respondents</w:t>
      </w:r>
      <w:r w:rsidR="007E4AC8">
        <w:rPr>
          <w:lang w:eastAsia="en-US"/>
        </w:rPr>
        <w:t>.</w:t>
      </w:r>
      <w:r w:rsidR="003D5EEB" w:rsidRPr="002749BC">
        <w:rPr>
          <w:lang w:eastAsia="en-US"/>
        </w:rPr>
        <w:t xml:space="preserve"> </w:t>
      </w:r>
      <w:r w:rsidR="007E4AC8">
        <w:rPr>
          <w:lang w:eastAsia="en-US"/>
        </w:rPr>
        <w:t>T</w:t>
      </w:r>
      <w:r w:rsidR="003D5EEB" w:rsidRPr="002749BC">
        <w:rPr>
          <w:lang w:eastAsia="en-US"/>
        </w:rPr>
        <w:t xml:space="preserve">he responses are </w:t>
      </w:r>
      <w:r w:rsidR="007E4AC8">
        <w:rPr>
          <w:lang w:eastAsia="en-US"/>
        </w:rPr>
        <w:t xml:space="preserve">then </w:t>
      </w:r>
      <w:r w:rsidR="003D5EEB" w:rsidRPr="002749BC">
        <w:rPr>
          <w:lang w:eastAsia="en-US"/>
        </w:rPr>
        <w:t>used to estimate a statistical model that predicts choices of the respondents as well as</w:t>
      </w:r>
      <w:r w:rsidR="007E4AC8">
        <w:rPr>
          <w:lang w:eastAsia="en-US"/>
        </w:rPr>
        <w:t xml:space="preserve"> permitting values to be estimated for changes ‘at the margin’ (e.g. dollars per minute of wait time reduction)</w:t>
      </w:r>
      <w:r w:rsidR="003D5EEB" w:rsidRPr="002749BC">
        <w:rPr>
          <w:lang w:eastAsia="en-US"/>
        </w:rPr>
        <w:t xml:space="preserve">. </w:t>
      </w:r>
      <w:r w:rsidR="00451E42" w:rsidRPr="002749BC">
        <w:rPr>
          <w:lang w:eastAsia="en-US"/>
        </w:rPr>
        <w:t xml:space="preserve">The statistical techniques used to process responses to a </w:t>
      </w:r>
      <w:r w:rsidRPr="002749BC">
        <w:rPr>
          <w:lang w:eastAsia="en-US"/>
        </w:rPr>
        <w:t xml:space="preserve">referendum-style </w:t>
      </w:r>
      <w:r w:rsidR="00451E42" w:rsidRPr="002749BC">
        <w:rPr>
          <w:lang w:eastAsia="en-US"/>
        </w:rPr>
        <w:t xml:space="preserve">contingent </w:t>
      </w:r>
      <w:r w:rsidRPr="002749BC">
        <w:rPr>
          <w:lang w:eastAsia="en-US"/>
        </w:rPr>
        <w:t xml:space="preserve">valuation survey are more complex than warrants discussion in this </w:t>
      </w:r>
      <w:r w:rsidR="005C242B" w:rsidRPr="002749BC">
        <w:rPr>
          <w:lang w:eastAsia="en-US"/>
        </w:rPr>
        <w:t>report but</w:t>
      </w:r>
      <w:r w:rsidRPr="002749BC">
        <w:rPr>
          <w:lang w:eastAsia="en-US"/>
        </w:rPr>
        <w:t xml:space="preserve"> are set out in a relative accessible way by Louviere et al (2000).</w:t>
      </w:r>
      <w:r w:rsidRPr="005D11B8">
        <w:rPr>
          <w:rStyle w:val="FootnoteReference"/>
        </w:rPr>
        <w:footnoteReference w:id="7"/>
      </w:r>
    </w:p>
    <w:p w14:paraId="44D42CC7" w14:textId="03D0C7E8" w:rsidR="00003502" w:rsidRPr="002749BC" w:rsidRDefault="00003502" w:rsidP="00B44AB8">
      <w:pPr>
        <w:pStyle w:val="BodyText"/>
        <w:rPr>
          <w:lang w:eastAsia="en-US"/>
        </w:rPr>
      </w:pPr>
      <w:r w:rsidRPr="002749BC">
        <w:rPr>
          <w:lang w:eastAsia="en-US"/>
        </w:rPr>
        <w:t>The referendum-style contingent valuation technique is most useful in valuing single outcome changes. A relevant example of this might be to value a specific and binary policy proposal such as to eliminate service call wait times.</w:t>
      </w:r>
      <w:r w:rsidR="00867B4A" w:rsidRPr="002749BC">
        <w:rPr>
          <w:lang w:eastAsia="en-US"/>
        </w:rPr>
        <w:t xml:space="preserve"> In practice, customers may be interested in multiple characteristics or attributes of a given service or product</w:t>
      </w:r>
      <w:r w:rsidR="002555F2">
        <w:rPr>
          <w:lang w:eastAsia="en-US"/>
        </w:rPr>
        <w:t>, in which case contingent valuation may be less useful</w:t>
      </w:r>
      <w:r w:rsidR="00867B4A" w:rsidRPr="002749BC">
        <w:rPr>
          <w:lang w:eastAsia="en-US"/>
        </w:rPr>
        <w:t xml:space="preserve">. However, referendum-style contingent surveys tend to be cheaper to develop and administer than the more sophisticated choice modelling technique discussed in the following section.   </w:t>
      </w:r>
    </w:p>
    <w:p w14:paraId="06E24476" w14:textId="57089CCD" w:rsidR="00A34F81" w:rsidRPr="002749BC" w:rsidRDefault="00A34F81" w:rsidP="00AE244C">
      <w:pPr>
        <w:pStyle w:val="Heading4"/>
      </w:pPr>
      <w:r w:rsidRPr="002749BC">
        <w:t xml:space="preserve">Choice modelling </w:t>
      </w:r>
    </w:p>
    <w:p w14:paraId="25D0C55E" w14:textId="11747D55" w:rsidR="00B81E90" w:rsidRPr="002749BC" w:rsidRDefault="00A34F81" w:rsidP="00A34F81">
      <w:pPr>
        <w:pStyle w:val="BodyText"/>
      </w:pPr>
      <w:r w:rsidRPr="002749BC">
        <w:t xml:space="preserve">Choice </w:t>
      </w:r>
      <w:r w:rsidR="002555F2" w:rsidRPr="002749BC">
        <w:t>modelling</w:t>
      </w:r>
      <w:r w:rsidRPr="002749BC">
        <w:t xml:space="preserve"> is a</w:t>
      </w:r>
      <w:r w:rsidR="00B44AB8" w:rsidRPr="002749BC">
        <w:t>nother</w:t>
      </w:r>
      <w:r w:rsidRPr="002749BC">
        <w:t xml:space="preserve"> </w:t>
      </w:r>
      <w:r w:rsidR="00B44AB8" w:rsidRPr="002749BC">
        <w:t>s</w:t>
      </w:r>
      <w:r w:rsidRPr="002749BC">
        <w:t xml:space="preserve">tated </w:t>
      </w:r>
      <w:r w:rsidR="00B44AB8" w:rsidRPr="002749BC">
        <w:t>p</w:t>
      </w:r>
      <w:r w:rsidRPr="002749BC">
        <w:t>reference technique</w:t>
      </w:r>
      <w:r w:rsidR="00B44AB8" w:rsidRPr="002749BC">
        <w:t xml:space="preserve"> that extends the referendum-style contingent valuation approach</w:t>
      </w:r>
      <w:r w:rsidR="00F6667F" w:rsidRPr="002749BC">
        <w:t xml:space="preserve"> by </w:t>
      </w:r>
      <w:r w:rsidR="00B81E90" w:rsidRPr="002749BC">
        <w:t xml:space="preserve">presenting </w:t>
      </w:r>
      <w:r w:rsidR="003B1FC9" w:rsidRPr="002749BC">
        <w:t xml:space="preserve">predefined options but </w:t>
      </w:r>
      <w:r w:rsidR="00F6667F" w:rsidRPr="002749BC">
        <w:t xml:space="preserve">expanding the </w:t>
      </w:r>
      <w:r w:rsidR="007E4AC8">
        <w:t>number of factors (or attributes) presented to respondents for valuing.</w:t>
      </w:r>
      <w:r w:rsidRPr="002749BC">
        <w:t xml:space="preserve"> </w:t>
      </w:r>
    </w:p>
    <w:p w14:paraId="31691AD7" w14:textId="39CB2567" w:rsidR="00A34F81" w:rsidRPr="002749BC" w:rsidRDefault="00B44AB8" w:rsidP="00A34F81">
      <w:pPr>
        <w:pStyle w:val="BodyText"/>
      </w:pPr>
      <w:r w:rsidRPr="002749BC">
        <w:lastRenderedPageBreak/>
        <w:t xml:space="preserve">A choice modelling survey presents respondents with </w:t>
      </w:r>
      <w:r w:rsidR="00003502" w:rsidRPr="002749BC">
        <w:t>a so-called “choice set” – a set of</w:t>
      </w:r>
      <w:r w:rsidRPr="002749BC">
        <w:t xml:space="preserve"> </w:t>
      </w:r>
      <w:r w:rsidR="00A34F81" w:rsidRPr="002749BC">
        <w:t>alternatives</w:t>
      </w:r>
      <w:r w:rsidR="00003502" w:rsidRPr="002749BC">
        <w:t xml:space="preserve"> (usually three)</w:t>
      </w:r>
      <w:r w:rsidR="00A34F81" w:rsidRPr="002749BC">
        <w:t xml:space="preserve"> </w:t>
      </w:r>
      <w:r w:rsidR="005C242B" w:rsidRPr="002749BC">
        <w:t xml:space="preserve">related to the service or product of interest. Each alternative is usually described as a </w:t>
      </w:r>
      <w:r w:rsidR="00003502" w:rsidRPr="002749BC">
        <w:t>mix</w:t>
      </w:r>
      <w:r w:rsidR="005C242B" w:rsidRPr="002749BC">
        <w:t xml:space="preserve"> of </w:t>
      </w:r>
      <w:r w:rsidR="00003502" w:rsidRPr="002749BC">
        <w:t>relevant</w:t>
      </w:r>
      <w:r w:rsidR="00B54108">
        <w:t xml:space="preserve"> attributes</w:t>
      </w:r>
      <w:r w:rsidR="00A34F81" w:rsidRPr="002749BC">
        <w:t xml:space="preserve">. </w:t>
      </w:r>
      <w:r w:rsidR="00003502" w:rsidRPr="002749BC">
        <w:t>In each choice set,</w:t>
      </w:r>
      <w:r w:rsidR="00A34F81" w:rsidRPr="002749BC">
        <w:t xml:space="preserve"> one of </w:t>
      </w:r>
      <w:r w:rsidR="00003502" w:rsidRPr="002749BC">
        <w:t>the</w:t>
      </w:r>
      <w:r w:rsidR="00A34F81" w:rsidRPr="002749BC">
        <w:t xml:space="preserve"> alternatives </w:t>
      </w:r>
      <w:r w:rsidR="00003502" w:rsidRPr="002749BC">
        <w:t>will describe the existing attributes of the service or product</w:t>
      </w:r>
      <w:r w:rsidR="00A34F81" w:rsidRPr="002749BC">
        <w:t xml:space="preserve"> </w:t>
      </w:r>
      <w:r w:rsidR="00003502" w:rsidRPr="002749BC">
        <w:t>and</w:t>
      </w:r>
      <w:r w:rsidR="00A34F81" w:rsidRPr="002749BC">
        <w:t xml:space="preserve"> the other two </w:t>
      </w:r>
      <w:r w:rsidR="00003502" w:rsidRPr="002749BC">
        <w:t xml:space="preserve">alternatives will offer modifications to the status quo </w:t>
      </w:r>
      <w:r w:rsidR="002555F2">
        <w:t>produce or service</w:t>
      </w:r>
      <w:r w:rsidR="00A34F81" w:rsidRPr="002749BC">
        <w:t xml:space="preserve">. </w:t>
      </w:r>
      <w:r w:rsidR="00FB37B9" w:rsidRPr="002749BC">
        <w:t>Each attribute included in the definition of an alternative will be allowed to take on</w:t>
      </w:r>
      <w:r w:rsidR="000C0992" w:rsidRPr="002749BC">
        <w:t>e</w:t>
      </w:r>
      <w:r w:rsidR="00FB37B9" w:rsidRPr="002749BC">
        <w:t xml:space="preserve"> </w:t>
      </w:r>
      <w:r w:rsidR="000C0992" w:rsidRPr="002749BC">
        <w:t>of a discrete set of values</w:t>
      </w:r>
      <w:r w:rsidR="006D5B03" w:rsidRPr="002749BC">
        <w:t xml:space="preserve"> or levels.</w:t>
      </w:r>
      <w:r w:rsidR="000C0992" w:rsidRPr="002749BC">
        <w:t xml:space="preserve"> </w:t>
      </w:r>
      <w:r w:rsidR="00003502" w:rsidRPr="002749BC">
        <w:t>A limited number of choice sets will be presented to each individual respondent (typically around</w:t>
      </w:r>
      <w:r w:rsidR="00A34F81" w:rsidRPr="002749BC">
        <w:t xml:space="preserve"> eight</w:t>
      </w:r>
      <w:r w:rsidR="00003502" w:rsidRPr="002749BC">
        <w:t>), who will be asked indicate</w:t>
      </w:r>
      <w:r w:rsidR="00A34F81" w:rsidRPr="002749BC">
        <w:t xml:space="preserve"> their </w:t>
      </w:r>
      <w:r w:rsidR="00003502" w:rsidRPr="002749BC">
        <w:t>preferred</w:t>
      </w:r>
      <w:r w:rsidR="00A34F81" w:rsidRPr="002749BC">
        <w:t xml:space="preserve"> alternative</w:t>
      </w:r>
      <w:r w:rsidR="00003502" w:rsidRPr="002749BC">
        <w:t xml:space="preserve"> within each set</w:t>
      </w:r>
      <w:r w:rsidR="00A34F81" w:rsidRPr="002749BC">
        <w:t>.</w:t>
      </w:r>
      <w:r w:rsidR="00A46B43" w:rsidRPr="005D11B8">
        <w:rPr>
          <w:rStyle w:val="FootnoteReference"/>
        </w:rPr>
        <w:footnoteReference w:id="8"/>
      </w:r>
      <w:r w:rsidR="003B1FC9" w:rsidRPr="002749BC">
        <w:t xml:space="preserve"> </w:t>
      </w:r>
    </w:p>
    <w:p w14:paraId="0D0F657C" w14:textId="1ABE3832" w:rsidR="003F38BB" w:rsidRPr="002749BC" w:rsidRDefault="00132576" w:rsidP="003F38BB">
      <w:pPr>
        <w:pStyle w:val="BodyText"/>
      </w:pPr>
      <w:r w:rsidRPr="002749BC">
        <w:t xml:space="preserve">Data from a choice model survey are used to estimate a statistical model of </w:t>
      </w:r>
      <w:r w:rsidR="00AF2E7D" w:rsidRPr="002749BC">
        <w:t>product</w:t>
      </w:r>
      <w:r w:rsidR="00386FB6" w:rsidRPr="002749BC">
        <w:t xml:space="preserve"> choice</w:t>
      </w:r>
      <w:r w:rsidR="00AF2E7D" w:rsidRPr="002749BC">
        <w:t xml:space="preserve">. </w:t>
      </w:r>
      <w:r w:rsidR="00386FB6" w:rsidRPr="002749BC">
        <w:t xml:space="preserve">The model </w:t>
      </w:r>
      <w:r w:rsidR="001236B8" w:rsidRPr="002749BC">
        <w:t>can then be used to estimate customers’ preparedness to trade attributes off against one another</w:t>
      </w:r>
      <w:r w:rsidR="003F38BB" w:rsidRPr="002749BC">
        <w:t>. Further</w:t>
      </w:r>
      <w:r w:rsidR="0089102A" w:rsidRPr="002749BC">
        <w:t xml:space="preserve">, since one of the measured attributes will generally be measured in dollars </w:t>
      </w:r>
      <w:r w:rsidR="00EE4C77" w:rsidRPr="002749BC">
        <w:t>(</w:t>
      </w:r>
      <w:r w:rsidR="003F38BB" w:rsidRPr="002749BC">
        <w:t xml:space="preserve">e.g. </w:t>
      </w:r>
      <w:r w:rsidR="00EE4C77" w:rsidRPr="002749BC">
        <w:t xml:space="preserve">the price of a fare or the value of a compensation payment) any given attribute can be analysed in terms of the monetary value </w:t>
      </w:r>
      <w:r w:rsidR="00C25386" w:rsidRPr="002749BC">
        <w:t xml:space="preserve">people would be willing to give up for an additional increment of the </w:t>
      </w:r>
      <w:r w:rsidR="003F38BB" w:rsidRPr="002749BC">
        <w:t>attribute of interest</w:t>
      </w:r>
      <w:r w:rsidR="00386FB6" w:rsidRPr="002749BC">
        <w:t xml:space="preserve">. </w:t>
      </w:r>
    </w:p>
    <w:p w14:paraId="333A20FE" w14:textId="15A2D4EF" w:rsidR="00586053" w:rsidRPr="002749BC" w:rsidRDefault="00A46B43" w:rsidP="009E57CB">
      <w:pPr>
        <w:pStyle w:val="BodyText"/>
      </w:pPr>
      <w:r w:rsidRPr="002749BC">
        <w:t xml:space="preserve">An example of </w:t>
      </w:r>
      <w:r w:rsidR="008112C6" w:rsidRPr="002749BC">
        <w:t>a choice set from an actual choice modelling study</w:t>
      </w:r>
      <w:r w:rsidR="00B36A08" w:rsidRPr="002749BC">
        <w:t xml:space="preserve"> may be instructive</w:t>
      </w:r>
      <w:r w:rsidR="008112C6" w:rsidRPr="002749BC">
        <w:t xml:space="preserve">. In </w:t>
      </w:r>
      <w:r w:rsidR="00B36A08" w:rsidRPr="002749BC">
        <w:t>1999</w:t>
      </w:r>
      <w:r w:rsidR="008112C6" w:rsidRPr="002749BC">
        <w:t>, researchers administered a survey to 143 commuters in urban New Zealand to evaluate their preferences concerning travel times, congestion, certainty and transport costs</w:t>
      </w:r>
      <w:r w:rsidR="0017417E">
        <w:t>.</w:t>
      </w:r>
      <w:r w:rsidR="00376036" w:rsidRPr="005D11B8">
        <w:rPr>
          <w:rStyle w:val="FootnoteReference"/>
        </w:rPr>
        <w:footnoteReference w:id="9"/>
      </w:r>
      <w:r w:rsidR="008112C6" w:rsidRPr="002749BC">
        <w:t xml:space="preserve"> </w:t>
      </w:r>
      <w:r w:rsidR="009E57CB" w:rsidRPr="002749BC">
        <w:t xml:space="preserve">Each option is described in terms of multiple attributes – any of which may be particularly decisive in a given respondent’s willingness to pay for that option. The researchers </w:t>
      </w:r>
      <w:r w:rsidR="00790404">
        <w:t xml:space="preserve"> </w:t>
      </w:r>
      <w:r w:rsidR="00863B20">
        <w:t>included two options</w:t>
      </w:r>
      <w:r w:rsidR="009E57CB" w:rsidRPr="002749BC">
        <w:t xml:space="preserve"> in each choice set</w:t>
      </w:r>
      <w:r w:rsidR="00863B20">
        <w:t xml:space="preserve"> - </w:t>
      </w:r>
      <w:r w:rsidR="00863B20" w:rsidRPr="002749BC">
        <w:t>var</w:t>
      </w:r>
      <w:r w:rsidR="00863B20">
        <w:t>y</w:t>
      </w:r>
      <w:r w:rsidR="00863B20" w:rsidRPr="002749BC">
        <w:t>i</w:t>
      </w:r>
      <w:r w:rsidR="00863B20">
        <w:t>ng</w:t>
      </w:r>
      <w:r w:rsidR="00863B20" w:rsidRPr="002749BC">
        <w:t xml:space="preserve"> </w:t>
      </w:r>
      <w:r w:rsidR="00863B20">
        <w:t>the specification of those options in each choice set presented</w:t>
      </w:r>
      <w:r w:rsidR="009E57CB" w:rsidRPr="002749BC">
        <w:t>. They presented multiple choice sets to each respondent to increase the statistical power of the study</w:t>
      </w:r>
      <w:r w:rsidR="0017417E">
        <w:t>.</w:t>
      </w:r>
      <w:r w:rsidR="009E57CB" w:rsidRPr="005D11B8">
        <w:rPr>
          <w:rStyle w:val="FootnoteReference"/>
        </w:rPr>
        <w:footnoteReference w:id="10"/>
      </w:r>
      <w:r w:rsidR="009E57CB" w:rsidRPr="002749BC">
        <w:t xml:space="preserve">  </w:t>
      </w:r>
      <w:r w:rsidR="00586053" w:rsidRPr="002749BC">
        <w:t xml:space="preserve">Using the data collected from this choice modelling experiment, the researchers were able to evaluate the willingness of </w:t>
      </w:r>
      <w:r w:rsidR="00A874BB" w:rsidRPr="002749BC">
        <w:t xml:space="preserve">commuters to pay, in the form of a hypothetical road toll, </w:t>
      </w:r>
      <w:r w:rsidR="003B3BE0" w:rsidRPr="002749BC">
        <w:t xml:space="preserve">per minute reduction in commute time or per </w:t>
      </w:r>
      <w:r w:rsidR="00C46B62" w:rsidRPr="002749BC">
        <w:t xml:space="preserve">percentage point reduction in arrival time uncertainty. </w:t>
      </w:r>
      <w:r w:rsidR="00C6092B" w:rsidRPr="00C6092B">
        <w:t xml:space="preserve">A slightly more complicated telecommunications example </w:t>
      </w:r>
      <w:r w:rsidR="00C6092B">
        <w:t xml:space="preserve">of a choice modelling study </w:t>
      </w:r>
      <w:r w:rsidR="00C6092B" w:rsidRPr="00C6092B">
        <w:t xml:space="preserve">is provided in Appendix </w:t>
      </w:r>
      <w:r w:rsidR="00C6092B">
        <w:fldChar w:fldCharType="begin"/>
      </w:r>
      <w:r w:rsidR="00C6092B">
        <w:instrText xml:space="preserve"> REF _Ref4706465 \n \h </w:instrText>
      </w:r>
      <w:r w:rsidR="00C6092B">
        <w:fldChar w:fldCharType="separate"/>
      </w:r>
      <w:r w:rsidR="00176422">
        <w:t>A</w:t>
      </w:r>
      <w:r w:rsidR="00C6092B">
        <w:fldChar w:fldCharType="end"/>
      </w:r>
      <w:r w:rsidR="00C6092B">
        <w:t>.</w:t>
      </w:r>
    </w:p>
    <w:p w14:paraId="10FBEECE" w14:textId="6B586BE6" w:rsidR="00F67A94" w:rsidRDefault="00E80E7D" w:rsidP="00E80E7D">
      <w:pPr>
        <w:pStyle w:val="BodyText"/>
        <w:rPr>
          <w:lang w:eastAsia="en-US"/>
        </w:rPr>
      </w:pPr>
      <w:r w:rsidRPr="002749BC">
        <w:rPr>
          <w:lang w:eastAsia="en-US"/>
        </w:rPr>
        <w:t>Choice modelling offer</w:t>
      </w:r>
      <w:r w:rsidR="00CC6031">
        <w:rPr>
          <w:lang w:eastAsia="en-US"/>
        </w:rPr>
        <w:t>s</w:t>
      </w:r>
      <w:r w:rsidRPr="002749BC">
        <w:rPr>
          <w:lang w:eastAsia="en-US"/>
        </w:rPr>
        <w:t xml:space="preserve"> several advantages over the referendum-style contingent valuation approach</w:t>
      </w:r>
      <w:r w:rsidR="00336B6F">
        <w:rPr>
          <w:lang w:eastAsia="en-US"/>
        </w:rPr>
        <w:t xml:space="preserve">. </w:t>
      </w:r>
      <w:r w:rsidRPr="002749BC">
        <w:rPr>
          <w:lang w:eastAsia="en-US"/>
        </w:rPr>
        <w:t xml:space="preserve">Firstly, it allows the researcher to test preferences over a mix of attributes – which can be important in the context of </w:t>
      </w:r>
      <w:r w:rsidR="00F67A94">
        <w:rPr>
          <w:lang w:eastAsia="en-US"/>
        </w:rPr>
        <w:t xml:space="preserve">alternative </w:t>
      </w:r>
      <w:r w:rsidRPr="002749BC">
        <w:rPr>
          <w:lang w:eastAsia="en-US"/>
        </w:rPr>
        <w:t>service</w:t>
      </w:r>
      <w:r w:rsidR="00F67A94">
        <w:rPr>
          <w:lang w:eastAsia="en-US"/>
        </w:rPr>
        <w:t xml:space="preserve"> packages that contain multiple attributes, the levels of which differ across packages (or options).</w:t>
      </w:r>
      <w:r w:rsidRPr="002749BC">
        <w:rPr>
          <w:lang w:eastAsia="en-US"/>
        </w:rPr>
        <w:t xml:space="preserve"> In the </w:t>
      </w:r>
      <w:r w:rsidR="00A40800" w:rsidRPr="002749BC">
        <w:rPr>
          <w:lang w:eastAsia="en-US"/>
        </w:rPr>
        <w:t>telecommunications</w:t>
      </w:r>
      <w:r w:rsidRPr="002749BC">
        <w:rPr>
          <w:lang w:eastAsia="en-US"/>
        </w:rPr>
        <w:t xml:space="preserve"> context</w:t>
      </w:r>
      <w:r w:rsidR="00A40800" w:rsidRPr="002749BC">
        <w:rPr>
          <w:lang w:eastAsia="en-US"/>
        </w:rPr>
        <w:t>,</w:t>
      </w:r>
      <w:r w:rsidRPr="002749BC">
        <w:rPr>
          <w:lang w:eastAsia="en-US"/>
        </w:rPr>
        <w:t xml:space="preserve"> this </w:t>
      </w:r>
      <w:r w:rsidR="00A40800" w:rsidRPr="002749BC">
        <w:rPr>
          <w:lang w:eastAsia="en-US"/>
        </w:rPr>
        <w:t>could</w:t>
      </w:r>
      <w:r w:rsidRPr="002749BC">
        <w:rPr>
          <w:lang w:eastAsia="en-US"/>
        </w:rPr>
        <w:t xml:space="preserve"> include </w:t>
      </w:r>
      <w:r w:rsidR="00F67A94">
        <w:rPr>
          <w:lang w:eastAsia="en-US"/>
        </w:rPr>
        <w:t xml:space="preserve">hypothetical new service packages </w:t>
      </w:r>
      <w:r w:rsidR="00F67A94">
        <w:rPr>
          <w:lang w:eastAsia="en-US"/>
        </w:rPr>
        <w:lastRenderedPageBreak/>
        <w:t xml:space="preserve">that differ according to </w:t>
      </w:r>
      <w:r w:rsidRPr="002749BC">
        <w:rPr>
          <w:lang w:eastAsia="en-US"/>
        </w:rPr>
        <w:t xml:space="preserve">the </w:t>
      </w:r>
      <w:r w:rsidR="00A40800" w:rsidRPr="002749BC">
        <w:rPr>
          <w:lang w:eastAsia="en-US"/>
        </w:rPr>
        <w:t>plan price, whether call-centres are based in Australia, the hours within which service calls can be received, the availability of a call-back service, the quality of online service resolution procedures in addition to the time required on the phone resolving a problem.</w:t>
      </w:r>
      <w:r w:rsidRPr="002749BC">
        <w:rPr>
          <w:lang w:eastAsia="en-US"/>
        </w:rPr>
        <w:t xml:space="preserve"> </w:t>
      </w:r>
    </w:p>
    <w:p w14:paraId="08890C93" w14:textId="37B6ACC6" w:rsidR="00F67A94" w:rsidRDefault="00F67A94" w:rsidP="00E80E7D">
      <w:pPr>
        <w:pStyle w:val="BodyText"/>
        <w:rPr>
          <w:lang w:eastAsia="en-US"/>
        </w:rPr>
      </w:pPr>
      <w:r>
        <w:rPr>
          <w:lang w:eastAsia="en-US"/>
        </w:rPr>
        <w:t xml:space="preserve">Secondly, it allows a more realistic contextual setting, in which customers are often confronted with multiple </w:t>
      </w:r>
      <w:r w:rsidR="00E964AD">
        <w:rPr>
          <w:lang w:eastAsia="en-US"/>
        </w:rPr>
        <w:t>trade-offs</w:t>
      </w:r>
      <w:r>
        <w:rPr>
          <w:lang w:eastAsia="en-US"/>
        </w:rPr>
        <w:t xml:space="preserve"> in selecting their preferred service. Because choice modelling presents multiple attributes in a choice set, the valuation for any one attribute is appropriately framed (or contextualised)</w:t>
      </w:r>
      <w:r w:rsidR="00CB2699">
        <w:rPr>
          <w:lang w:eastAsia="en-US"/>
        </w:rPr>
        <w:t xml:space="preserve">. This avoids the potential for values for any one attribute to be over-estimated, which can be the case in a referendum contingent valuation where respondents may not be conscious of the other goods and services that may be competing for their budget. </w:t>
      </w:r>
    </w:p>
    <w:p w14:paraId="0523C265" w14:textId="30B525CD" w:rsidR="00E80E7D" w:rsidRPr="002749BC" w:rsidRDefault="00A40800" w:rsidP="00E80E7D">
      <w:pPr>
        <w:pStyle w:val="BodyText"/>
        <w:rPr>
          <w:lang w:eastAsia="en-US"/>
        </w:rPr>
      </w:pPr>
      <w:r w:rsidRPr="002749BC">
        <w:rPr>
          <w:lang w:eastAsia="en-US"/>
        </w:rPr>
        <w:t xml:space="preserve">Finally, because it is based on a richer description of service attributes and disaggregates the factors in a valuation, it supports more reliable benefit transfer, by allowing values to be adjusted to reflect differences in the characteristics of different contexts.  </w:t>
      </w:r>
    </w:p>
    <w:p w14:paraId="6A883942" w14:textId="4EDE9DF1" w:rsidR="00AE67BC" w:rsidRPr="002749BC" w:rsidRDefault="00A65328" w:rsidP="001B0CEE">
      <w:pPr>
        <w:pStyle w:val="Heading3"/>
      </w:pPr>
      <w:r w:rsidRPr="002749BC">
        <w:t>Comparing valuation methods</w:t>
      </w:r>
    </w:p>
    <w:p w14:paraId="7B84E222" w14:textId="3AF8BCB4" w:rsidR="002A470E" w:rsidRPr="002749BC" w:rsidRDefault="00A65328" w:rsidP="00A34F81">
      <w:pPr>
        <w:pStyle w:val="BodyText"/>
      </w:pPr>
      <w:r w:rsidRPr="002749BC">
        <w:fldChar w:fldCharType="begin"/>
      </w:r>
      <w:r w:rsidRPr="002749BC">
        <w:instrText xml:space="preserve"> REF _Ref5206928 \h </w:instrText>
      </w:r>
      <w:r w:rsidRPr="002749BC">
        <w:fldChar w:fldCharType="separate"/>
      </w:r>
      <w:r w:rsidR="00176422" w:rsidRPr="002749BC">
        <w:t xml:space="preserve">Table </w:t>
      </w:r>
      <w:r w:rsidR="00176422">
        <w:rPr>
          <w:noProof/>
        </w:rPr>
        <w:t>2</w:t>
      </w:r>
      <w:r w:rsidRPr="002749BC">
        <w:fldChar w:fldCharType="end"/>
      </w:r>
      <w:r w:rsidRPr="002749BC">
        <w:t xml:space="preserve"> </w:t>
      </w:r>
      <w:r w:rsidR="005D63D8" w:rsidRPr="002749BC">
        <w:t xml:space="preserve">summarises </w:t>
      </w:r>
      <w:r w:rsidR="00C766AB" w:rsidRPr="002749BC">
        <w:t>the valuation techniques likely to be relevant to ACCAN</w:t>
      </w:r>
      <w:r w:rsidR="002B3432">
        <w:t xml:space="preserve"> </w:t>
      </w:r>
      <w:r w:rsidR="00B734F3">
        <w:t xml:space="preserve">assessed </w:t>
      </w:r>
      <w:r w:rsidR="002B3432">
        <w:t xml:space="preserve">against a set of </w:t>
      </w:r>
      <w:r w:rsidR="00B734F3">
        <w:t xml:space="preserve">evaluation </w:t>
      </w:r>
      <w:r w:rsidR="002B3432">
        <w:t>criteria</w:t>
      </w:r>
      <w:r w:rsidR="00C766AB" w:rsidRPr="002749BC">
        <w:t xml:space="preserve">. </w:t>
      </w:r>
      <w:r w:rsidR="009755E4" w:rsidRPr="002749BC">
        <w:t xml:space="preserve">Of the techniques described, only </w:t>
      </w:r>
      <w:r w:rsidR="00193DF0" w:rsidRPr="002749BC">
        <w:t xml:space="preserve">the basic form of contingent valuation </w:t>
      </w:r>
      <w:r w:rsidR="008D2CD1" w:rsidRPr="002749BC">
        <w:t xml:space="preserve">warrants exclusion – on account of its widely studied and accepted flaws and biases. </w:t>
      </w:r>
      <w:r w:rsidR="00946E32" w:rsidRPr="002749BC">
        <w:t>Regarding</w:t>
      </w:r>
      <w:r w:rsidR="002A470E" w:rsidRPr="002749BC">
        <w:t xml:space="preserve"> the remaining three techniques</w:t>
      </w:r>
      <w:r w:rsidR="00AF2D0C" w:rsidRPr="002749BC">
        <w:t xml:space="preserve">, </w:t>
      </w:r>
      <w:r w:rsidR="00946E32" w:rsidRPr="002749BC">
        <w:t>we stress the following points</w:t>
      </w:r>
      <w:r w:rsidR="00AA64B1" w:rsidRPr="002749BC">
        <w:t xml:space="preserve">: </w:t>
      </w:r>
    </w:p>
    <w:p w14:paraId="6925DB36" w14:textId="7937A922" w:rsidR="00A34F81" w:rsidRPr="002749BC" w:rsidRDefault="001F7144" w:rsidP="002A470E">
      <w:pPr>
        <w:pStyle w:val="bullet"/>
      </w:pPr>
      <w:r w:rsidRPr="002749BC">
        <w:t>Revealed preference approaches are well</w:t>
      </w:r>
      <w:r w:rsidR="0013493C" w:rsidRPr="002749BC">
        <w:t>-</w:t>
      </w:r>
      <w:r w:rsidRPr="002749BC">
        <w:t xml:space="preserve">accepted </w:t>
      </w:r>
      <w:r w:rsidR="002A470E" w:rsidRPr="002749BC">
        <w:t>and limited largely by the availability of suitable data</w:t>
      </w:r>
      <w:r w:rsidR="00AA64B1" w:rsidRPr="002749BC">
        <w:t>;</w:t>
      </w:r>
    </w:p>
    <w:p w14:paraId="4FEE9C93" w14:textId="154FCA82" w:rsidR="00AA64B1" w:rsidRPr="002749BC" w:rsidRDefault="00AA64B1" w:rsidP="002A470E">
      <w:pPr>
        <w:pStyle w:val="bullet"/>
      </w:pPr>
      <w:r w:rsidRPr="002749BC">
        <w:t xml:space="preserve">Contingent valuation </w:t>
      </w:r>
      <w:r w:rsidR="00A01ED7" w:rsidRPr="002749BC">
        <w:t xml:space="preserve">surveys using referendum-style questions are </w:t>
      </w:r>
      <w:r w:rsidR="00AE4C85" w:rsidRPr="002749BC">
        <w:t xml:space="preserve">generally well-accepted in situations where options are simple to capture and </w:t>
      </w:r>
      <w:r w:rsidR="007F2EF2" w:rsidRPr="002749BC">
        <w:t xml:space="preserve">present few variants; </w:t>
      </w:r>
    </w:p>
    <w:p w14:paraId="3118968C" w14:textId="1DA7ED62" w:rsidR="007F2EF2" w:rsidRPr="002749BC" w:rsidRDefault="007F2EF2" w:rsidP="002A470E">
      <w:pPr>
        <w:pStyle w:val="bullet"/>
      </w:pPr>
      <w:r w:rsidRPr="002749BC">
        <w:t>Choice modelling is also</w:t>
      </w:r>
      <w:r w:rsidR="0013493C" w:rsidRPr="002749BC">
        <w:t xml:space="preserve"> generally</w:t>
      </w:r>
      <w:r w:rsidRPr="002749BC">
        <w:t xml:space="preserve"> well</w:t>
      </w:r>
      <w:r w:rsidR="0013493C" w:rsidRPr="002749BC">
        <w:t>-</w:t>
      </w:r>
      <w:r w:rsidRPr="002749BC">
        <w:t>accepted</w:t>
      </w:r>
      <w:r w:rsidR="0013493C" w:rsidRPr="002749BC">
        <w:t xml:space="preserve"> and </w:t>
      </w:r>
      <w:r w:rsidR="00533D2F" w:rsidRPr="002749BC">
        <w:t xml:space="preserve">capable of exploring </w:t>
      </w:r>
      <w:r w:rsidR="00AF2D0C" w:rsidRPr="002749BC">
        <w:t>preferences between</w:t>
      </w:r>
      <w:r w:rsidR="00533D2F" w:rsidRPr="002749BC">
        <w:t xml:space="preserve"> </w:t>
      </w:r>
      <w:r w:rsidR="00AF2D0C" w:rsidRPr="002749BC">
        <w:t>diverse</w:t>
      </w:r>
      <w:r w:rsidR="00533D2F" w:rsidRPr="002749BC">
        <w:t xml:space="preserve"> options</w:t>
      </w:r>
      <w:r w:rsidR="00AF2D0C" w:rsidRPr="002749BC">
        <w:t xml:space="preserve">, though this technique tends to be more expensive to administer compared to contingent valuation. </w:t>
      </w:r>
    </w:p>
    <w:p w14:paraId="36BBE071" w14:textId="6EADC28F" w:rsidR="003D5EEB" w:rsidRPr="002749BC" w:rsidRDefault="003D5EEB" w:rsidP="00320F86">
      <w:pPr>
        <w:pStyle w:val="Caption"/>
        <w:keepLines/>
        <w:rPr>
          <w:b w:val="0"/>
        </w:rPr>
      </w:pPr>
      <w:bookmarkStart w:id="12" w:name="_Ref5206928"/>
      <w:bookmarkStart w:id="13" w:name="_Toc12387783"/>
      <w:r w:rsidRPr="002749BC">
        <w:lastRenderedPageBreak/>
        <w:t xml:space="preserve">Table </w:t>
      </w:r>
      <w:r w:rsidR="0089091D" w:rsidRPr="002749BC">
        <w:rPr>
          <w:noProof/>
        </w:rPr>
        <w:fldChar w:fldCharType="begin"/>
      </w:r>
      <w:r w:rsidR="0089091D" w:rsidRPr="002749BC">
        <w:rPr>
          <w:noProof/>
        </w:rPr>
        <w:instrText xml:space="preserve"> SEQ Table \* ARABIC </w:instrText>
      </w:r>
      <w:r w:rsidR="0089091D" w:rsidRPr="002749BC">
        <w:rPr>
          <w:noProof/>
        </w:rPr>
        <w:fldChar w:fldCharType="separate"/>
      </w:r>
      <w:r w:rsidR="00176422">
        <w:rPr>
          <w:noProof/>
        </w:rPr>
        <w:t>2</w:t>
      </w:r>
      <w:r w:rsidR="0089091D" w:rsidRPr="002749BC">
        <w:rPr>
          <w:noProof/>
        </w:rPr>
        <w:fldChar w:fldCharType="end"/>
      </w:r>
      <w:bookmarkEnd w:id="12"/>
      <w:r w:rsidRPr="002749BC">
        <w:t xml:space="preserve"> </w:t>
      </w:r>
      <w:r w:rsidRPr="002749BC">
        <w:tab/>
      </w:r>
      <w:r w:rsidR="005C242B" w:rsidRPr="002749BC">
        <w:t>Comparison of valuation methods</w:t>
      </w:r>
      <w:bookmarkEnd w:id="13"/>
      <w:r w:rsidR="005C242B" w:rsidRPr="002749BC">
        <w:t xml:space="preserve"> </w:t>
      </w:r>
    </w:p>
    <w:tbl>
      <w:tblPr>
        <w:tblW w:w="8562" w:type="dxa"/>
        <w:tblInd w:w="85" w:type="dxa"/>
        <w:tblLayout w:type="fixed"/>
        <w:tblCellMar>
          <w:left w:w="56" w:type="dxa"/>
          <w:right w:w="56" w:type="dxa"/>
        </w:tblCellMar>
        <w:tblLook w:val="0000" w:firstRow="0" w:lastRow="0" w:firstColumn="0" w:lastColumn="0" w:noHBand="0" w:noVBand="0"/>
        <w:tblCaption w:val="Comparison of valuation methods"/>
        <w:tblDescription w:val="This table shows the advantages and disadvantages of four non-market valuation methods as assessed against a common set of evaluation criteria."/>
      </w:tblPr>
      <w:tblGrid>
        <w:gridCol w:w="1191"/>
        <w:gridCol w:w="1842"/>
        <w:gridCol w:w="1843"/>
        <w:gridCol w:w="1843"/>
        <w:gridCol w:w="1843"/>
      </w:tblGrid>
      <w:tr w:rsidR="00E80E7D" w:rsidRPr="002749BC" w14:paraId="3D8300B4" w14:textId="77777777" w:rsidTr="00ED773A">
        <w:trPr>
          <w:tblHeader/>
        </w:trPr>
        <w:tc>
          <w:tcPr>
            <w:tcW w:w="1191" w:type="dxa"/>
            <w:tcBorders>
              <w:top w:val="single" w:sz="4" w:space="0" w:color="000000"/>
              <w:bottom w:val="single" w:sz="4" w:space="0" w:color="000000"/>
            </w:tcBorders>
            <w:shd w:val="clear" w:color="auto" w:fill="auto"/>
          </w:tcPr>
          <w:p w14:paraId="5E06FA95" w14:textId="7A3810A0" w:rsidR="00E80E7D" w:rsidRPr="002749BC" w:rsidRDefault="001E3F1E" w:rsidP="00320F86">
            <w:pPr>
              <w:pStyle w:val="Tablecolumnheadings"/>
              <w:keepNext/>
              <w:keepLines/>
            </w:pPr>
            <w:r>
              <w:t>Method Evaluation Criteria</w:t>
            </w:r>
          </w:p>
        </w:tc>
        <w:tc>
          <w:tcPr>
            <w:tcW w:w="1842" w:type="dxa"/>
            <w:tcBorders>
              <w:top w:val="single" w:sz="4" w:space="0" w:color="000000"/>
              <w:bottom w:val="single" w:sz="4" w:space="0" w:color="000000"/>
            </w:tcBorders>
            <w:shd w:val="clear" w:color="auto" w:fill="auto"/>
          </w:tcPr>
          <w:p w14:paraId="4CC80F1A" w14:textId="38F649EA" w:rsidR="00E80E7D" w:rsidRPr="002749BC" w:rsidRDefault="00E80E7D" w:rsidP="00320F86">
            <w:pPr>
              <w:pStyle w:val="Tablecolumnheadings"/>
              <w:keepNext/>
              <w:keepLines/>
            </w:pPr>
            <w:r w:rsidRPr="002749BC">
              <w:t>Reveal</w:t>
            </w:r>
            <w:r w:rsidR="00C766AB" w:rsidRPr="002749BC">
              <w:t>ed</w:t>
            </w:r>
            <w:r w:rsidRPr="002749BC">
              <w:t xml:space="preserve"> preference</w:t>
            </w:r>
          </w:p>
        </w:tc>
        <w:tc>
          <w:tcPr>
            <w:tcW w:w="1843" w:type="dxa"/>
            <w:tcBorders>
              <w:top w:val="single" w:sz="4" w:space="0" w:color="000000"/>
              <w:bottom w:val="single" w:sz="4" w:space="0" w:color="000000"/>
            </w:tcBorders>
            <w:shd w:val="clear" w:color="auto" w:fill="auto"/>
          </w:tcPr>
          <w:p w14:paraId="31F844A5" w14:textId="4A12EFFB" w:rsidR="00E80E7D" w:rsidRPr="002749BC" w:rsidRDefault="00E80E7D" w:rsidP="00320F86">
            <w:pPr>
              <w:pStyle w:val="Tablecolumnheadings"/>
              <w:keepNext/>
              <w:keepLines/>
            </w:pPr>
            <w:r w:rsidRPr="002749BC">
              <w:t>Contingent valuation – basic</w:t>
            </w:r>
          </w:p>
        </w:tc>
        <w:tc>
          <w:tcPr>
            <w:tcW w:w="1843" w:type="dxa"/>
            <w:tcBorders>
              <w:top w:val="single" w:sz="4" w:space="0" w:color="000000"/>
              <w:bottom w:val="single" w:sz="4" w:space="0" w:color="000000"/>
            </w:tcBorders>
          </w:tcPr>
          <w:p w14:paraId="2AE48DD6" w14:textId="16B51227" w:rsidR="00E80E7D" w:rsidRPr="002749BC" w:rsidRDefault="00E80E7D" w:rsidP="00320F86">
            <w:pPr>
              <w:pStyle w:val="Tablecolumnheadings"/>
              <w:keepNext/>
              <w:keepLines/>
            </w:pPr>
            <w:r w:rsidRPr="002749BC">
              <w:t>Contingent valuation – binary choice</w:t>
            </w:r>
            <w:r w:rsidR="00A01ED7" w:rsidRPr="002749BC">
              <w:t xml:space="preserve"> / referendum-style</w:t>
            </w:r>
          </w:p>
        </w:tc>
        <w:tc>
          <w:tcPr>
            <w:tcW w:w="1843" w:type="dxa"/>
            <w:tcBorders>
              <w:top w:val="single" w:sz="4" w:space="0" w:color="000000"/>
              <w:bottom w:val="single" w:sz="4" w:space="0" w:color="000000"/>
            </w:tcBorders>
            <w:shd w:val="clear" w:color="auto" w:fill="auto"/>
          </w:tcPr>
          <w:p w14:paraId="1C6E2C82" w14:textId="6BB21BE2" w:rsidR="00E80E7D" w:rsidRPr="002749BC" w:rsidRDefault="00E80E7D" w:rsidP="00320F86">
            <w:pPr>
              <w:pStyle w:val="Tablecolumnheadings"/>
              <w:keepNext/>
              <w:keepLines/>
            </w:pPr>
            <w:r w:rsidRPr="002749BC">
              <w:t>Choice modelling</w:t>
            </w:r>
          </w:p>
        </w:tc>
      </w:tr>
      <w:tr w:rsidR="00ED773A" w:rsidRPr="002749BC" w14:paraId="7DCF3203" w14:textId="77777777" w:rsidTr="007444FF">
        <w:tc>
          <w:tcPr>
            <w:tcW w:w="1191" w:type="dxa"/>
            <w:tcBorders>
              <w:top w:val="single" w:sz="4" w:space="0" w:color="000000"/>
              <w:bottom w:val="single" w:sz="4" w:space="0" w:color="D9D9D9" w:themeColor="background1" w:themeShade="D9"/>
            </w:tcBorders>
            <w:shd w:val="clear" w:color="auto" w:fill="auto"/>
          </w:tcPr>
          <w:p w14:paraId="7ADF3455" w14:textId="65681AB6" w:rsidR="00ED773A" w:rsidRPr="002749BC" w:rsidRDefault="0036722E" w:rsidP="00320F86">
            <w:pPr>
              <w:pStyle w:val="Tablebody"/>
              <w:keepNext/>
              <w:keepLines/>
            </w:pPr>
            <w:r w:rsidRPr="002749BC">
              <w:t xml:space="preserve">Level of </w:t>
            </w:r>
            <w:r w:rsidR="009755E4" w:rsidRPr="002749BC">
              <w:t>expert</w:t>
            </w:r>
            <w:r w:rsidRPr="002749BC">
              <w:t xml:space="preserve"> a</w:t>
            </w:r>
            <w:r w:rsidR="00ED773A" w:rsidRPr="002749BC">
              <w:t>ccept</w:t>
            </w:r>
            <w:r w:rsidRPr="002749BC">
              <w:t>ance</w:t>
            </w:r>
          </w:p>
        </w:tc>
        <w:tc>
          <w:tcPr>
            <w:tcW w:w="1842" w:type="dxa"/>
            <w:tcBorders>
              <w:top w:val="single" w:sz="4" w:space="0" w:color="000000"/>
              <w:bottom w:val="single" w:sz="4" w:space="0" w:color="D9D9D9" w:themeColor="background1" w:themeShade="D9"/>
            </w:tcBorders>
            <w:shd w:val="clear" w:color="auto" w:fill="auto"/>
          </w:tcPr>
          <w:p w14:paraId="5FE7ABCB" w14:textId="57C4C6CB" w:rsidR="00ED773A" w:rsidRPr="002749BC" w:rsidRDefault="0036722E" w:rsidP="00320F86">
            <w:pPr>
              <w:pStyle w:val="Tablebody"/>
              <w:keepNext/>
              <w:keepLines/>
            </w:pPr>
            <w:r w:rsidRPr="002749BC">
              <w:t>Well accepted</w:t>
            </w:r>
          </w:p>
        </w:tc>
        <w:tc>
          <w:tcPr>
            <w:tcW w:w="1843" w:type="dxa"/>
            <w:tcBorders>
              <w:top w:val="single" w:sz="4" w:space="0" w:color="000000"/>
              <w:bottom w:val="single" w:sz="4" w:space="0" w:color="D9D9D9" w:themeColor="background1" w:themeShade="D9"/>
            </w:tcBorders>
            <w:shd w:val="clear" w:color="auto" w:fill="auto"/>
          </w:tcPr>
          <w:p w14:paraId="55B681F5" w14:textId="09B9DE82" w:rsidR="00ED773A" w:rsidRPr="002749BC" w:rsidRDefault="001F7144" w:rsidP="00320F86">
            <w:pPr>
              <w:pStyle w:val="Tablebody"/>
              <w:keepNext/>
              <w:keepLines/>
            </w:pPr>
            <w:r w:rsidRPr="002749BC">
              <w:t>Largely discredited as prone to bias</w:t>
            </w:r>
          </w:p>
        </w:tc>
        <w:tc>
          <w:tcPr>
            <w:tcW w:w="1843" w:type="dxa"/>
            <w:tcBorders>
              <w:top w:val="single" w:sz="4" w:space="0" w:color="000000"/>
              <w:bottom w:val="single" w:sz="4" w:space="0" w:color="D9D9D9" w:themeColor="background1" w:themeShade="D9"/>
            </w:tcBorders>
          </w:tcPr>
          <w:p w14:paraId="55A46D78" w14:textId="074D5B76" w:rsidR="00ED773A" w:rsidRPr="002749BC" w:rsidRDefault="009755E4" w:rsidP="00320F86">
            <w:pPr>
              <w:pStyle w:val="Tablebody"/>
              <w:keepNext/>
              <w:keepLines/>
            </w:pPr>
            <w:r w:rsidRPr="002749BC">
              <w:t>Well accepted</w:t>
            </w:r>
          </w:p>
        </w:tc>
        <w:tc>
          <w:tcPr>
            <w:tcW w:w="1843" w:type="dxa"/>
            <w:tcBorders>
              <w:top w:val="single" w:sz="4" w:space="0" w:color="000000"/>
              <w:bottom w:val="single" w:sz="4" w:space="0" w:color="D9D9D9" w:themeColor="background1" w:themeShade="D9"/>
            </w:tcBorders>
            <w:shd w:val="clear" w:color="auto" w:fill="auto"/>
          </w:tcPr>
          <w:p w14:paraId="200869CA" w14:textId="11E7D778" w:rsidR="00ED773A" w:rsidRPr="002749BC" w:rsidRDefault="009755E4" w:rsidP="00320F86">
            <w:pPr>
              <w:pStyle w:val="Tablebody"/>
              <w:keepNext/>
              <w:keepLines/>
            </w:pPr>
            <w:r w:rsidRPr="002749BC">
              <w:t>Well accepted</w:t>
            </w:r>
          </w:p>
        </w:tc>
      </w:tr>
      <w:tr w:rsidR="00E80E7D" w:rsidRPr="002749BC" w14:paraId="6467EACB" w14:textId="77777777" w:rsidTr="00ED773A">
        <w:tc>
          <w:tcPr>
            <w:tcW w:w="1191" w:type="dxa"/>
            <w:tcBorders>
              <w:top w:val="single" w:sz="4" w:space="0" w:color="D9D9D9" w:themeColor="background1" w:themeShade="D9"/>
              <w:bottom w:val="single" w:sz="4" w:space="0" w:color="D9D9D9" w:themeColor="background1" w:themeShade="D9"/>
            </w:tcBorders>
            <w:shd w:val="clear" w:color="auto" w:fill="auto"/>
          </w:tcPr>
          <w:p w14:paraId="65BED8B3" w14:textId="30AEB234" w:rsidR="00E80E7D" w:rsidRPr="002749BC" w:rsidRDefault="00E80E7D" w:rsidP="00320F86">
            <w:pPr>
              <w:pStyle w:val="Tablebody"/>
              <w:keepNext/>
              <w:keepLines/>
            </w:pPr>
            <w:r w:rsidRPr="002749BC">
              <w:t>Data requirements</w:t>
            </w:r>
          </w:p>
        </w:tc>
        <w:tc>
          <w:tcPr>
            <w:tcW w:w="1842" w:type="dxa"/>
            <w:tcBorders>
              <w:top w:val="single" w:sz="4" w:space="0" w:color="D9D9D9" w:themeColor="background1" w:themeShade="D9"/>
              <w:bottom w:val="single" w:sz="4" w:space="0" w:color="D9D9D9" w:themeColor="background1" w:themeShade="D9"/>
            </w:tcBorders>
            <w:shd w:val="clear" w:color="auto" w:fill="auto"/>
          </w:tcPr>
          <w:p w14:paraId="658C26AA" w14:textId="6C1E65C4" w:rsidR="00E80E7D" w:rsidRPr="002749BC" w:rsidRDefault="00E80E7D" w:rsidP="00320F86">
            <w:pPr>
              <w:pStyle w:val="Tablebody"/>
              <w:keepNext/>
              <w:keepLines/>
            </w:pPr>
            <w:r w:rsidRPr="002749BC">
              <w:t>Requires specific service data – e</w:t>
            </w:r>
            <w:r w:rsidR="00C3415C">
              <w:t>.</w:t>
            </w:r>
            <w:r w:rsidRPr="002749BC">
              <w:t>g</w:t>
            </w:r>
            <w:r w:rsidR="00C3415C">
              <w:t>.</w:t>
            </w:r>
            <w:r w:rsidRPr="002749BC">
              <w:t xml:space="preserve"> pricing of different customer plans; customer switching behaviour; call wait time data; call resolution time data</w:t>
            </w:r>
          </w:p>
        </w:tc>
        <w:tc>
          <w:tcPr>
            <w:tcW w:w="1843" w:type="dxa"/>
            <w:tcBorders>
              <w:top w:val="single" w:sz="4" w:space="0" w:color="D9D9D9" w:themeColor="background1" w:themeShade="D9"/>
              <w:bottom w:val="single" w:sz="4" w:space="0" w:color="D9D9D9" w:themeColor="background1" w:themeShade="D9"/>
            </w:tcBorders>
            <w:shd w:val="clear" w:color="auto" w:fill="auto"/>
          </w:tcPr>
          <w:p w14:paraId="4CB42737" w14:textId="1A1FF1D8" w:rsidR="00E80E7D" w:rsidRPr="002749BC" w:rsidRDefault="00E80E7D" w:rsidP="00320F86">
            <w:pPr>
              <w:pStyle w:val="Tablebody"/>
              <w:keepNext/>
              <w:keepLines/>
            </w:pPr>
            <w:r w:rsidRPr="002749BC">
              <w:t xml:space="preserve">Short survey </w:t>
            </w:r>
          </w:p>
        </w:tc>
        <w:tc>
          <w:tcPr>
            <w:tcW w:w="1843" w:type="dxa"/>
            <w:tcBorders>
              <w:top w:val="single" w:sz="4" w:space="0" w:color="D9D9D9" w:themeColor="background1" w:themeShade="D9"/>
              <w:bottom w:val="single" w:sz="4" w:space="0" w:color="D9D9D9" w:themeColor="background1" w:themeShade="D9"/>
            </w:tcBorders>
          </w:tcPr>
          <w:p w14:paraId="6AEB269A" w14:textId="324E4451" w:rsidR="00E80E7D" w:rsidRPr="002749BC" w:rsidRDefault="00E80E7D" w:rsidP="00320F86">
            <w:pPr>
              <w:pStyle w:val="Tablebody"/>
              <w:keepNext/>
              <w:keepLines/>
            </w:pPr>
            <w:r w:rsidRPr="002749BC">
              <w:t xml:space="preserve">Short survey </w:t>
            </w:r>
          </w:p>
        </w:tc>
        <w:tc>
          <w:tcPr>
            <w:tcW w:w="1843" w:type="dxa"/>
            <w:tcBorders>
              <w:top w:val="single" w:sz="4" w:space="0" w:color="D9D9D9" w:themeColor="background1" w:themeShade="D9"/>
              <w:bottom w:val="single" w:sz="4" w:space="0" w:color="D9D9D9" w:themeColor="background1" w:themeShade="D9"/>
            </w:tcBorders>
            <w:shd w:val="clear" w:color="auto" w:fill="auto"/>
          </w:tcPr>
          <w:p w14:paraId="3651528E" w14:textId="41A72627" w:rsidR="00E80E7D" w:rsidRPr="002749BC" w:rsidRDefault="00E80E7D" w:rsidP="00320F86">
            <w:pPr>
              <w:pStyle w:val="Tablebody"/>
              <w:keepNext/>
              <w:keepLines/>
            </w:pPr>
            <w:r w:rsidRPr="002749BC">
              <w:t xml:space="preserve">Longer survey </w:t>
            </w:r>
          </w:p>
        </w:tc>
      </w:tr>
      <w:tr w:rsidR="00E80E7D" w:rsidRPr="002749BC" w14:paraId="6BFA4A0F" w14:textId="77777777" w:rsidTr="007444FF">
        <w:tc>
          <w:tcPr>
            <w:tcW w:w="1191" w:type="dxa"/>
            <w:tcBorders>
              <w:top w:val="single" w:sz="4" w:space="0" w:color="D9D9D9" w:themeColor="background1" w:themeShade="D9"/>
              <w:bottom w:val="single" w:sz="4" w:space="0" w:color="D9D9D9" w:themeColor="background1" w:themeShade="D9"/>
            </w:tcBorders>
            <w:shd w:val="clear" w:color="auto" w:fill="auto"/>
          </w:tcPr>
          <w:p w14:paraId="01A76449" w14:textId="38F73105" w:rsidR="00E80E7D" w:rsidRPr="002749BC" w:rsidRDefault="00E80E7D" w:rsidP="00320F86">
            <w:pPr>
              <w:pStyle w:val="Tablebody"/>
              <w:keepNext/>
              <w:keepLines/>
            </w:pPr>
            <w:r w:rsidRPr="002749BC">
              <w:t>Robustness</w:t>
            </w:r>
          </w:p>
        </w:tc>
        <w:tc>
          <w:tcPr>
            <w:tcW w:w="1842" w:type="dxa"/>
            <w:tcBorders>
              <w:top w:val="single" w:sz="4" w:space="0" w:color="D9D9D9" w:themeColor="background1" w:themeShade="D9"/>
              <w:bottom w:val="single" w:sz="4" w:space="0" w:color="D9D9D9" w:themeColor="background1" w:themeShade="D9"/>
            </w:tcBorders>
            <w:shd w:val="clear" w:color="auto" w:fill="auto"/>
          </w:tcPr>
          <w:p w14:paraId="0DBF05A3" w14:textId="389D0A47" w:rsidR="00E80E7D" w:rsidRPr="002749BC" w:rsidRDefault="00E80E7D" w:rsidP="00320F86">
            <w:pPr>
              <w:pStyle w:val="Tablebody"/>
              <w:keepNext/>
              <w:keepLines/>
            </w:pPr>
            <w:r w:rsidRPr="002749BC">
              <w:t>Generally recognised as being robust</w:t>
            </w:r>
          </w:p>
        </w:tc>
        <w:tc>
          <w:tcPr>
            <w:tcW w:w="1843" w:type="dxa"/>
            <w:tcBorders>
              <w:top w:val="single" w:sz="4" w:space="0" w:color="D9D9D9" w:themeColor="background1" w:themeShade="D9"/>
              <w:bottom w:val="single" w:sz="4" w:space="0" w:color="D9D9D9" w:themeColor="background1" w:themeShade="D9"/>
            </w:tcBorders>
            <w:shd w:val="clear" w:color="auto" w:fill="auto"/>
          </w:tcPr>
          <w:p w14:paraId="7447EBC5" w14:textId="0EF3E6E0" w:rsidR="00E80E7D" w:rsidRPr="002749BC" w:rsidRDefault="000E386C" w:rsidP="00320F86">
            <w:pPr>
              <w:pStyle w:val="Tablebody"/>
              <w:keepNext/>
              <w:keepLines/>
            </w:pPr>
            <w:r w:rsidRPr="002749BC">
              <w:t>Not robust</w:t>
            </w:r>
          </w:p>
        </w:tc>
        <w:tc>
          <w:tcPr>
            <w:tcW w:w="1843" w:type="dxa"/>
            <w:tcBorders>
              <w:top w:val="single" w:sz="4" w:space="0" w:color="D9D9D9" w:themeColor="background1" w:themeShade="D9"/>
              <w:bottom w:val="single" w:sz="4" w:space="0" w:color="D9D9D9" w:themeColor="background1" w:themeShade="D9"/>
            </w:tcBorders>
          </w:tcPr>
          <w:p w14:paraId="4D20A634" w14:textId="15000783" w:rsidR="00E80E7D" w:rsidRPr="002749BC" w:rsidRDefault="00E80E7D" w:rsidP="00320F86">
            <w:pPr>
              <w:pStyle w:val="Tablebody"/>
              <w:keepNext/>
              <w:keepLines/>
            </w:pPr>
            <w:r w:rsidRPr="002749BC">
              <w:t xml:space="preserve">Robust if well designed and executed, but sometimes </w:t>
            </w:r>
            <w:r w:rsidR="005642E8" w:rsidRPr="002749BC">
              <w:t>criticised</w:t>
            </w:r>
            <w:r w:rsidRPr="002749BC">
              <w:t xml:space="preserve"> as hypothetical. </w:t>
            </w:r>
          </w:p>
        </w:tc>
        <w:tc>
          <w:tcPr>
            <w:tcW w:w="1843" w:type="dxa"/>
            <w:tcBorders>
              <w:top w:val="single" w:sz="4" w:space="0" w:color="D9D9D9" w:themeColor="background1" w:themeShade="D9"/>
              <w:bottom w:val="single" w:sz="4" w:space="0" w:color="D9D9D9" w:themeColor="background1" w:themeShade="D9"/>
            </w:tcBorders>
            <w:shd w:val="clear" w:color="auto" w:fill="auto"/>
          </w:tcPr>
          <w:p w14:paraId="062CDAB2" w14:textId="25CF7F9C" w:rsidR="00E80E7D" w:rsidRPr="002749BC" w:rsidRDefault="00E80E7D" w:rsidP="00320F86">
            <w:pPr>
              <w:pStyle w:val="Tablebody"/>
              <w:keepNext/>
              <w:keepLines/>
            </w:pPr>
            <w:r w:rsidRPr="002749BC">
              <w:t xml:space="preserve">Robust if well designed and executed, but sometimes </w:t>
            </w:r>
            <w:r w:rsidR="005642E8" w:rsidRPr="002749BC">
              <w:t>criticised</w:t>
            </w:r>
            <w:r w:rsidRPr="002749BC">
              <w:t xml:space="preserve"> as hypothetical. </w:t>
            </w:r>
          </w:p>
        </w:tc>
      </w:tr>
      <w:tr w:rsidR="00E80E7D" w:rsidRPr="002749BC" w14:paraId="5691E6B5" w14:textId="77777777" w:rsidTr="007444FF">
        <w:tc>
          <w:tcPr>
            <w:tcW w:w="1191" w:type="dxa"/>
            <w:tcBorders>
              <w:top w:val="single" w:sz="4" w:space="0" w:color="D9D9D9" w:themeColor="background1" w:themeShade="D9"/>
              <w:bottom w:val="single" w:sz="4" w:space="0" w:color="D9D9D9" w:themeColor="background1" w:themeShade="D9"/>
            </w:tcBorders>
            <w:shd w:val="clear" w:color="auto" w:fill="auto"/>
          </w:tcPr>
          <w:p w14:paraId="1C58B247" w14:textId="7E2070E1" w:rsidR="00E80E7D" w:rsidRPr="002749BC" w:rsidRDefault="00E80E7D" w:rsidP="00320F86">
            <w:pPr>
              <w:pStyle w:val="Tablebody"/>
              <w:keepNext/>
              <w:keepLines/>
            </w:pPr>
            <w:r w:rsidRPr="002749BC">
              <w:t>Cost</w:t>
            </w:r>
          </w:p>
        </w:tc>
        <w:tc>
          <w:tcPr>
            <w:tcW w:w="1842" w:type="dxa"/>
            <w:tcBorders>
              <w:top w:val="single" w:sz="4" w:space="0" w:color="D9D9D9" w:themeColor="background1" w:themeShade="D9"/>
              <w:bottom w:val="single" w:sz="4" w:space="0" w:color="D9D9D9" w:themeColor="background1" w:themeShade="D9"/>
            </w:tcBorders>
            <w:shd w:val="clear" w:color="auto" w:fill="auto"/>
          </w:tcPr>
          <w:p w14:paraId="11BC03AB" w14:textId="34770A00" w:rsidR="00E80E7D" w:rsidRPr="002749BC" w:rsidRDefault="00E80E7D" w:rsidP="00320F86">
            <w:pPr>
              <w:pStyle w:val="Tablebody"/>
              <w:keepNext/>
              <w:keepLines/>
            </w:pPr>
            <w:r w:rsidRPr="002749BC">
              <w:t>Low cost if telco customer data can be obtained. Otherwise prohibitive</w:t>
            </w:r>
          </w:p>
        </w:tc>
        <w:tc>
          <w:tcPr>
            <w:tcW w:w="1843" w:type="dxa"/>
            <w:tcBorders>
              <w:top w:val="single" w:sz="4" w:space="0" w:color="D9D9D9" w:themeColor="background1" w:themeShade="D9"/>
              <w:bottom w:val="single" w:sz="4" w:space="0" w:color="D9D9D9" w:themeColor="background1" w:themeShade="D9"/>
            </w:tcBorders>
            <w:shd w:val="clear" w:color="auto" w:fill="auto"/>
          </w:tcPr>
          <w:p w14:paraId="74E58199" w14:textId="08885364" w:rsidR="00E80E7D" w:rsidRPr="002749BC" w:rsidRDefault="000E386C" w:rsidP="00320F86">
            <w:pPr>
              <w:pStyle w:val="Tablebody"/>
              <w:keepNext/>
              <w:keepLines/>
            </w:pPr>
            <w:r w:rsidRPr="002749BC">
              <w:t>Very l</w:t>
            </w:r>
            <w:r w:rsidR="00E80E7D" w:rsidRPr="002749BC">
              <w:t>ow cost</w:t>
            </w:r>
          </w:p>
        </w:tc>
        <w:tc>
          <w:tcPr>
            <w:tcW w:w="1843" w:type="dxa"/>
            <w:tcBorders>
              <w:top w:val="single" w:sz="4" w:space="0" w:color="D9D9D9" w:themeColor="background1" w:themeShade="D9"/>
              <w:bottom w:val="single" w:sz="4" w:space="0" w:color="D9D9D9" w:themeColor="background1" w:themeShade="D9"/>
            </w:tcBorders>
          </w:tcPr>
          <w:p w14:paraId="06F82AB2" w14:textId="0CE49FCF" w:rsidR="00E80E7D" w:rsidRPr="002749BC" w:rsidRDefault="00E80E7D" w:rsidP="00320F86">
            <w:pPr>
              <w:pStyle w:val="Tablebody"/>
              <w:keepNext/>
              <w:keepLines/>
            </w:pPr>
            <w:r w:rsidRPr="002749BC">
              <w:t xml:space="preserve">Low </w:t>
            </w:r>
            <w:r w:rsidR="00CB2699">
              <w:t xml:space="preserve">to medium </w:t>
            </w:r>
            <w:r w:rsidRPr="002749BC">
              <w:t>cost</w:t>
            </w:r>
          </w:p>
        </w:tc>
        <w:tc>
          <w:tcPr>
            <w:tcW w:w="1843" w:type="dxa"/>
            <w:tcBorders>
              <w:top w:val="single" w:sz="4" w:space="0" w:color="D9D9D9" w:themeColor="background1" w:themeShade="D9"/>
              <w:bottom w:val="single" w:sz="4" w:space="0" w:color="D9D9D9" w:themeColor="background1" w:themeShade="D9"/>
            </w:tcBorders>
            <w:shd w:val="clear" w:color="auto" w:fill="auto"/>
          </w:tcPr>
          <w:p w14:paraId="23A9B98E" w14:textId="75F8F6E8" w:rsidR="00E80E7D" w:rsidRPr="002749BC" w:rsidRDefault="00E80E7D" w:rsidP="00320F86">
            <w:pPr>
              <w:pStyle w:val="Tablebody"/>
              <w:keepNext/>
              <w:keepLines/>
            </w:pPr>
            <w:r w:rsidRPr="002749BC">
              <w:t xml:space="preserve">Medium </w:t>
            </w:r>
            <w:r w:rsidR="00CB2699">
              <w:t xml:space="preserve">to high </w:t>
            </w:r>
            <w:r w:rsidRPr="002749BC">
              <w:t>cost</w:t>
            </w:r>
          </w:p>
        </w:tc>
      </w:tr>
      <w:tr w:rsidR="00E80E7D" w:rsidRPr="002749BC" w14:paraId="5D07A445" w14:textId="77777777" w:rsidTr="007444FF">
        <w:tc>
          <w:tcPr>
            <w:tcW w:w="1191" w:type="dxa"/>
            <w:tcBorders>
              <w:top w:val="single" w:sz="4" w:space="0" w:color="D9D9D9" w:themeColor="background1" w:themeShade="D9"/>
              <w:bottom w:val="single" w:sz="4" w:space="0" w:color="000000" w:themeColor="text1"/>
            </w:tcBorders>
            <w:shd w:val="clear" w:color="auto" w:fill="auto"/>
          </w:tcPr>
          <w:p w14:paraId="7BF81703" w14:textId="3D976B03" w:rsidR="00E80E7D" w:rsidRPr="002749BC" w:rsidRDefault="00E80E7D" w:rsidP="00320F86">
            <w:pPr>
              <w:pStyle w:val="Tablebody"/>
              <w:keepNext/>
              <w:keepLines/>
            </w:pPr>
            <w:r w:rsidRPr="002749BC">
              <w:t>Richness</w:t>
            </w:r>
          </w:p>
        </w:tc>
        <w:tc>
          <w:tcPr>
            <w:tcW w:w="1842" w:type="dxa"/>
            <w:tcBorders>
              <w:top w:val="single" w:sz="4" w:space="0" w:color="D9D9D9" w:themeColor="background1" w:themeShade="D9"/>
              <w:bottom w:val="single" w:sz="4" w:space="0" w:color="000000" w:themeColor="text1"/>
            </w:tcBorders>
            <w:shd w:val="clear" w:color="auto" w:fill="auto"/>
          </w:tcPr>
          <w:p w14:paraId="7797BEB4" w14:textId="2A7DA11A" w:rsidR="00E80E7D" w:rsidRPr="002749BC" w:rsidRDefault="00E80E7D" w:rsidP="00320F86">
            <w:pPr>
              <w:pStyle w:val="Tablebody"/>
              <w:keepNext/>
              <w:keepLines/>
            </w:pPr>
            <w:r w:rsidRPr="002749BC">
              <w:t>Dependent on data and study</w:t>
            </w:r>
          </w:p>
        </w:tc>
        <w:tc>
          <w:tcPr>
            <w:tcW w:w="1843" w:type="dxa"/>
            <w:tcBorders>
              <w:top w:val="single" w:sz="4" w:space="0" w:color="D9D9D9" w:themeColor="background1" w:themeShade="D9"/>
              <w:bottom w:val="single" w:sz="4" w:space="0" w:color="000000" w:themeColor="text1"/>
            </w:tcBorders>
            <w:shd w:val="clear" w:color="auto" w:fill="auto"/>
          </w:tcPr>
          <w:p w14:paraId="137BFFE5" w14:textId="7F00AC84" w:rsidR="00E80E7D" w:rsidRPr="002749BC" w:rsidRDefault="00F6667F" w:rsidP="00320F86">
            <w:pPr>
              <w:pStyle w:val="Tablebody"/>
              <w:keepNext/>
              <w:keepLines/>
            </w:pPr>
            <w:r w:rsidRPr="002749BC">
              <w:t>Very low richness</w:t>
            </w:r>
            <w:r w:rsidR="00E80E7D" w:rsidRPr="002749BC">
              <w:t xml:space="preserve"> </w:t>
            </w:r>
          </w:p>
        </w:tc>
        <w:tc>
          <w:tcPr>
            <w:tcW w:w="1843" w:type="dxa"/>
            <w:tcBorders>
              <w:top w:val="single" w:sz="4" w:space="0" w:color="D9D9D9" w:themeColor="background1" w:themeShade="D9"/>
              <w:bottom w:val="single" w:sz="4" w:space="0" w:color="000000" w:themeColor="text1"/>
            </w:tcBorders>
          </w:tcPr>
          <w:p w14:paraId="698387E3" w14:textId="7CC2C802" w:rsidR="00E80E7D" w:rsidRPr="002749BC" w:rsidRDefault="00E80E7D" w:rsidP="00320F86">
            <w:pPr>
              <w:pStyle w:val="Tablebody"/>
              <w:keepNext/>
              <w:keepLines/>
            </w:pPr>
            <w:r w:rsidRPr="002749BC">
              <w:t xml:space="preserve">Low richness – does not allow the role of multiple attributes to be comprehensively explored </w:t>
            </w:r>
          </w:p>
        </w:tc>
        <w:tc>
          <w:tcPr>
            <w:tcW w:w="1843" w:type="dxa"/>
            <w:tcBorders>
              <w:top w:val="single" w:sz="4" w:space="0" w:color="D9D9D9" w:themeColor="background1" w:themeShade="D9"/>
              <w:bottom w:val="single" w:sz="4" w:space="0" w:color="000000" w:themeColor="text1"/>
            </w:tcBorders>
            <w:shd w:val="clear" w:color="auto" w:fill="auto"/>
          </w:tcPr>
          <w:p w14:paraId="1714BB73" w14:textId="2CFC638B" w:rsidR="00E80E7D" w:rsidRPr="002749BC" w:rsidRDefault="00E80E7D" w:rsidP="00320F86">
            <w:pPr>
              <w:pStyle w:val="Tablebody"/>
              <w:keepNext/>
              <w:keepLines/>
            </w:pPr>
            <w:r w:rsidRPr="002749BC">
              <w:t>High richness – allows the role of multiple attributes to be comprehensively explored</w:t>
            </w:r>
          </w:p>
        </w:tc>
      </w:tr>
    </w:tbl>
    <w:p w14:paraId="3156525C" w14:textId="5F431636" w:rsidR="003D5EEB" w:rsidRPr="002749BC" w:rsidRDefault="003D5EEB" w:rsidP="00320F86">
      <w:pPr>
        <w:pStyle w:val="Source"/>
        <w:keepNext/>
        <w:keepLines/>
      </w:pPr>
      <w:r w:rsidRPr="002749BC">
        <w:rPr>
          <w:b/>
        </w:rPr>
        <w:t>Source:</w:t>
      </w:r>
      <w:r w:rsidRPr="002749BC">
        <w:t xml:space="preserve"> </w:t>
      </w:r>
      <w:r w:rsidR="00A65328" w:rsidRPr="002749BC">
        <w:t>Synergies analysis</w:t>
      </w:r>
    </w:p>
    <w:p w14:paraId="5E9FFE83" w14:textId="75622719" w:rsidR="00E80E7D" w:rsidRPr="002749BC" w:rsidRDefault="00E80E7D" w:rsidP="001B0CEE">
      <w:pPr>
        <w:pStyle w:val="Heading3"/>
      </w:pPr>
      <w:r w:rsidRPr="002749BC">
        <w:t>Benefit Transfer</w:t>
      </w:r>
    </w:p>
    <w:p w14:paraId="60EA93D4" w14:textId="77777777" w:rsidR="001F478C" w:rsidRDefault="00FC08C9" w:rsidP="00FC08C9">
      <w:pPr>
        <w:pStyle w:val="BodyText"/>
        <w:rPr>
          <w:lang w:eastAsia="en-US"/>
        </w:rPr>
      </w:pPr>
      <w:r w:rsidRPr="002749BC">
        <w:rPr>
          <w:lang w:eastAsia="en-US"/>
        </w:rPr>
        <w:t xml:space="preserve">Benefit transfer is the practice of using </w:t>
      </w:r>
      <w:r w:rsidR="00BA5C35">
        <w:rPr>
          <w:lang w:eastAsia="en-US"/>
        </w:rPr>
        <w:t xml:space="preserve">non-market value estimates from a previous study or studies (the ‘source’) and transferring these estimates to the investigation of current interest.  </w:t>
      </w:r>
      <w:r w:rsidRPr="002749BC">
        <w:rPr>
          <w:lang w:eastAsia="en-US"/>
        </w:rPr>
        <w:t>For instance, if the value of commuter time is valued for travelling in a private vehicle in Sydney, and an estimate is required for the value of commuter time in Adelaide, it may be valid to perform a benefit transfer by applying the Sydney estimate</w:t>
      </w:r>
      <w:r w:rsidR="00FE1F2C" w:rsidRPr="002749BC">
        <w:rPr>
          <w:lang w:eastAsia="en-US"/>
        </w:rPr>
        <w:t xml:space="preserve">. </w:t>
      </w:r>
    </w:p>
    <w:p w14:paraId="6C2E9F07" w14:textId="120B91F1" w:rsidR="00FC08C9" w:rsidRPr="002749BC" w:rsidRDefault="002C4B00" w:rsidP="00FC08C9">
      <w:pPr>
        <w:pStyle w:val="BodyText"/>
        <w:rPr>
          <w:lang w:eastAsia="en-US"/>
        </w:rPr>
      </w:pPr>
      <w:r w:rsidRPr="002749BC">
        <w:rPr>
          <w:lang w:eastAsia="en-US"/>
        </w:rPr>
        <w:t>A</w:t>
      </w:r>
      <w:r w:rsidR="00FE1F2C" w:rsidRPr="002749BC">
        <w:rPr>
          <w:lang w:eastAsia="en-US"/>
        </w:rPr>
        <w:t xml:space="preserve">n extensive body of academic research exists that can support </w:t>
      </w:r>
      <w:r w:rsidR="00FC08C9" w:rsidRPr="002749BC">
        <w:rPr>
          <w:lang w:eastAsia="en-US"/>
        </w:rPr>
        <w:t xml:space="preserve">adjustments </w:t>
      </w:r>
      <w:r w:rsidR="00FE1F2C" w:rsidRPr="002749BC">
        <w:rPr>
          <w:lang w:eastAsia="en-US"/>
        </w:rPr>
        <w:t xml:space="preserve">in valuations to account </w:t>
      </w:r>
      <w:r w:rsidR="00FC08C9" w:rsidRPr="002749BC">
        <w:rPr>
          <w:lang w:eastAsia="en-US"/>
        </w:rPr>
        <w:t xml:space="preserve">for differences in the context. Some adjustments that </w:t>
      </w:r>
      <w:r w:rsidR="00FE1F2C" w:rsidRPr="002749BC">
        <w:rPr>
          <w:lang w:eastAsia="en-US"/>
        </w:rPr>
        <w:t>studies have suggested may be</w:t>
      </w:r>
      <w:r w:rsidR="00FC08C9" w:rsidRPr="002749BC">
        <w:rPr>
          <w:lang w:eastAsia="en-US"/>
        </w:rPr>
        <w:t xml:space="preserve"> appropriate in the example given include:</w:t>
      </w:r>
      <w:r w:rsidR="00FE1F2C" w:rsidRPr="005D11B8">
        <w:rPr>
          <w:rStyle w:val="FootnoteReference"/>
        </w:rPr>
        <w:footnoteReference w:id="11"/>
      </w:r>
    </w:p>
    <w:p w14:paraId="466FE4CC" w14:textId="161D5294" w:rsidR="00FC08C9" w:rsidRPr="002749BC" w:rsidRDefault="00FC08C9" w:rsidP="00FC08C9">
      <w:pPr>
        <w:pStyle w:val="bullet"/>
      </w:pPr>
      <w:r w:rsidRPr="002749BC">
        <w:t>adjusting for differences in average income between the source and destination populations</w:t>
      </w:r>
      <w:r w:rsidR="00FE1F2C" w:rsidRPr="002749BC">
        <w:t xml:space="preserve"> – higher incomes are clearly correlated with higher values of customer time. </w:t>
      </w:r>
    </w:p>
    <w:p w14:paraId="4341FF8D" w14:textId="13F3BC8E" w:rsidR="00FC08C9" w:rsidRPr="002749BC" w:rsidRDefault="00FC08C9" w:rsidP="00FC08C9">
      <w:pPr>
        <w:pStyle w:val="bullet"/>
      </w:pPr>
      <w:r w:rsidRPr="002749BC">
        <w:lastRenderedPageBreak/>
        <w:t>adjusting for distances – the longer the distance the higher the value of time for commuting</w:t>
      </w:r>
      <w:r w:rsidR="00FE1F2C" w:rsidRPr="002749BC">
        <w:t xml:space="preserve"> – potentially because the experience of travel becomes more taxing the longer it continues. </w:t>
      </w:r>
    </w:p>
    <w:p w14:paraId="05C1B127" w14:textId="2E16E8D9" w:rsidR="00FE1F2C" w:rsidRPr="002749BC" w:rsidRDefault="00FE1F2C" w:rsidP="00FC08C9">
      <w:pPr>
        <w:pStyle w:val="bullet"/>
      </w:pPr>
      <w:r w:rsidRPr="002749BC">
        <w:t xml:space="preserve">adjusting for mode – commuters show some differences in the value of time depending the mode. </w:t>
      </w:r>
    </w:p>
    <w:p w14:paraId="3490E8B5" w14:textId="0D5EC1E7" w:rsidR="002C4B00" w:rsidRPr="002749BC" w:rsidRDefault="002C4B00" w:rsidP="002C4B00">
      <w:pPr>
        <w:pStyle w:val="BodyText"/>
      </w:pPr>
      <w:r w:rsidRPr="002749BC">
        <w:t xml:space="preserve">Non-market valuations from both revealed preference and stated preference techniques can be used for benefit transfer, subject to the contexts and attributes being sufficiently similar. </w:t>
      </w:r>
      <w:r w:rsidR="004340EB" w:rsidRPr="002749BC">
        <w:t>S</w:t>
      </w:r>
      <w:r w:rsidRPr="002749BC">
        <w:t xml:space="preserve">tated preference techniques that produce valuation estimates able to be adjusted for differences in key attributes </w:t>
      </w:r>
      <w:r w:rsidR="004340EB" w:rsidRPr="002749BC">
        <w:t>–</w:t>
      </w:r>
      <w:r w:rsidRPr="002749BC">
        <w:t xml:space="preserve"> </w:t>
      </w:r>
      <w:r w:rsidR="004340EB" w:rsidRPr="002749BC">
        <w:t xml:space="preserve">choice modelling being the example </w:t>
      </w:r>
      <w:r w:rsidR="00F25FC6" w:rsidRPr="002749BC">
        <w:t>presented above</w:t>
      </w:r>
      <w:r w:rsidR="004340EB" w:rsidRPr="002749BC">
        <w:t xml:space="preserve"> – </w:t>
      </w:r>
      <w:r w:rsidRPr="002749BC">
        <w:t>are</w:t>
      </w:r>
      <w:r w:rsidR="004340EB" w:rsidRPr="002749BC">
        <w:t xml:space="preserve"> </w:t>
      </w:r>
      <w:r w:rsidRPr="002749BC">
        <w:t>more suited to benefit transfer.</w:t>
      </w:r>
      <w:r w:rsidR="004340EB" w:rsidRPr="005D11B8">
        <w:rPr>
          <w:rStyle w:val="FootnoteReference"/>
        </w:rPr>
        <w:footnoteReference w:id="12"/>
      </w:r>
    </w:p>
    <w:p w14:paraId="3FEF9177" w14:textId="5E992630" w:rsidR="00FE1F2C" w:rsidRPr="002749BC" w:rsidRDefault="002C4B00" w:rsidP="00FE1F2C">
      <w:pPr>
        <w:pStyle w:val="BodyText"/>
      </w:pPr>
      <w:r w:rsidRPr="002749BC">
        <w:t>I</w:t>
      </w:r>
      <w:r w:rsidR="00FE1F2C" w:rsidRPr="002749BC">
        <w:t>n the case of non-market values relevant to transport</w:t>
      </w:r>
      <w:r w:rsidRPr="002749BC">
        <w:t>,</w:t>
      </w:r>
      <w:r w:rsidR="00FE1F2C" w:rsidRPr="002749BC">
        <w:t xml:space="preserve"> a formalised </w:t>
      </w:r>
      <w:r w:rsidRPr="002749BC">
        <w:t xml:space="preserve">benefit transfer </w:t>
      </w:r>
      <w:r w:rsidR="00FE1F2C" w:rsidRPr="002749BC">
        <w:t xml:space="preserve">framework exists to </w:t>
      </w:r>
      <w:r w:rsidRPr="002749BC">
        <w:t xml:space="preserve">guide both the selection of non-market values and how those values are applied. This framework forms part of the ATAP Guidelines and is discussed in more detail below. </w:t>
      </w:r>
    </w:p>
    <w:p w14:paraId="29AD4229" w14:textId="775DEAD4" w:rsidR="004A5675" w:rsidRPr="002749BC" w:rsidRDefault="004A5675" w:rsidP="001B0CEE">
      <w:pPr>
        <w:pStyle w:val="Heading3"/>
      </w:pPr>
      <w:r w:rsidRPr="002749BC">
        <w:t>Willingness to pay and willingness to accept</w:t>
      </w:r>
    </w:p>
    <w:p w14:paraId="6906CFD5" w14:textId="64AAD054" w:rsidR="004A5675" w:rsidRPr="002749BC" w:rsidRDefault="004A5675" w:rsidP="00E557D9">
      <w:pPr>
        <w:pStyle w:val="BodyText"/>
      </w:pPr>
      <w:r w:rsidRPr="002749BC">
        <w:t xml:space="preserve">There are two alternative approaches to framing how respondents should express the value they attach to a service or attribute. One approach poses questions framed in terms of the amount respondents are willing to pay for an improvement in service from a low level to a high level (relatively speaking). The alternative approach is </w:t>
      </w:r>
      <w:r w:rsidR="00B54108">
        <w:t xml:space="preserve">to </w:t>
      </w:r>
      <w:r w:rsidRPr="002749BC">
        <w:t>pose questions framed in terms of how much compensation respondents are willing to accept for a reduction in their service level from the high level to the low level. In theory, the two approaches should arrive at the same value estimate since they are, in formal terms, exactly the same question</w:t>
      </w:r>
      <w:r w:rsidR="00E557D9" w:rsidRPr="002749BC">
        <w:t>. Empirically, however, ma</w:t>
      </w:r>
      <w:r w:rsidR="0085437E">
        <w:t>n</w:t>
      </w:r>
      <w:r w:rsidR="00E557D9" w:rsidRPr="002749BC">
        <w:t>y studies have found that willingness to accept compensation frequently exceeds willingness to pay for an equivalent change in quality</w:t>
      </w:r>
      <w:r w:rsidR="00B54108">
        <w:t>.</w:t>
      </w:r>
      <w:r w:rsidRPr="005D11B8">
        <w:rPr>
          <w:rStyle w:val="FootnoteReference"/>
        </w:rPr>
        <w:footnoteReference w:id="13"/>
      </w:r>
      <w:r w:rsidR="00E557D9" w:rsidRPr="002749BC">
        <w:rPr>
          <w:vertAlign w:val="superscript"/>
        </w:rPr>
        <w:t>,</w:t>
      </w:r>
      <w:r w:rsidR="00E557D9" w:rsidRPr="005D11B8">
        <w:rPr>
          <w:rStyle w:val="FootnoteReference"/>
        </w:rPr>
        <w:footnoteReference w:id="14"/>
      </w:r>
      <w:r w:rsidR="00E557D9" w:rsidRPr="002749BC">
        <w:t xml:space="preserve"> Willingness to accept methodologies are, accordingly, more susceptible to criticisms that they may have over-estimated the true value, while willingness to pay measures may be more readily defended as providing a conservative lower-bound estimate. </w:t>
      </w:r>
    </w:p>
    <w:p w14:paraId="3895EB49" w14:textId="7DD684B0" w:rsidR="00257592" w:rsidRPr="002749BC" w:rsidRDefault="00257592" w:rsidP="001B0CEE">
      <w:pPr>
        <w:pStyle w:val="Heading3"/>
      </w:pPr>
      <w:r w:rsidRPr="002749BC">
        <w:lastRenderedPageBreak/>
        <w:t>Payment vehicles</w:t>
      </w:r>
    </w:p>
    <w:p w14:paraId="58596E88" w14:textId="65D77AA5" w:rsidR="00AE244C" w:rsidRPr="002749BC" w:rsidRDefault="004A5675" w:rsidP="00AE244C">
      <w:pPr>
        <w:pStyle w:val="BodyText"/>
        <w:rPr>
          <w:lang w:eastAsia="en-US"/>
        </w:rPr>
      </w:pPr>
      <w:r w:rsidRPr="002749BC">
        <w:t>People are inclined to</w:t>
      </w:r>
      <w:r w:rsidR="00257592" w:rsidRPr="002749BC">
        <w:t xml:space="preserve"> want something for nothing. A core weakness in stated preference studies is the possibility that </w:t>
      </w:r>
      <w:r w:rsidR="0085437E">
        <w:t>a</w:t>
      </w:r>
      <w:r w:rsidR="0085437E" w:rsidRPr="002749BC">
        <w:t xml:space="preserve"> </w:t>
      </w:r>
      <w:r w:rsidR="00257592" w:rsidRPr="002749BC">
        <w:t xml:space="preserve">person answers strategically in order to maximise their benefits in the form of improved services or compensation payments, without accurately representing their true willingness to pay or willingness to accept. A robust study needs to convince respondents that a real-life intervention will take place and that they will actually be required to pay an amount for a change in service or will be receiving some reduction in service for which they will be compensated. </w:t>
      </w:r>
      <w:r w:rsidR="005C735A" w:rsidRPr="002749BC">
        <w:t>In a willingness to pay study, a suitable payment vehicle might be an increase in the average cost of service (e</w:t>
      </w:r>
      <w:r w:rsidR="00231FD6">
        <w:t>.</w:t>
      </w:r>
      <w:r w:rsidR="005C735A" w:rsidRPr="002749BC">
        <w:t>g</w:t>
      </w:r>
      <w:r w:rsidR="00231FD6">
        <w:t>.</w:t>
      </w:r>
      <w:r w:rsidR="005C735A" w:rsidRPr="002749BC">
        <w:t xml:space="preserve"> higher tariffs for all customers of a utility), the introduction of a levy by the Government or different prices for different service packages. </w:t>
      </w:r>
    </w:p>
    <w:p w14:paraId="0266EFC1" w14:textId="5A418422" w:rsidR="009F3991" w:rsidRPr="002749BC" w:rsidRDefault="001F6A4B" w:rsidP="00714A1E">
      <w:pPr>
        <w:pStyle w:val="Heading1"/>
      </w:pPr>
      <w:bookmarkStart w:id="14" w:name="_Ref5908287"/>
      <w:bookmarkStart w:id="15" w:name="_Toc12387756"/>
      <w:r w:rsidRPr="002749BC">
        <w:lastRenderedPageBreak/>
        <w:t>Literature Review</w:t>
      </w:r>
      <w:r w:rsidR="00E25795" w:rsidRPr="002749BC">
        <w:t xml:space="preserve"> </w:t>
      </w:r>
      <w:r w:rsidR="00B006AF" w:rsidRPr="002749BC">
        <w:t>– Value of Time</w:t>
      </w:r>
      <w:bookmarkEnd w:id="14"/>
      <w:bookmarkEnd w:id="15"/>
    </w:p>
    <w:p w14:paraId="75D14EBC" w14:textId="58A8CD73" w:rsidR="008C3638" w:rsidRPr="002749BC" w:rsidRDefault="0085437E" w:rsidP="00C40B6B">
      <w:pPr>
        <w:pStyle w:val="BodyText"/>
        <w:rPr>
          <w:lang w:eastAsia="en-US"/>
        </w:rPr>
      </w:pPr>
      <w:r>
        <w:rPr>
          <w:lang w:eastAsia="en-US"/>
        </w:rPr>
        <w:t>This section summarises the key concepts and insights from our review of</w:t>
      </w:r>
      <w:r w:rsidR="009726E5" w:rsidRPr="002749BC">
        <w:rPr>
          <w:lang w:eastAsia="en-US"/>
        </w:rPr>
        <w:t xml:space="preserve"> the academic and industry literature </w:t>
      </w:r>
      <w:r>
        <w:rPr>
          <w:lang w:eastAsia="en-US"/>
        </w:rPr>
        <w:t>relating to</w:t>
      </w:r>
      <w:r w:rsidR="008C3638" w:rsidRPr="002749BC">
        <w:rPr>
          <w:lang w:eastAsia="en-US"/>
        </w:rPr>
        <w:t xml:space="preserve"> </w:t>
      </w:r>
      <w:r w:rsidR="00B000ED" w:rsidRPr="002749BC">
        <w:rPr>
          <w:lang w:eastAsia="en-US"/>
        </w:rPr>
        <w:t>practice</w:t>
      </w:r>
      <w:r>
        <w:rPr>
          <w:lang w:eastAsia="en-US"/>
        </w:rPr>
        <w:t>s</w:t>
      </w:r>
      <w:r w:rsidR="00B000ED" w:rsidRPr="002749BC">
        <w:rPr>
          <w:lang w:eastAsia="en-US"/>
        </w:rPr>
        <w:t xml:space="preserve"> </w:t>
      </w:r>
      <w:r>
        <w:rPr>
          <w:lang w:eastAsia="en-US"/>
        </w:rPr>
        <w:t xml:space="preserve">used for </w:t>
      </w:r>
      <w:r w:rsidR="00EA5D9D" w:rsidRPr="002749BC">
        <w:rPr>
          <w:lang w:eastAsia="en-US"/>
        </w:rPr>
        <w:t>valu</w:t>
      </w:r>
      <w:r>
        <w:rPr>
          <w:lang w:eastAsia="en-US"/>
        </w:rPr>
        <w:t>ing</w:t>
      </w:r>
      <w:r w:rsidR="00EA5D9D" w:rsidRPr="002749BC">
        <w:rPr>
          <w:lang w:eastAsia="en-US"/>
        </w:rPr>
        <w:t xml:space="preserve"> customer time</w:t>
      </w:r>
      <w:r>
        <w:rPr>
          <w:lang w:eastAsia="en-US"/>
        </w:rPr>
        <w:t>, particularly as it might apply</w:t>
      </w:r>
      <w:r w:rsidR="00EA5D9D" w:rsidRPr="002749BC">
        <w:rPr>
          <w:lang w:eastAsia="en-US"/>
        </w:rPr>
        <w:t xml:space="preserve"> in a telecommunications context. </w:t>
      </w:r>
      <w:r w:rsidR="006B1C2C" w:rsidRPr="002749BC">
        <w:rPr>
          <w:lang w:eastAsia="en-US"/>
        </w:rPr>
        <w:t>Specifically, the objectives of the literature review were:</w:t>
      </w:r>
    </w:p>
    <w:p w14:paraId="54357C27" w14:textId="14E1325E" w:rsidR="006B1C2C" w:rsidRPr="002749BC" w:rsidRDefault="006B1C2C" w:rsidP="006B1C2C">
      <w:pPr>
        <w:pStyle w:val="bullet"/>
      </w:pPr>
      <w:r w:rsidRPr="002749BC">
        <w:t xml:space="preserve">To identify how </w:t>
      </w:r>
      <w:r w:rsidR="007962EC" w:rsidRPr="002749BC">
        <w:t xml:space="preserve">customer time </w:t>
      </w:r>
      <w:r w:rsidR="00266E61" w:rsidRPr="002749BC">
        <w:t>has been</w:t>
      </w:r>
      <w:r w:rsidR="007962EC" w:rsidRPr="002749BC">
        <w:t xml:space="preserve"> valued in </w:t>
      </w:r>
      <w:r w:rsidR="00586B83" w:rsidRPr="002749BC">
        <w:t xml:space="preserve">other </w:t>
      </w:r>
      <w:r w:rsidR="002C7183">
        <w:t xml:space="preserve">potentially </w:t>
      </w:r>
      <w:r w:rsidR="00266E61" w:rsidRPr="002749BC">
        <w:t xml:space="preserve">relevant </w:t>
      </w:r>
      <w:r w:rsidR="007962EC" w:rsidRPr="002749BC">
        <w:t>sectors</w:t>
      </w:r>
      <w:r w:rsidR="002C7183">
        <w:t xml:space="preserve"> (transport, water, waste management </w:t>
      </w:r>
      <w:r w:rsidR="00BB5B26">
        <w:t>and other sectors</w:t>
      </w:r>
      <w:r w:rsidR="002C7183">
        <w:t>)</w:t>
      </w:r>
      <w:r w:rsidR="007962EC" w:rsidRPr="002749BC">
        <w:t xml:space="preserve">; </w:t>
      </w:r>
      <w:r w:rsidR="005A1319" w:rsidRPr="002749BC">
        <w:t>and</w:t>
      </w:r>
      <w:r w:rsidR="0085437E">
        <w:t xml:space="preserve"> </w:t>
      </w:r>
    </w:p>
    <w:p w14:paraId="49BD59E6" w14:textId="35CA4C93" w:rsidR="004A1D7F" w:rsidRPr="002749BC" w:rsidRDefault="004A1D7F" w:rsidP="004A1D7F">
      <w:pPr>
        <w:pStyle w:val="bullet"/>
      </w:pPr>
      <w:r w:rsidRPr="002749BC">
        <w:t xml:space="preserve">To identify specific examples of valuations that may be promising to apply in (transfer to) the Australian telecommunications context.  </w:t>
      </w:r>
    </w:p>
    <w:p w14:paraId="513BB369" w14:textId="2793BB45" w:rsidR="00A1358D" w:rsidRPr="001B0CEE" w:rsidRDefault="00826B32" w:rsidP="001B0CEE">
      <w:pPr>
        <w:pStyle w:val="Heading2"/>
      </w:pPr>
      <w:bookmarkStart w:id="16" w:name="_Toc12387757"/>
      <w:r w:rsidRPr="001B0CEE">
        <w:t>F</w:t>
      </w:r>
      <w:r w:rsidR="00DD1F14" w:rsidRPr="001B0CEE">
        <w:t>indings</w:t>
      </w:r>
      <w:bookmarkEnd w:id="16"/>
    </w:p>
    <w:p w14:paraId="7F74FA8E" w14:textId="5ADD3FB9" w:rsidR="0011696F" w:rsidRPr="002749BC" w:rsidRDefault="0011696F" w:rsidP="001B0CEE">
      <w:pPr>
        <w:pStyle w:val="Heading3"/>
      </w:pPr>
      <w:r w:rsidRPr="002749BC">
        <w:t>Transport sector</w:t>
      </w:r>
    </w:p>
    <w:p w14:paraId="64172F9C" w14:textId="77777777" w:rsidR="00382C59" w:rsidRDefault="0011696F" w:rsidP="0011696F">
      <w:pPr>
        <w:pStyle w:val="BodyText"/>
        <w:rPr>
          <w:lang w:eastAsia="en-US"/>
        </w:rPr>
      </w:pPr>
      <w:r w:rsidRPr="002749BC">
        <w:rPr>
          <w:lang w:eastAsia="en-US"/>
        </w:rPr>
        <w:t xml:space="preserve">Overall, we found that value of time studies are most prevalent in the transport sector, where travel time is an extremely important attribute of travel services. Value of time estimates are found to be particularly important in the evaluation of public investment in transport infrastructure given that this investment frequently targets travel time reductions as a core benefit. Unsurprisingly, we found that the transport sector has developed the most sophisticated and well supported framework for the valuation of customer time. </w:t>
      </w:r>
    </w:p>
    <w:p w14:paraId="77115763" w14:textId="14F157E1" w:rsidR="0011696F" w:rsidRPr="002749BC" w:rsidRDefault="0011696F" w:rsidP="0011696F">
      <w:pPr>
        <w:pStyle w:val="BodyText"/>
        <w:rPr>
          <w:rFonts w:ascii="Arial Bold" w:hAnsi="Arial Bold"/>
          <w:b/>
          <w:szCs w:val="14"/>
        </w:rPr>
      </w:pPr>
      <w:r w:rsidRPr="002749BC">
        <w:t>The value of travel time weighted across modes provided by ATAP gives a well-accepted and relatively up to date estimate for the Australian transport context of $12.80/hour (2014) or $13.70/hour in $2018</w:t>
      </w:r>
      <w:r w:rsidRPr="005D11B8">
        <w:rPr>
          <w:rStyle w:val="FootnoteReference"/>
        </w:rPr>
        <w:footnoteReference w:id="15"/>
      </w:r>
      <w:r w:rsidRPr="002749BC">
        <w:t xml:space="preserve">. Whether this estimate could be suitable to use for benefit transfer, and if so how much it might need to be adjusted by, is considered in Section </w:t>
      </w:r>
      <w:r w:rsidR="000660FF">
        <w:fldChar w:fldCharType="begin"/>
      </w:r>
      <w:r w:rsidR="000660FF">
        <w:instrText xml:space="preserve"> REF _Ref4409868 \n \h </w:instrText>
      </w:r>
      <w:r w:rsidR="000660FF">
        <w:fldChar w:fldCharType="separate"/>
      </w:r>
      <w:r w:rsidR="00176422">
        <w:t>5.3</w:t>
      </w:r>
      <w:r w:rsidR="000660FF">
        <w:fldChar w:fldCharType="end"/>
      </w:r>
      <w:r w:rsidRPr="002749BC">
        <w:t xml:space="preserve">. </w:t>
      </w:r>
    </w:p>
    <w:p w14:paraId="62C2E951" w14:textId="77777777" w:rsidR="006874EF" w:rsidRDefault="006874EF" w:rsidP="006874EF">
      <w:pPr>
        <w:pStyle w:val="Heading4nonumber"/>
      </w:pPr>
      <w:r>
        <w:t>Use of valuation based on wage rates</w:t>
      </w:r>
    </w:p>
    <w:p w14:paraId="6A7DB764" w14:textId="704D1EEC" w:rsidR="006874EF" w:rsidRDefault="006874EF" w:rsidP="00475FD8">
      <w:pPr>
        <w:pStyle w:val="BodyText"/>
      </w:pPr>
      <w:r>
        <w:t>We found that valuation of time based on the opportunity cost of a person’s labour remains widely used in the transport sector though only in the context of business travel, where the “cost savings approach” remains in widespread use</w:t>
      </w:r>
      <w:r w:rsidR="0005372D">
        <w:t>.</w:t>
      </w:r>
      <w:r w:rsidRPr="005D11B8">
        <w:rPr>
          <w:rStyle w:val="FootnoteReference"/>
        </w:rPr>
        <w:footnoteReference w:id="16"/>
      </w:r>
      <w:r>
        <w:t xml:space="preserve"> </w:t>
      </w:r>
      <w:r w:rsidR="00AF4790">
        <w:t xml:space="preserve">This approach </w:t>
      </w:r>
      <w:r w:rsidR="00AF4790">
        <w:lastRenderedPageBreak/>
        <w:t xml:space="preserve">assumes that the </w:t>
      </w:r>
      <w:r w:rsidR="00D432CC" w:rsidRPr="00D432CC">
        <w:t>value of in-work time savings is the wage rate plus overhead costs</w:t>
      </w:r>
      <w:r w:rsidR="0005372D">
        <w:t>.</w:t>
      </w:r>
      <w:r w:rsidR="00361043" w:rsidRPr="005D11B8">
        <w:rPr>
          <w:rStyle w:val="FootnoteReference"/>
        </w:rPr>
        <w:footnoteReference w:id="17"/>
      </w:r>
      <w:r w:rsidR="00D432CC">
        <w:t xml:space="preserve"> </w:t>
      </w:r>
      <w:r w:rsidR="00361043">
        <w:t xml:space="preserve">However, </w:t>
      </w:r>
      <w:r w:rsidR="009667C4">
        <w:t xml:space="preserve">this approach would only be relevant to consumers </w:t>
      </w:r>
      <w:r w:rsidR="00B2785A">
        <w:t>who</w:t>
      </w:r>
      <w:r w:rsidR="00B478FB">
        <w:t xml:space="preserve"> are spending time to address service issues while at work</w:t>
      </w:r>
      <w:r w:rsidR="00B54108">
        <w:t>, such as for small business customers</w:t>
      </w:r>
      <w:r w:rsidR="00B478FB">
        <w:t xml:space="preserve">. </w:t>
      </w:r>
      <w:r w:rsidR="00AA795A">
        <w:t>Further</w:t>
      </w:r>
      <w:r w:rsidR="00B478FB">
        <w:t xml:space="preserve">, the approach has been subject to a variety of theoretical criticisms that have </w:t>
      </w:r>
      <w:r w:rsidR="00C72210">
        <w:t>encouraged researchers to pursue alternative approaches</w:t>
      </w:r>
      <w:r w:rsidR="002E189B">
        <w:t xml:space="preserve">. These criticisms include the suggestion that </w:t>
      </w:r>
      <w:r w:rsidR="00475FD8">
        <w:t xml:space="preserve">travel time is increasingly becoming </w:t>
      </w:r>
      <w:r w:rsidR="002E189B">
        <w:t>useable</w:t>
      </w:r>
      <w:r w:rsidR="00475FD8">
        <w:t xml:space="preserve"> for many business travellers</w:t>
      </w:r>
      <w:r w:rsidR="002E189B">
        <w:t xml:space="preserve"> and that changing expectations about work may mean that shorter</w:t>
      </w:r>
      <w:r w:rsidR="00475FD8">
        <w:t xml:space="preserve"> journey</w:t>
      </w:r>
      <w:r w:rsidR="002E189B">
        <w:t xml:space="preserve"> time</w:t>
      </w:r>
      <w:r w:rsidR="00475FD8">
        <w:t>s switch time at least partially between travel and leisure rather than between travel and work</w:t>
      </w:r>
      <w:r w:rsidR="0005372D">
        <w:t>.</w:t>
      </w:r>
      <w:r w:rsidR="00AA795A" w:rsidRPr="005D11B8">
        <w:rPr>
          <w:rStyle w:val="FootnoteReference"/>
        </w:rPr>
        <w:footnoteReference w:id="18"/>
      </w:r>
    </w:p>
    <w:p w14:paraId="042C597F" w14:textId="21A21685" w:rsidR="00D719D9" w:rsidRPr="009D1E4B" w:rsidRDefault="00E6583C" w:rsidP="00475FD8">
      <w:pPr>
        <w:pStyle w:val="BodyText"/>
      </w:pPr>
      <w:r>
        <w:t>Labour costs</w:t>
      </w:r>
      <w:r w:rsidR="009C4CB6">
        <w:t xml:space="preserve"> have also been the basis for </w:t>
      </w:r>
      <w:r w:rsidR="00DC1F95">
        <w:t xml:space="preserve">estimating </w:t>
      </w:r>
      <w:r w:rsidR="0038340D">
        <w:t xml:space="preserve">the impact of regulatory burden on </w:t>
      </w:r>
      <w:r w:rsidR="00E96D80">
        <w:t xml:space="preserve">businesses, community organisations or individuals. The Office of Best Practice Regulation </w:t>
      </w:r>
      <w:r w:rsidR="007B29A2">
        <w:t xml:space="preserve">(OBPR) </w:t>
      </w:r>
      <w:r w:rsidR="00CA61B3">
        <w:t xml:space="preserve">recommends that </w:t>
      </w:r>
      <w:r w:rsidR="00980AB4">
        <w:t xml:space="preserve">the assessment of </w:t>
      </w:r>
      <w:r w:rsidR="00CA61B3">
        <w:t xml:space="preserve">impacts </w:t>
      </w:r>
      <w:r w:rsidR="00980AB4">
        <w:t xml:space="preserve">from new regulatory proposals </w:t>
      </w:r>
      <w:r w:rsidR="00CA61B3">
        <w:t xml:space="preserve">explicitly </w:t>
      </w:r>
      <w:r w:rsidR="00980AB4">
        <w:t>include the cost of forgone leisure time</w:t>
      </w:r>
      <w:r w:rsidR="0005372D">
        <w:t>.</w:t>
      </w:r>
      <w:r w:rsidR="00E00B80">
        <w:rPr>
          <w:rStyle w:val="FootnoteReference"/>
        </w:rPr>
        <w:footnoteReference w:id="19"/>
      </w:r>
      <w:r w:rsidR="00980AB4">
        <w:t xml:space="preserve"> </w:t>
      </w:r>
      <w:r w:rsidR="001B7BF1">
        <w:t>The OBPR</w:t>
      </w:r>
      <w:r w:rsidR="009F669A">
        <w:t xml:space="preserve"> </w:t>
      </w:r>
      <w:r w:rsidR="00D879D6">
        <w:t>applie</w:t>
      </w:r>
      <w:r w:rsidR="00F9596D">
        <w:t>s</w:t>
      </w:r>
      <w:r w:rsidR="00D879D6">
        <w:t xml:space="preserve"> a</w:t>
      </w:r>
      <w:r w:rsidR="00951A59">
        <w:t xml:space="preserve"> non-</w:t>
      </w:r>
      <w:r w:rsidR="00D879D6">
        <w:t xml:space="preserve">labour cost </w:t>
      </w:r>
      <w:r w:rsidR="001B7BF1">
        <w:t xml:space="preserve">of time </w:t>
      </w:r>
      <w:r w:rsidR="00D879D6">
        <w:t>for individuals</w:t>
      </w:r>
      <w:r w:rsidR="00A06381">
        <w:t xml:space="preserve">, </w:t>
      </w:r>
      <w:r w:rsidR="001B7BF1">
        <w:t xml:space="preserve">reflecting </w:t>
      </w:r>
      <w:r w:rsidR="007B29A2">
        <w:t>the</w:t>
      </w:r>
      <w:r w:rsidR="00671258">
        <w:t xml:space="preserve"> </w:t>
      </w:r>
      <w:r w:rsidR="00951A59">
        <w:t xml:space="preserve">opportunity cost </w:t>
      </w:r>
      <w:r w:rsidR="00715F7C">
        <w:t xml:space="preserve">of </w:t>
      </w:r>
      <w:r w:rsidR="0015198D">
        <w:t xml:space="preserve"> peoples</w:t>
      </w:r>
      <w:r w:rsidR="006F1BFB">
        <w:t>’</w:t>
      </w:r>
      <w:r w:rsidR="0015198D">
        <w:t xml:space="preserve"> </w:t>
      </w:r>
      <w:r w:rsidR="00137B7B">
        <w:t xml:space="preserve">personal </w:t>
      </w:r>
      <w:r w:rsidR="00715F7C">
        <w:t>time</w:t>
      </w:r>
      <w:r w:rsidR="006F1BFB">
        <w:t xml:space="preserve"> (</w:t>
      </w:r>
      <w:r w:rsidR="006C4D03">
        <w:t>or ‘leisure time’</w:t>
      </w:r>
      <w:r w:rsidR="006F1BFB">
        <w:t>)</w:t>
      </w:r>
      <w:r w:rsidR="003E222F">
        <w:t xml:space="preserve">. </w:t>
      </w:r>
      <w:r w:rsidR="00D239D3">
        <w:t>This cost is</w:t>
      </w:r>
      <w:r w:rsidR="00E13CC9">
        <w:t xml:space="preserve"> </w:t>
      </w:r>
      <w:r w:rsidR="004211D6">
        <w:t xml:space="preserve">based on the standard economic approach </w:t>
      </w:r>
      <w:r w:rsidR="00A1587F" w:rsidRPr="00A1587F">
        <w:t>to consider the trade-off between work and leisure such that the marginal value of time spent working</w:t>
      </w:r>
      <w:r w:rsidR="000D5D97">
        <w:t xml:space="preserve"> (average hourly wage, plus overtime and after tax)</w:t>
      </w:r>
      <w:r w:rsidR="00A1587F" w:rsidRPr="00A1587F">
        <w:t xml:space="preserve"> equals the marginal value of time spent at leisure. Therefore, </w:t>
      </w:r>
      <w:r w:rsidR="006C0CB0">
        <w:t xml:space="preserve">the OBPR adopts </w:t>
      </w:r>
      <w:r w:rsidR="00A1587F" w:rsidRPr="00A1587F">
        <w:t xml:space="preserve">the default value for an individual’s leisure time </w:t>
      </w:r>
      <w:r w:rsidR="006C0CB0">
        <w:t>as</w:t>
      </w:r>
      <w:r w:rsidR="00A1587F" w:rsidRPr="00A1587F">
        <w:t xml:space="preserve"> average weekly earnings</w:t>
      </w:r>
      <w:r w:rsidR="006C0CB0">
        <w:t xml:space="preserve">, </w:t>
      </w:r>
      <w:r w:rsidR="00A1587F" w:rsidRPr="00A1587F">
        <w:t>estimated at $32 per hour.</w:t>
      </w:r>
      <w:r w:rsidR="00E5300D">
        <w:t xml:space="preserve"> </w:t>
      </w:r>
      <w:r w:rsidR="00B572B4">
        <w:t>OBPR’s</w:t>
      </w:r>
      <w:r w:rsidR="00E5300D">
        <w:t xml:space="preserve"> approach is also applied by the Australian Communications and Media Authority</w:t>
      </w:r>
      <w:r w:rsidR="0005372D">
        <w:t>.</w:t>
      </w:r>
      <w:r w:rsidR="00936DCC">
        <w:rPr>
          <w:rStyle w:val="FootnoteReference"/>
        </w:rPr>
        <w:footnoteReference w:id="20"/>
      </w:r>
    </w:p>
    <w:p w14:paraId="6F5266AD" w14:textId="77777777" w:rsidR="0011696F" w:rsidRPr="002749BC" w:rsidRDefault="0011696F" w:rsidP="001B0CEE">
      <w:pPr>
        <w:pStyle w:val="Heading3"/>
      </w:pPr>
      <w:r w:rsidRPr="002749BC">
        <w:t>Other sectors</w:t>
      </w:r>
    </w:p>
    <w:p w14:paraId="17BB0FFD" w14:textId="7712802A" w:rsidR="000C1362" w:rsidRDefault="000C1362" w:rsidP="0011696F">
      <w:pPr>
        <w:pStyle w:val="BodyText"/>
        <w:rPr>
          <w:lang w:eastAsia="en-US"/>
        </w:rPr>
      </w:pPr>
      <w:r>
        <w:rPr>
          <w:lang w:eastAsia="en-US"/>
        </w:rPr>
        <w:t xml:space="preserve">We did not find estimates for the value of customer time in other contexts that we consider would be suitable for benefit transfer into a telecommunications context. </w:t>
      </w:r>
    </w:p>
    <w:p w14:paraId="4852BDBF" w14:textId="65334D2B" w:rsidR="000C1362" w:rsidRDefault="0011696F" w:rsidP="0011696F">
      <w:pPr>
        <w:pStyle w:val="BodyText"/>
        <w:rPr>
          <w:lang w:eastAsia="en-US"/>
        </w:rPr>
      </w:pPr>
      <w:r w:rsidRPr="002749BC">
        <w:rPr>
          <w:lang w:eastAsia="en-US"/>
        </w:rPr>
        <w:t xml:space="preserve">We found no examples of studies valuing customer time in electricity and gas services, since this does not appear to be a relevant attribute in the customer experience of these services. </w:t>
      </w:r>
      <w:r w:rsidR="000C1362">
        <w:rPr>
          <w:lang w:eastAsia="en-US"/>
        </w:rPr>
        <w:t xml:space="preserve">It appears that </w:t>
      </w:r>
      <w:r w:rsidR="006302C1">
        <w:rPr>
          <w:lang w:eastAsia="en-US"/>
        </w:rPr>
        <w:t xml:space="preserve">consideration of the value of customer time in the electricity </w:t>
      </w:r>
      <w:r w:rsidR="006302C1">
        <w:rPr>
          <w:lang w:eastAsia="en-US"/>
        </w:rPr>
        <w:lastRenderedPageBreak/>
        <w:t xml:space="preserve">sector has been overshadowed by the value of reliability – something we explore in Section </w:t>
      </w:r>
      <w:r w:rsidR="006302C1">
        <w:rPr>
          <w:lang w:eastAsia="en-US"/>
        </w:rPr>
        <w:fldChar w:fldCharType="begin"/>
      </w:r>
      <w:r w:rsidR="006302C1">
        <w:rPr>
          <w:lang w:eastAsia="en-US"/>
        </w:rPr>
        <w:instrText xml:space="preserve"> REF _Ref5908293 \r \h </w:instrText>
      </w:r>
      <w:r w:rsidR="006302C1">
        <w:rPr>
          <w:lang w:eastAsia="en-US"/>
        </w:rPr>
      </w:r>
      <w:r w:rsidR="006302C1">
        <w:rPr>
          <w:lang w:eastAsia="en-US"/>
        </w:rPr>
        <w:fldChar w:fldCharType="separate"/>
      </w:r>
      <w:r w:rsidR="00176422">
        <w:rPr>
          <w:lang w:eastAsia="en-US"/>
        </w:rPr>
        <w:t>4</w:t>
      </w:r>
      <w:r w:rsidR="006302C1">
        <w:rPr>
          <w:lang w:eastAsia="en-US"/>
        </w:rPr>
        <w:fldChar w:fldCharType="end"/>
      </w:r>
      <w:r w:rsidR="006302C1">
        <w:rPr>
          <w:lang w:eastAsia="en-US"/>
        </w:rPr>
        <w:t xml:space="preserve">. </w:t>
      </w:r>
      <w:r w:rsidR="004E2791">
        <w:rPr>
          <w:lang w:eastAsia="en-US"/>
        </w:rPr>
        <w:t xml:space="preserve">We can also speculate that </w:t>
      </w:r>
      <w:r w:rsidR="006E02C5">
        <w:rPr>
          <w:lang w:eastAsia="en-US"/>
        </w:rPr>
        <w:t>lack of attention paid to the</w:t>
      </w:r>
      <w:r w:rsidR="004E2791">
        <w:rPr>
          <w:lang w:eastAsia="en-US"/>
        </w:rPr>
        <w:t xml:space="preserve"> value of customer time in the context of </w:t>
      </w:r>
      <w:r w:rsidR="00D309E9">
        <w:rPr>
          <w:lang w:eastAsia="en-US"/>
        </w:rPr>
        <w:t xml:space="preserve">electricity service provider </w:t>
      </w:r>
      <w:r w:rsidR="004E2791">
        <w:rPr>
          <w:lang w:eastAsia="en-US"/>
        </w:rPr>
        <w:t xml:space="preserve">call centres </w:t>
      </w:r>
      <w:r w:rsidR="006E02C5">
        <w:rPr>
          <w:lang w:eastAsia="en-US"/>
        </w:rPr>
        <w:t xml:space="preserve">might reflect the fact that most service calls originate with electricity retailers (who are not typically subject to economic regulation). We note that regulatory </w:t>
      </w:r>
      <w:r w:rsidR="00AA1705">
        <w:rPr>
          <w:lang w:eastAsia="en-US"/>
        </w:rPr>
        <w:t xml:space="preserve">performance </w:t>
      </w:r>
      <w:r w:rsidR="006E02C5">
        <w:rPr>
          <w:lang w:eastAsia="en-US"/>
        </w:rPr>
        <w:t xml:space="preserve">obligations on </w:t>
      </w:r>
      <w:r w:rsidR="00AA1705">
        <w:rPr>
          <w:lang w:eastAsia="en-US"/>
        </w:rPr>
        <w:t xml:space="preserve">call centres operated by </w:t>
      </w:r>
      <w:r w:rsidR="006E02C5">
        <w:rPr>
          <w:lang w:eastAsia="en-US"/>
        </w:rPr>
        <w:t xml:space="preserve">electricity distributors </w:t>
      </w:r>
      <w:r w:rsidR="000125D2">
        <w:rPr>
          <w:lang w:eastAsia="en-US"/>
        </w:rPr>
        <w:t>tend not to measure the total time required on the service ca</w:t>
      </w:r>
      <w:r w:rsidR="00514083">
        <w:rPr>
          <w:lang w:eastAsia="en-US"/>
        </w:rPr>
        <w:t>l</w:t>
      </w:r>
      <w:r w:rsidR="000125D2">
        <w:rPr>
          <w:lang w:eastAsia="en-US"/>
        </w:rPr>
        <w:t>l</w:t>
      </w:r>
      <w:r w:rsidR="00BE2ADB">
        <w:rPr>
          <w:lang w:eastAsia="en-US"/>
        </w:rPr>
        <w:t>.</w:t>
      </w:r>
      <w:r w:rsidR="00BA2D0D" w:rsidRPr="005D11B8">
        <w:rPr>
          <w:rStyle w:val="FootnoteReference"/>
        </w:rPr>
        <w:footnoteReference w:id="21"/>
      </w:r>
      <w:r w:rsidR="009C175A">
        <w:rPr>
          <w:lang w:eastAsia="en-US"/>
        </w:rPr>
        <w:t xml:space="preserve"> </w:t>
      </w:r>
    </w:p>
    <w:p w14:paraId="4739E279" w14:textId="049AF918" w:rsidR="0011696F" w:rsidRDefault="0011696F" w:rsidP="0011696F">
      <w:pPr>
        <w:pStyle w:val="BodyText"/>
        <w:rPr>
          <w:lang w:eastAsia="en-US"/>
        </w:rPr>
      </w:pPr>
      <w:r w:rsidRPr="002749BC">
        <w:rPr>
          <w:lang w:eastAsia="en-US"/>
        </w:rPr>
        <w:t>We found one example of a study that used estimates of the value of customer time to evaluate willingness to pay to avoid sprinkler restrictions</w:t>
      </w:r>
      <w:r>
        <w:rPr>
          <w:lang w:eastAsia="en-US"/>
        </w:rPr>
        <w:t xml:space="preserve"> (i.e. avoidance of spending time hand watering over using automated sprinklers)</w:t>
      </w:r>
      <w:r w:rsidRPr="002749BC">
        <w:rPr>
          <w:lang w:eastAsia="en-US"/>
        </w:rPr>
        <w:t>, but again, in general, customer time did not appear to be an especially salient attribute for this type of service. Several studies of household recycling preferences were found but these appear to have employed problematic survey techniques or found counter-intuitive preferences with respect to the activity that takes up the person’s time that suggest little opportunity to transfer values from those studies into the telecommunications context.</w:t>
      </w:r>
      <w:r w:rsidR="007123EA">
        <w:rPr>
          <w:lang w:eastAsia="en-US"/>
        </w:rPr>
        <w:t xml:space="preserve"> </w:t>
      </w:r>
    </w:p>
    <w:p w14:paraId="781E9E69" w14:textId="4D0AC249" w:rsidR="007123EA" w:rsidRDefault="007123EA" w:rsidP="0011696F">
      <w:pPr>
        <w:pStyle w:val="BodyText"/>
        <w:rPr>
          <w:lang w:eastAsia="en-US"/>
        </w:rPr>
      </w:pPr>
      <w:r>
        <w:rPr>
          <w:lang w:eastAsia="en-US"/>
        </w:rPr>
        <w:t xml:space="preserve">We found one study in a retail sector context and, despite searching, found no studies concerning the value of time in the context of call centres and IT helpdesk services. </w:t>
      </w:r>
      <w:r w:rsidR="00F14825">
        <w:rPr>
          <w:lang w:eastAsia="en-US"/>
        </w:rPr>
        <w:t>Another</w:t>
      </w:r>
      <w:r>
        <w:rPr>
          <w:lang w:eastAsia="en-US"/>
        </w:rPr>
        <w:t xml:space="preserve"> context we did not investigate but which might </w:t>
      </w:r>
      <w:r w:rsidR="00F14825">
        <w:rPr>
          <w:lang w:eastAsia="en-US"/>
        </w:rPr>
        <w:t xml:space="preserve">merit attention in future research is the subject of waiting times in the health sector.  </w:t>
      </w:r>
    </w:p>
    <w:p w14:paraId="6A6AC085" w14:textId="4D993C05" w:rsidR="00514083" w:rsidRPr="001B0CEE" w:rsidRDefault="00514083" w:rsidP="001B0CEE">
      <w:pPr>
        <w:pStyle w:val="Heading2"/>
      </w:pPr>
      <w:bookmarkStart w:id="17" w:name="_Toc12387758"/>
      <w:r w:rsidRPr="001B0CEE">
        <w:t>Studies</w:t>
      </w:r>
      <w:r w:rsidR="00FA4CD7" w:rsidRPr="001B0CEE">
        <w:t xml:space="preserve"> considered</w:t>
      </w:r>
      <w:bookmarkEnd w:id="17"/>
    </w:p>
    <w:p w14:paraId="094088F8" w14:textId="6C04B0E2" w:rsidR="008D3E81" w:rsidRDefault="00664F7C" w:rsidP="00DD5FE0">
      <w:pPr>
        <w:pStyle w:val="BodyText"/>
      </w:pPr>
      <w:r>
        <w:fldChar w:fldCharType="begin"/>
      </w:r>
      <w:r>
        <w:instrText xml:space="preserve"> REF _Ref10123741 \h </w:instrText>
      </w:r>
      <w:r>
        <w:fldChar w:fldCharType="separate"/>
      </w:r>
      <w:r w:rsidR="00176422" w:rsidRPr="002749BC">
        <w:t xml:space="preserve">Table </w:t>
      </w:r>
      <w:r w:rsidR="00176422">
        <w:rPr>
          <w:noProof/>
        </w:rPr>
        <w:t>3</w:t>
      </w:r>
      <w:r>
        <w:fldChar w:fldCharType="end"/>
      </w:r>
      <w:r w:rsidR="001D2E11">
        <w:t xml:space="preserve">, </w:t>
      </w:r>
      <w:r>
        <w:fldChar w:fldCharType="begin"/>
      </w:r>
      <w:r>
        <w:instrText xml:space="preserve"> REF _Ref10123742 \h </w:instrText>
      </w:r>
      <w:r>
        <w:fldChar w:fldCharType="separate"/>
      </w:r>
      <w:r w:rsidR="00176422" w:rsidRPr="002749BC">
        <w:t xml:space="preserve">Table </w:t>
      </w:r>
      <w:r w:rsidR="00176422">
        <w:rPr>
          <w:noProof/>
        </w:rPr>
        <w:t>4</w:t>
      </w:r>
      <w:r>
        <w:fldChar w:fldCharType="end"/>
      </w:r>
      <w:r w:rsidR="001D2E11">
        <w:t xml:space="preserve"> and </w:t>
      </w:r>
      <w:r w:rsidR="001D2E11">
        <w:fldChar w:fldCharType="begin"/>
      </w:r>
      <w:r w:rsidR="001D2E11">
        <w:instrText xml:space="preserve"> REF _Ref10123743 \h </w:instrText>
      </w:r>
      <w:r w:rsidR="001D2E11">
        <w:fldChar w:fldCharType="separate"/>
      </w:r>
      <w:r w:rsidR="00176422" w:rsidRPr="002749BC">
        <w:t xml:space="preserve">Table </w:t>
      </w:r>
      <w:r w:rsidR="00176422">
        <w:rPr>
          <w:noProof/>
        </w:rPr>
        <w:t>5</w:t>
      </w:r>
      <w:r w:rsidR="001D2E11">
        <w:fldChar w:fldCharType="end"/>
      </w:r>
      <w:r w:rsidR="00FA4CD7">
        <w:t xml:space="preserve"> summarise the </w:t>
      </w:r>
      <w:r w:rsidR="004227EA">
        <w:t xml:space="preserve">studies identified by Synergies </w:t>
      </w:r>
      <w:r w:rsidR="00F85725">
        <w:t xml:space="preserve">in the contexts of transport, waste and assorted other settings respectively. </w:t>
      </w:r>
      <w:r w:rsidR="008D07B3">
        <w:t>S</w:t>
      </w:r>
      <w:r w:rsidR="00F85725">
        <w:t xml:space="preserve">tudies were selected </w:t>
      </w:r>
      <w:r w:rsidR="008D07B3">
        <w:t>where they were felt to have some relevance</w:t>
      </w:r>
      <w:r w:rsidR="004227EA">
        <w:t xml:space="preserve"> to the </w:t>
      </w:r>
      <w:r w:rsidR="009B43EE">
        <w:t xml:space="preserve">valuation of time in the context of telecommunications, </w:t>
      </w:r>
      <w:r w:rsidR="008D3E81">
        <w:t>both for insights into</w:t>
      </w:r>
      <w:r w:rsidR="009B43EE">
        <w:t xml:space="preserve"> method</w:t>
      </w:r>
      <w:r w:rsidR="008D3E81">
        <w:t>ological questions</w:t>
      </w:r>
      <w:r w:rsidR="009B43EE">
        <w:t xml:space="preserve"> and </w:t>
      </w:r>
      <w:r w:rsidR="008D3E81">
        <w:t>as potential sources of values to use for benefit transfer.</w:t>
      </w:r>
      <w:r w:rsidR="000C1362" w:rsidRPr="002749BC">
        <w:t xml:space="preserve"> </w:t>
      </w:r>
    </w:p>
    <w:p w14:paraId="100F5A8C" w14:textId="77777777" w:rsidR="00DD5FE0" w:rsidRPr="002749BC" w:rsidRDefault="00DD5FE0" w:rsidP="00C40B6B">
      <w:pPr>
        <w:pStyle w:val="BodyText"/>
        <w:rPr>
          <w:lang w:eastAsia="en-US"/>
        </w:rPr>
      </w:pPr>
    </w:p>
    <w:p w14:paraId="7A31C75F" w14:textId="77777777" w:rsidR="009A1CA7" w:rsidRPr="002749BC" w:rsidRDefault="009A1CA7" w:rsidP="00F70703">
      <w:pPr>
        <w:pStyle w:val="BodyText"/>
        <w:sectPr w:rsidR="009A1CA7" w:rsidRPr="002749BC" w:rsidSect="008E27B5">
          <w:headerReference w:type="even" r:id="rId17"/>
          <w:headerReference w:type="default" r:id="rId18"/>
          <w:footerReference w:type="even" r:id="rId19"/>
          <w:footerReference w:type="default" r:id="rId20"/>
          <w:headerReference w:type="first" r:id="rId21"/>
          <w:footerReference w:type="first" r:id="rId22"/>
          <w:pgSz w:w="11906" w:h="16838" w:code="9"/>
          <w:pgMar w:top="2268" w:right="1701" w:bottom="1701" w:left="1701" w:header="709" w:footer="567" w:gutter="0"/>
          <w:cols w:space="708"/>
          <w:docGrid w:linePitch="360"/>
        </w:sectPr>
      </w:pPr>
    </w:p>
    <w:p w14:paraId="2A744890" w14:textId="59C5BD26" w:rsidR="004E09F9" w:rsidRPr="002749BC" w:rsidRDefault="004E09F9" w:rsidP="004E09F9">
      <w:pPr>
        <w:pStyle w:val="Caption"/>
        <w:rPr>
          <w:b w:val="0"/>
        </w:rPr>
      </w:pPr>
      <w:bookmarkStart w:id="18" w:name="_Ref10123741"/>
      <w:bookmarkStart w:id="19" w:name="_Toc12387784"/>
      <w:r w:rsidRPr="002749BC">
        <w:lastRenderedPageBreak/>
        <w:t xml:space="preserve">Table </w:t>
      </w:r>
      <w:r w:rsidRPr="002749BC">
        <w:rPr>
          <w:noProof/>
        </w:rPr>
        <w:fldChar w:fldCharType="begin"/>
      </w:r>
      <w:r w:rsidRPr="002749BC">
        <w:rPr>
          <w:noProof/>
        </w:rPr>
        <w:instrText xml:space="preserve"> SEQ Table \* ARABIC </w:instrText>
      </w:r>
      <w:r w:rsidRPr="002749BC">
        <w:rPr>
          <w:noProof/>
        </w:rPr>
        <w:fldChar w:fldCharType="separate"/>
      </w:r>
      <w:r w:rsidR="00176422">
        <w:rPr>
          <w:noProof/>
        </w:rPr>
        <w:t>3</w:t>
      </w:r>
      <w:r w:rsidRPr="002749BC">
        <w:rPr>
          <w:noProof/>
        </w:rPr>
        <w:fldChar w:fldCharType="end"/>
      </w:r>
      <w:bookmarkEnd w:id="18"/>
      <w:r w:rsidRPr="002749BC">
        <w:t xml:space="preserve"> </w:t>
      </w:r>
      <w:r w:rsidRPr="002749BC">
        <w:tab/>
        <w:t>Non-market valuation studies concerning the valuation of customer times</w:t>
      </w:r>
      <w:r>
        <w:t xml:space="preserve"> in transport context</w:t>
      </w:r>
      <w:bookmarkEnd w:id="19"/>
    </w:p>
    <w:tbl>
      <w:tblPr>
        <w:tblW w:w="5250" w:type="pct"/>
        <w:tblInd w:w="85" w:type="dxa"/>
        <w:tblLayout w:type="fixed"/>
        <w:tblCellMar>
          <w:left w:w="56" w:type="dxa"/>
          <w:right w:w="56" w:type="dxa"/>
        </w:tblCellMar>
        <w:tblLook w:val="0000" w:firstRow="0" w:lastRow="0" w:firstColumn="0" w:lastColumn="0" w:noHBand="0" w:noVBand="0"/>
        <w:tblCaption w:val="Non-market valuation studies concerning the valuation of customer times in transport context  "/>
        <w:tblDescription w:val="A selection of summaries of non-market valuation studies from the transport sector."/>
      </w:tblPr>
      <w:tblGrid>
        <w:gridCol w:w="2183"/>
        <w:gridCol w:w="1762"/>
        <w:gridCol w:w="5811"/>
        <w:gridCol w:w="2643"/>
        <w:gridCol w:w="3346"/>
      </w:tblGrid>
      <w:tr w:rsidR="00171DD2" w:rsidRPr="002749BC" w14:paraId="1DC9632D" w14:textId="77777777" w:rsidTr="008D07B3">
        <w:trPr>
          <w:tblHeader/>
        </w:trPr>
        <w:tc>
          <w:tcPr>
            <w:tcW w:w="1758" w:type="dxa"/>
            <w:tcBorders>
              <w:top w:val="single" w:sz="4" w:space="0" w:color="000000"/>
              <w:bottom w:val="single" w:sz="4" w:space="0" w:color="000000"/>
            </w:tcBorders>
            <w:shd w:val="clear" w:color="auto" w:fill="auto"/>
          </w:tcPr>
          <w:p w14:paraId="4A107795" w14:textId="77777777" w:rsidR="004E09F9" w:rsidRPr="002749BC" w:rsidRDefault="004E09F9" w:rsidP="00E56146">
            <w:pPr>
              <w:pStyle w:val="Tablecolumnheadings"/>
            </w:pPr>
            <w:r w:rsidRPr="002749BC">
              <w:t>Study (Year)</w:t>
            </w:r>
          </w:p>
        </w:tc>
        <w:tc>
          <w:tcPr>
            <w:tcW w:w="1418" w:type="dxa"/>
            <w:tcBorders>
              <w:top w:val="single" w:sz="4" w:space="0" w:color="000000"/>
              <w:bottom w:val="single" w:sz="4" w:space="0" w:color="000000"/>
            </w:tcBorders>
            <w:shd w:val="clear" w:color="auto" w:fill="auto"/>
          </w:tcPr>
          <w:p w14:paraId="74C85C9A" w14:textId="77777777" w:rsidR="004E09F9" w:rsidRPr="002749BC" w:rsidRDefault="004E09F9" w:rsidP="00E56146">
            <w:pPr>
              <w:pStyle w:val="Tablecolumnheadings"/>
            </w:pPr>
            <w:r w:rsidRPr="002749BC">
              <w:t>Sector / Jurisdiction</w:t>
            </w:r>
          </w:p>
        </w:tc>
        <w:tc>
          <w:tcPr>
            <w:tcW w:w="4677" w:type="dxa"/>
            <w:tcBorders>
              <w:top w:val="single" w:sz="4" w:space="0" w:color="000000"/>
              <w:bottom w:val="single" w:sz="4" w:space="0" w:color="000000"/>
            </w:tcBorders>
            <w:shd w:val="clear" w:color="auto" w:fill="auto"/>
          </w:tcPr>
          <w:p w14:paraId="4595791B" w14:textId="77777777" w:rsidR="004E09F9" w:rsidRPr="002749BC" w:rsidRDefault="004E09F9" w:rsidP="00E56146">
            <w:pPr>
              <w:pStyle w:val="Tablecolumnheadings"/>
            </w:pPr>
            <w:r w:rsidRPr="002749BC">
              <w:t>Study goal and studied attributes</w:t>
            </w:r>
          </w:p>
        </w:tc>
        <w:tc>
          <w:tcPr>
            <w:tcW w:w="2127" w:type="dxa"/>
            <w:tcBorders>
              <w:top w:val="single" w:sz="4" w:space="0" w:color="000000"/>
              <w:bottom w:val="single" w:sz="4" w:space="0" w:color="000000"/>
            </w:tcBorders>
            <w:shd w:val="clear" w:color="auto" w:fill="auto"/>
          </w:tcPr>
          <w:p w14:paraId="1253CFB6" w14:textId="77777777" w:rsidR="004E09F9" w:rsidRPr="002749BC" w:rsidRDefault="004E09F9" w:rsidP="00E56146">
            <w:pPr>
              <w:pStyle w:val="Tablecolumnheadings"/>
            </w:pPr>
            <w:r w:rsidRPr="002749BC">
              <w:t>Valuation method(s)</w:t>
            </w:r>
          </w:p>
        </w:tc>
        <w:tc>
          <w:tcPr>
            <w:tcW w:w="2693" w:type="dxa"/>
            <w:tcBorders>
              <w:top w:val="single" w:sz="4" w:space="0" w:color="000000"/>
              <w:bottom w:val="single" w:sz="4" w:space="0" w:color="000000"/>
            </w:tcBorders>
            <w:shd w:val="clear" w:color="auto" w:fill="auto"/>
          </w:tcPr>
          <w:p w14:paraId="345436DC" w14:textId="77777777" w:rsidR="004E09F9" w:rsidRPr="002749BC" w:rsidRDefault="004E09F9" w:rsidP="00E56146">
            <w:pPr>
              <w:pStyle w:val="Tablecolumnheadings"/>
            </w:pPr>
            <w:r w:rsidRPr="002749BC">
              <w:t>Valuations</w:t>
            </w:r>
            <w:r>
              <w:t xml:space="preserve"> and other implications</w:t>
            </w:r>
          </w:p>
        </w:tc>
      </w:tr>
      <w:tr w:rsidR="005C7F25" w:rsidRPr="002749BC" w14:paraId="4F2A0A52" w14:textId="77777777" w:rsidTr="008D07B3">
        <w:tc>
          <w:tcPr>
            <w:tcW w:w="1758" w:type="dxa"/>
            <w:tcBorders>
              <w:top w:val="single" w:sz="4" w:space="0" w:color="000000"/>
              <w:bottom w:val="single" w:sz="4" w:space="0" w:color="D9D9D9" w:themeColor="background1" w:themeShade="D9"/>
            </w:tcBorders>
            <w:shd w:val="clear" w:color="auto" w:fill="auto"/>
          </w:tcPr>
          <w:p w14:paraId="51EE733D" w14:textId="77777777" w:rsidR="004E09F9" w:rsidRPr="002749BC" w:rsidRDefault="004E09F9" w:rsidP="00E56146">
            <w:pPr>
              <w:pStyle w:val="Tablebody"/>
            </w:pPr>
            <w:r w:rsidRPr="002749BC">
              <w:t>Australian Transport Assessment and Planning (ATAP) Guidelines</w:t>
            </w:r>
            <w:r w:rsidRPr="005D11B8">
              <w:rPr>
                <w:rStyle w:val="FootnoteReference"/>
              </w:rPr>
              <w:footnoteReference w:id="22"/>
            </w:r>
            <w:r>
              <w:t xml:space="preserve"> </w:t>
            </w:r>
            <w:r w:rsidRPr="002749BC">
              <w:t>(2018)</w:t>
            </w:r>
          </w:p>
        </w:tc>
        <w:tc>
          <w:tcPr>
            <w:tcW w:w="1418" w:type="dxa"/>
            <w:tcBorders>
              <w:top w:val="single" w:sz="4" w:space="0" w:color="000000"/>
              <w:bottom w:val="single" w:sz="4" w:space="0" w:color="D9D9D9" w:themeColor="background1" w:themeShade="D9"/>
            </w:tcBorders>
            <w:shd w:val="clear" w:color="auto" w:fill="auto"/>
          </w:tcPr>
          <w:p w14:paraId="43C7C659" w14:textId="77777777" w:rsidR="004E09F9" w:rsidRPr="002749BC" w:rsidRDefault="004E09F9" w:rsidP="00E56146">
            <w:pPr>
              <w:pStyle w:val="Tablebody"/>
            </w:pPr>
            <w:r w:rsidRPr="002749BC">
              <w:t>Public Transport / Australia and New Zealand</w:t>
            </w:r>
          </w:p>
        </w:tc>
        <w:tc>
          <w:tcPr>
            <w:tcW w:w="4677" w:type="dxa"/>
            <w:tcBorders>
              <w:top w:val="single" w:sz="4" w:space="0" w:color="000000"/>
              <w:bottom w:val="single" w:sz="4" w:space="0" w:color="D9D9D9" w:themeColor="background1" w:themeShade="D9"/>
            </w:tcBorders>
            <w:shd w:val="clear" w:color="auto" w:fill="auto"/>
          </w:tcPr>
          <w:p w14:paraId="62112058" w14:textId="77777777" w:rsidR="004E09F9" w:rsidRPr="002749BC" w:rsidRDefault="004E09F9" w:rsidP="00E56146">
            <w:pPr>
              <w:pStyle w:val="Tablebody"/>
            </w:pPr>
            <w:r w:rsidRPr="002749BC">
              <w:t>The ATAP Guidelines specify methods and values for the quantification of various costs and benefits for evaluating transport infrastructure proposals. Methods and assumptions for valuations of commuter time draw on meta-analyses of academic literature, which identified 30 studies (26 in Australia and 4 in NZ) providing 110 value of time estimates.</w:t>
            </w:r>
          </w:p>
        </w:tc>
        <w:tc>
          <w:tcPr>
            <w:tcW w:w="2127" w:type="dxa"/>
            <w:tcBorders>
              <w:top w:val="single" w:sz="4" w:space="0" w:color="000000"/>
              <w:bottom w:val="single" w:sz="4" w:space="0" w:color="D9D9D9" w:themeColor="background1" w:themeShade="D9"/>
            </w:tcBorders>
            <w:shd w:val="clear" w:color="auto" w:fill="auto"/>
          </w:tcPr>
          <w:p w14:paraId="4612ABE8" w14:textId="77777777" w:rsidR="004E09F9" w:rsidRPr="002749BC" w:rsidRDefault="004E09F9" w:rsidP="00E56146">
            <w:pPr>
              <w:pStyle w:val="Tablebody"/>
            </w:pPr>
            <w:r w:rsidRPr="002749BC">
              <w:t>Predominantly stated preference. Adjusted for changes in purchasing power and weighted according to modal shares.</w:t>
            </w:r>
          </w:p>
        </w:tc>
        <w:tc>
          <w:tcPr>
            <w:tcW w:w="2693" w:type="dxa"/>
            <w:tcBorders>
              <w:top w:val="single" w:sz="4" w:space="0" w:color="000000"/>
              <w:bottom w:val="single" w:sz="4" w:space="0" w:color="D9D9D9" w:themeColor="background1" w:themeShade="D9"/>
            </w:tcBorders>
            <w:shd w:val="clear" w:color="auto" w:fill="auto"/>
          </w:tcPr>
          <w:p w14:paraId="5559B840" w14:textId="77777777" w:rsidR="004E09F9" w:rsidRPr="002749BC" w:rsidRDefault="004E09F9" w:rsidP="00E56146">
            <w:pPr>
              <w:pStyle w:val="Tablebody"/>
            </w:pPr>
            <w:r w:rsidRPr="002749BC">
              <w:t xml:space="preserve">$12.80/hr (2014) with a range of $11.10 to $18.70 depending on the mode of transport considered. </w:t>
            </w:r>
          </w:p>
          <w:p w14:paraId="6DFE4856" w14:textId="0546FCF2" w:rsidR="004E09F9" w:rsidRPr="002749BC" w:rsidRDefault="004E09F9" w:rsidP="00E56146">
            <w:pPr>
              <w:pStyle w:val="Tablebody"/>
            </w:pPr>
            <w:r w:rsidRPr="002749BC">
              <w:t>Note – this is addressed in greater detail later in this report.  See Section </w:t>
            </w:r>
            <w:r w:rsidRPr="002749BC">
              <w:fldChar w:fldCharType="begin"/>
            </w:r>
            <w:r w:rsidRPr="002749BC">
              <w:instrText xml:space="preserve"> REF _Ref4409868 \r \h </w:instrText>
            </w:r>
            <w:r w:rsidRPr="002749BC">
              <w:fldChar w:fldCharType="separate"/>
            </w:r>
            <w:r w:rsidR="00176422">
              <w:t>5.3</w:t>
            </w:r>
            <w:r w:rsidRPr="002749BC">
              <w:fldChar w:fldCharType="end"/>
            </w:r>
            <w:r w:rsidRPr="002749BC">
              <w:t>.</w:t>
            </w:r>
          </w:p>
        </w:tc>
      </w:tr>
      <w:tr w:rsidR="005C7F25" w:rsidRPr="002749BC" w14:paraId="670029E9" w14:textId="77777777" w:rsidTr="008D07B3">
        <w:tc>
          <w:tcPr>
            <w:tcW w:w="1758" w:type="dxa"/>
            <w:tcBorders>
              <w:top w:val="single" w:sz="4" w:space="0" w:color="D9D9D9" w:themeColor="background1" w:themeShade="D9"/>
              <w:bottom w:val="single" w:sz="4" w:space="0" w:color="D9D9D9" w:themeColor="background1" w:themeShade="D9"/>
            </w:tcBorders>
            <w:shd w:val="clear" w:color="auto" w:fill="auto"/>
          </w:tcPr>
          <w:p w14:paraId="1ADAC807" w14:textId="77777777" w:rsidR="004E09F9" w:rsidRPr="002749BC" w:rsidRDefault="004E09F9" w:rsidP="00E56146">
            <w:pPr>
              <w:pStyle w:val="Tablebody"/>
            </w:pPr>
            <w:r w:rsidRPr="002749BC">
              <w:t>NSW stated preference value of travel time study</w:t>
            </w:r>
            <w:r w:rsidRPr="005D11B8">
              <w:rPr>
                <w:rStyle w:val="FootnoteReference"/>
              </w:rPr>
              <w:footnoteReference w:id="23"/>
            </w:r>
            <w:r w:rsidRPr="002749BC">
              <w:t xml:space="preserve"> (2015)</w:t>
            </w:r>
          </w:p>
        </w:tc>
        <w:tc>
          <w:tcPr>
            <w:tcW w:w="1418" w:type="dxa"/>
            <w:tcBorders>
              <w:top w:val="single" w:sz="4" w:space="0" w:color="D9D9D9" w:themeColor="background1" w:themeShade="D9"/>
              <w:bottom w:val="single" w:sz="4" w:space="0" w:color="D9D9D9" w:themeColor="background1" w:themeShade="D9"/>
            </w:tcBorders>
            <w:shd w:val="clear" w:color="auto" w:fill="auto"/>
          </w:tcPr>
          <w:p w14:paraId="56387F05" w14:textId="77777777" w:rsidR="004E09F9" w:rsidRPr="002749BC" w:rsidRDefault="004E09F9" w:rsidP="00E56146">
            <w:pPr>
              <w:pStyle w:val="Tablebody"/>
            </w:pPr>
            <w:r w:rsidRPr="002749BC">
              <w:t>Public transport / New South Wales</w:t>
            </w:r>
          </w:p>
        </w:tc>
        <w:tc>
          <w:tcPr>
            <w:tcW w:w="4677" w:type="dxa"/>
            <w:tcBorders>
              <w:top w:val="single" w:sz="4" w:space="0" w:color="D9D9D9" w:themeColor="background1" w:themeShade="D9"/>
              <w:bottom w:val="single" w:sz="4" w:space="0" w:color="D9D9D9" w:themeColor="background1" w:themeShade="D9"/>
            </w:tcBorders>
            <w:shd w:val="clear" w:color="auto" w:fill="auto"/>
          </w:tcPr>
          <w:p w14:paraId="506DD1C9" w14:textId="77777777" w:rsidR="004E09F9" w:rsidRPr="002749BC" w:rsidRDefault="004E09F9" w:rsidP="00E56146">
            <w:pPr>
              <w:pStyle w:val="Tablebody"/>
            </w:pPr>
            <w:r w:rsidRPr="002749BC">
              <w:t xml:space="preserve">To inform public transport development and planning. </w:t>
            </w:r>
          </w:p>
          <w:p w14:paraId="2015E63C" w14:textId="77777777" w:rsidR="004E09F9" w:rsidRPr="002749BC" w:rsidRDefault="004E09F9" w:rsidP="00E56146">
            <w:pPr>
              <w:pStyle w:val="Tablebody"/>
            </w:pPr>
            <w:r w:rsidRPr="002749BC">
              <w:t xml:space="preserve">Studied attributes: </w:t>
            </w:r>
            <w:r w:rsidRPr="002749BC">
              <w:rPr>
                <w:lang w:eastAsia="en-US"/>
              </w:rPr>
              <w:t>fare, in-vehicle time, service frequency, train quality and station quality</w:t>
            </w:r>
          </w:p>
        </w:tc>
        <w:tc>
          <w:tcPr>
            <w:tcW w:w="2127" w:type="dxa"/>
            <w:tcBorders>
              <w:top w:val="single" w:sz="4" w:space="0" w:color="D9D9D9" w:themeColor="background1" w:themeShade="D9"/>
              <w:bottom w:val="single" w:sz="4" w:space="0" w:color="D9D9D9" w:themeColor="background1" w:themeShade="D9"/>
            </w:tcBorders>
            <w:shd w:val="clear" w:color="auto" w:fill="auto"/>
          </w:tcPr>
          <w:p w14:paraId="032E59F3" w14:textId="77777777" w:rsidR="004E09F9" w:rsidRPr="002749BC" w:rsidRDefault="004E09F9" w:rsidP="00E56146">
            <w:pPr>
              <w:pStyle w:val="Tablebody"/>
            </w:pPr>
            <w:r w:rsidRPr="002749BC">
              <w:t xml:space="preserve">Stated preference survey </w:t>
            </w:r>
          </w:p>
        </w:tc>
        <w:tc>
          <w:tcPr>
            <w:tcW w:w="2693" w:type="dxa"/>
            <w:tcBorders>
              <w:top w:val="single" w:sz="4" w:space="0" w:color="D9D9D9" w:themeColor="background1" w:themeShade="D9"/>
              <w:bottom w:val="single" w:sz="4" w:space="0" w:color="D9D9D9" w:themeColor="background1" w:themeShade="D9"/>
            </w:tcBorders>
            <w:shd w:val="clear" w:color="auto" w:fill="auto"/>
          </w:tcPr>
          <w:p w14:paraId="243D8410" w14:textId="77777777" w:rsidR="004E09F9" w:rsidRPr="002749BC" w:rsidRDefault="004E09F9" w:rsidP="00E56146">
            <w:pPr>
              <w:pStyle w:val="Tablebody"/>
            </w:pPr>
            <w:r w:rsidRPr="002749BC">
              <w:t>$14.39/hour (2014)</w:t>
            </w:r>
          </w:p>
        </w:tc>
      </w:tr>
      <w:tr w:rsidR="005C7F25" w:rsidRPr="002749BC" w14:paraId="336ED621" w14:textId="77777777" w:rsidTr="008D07B3">
        <w:tc>
          <w:tcPr>
            <w:tcW w:w="1758" w:type="dxa"/>
            <w:tcBorders>
              <w:top w:val="single" w:sz="4" w:space="0" w:color="D9D9D9" w:themeColor="background1" w:themeShade="D9"/>
              <w:bottom w:val="single" w:sz="4" w:space="0" w:color="D9D9D9" w:themeColor="background1" w:themeShade="D9"/>
            </w:tcBorders>
            <w:shd w:val="clear" w:color="auto" w:fill="auto"/>
          </w:tcPr>
          <w:p w14:paraId="0C54C729" w14:textId="77777777" w:rsidR="004E09F9" w:rsidRPr="002749BC" w:rsidRDefault="004E09F9" w:rsidP="00E56146">
            <w:pPr>
              <w:pStyle w:val="Tablebody"/>
            </w:pPr>
            <w:r w:rsidRPr="002749BC">
              <w:t xml:space="preserve">Predicting the Value of Public Transport In-Vehicle Time </w:t>
            </w:r>
            <w:r w:rsidRPr="005D11B8">
              <w:rPr>
                <w:rStyle w:val="FootnoteReference"/>
              </w:rPr>
              <w:footnoteReference w:id="24"/>
            </w:r>
            <w:r w:rsidRPr="002749BC">
              <w:t xml:space="preserve"> (2013)</w:t>
            </w:r>
          </w:p>
        </w:tc>
        <w:tc>
          <w:tcPr>
            <w:tcW w:w="1418" w:type="dxa"/>
            <w:tcBorders>
              <w:top w:val="single" w:sz="4" w:space="0" w:color="D9D9D9" w:themeColor="background1" w:themeShade="D9"/>
              <w:bottom w:val="single" w:sz="4" w:space="0" w:color="D9D9D9" w:themeColor="background1" w:themeShade="D9"/>
            </w:tcBorders>
            <w:shd w:val="clear" w:color="auto" w:fill="auto"/>
          </w:tcPr>
          <w:p w14:paraId="2B691882" w14:textId="77777777" w:rsidR="004E09F9" w:rsidRPr="002749BC" w:rsidRDefault="004E09F9" w:rsidP="00E56146">
            <w:pPr>
              <w:pStyle w:val="Tablebody"/>
            </w:pPr>
            <w:r w:rsidRPr="002749BC">
              <w:t>Public transport / Australia and New Zealand</w:t>
            </w:r>
          </w:p>
        </w:tc>
        <w:tc>
          <w:tcPr>
            <w:tcW w:w="4677" w:type="dxa"/>
            <w:tcBorders>
              <w:top w:val="single" w:sz="4" w:space="0" w:color="D9D9D9" w:themeColor="background1" w:themeShade="D9"/>
              <w:bottom w:val="single" w:sz="4" w:space="0" w:color="D9D9D9" w:themeColor="background1" w:themeShade="D9"/>
            </w:tcBorders>
            <w:shd w:val="clear" w:color="auto" w:fill="auto"/>
          </w:tcPr>
          <w:p w14:paraId="79DDF7EF" w14:textId="77777777" w:rsidR="004E09F9" w:rsidRPr="002749BC" w:rsidRDefault="004E09F9" w:rsidP="00E56146">
            <w:pPr>
              <w:pStyle w:val="Tablebody"/>
            </w:pPr>
            <w:r w:rsidRPr="002749BC">
              <w:t>To update the value of in-vehicle time to support better economic evaluations of transport projects.</w:t>
            </w:r>
          </w:p>
          <w:p w14:paraId="537D7B51" w14:textId="77777777" w:rsidR="004E09F9" w:rsidRPr="002749BC" w:rsidRDefault="004E09F9" w:rsidP="00E56146">
            <w:pPr>
              <w:pStyle w:val="Tablebody"/>
            </w:pPr>
            <w:r w:rsidRPr="002749BC">
              <w:t>Studied attributes: the estimated values of time and correlates the trends with the consumer price index, GDP, GDP per capita and wage indices.</w:t>
            </w:r>
          </w:p>
        </w:tc>
        <w:tc>
          <w:tcPr>
            <w:tcW w:w="2127" w:type="dxa"/>
            <w:tcBorders>
              <w:top w:val="single" w:sz="4" w:space="0" w:color="D9D9D9" w:themeColor="background1" w:themeShade="D9"/>
              <w:bottom w:val="single" w:sz="4" w:space="0" w:color="D9D9D9" w:themeColor="background1" w:themeShade="D9"/>
            </w:tcBorders>
            <w:shd w:val="clear" w:color="auto" w:fill="auto"/>
          </w:tcPr>
          <w:p w14:paraId="0FF0B70F" w14:textId="77777777" w:rsidR="004E09F9" w:rsidRPr="002749BC" w:rsidRDefault="004E09F9" w:rsidP="00E56146">
            <w:pPr>
              <w:pStyle w:val="Tablebody"/>
            </w:pPr>
            <w:r w:rsidRPr="002749BC">
              <w:t xml:space="preserve">Meta-analysis of 28 studies – predominantly stated preference. </w:t>
            </w:r>
          </w:p>
        </w:tc>
        <w:tc>
          <w:tcPr>
            <w:tcW w:w="2693" w:type="dxa"/>
            <w:tcBorders>
              <w:top w:val="single" w:sz="4" w:space="0" w:color="D9D9D9" w:themeColor="background1" w:themeShade="D9"/>
              <w:bottom w:val="single" w:sz="4" w:space="0" w:color="D9D9D9" w:themeColor="background1" w:themeShade="D9"/>
            </w:tcBorders>
            <w:shd w:val="clear" w:color="auto" w:fill="auto"/>
          </w:tcPr>
          <w:p w14:paraId="20AB6BC1" w14:textId="77777777" w:rsidR="004E09F9" w:rsidRPr="002749BC" w:rsidRDefault="004E09F9" w:rsidP="00E56146">
            <w:pPr>
              <w:pStyle w:val="Tablebody"/>
            </w:pPr>
            <w:r w:rsidRPr="002749BC">
              <w:t>$11.80/hour (2012)</w:t>
            </w:r>
          </w:p>
          <w:p w14:paraId="6B519285" w14:textId="77777777" w:rsidR="004E09F9" w:rsidRPr="002749BC" w:rsidRDefault="004E09F9" w:rsidP="00E56146">
            <w:pPr>
              <w:pStyle w:val="Tablebody"/>
            </w:pPr>
            <w:r w:rsidRPr="002749BC">
              <w:t>Over the twenty year period, the value of time increased by 1.8% a year more than inflation in NSW and by 1.3% in NZ.</w:t>
            </w:r>
          </w:p>
        </w:tc>
      </w:tr>
      <w:tr w:rsidR="005C7F25" w:rsidRPr="002749BC" w14:paraId="57E7D59C" w14:textId="77777777" w:rsidTr="008D07B3">
        <w:tc>
          <w:tcPr>
            <w:tcW w:w="1758" w:type="dxa"/>
            <w:tcBorders>
              <w:top w:val="single" w:sz="4" w:space="0" w:color="D9D9D9" w:themeColor="background1" w:themeShade="D9"/>
              <w:bottom w:val="single" w:sz="4" w:space="0" w:color="D9D9D9" w:themeColor="background1" w:themeShade="D9"/>
            </w:tcBorders>
            <w:shd w:val="clear" w:color="auto" w:fill="auto"/>
          </w:tcPr>
          <w:p w14:paraId="3E197359" w14:textId="77777777" w:rsidR="004E09F9" w:rsidRPr="002749BC" w:rsidRDefault="004E09F9" w:rsidP="00E56146">
            <w:pPr>
              <w:pStyle w:val="Tablebody"/>
            </w:pPr>
            <w:r w:rsidRPr="002749BC">
              <w:t>Valuation of travel time in economic analysis</w:t>
            </w:r>
            <w:r w:rsidRPr="005D11B8">
              <w:rPr>
                <w:rStyle w:val="FootnoteReference"/>
              </w:rPr>
              <w:footnoteReference w:id="25"/>
            </w:r>
            <w:r w:rsidRPr="002749BC">
              <w:t xml:space="preserve"> (2011)</w:t>
            </w:r>
          </w:p>
        </w:tc>
        <w:tc>
          <w:tcPr>
            <w:tcW w:w="1418" w:type="dxa"/>
            <w:tcBorders>
              <w:top w:val="single" w:sz="4" w:space="0" w:color="D9D9D9" w:themeColor="background1" w:themeShade="D9"/>
              <w:bottom w:val="single" w:sz="4" w:space="0" w:color="D9D9D9" w:themeColor="background1" w:themeShade="D9"/>
            </w:tcBorders>
            <w:shd w:val="clear" w:color="auto" w:fill="auto"/>
          </w:tcPr>
          <w:p w14:paraId="716B027C" w14:textId="77777777" w:rsidR="004E09F9" w:rsidRPr="002749BC" w:rsidRDefault="004E09F9" w:rsidP="00E56146">
            <w:pPr>
              <w:pStyle w:val="Tablebody"/>
            </w:pPr>
            <w:r w:rsidRPr="002749BC">
              <w:t>Public transport / United States</w:t>
            </w:r>
          </w:p>
        </w:tc>
        <w:tc>
          <w:tcPr>
            <w:tcW w:w="4677" w:type="dxa"/>
            <w:tcBorders>
              <w:top w:val="single" w:sz="4" w:space="0" w:color="D9D9D9" w:themeColor="background1" w:themeShade="D9"/>
              <w:bottom w:val="single" w:sz="4" w:space="0" w:color="D9D9D9" w:themeColor="background1" w:themeShade="D9"/>
            </w:tcBorders>
            <w:shd w:val="clear" w:color="auto" w:fill="auto"/>
          </w:tcPr>
          <w:p w14:paraId="314B3121" w14:textId="77777777" w:rsidR="004E09F9" w:rsidRPr="002749BC" w:rsidRDefault="004E09F9" w:rsidP="00E56146">
            <w:pPr>
              <w:pStyle w:val="Tablebody"/>
            </w:pPr>
            <w:r w:rsidRPr="002749BC">
              <w:t>To inform the evaluation of the benefits of transportation infrastructure investment and rulemaking initiative</w:t>
            </w:r>
          </w:p>
          <w:p w14:paraId="2CA88FFD" w14:textId="77777777" w:rsidR="004E09F9" w:rsidRPr="002749BC" w:rsidRDefault="004E09F9" w:rsidP="00E56146">
            <w:pPr>
              <w:pStyle w:val="Tablebody"/>
            </w:pPr>
            <w:r w:rsidRPr="002749BC">
              <w:t>Studied attributes: demographics, income, mode, distance, comfort, time, location and purpose of travel</w:t>
            </w:r>
          </w:p>
          <w:p w14:paraId="59A89DF2" w14:textId="77777777" w:rsidR="004E09F9" w:rsidRPr="002749BC" w:rsidRDefault="004E09F9" w:rsidP="00E56146">
            <w:pPr>
              <w:pStyle w:val="Tablebody"/>
            </w:pPr>
          </w:p>
        </w:tc>
        <w:tc>
          <w:tcPr>
            <w:tcW w:w="2127" w:type="dxa"/>
            <w:tcBorders>
              <w:top w:val="single" w:sz="4" w:space="0" w:color="D9D9D9" w:themeColor="background1" w:themeShade="D9"/>
              <w:bottom w:val="single" w:sz="4" w:space="0" w:color="D9D9D9" w:themeColor="background1" w:themeShade="D9"/>
            </w:tcBorders>
            <w:shd w:val="clear" w:color="auto" w:fill="auto"/>
          </w:tcPr>
          <w:p w14:paraId="34C0403B" w14:textId="77777777" w:rsidR="004E09F9" w:rsidRPr="002749BC" w:rsidRDefault="004E09F9" w:rsidP="00E56146">
            <w:pPr>
              <w:pStyle w:val="Tablebody"/>
            </w:pPr>
            <w:r w:rsidRPr="002749BC">
              <w:t>Stated preference studies (discrete choice technique)</w:t>
            </w:r>
          </w:p>
        </w:tc>
        <w:tc>
          <w:tcPr>
            <w:tcW w:w="2693" w:type="dxa"/>
            <w:tcBorders>
              <w:top w:val="single" w:sz="4" w:space="0" w:color="D9D9D9" w:themeColor="background1" w:themeShade="D9"/>
              <w:bottom w:val="single" w:sz="4" w:space="0" w:color="D9D9D9" w:themeColor="background1" w:themeShade="D9"/>
            </w:tcBorders>
            <w:shd w:val="clear" w:color="auto" w:fill="auto"/>
          </w:tcPr>
          <w:p w14:paraId="4E6CDFD0" w14:textId="77777777" w:rsidR="004E09F9" w:rsidRPr="002749BC" w:rsidRDefault="004E09F9" w:rsidP="00E56146">
            <w:pPr>
              <w:pStyle w:val="Tablebody"/>
            </w:pPr>
            <w:r w:rsidRPr="002749BC">
              <w:t>Hourly values of travel time savings (2010)</w:t>
            </w:r>
          </w:p>
          <w:p w14:paraId="41D31A3C" w14:textId="77777777" w:rsidR="004E09F9" w:rsidRPr="002749BC" w:rsidRDefault="004E09F9" w:rsidP="00E56146">
            <w:pPr>
              <w:pStyle w:val="Tablebody"/>
            </w:pPr>
            <w:r w:rsidRPr="002749BC">
              <w:t>USD $12.00 (local personal travel)</w:t>
            </w:r>
          </w:p>
          <w:p w14:paraId="5AA24A4F" w14:textId="77777777" w:rsidR="004E09F9" w:rsidRPr="002749BC" w:rsidRDefault="004E09F9" w:rsidP="00E56146">
            <w:pPr>
              <w:pStyle w:val="Tablebody"/>
            </w:pPr>
            <w:r w:rsidRPr="002749BC">
              <w:t>USD $22.90 (local business travel)</w:t>
            </w:r>
          </w:p>
          <w:p w14:paraId="1F09A2BA" w14:textId="77777777" w:rsidR="004E09F9" w:rsidRPr="002749BC" w:rsidRDefault="004E09F9" w:rsidP="00E56146">
            <w:pPr>
              <w:pStyle w:val="Tablebody"/>
            </w:pPr>
            <w:r w:rsidRPr="002749BC">
              <w:t>USD $16.70 (intercity personal travel)</w:t>
            </w:r>
          </w:p>
          <w:p w14:paraId="4FB46DDF" w14:textId="77777777" w:rsidR="004E09F9" w:rsidRPr="002749BC" w:rsidRDefault="004E09F9" w:rsidP="00E56146">
            <w:pPr>
              <w:pStyle w:val="Tablebody"/>
            </w:pPr>
            <w:r w:rsidRPr="002749BC">
              <w:t>USD $22.90 (intercity business travel)</w:t>
            </w:r>
          </w:p>
        </w:tc>
      </w:tr>
      <w:tr w:rsidR="005C7F25" w:rsidRPr="002749BC" w14:paraId="0BD54930" w14:textId="77777777" w:rsidTr="008D07B3">
        <w:tc>
          <w:tcPr>
            <w:tcW w:w="1758" w:type="dxa"/>
            <w:tcBorders>
              <w:top w:val="single" w:sz="4" w:space="0" w:color="D9D9D9" w:themeColor="background1" w:themeShade="D9"/>
              <w:bottom w:val="single" w:sz="4" w:space="0" w:color="D9D9D9" w:themeColor="background1" w:themeShade="D9"/>
            </w:tcBorders>
            <w:shd w:val="clear" w:color="auto" w:fill="auto"/>
          </w:tcPr>
          <w:p w14:paraId="73FA9417" w14:textId="77777777" w:rsidR="004E09F9" w:rsidRPr="002749BC" w:rsidRDefault="004E09F9" w:rsidP="00E56146">
            <w:pPr>
              <w:pStyle w:val="Tablebody"/>
            </w:pPr>
            <w:r w:rsidRPr="002749BC">
              <w:t>Estimation of value of travel time for work trips</w:t>
            </w:r>
            <w:r w:rsidRPr="005D11B8">
              <w:rPr>
                <w:rStyle w:val="FootnoteReference"/>
              </w:rPr>
              <w:footnoteReference w:id="26"/>
            </w:r>
            <w:r w:rsidRPr="002749BC">
              <w:t xml:space="preserve"> (2014)</w:t>
            </w:r>
          </w:p>
        </w:tc>
        <w:tc>
          <w:tcPr>
            <w:tcW w:w="1418" w:type="dxa"/>
            <w:tcBorders>
              <w:top w:val="single" w:sz="4" w:space="0" w:color="D9D9D9" w:themeColor="background1" w:themeShade="D9"/>
              <w:bottom w:val="single" w:sz="4" w:space="0" w:color="D9D9D9" w:themeColor="background1" w:themeShade="D9"/>
            </w:tcBorders>
            <w:shd w:val="clear" w:color="auto" w:fill="auto"/>
          </w:tcPr>
          <w:p w14:paraId="6F102F10" w14:textId="77777777" w:rsidR="004E09F9" w:rsidRPr="002749BC" w:rsidRDefault="004E09F9" w:rsidP="00E56146">
            <w:pPr>
              <w:pStyle w:val="Tablebody"/>
            </w:pPr>
            <w:r w:rsidRPr="002749BC">
              <w:t>Public transport / India</w:t>
            </w:r>
          </w:p>
        </w:tc>
        <w:tc>
          <w:tcPr>
            <w:tcW w:w="4677" w:type="dxa"/>
            <w:tcBorders>
              <w:top w:val="single" w:sz="4" w:space="0" w:color="D9D9D9" w:themeColor="background1" w:themeShade="D9"/>
              <w:bottom w:val="single" w:sz="4" w:space="0" w:color="D9D9D9" w:themeColor="background1" w:themeShade="D9"/>
            </w:tcBorders>
            <w:shd w:val="clear" w:color="auto" w:fill="auto"/>
          </w:tcPr>
          <w:p w14:paraId="5AEA6AA1" w14:textId="77777777" w:rsidR="004E09F9" w:rsidRPr="002749BC" w:rsidRDefault="004E09F9" w:rsidP="00E56146">
            <w:pPr>
              <w:pStyle w:val="Tablebody"/>
            </w:pPr>
            <w:r w:rsidRPr="002749BC">
              <w:t xml:space="preserve">To estimate value of in-vehicle time to inform the management and appraisal of transport investment decisions </w:t>
            </w:r>
          </w:p>
          <w:p w14:paraId="6E097907" w14:textId="77777777" w:rsidR="004E09F9" w:rsidRPr="002749BC" w:rsidRDefault="004E09F9" w:rsidP="00E56146">
            <w:pPr>
              <w:pStyle w:val="Tablebody"/>
            </w:pPr>
            <w:r w:rsidRPr="002749BC">
              <w:t>Studied attributes: travel time (minutes), travel costs, mode, trip length (km), income and demographics</w:t>
            </w:r>
          </w:p>
        </w:tc>
        <w:tc>
          <w:tcPr>
            <w:tcW w:w="2127" w:type="dxa"/>
            <w:tcBorders>
              <w:top w:val="single" w:sz="4" w:space="0" w:color="D9D9D9" w:themeColor="background1" w:themeShade="D9"/>
              <w:bottom w:val="single" w:sz="4" w:space="0" w:color="D9D9D9" w:themeColor="background1" w:themeShade="D9"/>
            </w:tcBorders>
            <w:shd w:val="clear" w:color="auto" w:fill="auto"/>
          </w:tcPr>
          <w:p w14:paraId="7C74F9E0" w14:textId="77777777" w:rsidR="004E09F9" w:rsidRPr="002749BC" w:rsidRDefault="004E09F9" w:rsidP="00E56146">
            <w:pPr>
              <w:pStyle w:val="Tablebody"/>
            </w:pPr>
            <w:r w:rsidRPr="002749BC">
              <w:t>Combination of revealed preference and stated preference survey techniques</w:t>
            </w:r>
          </w:p>
          <w:p w14:paraId="2EA2FBCA" w14:textId="77777777" w:rsidR="004E09F9" w:rsidRPr="002749BC" w:rsidRDefault="004E09F9" w:rsidP="00E56146">
            <w:pPr>
              <w:pStyle w:val="Tablebody"/>
            </w:pPr>
            <w:r w:rsidRPr="002749BC">
              <w:t>Stated preference survey in form of choice modelling</w:t>
            </w:r>
          </w:p>
        </w:tc>
        <w:tc>
          <w:tcPr>
            <w:tcW w:w="2693" w:type="dxa"/>
            <w:tcBorders>
              <w:top w:val="single" w:sz="4" w:space="0" w:color="D9D9D9" w:themeColor="background1" w:themeShade="D9"/>
              <w:bottom w:val="single" w:sz="4" w:space="0" w:color="D9D9D9" w:themeColor="background1" w:themeShade="D9"/>
            </w:tcBorders>
            <w:shd w:val="clear" w:color="auto" w:fill="auto"/>
          </w:tcPr>
          <w:p w14:paraId="3DA24023" w14:textId="788602AA" w:rsidR="004E09F9" w:rsidRPr="002749BC" w:rsidRDefault="004E09F9" w:rsidP="00E56146">
            <w:pPr>
              <w:pStyle w:val="Tablebody"/>
            </w:pPr>
            <w:r w:rsidRPr="002749BC">
              <w:t>35.73 rupees/hr (income group 10,00</w:t>
            </w:r>
            <w:r w:rsidR="008B05F5">
              <w:t>0</w:t>
            </w:r>
            <w:r w:rsidRPr="002749BC">
              <w:t xml:space="preserve"> Rs/month)</w:t>
            </w:r>
          </w:p>
          <w:p w14:paraId="14834AB2" w14:textId="77777777" w:rsidR="004E09F9" w:rsidRPr="002749BC" w:rsidRDefault="004E09F9" w:rsidP="00E56146">
            <w:pPr>
              <w:pStyle w:val="Tablebody"/>
            </w:pPr>
            <w:r w:rsidRPr="002749BC">
              <w:t>142.19 Rs/hr (30,000-50,000 Rs/month)</w:t>
            </w:r>
          </w:p>
        </w:tc>
      </w:tr>
      <w:tr w:rsidR="005C7F25" w:rsidRPr="002749BC" w14:paraId="57B64C47" w14:textId="77777777" w:rsidTr="008D07B3">
        <w:tc>
          <w:tcPr>
            <w:tcW w:w="1758" w:type="dxa"/>
            <w:tcBorders>
              <w:top w:val="single" w:sz="4" w:space="0" w:color="D9D9D9" w:themeColor="background1" w:themeShade="D9"/>
              <w:bottom w:val="single" w:sz="4" w:space="0" w:color="D9D9D9" w:themeColor="background1" w:themeShade="D9"/>
            </w:tcBorders>
            <w:shd w:val="clear" w:color="auto" w:fill="auto"/>
          </w:tcPr>
          <w:p w14:paraId="10656499" w14:textId="77777777" w:rsidR="004E09F9" w:rsidRPr="002749BC" w:rsidRDefault="004E09F9" w:rsidP="00E56146">
            <w:pPr>
              <w:pStyle w:val="Tablebody"/>
            </w:pPr>
            <w:r w:rsidRPr="007F7C0A">
              <w:t>Valuation of travel time savings for business travellers</w:t>
            </w:r>
            <w:r w:rsidRPr="005D11B8">
              <w:rPr>
                <w:rStyle w:val="FootnoteReference"/>
              </w:rPr>
              <w:footnoteReference w:id="27"/>
            </w:r>
            <w:r>
              <w:t xml:space="preserve"> (2013)</w:t>
            </w:r>
          </w:p>
        </w:tc>
        <w:tc>
          <w:tcPr>
            <w:tcW w:w="1418" w:type="dxa"/>
            <w:tcBorders>
              <w:top w:val="single" w:sz="4" w:space="0" w:color="D9D9D9" w:themeColor="background1" w:themeShade="D9"/>
              <w:bottom w:val="single" w:sz="4" w:space="0" w:color="D9D9D9" w:themeColor="background1" w:themeShade="D9"/>
            </w:tcBorders>
            <w:shd w:val="clear" w:color="auto" w:fill="auto"/>
          </w:tcPr>
          <w:p w14:paraId="1CD0F0DD" w14:textId="77777777" w:rsidR="004E09F9" w:rsidRPr="002749BC" w:rsidRDefault="004E09F9" w:rsidP="00E56146">
            <w:pPr>
              <w:pStyle w:val="Tablebody"/>
            </w:pPr>
            <w:r>
              <w:t>Business travel / United Kingdom</w:t>
            </w:r>
          </w:p>
        </w:tc>
        <w:tc>
          <w:tcPr>
            <w:tcW w:w="4677" w:type="dxa"/>
            <w:tcBorders>
              <w:top w:val="single" w:sz="4" w:space="0" w:color="D9D9D9" w:themeColor="background1" w:themeShade="D9"/>
              <w:bottom w:val="single" w:sz="4" w:space="0" w:color="D9D9D9" w:themeColor="background1" w:themeShade="D9"/>
            </w:tcBorders>
            <w:shd w:val="clear" w:color="auto" w:fill="auto"/>
          </w:tcPr>
          <w:p w14:paraId="16B5195E" w14:textId="77777777" w:rsidR="004E09F9" w:rsidRPr="002749BC" w:rsidRDefault="004E09F9" w:rsidP="00E56146">
            <w:pPr>
              <w:pStyle w:val="Tablebody"/>
            </w:pPr>
            <w:r>
              <w:t xml:space="preserve">Review and assess </w:t>
            </w:r>
            <w:r w:rsidRPr="000311B6">
              <w:t>advantages and disadvantages of practically feasible methods for valuing business travel time savings</w:t>
            </w:r>
            <w:r>
              <w:t xml:space="preserve">. </w:t>
            </w:r>
          </w:p>
        </w:tc>
        <w:tc>
          <w:tcPr>
            <w:tcW w:w="2127" w:type="dxa"/>
            <w:tcBorders>
              <w:top w:val="single" w:sz="4" w:space="0" w:color="D9D9D9" w:themeColor="background1" w:themeShade="D9"/>
              <w:bottom w:val="single" w:sz="4" w:space="0" w:color="D9D9D9" w:themeColor="background1" w:themeShade="D9"/>
            </w:tcBorders>
            <w:shd w:val="clear" w:color="auto" w:fill="auto"/>
          </w:tcPr>
          <w:p w14:paraId="3C9ADEC6" w14:textId="77777777" w:rsidR="004E09F9" w:rsidRPr="002749BC" w:rsidRDefault="004E09F9" w:rsidP="00E56146">
            <w:pPr>
              <w:pStyle w:val="Tablebody"/>
            </w:pPr>
            <w:r>
              <w:t>Cost savings approach (based on labour costs: wage and overheads), stated preference survey techniques, revealed preference techniques.</w:t>
            </w:r>
          </w:p>
        </w:tc>
        <w:tc>
          <w:tcPr>
            <w:tcW w:w="2693" w:type="dxa"/>
            <w:tcBorders>
              <w:top w:val="single" w:sz="4" w:space="0" w:color="D9D9D9" w:themeColor="background1" w:themeShade="D9"/>
              <w:bottom w:val="single" w:sz="4" w:space="0" w:color="D9D9D9" w:themeColor="background1" w:themeShade="D9"/>
            </w:tcBorders>
            <w:shd w:val="clear" w:color="auto" w:fill="auto"/>
          </w:tcPr>
          <w:p w14:paraId="1C61318A" w14:textId="77777777" w:rsidR="004E09F9" w:rsidRPr="002749BC" w:rsidRDefault="004E09F9" w:rsidP="00E56146">
            <w:pPr>
              <w:pStyle w:val="Tablebody"/>
            </w:pPr>
            <w:r>
              <w:t xml:space="preserve">Summarised critiques of the cost saving approach - </w:t>
            </w:r>
          </w:p>
        </w:tc>
      </w:tr>
      <w:tr w:rsidR="005C7F25" w:rsidRPr="002749BC" w14:paraId="16E12C7A" w14:textId="77777777" w:rsidTr="008D07B3">
        <w:tc>
          <w:tcPr>
            <w:tcW w:w="1758" w:type="dxa"/>
            <w:tcBorders>
              <w:top w:val="single" w:sz="4" w:space="0" w:color="D9D9D9" w:themeColor="background1" w:themeShade="D9"/>
              <w:bottom w:val="single" w:sz="4" w:space="0" w:color="D9D9D9" w:themeColor="background1" w:themeShade="D9"/>
            </w:tcBorders>
            <w:shd w:val="clear" w:color="auto" w:fill="auto"/>
          </w:tcPr>
          <w:p w14:paraId="07993522" w14:textId="77777777" w:rsidR="004E09F9" w:rsidRPr="002749BC" w:rsidRDefault="004E09F9" w:rsidP="00E56146">
            <w:pPr>
              <w:pStyle w:val="Tablebody"/>
            </w:pPr>
            <w:r w:rsidRPr="002749BC">
              <w:t>Valuation of travel time</w:t>
            </w:r>
            <w:r w:rsidRPr="005D11B8">
              <w:rPr>
                <w:rStyle w:val="FootnoteReference"/>
              </w:rPr>
              <w:footnoteReference w:id="28"/>
            </w:r>
            <w:r w:rsidRPr="002749BC">
              <w:t xml:space="preserve"> </w:t>
            </w:r>
            <w:r w:rsidRPr="002749BC">
              <w:lastRenderedPageBreak/>
              <w:t>(2012)</w:t>
            </w:r>
          </w:p>
        </w:tc>
        <w:tc>
          <w:tcPr>
            <w:tcW w:w="1418" w:type="dxa"/>
            <w:tcBorders>
              <w:top w:val="single" w:sz="4" w:space="0" w:color="D9D9D9" w:themeColor="background1" w:themeShade="D9"/>
              <w:bottom w:val="single" w:sz="4" w:space="0" w:color="D9D9D9" w:themeColor="background1" w:themeShade="D9"/>
            </w:tcBorders>
            <w:shd w:val="clear" w:color="auto" w:fill="auto"/>
          </w:tcPr>
          <w:p w14:paraId="1B981E10" w14:textId="77777777" w:rsidR="004E09F9" w:rsidRPr="002749BC" w:rsidRDefault="004E09F9" w:rsidP="00E56146">
            <w:pPr>
              <w:pStyle w:val="Tablebody"/>
            </w:pPr>
            <w:r w:rsidRPr="002749BC">
              <w:lastRenderedPageBreak/>
              <w:t xml:space="preserve">Transport / United </w:t>
            </w:r>
            <w:r w:rsidRPr="002749BC">
              <w:lastRenderedPageBreak/>
              <w:t>States</w:t>
            </w:r>
          </w:p>
        </w:tc>
        <w:tc>
          <w:tcPr>
            <w:tcW w:w="4677" w:type="dxa"/>
            <w:tcBorders>
              <w:top w:val="single" w:sz="4" w:space="0" w:color="D9D9D9" w:themeColor="background1" w:themeShade="D9"/>
              <w:bottom w:val="single" w:sz="4" w:space="0" w:color="D9D9D9" w:themeColor="background1" w:themeShade="D9"/>
            </w:tcBorders>
            <w:shd w:val="clear" w:color="auto" w:fill="auto"/>
          </w:tcPr>
          <w:p w14:paraId="35C614F2" w14:textId="77777777" w:rsidR="004E09F9" w:rsidRPr="002749BC" w:rsidRDefault="004E09F9" w:rsidP="00E56146">
            <w:pPr>
              <w:pStyle w:val="Tablebody"/>
            </w:pPr>
            <w:r w:rsidRPr="002749BC">
              <w:lastRenderedPageBreak/>
              <w:t xml:space="preserve">To inform decisions in transportation policy, travel demand modelling and </w:t>
            </w:r>
            <w:r w:rsidRPr="002749BC">
              <w:lastRenderedPageBreak/>
              <w:t>human behaviour in economics</w:t>
            </w:r>
          </w:p>
          <w:p w14:paraId="0B1E462F" w14:textId="77777777" w:rsidR="004E09F9" w:rsidRPr="002749BC" w:rsidRDefault="004E09F9" w:rsidP="00E56146">
            <w:pPr>
              <w:pStyle w:val="Tablebody"/>
            </w:pPr>
            <w:r w:rsidRPr="002749BC">
              <w:t>Studied attributes: cost, income, distance, reliability and mode</w:t>
            </w:r>
          </w:p>
        </w:tc>
        <w:tc>
          <w:tcPr>
            <w:tcW w:w="2127" w:type="dxa"/>
            <w:tcBorders>
              <w:top w:val="single" w:sz="4" w:space="0" w:color="D9D9D9" w:themeColor="background1" w:themeShade="D9"/>
              <w:bottom w:val="single" w:sz="4" w:space="0" w:color="D9D9D9" w:themeColor="background1" w:themeShade="D9"/>
            </w:tcBorders>
            <w:shd w:val="clear" w:color="auto" w:fill="auto"/>
          </w:tcPr>
          <w:p w14:paraId="23772A61" w14:textId="77777777" w:rsidR="004E09F9" w:rsidRPr="002749BC" w:rsidRDefault="004E09F9" w:rsidP="00E56146">
            <w:pPr>
              <w:pStyle w:val="Tablebody"/>
            </w:pPr>
            <w:r w:rsidRPr="002749BC">
              <w:lastRenderedPageBreak/>
              <w:t>Mixed discrete choice model</w:t>
            </w:r>
          </w:p>
        </w:tc>
        <w:tc>
          <w:tcPr>
            <w:tcW w:w="2693" w:type="dxa"/>
            <w:tcBorders>
              <w:top w:val="single" w:sz="4" w:space="0" w:color="D9D9D9" w:themeColor="background1" w:themeShade="D9"/>
              <w:bottom w:val="single" w:sz="4" w:space="0" w:color="D9D9D9" w:themeColor="background1" w:themeShade="D9"/>
            </w:tcBorders>
            <w:shd w:val="clear" w:color="auto" w:fill="auto"/>
          </w:tcPr>
          <w:p w14:paraId="2DA192A5" w14:textId="77777777" w:rsidR="004E09F9" w:rsidRPr="002749BC" w:rsidRDefault="004E09F9" w:rsidP="00E56146">
            <w:pPr>
              <w:pStyle w:val="Tablebody"/>
            </w:pPr>
            <w:r w:rsidRPr="002749BC">
              <w:t>Wage rate</w:t>
            </w:r>
          </w:p>
          <w:p w14:paraId="2A83A1C1" w14:textId="77777777" w:rsidR="004E09F9" w:rsidRPr="002749BC" w:rsidRDefault="004E09F9" w:rsidP="00E56146">
            <w:pPr>
              <w:pStyle w:val="Tablebody"/>
            </w:pPr>
            <w:r w:rsidRPr="002749BC">
              <w:lastRenderedPageBreak/>
              <w:t>Willingness to pay</w:t>
            </w:r>
          </w:p>
        </w:tc>
      </w:tr>
      <w:tr w:rsidR="005C7F25" w:rsidRPr="002749BC" w14:paraId="55B5527D" w14:textId="77777777" w:rsidTr="008D07B3">
        <w:tc>
          <w:tcPr>
            <w:tcW w:w="1758" w:type="dxa"/>
            <w:tcBorders>
              <w:top w:val="single" w:sz="4" w:space="0" w:color="D9D9D9" w:themeColor="background1" w:themeShade="D9"/>
              <w:bottom w:val="single" w:sz="4" w:space="0" w:color="D9D9D9" w:themeColor="background1" w:themeShade="D9"/>
            </w:tcBorders>
            <w:shd w:val="clear" w:color="auto" w:fill="auto"/>
          </w:tcPr>
          <w:p w14:paraId="5774031C" w14:textId="77777777" w:rsidR="004E09F9" w:rsidRPr="002749BC" w:rsidRDefault="004E09F9" w:rsidP="00E56146">
            <w:pPr>
              <w:pStyle w:val="Tablebody"/>
            </w:pPr>
            <w:r w:rsidRPr="002749BC">
              <w:lastRenderedPageBreak/>
              <w:t>An international meta-analysis of values of travel time savings</w:t>
            </w:r>
            <w:r w:rsidRPr="005D11B8">
              <w:rPr>
                <w:rStyle w:val="FootnoteReference"/>
              </w:rPr>
              <w:footnoteReference w:id="29"/>
            </w:r>
            <w:r w:rsidRPr="002749BC">
              <w:t xml:space="preserve"> (2009)</w:t>
            </w:r>
          </w:p>
        </w:tc>
        <w:tc>
          <w:tcPr>
            <w:tcW w:w="1418" w:type="dxa"/>
            <w:tcBorders>
              <w:top w:val="single" w:sz="4" w:space="0" w:color="D9D9D9" w:themeColor="background1" w:themeShade="D9"/>
              <w:bottom w:val="single" w:sz="4" w:space="0" w:color="D9D9D9" w:themeColor="background1" w:themeShade="D9"/>
            </w:tcBorders>
            <w:shd w:val="clear" w:color="auto" w:fill="auto"/>
          </w:tcPr>
          <w:p w14:paraId="18A82B41" w14:textId="77777777" w:rsidR="004E09F9" w:rsidRPr="002749BC" w:rsidRDefault="004E09F9" w:rsidP="00E56146">
            <w:pPr>
              <w:pStyle w:val="Tablebody"/>
            </w:pPr>
            <w:r w:rsidRPr="002749BC">
              <w:t>Transport / International</w:t>
            </w:r>
          </w:p>
        </w:tc>
        <w:tc>
          <w:tcPr>
            <w:tcW w:w="4677" w:type="dxa"/>
            <w:tcBorders>
              <w:top w:val="single" w:sz="4" w:space="0" w:color="D9D9D9" w:themeColor="background1" w:themeShade="D9"/>
              <w:bottom w:val="single" w:sz="4" w:space="0" w:color="D9D9D9" w:themeColor="background1" w:themeShade="D9"/>
            </w:tcBorders>
            <w:shd w:val="clear" w:color="auto" w:fill="auto"/>
          </w:tcPr>
          <w:p w14:paraId="06902D8A" w14:textId="77777777" w:rsidR="004E09F9" w:rsidRPr="002749BC" w:rsidRDefault="004E09F9" w:rsidP="00E56146">
            <w:pPr>
              <w:pStyle w:val="Tablebody"/>
            </w:pPr>
            <w:r w:rsidRPr="002749BC">
              <w:t>To study the effect of different research methods (e.g. stated versus revealed preference) on the valuation of travel time savings.</w:t>
            </w:r>
          </w:p>
        </w:tc>
        <w:tc>
          <w:tcPr>
            <w:tcW w:w="2127" w:type="dxa"/>
            <w:tcBorders>
              <w:top w:val="single" w:sz="4" w:space="0" w:color="D9D9D9" w:themeColor="background1" w:themeShade="D9"/>
              <w:bottom w:val="single" w:sz="4" w:space="0" w:color="D9D9D9" w:themeColor="background1" w:themeShade="D9"/>
            </w:tcBorders>
            <w:shd w:val="clear" w:color="auto" w:fill="auto"/>
          </w:tcPr>
          <w:p w14:paraId="642FC133" w14:textId="77777777" w:rsidR="004E09F9" w:rsidRPr="002749BC" w:rsidRDefault="004E09F9" w:rsidP="00E56146">
            <w:pPr>
              <w:pStyle w:val="Tablebody"/>
            </w:pPr>
            <w:r w:rsidRPr="002749BC">
              <w:t>Revealed preference, stated preference, wage rate approach.</w:t>
            </w:r>
          </w:p>
        </w:tc>
        <w:tc>
          <w:tcPr>
            <w:tcW w:w="2693" w:type="dxa"/>
            <w:tcBorders>
              <w:top w:val="single" w:sz="4" w:space="0" w:color="D9D9D9" w:themeColor="background1" w:themeShade="D9"/>
              <w:bottom w:val="single" w:sz="4" w:space="0" w:color="D9D9D9" w:themeColor="background1" w:themeShade="D9"/>
            </w:tcBorders>
            <w:shd w:val="clear" w:color="auto" w:fill="auto"/>
          </w:tcPr>
          <w:p w14:paraId="1713B8F7" w14:textId="77777777" w:rsidR="004E09F9" w:rsidRPr="002749BC" w:rsidRDefault="004E09F9" w:rsidP="00E56146">
            <w:pPr>
              <w:pStyle w:val="Tablebody"/>
            </w:pPr>
            <w:r w:rsidRPr="002749BC">
              <w:t>8.84 Euro/hour (EU commuter) (2003)</w:t>
            </w:r>
          </w:p>
          <w:p w14:paraId="6AABA3BC" w14:textId="77777777" w:rsidR="004E09F9" w:rsidRPr="002749BC" w:rsidRDefault="004E09F9" w:rsidP="00E56146">
            <w:pPr>
              <w:pStyle w:val="Tablebody"/>
            </w:pPr>
            <w:r w:rsidRPr="002749BC">
              <w:t>10.69 Euro/hour (EU commuter)</w:t>
            </w:r>
          </w:p>
        </w:tc>
      </w:tr>
      <w:tr w:rsidR="005C7F25" w:rsidRPr="002749BC" w14:paraId="64D36B2F" w14:textId="77777777" w:rsidTr="008D07B3">
        <w:tc>
          <w:tcPr>
            <w:tcW w:w="1758" w:type="dxa"/>
            <w:tcBorders>
              <w:top w:val="single" w:sz="4" w:space="0" w:color="D9D9D9" w:themeColor="background1" w:themeShade="D9"/>
              <w:bottom w:val="single" w:sz="4" w:space="0" w:color="D9D9D9" w:themeColor="background1" w:themeShade="D9"/>
            </w:tcBorders>
            <w:shd w:val="clear" w:color="auto" w:fill="auto"/>
          </w:tcPr>
          <w:p w14:paraId="282A7488" w14:textId="77777777" w:rsidR="004E09F9" w:rsidRPr="002749BC" w:rsidRDefault="004E09F9" w:rsidP="00E56146">
            <w:pPr>
              <w:pStyle w:val="Tablebody"/>
            </w:pPr>
            <w:r w:rsidRPr="002749BC">
              <w:t>Productive use of rail travel time and the valuation of travel time savings for rail business travellers</w:t>
            </w:r>
            <w:r w:rsidRPr="005D11B8">
              <w:rPr>
                <w:rStyle w:val="FootnoteReference"/>
              </w:rPr>
              <w:footnoteReference w:id="30"/>
            </w:r>
            <w:r w:rsidRPr="002749BC">
              <w:t xml:space="preserve"> (2009)</w:t>
            </w:r>
          </w:p>
        </w:tc>
        <w:tc>
          <w:tcPr>
            <w:tcW w:w="1418" w:type="dxa"/>
            <w:tcBorders>
              <w:top w:val="single" w:sz="4" w:space="0" w:color="D9D9D9" w:themeColor="background1" w:themeShade="D9"/>
              <w:bottom w:val="single" w:sz="4" w:space="0" w:color="D9D9D9" w:themeColor="background1" w:themeShade="D9"/>
            </w:tcBorders>
            <w:shd w:val="clear" w:color="auto" w:fill="auto"/>
          </w:tcPr>
          <w:p w14:paraId="7FC54731" w14:textId="77777777" w:rsidR="004E09F9" w:rsidRPr="002749BC" w:rsidRDefault="004E09F9" w:rsidP="00E56146">
            <w:pPr>
              <w:pStyle w:val="Tablebody"/>
            </w:pPr>
            <w:r w:rsidRPr="002749BC">
              <w:t>Rail transport / United Kingdom</w:t>
            </w:r>
          </w:p>
        </w:tc>
        <w:tc>
          <w:tcPr>
            <w:tcW w:w="4677" w:type="dxa"/>
            <w:tcBorders>
              <w:top w:val="single" w:sz="4" w:space="0" w:color="D9D9D9" w:themeColor="background1" w:themeShade="D9"/>
              <w:bottom w:val="single" w:sz="4" w:space="0" w:color="D9D9D9" w:themeColor="background1" w:themeShade="D9"/>
            </w:tcBorders>
            <w:shd w:val="clear" w:color="auto" w:fill="auto"/>
          </w:tcPr>
          <w:p w14:paraId="4E490F12" w14:textId="77777777" w:rsidR="004E09F9" w:rsidRPr="002749BC" w:rsidRDefault="004E09F9" w:rsidP="00E56146">
            <w:pPr>
              <w:pStyle w:val="Tablebody"/>
            </w:pPr>
            <w:r w:rsidRPr="002749BC">
              <w:t>To inform rail transport policy, value of speedier rail services and demand forecasting</w:t>
            </w:r>
          </w:p>
          <w:p w14:paraId="63D41182" w14:textId="77777777" w:rsidR="004E09F9" w:rsidRPr="002749BC" w:rsidRDefault="004E09F9" w:rsidP="00E56146">
            <w:pPr>
              <w:pStyle w:val="Tablebody"/>
            </w:pPr>
            <w:r w:rsidRPr="002749BC">
              <w:t xml:space="preserve">Studied attributes: </w:t>
            </w:r>
            <w:r w:rsidRPr="002749BC">
              <w:rPr>
                <w:lang w:eastAsia="en-US"/>
              </w:rPr>
              <w:t>cost, time, crowding, mobile phone contact and time and cost gains vs losses</w:t>
            </w:r>
          </w:p>
        </w:tc>
        <w:tc>
          <w:tcPr>
            <w:tcW w:w="2127" w:type="dxa"/>
            <w:tcBorders>
              <w:top w:val="single" w:sz="4" w:space="0" w:color="D9D9D9" w:themeColor="background1" w:themeShade="D9"/>
              <w:bottom w:val="single" w:sz="4" w:space="0" w:color="D9D9D9" w:themeColor="background1" w:themeShade="D9"/>
            </w:tcBorders>
            <w:shd w:val="clear" w:color="auto" w:fill="auto"/>
          </w:tcPr>
          <w:p w14:paraId="59B09E9D" w14:textId="77777777" w:rsidR="004E09F9" w:rsidRPr="002749BC" w:rsidRDefault="004E09F9" w:rsidP="00E56146">
            <w:pPr>
              <w:pStyle w:val="Tablebody"/>
            </w:pPr>
            <w:r w:rsidRPr="002749BC">
              <w:t>Surveys comprising revealed preference, stated intentions, stated preference and socio-economic (person type, income, age and gender).</w:t>
            </w:r>
          </w:p>
        </w:tc>
        <w:tc>
          <w:tcPr>
            <w:tcW w:w="2693" w:type="dxa"/>
            <w:tcBorders>
              <w:top w:val="single" w:sz="4" w:space="0" w:color="D9D9D9" w:themeColor="background1" w:themeShade="D9"/>
              <w:bottom w:val="single" w:sz="4" w:space="0" w:color="D9D9D9" w:themeColor="background1" w:themeShade="D9"/>
            </w:tcBorders>
            <w:shd w:val="clear" w:color="auto" w:fill="auto"/>
          </w:tcPr>
          <w:p w14:paraId="67C1C693" w14:textId="77777777" w:rsidR="004E09F9" w:rsidRPr="002749BC" w:rsidRDefault="004E09F9" w:rsidP="00E56146">
            <w:pPr>
              <w:pStyle w:val="Tablebody"/>
            </w:pPr>
            <w:r w:rsidRPr="002749BC">
              <w:t>Employee Value of Time – Average €17.80/hour (2008)</w:t>
            </w:r>
          </w:p>
          <w:p w14:paraId="0FEBD191" w14:textId="77777777" w:rsidR="004E09F9" w:rsidRPr="002749BC" w:rsidRDefault="004E09F9" w:rsidP="00E56146">
            <w:pPr>
              <w:pStyle w:val="Tablebody"/>
            </w:pPr>
            <w:r w:rsidRPr="002749BC">
              <w:t>Employer Value of Time – Average €4.40/hour</w:t>
            </w:r>
          </w:p>
        </w:tc>
      </w:tr>
      <w:tr w:rsidR="005C7F25" w:rsidRPr="002749BC" w14:paraId="709ADE8D" w14:textId="77777777" w:rsidTr="008D07B3">
        <w:tc>
          <w:tcPr>
            <w:tcW w:w="1758" w:type="dxa"/>
            <w:tcBorders>
              <w:top w:val="single" w:sz="4" w:space="0" w:color="D9D9D9" w:themeColor="background1" w:themeShade="D9"/>
              <w:bottom w:val="single" w:sz="4" w:space="0" w:color="D9D9D9" w:themeColor="background1" w:themeShade="D9"/>
            </w:tcBorders>
            <w:shd w:val="clear" w:color="auto" w:fill="auto"/>
          </w:tcPr>
          <w:p w14:paraId="1DC3DD2B" w14:textId="77777777" w:rsidR="004E09F9" w:rsidRPr="002749BC" w:rsidRDefault="004E09F9" w:rsidP="00E56146">
            <w:pPr>
              <w:pStyle w:val="Tablebody"/>
            </w:pPr>
            <w:r w:rsidRPr="002749BC">
              <w:t>Estimating the passenger cost of station crowding</w:t>
            </w:r>
            <w:r w:rsidRPr="005D11B8">
              <w:rPr>
                <w:rStyle w:val="FootnoteReference"/>
              </w:rPr>
              <w:footnoteReference w:id="31"/>
            </w:r>
            <w:r w:rsidRPr="002749BC">
              <w:t xml:space="preserve"> (2005)</w:t>
            </w:r>
          </w:p>
        </w:tc>
        <w:tc>
          <w:tcPr>
            <w:tcW w:w="1418" w:type="dxa"/>
            <w:tcBorders>
              <w:top w:val="single" w:sz="4" w:space="0" w:color="D9D9D9" w:themeColor="background1" w:themeShade="D9"/>
              <w:bottom w:val="single" w:sz="4" w:space="0" w:color="D9D9D9" w:themeColor="background1" w:themeShade="D9"/>
            </w:tcBorders>
            <w:shd w:val="clear" w:color="auto" w:fill="auto"/>
          </w:tcPr>
          <w:p w14:paraId="7E086E18" w14:textId="77777777" w:rsidR="004E09F9" w:rsidRPr="002749BC" w:rsidRDefault="004E09F9" w:rsidP="00E56146">
            <w:pPr>
              <w:pStyle w:val="Tablebody"/>
            </w:pPr>
            <w:r w:rsidRPr="002749BC">
              <w:t>Rail Transport / New South Wales</w:t>
            </w:r>
          </w:p>
        </w:tc>
        <w:tc>
          <w:tcPr>
            <w:tcW w:w="4677" w:type="dxa"/>
            <w:tcBorders>
              <w:top w:val="single" w:sz="4" w:space="0" w:color="D9D9D9" w:themeColor="background1" w:themeShade="D9"/>
              <w:bottom w:val="single" w:sz="4" w:space="0" w:color="D9D9D9" w:themeColor="background1" w:themeShade="D9"/>
            </w:tcBorders>
            <w:shd w:val="clear" w:color="auto" w:fill="auto"/>
          </w:tcPr>
          <w:p w14:paraId="247486C2" w14:textId="77777777" w:rsidR="004E09F9" w:rsidRPr="002749BC" w:rsidRDefault="004E09F9" w:rsidP="00E56146">
            <w:pPr>
              <w:pStyle w:val="Tablebody"/>
            </w:pPr>
            <w:r w:rsidRPr="002749BC">
              <w:t xml:space="preserve">To estimate the value of customer time in transferring to/from rail trips. </w:t>
            </w:r>
          </w:p>
          <w:p w14:paraId="256273A8" w14:textId="77777777" w:rsidR="004E09F9" w:rsidRPr="002749BC" w:rsidRDefault="004E09F9" w:rsidP="00E56146">
            <w:pPr>
              <w:pStyle w:val="Tablebody"/>
            </w:pPr>
            <w:r w:rsidRPr="002749BC">
              <w:t>Studied attributes: crowding, wait times, seating density, preference differences between genders</w:t>
            </w:r>
          </w:p>
        </w:tc>
        <w:tc>
          <w:tcPr>
            <w:tcW w:w="2127" w:type="dxa"/>
            <w:tcBorders>
              <w:top w:val="single" w:sz="4" w:space="0" w:color="D9D9D9" w:themeColor="background1" w:themeShade="D9"/>
              <w:bottom w:val="single" w:sz="4" w:space="0" w:color="D9D9D9" w:themeColor="background1" w:themeShade="D9"/>
            </w:tcBorders>
            <w:shd w:val="clear" w:color="auto" w:fill="auto"/>
          </w:tcPr>
          <w:p w14:paraId="4CFBA9D4" w14:textId="77777777" w:rsidR="004E09F9" w:rsidRPr="002749BC" w:rsidRDefault="004E09F9" w:rsidP="00E56146">
            <w:pPr>
              <w:pStyle w:val="Tablebody"/>
            </w:pPr>
            <w:r w:rsidRPr="002749BC">
              <w:t>Choice model</w:t>
            </w:r>
          </w:p>
        </w:tc>
        <w:tc>
          <w:tcPr>
            <w:tcW w:w="2693" w:type="dxa"/>
            <w:tcBorders>
              <w:top w:val="single" w:sz="4" w:space="0" w:color="D9D9D9" w:themeColor="background1" w:themeShade="D9"/>
              <w:bottom w:val="single" w:sz="4" w:space="0" w:color="D9D9D9" w:themeColor="background1" w:themeShade="D9"/>
            </w:tcBorders>
            <w:shd w:val="clear" w:color="auto" w:fill="auto"/>
          </w:tcPr>
          <w:p w14:paraId="6DAF13E3" w14:textId="77777777" w:rsidR="004E09F9" w:rsidRPr="002749BC" w:rsidRDefault="004E09F9" w:rsidP="00E56146">
            <w:pPr>
              <w:pStyle w:val="Tablebody"/>
            </w:pPr>
            <w:r w:rsidRPr="002749BC">
              <w:t>$14.19/hour for peak travellers (2005)</w:t>
            </w:r>
          </w:p>
        </w:tc>
      </w:tr>
      <w:tr w:rsidR="005C7F25" w:rsidRPr="002749BC" w14:paraId="5686E34A" w14:textId="77777777" w:rsidTr="008D07B3">
        <w:tc>
          <w:tcPr>
            <w:tcW w:w="1758" w:type="dxa"/>
            <w:tcBorders>
              <w:top w:val="single" w:sz="4" w:space="0" w:color="D9D9D9" w:themeColor="background1" w:themeShade="D9"/>
              <w:bottom w:val="single" w:sz="4" w:space="0" w:color="D9D9D9" w:themeColor="background1" w:themeShade="D9"/>
            </w:tcBorders>
            <w:shd w:val="clear" w:color="auto" w:fill="auto"/>
          </w:tcPr>
          <w:p w14:paraId="0058C76E" w14:textId="77777777" w:rsidR="004E09F9" w:rsidRPr="002749BC" w:rsidRDefault="004E09F9" w:rsidP="00E56146">
            <w:pPr>
              <w:pStyle w:val="Tablebody"/>
            </w:pPr>
            <w:r w:rsidRPr="002749BC">
              <w:t>The Mixed Logit Model: The State of Practice</w:t>
            </w:r>
            <w:r w:rsidRPr="005D11B8">
              <w:rPr>
                <w:rStyle w:val="FootnoteReference"/>
              </w:rPr>
              <w:footnoteReference w:id="32"/>
            </w:r>
            <w:r w:rsidRPr="002749BC">
              <w:t xml:space="preserve"> (2003)</w:t>
            </w:r>
          </w:p>
        </w:tc>
        <w:tc>
          <w:tcPr>
            <w:tcW w:w="1418" w:type="dxa"/>
            <w:tcBorders>
              <w:top w:val="single" w:sz="4" w:space="0" w:color="D9D9D9" w:themeColor="background1" w:themeShade="D9"/>
              <w:bottom w:val="single" w:sz="4" w:space="0" w:color="D9D9D9" w:themeColor="background1" w:themeShade="D9"/>
            </w:tcBorders>
            <w:shd w:val="clear" w:color="auto" w:fill="auto"/>
          </w:tcPr>
          <w:p w14:paraId="68E77258" w14:textId="77777777" w:rsidR="004E09F9" w:rsidRPr="002749BC" w:rsidRDefault="004E09F9" w:rsidP="00E56146">
            <w:pPr>
              <w:pStyle w:val="Tablebody"/>
            </w:pPr>
            <w:r w:rsidRPr="002749BC">
              <w:t>Australia</w:t>
            </w:r>
          </w:p>
        </w:tc>
        <w:tc>
          <w:tcPr>
            <w:tcW w:w="4677" w:type="dxa"/>
            <w:tcBorders>
              <w:top w:val="single" w:sz="4" w:space="0" w:color="D9D9D9" w:themeColor="background1" w:themeShade="D9"/>
              <w:bottom w:val="single" w:sz="4" w:space="0" w:color="D9D9D9" w:themeColor="background1" w:themeShade="D9"/>
            </w:tcBorders>
            <w:shd w:val="clear" w:color="auto" w:fill="auto"/>
          </w:tcPr>
          <w:p w14:paraId="121A7A55" w14:textId="77777777" w:rsidR="004E09F9" w:rsidRPr="002749BC" w:rsidRDefault="004E09F9" w:rsidP="00E56146">
            <w:pPr>
              <w:pStyle w:val="Tablebody"/>
            </w:pPr>
            <w:r w:rsidRPr="002749BC">
              <w:t>To inform practitioners on the application of choice modelling approach to non-market valuation (focussed on travel time valuation as an illustration)</w:t>
            </w:r>
          </w:p>
        </w:tc>
        <w:tc>
          <w:tcPr>
            <w:tcW w:w="2127" w:type="dxa"/>
            <w:tcBorders>
              <w:top w:val="single" w:sz="4" w:space="0" w:color="D9D9D9" w:themeColor="background1" w:themeShade="D9"/>
              <w:bottom w:val="single" w:sz="4" w:space="0" w:color="D9D9D9" w:themeColor="background1" w:themeShade="D9"/>
            </w:tcBorders>
            <w:shd w:val="clear" w:color="auto" w:fill="auto"/>
          </w:tcPr>
          <w:p w14:paraId="1CD3C102" w14:textId="77777777" w:rsidR="004E09F9" w:rsidRPr="002749BC" w:rsidRDefault="004E09F9" w:rsidP="00E56146">
            <w:pPr>
              <w:pStyle w:val="Tablebody"/>
            </w:pPr>
            <w:r w:rsidRPr="002749BC">
              <w:t>Stated preference (choice modelling) and mixed stated preference – revealed preference</w:t>
            </w:r>
          </w:p>
        </w:tc>
        <w:tc>
          <w:tcPr>
            <w:tcW w:w="2693" w:type="dxa"/>
            <w:tcBorders>
              <w:top w:val="single" w:sz="4" w:space="0" w:color="D9D9D9" w:themeColor="background1" w:themeShade="D9"/>
              <w:bottom w:val="single" w:sz="4" w:space="0" w:color="D9D9D9" w:themeColor="background1" w:themeShade="D9"/>
            </w:tcBorders>
            <w:shd w:val="clear" w:color="auto" w:fill="auto"/>
          </w:tcPr>
          <w:p w14:paraId="02A03110" w14:textId="77777777" w:rsidR="004E09F9" w:rsidRPr="002749BC" w:rsidRDefault="004E09F9" w:rsidP="00E56146">
            <w:pPr>
              <w:pStyle w:val="Tablebody"/>
            </w:pPr>
            <w:r w:rsidRPr="002749BC">
              <w:t>N/A</w:t>
            </w:r>
          </w:p>
        </w:tc>
      </w:tr>
      <w:tr w:rsidR="005C7F25" w:rsidRPr="002749BC" w14:paraId="4785B293" w14:textId="77777777" w:rsidTr="008D07B3">
        <w:tc>
          <w:tcPr>
            <w:tcW w:w="1758" w:type="dxa"/>
            <w:tcBorders>
              <w:top w:val="single" w:sz="4" w:space="0" w:color="D9D9D9" w:themeColor="background1" w:themeShade="D9"/>
              <w:bottom w:val="single" w:sz="4" w:space="0" w:color="000000"/>
            </w:tcBorders>
            <w:shd w:val="clear" w:color="auto" w:fill="auto"/>
          </w:tcPr>
          <w:p w14:paraId="0FCA7BBC" w14:textId="77777777" w:rsidR="004E09F9" w:rsidRPr="002749BC" w:rsidRDefault="004E09F9" w:rsidP="00E56146">
            <w:pPr>
              <w:pStyle w:val="Tablebody"/>
            </w:pPr>
            <w:r w:rsidRPr="002749BC">
              <w:t>Rationing by waiting and the value of time</w:t>
            </w:r>
            <w:r w:rsidRPr="005D11B8">
              <w:rPr>
                <w:rStyle w:val="FootnoteReference"/>
              </w:rPr>
              <w:footnoteReference w:id="33"/>
            </w:r>
            <w:r w:rsidRPr="002749BC">
              <w:t xml:space="preserve"> (1985)</w:t>
            </w:r>
          </w:p>
        </w:tc>
        <w:tc>
          <w:tcPr>
            <w:tcW w:w="1418" w:type="dxa"/>
            <w:tcBorders>
              <w:top w:val="single" w:sz="4" w:space="0" w:color="D9D9D9" w:themeColor="background1" w:themeShade="D9"/>
              <w:bottom w:val="single" w:sz="4" w:space="0" w:color="000000"/>
            </w:tcBorders>
            <w:shd w:val="clear" w:color="auto" w:fill="auto"/>
          </w:tcPr>
          <w:p w14:paraId="65F98A5A" w14:textId="77777777" w:rsidR="004E09F9" w:rsidRPr="002749BC" w:rsidRDefault="004E09F9" w:rsidP="00E56146">
            <w:pPr>
              <w:pStyle w:val="Tablebody"/>
            </w:pPr>
            <w:r w:rsidRPr="002749BC">
              <w:t>Transport / United States</w:t>
            </w:r>
          </w:p>
        </w:tc>
        <w:tc>
          <w:tcPr>
            <w:tcW w:w="4677" w:type="dxa"/>
            <w:tcBorders>
              <w:top w:val="single" w:sz="4" w:space="0" w:color="D9D9D9" w:themeColor="background1" w:themeShade="D9"/>
              <w:bottom w:val="single" w:sz="4" w:space="0" w:color="000000"/>
            </w:tcBorders>
            <w:shd w:val="clear" w:color="auto" w:fill="auto"/>
          </w:tcPr>
          <w:p w14:paraId="313D7B3C" w14:textId="77777777" w:rsidR="004E09F9" w:rsidRPr="002749BC" w:rsidRDefault="004E09F9" w:rsidP="00E56146">
            <w:pPr>
              <w:pStyle w:val="Tablebody"/>
            </w:pPr>
            <w:r w:rsidRPr="002749BC">
              <w:t>To evaluate consumer choice behaviour</w:t>
            </w:r>
          </w:p>
          <w:p w14:paraId="1EAD6CCA" w14:textId="77777777" w:rsidR="004E09F9" w:rsidRPr="002749BC" w:rsidRDefault="004E09F9" w:rsidP="00E56146">
            <w:pPr>
              <w:pStyle w:val="Tablebody"/>
            </w:pPr>
            <w:r w:rsidRPr="002749BC">
              <w:t>Studied attributes: station chosen, capacity of gas tank, gallons purchased, employment status and income level</w:t>
            </w:r>
          </w:p>
        </w:tc>
        <w:tc>
          <w:tcPr>
            <w:tcW w:w="2127" w:type="dxa"/>
            <w:tcBorders>
              <w:top w:val="single" w:sz="4" w:space="0" w:color="D9D9D9" w:themeColor="background1" w:themeShade="D9"/>
              <w:bottom w:val="single" w:sz="4" w:space="0" w:color="000000"/>
            </w:tcBorders>
            <w:shd w:val="clear" w:color="auto" w:fill="auto"/>
          </w:tcPr>
          <w:p w14:paraId="7E333980" w14:textId="77777777" w:rsidR="004E09F9" w:rsidRPr="002749BC" w:rsidRDefault="004E09F9" w:rsidP="00E56146">
            <w:pPr>
              <w:pStyle w:val="Tablebody"/>
            </w:pPr>
            <w:r w:rsidRPr="002749BC">
              <w:t xml:space="preserve">Contingent valuation questionnaire </w:t>
            </w:r>
          </w:p>
        </w:tc>
        <w:tc>
          <w:tcPr>
            <w:tcW w:w="2693" w:type="dxa"/>
            <w:tcBorders>
              <w:top w:val="single" w:sz="4" w:space="0" w:color="D9D9D9" w:themeColor="background1" w:themeShade="D9"/>
              <w:bottom w:val="single" w:sz="4" w:space="0" w:color="000000"/>
            </w:tcBorders>
            <w:shd w:val="clear" w:color="auto" w:fill="auto"/>
          </w:tcPr>
          <w:p w14:paraId="0E31E594" w14:textId="77777777" w:rsidR="004E09F9" w:rsidRPr="002749BC" w:rsidRDefault="004E09F9" w:rsidP="00E56146">
            <w:pPr>
              <w:pStyle w:val="Tablebody"/>
            </w:pPr>
            <w:r w:rsidRPr="002749BC">
              <w:t>Value of time $/hour (1984)</w:t>
            </w:r>
          </w:p>
          <w:p w14:paraId="744E139B" w14:textId="77777777" w:rsidR="004E09F9" w:rsidRDefault="004E09F9" w:rsidP="00E56146">
            <w:pPr>
              <w:pStyle w:val="Tablebody"/>
            </w:pPr>
            <w:r w:rsidRPr="002749BC">
              <w:t>Fully employed: $9.94 - $17.26/hour (increasing with income level)</w:t>
            </w:r>
          </w:p>
          <w:p w14:paraId="2F1B5B2E" w14:textId="16D0A25B" w:rsidR="005C7F25" w:rsidRPr="002749BC" w:rsidRDefault="005C7F25" w:rsidP="001D2E11">
            <w:pPr>
              <w:pStyle w:val="Tablebody"/>
            </w:pPr>
            <w:r w:rsidRPr="002749BC">
              <w:t>Part-time workers: $3.52 - $5.39/hour</w:t>
            </w:r>
            <w:r w:rsidR="005D3E59">
              <w:t xml:space="preserve">; </w:t>
            </w:r>
            <w:r w:rsidRPr="002749BC">
              <w:t>Students: $7.15 - $10.96/hour</w:t>
            </w:r>
            <w:r w:rsidR="005D3E59">
              <w:t xml:space="preserve">; </w:t>
            </w:r>
            <w:r w:rsidRPr="002749BC">
              <w:t>Housewives: $6.32 - $9.70/hour</w:t>
            </w:r>
            <w:r w:rsidR="005D3E59">
              <w:t xml:space="preserve">; </w:t>
            </w:r>
            <w:r w:rsidRPr="002749BC">
              <w:t>Unemployed: $6.30 - $9.67/hour</w:t>
            </w:r>
          </w:p>
        </w:tc>
      </w:tr>
    </w:tbl>
    <w:p w14:paraId="6F209A73" w14:textId="77777777" w:rsidR="004E09F9" w:rsidRDefault="004E09F9" w:rsidP="004E09F9"/>
    <w:p w14:paraId="50D220F1" w14:textId="4D3C020D" w:rsidR="004E09F9" w:rsidRPr="002749BC" w:rsidRDefault="004E09F9" w:rsidP="004E09F9">
      <w:pPr>
        <w:pStyle w:val="Caption"/>
        <w:rPr>
          <w:b w:val="0"/>
        </w:rPr>
      </w:pPr>
      <w:bookmarkStart w:id="20" w:name="_Ref10123742"/>
      <w:bookmarkStart w:id="21" w:name="_Toc12387785"/>
      <w:r w:rsidRPr="002749BC">
        <w:t xml:space="preserve">Table </w:t>
      </w:r>
      <w:r w:rsidRPr="002749BC">
        <w:rPr>
          <w:noProof/>
        </w:rPr>
        <w:fldChar w:fldCharType="begin"/>
      </w:r>
      <w:r w:rsidRPr="002749BC">
        <w:rPr>
          <w:noProof/>
        </w:rPr>
        <w:instrText xml:space="preserve"> SEQ Table \* ARABIC </w:instrText>
      </w:r>
      <w:r w:rsidRPr="002749BC">
        <w:rPr>
          <w:noProof/>
        </w:rPr>
        <w:fldChar w:fldCharType="separate"/>
      </w:r>
      <w:r w:rsidR="00176422">
        <w:rPr>
          <w:noProof/>
        </w:rPr>
        <w:t>4</w:t>
      </w:r>
      <w:r w:rsidRPr="002749BC">
        <w:rPr>
          <w:noProof/>
        </w:rPr>
        <w:fldChar w:fldCharType="end"/>
      </w:r>
      <w:bookmarkEnd w:id="20"/>
      <w:r w:rsidRPr="002749BC">
        <w:t xml:space="preserve"> </w:t>
      </w:r>
      <w:r w:rsidRPr="002749BC">
        <w:tab/>
        <w:t>Non-market valuation studies concerning the valuation of customer times</w:t>
      </w:r>
      <w:r>
        <w:t xml:space="preserve"> in waste management context</w:t>
      </w:r>
      <w:bookmarkEnd w:id="21"/>
    </w:p>
    <w:tbl>
      <w:tblPr>
        <w:tblW w:w="5250" w:type="pct"/>
        <w:tblInd w:w="85" w:type="dxa"/>
        <w:tblLayout w:type="fixed"/>
        <w:tblCellMar>
          <w:left w:w="56" w:type="dxa"/>
          <w:right w:w="56" w:type="dxa"/>
        </w:tblCellMar>
        <w:tblLook w:val="0000" w:firstRow="0" w:lastRow="0" w:firstColumn="0" w:lastColumn="0" w:noHBand="0" w:noVBand="0"/>
        <w:tblCaption w:val="Non-market valuation studies concerning the valuation of customer times in waste management context"/>
        <w:tblDescription w:val="A selection of summaries of non-market valuation studies from the waste management sector."/>
      </w:tblPr>
      <w:tblGrid>
        <w:gridCol w:w="2498"/>
        <w:gridCol w:w="2081"/>
        <w:gridCol w:w="3989"/>
        <w:gridCol w:w="3642"/>
        <w:gridCol w:w="3535"/>
      </w:tblGrid>
      <w:tr w:rsidR="004E09F9" w:rsidRPr="002749BC" w14:paraId="5D6DDD9A" w14:textId="77777777" w:rsidTr="005D3E59">
        <w:trPr>
          <w:tblHeader/>
        </w:trPr>
        <w:tc>
          <w:tcPr>
            <w:tcW w:w="2042" w:type="dxa"/>
            <w:tcBorders>
              <w:top w:val="single" w:sz="4" w:space="0" w:color="000000"/>
              <w:bottom w:val="single" w:sz="4" w:space="0" w:color="000000"/>
            </w:tcBorders>
            <w:shd w:val="clear" w:color="auto" w:fill="auto"/>
          </w:tcPr>
          <w:p w14:paraId="28469E6F" w14:textId="77777777" w:rsidR="004E09F9" w:rsidRPr="002749BC" w:rsidRDefault="004E09F9" w:rsidP="00E56146">
            <w:pPr>
              <w:pStyle w:val="Tablecolumnheadings"/>
            </w:pPr>
            <w:r w:rsidRPr="002749BC">
              <w:t>Study (Year)</w:t>
            </w:r>
          </w:p>
        </w:tc>
        <w:tc>
          <w:tcPr>
            <w:tcW w:w="1701" w:type="dxa"/>
            <w:tcBorders>
              <w:top w:val="single" w:sz="4" w:space="0" w:color="000000"/>
              <w:bottom w:val="single" w:sz="4" w:space="0" w:color="000000"/>
            </w:tcBorders>
            <w:shd w:val="clear" w:color="auto" w:fill="auto"/>
          </w:tcPr>
          <w:p w14:paraId="3838DCD8" w14:textId="77777777" w:rsidR="004E09F9" w:rsidRPr="002749BC" w:rsidRDefault="004E09F9" w:rsidP="00E56146">
            <w:pPr>
              <w:pStyle w:val="Tablecolumnheadings"/>
            </w:pPr>
            <w:r w:rsidRPr="002749BC">
              <w:t>Sector / Jurisdiction</w:t>
            </w:r>
          </w:p>
        </w:tc>
        <w:tc>
          <w:tcPr>
            <w:tcW w:w="3260" w:type="dxa"/>
            <w:tcBorders>
              <w:top w:val="single" w:sz="4" w:space="0" w:color="000000"/>
              <w:bottom w:val="single" w:sz="4" w:space="0" w:color="000000"/>
            </w:tcBorders>
            <w:shd w:val="clear" w:color="auto" w:fill="auto"/>
          </w:tcPr>
          <w:p w14:paraId="787D201C" w14:textId="77777777" w:rsidR="004E09F9" w:rsidRPr="002749BC" w:rsidRDefault="004E09F9" w:rsidP="00E56146">
            <w:pPr>
              <w:pStyle w:val="Tablecolumnheadings"/>
            </w:pPr>
            <w:r w:rsidRPr="002749BC">
              <w:t>Study goal and studied attributes</w:t>
            </w:r>
          </w:p>
        </w:tc>
        <w:tc>
          <w:tcPr>
            <w:tcW w:w="2977" w:type="dxa"/>
            <w:tcBorders>
              <w:top w:val="single" w:sz="4" w:space="0" w:color="000000"/>
              <w:bottom w:val="single" w:sz="4" w:space="0" w:color="000000"/>
            </w:tcBorders>
            <w:shd w:val="clear" w:color="auto" w:fill="auto"/>
          </w:tcPr>
          <w:p w14:paraId="7345C39C" w14:textId="77777777" w:rsidR="004E09F9" w:rsidRPr="002749BC" w:rsidRDefault="004E09F9" w:rsidP="00E56146">
            <w:pPr>
              <w:pStyle w:val="Tablecolumnheadings"/>
            </w:pPr>
            <w:r w:rsidRPr="002749BC">
              <w:t>Valuation method(s)</w:t>
            </w:r>
          </w:p>
        </w:tc>
        <w:tc>
          <w:tcPr>
            <w:tcW w:w="2889" w:type="dxa"/>
            <w:tcBorders>
              <w:top w:val="single" w:sz="4" w:space="0" w:color="000000"/>
              <w:bottom w:val="single" w:sz="4" w:space="0" w:color="000000"/>
            </w:tcBorders>
            <w:shd w:val="clear" w:color="auto" w:fill="auto"/>
          </w:tcPr>
          <w:p w14:paraId="566E382C" w14:textId="77777777" w:rsidR="004E09F9" w:rsidRPr="002749BC" w:rsidRDefault="004E09F9" w:rsidP="00E56146">
            <w:pPr>
              <w:pStyle w:val="Tablecolumnheadings"/>
            </w:pPr>
            <w:r w:rsidRPr="002749BC">
              <w:t>Valuations</w:t>
            </w:r>
            <w:r>
              <w:t xml:space="preserve"> and other implications</w:t>
            </w:r>
          </w:p>
        </w:tc>
      </w:tr>
      <w:tr w:rsidR="004E09F9" w:rsidRPr="002749BC" w14:paraId="7C8B0636" w14:textId="77777777" w:rsidTr="005D3E59">
        <w:tc>
          <w:tcPr>
            <w:tcW w:w="2042" w:type="dxa"/>
            <w:tcBorders>
              <w:top w:val="single" w:sz="4" w:space="0" w:color="000000"/>
              <w:bottom w:val="single" w:sz="4" w:space="0" w:color="D9D9D9" w:themeColor="background1" w:themeShade="D9"/>
            </w:tcBorders>
            <w:shd w:val="clear" w:color="auto" w:fill="auto"/>
          </w:tcPr>
          <w:p w14:paraId="5ADB532E" w14:textId="77777777" w:rsidR="004E09F9" w:rsidRPr="002749BC" w:rsidRDefault="004E09F9" w:rsidP="00E56146">
            <w:pPr>
              <w:pStyle w:val="Tablebody"/>
            </w:pPr>
            <w:r w:rsidRPr="002749BC">
              <w:t>Effects of Norms and Opportunity Cost of Time on Household Recycling</w:t>
            </w:r>
            <w:r w:rsidRPr="005D11B8">
              <w:rPr>
                <w:rStyle w:val="FootnoteReference"/>
              </w:rPr>
              <w:footnoteReference w:id="34"/>
            </w:r>
            <w:r w:rsidRPr="002749BC">
              <w:t xml:space="preserve"> (20</w:t>
            </w:r>
            <w:r>
              <w:t>10</w:t>
            </w:r>
            <w:r w:rsidRPr="002749BC">
              <w:t>)</w:t>
            </w:r>
          </w:p>
        </w:tc>
        <w:tc>
          <w:tcPr>
            <w:tcW w:w="1701" w:type="dxa"/>
            <w:tcBorders>
              <w:top w:val="single" w:sz="4" w:space="0" w:color="000000"/>
              <w:bottom w:val="single" w:sz="4" w:space="0" w:color="D9D9D9" w:themeColor="background1" w:themeShade="D9"/>
            </w:tcBorders>
            <w:shd w:val="clear" w:color="auto" w:fill="auto"/>
          </w:tcPr>
          <w:p w14:paraId="2B12FDAE" w14:textId="77777777" w:rsidR="004E09F9" w:rsidRPr="002749BC" w:rsidRDefault="004E09F9" w:rsidP="00E56146">
            <w:pPr>
              <w:pStyle w:val="Tablebody"/>
            </w:pPr>
            <w:r w:rsidRPr="002749BC">
              <w:t xml:space="preserve">Waste management / Norway </w:t>
            </w:r>
          </w:p>
        </w:tc>
        <w:tc>
          <w:tcPr>
            <w:tcW w:w="3260" w:type="dxa"/>
            <w:tcBorders>
              <w:top w:val="single" w:sz="4" w:space="0" w:color="000000"/>
              <w:bottom w:val="single" w:sz="4" w:space="0" w:color="D9D9D9" w:themeColor="background1" w:themeShade="D9"/>
            </w:tcBorders>
            <w:shd w:val="clear" w:color="auto" w:fill="auto"/>
          </w:tcPr>
          <w:p w14:paraId="129ABA41" w14:textId="77777777" w:rsidR="004E09F9" w:rsidRPr="002749BC" w:rsidRDefault="004E09F9" w:rsidP="00E56146">
            <w:pPr>
              <w:pStyle w:val="Tablebody"/>
            </w:pPr>
            <w:r w:rsidRPr="002749BC">
              <w:t>To inform waste recycling policy</w:t>
            </w:r>
          </w:p>
          <w:p w14:paraId="54E81260" w14:textId="77777777" w:rsidR="004E09F9" w:rsidRPr="002749BC" w:rsidRDefault="004E09F9" w:rsidP="00E56146">
            <w:pPr>
              <w:pStyle w:val="Tablebody"/>
            </w:pPr>
            <w:r w:rsidRPr="002749BC">
              <w:t xml:space="preserve">Studied attributes: household income and labour supply, population density of area, household member </w:t>
            </w:r>
            <w:r w:rsidRPr="002749BC">
              <w:lastRenderedPageBreak/>
              <w:t>number and age, political preferences, attitude toward environmental issues, reasons for recycling and price tariffs.</w:t>
            </w:r>
          </w:p>
        </w:tc>
        <w:tc>
          <w:tcPr>
            <w:tcW w:w="2977" w:type="dxa"/>
            <w:tcBorders>
              <w:top w:val="single" w:sz="4" w:space="0" w:color="000000"/>
              <w:bottom w:val="single" w:sz="4" w:space="0" w:color="D9D9D9" w:themeColor="background1" w:themeShade="D9"/>
            </w:tcBorders>
            <w:shd w:val="clear" w:color="auto" w:fill="auto"/>
          </w:tcPr>
          <w:p w14:paraId="6615C0A5" w14:textId="77777777" w:rsidR="004E09F9" w:rsidRPr="002749BC" w:rsidRDefault="004E09F9" w:rsidP="00E56146">
            <w:pPr>
              <w:pStyle w:val="Tablebody"/>
            </w:pPr>
            <w:r w:rsidRPr="002749BC">
              <w:lastRenderedPageBreak/>
              <w:t xml:space="preserve">Survey of dichotomous choice contingent valuation questions </w:t>
            </w:r>
          </w:p>
          <w:p w14:paraId="6B8C56A0" w14:textId="77777777" w:rsidR="004E09F9" w:rsidRPr="002749BC" w:rsidRDefault="004E09F9" w:rsidP="00E56146">
            <w:pPr>
              <w:pStyle w:val="Tablebody"/>
            </w:pPr>
            <w:r w:rsidRPr="002749BC">
              <w:lastRenderedPageBreak/>
              <w:t>Open ended contingent valuation questions</w:t>
            </w:r>
          </w:p>
        </w:tc>
        <w:tc>
          <w:tcPr>
            <w:tcW w:w="2889" w:type="dxa"/>
            <w:tcBorders>
              <w:top w:val="single" w:sz="4" w:space="0" w:color="000000"/>
              <w:bottom w:val="single" w:sz="4" w:space="0" w:color="D9D9D9" w:themeColor="background1" w:themeShade="D9"/>
            </w:tcBorders>
            <w:shd w:val="clear" w:color="auto" w:fill="auto"/>
          </w:tcPr>
          <w:p w14:paraId="2988B4C1" w14:textId="77777777" w:rsidR="004E09F9" w:rsidRPr="002749BC" w:rsidRDefault="004E09F9" w:rsidP="00E56146">
            <w:pPr>
              <w:pStyle w:val="Tablebody"/>
            </w:pPr>
            <w:r w:rsidRPr="002749BC">
              <w:lastRenderedPageBreak/>
              <w:t xml:space="preserve">Monthly willingness to pay to avoid spending time on recycling €4. </w:t>
            </w:r>
            <w:r>
              <w:t>(Average of several comparable countries)</w:t>
            </w:r>
          </w:p>
        </w:tc>
      </w:tr>
      <w:tr w:rsidR="004E09F9" w:rsidRPr="002749BC" w14:paraId="58ED0CD5" w14:textId="77777777" w:rsidTr="005D3E59">
        <w:tc>
          <w:tcPr>
            <w:tcW w:w="2042" w:type="dxa"/>
            <w:tcBorders>
              <w:top w:val="single" w:sz="4" w:space="0" w:color="D9D9D9" w:themeColor="background1" w:themeShade="D9"/>
              <w:bottom w:val="single" w:sz="4" w:space="0" w:color="D9D9D9" w:themeColor="background1" w:themeShade="D9"/>
            </w:tcBorders>
            <w:shd w:val="clear" w:color="auto" w:fill="auto"/>
          </w:tcPr>
          <w:p w14:paraId="7C7A3C00" w14:textId="77777777" w:rsidR="004E09F9" w:rsidRPr="002749BC" w:rsidRDefault="004E09F9" w:rsidP="00E56146">
            <w:pPr>
              <w:pStyle w:val="Tablebody"/>
            </w:pPr>
            <w:r w:rsidRPr="002749BC">
              <w:lastRenderedPageBreak/>
              <w:t>Households’ recycling efforts</w:t>
            </w:r>
            <w:r>
              <w:rPr>
                <w:rStyle w:val="FootnoteReference"/>
              </w:rPr>
              <w:footnoteReference w:id="35"/>
            </w:r>
            <w:r w:rsidRPr="002749BC">
              <w:t xml:space="preserve"> (2002)</w:t>
            </w:r>
          </w:p>
        </w:tc>
        <w:tc>
          <w:tcPr>
            <w:tcW w:w="1701" w:type="dxa"/>
            <w:tcBorders>
              <w:top w:val="single" w:sz="4" w:space="0" w:color="D9D9D9" w:themeColor="background1" w:themeShade="D9"/>
              <w:bottom w:val="single" w:sz="4" w:space="0" w:color="D9D9D9" w:themeColor="background1" w:themeShade="D9"/>
            </w:tcBorders>
            <w:shd w:val="clear" w:color="auto" w:fill="auto"/>
          </w:tcPr>
          <w:p w14:paraId="785CCBE6" w14:textId="77777777" w:rsidR="004E09F9" w:rsidRPr="002749BC" w:rsidRDefault="004E09F9" w:rsidP="00E56146">
            <w:pPr>
              <w:pStyle w:val="Tablebody"/>
            </w:pPr>
            <w:r w:rsidRPr="002749BC">
              <w:t>Waste management /</w:t>
            </w:r>
            <w:r>
              <w:t xml:space="preserve"> Norway</w:t>
            </w:r>
            <w:r w:rsidRPr="002749BC">
              <w:t xml:space="preserve"> </w:t>
            </w:r>
          </w:p>
        </w:tc>
        <w:tc>
          <w:tcPr>
            <w:tcW w:w="3260" w:type="dxa"/>
            <w:tcBorders>
              <w:top w:val="single" w:sz="4" w:space="0" w:color="D9D9D9" w:themeColor="background1" w:themeShade="D9"/>
              <w:bottom w:val="single" w:sz="4" w:space="0" w:color="D9D9D9" w:themeColor="background1" w:themeShade="D9"/>
            </w:tcBorders>
            <w:shd w:val="clear" w:color="auto" w:fill="auto"/>
          </w:tcPr>
          <w:p w14:paraId="1B073928" w14:textId="77777777" w:rsidR="004E09F9" w:rsidRPr="002749BC" w:rsidRDefault="004E09F9" w:rsidP="00E56146">
            <w:pPr>
              <w:pStyle w:val="Tablebody"/>
            </w:pPr>
            <w:r w:rsidRPr="002749BC">
              <w:t>To inform waste recycling policy</w:t>
            </w:r>
          </w:p>
          <w:p w14:paraId="7F287E15" w14:textId="77777777" w:rsidR="004E09F9" w:rsidRPr="002749BC" w:rsidRDefault="004E09F9" w:rsidP="00E56146">
            <w:pPr>
              <w:pStyle w:val="Tablebody"/>
            </w:pPr>
            <w:r w:rsidRPr="002749BC">
              <w:t>Studied attributes: time spent sorting recycling and willingness to pay for a company to take over the sorting.</w:t>
            </w:r>
          </w:p>
        </w:tc>
        <w:tc>
          <w:tcPr>
            <w:tcW w:w="2977" w:type="dxa"/>
            <w:tcBorders>
              <w:top w:val="single" w:sz="4" w:space="0" w:color="D9D9D9" w:themeColor="background1" w:themeShade="D9"/>
              <w:bottom w:val="single" w:sz="4" w:space="0" w:color="D9D9D9" w:themeColor="background1" w:themeShade="D9"/>
            </w:tcBorders>
            <w:shd w:val="clear" w:color="auto" w:fill="auto"/>
          </w:tcPr>
          <w:p w14:paraId="4F79E191" w14:textId="2583DD84" w:rsidR="004E09F9" w:rsidRPr="002749BC" w:rsidRDefault="004E09F9">
            <w:pPr>
              <w:pStyle w:val="Tablebody"/>
            </w:pPr>
            <w:r w:rsidRPr="002749BC">
              <w:t>Simple survey regarding time spent sorting and willingness to pay to avoid it (authors used no response quality management techniques)</w:t>
            </w:r>
          </w:p>
        </w:tc>
        <w:tc>
          <w:tcPr>
            <w:tcW w:w="2889" w:type="dxa"/>
            <w:tcBorders>
              <w:top w:val="single" w:sz="4" w:space="0" w:color="D9D9D9" w:themeColor="background1" w:themeShade="D9"/>
              <w:bottom w:val="single" w:sz="4" w:space="0" w:color="D9D9D9" w:themeColor="background1" w:themeShade="D9"/>
            </w:tcBorders>
            <w:shd w:val="clear" w:color="auto" w:fill="auto"/>
          </w:tcPr>
          <w:p w14:paraId="11CF4DEC" w14:textId="77777777" w:rsidR="004E09F9" w:rsidRPr="002749BC" w:rsidRDefault="004E09F9" w:rsidP="00E56146">
            <w:pPr>
              <w:pStyle w:val="Tablebody"/>
            </w:pPr>
            <w:r w:rsidRPr="002749BC">
              <w:t>USD $1.00 per hour (2014)</w:t>
            </w:r>
          </w:p>
        </w:tc>
      </w:tr>
      <w:tr w:rsidR="004E09F9" w:rsidRPr="002749BC" w14:paraId="4FB03204" w14:textId="77777777" w:rsidTr="005D3E59">
        <w:tc>
          <w:tcPr>
            <w:tcW w:w="2042" w:type="dxa"/>
            <w:tcBorders>
              <w:top w:val="single" w:sz="4" w:space="0" w:color="D9D9D9" w:themeColor="background1" w:themeShade="D9"/>
              <w:bottom w:val="single" w:sz="4" w:space="0" w:color="000000"/>
            </w:tcBorders>
            <w:shd w:val="clear" w:color="auto" w:fill="auto"/>
          </w:tcPr>
          <w:p w14:paraId="191226C4" w14:textId="77777777" w:rsidR="004E09F9" w:rsidRPr="002749BC" w:rsidRDefault="004E09F9" w:rsidP="00E56146">
            <w:pPr>
              <w:pStyle w:val="Tablebody"/>
            </w:pPr>
            <w:r w:rsidRPr="002749BC">
              <w:rPr>
                <w:szCs w:val="24"/>
              </w:rPr>
              <w:t>We Want to Sort! Assessing Households’ Preferences for Sorting Waste</w:t>
            </w:r>
            <w:r w:rsidRPr="005D11B8">
              <w:rPr>
                <w:rStyle w:val="FootnoteReference"/>
              </w:rPr>
              <w:footnoteReference w:id="36"/>
            </w:r>
            <w:r w:rsidRPr="002749BC">
              <w:rPr>
                <w:szCs w:val="24"/>
              </w:rPr>
              <w:t xml:space="preserve"> </w:t>
            </w:r>
            <w:r w:rsidRPr="002749BC">
              <w:t>(2014)</w:t>
            </w:r>
          </w:p>
        </w:tc>
        <w:tc>
          <w:tcPr>
            <w:tcW w:w="1701" w:type="dxa"/>
            <w:tcBorders>
              <w:top w:val="single" w:sz="4" w:space="0" w:color="D9D9D9" w:themeColor="background1" w:themeShade="D9"/>
              <w:bottom w:val="single" w:sz="4" w:space="0" w:color="000000"/>
            </w:tcBorders>
            <w:shd w:val="clear" w:color="auto" w:fill="auto"/>
          </w:tcPr>
          <w:p w14:paraId="6865E971" w14:textId="77777777" w:rsidR="004E09F9" w:rsidRPr="002749BC" w:rsidRDefault="004E09F9" w:rsidP="00E56146">
            <w:pPr>
              <w:pStyle w:val="Tablebody"/>
            </w:pPr>
            <w:r w:rsidRPr="002749BC">
              <w:t xml:space="preserve">Waste management </w:t>
            </w:r>
            <w:r>
              <w:t>/ Poland</w:t>
            </w:r>
          </w:p>
        </w:tc>
        <w:tc>
          <w:tcPr>
            <w:tcW w:w="3260" w:type="dxa"/>
            <w:tcBorders>
              <w:top w:val="single" w:sz="4" w:space="0" w:color="D9D9D9" w:themeColor="background1" w:themeShade="D9"/>
              <w:bottom w:val="single" w:sz="4" w:space="0" w:color="000000"/>
            </w:tcBorders>
            <w:shd w:val="clear" w:color="auto" w:fill="auto"/>
          </w:tcPr>
          <w:p w14:paraId="28B995C1" w14:textId="77777777" w:rsidR="004E09F9" w:rsidRPr="002749BC" w:rsidRDefault="004E09F9" w:rsidP="00E56146">
            <w:pPr>
              <w:pStyle w:val="Tablebody"/>
            </w:pPr>
            <w:r w:rsidRPr="002749BC">
              <w:t>To inform waste recycling policy</w:t>
            </w:r>
          </w:p>
          <w:p w14:paraId="72B2D0B2" w14:textId="77777777" w:rsidR="004E09F9" w:rsidRPr="002749BC" w:rsidRDefault="004E09F9" w:rsidP="00E56146">
            <w:pPr>
              <w:pStyle w:val="Tablebody"/>
            </w:pPr>
            <w:r w:rsidRPr="002749BC">
              <w:t xml:space="preserve">Studied attributes: household willingness to pay for recycling services </w:t>
            </w:r>
          </w:p>
        </w:tc>
        <w:tc>
          <w:tcPr>
            <w:tcW w:w="2977" w:type="dxa"/>
            <w:tcBorders>
              <w:top w:val="single" w:sz="4" w:space="0" w:color="D9D9D9" w:themeColor="background1" w:themeShade="D9"/>
              <w:bottom w:val="single" w:sz="4" w:space="0" w:color="000000"/>
            </w:tcBorders>
            <w:shd w:val="clear" w:color="auto" w:fill="auto"/>
          </w:tcPr>
          <w:p w14:paraId="50FD36B9" w14:textId="77777777" w:rsidR="004E09F9" w:rsidRPr="002749BC" w:rsidRDefault="004E09F9" w:rsidP="00E56146">
            <w:pPr>
              <w:pStyle w:val="Tablebody"/>
            </w:pPr>
          </w:p>
        </w:tc>
        <w:tc>
          <w:tcPr>
            <w:tcW w:w="2889" w:type="dxa"/>
            <w:tcBorders>
              <w:top w:val="single" w:sz="4" w:space="0" w:color="D9D9D9" w:themeColor="background1" w:themeShade="D9"/>
              <w:bottom w:val="single" w:sz="4" w:space="0" w:color="000000"/>
            </w:tcBorders>
            <w:shd w:val="clear" w:color="auto" w:fill="auto"/>
          </w:tcPr>
          <w:p w14:paraId="1D292D01" w14:textId="77777777" w:rsidR="004E09F9" w:rsidRPr="002749BC" w:rsidRDefault="004E09F9" w:rsidP="00E56146">
            <w:pPr>
              <w:pStyle w:val="Tablebody"/>
            </w:pPr>
            <w:r w:rsidRPr="002749BC">
              <w:t>Found that most people prefer to sort waste themselves if given the choice, and thus demonstrate their pro-environment preferences.</w:t>
            </w:r>
          </w:p>
        </w:tc>
      </w:tr>
    </w:tbl>
    <w:p w14:paraId="154FD07C" w14:textId="77777777" w:rsidR="005D3E59" w:rsidRPr="005D3E59" w:rsidRDefault="005D3E59" w:rsidP="005D3E59">
      <w:pPr>
        <w:pStyle w:val="BodyText"/>
      </w:pPr>
    </w:p>
    <w:p w14:paraId="1028624A" w14:textId="77777777" w:rsidR="005D3E59" w:rsidRDefault="005D3E59">
      <w:pPr>
        <w:spacing w:before="0" w:line="240" w:lineRule="auto"/>
        <w:jc w:val="left"/>
        <w:rPr>
          <w:rFonts w:ascii="Arial Bold" w:hAnsi="Arial Bold"/>
          <w:b/>
          <w:bCs/>
          <w:sz w:val="18"/>
          <w:szCs w:val="20"/>
          <w:lang w:eastAsia="en-AU"/>
        </w:rPr>
      </w:pPr>
      <w:r>
        <w:br w:type="page"/>
      </w:r>
    </w:p>
    <w:p w14:paraId="6343BF91" w14:textId="0E135F93" w:rsidR="004E09F9" w:rsidRPr="002749BC" w:rsidRDefault="004E09F9" w:rsidP="004E09F9">
      <w:pPr>
        <w:pStyle w:val="Caption"/>
        <w:rPr>
          <w:b w:val="0"/>
        </w:rPr>
      </w:pPr>
      <w:bookmarkStart w:id="22" w:name="_Ref10123743"/>
      <w:bookmarkStart w:id="23" w:name="_Toc12387786"/>
      <w:r w:rsidRPr="002749BC">
        <w:lastRenderedPageBreak/>
        <w:t xml:space="preserve">Table </w:t>
      </w:r>
      <w:r w:rsidRPr="002749BC">
        <w:rPr>
          <w:noProof/>
        </w:rPr>
        <w:fldChar w:fldCharType="begin"/>
      </w:r>
      <w:r w:rsidRPr="002749BC">
        <w:rPr>
          <w:noProof/>
        </w:rPr>
        <w:instrText xml:space="preserve"> SEQ Table \* ARABIC </w:instrText>
      </w:r>
      <w:r w:rsidRPr="002749BC">
        <w:rPr>
          <w:noProof/>
        </w:rPr>
        <w:fldChar w:fldCharType="separate"/>
      </w:r>
      <w:r w:rsidR="00176422">
        <w:rPr>
          <w:noProof/>
        </w:rPr>
        <w:t>5</w:t>
      </w:r>
      <w:r w:rsidRPr="002749BC">
        <w:rPr>
          <w:noProof/>
        </w:rPr>
        <w:fldChar w:fldCharType="end"/>
      </w:r>
      <w:bookmarkEnd w:id="22"/>
      <w:r w:rsidRPr="002749BC">
        <w:t xml:space="preserve"> </w:t>
      </w:r>
      <w:r w:rsidRPr="002749BC">
        <w:tab/>
        <w:t>Non-market valuation studies concerning the valuation of customer times</w:t>
      </w:r>
      <w:r>
        <w:t xml:space="preserve"> in other contexts</w:t>
      </w:r>
      <w:bookmarkEnd w:id="23"/>
    </w:p>
    <w:tbl>
      <w:tblPr>
        <w:tblW w:w="5250" w:type="pct"/>
        <w:tblInd w:w="85" w:type="dxa"/>
        <w:tblLayout w:type="fixed"/>
        <w:tblCellMar>
          <w:left w:w="56" w:type="dxa"/>
          <w:right w:w="56" w:type="dxa"/>
        </w:tblCellMar>
        <w:tblLook w:val="0000" w:firstRow="0" w:lastRow="0" w:firstColumn="0" w:lastColumn="0" w:noHBand="0" w:noVBand="0"/>
        <w:tblCaption w:val="Non-market valuation studies concerning the valuation of customer times in other contexts"/>
        <w:tblDescription w:val="A selection of summaries of non-market valuation studies from a selection of sectors, including retail, telecommunications and water."/>
      </w:tblPr>
      <w:tblGrid>
        <w:gridCol w:w="2282"/>
        <w:gridCol w:w="1109"/>
        <w:gridCol w:w="4594"/>
        <w:gridCol w:w="3807"/>
        <w:gridCol w:w="3953"/>
      </w:tblGrid>
      <w:tr w:rsidR="004E09F9" w:rsidRPr="002749BC" w14:paraId="5A62066D" w14:textId="77777777" w:rsidTr="008D07B3">
        <w:trPr>
          <w:tblHeader/>
        </w:trPr>
        <w:tc>
          <w:tcPr>
            <w:tcW w:w="2042" w:type="dxa"/>
            <w:tcBorders>
              <w:top w:val="single" w:sz="4" w:space="0" w:color="000000"/>
              <w:bottom w:val="single" w:sz="4" w:space="0" w:color="000000"/>
            </w:tcBorders>
            <w:shd w:val="clear" w:color="auto" w:fill="auto"/>
          </w:tcPr>
          <w:p w14:paraId="3919102B" w14:textId="77777777" w:rsidR="004E09F9" w:rsidRPr="002749BC" w:rsidRDefault="004E09F9" w:rsidP="00E56146">
            <w:pPr>
              <w:pStyle w:val="Tablecolumnheadings"/>
            </w:pPr>
            <w:r w:rsidRPr="002749BC">
              <w:t>Study (Year)</w:t>
            </w:r>
          </w:p>
        </w:tc>
        <w:tc>
          <w:tcPr>
            <w:tcW w:w="992" w:type="dxa"/>
            <w:tcBorders>
              <w:top w:val="single" w:sz="4" w:space="0" w:color="000000"/>
              <w:bottom w:val="single" w:sz="4" w:space="0" w:color="000000"/>
            </w:tcBorders>
            <w:shd w:val="clear" w:color="auto" w:fill="auto"/>
          </w:tcPr>
          <w:p w14:paraId="118E0A14" w14:textId="77777777" w:rsidR="004E09F9" w:rsidRPr="002749BC" w:rsidRDefault="004E09F9" w:rsidP="00E56146">
            <w:pPr>
              <w:pStyle w:val="Tablecolumnheadings"/>
            </w:pPr>
            <w:r w:rsidRPr="002749BC">
              <w:t>Sector / Jurisdiction</w:t>
            </w:r>
          </w:p>
        </w:tc>
        <w:tc>
          <w:tcPr>
            <w:tcW w:w="4111" w:type="dxa"/>
            <w:tcBorders>
              <w:top w:val="single" w:sz="4" w:space="0" w:color="000000"/>
              <w:bottom w:val="single" w:sz="4" w:space="0" w:color="000000"/>
            </w:tcBorders>
            <w:shd w:val="clear" w:color="auto" w:fill="auto"/>
          </w:tcPr>
          <w:p w14:paraId="11256D8C" w14:textId="77777777" w:rsidR="004E09F9" w:rsidRPr="002749BC" w:rsidRDefault="004E09F9" w:rsidP="00E56146">
            <w:pPr>
              <w:pStyle w:val="Tablecolumnheadings"/>
            </w:pPr>
            <w:r w:rsidRPr="002749BC">
              <w:t>Study goal and studied attributes</w:t>
            </w:r>
          </w:p>
        </w:tc>
        <w:tc>
          <w:tcPr>
            <w:tcW w:w="3407" w:type="dxa"/>
            <w:tcBorders>
              <w:top w:val="single" w:sz="4" w:space="0" w:color="000000"/>
              <w:bottom w:val="single" w:sz="4" w:space="0" w:color="000000"/>
            </w:tcBorders>
            <w:shd w:val="clear" w:color="auto" w:fill="auto"/>
          </w:tcPr>
          <w:p w14:paraId="63E843E3" w14:textId="77777777" w:rsidR="004E09F9" w:rsidRPr="002749BC" w:rsidRDefault="004E09F9" w:rsidP="00E56146">
            <w:pPr>
              <w:pStyle w:val="Tablecolumnheadings"/>
            </w:pPr>
            <w:r w:rsidRPr="002749BC">
              <w:t>Valuation method(s)</w:t>
            </w:r>
          </w:p>
        </w:tc>
        <w:tc>
          <w:tcPr>
            <w:tcW w:w="3537" w:type="dxa"/>
            <w:tcBorders>
              <w:top w:val="single" w:sz="4" w:space="0" w:color="000000"/>
              <w:bottom w:val="single" w:sz="4" w:space="0" w:color="000000"/>
            </w:tcBorders>
            <w:shd w:val="clear" w:color="auto" w:fill="auto"/>
          </w:tcPr>
          <w:p w14:paraId="608145DD" w14:textId="77777777" w:rsidR="004E09F9" w:rsidRPr="002749BC" w:rsidRDefault="004E09F9" w:rsidP="00E56146">
            <w:pPr>
              <w:pStyle w:val="Tablecolumnheadings"/>
            </w:pPr>
            <w:r w:rsidRPr="002749BC">
              <w:t>Valuations</w:t>
            </w:r>
            <w:r>
              <w:t xml:space="preserve"> and other implications</w:t>
            </w:r>
          </w:p>
        </w:tc>
      </w:tr>
      <w:tr w:rsidR="004E09F9" w:rsidRPr="002749BC" w14:paraId="37D85304" w14:textId="77777777" w:rsidTr="008D07B3">
        <w:tc>
          <w:tcPr>
            <w:tcW w:w="2042" w:type="dxa"/>
            <w:tcBorders>
              <w:top w:val="single" w:sz="4" w:space="0" w:color="000000"/>
              <w:bottom w:val="single" w:sz="4" w:space="0" w:color="D9D9D9" w:themeColor="background1" w:themeShade="D9"/>
            </w:tcBorders>
            <w:shd w:val="clear" w:color="auto" w:fill="auto"/>
          </w:tcPr>
          <w:p w14:paraId="7D9D66F3" w14:textId="77777777" w:rsidR="004E09F9" w:rsidRPr="002749BC" w:rsidRDefault="004E09F9" w:rsidP="00E56146">
            <w:pPr>
              <w:pStyle w:val="Tableunitsrow"/>
            </w:pPr>
            <w:r>
              <w:t>Regulatory Burden Measurement Framework</w:t>
            </w:r>
            <w:r w:rsidRPr="007E11CF">
              <w:rPr>
                <w:vertAlign w:val="superscript"/>
              </w:rPr>
              <w:footnoteReference w:id="37"/>
            </w:r>
            <w:r>
              <w:t xml:space="preserve"> (2016)</w:t>
            </w:r>
          </w:p>
        </w:tc>
        <w:tc>
          <w:tcPr>
            <w:tcW w:w="992" w:type="dxa"/>
            <w:tcBorders>
              <w:top w:val="single" w:sz="4" w:space="0" w:color="000000"/>
              <w:bottom w:val="single" w:sz="4" w:space="0" w:color="D9D9D9" w:themeColor="background1" w:themeShade="D9"/>
            </w:tcBorders>
            <w:shd w:val="clear" w:color="auto" w:fill="auto"/>
          </w:tcPr>
          <w:p w14:paraId="1A8372F0" w14:textId="77777777" w:rsidR="004E09F9" w:rsidRPr="002749BC" w:rsidRDefault="004E09F9" w:rsidP="00E56146">
            <w:pPr>
              <w:pStyle w:val="Tableunitsrow"/>
            </w:pPr>
            <w:r>
              <w:t>Regulation (multiple sectors) / Australia</w:t>
            </w:r>
          </w:p>
        </w:tc>
        <w:tc>
          <w:tcPr>
            <w:tcW w:w="4111" w:type="dxa"/>
            <w:tcBorders>
              <w:top w:val="single" w:sz="4" w:space="0" w:color="000000"/>
              <w:bottom w:val="single" w:sz="4" w:space="0" w:color="D9D9D9" w:themeColor="background1" w:themeShade="D9"/>
            </w:tcBorders>
            <w:shd w:val="clear" w:color="auto" w:fill="auto"/>
          </w:tcPr>
          <w:p w14:paraId="3FDD2200" w14:textId="77777777" w:rsidR="004E09F9" w:rsidRPr="002749BC" w:rsidRDefault="004E09F9" w:rsidP="00E56146">
            <w:pPr>
              <w:pStyle w:val="Tableunitsrow"/>
              <w:rPr>
                <w:i/>
              </w:rPr>
            </w:pPr>
            <w:r>
              <w:t>The Framework states that the cost burden of new regulation must be calculated in order to fully offset that cost by reductions in existing regulatory burden. To estimate changes in regulatory burden, the Framework considers nature of costs, costing activities including labour cost and cost offsets.</w:t>
            </w:r>
          </w:p>
        </w:tc>
        <w:tc>
          <w:tcPr>
            <w:tcW w:w="3407" w:type="dxa"/>
            <w:tcBorders>
              <w:top w:val="single" w:sz="4" w:space="0" w:color="000000"/>
              <w:bottom w:val="single" w:sz="4" w:space="0" w:color="D9D9D9" w:themeColor="background1" w:themeShade="D9"/>
            </w:tcBorders>
            <w:shd w:val="clear" w:color="auto" w:fill="auto"/>
          </w:tcPr>
          <w:p w14:paraId="216E3869" w14:textId="77777777" w:rsidR="004E09F9" w:rsidRPr="007E11CF" w:rsidRDefault="004E09F9" w:rsidP="00E56146">
            <w:pPr>
              <w:pStyle w:val="Tablebody"/>
            </w:pPr>
            <w:r w:rsidRPr="007E11CF">
              <w:t>Work related costs</w:t>
            </w:r>
          </w:p>
          <w:p w14:paraId="1C76E8E4" w14:textId="77777777" w:rsidR="004E09F9" w:rsidRDefault="004E09F9" w:rsidP="00E56146">
            <w:pPr>
              <w:pStyle w:val="Tablebody"/>
            </w:pPr>
            <w:r>
              <w:t>Default labour rate for cost of leisure time, based on average weekly earnings but adjusted to include income tax</w:t>
            </w:r>
          </w:p>
          <w:p w14:paraId="18D13704" w14:textId="77777777" w:rsidR="004E09F9" w:rsidRDefault="004E09F9" w:rsidP="00E56146">
            <w:pPr>
              <w:pStyle w:val="Tablebody"/>
            </w:pPr>
            <w:r>
              <w:t>Plus, scaled up 75% to account for non-wage labour on-costs (payroll tax and superannuation) and overhead costs (rent, telephone, electricity, etc.)</w:t>
            </w:r>
          </w:p>
          <w:p w14:paraId="2D38532B" w14:textId="77777777" w:rsidR="004E09F9" w:rsidRDefault="004E09F9" w:rsidP="00E56146">
            <w:pPr>
              <w:pStyle w:val="Tablebody"/>
            </w:pPr>
          </w:p>
          <w:p w14:paraId="64DB73BB" w14:textId="77777777" w:rsidR="004E09F9" w:rsidRPr="007E11CF" w:rsidRDefault="004E09F9" w:rsidP="00E56146">
            <w:pPr>
              <w:pStyle w:val="Tablebody"/>
            </w:pPr>
            <w:r w:rsidRPr="007E11CF">
              <w:t>Non-work</w:t>
            </w:r>
            <w:r>
              <w:t>-</w:t>
            </w:r>
            <w:r w:rsidRPr="007E11CF">
              <w:t>related costs</w:t>
            </w:r>
          </w:p>
          <w:p w14:paraId="51F3C857" w14:textId="77777777" w:rsidR="004E09F9" w:rsidRPr="002749BC" w:rsidRDefault="004E09F9" w:rsidP="00E56146">
            <w:pPr>
              <w:pStyle w:val="Tablebody"/>
            </w:pPr>
            <w:r w:rsidRPr="003C1205">
              <w:t>The marginal value of tim</w:t>
            </w:r>
            <w:r w:rsidRPr="007E11CF">
              <w:t xml:space="preserve">e spent working </w:t>
            </w:r>
            <w:r w:rsidRPr="00470516">
              <w:t>equals the</w:t>
            </w:r>
            <w:r w:rsidRPr="002B76AC">
              <w:t xml:space="preserve"> </w:t>
            </w:r>
            <w:r w:rsidRPr="006461E9">
              <w:t>marginal value</w:t>
            </w:r>
            <w:r w:rsidRPr="008B0E92">
              <w:t xml:space="preserve"> of tim</w:t>
            </w:r>
            <w:r w:rsidRPr="00F8554A">
              <w:t>e</w:t>
            </w:r>
            <w:r w:rsidRPr="00B57065">
              <w:t xml:space="preserve"> spent at leisure</w:t>
            </w:r>
          </w:p>
        </w:tc>
        <w:tc>
          <w:tcPr>
            <w:tcW w:w="3537" w:type="dxa"/>
            <w:tcBorders>
              <w:top w:val="single" w:sz="4" w:space="0" w:color="000000"/>
              <w:bottom w:val="single" w:sz="4" w:space="0" w:color="D9D9D9" w:themeColor="background1" w:themeShade="D9"/>
            </w:tcBorders>
            <w:shd w:val="clear" w:color="auto" w:fill="auto"/>
          </w:tcPr>
          <w:p w14:paraId="105991AB" w14:textId="77777777" w:rsidR="004E09F9" w:rsidRPr="007E11CF" w:rsidRDefault="004E09F9" w:rsidP="00E56146">
            <w:pPr>
              <w:pStyle w:val="Tablebody"/>
            </w:pPr>
            <w:r w:rsidRPr="007E11CF">
              <w:t>Work</w:t>
            </w:r>
            <w:r>
              <w:t>-</w:t>
            </w:r>
            <w:r w:rsidRPr="007E11CF">
              <w:t>related costs</w:t>
            </w:r>
          </w:p>
          <w:p w14:paraId="5735FB5A" w14:textId="77777777" w:rsidR="004E09F9" w:rsidRDefault="004E09F9" w:rsidP="00E56146">
            <w:pPr>
              <w:pStyle w:val="Tablebody"/>
            </w:pPr>
            <w:r>
              <w:t>$41.74 per hour (not scaled)</w:t>
            </w:r>
          </w:p>
          <w:p w14:paraId="4CF8884E" w14:textId="77777777" w:rsidR="004E09F9" w:rsidRDefault="004E09F9" w:rsidP="00E56146">
            <w:pPr>
              <w:pStyle w:val="Tablebody"/>
            </w:pPr>
            <w:r>
              <w:t>$73.05 (+75%) per hour</w:t>
            </w:r>
          </w:p>
          <w:p w14:paraId="759205A7" w14:textId="77777777" w:rsidR="004E09F9" w:rsidRDefault="004E09F9" w:rsidP="00E56146">
            <w:pPr>
              <w:pStyle w:val="Tablebody"/>
            </w:pPr>
          </w:p>
          <w:p w14:paraId="7DEFD864" w14:textId="77777777" w:rsidR="004E09F9" w:rsidRPr="007E11CF" w:rsidRDefault="004E09F9" w:rsidP="00E56146">
            <w:pPr>
              <w:pStyle w:val="Tablebody"/>
            </w:pPr>
            <w:r w:rsidRPr="007E11CF">
              <w:t>Non-work</w:t>
            </w:r>
            <w:r>
              <w:t>-</w:t>
            </w:r>
            <w:r w:rsidRPr="007E11CF">
              <w:t>related costs</w:t>
            </w:r>
          </w:p>
          <w:p w14:paraId="754D76ED" w14:textId="77777777" w:rsidR="004E09F9" w:rsidRPr="002749BC" w:rsidRDefault="004E09F9" w:rsidP="00E56146">
            <w:pPr>
              <w:pStyle w:val="Tablebody"/>
              <w:rPr>
                <w:i/>
              </w:rPr>
            </w:pPr>
            <w:r w:rsidRPr="007E11CF">
              <w:rPr>
                <w:rFonts w:cs="Arial"/>
              </w:rPr>
              <w:t>$32 per hour (based on average</w:t>
            </w:r>
            <w:r w:rsidRPr="00470516">
              <w:rPr>
                <w:rFonts w:cs="Arial"/>
              </w:rPr>
              <w:t xml:space="preserve"> </w:t>
            </w:r>
            <w:r w:rsidRPr="006461E9">
              <w:rPr>
                <w:rFonts w:cs="Arial"/>
              </w:rPr>
              <w:t>weekly earnin</w:t>
            </w:r>
            <w:r w:rsidRPr="008B0E92">
              <w:rPr>
                <w:rFonts w:cs="Arial"/>
              </w:rPr>
              <w:t>gs, inc</w:t>
            </w:r>
            <w:r w:rsidRPr="00F8554A">
              <w:rPr>
                <w:rFonts w:cs="Arial"/>
              </w:rPr>
              <w:t>l</w:t>
            </w:r>
            <w:r w:rsidRPr="00EF6ED4">
              <w:rPr>
                <w:rFonts w:cs="Arial"/>
              </w:rPr>
              <w:t>uding overtime and after tax)</w:t>
            </w:r>
          </w:p>
        </w:tc>
      </w:tr>
      <w:tr w:rsidR="004E09F9" w:rsidRPr="002749BC" w14:paraId="518DA7A1" w14:textId="77777777" w:rsidTr="008D07B3">
        <w:tc>
          <w:tcPr>
            <w:tcW w:w="2042" w:type="dxa"/>
            <w:tcBorders>
              <w:top w:val="single" w:sz="4" w:space="0" w:color="D9D9D9" w:themeColor="background1" w:themeShade="D9"/>
              <w:bottom w:val="single" w:sz="4" w:space="0" w:color="D9D9D9" w:themeColor="background1" w:themeShade="D9"/>
            </w:tcBorders>
            <w:shd w:val="clear" w:color="auto" w:fill="auto"/>
          </w:tcPr>
          <w:p w14:paraId="00F5901B" w14:textId="77777777" w:rsidR="004E09F9" w:rsidRPr="002749BC" w:rsidRDefault="004E09F9" w:rsidP="00E56146">
            <w:pPr>
              <w:pStyle w:val="Tableunitsrow"/>
            </w:pPr>
            <w:r w:rsidRPr="002749BC">
              <w:t>Rationing by waiting and the value of time: results from a natural experiment</w:t>
            </w:r>
            <w:r w:rsidRPr="00BC60E0">
              <w:rPr>
                <w:rStyle w:val="FootnoteReference"/>
                <w:vertAlign w:val="baseline"/>
              </w:rPr>
              <w:footnoteReference w:id="38"/>
            </w:r>
          </w:p>
        </w:tc>
        <w:tc>
          <w:tcPr>
            <w:tcW w:w="992" w:type="dxa"/>
            <w:tcBorders>
              <w:top w:val="single" w:sz="4" w:space="0" w:color="D9D9D9" w:themeColor="background1" w:themeShade="D9"/>
              <w:bottom w:val="single" w:sz="4" w:space="0" w:color="D9D9D9" w:themeColor="background1" w:themeShade="D9"/>
            </w:tcBorders>
            <w:shd w:val="clear" w:color="auto" w:fill="auto"/>
          </w:tcPr>
          <w:p w14:paraId="67A61281" w14:textId="77777777" w:rsidR="004E09F9" w:rsidRPr="002749BC" w:rsidRDefault="004E09F9" w:rsidP="00E56146">
            <w:pPr>
              <w:pStyle w:val="Tableunitsrow"/>
            </w:pPr>
            <w:r>
              <w:t>Retail</w:t>
            </w:r>
            <w:r w:rsidRPr="002749BC">
              <w:t xml:space="preserve"> / California, USA</w:t>
            </w:r>
          </w:p>
        </w:tc>
        <w:tc>
          <w:tcPr>
            <w:tcW w:w="4111" w:type="dxa"/>
            <w:tcBorders>
              <w:top w:val="single" w:sz="4" w:space="0" w:color="D9D9D9" w:themeColor="background1" w:themeShade="D9"/>
              <w:bottom w:val="single" w:sz="4" w:space="0" w:color="D9D9D9" w:themeColor="background1" w:themeShade="D9"/>
            </w:tcBorders>
            <w:shd w:val="clear" w:color="auto" w:fill="auto"/>
          </w:tcPr>
          <w:p w14:paraId="6920CFA1" w14:textId="77777777" w:rsidR="004E09F9" w:rsidRPr="002749BC" w:rsidRDefault="004E09F9" w:rsidP="00E56146">
            <w:pPr>
              <w:pStyle w:val="Tableunitsrow"/>
            </w:pPr>
            <w:r w:rsidRPr="002749BC">
              <w:t>An American study investigated consumers’ willingness to pay for a shorter waiting time when purchasing petrol by using a contingent valuation questionnaire.</w:t>
            </w:r>
          </w:p>
          <w:p w14:paraId="2ACA46F4" w14:textId="77777777" w:rsidR="004E09F9" w:rsidRPr="002749BC" w:rsidRDefault="004E09F9" w:rsidP="00E56146">
            <w:pPr>
              <w:pStyle w:val="Tableunitsrow"/>
            </w:pPr>
            <w:r w:rsidRPr="002749BC">
              <w:t>Studied attributes: station chosen, capacity of gas tank, gallons purchased, employment status and income level</w:t>
            </w:r>
          </w:p>
        </w:tc>
        <w:tc>
          <w:tcPr>
            <w:tcW w:w="3407" w:type="dxa"/>
            <w:tcBorders>
              <w:top w:val="single" w:sz="4" w:space="0" w:color="D9D9D9" w:themeColor="background1" w:themeShade="D9"/>
              <w:bottom w:val="single" w:sz="4" w:space="0" w:color="D9D9D9" w:themeColor="background1" w:themeShade="D9"/>
            </w:tcBorders>
            <w:shd w:val="clear" w:color="auto" w:fill="auto"/>
          </w:tcPr>
          <w:p w14:paraId="2D10D4F6" w14:textId="77777777" w:rsidR="004E09F9" w:rsidRPr="00BC60E0" w:rsidRDefault="004E09F9" w:rsidP="00E56146">
            <w:pPr>
              <w:pStyle w:val="Tablebody"/>
            </w:pPr>
            <w:r w:rsidRPr="00BC60E0">
              <w:t>Contingent valuation questionnaire</w:t>
            </w:r>
          </w:p>
        </w:tc>
        <w:tc>
          <w:tcPr>
            <w:tcW w:w="3537" w:type="dxa"/>
            <w:tcBorders>
              <w:top w:val="single" w:sz="4" w:space="0" w:color="D9D9D9" w:themeColor="background1" w:themeShade="D9"/>
              <w:bottom w:val="single" w:sz="4" w:space="0" w:color="D9D9D9" w:themeColor="background1" w:themeShade="D9"/>
            </w:tcBorders>
            <w:shd w:val="clear" w:color="auto" w:fill="auto"/>
          </w:tcPr>
          <w:p w14:paraId="79C69E6E" w14:textId="77777777" w:rsidR="004E09F9" w:rsidRPr="00BC60E0" w:rsidRDefault="004E09F9" w:rsidP="00E56146">
            <w:pPr>
              <w:pStyle w:val="Tablebody"/>
            </w:pPr>
            <w:r w:rsidRPr="00BC60E0">
              <w:t>Estimates of the value of time USD per hour (1980)</w:t>
            </w:r>
          </w:p>
          <w:p w14:paraId="53B8E396" w14:textId="77777777" w:rsidR="004E09F9" w:rsidRPr="00BC60E0" w:rsidRDefault="004E09F9" w:rsidP="00E56146">
            <w:pPr>
              <w:pStyle w:val="Tablebody"/>
            </w:pPr>
            <w:r w:rsidRPr="00BC60E0">
              <w:t>$3.52 - $5.39 (Part-time workers)</w:t>
            </w:r>
          </w:p>
          <w:p w14:paraId="76FFD49F" w14:textId="77777777" w:rsidR="004E09F9" w:rsidRPr="00BC60E0" w:rsidRDefault="004E09F9" w:rsidP="00E56146">
            <w:pPr>
              <w:pStyle w:val="Tablebody"/>
            </w:pPr>
            <w:r w:rsidRPr="00BC60E0">
              <w:t>$7.15 - $10.96 (Students)</w:t>
            </w:r>
          </w:p>
          <w:p w14:paraId="4F8CBD84" w14:textId="77777777" w:rsidR="004E09F9" w:rsidRPr="00BC60E0" w:rsidRDefault="004E09F9" w:rsidP="00E56146">
            <w:pPr>
              <w:pStyle w:val="Tablebody"/>
            </w:pPr>
            <w:r w:rsidRPr="00BC60E0">
              <w:t>$6.32 - $9.70 (Housewives)</w:t>
            </w:r>
          </w:p>
          <w:p w14:paraId="654F3E34" w14:textId="77777777" w:rsidR="004E09F9" w:rsidRPr="00BC60E0" w:rsidRDefault="004E09F9" w:rsidP="00E56146">
            <w:pPr>
              <w:pStyle w:val="Tablebody"/>
            </w:pPr>
            <w:r w:rsidRPr="00BC60E0">
              <w:t>$5.12 - $9.67 (Unemployed)</w:t>
            </w:r>
          </w:p>
          <w:p w14:paraId="2C123525" w14:textId="77777777" w:rsidR="004E09F9" w:rsidRPr="00BC60E0" w:rsidRDefault="004E09F9" w:rsidP="00E56146">
            <w:pPr>
              <w:pStyle w:val="Tablebody"/>
            </w:pPr>
            <w:r w:rsidRPr="00BC60E0">
              <w:t>$6.51 - $17.26 (Fully employed, depending on income level)</w:t>
            </w:r>
          </w:p>
        </w:tc>
      </w:tr>
      <w:tr w:rsidR="004E09F9" w:rsidRPr="002749BC" w14:paraId="33F931EE" w14:textId="77777777" w:rsidTr="008D07B3">
        <w:tc>
          <w:tcPr>
            <w:tcW w:w="2042" w:type="dxa"/>
            <w:tcBorders>
              <w:top w:val="single" w:sz="4" w:space="0" w:color="D9D9D9" w:themeColor="background1" w:themeShade="D9"/>
              <w:bottom w:val="single" w:sz="4" w:space="0" w:color="D9D9D9" w:themeColor="background1" w:themeShade="D9"/>
            </w:tcBorders>
            <w:shd w:val="clear" w:color="auto" w:fill="auto"/>
          </w:tcPr>
          <w:p w14:paraId="4264A780" w14:textId="77777777" w:rsidR="004E09F9" w:rsidRPr="002749BC" w:rsidRDefault="004E09F9" w:rsidP="00E56146">
            <w:pPr>
              <w:pStyle w:val="Tablebody"/>
            </w:pPr>
            <w:r>
              <w:t>Reconnecting the Customer – Estimation of benefits</w:t>
            </w:r>
            <w:r>
              <w:rPr>
                <w:rStyle w:val="FootnoteReference"/>
              </w:rPr>
              <w:footnoteReference w:id="39"/>
            </w:r>
            <w:r>
              <w:t>(2015)</w:t>
            </w:r>
          </w:p>
        </w:tc>
        <w:tc>
          <w:tcPr>
            <w:tcW w:w="992" w:type="dxa"/>
            <w:tcBorders>
              <w:top w:val="single" w:sz="4" w:space="0" w:color="D9D9D9" w:themeColor="background1" w:themeShade="D9"/>
              <w:bottom w:val="single" w:sz="4" w:space="0" w:color="D9D9D9" w:themeColor="background1" w:themeShade="D9"/>
            </w:tcBorders>
            <w:shd w:val="clear" w:color="auto" w:fill="auto"/>
          </w:tcPr>
          <w:p w14:paraId="2A7AB570" w14:textId="77777777" w:rsidR="004E09F9" w:rsidRPr="002749BC" w:rsidRDefault="004E09F9" w:rsidP="00E56146">
            <w:pPr>
              <w:pStyle w:val="Tablebody"/>
            </w:pPr>
            <w:r>
              <w:t>Telecommunications / Australia</w:t>
            </w:r>
          </w:p>
        </w:tc>
        <w:tc>
          <w:tcPr>
            <w:tcW w:w="4111" w:type="dxa"/>
            <w:tcBorders>
              <w:top w:val="single" w:sz="4" w:space="0" w:color="D9D9D9" w:themeColor="background1" w:themeShade="D9"/>
              <w:bottom w:val="single" w:sz="4" w:space="0" w:color="D9D9D9" w:themeColor="background1" w:themeShade="D9"/>
            </w:tcBorders>
            <w:shd w:val="clear" w:color="auto" w:fill="auto"/>
          </w:tcPr>
          <w:p w14:paraId="408F5EA8" w14:textId="607DD2BB" w:rsidR="004E09F9" w:rsidRPr="0038222A" w:rsidRDefault="004E09F9" w:rsidP="00E56146">
            <w:pPr>
              <w:pStyle w:val="Tablebody"/>
            </w:pPr>
            <w:r>
              <w:t xml:space="preserve">Examined core issues of the </w:t>
            </w:r>
            <w:r>
              <w:rPr>
                <w:i/>
              </w:rPr>
              <w:t>Reconnecting the Customer (RTC)</w:t>
            </w:r>
            <w:r>
              <w:t xml:space="preserve"> inquiry that led to the revision of the Telecommunications Consumer Protection Code. The report looked at the systematic problems in the tel</w:t>
            </w:r>
            <w:r w:rsidR="00303FCE">
              <w:t>e</w:t>
            </w:r>
            <w:r>
              <w:t xml:space="preserve">com sector in dealing with customers and the potential causes, solutions and strategy for addressing customer care issues. </w:t>
            </w:r>
          </w:p>
        </w:tc>
        <w:tc>
          <w:tcPr>
            <w:tcW w:w="3407" w:type="dxa"/>
            <w:tcBorders>
              <w:top w:val="single" w:sz="4" w:space="0" w:color="D9D9D9" w:themeColor="background1" w:themeShade="D9"/>
              <w:bottom w:val="single" w:sz="4" w:space="0" w:color="D9D9D9" w:themeColor="background1" w:themeShade="D9"/>
            </w:tcBorders>
            <w:shd w:val="clear" w:color="auto" w:fill="auto"/>
          </w:tcPr>
          <w:p w14:paraId="572F2C1F" w14:textId="77777777" w:rsidR="004E09F9" w:rsidRPr="002749BC" w:rsidRDefault="004E09F9" w:rsidP="00E56146">
            <w:pPr>
              <w:pStyle w:val="Tablebody"/>
            </w:pPr>
            <w:r>
              <w:t>Adopted the Office of Best Practice Regulation’s (OBPR) value of leisure time, assuming that customers complain in their spare time</w:t>
            </w:r>
          </w:p>
        </w:tc>
        <w:tc>
          <w:tcPr>
            <w:tcW w:w="3537" w:type="dxa"/>
            <w:tcBorders>
              <w:top w:val="single" w:sz="4" w:space="0" w:color="D9D9D9" w:themeColor="background1" w:themeShade="D9"/>
              <w:bottom w:val="single" w:sz="4" w:space="0" w:color="D9D9D9" w:themeColor="background1" w:themeShade="D9"/>
            </w:tcBorders>
            <w:shd w:val="clear" w:color="auto" w:fill="auto"/>
          </w:tcPr>
          <w:p w14:paraId="47BC79FA" w14:textId="77777777" w:rsidR="004E09F9" w:rsidRDefault="004E09F9" w:rsidP="00E56146">
            <w:pPr>
              <w:pStyle w:val="Tablebody"/>
            </w:pPr>
            <w:r>
              <w:t>$29 per hour</w:t>
            </w:r>
          </w:p>
          <w:p w14:paraId="24A0480F" w14:textId="77777777" w:rsidR="004E09F9" w:rsidRPr="002749BC" w:rsidRDefault="004E09F9" w:rsidP="00E56146">
            <w:pPr>
              <w:pStyle w:val="Tablebody"/>
            </w:pPr>
            <w:r>
              <w:t>(Note: this value has since been updated to $2019 by the OBPR in its latest Framework discussed above)</w:t>
            </w:r>
          </w:p>
        </w:tc>
      </w:tr>
      <w:tr w:rsidR="004E09F9" w:rsidRPr="002749BC" w14:paraId="13393F69" w14:textId="77777777" w:rsidTr="008D07B3">
        <w:tc>
          <w:tcPr>
            <w:tcW w:w="2042" w:type="dxa"/>
            <w:tcBorders>
              <w:top w:val="single" w:sz="4" w:space="0" w:color="D9D9D9" w:themeColor="background1" w:themeShade="D9"/>
              <w:bottom w:val="single" w:sz="4" w:space="0" w:color="000000"/>
            </w:tcBorders>
            <w:shd w:val="clear" w:color="auto" w:fill="auto"/>
          </w:tcPr>
          <w:p w14:paraId="79FD4010" w14:textId="77777777" w:rsidR="004E09F9" w:rsidRPr="002749BC" w:rsidRDefault="004E09F9" w:rsidP="00E56146">
            <w:pPr>
              <w:pStyle w:val="Tablebody"/>
            </w:pPr>
            <w:r w:rsidRPr="002749BC">
              <w:t>The welfare costs of urban outdoor water restrictions</w:t>
            </w:r>
            <w:r w:rsidRPr="003D5BBE">
              <w:rPr>
                <w:rStyle w:val="FootnoteReference"/>
              </w:rPr>
              <w:footnoteReference w:id="40"/>
            </w:r>
            <w:r w:rsidRPr="002749BC">
              <w:t xml:space="preserve"> (2007)</w:t>
            </w:r>
          </w:p>
        </w:tc>
        <w:tc>
          <w:tcPr>
            <w:tcW w:w="992" w:type="dxa"/>
            <w:tcBorders>
              <w:top w:val="single" w:sz="4" w:space="0" w:color="D9D9D9" w:themeColor="background1" w:themeShade="D9"/>
              <w:bottom w:val="single" w:sz="4" w:space="0" w:color="000000"/>
            </w:tcBorders>
            <w:shd w:val="clear" w:color="auto" w:fill="auto"/>
          </w:tcPr>
          <w:p w14:paraId="038FA665" w14:textId="77777777" w:rsidR="004E09F9" w:rsidRPr="002749BC" w:rsidRDefault="004E09F9" w:rsidP="00E56146">
            <w:pPr>
              <w:pStyle w:val="Tablebody"/>
            </w:pPr>
            <w:r w:rsidRPr="002749BC">
              <w:t>Water / Australia</w:t>
            </w:r>
          </w:p>
        </w:tc>
        <w:tc>
          <w:tcPr>
            <w:tcW w:w="4111" w:type="dxa"/>
            <w:tcBorders>
              <w:top w:val="single" w:sz="4" w:space="0" w:color="D9D9D9" w:themeColor="background1" w:themeShade="D9"/>
              <w:bottom w:val="single" w:sz="4" w:space="0" w:color="000000"/>
            </w:tcBorders>
            <w:shd w:val="clear" w:color="auto" w:fill="auto"/>
          </w:tcPr>
          <w:p w14:paraId="38EF187B" w14:textId="77777777" w:rsidR="004E09F9" w:rsidRPr="002749BC" w:rsidRDefault="004E09F9" w:rsidP="00E56146">
            <w:pPr>
              <w:pStyle w:val="Tablebody"/>
            </w:pPr>
            <w:r w:rsidRPr="002749BC">
              <w:t>To analyse the efficacy of watering technology restrictions as a drought management strategy</w:t>
            </w:r>
          </w:p>
          <w:p w14:paraId="478AEB78" w14:textId="2EDFF319" w:rsidR="004E09F9" w:rsidRPr="002749BC" w:rsidRDefault="004E09F9" w:rsidP="00E56146">
            <w:pPr>
              <w:pStyle w:val="Tablebody"/>
            </w:pPr>
            <w:r w:rsidRPr="002749BC">
              <w:t>Studied attributes: utility (whether household saw ha</w:t>
            </w:r>
            <w:r w:rsidR="00303FCE">
              <w:t>n</w:t>
            </w:r>
            <w:r w:rsidRPr="002749BC">
              <w:t xml:space="preserve">d-held watering as leisure or task); level of preference for a green lawn; and cost of convenience </w:t>
            </w:r>
          </w:p>
        </w:tc>
        <w:tc>
          <w:tcPr>
            <w:tcW w:w="3407" w:type="dxa"/>
            <w:tcBorders>
              <w:top w:val="single" w:sz="4" w:space="0" w:color="D9D9D9" w:themeColor="background1" w:themeShade="D9"/>
              <w:bottom w:val="single" w:sz="4" w:space="0" w:color="000000"/>
            </w:tcBorders>
            <w:shd w:val="clear" w:color="auto" w:fill="auto"/>
          </w:tcPr>
          <w:p w14:paraId="37782AB1" w14:textId="77777777" w:rsidR="004E09F9" w:rsidRPr="002749BC" w:rsidRDefault="004E09F9" w:rsidP="00E56146">
            <w:pPr>
              <w:pStyle w:val="Tablebody"/>
            </w:pPr>
            <w:r w:rsidRPr="002749BC">
              <w:t xml:space="preserve">Household production model </w:t>
            </w:r>
          </w:p>
        </w:tc>
        <w:tc>
          <w:tcPr>
            <w:tcW w:w="3537" w:type="dxa"/>
            <w:tcBorders>
              <w:top w:val="single" w:sz="4" w:space="0" w:color="D9D9D9" w:themeColor="background1" w:themeShade="D9"/>
              <w:bottom w:val="single" w:sz="4" w:space="0" w:color="000000"/>
            </w:tcBorders>
            <w:shd w:val="clear" w:color="auto" w:fill="auto"/>
          </w:tcPr>
          <w:p w14:paraId="180AA8D0" w14:textId="77777777" w:rsidR="004E09F9" w:rsidRPr="002749BC" w:rsidRDefault="004E09F9" w:rsidP="00E56146">
            <w:pPr>
              <w:pStyle w:val="Tablebody"/>
            </w:pPr>
            <w:r w:rsidRPr="002749BC">
              <w:t>~$15/hour (2018)</w:t>
            </w:r>
          </w:p>
          <w:p w14:paraId="6BFAE53D" w14:textId="77777777" w:rsidR="004E09F9" w:rsidRPr="002749BC" w:rsidRDefault="004E09F9" w:rsidP="00E56146">
            <w:pPr>
              <w:pStyle w:val="Tablebody"/>
            </w:pPr>
            <w:r w:rsidRPr="002749BC">
              <w:t xml:space="preserve">Assumed a time cost of time cost is 50% of wage rate (tested at 33% and 100%) </w:t>
            </w:r>
          </w:p>
        </w:tc>
      </w:tr>
    </w:tbl>
    <w:p w14:paraId="2A0F69CC" w14:textId="74B992B0" w:rsidR="004E09F9" w:rsidRPr="002749BC" w:rsidRDefault="004E09F9" w:rsidP="00F70703">
      <w:pPr>
        <w:pStyle w:val="BodyText"/>
        <w:sectPr w:rsidR="004E09F9" w:rsidRPr="002749BC" w:rsidSect="007718C7">
          <w:headerReference w:type="default" r:id="rId23"/>
          <w:footerReference w:type="default" r:id="rId24"/>
          <w:pgSz w:w="16838" w:h="11906" w:orient="landscape" w:code="9"/>
          <w:pgMar w:top="709" w:right="962" w:bottom="851" w:left="993" w:header="709" w:footer="567" w:gutter="0"/>
          <w:cols w:space="708"/>
          <w:docGrid w:linePitch="360"/>
        </w:sectPr>
      </w:pPr>
    </w:p>
    <w:p w14:paraId="4363AD36" w14:textId="1EEF303B" w:rsidR="009A5492" w:rsidRPr="002749BC" w:rsidRDefault="00B006AF" w:rsidP="00B006AF">
      <w:pPr>
        <w:pStyle w:val="Heading1"/>
      </w:pPr>
      <w:bookmarkStart w:id="24" w:name="_Ref5908293"/>
      <w:bookmarkStart w:id="25" w:name="_Toc12387759"/>
      <w:r w:rsidRPr="002749BC">
        <w:lastRenderedPageBreak/>
        <w:t xml:space="preserve">Literature Review: </w:t>
      </w:r>
      <w:r w:rsidR="00333E10" w:rsidRPr="002749BC">
        <w:t>Value of reliability</w:t>
      </w:r>
      <w:bookmarkEnd w:id="24"/>
      <w:bookmarkEnd w:id="25"/>
    </w:p>
    <w:p w14:paraId="3CBF2BD6" w14:textId="30C221C3" w:rsidR="0096255F" w:rsidRPr="002749BC" w:rsidRDefault="005A1319" w:rsidP="0096255F">
      <w:pPr>
        <w:pStyle w:val="BodyText"/>
        <w:rPr>
          <w:lang w:eastAsia="en-US"/>
        </w:rPr>
      </w:pPr>
      <w:r w:rsidRPr="002749BC">
        <w:rPr>
          <w:lang w:eastAsia="en-US"/>
        </w:rPr>
        <w:t>We carried out a second</w:t>
      </w:r>
      <w:r w:rsidR="001277E5" w:rsidRPr="002749BC">
        <w:rPr>
          <w:lang w:eastAsia="en-US"/>
        </w:rPr>
        <w:t xml:space="preserve"> literature review examin</w:t>
      </w:r>
      <w:r w:rsidRPr="002749BC">
        <w:rPr>
          <w:lang w:eastAsia="en-US"/>
        </w:rPr>
        <w:t>ing</w:t>
      </w:r>
      <w:r w:rsidR="001277E5" w:rsidRPr="002749BC">
        <w:rPr>
          <w:lang w:eastAsia="en-US"/>
        </w:rPr>
        <w:t xml:space="preserve"> studies</w:t>
      </w:r>
      <w:r w:rsidR="00B25673" w:rsidRPr="002749BC">
        <w:rPr>
          <w:lang w:eastAsia="en-US"/>
        </w:rPr>
        <w:t xml:space="preserve"> </w:t>
      </w:r>
      <w:r w:rsidR="0096255F" w:rsidRPr="002749BC">
        <w:rPr>
          <w:lang w:eastAsia="en-US"/>
        </w:rPr>
        <w:t xml:space="preserve">across multiple sectors in Australia and internationally </w:t>
      </w:r>
      <w:r w:rsidRPr="002749BC">
        <w:rPr>
          <w:lang w:eastAsia="en-US"/>
        </w:rPr>
        <w:t>of</w:t>
      </w:r>
      <w:r w:rsidR="00596ECA" w:rsidRPr="002749BC">
        <w:rPr>
          <w:lang w:eastAsia="en-US"/>
        </w:rPr>
        <w:t xml:space="preserve"> the </w:t>
      </w:r>
      <w:r w:rsidR="0096255F" w:rsidRPr="002749BC">
        <w:rPr>
          <w:lang w:eastAsia="en-US"/>
        </w:rPr>
        <w:t>valu</w:t>
      </w:r>
      <w:r w:rsidR="00596ECA" w:rsidRPr="002749BC">
        <w:rPr>
          <w:lang w:eastAsia="en-US"/>
        </w:rPr>
        <w:t>e</w:t>
      </w:r>
      <w:r w:rsidR="0096255F" w:rsidRPr="002749BC">
        <w:rPr>
          <w:lang w:eastAsia="en-US"/>
        </w:rPr>
        <w:t xml:space="preserve"> </w:t>
      </w:r>
      <w:r w:rsidR="00596ECA" w:rsidRPr="002749BC">
        <w:rPr>
          <w:lang w:eastAsia="en-US"/>
        </w:rPr>
        <w:t xml:space="preserve">of reliability </w:t>
      </w:r>
      <w:r w:rsidRPr="002749BC">
        <w:rPr>
          <w:lang w:eastAsia="en-US"/>
        </w:rPr>
        <w:t>to customers in different sectors</w:t>
      </w:r>
      <w:r w:rsidR="00596ECA" w:rsidRPr="002749BC">
        <w:rPr>
          <w:lang w:eastAsia="en-US"/>
        </w:rPr>
        <w:t>.</w:t>
      </w:r>
      <w:r w:rsidRPr="002749BC">
        <w:rPr>
          <w:lang w:eastAsia="en-US"/>
        </w:rPr>
        <w:t xml:space="preserve"> Special attention was paid to the Value of Customer Reliability (VCR) framework found within the electricity sector. </w:t>
      </w:r>
    </w:p>
    <w:p w14:paraId="0A923449" w14:textId="77777777" w:rsidR="005A1319" w:rsidRPr="002749BC" w:rsidRDefault="005A1319" w:rsidP="005A1319">
      <w:pPr>
        <w:pStyle w:val="BodyText"/>
        <w:rPr>
          <w:lang w:eastAsia="en-US"/>
        </w:rPr>
      </w:pPr>
      <w:r w:rsidRPr="002749BC">
        <w:rPr>
          <w:lang w:eastAsia="en-US"/>
        </w:rPr>
        <w:t>Specifically, the objectives of the literature review were:</w:t>
      </w:r>
    </w:p>
    <w:p w14:paraId="25EC87C6" w14:textId="03361A66" w:rsidR="005A1319" w:rsidRPr="002749BC" w:rsidRDefault="005A1319" w:rsidP="005A1319">
      <w:pPr>
        <w:pStyle w:val="bullet"/>
      </w:pPr>
      <w:r w:rsidRPr="002749BC">
        <w:t>To identify how reliability has been valued in other relevant sectors and services; and</w:t>
      </w:r>
    </w:p>
    <w:p w14:paraId="1AB9962E" w14:textId="387EB4E2" w:rsidR="005A1319" w:rsidRPr="002749BC" w:rsidRDefault="005A1319" w:rsidP="005A1319">
      <w:pPr>
        <w:pStyle w:val="bullet"/>
      </w:pPr>
      <w:r w:rsidRPr="002749BC">
        <w:t xml:space="preserve">To identify reliability valuations or valuation techniques that may be promising to apply in the Australian telecommunications context.  </w:t>
      </w:r>
    </w:p>
    <w:p w14:paraId="0CD5D20F" w14:textId="3F594439" w:rsidR="00CC6A74" w:rsidRPr="001B0CEE" w:rsidRDefault="00CC6A74" w:rsidP="001B0CEE">
      <w:pPr>
        <w:pStyle w:val="Heading2"/>
      </w:pPr>
      <w:bookmarkStart w:id="26" w:name="_Ref6309850"/>
      <w:bookmarkStart w:id="27" w:name="_Toc12387760"/>
      <w:r w:rsidRPr="001B0CEE">
        <w:t>Findings</w:t>
      </w:r>
      <w:bookmarkEnd w:id="26"/>
      <w:bookmarkEnd w:id="27"/>
    </w:p>
    <w:p w14:paraId="41460625" w14:textId="77777777" w:rsidR="00826B32" w:rsidRPr="002749BC" w:rsidRDefault="00826B32" w:rsidP="00826B32">
      <w:pPr>
        <w:pStyle w:val="BodyText"/>
        <w:rPr>
          <w:lang w:eastAsia="en-US"/>
        </w:rPr>
      </w:pPr>
      <w:r w:rsidRPr="002749BC">
        <w:rPr>
          <w:lang w:eastAsia="en-US"/>
        </w:rPr>
        <w:t xml:space="preserve">Overall, we found that value of reliability studies are prevalent in the electricity and water sectors and in both cases attributes and methods have become relatively well established and consistent across different countries and over more than a decade. In the telecommunications sector, we find that the quantification and valuation </w:t>
      </w:r>
      <w:r>
        <w:rPr>
          <w:lang w:eastAsia="en-US"/>
        </w:rPr>
        <w:t xml:space="preserve">of </w:t>
      </w:r>
      <w:r w:rsidRPr="002749BC">
        <w:rPr>
          <w:lang w:eastAsia="en-US"/>
        </w:rPr>
        <w:t>reliability is much less prevalent, and</w:t>
      </w:r>
      <w:r>
        <w:rPr>
          <w:lang w:eastAsia="en-US"/>
        </w:rPr>
        <w:t xml:space="preserve"> the analytical frameworks used are</w:t>
      </w:r>
      <w:r w:rsidRPr="002749BC">
        <w:rPr>
          <w:lang w:eastAsia="en-US"/>
        </w:rPr>
        <w:t xml:space="preserve"> more </w:t>
      </w:r>
      <w:r>
        <w:rPr>
          <w:lang w:eastAsia="en-US"/>
        </w:rPr>
        <w:t>diverse</w:t>
      </w:r>
      <w:r w:rsidRPr="002749BC">
        <w:rPr>
          <w:lang w:eastAsia="en-US"/>
        </w:rPr>
        <w:t xml:space="preserve">.  </w:t>
      </w:r>
    </w:p>
    <w:p w14:paraId="36669FDF" w14:textId="77777777" w:rsidR="00826B32" w:rsidRPr="002749BC" w:rsidRDefault="00826B32" w:rsidP="001B0CEE">
      <w:pPr>
        <w:pStyle w:val="Heading3"/>
      </w:pPr>
      <w:r w:rsidRPr="002749BC">
        <w:t>Electricity Sector</w:t>
      </w:r>
    </w:p>
    <w:p w14:paraId="1A0FED1B" w14:textId="77777777" w:rsidR="00826B32" w:rsidRPr="002749BC" w:rsidRDefault="00826B32" w:rsidP="00826B32">
      <w:pPr>
        <w:pStyle w:val="Heading4nonumber"/>
      </w:pPr>
      <w:r w:rsidRPr="002749BC">
        <w:t>Value of customer reliability</w:t>
      </w:r>
    </w:p>
    <w:p w14:paraId="7007D609" w14:textId="77777777" w:rsidR="00826B32" w:rsidRPr="002749BC" w:rsidRDefault="00826B32" w:rsidP="00826B32">
      <w:pPr>
        <w:pStyle w:val="BodyText"/>
        <w:rPr>
          <w:lang w:eastAsia="en-US"/>
        </w:rPr>
      </w:pPr>
      <w:r w:rsidRPr="002749BC">
        <w:rPr>
          <w:lang w:eastAsia="en-US"/>
        </w:rPr>
        <w:t>In the case of electricity, reliability has been valued at both a system and a network level and the value of customer reliability (VCR) has become a widely accepted metric in both contexts. VCR expresses the average value of a unit of energy not supplied to a given group of customers</w:t>
      </w:r>
      <w:r w:rsidRPr="005D11B8">
        <w:rPr>
          <w:rStyle w:val="FootnoteReference"/>
        </w:rPr>
        <w:footnoteReference w:id="41"/>
      </w:r>
      <w:r w:rsidRPr="002749BC">
        <w:rPr>
          <w:lang w:eastAsia="en-US"/>
        </w:rPr>
        <w:t xml:space="preserve"> (measured in dollars per kilowatt hour, $/kWh). While the term benefit transfer is not usually used by the regulators, electricity networks and system operators who apply VCR, these applications are nonetheless example of benefit transfer.  Current applications of VCR in Australia include:</w:t>
      </w:r>
      <w:r w:rsidRPr="005D11B8">
        <w:rPr>
          <w:rStyle w:val="FootnoteReference"/>
        </w:rPr>
        <w:footnoteReference w:id="42"/>
      </w:r>
    </w:p>
    <w:p w14:paraId="77AAFE11" w14:textId="2471A331" w:rsidR="00826B32" w:rsidRPr="002749BC" w:rsidRDefault="00826B32" w:rsidP="00826B32">
      <w:pPr>
        <w:pStyle w:val="bullet"/>
      </w:pPr>
      <w:r w:rsidRPr="002749BC">
        <w:t>valuing incremental improvements in service reliability that can then be used to set incentives for networks under their revenue determinations</w:t>
      </w:r>
      <w:r w:rsidR="00B54108">
        <w:t>;</w:t>
      </w:r>
      <w:r w:rsidRPr="002749BC">
        <w:t xml:space="preserve"> </w:t>
      </w:r>
    </w:p>
    <w:p w14:paraId="75E1DA78" w14:textId="77777777" w:rsidR="00826B32" w:rsidRPr="002749BC" w:rsidRDefault="00826B32" w:rsidP="00826B32">
      <w:pPr>
        <w:pStyle w:val="bullet"/>
      </w:pPr>
      <w:r w:rsidRPr="002749BC">
        <w:t>Determining demand management incentives and innovation funding;</w:t>
      </w:r>
    </w:p>
    <w:p w14:paraId="74871704" w14:textId="0E4B1A2F" w:rsidR="00826B32" w:rsidRPr="002749BC" w:rsidRDefault="00826B32" w:rsidP="00826B32">
      <w:pPr>
        <w:pStyle w:val="bullet"/>
      </w:pPr>
      <w:r w:rsidRPr="002749BC">
        <w:lastRenderedPageBreak/>
        <w:t>Assigning value to the reliability performance of network businesses in economic benchmarking models;</w:t>
      </w:r>
      <w:r w:rsidR="00B54108">
        <w:t xml:space="preserve"> and</w:t>
      </w:r>
    </w:p>
    <w:p w14:paraId="7D8AE42B" w14:textId="77777777" w:rsidR="00826B32" w:rsidRPr="002749BC" w:rsidRDefault="00826B32" w:rsidP="00826B32">
      <w:pPr>
        <w:pStyle w:val="bullet"/>
      </w:pPr>
      <w:r w:rsidRPr="002749BC">
        <w:t xml:space="preserve">Informing wholesale market settings such as market price caps. </w:t>
      </w:r>
    </w:p>
    <w:p w14:paraId="54603F3B" w14:textId="027B1B38" w:rsidR="00826B32" w:rsidRPr="002749BC" w:rsidRDefault="00826B32" w:rsidP="00826B32">
      <w:pPr>
        <w:pStyle w:val="BodyText"/>
        <w:rPr>
          <w:lang w:eastAsia="en-US"/>
        </w:rPr>
      </w:pPr>
      <w:r w:rsidRPr="002749BC">
        <w:rPr>
          <w:lang w:eastAsia="en-US"/>
        </w:rPr>
        <w:t>The Australian Energy Regulator recently suggested that VCR could be used for a variety of other purposes, including informing load shedding priorities, setting price caps for certain services and assessing proposed expenditures to address high impact low probability events</w:t>
      </w:r>
      <w:r w:rsidR="00B54108">
        <w:rPr>
          <w:lang w:eastAsia="en-US"/>
        </w:rPr>
        <w:t>.</w:t>
      </w:r>
      <w:r w:rsidRPr="005D11B8">
        <w:rPr>
          <w:rStyle w:val="FootnoteReference"/>
        </w:rPr>
        <w:footnoteReference w:id="43"/>
      </w:r>
      <w:r w:rsidRPr="002749BC">
        <w:rPr>
          <w:lang w:eastAsia="en-US"/>
        </w:rPr>
        <w:t xml:space="preserve"> In short, the VCR has proved to be an extremely versatile monetary metric of the value of reliability. </w:t>
      </w:r>
    </w:p>
    <w:p w14:paraId="0B668CC9" w14:textId="0D557DC9" w:rsidR="00826B32" w:rsidRPr="002749BC" w:rsidRDefault="00826B32" w:rsidP="00826B32">
      <w:pPr>
        <w:pStyle w:val="BodyText"/>
        <w:rPr>
          <w:lang w:eastAsia="en-US"/>
        </w:rPr>
      </w:pPr>
      <w:r w:rsidRPr="002749BC">
        <w:rPr>
          <w:lang w:eastAsia="en-US"/>
        </w:rPr>
        <w:t>The most recent national valuation of VCR used choice modelling to quantify VCRs for most customer groups and validated these findings using several contingent valuation questions</w:t>
      </w:r>
      <w:r w:rsidR="00B54108">
        <w:rPr>
          <w:lang w:eastAsia="en-US"/>
        </w:rPr>
        <w:t>.</w:t>
      </w:r>
      <w:r w:rsidRPr="005D11B8">
        <w:rPr>
          <w:rStyle w:val="FootnoteReference"/>
        </w:rPr>
        <w:footnoteReference w:id="44"/>
      </w:r>
      <w:r w:rsidRPr="002749BC">
        <w:rPr>
          <w:lang w:eastAsia="en-US"/>
        </w:rPr>
        <w:t xml:space="preserve"> The preference for choice modelling in this instance was based on a literature review that showed that choice modelling was the predominant approach to </w:t>
      </w:r>
      <w:r>
        <w:rPr>
          <w:lang w:eastAsia="en-US"/>
        </w:rPr>
        <w:t>estimating</w:t>
      </w:r>
      <w:r w:rsidRPr="002749BC">
        <w:rPr>
          <w:lang w:eastAsia="en-US"/>
        </w:rPr>
        <w:t xml:space="preserve"> VCR internationally</w:t>
      </w:r>
      <w:r w:rsidR="00B54108">
        <w:rPr>
          <w:lang w:eastAsia="en-US"/>
        </w:rPr>
        <w:t>.</w:t>
      </w:r>
      <w:r w:rsidRPr="005D11B8">
        <w:rPr>
          <w:rStyle w:val="FootnoteReference"/>
        </w:rPr>
        <w:footnoteReference w:id="45"/>
      </w:r>
      <w:r w:rsidRPr="002749BC">
        <w:rPr>
          <w:lang w:eastAsia="en-US"/>
        </w:rPr>
        <w:t xml:space="preserve"> </w:t>
      </w:r>
    </w:p>
    <w:p w14:paraId="7833A008" w14:textId="77777777" w:rsidR="00826B32" w:rsidRPr="002749BC" w:rsidRDefault="00826B32" w:rsidP="00826B32">
      <w:pPr>
        <w:pStyle w:val="Heading4nonumber"/>
      </w:pPr>
      <w:r w:rsidRPr="002749BC">
        <w:t>Reliability standards and service level payments</w:t>
      </w:r>
    </w:p>
    <w:p w14:paraId="6F8F48C4" w14:textId="77777777" w:rsidR="00826B32" w:rsidRPr="002749BC" w:rsidRDefault="00826B32" w:rsidP="00826B32">
      <w:pPr>
        <w:pStyle w:val="BodyText"/>
        <w:rPr>
          <w:lang w:eastAsia="en-US"/>
        </w:rPr>
      </w:pPr>
      <w:r w:rsidRPr="002749BC">
        <w:rPr>
          <w:lang w:eastAsia="en-US"/>
        </w:rPr>
        <w:t xml:space="preserve">VCR is not the only lens through which reliability is viewed in the electricity sector. For network businesses, reliability is often expressed in terms of both the frequency and duration of outages. These are standard measures of the amount of time and the number of times per year the average customer experiences unplanned outages. In all Australian jurisdictions, both metrics </w:t>
      </w:r>
      <w:r>
        <w:rPr>
          <w:lang w:eastAsia="en-US"/>
        </w:rPr>
        <w:t>are</w:t>
      </w:r>
      <w:r w:rsidRPr="002749BC">
        <w:rPr>
          <w:lang w:eastAsia="en-US"/>
        </w:rPr>
        <w:t xml:space="preserve"> codified in service standards that network operators are required to meet. </w:t>
      </w:r>
    </w:p>
    <w:p w14:paraId="66E77CC3" w14:textId="53376F67" w:rsidR="00826B32" w:rsidRPr="002749BC" w:rsidRDefault="00826B32" w:rsidP="00826B32">
      <w:pPr>
        <w:pStyle w:val="BodyText"/>
        <w:rPr>
          <w:lang w:eastAsia="en-US"/>
        </w:rPr>
      </w:pPr>
      <w:r w:rsidRPr="002749BC">
        <w:rPr>
          <w:lang w:eastAsia="en-US"/>
        </w:rPr>
        <w:t>Once the standards are set, it becomes a condition of license that a network operator</w:t>
      </w:r>
      <w:r>
        <w:rPr>
          <w:lang w:eastAsia="en-US"/>
        </w:rPr>
        <w:t xml:space="preserve"> </w:t>
      </w:r>
      <w:r w:rsidR="00B54108">
        <w:rPr>
          <w:lang w:eastAsia="en-US"/>
        </w:rPr>
        <w:t>s</w:t>
      </w:r>
      <w:r>
        <w:rPr>
          <w:lang w:eastAsia="en-US"/>
        </w:rPr>
        <w:t>hall</w:t>
      </w:r>
      <w:r w:rsidRPr="002749BC">
        <w:rPr>
          <w:lang w:eastAsia="en-US"/>
        </w:rPr>
        <w:t xml:space="preserve"> mee</w:t>
      </w:r>
      <w:r>
        <w:rPr>
          <w:lang w:eastAsia="en-US"/>
        </w:rPr>
        <w:t>t those standards</w:t>
      </w:r>
      <w:r w:rsidRPr="002749BC">
        <w:rPr>
          <w:lang w:eastAsia="en-US"/>
        </w:rPr>
        <w:t xml:space="preserve">. Non-market valuation studies are relevant to determining at what level the standards should be set or for determining reasonable compensation levels. In a recent revision to the South Australian reliability standards, the contingent valuation approach was used for this purpose. This offers an interesting case study to illustrate considerations that might be particularly relevant for ACCAN – to inform the choice between contingent valuation and choice modelling approaches (see Section </w:t>
      </w:r>
      <w:r w:rsidRPr="002749BC">
        <w:rPr>
          <w:lang w:eastAsia="en-US"/>
        </w:rPr>
        <w:fldChar w:fldCharType="begin"/>
      </w:r>
      <w:r w:rsidRPr="002749BC">
        <w:rPr>
          <w:lang w:eastAsia="en-US"/>
        </w:rPr>
        <w:instrText xml:space="preserve"> REF _Ref5891501 \r \h </w:instrText>
      </w:r>
      <w:r w:rsidRPr="002749BC">
        <w:rPr>
          <w:lang w:eastAsia="en-US"/>
        </w:rPr>
      </w:r>
      <w:r w:rsidRPr="002749BC">
        <w:rPr>
          <w:lang w:eastAsia="en-US"/>
        </w:rPr>
        <w:fldChar w:fldCharType="separate"/>
      </w:r>
      <w:r w:rsidR="00176422">
        <w:rPr>
          <w:lang w:eastAsia="en-US"/>
        </w:rPr>
        <w:t>4.3</w:t>
      </w:r>
      <w:r w:rsidRPr="002749BC">
        <w:rPr>
          <w:lang w:eastAsia="en-US"/>
        </w:rPr>
        <w:fldChar w:fldCharType="end"/>
      </w:r>
      <w:r w:rsidRPr="002749BC">
        <w:rPr>
          <w:lang w:eastAsia="en-US"/>
        </w:rPr>
        <w:t>).</w:t>
      </w:r>
    </w:p>
    <w:p w14:paraId="59AA44E4" w14:textId="77777777" w:rsidR="00826B32" w:rsidRPr="002749BC" w:rsidRDefault="00826B32" w:rsidP="00826B32">
      <w:pPr>
        <w:pStyle w:val="Heading4nonumber"/>
      </w:pPr>
      <w:r w:rsidRPr="002749BC">
        <w:lastRenderedPageBreak/>
        <w:t>Other methods</w:t>
      </w:r>
    </w:p>
    <w:p w14:paraId="7421C8EC" w14:textId="73BCF01A" w:rsidR="00826B32" w:rsidRPr="002749BC" w:rsidRDefault="00826B32" w:rsidP="00826B32">
      <w:pPr>
        <w:pStyle w:val="BodyText"/>
        <w:rPr>
          <w:lang w:eastAsia="en-US"/>
        </w:rPr>
      </w:pPr>
      <w:r w:rsidRPr="002749BC">
        <w:rPr>
          <w:lang w:eastAsia="en-US"/>
        </w:rPr>
        <w:t xml:space="preserve">Synergies notes that several studies proposed using direct cost estimation techniques – essentially building a table of costs caused by outages for different customer types. In one instance, this was suggested to be an appropriate technique for households although we are only aware of it being used in Australia for large industrial customers. While we are not inclined to support the use of the direct cost method for small </w:t>
      </w:r>
      <w:r w:rsidR="0007420B">
        <w:rPr>
          <w:lang w:eastAsia="en-US"/>
        </w:rPr>
        <w:t xml:space="preserve">business and residential </w:t>
      </w:r>
      <w:r w:rsidRPr="002749BC">
        <w:rPr>
          <w:lang w:eastAsia="en-US"/>
        </w:rPr>
        <w:t xml:space="preserve">customers, there may be value in being able to identify the types of costs associated with supply interruptions. For instance, the same study indicated that in contingent valuation, it may be useful to prime survey respondents with questions regarding the particular categories of cost that outages might cause (food spoilage, lost work hours, loss of light, temperature discomfort). </w:t>
      </w:r>
    </w:p>
    <w:p w14:paraId="4F260DBB" w14:textId="77777777" w:rsidR="00826B32" w:rsidRPr="002749BC" w:rsidRDefault="00826B32" w:rsidP="001B0CEE">
      <w:pPr>
        <w:pStyle w:val="Heading3"/>
      </w:pPr>
      <w:r w:rsidRPr="002749BC">
        <w:t>Water sector</w:t>
      </w:r>
    </w:p>
    <w:p w14:paraId="01E98C7D" w14:textId="4ED5D24A" w:rsidR="00826B32" w:rsidRDefault="00826B32" w:rsidP="00826B32">
      <w:pPr>
        <w:pStyle w:val="BodyText"/>
        <w:rPr>
          <w:lang w:eastAsia="en-US"/>
        </w:rPr>
      </w:pPr>
      <w:r w:rsidRPr="002749BC">
        <w:rPr>
          <w:lang w:eastAsia="en-US"/>
        </w:rPr>
        <w:t>The value of reliability in the studies we reviewed have focussed on the cost of restrictions on customer’s ability to use water – particularly for the purposes of water</w:t>
      </w:r>
      <w:r>
        <w:rPr>
          <w:lang w:eastAsia="en-US"/>
        </w:rPr>
        <w:t>ing</w:t>
      </w:r>
      <w:r w:rsidRPr="002749BC">
        <w:rPr>
          <w:lang w:eastAsia="en-US"/>
        </w:rPr>
        <w:t xml:space="preserve"> their gardens. These studies have generally assessed customer willingness-to-pay to avoid restrictions. Different studies have investigated customer values for different types of watering restrictions – such as different levels of severity or different degrees of probability of watering restriction being imposed. The resulting diversity</w:t>
      </w:r>
      <w:r>
        <w:rPr>
          <w:lang w:eastAsia="en-US"/>
        </w:rPr>
        <w:t xml:space="preserve"> in the specific choices presented to respondents</w:t>
      </w:r>
      <w:r w:rsidRPr="002749BC">
        <w:rPr>
          <w:lang w:eastAsia="en-US"/>
        </w:rPr>
        <w:t xml:space="preserve"> makes benefit transfer more difficult but reflects the diverse policy and environmental circumstances in which each study is carried out. </w:t>
      </w:r>
      <w:r>
        <w:rPr>
          <w:lang w:eastAsia="en-US"/>
        </w:rPr>
        <w:t>W</w:t>
      </w:r>
      <w:r w:rsidRPr="002749BC">
        <w:rPr>
          <w:lang w:eastAsia="en-US"/>
        </w:rPr>
        <w:t xml:space="preserve">e found that </w:t>
      </w:r>
      <w:r>
        <w:rPr>
          <w:lang w:eastAsia="en-US"/>
        </w:rPr>
        <w:t>several</w:t>
      </w:r>
      <w:r w:rsidRPr="002749BC">
        <w:rPr>
          <w:lang w:eastAsia="en-US"/>
        </w:rPr>
        <w:t xml:space="preserve"> valuation methods were applied</w:t>
      </w:r>
      <w:r>
        <w:rPr>
          <w:lang w:eastAsia="en-US"/>
        </w:rPr>
        <w:t xml:space="preserve"> in the water sector and that </w:t>
      </w:r>
      <w:r w:rsidRPr="002749BC">
        <w:rPr>
          <w:lang w:eastAsia="en-US"/>
        </w:rPr>
        <w:t>contingent valuation and choice modelling</w:t>
      </w:r>
      <w:r>
        <w:rPr>
          <w:lang w:eastAsia="en-US"/>
        </w:rPr>
        <w:t xml:space="preserve"> methods predominated</w:t>
      </w:r>
      <w:r w:rsidR="0005372D">
        <w:rPr>
          <w:lang w:eastAsia="en-US"/>
        </w:rPr>
        <w:t>.</w:t>
      </w:r>
      <w:r w:rsidRPr="005D11B8">
        <w:rPr>
          <w:rStyle w:val="FootnoteReference"/>
        </w:rPr>
        <w:footnoteReference w:id="46"/>
      </w:r>
      <w:r w:rsidRPr="002749BC">
        <w:rPr>
          <w:lang w:eastAsia="en-US"/>
        </w:rPr>
        <w:t xml:space="preserve"> </w:t>
      </w:r>
    </w:p>
    <w:p w14:paraId="15B18162" w14:textId="06FC2CA1" w:rsidR="00F67249" w:rsidRPr="002749BC" w:rsidRDefault="00F67249" w:rsidP="00826B32">
      <w:pPr>
        <w:pStyle w:val="BodyText"/>
        <w:rPr>
          <w:lang w:eastAsia="en-US"/>
        </w:rPr>
      </w:pPr>
      <w:r>
        <w:rPr>
          <w:lang w:eastAsia="en-US"/>
        </w:rPr>
        <w:t xml:space="preserve">Synergies </w:t>
      </w:r>
      <w:r w:rsidR="009D3534">
        <w:rPr>
          <w:lang w:eastAsia="en-US"/>
        </w:rPr>
        <w:t>recognises that the water sector has developed different operational practices and different customer expectations to those found in other utility sectors</w:t>
      </w:r>
      <w:r w:rsidR="00666644">
        <w:rPr>
          <w:lang w:eastAsia="en-US"/>
        </w:rPr>
        <w:t xml:space="preserve"> and that valuations of service reliability may be lower in the case of water than for other sectors</w:t>
      </w:r>
      <w:r w:rsidR="009D3534">
        <w:rPr>
          <w:lang w:eastAsia="en-US"/>
        </w:rPr>
        <w:t>. I</w:t>
      </w:r>
      <w:r w:rsidR="009D3534" w:rsidRPr="009D3534">
        <w:rPr>
          <w:lang w:eastAsia="en-US"/>
        </w:rPr>
        <w:t>n water, service restrictions are</w:t>
      </w:r>
      <w:r w:rsidR="009D3534">
        <w:rPr>
          <w:lang w:eastAsia="en-US"/>
        </w:rPr>
        <w:t xml:space="preserve"> routinely</w:t>
      </w:r>
      <w:r w:rsidR="009D3534" w:rsidRPr="009D3534">
        <w:rPr>
          <w:lang w:eastAsia="en-US"/>
        </w:rPr>
        <w:t xml:space="preserve"> imposed as a form of demand management</w:t>
      </w:r>
      <w:r w:rsidR="009D3534">
        <w:rPr>
          <w:lang w:eastAsia="en-US"/>
        </w:rPr>
        <w:t xml:space="preserve"> and as an alternative to </w:t>
      </w:r>
      <w:r w:rsidR="00F708AE">
        <w:rPr>
          <w:lang w:eastAsia="en-US"/>
        </w:rPr>
        <w:t xml:space="preserve">always </w:t>
      </w:r>
      <w:r w:rsidR="009D3534">
        <w:rPr>
          <w:lang w:eastAsia="en-US"/>
        </w:rPr>
        <w:t xml:space="preserve">investing in </w:t>
      </w:r>
      <w:r w:rsidR="00F708AE">
        <w:rPr>
          <w:lang w:eastAsia="en-US"/>
        </w:rPr>
        <w:t>infrastructure sufficient to meet expected demand</w:t>
      </w:r>
      <w:r w:rsidR="009D3534" w:rsidRPr="009D3534">
        <w:rPr>
          <w:lang w:eastAsia="en-US"/>
        </w:rPr>
        <w:t xml:space="preserve">. </w:t>
      </w:r>
      <w:r w:rsidR="009167CC">
        <w:rPr>
          <w:lang w:eastAsia="en-US"/>
        </w:rPr>
        <w:t xml:space="preserve">In the </w:t>
      </w:r>
      <w:r w:rsidR="009D3534" w:rsidRPr="009D3534">
        <w:rPr>
          <w:lang w:eastAsia="en-US"/>
        </w:rPr>
        <w:t xml:space="preserve">electricity </w:t>
      </w:r>
      <w:r w:rsidR="009167CC">
        <w:rPr>
          <w:lang w:eastAsia="en-US"/>
        </w:rPr>
        <w:t xml:space="preserve">sector, for instance, capacity expansions </w:t>
      </w:r>
      <w:r w:rsidR="009C4E63">
        <w:rPr>
          <w:lang w:eastAsia="en-US"/>
        </w:rPr>
        <w:t xml:space="preserve">tend to be triggered </w:t>
      </w:r>
      <w:r w:rsidR="002F36BA">
        <w:rPr>
          <w:lang w:eastAsia="en-US"/>
        </w:rPr>
        <w:t xml:space="preserve">when even relatively low probabilities of future capacity shortfalls are </w:t>
      </w:r>
      <w:r w:rsidR="002D2B24">
        <w:rPr>
          <w:lang w:eastAsia="en-US"/>
        </w:rPr>
        <w:t xml:space="preserve">exceeded. By contrast, in the </w:t>
      </w:r>
      <w:r w:rsidR="009D3534" w:rsidRPr="009D3534">
        <w:rPr>
          <w:lang w:eastAsia="en-US"/>
        </w:rPr>
        <w:t>water</w:t>
      </w:r>
      <w:r w:rsidR="002D2B24">
        <w:rPr>
          <w:lang w:eastAsia="en-US"/>
        </w:rPr>
        <w:t xml:space="preserve"> sector it is</w:t>
      </w:r>
      <w:r w:rsidR="009D3534" w:rsidRPr="009D3534">
        <w:rPr>
          <w:lang w:eastAsia="en-US"/>
        </w:rPr>
        <w:t xml:space="preserve"> </w:t>
      </w:r>
      <w:r w:rsidR="002D2B24">
        <w:rPr>
          <w:lang w:eastAsia="en-US"/>
        </w:rPr>
        <w:t>commonplace to impose supply restrictions</w:t>
      </w:r>
      <w:r w:rsidR="00BF1FFD">
        <w:rPr>
          <w:lang w:eastAsia="en-US"/>
        </w:rPr>
        <w:t>.  C</w:t>
      </w:r>
      <w:r w:rsidR="009D3534" w:rsidRPr="009D3534">
        <w:rPr>
          <w:lang w:eastAsia="en-US"/>
        </w:rPr>
        <w:t>ommunit</w:t>
      </w:r>
      <w:r w:rsidR="00BF1FFD">
        <w:rPr>
          <w:lang w:eastAsia="en-US"/>
        </w:rPr>
        <w:t>ies have tended to be</w:t>
      </w:r>
      <w:r w:rsidR="009D3534" w:rsidRPr="009D3534">
        <w:rPr>
          <w:lang w:eastAsia="en-US"/>
        </w:rPr>
        <w:t xml:space="preserve"> more accepting of low-level</w:t>
      </w:r>
      <w:r w:rsidR="00BF1FFD">
        <w:rPr>
          <w:lang w:eastAsia="en-US"/>
        </w:rPr>
        <w:t xml:space="preserve"> water</w:t>
      </w:r>
      <w:r w:rsidR="009D3534" w:rsidRPr="009D3534">
        <w:rPr>
          <w:lang w:eastAsia="en-US"/>
        </w:rPr>
        <w:t xml:space="preserve"> restrictions</w:t>
      </w:r>
      <w:r w:rsidR="00BF1FFD">
        <w:rPr>
          <w:lang w:eastAsia="en-US"/>
        </w:rPr>
        <w:t xml:space="preserve"> than of short-term blackouts</w:t>
      </w:r>
      <w:r w:rsidR="009D3534" w:rsidRPr="009D3534">
        <w:rPr>
          <w:lang w:eastAsia="en-US"/>
        </w:rPr>
        <w:t xml:space="preserve">.  </w:t>
      </w:r>
    </w:p>
    <w:p w14:paraId="77BF4ACF" w14:textId="77777777" w:rsidR="00826B32" w:rsidRPr="002749BC" w:rsidRDefault="00826B32" w:rsidP="001B0CEE">
      <w:pPr>
        <w:pStyle w:val="Heading3"/>
      </w:pPr>
      <w:r w:rsidRPr="002749BC">
        <w:lastRenderedPageBreak/>
        <w:t>Telecommunications sector</w:t>
      </w:r>
    </w:p>
    <w:p w14:paraId="00A5D846" w14:textId="7BF149B4" w:rsidR="00826B32" w:rsidRPr="002749BC" w:rsidRDefault="00826B32" w:rsidP="00826B32">
      <w:pPr>
        <w:pStyle w:val="BodyText"/>
        <w:rPr>
          <w:lang w:eastAsia="en-US"/>
        </w:rPr>
      </w:pPr>
      <w:r w:rsidRPr="002749BC">
        <w:rPr>
          <w:lang w:eastAsia="en-US"/>
        </w:rPr>
        <w:t>In the telecommunications sector, our literature review identified very little in the way of studies explicitly valuing service reliability. This is an interesting finding in itself, particularly in view of the fact that reliability has been a major focus of telecommunications engineers for decades</w:t>
      </w:r>
      <w:r w:rsidR="0007420B">
        <w:rPr>
          <w:lang w:eastAsia="en-US"/>
        </w:rPr>
        <w:t>.</w:t>
      </w:r>
      <w:r w:rsidRPr="005D11B8">
        <w:rPr>
          <w:rStyle w:val="FootnoteReference"/>
        </w:rPr>
        <w:footnoteReference w:id="47"/>
      </w:r>
      <w:r w:rsidRPr="002749BC">
        <w:rPr>
          <w:lang w:eastAsia="en-US"/>
        </w:rPr>
        <w:t xml:space="preserve"> </w:t>
      </w:r>
    </w:p>
    <w:p w14:paraId="7CAA3220" w14:textId="72A58303" w:rsidR="00826B32" w:rsidRPr="002749BC" w:rsidRDefault="00826B32" w:rsidP="00826B32">
      <w:pPr>
        <w:pStyle w:val="BodyText"/>
        <w:rPr>
          <w:lang w:eastAsia="en-US"/>
        </w:rPr>
      </w:pPr>
      <w:r w:rsidRPr="002749BC">
        <w:rPr>
          <w:lang w:eastAsia="en-US"/>
        </w:rPr>
        <w:t>One study of broadband providers</w:t>
      </w:r>
      <w:r w:rsidRPr="002749BC">
        <w:rPr>
          <w:shd w:val="clear" w:color="auto" w:fill="FFFFFF"/>
        </w:rPr>
        <w:t xml:space="preserve"> found that no Internet service provider</w:t>
      </w:r>
      <w:r w:rsidR="00B069A2">
        <w:rPr>
          <w:shd w:val="clear" w:color="auto" w:fill="FFFFFF"/>
        </w:rPr>
        <w:t>s</w:t>
      </w:r>
      <w:r w:rsidRPr="002749BC">
        <w:rPr>
          <w:shd w:val="clear" w:color="auto" w:fill="FFFFFF"/>
        </w:rPr>
        <w:t xml:space="preserve"> sell quality of service</w:t>
      </w:r>
      <w:r w:rsidRPr="005D11B8">
        <w:rPr>
          <w:rStyle w:val="FootnoteReference"/>
        </w:rPr>
        <w:footnoteReference w:id="48"/>
      </w:r>
      <w:r w:rsidRPr="002749BC">
        <w:rPr>
          <w:shd w:val="clear" w:color="auto" w:fill="FFFFFF"/>
        </w:rPr>
        <w:t xml:space="preserve"> explicitly, be it for residential or business customers</w:t>
      </w:r>
      <w:r w:rsidR="0005372D">
        <w:rPr>
          <w:shd w:val="clear" w:color="auto" w:fill="FFFFFF"/>
        </w:rPr>
        <w:t>.</w:t>
      </w:r>
      <w:r w:rsidRPr="005D11B8">
        <w:rPr>
          <w:rStyle w:val="FootnoteReference"/>
        </w:rPr>
        <w:footnoteReference w:id="49"/>
      </w:r>
      <w:r w:rsidRPr="002749BC">
        <w:rPr>
          <w:shd w:val="clear" w:color="auto" w:fill="FFFFFF"/>
        </w:rPr>
        <w:t xml:space="preserve"> This could reflect, at least in part, the monopoly characteristics of the physical networks that are principally responsible for determining the quality of broadband service. If retailers are selling broadband services </w:t>
      </w:r>
      <w:r>
        <w:rPr>
          <w:shd w:val="clear" w:color="auto" w:fill="FFFFFF"/>
        </w:rPr>
        <w:t>delivered over</w:t>
      </w:r>
      <w:r w:rsidRPr="002749BC">
        <w:rPr>
          <w:shd w:val="clear" w:color="auto" w:fill="FFFFFF"/>
        </w:rPr>
        <w:t xml:space="preserve"> the same network</w:t>
      </w:r>
      <w:r>
        <w:rPr>
          <w:shd w:val="clear" w:color="auto" w:fill="FFFFFF"/>
        </w:rPr>
        <w:t>(s)</w:t>
      </w:r>
      <w:r w:rsidRPr="002749BC">
        <w:rPr>
          <w:shd w:val="clear" w:color="auto" w:fill="FFFFFF"/>
        </w:rPr>
        <w:t xml:space="preserve"> this reduces the scope for retailers to differentiate on the basis of reliability. </w:t>
      </w:r>
      <w:r w:rsidRPr="002749BC">
        <w:rPr>
          <w:lang w:eastAsia="en-US"/>
        </w:rPr>
        <w:t xml:space="preserve">An alternative explanation could be that service providers find that reliability is of relatively low importance to broadband customers. Perhaps the more plausible variant of this explanation is that the reliability levels provided at the time and place of the study (US, 2010) were sufficient for consumers to be more focused on other service attributes, like price, speed or download limits.  </w:t>
      </w:r>
    </w:p>
    <w:p w14:paraId="2851F7A1" w14:textId="4DED96A8" w:rsidR="00826B32" w:rsidRPr="002749BC" w:rsidRDefault="00826B32" w:rsidP="00826B32">
      <w:pPr>
        <w:pStyle w:val="BodyText"/>
        <w:rPr>
          <w:lang w:eastAsia="en-US"/>
        </w:rPr>
      </w:pPr>
      <w:r w:rsidRPr="002749BC">
        <w:rPr>
          <w:lang w:eastAsia="en-US"/>
        </w:rPr>
        <w:t xml:space="preserve">In general, the studies we identified point to telecommunications services being characterised by a much richer set of attributes than is true of electricity services. We found studies considering attributes that might affect customer willingness-to-pay or choice of service provider including: </w:t>
      </w:r>
    </w:p>
    <w:p w14:paraId="6B9594A8" w14:textId="1E49CAEF" w:rsidR="00826B32" w:rsidRPr="002749BC" w:rsidRDefault="00826B32" w:rsidP="00826B32">
      <w:pPr>
        <w:pStyle w:val="bullet"/>
      </w:pPr>
      <w:r w:rsidRPr="002749BC">
        <w:t>speed, download limits, quality of communications service, restrictions on mobile use abroad</w:t>
      </w:r>
      <w:r w:rsidR="00B54108">
        <w:t>;</w:t>
      </w:r>
      <w:r w:rsidR="00397FBA">
        <w:rPr>
          <w:rStyle w:val="FootnoteReference"/>
        </w:rPr>
        <w:footnoteReference w:id="50"/>
      </w:r>
    </w:p>
    <w:p w14:paraId="6474E192" w14:textId="529FF769" w:rsidR="00826B32" w:rsidRPr="002749BC" w:rsidRDefault="00826B32" w:rsidP="00826B32">
      <w:pPr>
        <w:pStyle w:val="bullet"/>
      </w:pPr>
      <w:r w:rsidRPr="002749BC">
        <w:t>The availability of mobile number portability</w:t>
      </w:r>
      <w:r w:rsidR="00B54108">
        <w:t>;</w:t>
      </w:r>
      <w:r w:rsidRPr="005D11B8">
        <w:rPr>
          <w:rStyle w:val="FootnoteReference"/>
        </w:rPr>
        <w:footnoteReference w:id="51"/>
      </w:r>
      <w:r w:rsidRPr="002749BC">
        <w:t xml:space="preserve"> </w:t>
      </w:r>
      <w:r>
        <w:t>and</w:t>
      </w:r>
    </w:p>
    <w:p w14:paraId="72FE97A5" w14:textId="5DE35195" w:rsidR="00826B32" w:rsidRPr="002749BC" w:rsidRDefault="00826B32" w:rsidP="00826B32">
      <w:pPr>
        <w:pStyle w:val="bullet"/>
      </w:pPr>
      <w:r w:rsidRPr="002749BC">
        <w:t>The probability of data being lost in the network during transfer and the time taken for data to buffer</w:t>
      </w:r>
      <w:r w:rsidR="00B54108">
        <w:t>.</w:t>
      </w:r>
      <w:r w:rsidRPr="005D11B8">
        <w:rPr>
          <w:rStyle w:val="FootnoteReference"/>
        </w:rPr>
        <w:footnoteReference w:id="52"/>
      </w:r>
    </w:p>
    <w:p w14:paraId="2C0C8D94" w14:textId="111F33BC" w:rsidR="00826B32" w:rsidRPr="002749BC" w:rsidRDefault="00826B32" w:rsidP="00826B32">
      <w:pPr>
        <w:pStyle w:val="BodyText"/>
      </w:pPr>
      <w:r w:rsidRPr="002749BC">
        <w:lastRenderedPageBreak/>
        <w:t xml:space="preserve">This diversity in the service attributes considered relevant in telecommunications may have worked against the development of a concentrated body of research on the value of reliability specifically. However, it also points to an important consideration for ACCAN as it plans its investment in research to support advocacy. ACCAN might be better served by a choice modelling investigation of multiple service attributes than by a contingent valuation study of the value of a narrowly defined reliability outcome.   </w:t>
      </w:r>
    </w:p>
    <w:p w14:paraId="78A02B52" w14:textId="77777777" w:rsidR="00826B32" w:rsidRPr="002749BC" w:rsidRDefault="00826B32" w:rsidP="00826B32">
      <w:pPr>
        <w:pStyle w:val="BodyText"/>
        <w:rPr>
          <w:lang w:eastAsia="en-US"/>
        </w:rPr>
      </w:pPr>
      <w:r w:rsidRPr="002749BC">
        <w:rPr>
          <w:lang w:eastAsia="en-US"/>
        </w:rPr>
        <w:t xml:space="preserve">Our literature review did not suggest to us obvious scope for the development of a multipurpose metric in the telecommunications sector that could serve a similar function to the VCR in electricity. We concede the possibility that a telecommunications analogue of the VCR might have emerged if telecommunications had been subject to the same kind of regulatory framework that applies in electricity networks. </w:t>
      </w:r>
      <w:r>
        <w:rPr>
          <w:lang w:eastAsia="en-US"/>
        </w:rPr>
        <w:t>Nonetheless, if</w:t>
      </w:r>
      <w:r w:rsidRPr="002749BC">
        <w:rPr>
          <w:lang w:eastAsia="en-US"/>
        </w:rPr>
        <w:t xml:space="preserve"> such a metric could be developed, it appears to be some </w:t>
      </w:r>
      <w:r>
        <w:rPr>
          <w:lang w:eastAsia="en-US"/>
        </w:rPr>
        <w:t>way</w:t>
      </w:r>
      <w:r w:rsidRPr="002749BC">
        <w:rPr>
          <w:lang w:eastAsia="en-US"/>
        </w:rPr>
        <w:t xml:space="preserve"> off</w:t>
      </w:r>
      <w:r>
        <w:rPr>
          <w:lang w:eastAsia="en-US"/>
        </w:rPr>
        <w:t xml:space="preserve"> into the future</w:t>
      </w:r>
      <w:r w:rsidRPr="002749BC">
        <w:rPr>
          <w:lang w:eastAsia="en-US"/>
        </w:rPr>
        <w:t xml:space="preserve">.  </w:t>
      </w:r>
    </w:p>
    <w:p w14:paraId="45D05062" w14:textId="7E3D32E1" w:rsidR="003030BB" w:rsidRPr="001B0CEE" w:rsidRDefault="006A3BA4" w:rsidP="001B0CEE">
      <w:pPr>
        <w:pStyle w:val="Heading2"/>
      </w:pPr>
      <w:bookmarkStart w:id="28" w:name="_Toc12387761"/>
      <w:r w:rsidRPr="001B0CEE">
        <w:t>Overview of studies</w:t>
      </w:r>
      <w:bookmarkEnd w:id="28"/>
    </w:p>
    <w:p w14:paraId="74AF51E6" w14:textId="025FEB1C" w:rsidR="00BC0483" w:rsidRPr="002749BC" w:rsidRDefault="00BC0483" w:rsidP="00BC0483">
      <w:pPr>
        <w:pStyle w:val="BodyText"/>
        <w:rPr>
          <w:lang w:eastAsia="en-US"/>
        </w:rPr>
      </w:pPr>
      <w:r w:rsidRPr="002749BC">
        <w:rPr>
          <w:lang w:eastAsia="en-US"/>
        </w:rPr>
        <w:t xml:space="preserve">We examined studies on the non-market valuation of reliability and the relevant methods used across multiple sectors in Australia and internationally. </w:t>
      </w:r>
      <w:r w:rsidR="005B26ED">
        <w:rPr>
          <w:lang w:eastAsia="en-US"/>
        </w:rPr>
        <w:fldChar w:fldCharType="begin"/>
      </w:r>
      <w:r w:rsidR="005B26ED">
        <w:rPr>
          <w:lang w:eastAsia="en-US"/>
        </w:rPr>
        <w:instrText xml:space="preserve"> REF _Ref10129593 \h </w:instrText>
      </w:r>
      <w:r w:rsidR="005B26ED">
        <w:rPr>
          <w:lang w:eastAsia="en-US"/>
        </w:rPr>
      </w:r>
      <w:r w:rsidR="005B26ED">
        <w:rPr>
          <w:lang w:eastAsia="en-US"/>
        </w:rPr>
        <w:fldChar w:fldCharType="separate"/>
      </w:r>
      <w:r w:rsidR="00176422" w:rsidRPr="002749BC">
        <w:t xml:space="preserve">Table </w:t>
      </w:r>
      <w:r w:rsidR="00176422">
        <w:rPr>
          <w:noProof/>
        </w:rPr>
        <w:t>6</w:t>
      </w:r>
      <w:r w:rsidR="005B26ED">
        <w:rPr>
          <w:lang w:eastAsia="en-US"/>
        </w:rPr>
        <w:fldChar w:fldCharType="end"/>
      </w:r>
      <w:r w:rsidR="005B26ED">
        <w:rPr>
          <w:lang w:eastAsia="en-US"/>
        </w:rPr>
        <w:t xml:space="preserve">, </w:t>
      </w:r>
      <w:r w:rsidR="005B26ED">
        <w:rPr>
          <w:lang w:eastAsia="en-US"/>
        </w:rPr>
        <w:fldChar w:fldCharType="begin"/>
      </w:r>
      <w:r w:rsidR="005B26ED">
        <w:rPr>
          <w:lang w:eastAsia="en-US"/>
        </w:rPr>
        <w:instrText xml:space="preserve"> REF _Ref10129611 \h </w:instrText>
      </w:r>
      <w:r w:rsidR="005B26ED">
        <w:rPr>
          <w:lang w:eastAsia="en-US"/>
        </w:rPr>
      </w:r>
      <w:r w:rsidR="005B26ED">
        <w:rPr>
          <w:lang w:eastAsia="en-US"/>
        </w:rPr>
        <w:fldChar w:fldCharType="separate"/>
      </w:r>
      <w:r w:rsidR="00176422" w:rsidRPr="002749BC">
        <w:t xml:space="preserve">Table </w:t>
      </w:r>
      <w:r w:rsidR="00176422">
        <w:rPr>
          <w:noProof/>
        </w:rPr>
        <w:t>7</w:t>
      </w:r>
      <w:r w:rsidR="005B26ED">
        <w:rPr>
          <w:lang w:eastAsia="en-US"/>
        </w:rPr>
        <w:fldChar w:fldCharType="end"/>
      </w:r>
      <w:r w:rsidR="005B26ED">
        <w:rPr>
          <w:lang w:eastAsia="en-US"/>
        </w:rPr>
        <w:t xml:space="preserve"> and </w:t>
      </w:r>
      <w:r w:rsidR="005B26ED">
        <w:rPr>
          <w:lang w:eastAsia="en-US"/>
        </w:rPr>
        <w:fldChar w:fldCharType="begin"/>
      </w:r>
      <w:r w:rsidR="005B26ED">
        <w:rPr>
          <w:lang w:eastAsia="en-US"/>
        </w:rPr>
        <w:instrText xml:space="preserve"> REF _Ref10129596 \h </w:instrText>
      </w:r>
      <w:r w:rsidR="005B26ED">
        <w:rPr>
          <w:lang w:eastAsia="en-US"/>
        </w:rPr>
      </w:r>
      <w:r w:rsidR="005B26ED">
        <w:rPr>
          <w:lang w:eastAsia="en-US"/>
        </w:rPr>
        <w:fldChar w:fldCharType="separate"/>
      </w:r>
      <w:r w:rsidR="00176422" w:rsidRPr="002749BC">
        <w:t xml:space="preserve">Table </w:t>
      </w:r>
      <w:r w:rsidR="00176422">
        <w:rPr>
          <w:noProof/>
        </w:rPr>
        <w:t>8</w:t>
      </w:r>
      <w:r w:rsidR="005B26ED">
        <w:rPr>
          <w:lang w:eastAsia="en-US"/>
        </w:rPr>
        <w:fldChar w:fldCharType="end"/>
      </w:r>
      <w:r w:rsidR="005B26ED">
        <w:rPr>
          <w:lang w:eastAsia="en-US"/>
        </w:rPr>
        <w:t xml:space="preserve"> </w:t>
      </w:r>
      <w:r w:rsidRPr="002749BC">
        <w:rPr>
          <w:lang w:eastAsia="en-US"/>
        </w:rPr>
        <w:t xml:space="preserve">provide </w:t>
      </w:r>
      <w:r w:rsidR="005B26ED">
        <w:rPr>
          <w:lang w:eastAsia="en-US"/>
        </w:rPr>
        <w:t>summaries of studies in the electricity, water and broadband contexts</w:t>
      </w:r>
      <w:r w:rsidRPr="002749BC">
        <w:rPr>
          <w:lang w:eastAsia="en-US"/>
        </w:rPr>
        <w:t>, including the approaches and valuation measures used.</w:t>
      </w:r>
    </w:p>
    <w:p w14:paraId="3E0F476D" w14:textId="77777777" w:rsidR="00BC0483" w:rsidRPr="002749BC" w:rsidRDefault="00BC0483" w:rsidP="00BC0483">
      <w:pPr>
        <w:pStyle w:val="BodyText"/>
        <w:rPr>
          <w:lang w:eastAsia="en-US"/>
        </w:rPr>
      </w:pPr>
    </w:p>
    <w:p w14:paraId="42BBB2A0" w14:textId="77777777" w:rsidR="006A3BA4" w:rsidRPr="002749BC" w:rsidRDefault="006A3BA4" w:rsidP="006A3BA4">
      <w:pPr>
        <w:pStyle w:val="BodyText"/>
        <w:rPr>
          <w:lang w:eastAsia="en-US"/>
        </w:rPr>
      </w:pPr>
    </w:p>
    <w:p w14:paraId="6F0C1538" w14:textId="0A053531" w:rsidR="005B6E14" w:rsidRPr="00320F86" w:rsidRDefault="005B6E14">
      <w:pPr>
        <w:pStyle w:val="Heading2"/>
        <w:rPr>
          <w:rStyle w:val="normaltextrun"/>
        </w:rPr>
        <w:sectPr w:rsidR="005B6E14" w:rsidRPr="00320F86" w:rsidSect="008E27B5">
          <w:headerReference w:type="default" r:id="rId25"/>
          <w:footerReference w:type="default" r:id="rId26"/>
          <w:pgSz w:w="11906" w:h="16838" w:code="9"/>
          <w:pgMar w:top="2268" w:right="1701" w:bottom="1701" w:left="1701" w:header="709" w:footer="567" w:gutter="0"/>
          <w:cols w:space="708"/>
          <w:docGrid w:linePitch="360"/>
        </w:sectPr>
      </w:pPr>
    </w:p>
    <w:p w14:paraId="3712FFC9" w14:textId="60BAADF5" w:rsidR="00D918C0" w:rsidRPr="002749BC" w:rsidRDefault="00D918C0" w:rsidP="00D918C0">
      <w:pPr>
        <w:pStyle w:val="Caption"/>
        <w:rPr>
          <w:b w:val="0"/>
        </w:rPr>
      </w:pPr>
      <w:bookmarkStart w:id="29" w:name="_Ref10129593"/>
      <w:bookmarkStart w:id="30" w:name="_Toc12387787"/>
      <w:r w:rsidRPr="002749BC">
        <w:lastRenderedPageBreak/>
        <w:t xml:space="preserve">Table </w:t>
      </w:r>
      <w:r w:rsidRPr="002749BC">
        <w:rPr>
          <w:noProof/>
        </w:rPr>
        <w:fldChar w:fldCharType="begin"/>
      </w:r>
      <w:r w:rsidRPr="002749BC">
        <w:rPr>
          <w:noProof/>
        </w:rPr>
        <w:instrText xml:space="preserve"> SEQ Table \* ARABIC </w:instrText>
      </w:r>
      <w:r w:rsidRPr="002749BC">
        <w:rPr>
          <w:noProof/>
        </w:rPr>
        <w:fldChar w:fldCharType="separate"/>
      </w:r>
      <w:r w:rsidR="00176422">
        <w:rPr>
          <w:noProof/>
        </w:rPr>
        <w:t>6</w:t>
      </w:r>
      <w:r w:rsidRPr="002749BC">
        <w:rPr>
          <w:noProof/>
        </w:rPr>
        <w:fldChar w:fldCharType="end"/>
      </w:r>
      <w:bookmarkEnd w:id="29"/>
      <w:r w:rsidRPr="002749BC">
        <w:t xml:space="preserve"> </w:t>
      </w:r>
      <w:r w:rsidRPr="002749BC">
        <w:tab/>
        <w:t xml:space="preserve">Non-market valuation studies </w:t>
      </w:r>
      <w:r>
        <w:t xml:space="preserve">on </w:t>
      </w:r>
      <w:r w:rsidRPr="002749BC">
        <w:t>the value of reliability</w:t>
      </w:r>
      <w:r>
        <w:t xml:space="preserve"> in electricity</w:t>
      </w:r>
      <w:bookmarkEnd w:id="30"/>
    </w:p>
    <w:tbl>
      <w:tblPr>
        <w:tblW w:w="5250" w:type="pct"/>
        <w:tblCellMar>
          <w:left w:w="56" w:type="dxa"/>
          <w:right w:w="56" w:type="dxa"/>
        </w:tblCellMar>
        <w:tblLook w:val="0000" w:firstRow="0" w:lastRow="0" w:firstColumn="0" w:lastColumn="0" w:noHBand="0" w:noVBand="0"/>
      </w:tblPr>
      <w:tblGrid>
        <w:gridCol w:w="2404"/>
        <w:gridCol w:w="1053"/>
        <w:gridCol w:w="4326"/>
        <w:gridCol w:w="2652"/>
        <w:gridCol w:w="5311"/>
      </w:tblGrid>
      <w:tr w:rsidR="00D918C0" w:rsidRPr="002749BC" w14:paraId="5D90F44C" w14:textId="77777777" w:rsidTr="005B26ED">
        <w:trPr>
          <w:tblHeader/>
        </w:trPr>
        <w:tc>
          <w:tcPr>
            <w:tcW w:w="0" w:type="auto"/>
            <w:tcBorders>
              <w:top w:val="single" w:sz="4" w:space="0" w:color="000000"/>
              <w:bottom w:val="single" w:sz="4" w:space="0" w:color="000000"/>
            </w:tcBorders>
            <w:shd w:val="clear" w:color="auto" w:fill="auto"/>
          </w:tcPr>
          <w:p w14:paraId="6EEB9C61" w14:textId="77777777" w:rsidR="00D918C0" w:rsidRPr="002749BC" w:rsidRDefault="00D918C0" w:rsidP="00E56146">
            <w:pPr>
              <w:pStyle w:val="Tablecolumnheadings"/>
              <w:rPr>
                <w:shd w:val="clear" w:color="auto" w:fill="FFFFFF"/>
              </w:rPr>
            </w:pPr>
            <w:r w:rsidRPr="002749BC">
              <w:t>Study (Year)</w:t>
            </w:r>
          </w:p>
        </w:tc>
        <w:tc>
          <w:tcPr>
            <w:tcW w:w="0" w:type="auto"/>
            <w:tcBorders>
              <w:top w:val="single" w:sz="4" w:space="0" w:color="000000"/>
              <w:bottom w:val="single" w:sz="4" w:space="0" w:color="000000"/>
            </w:tcBorders>
            <w:shd w:val="clear" w:color="auto" w:fill="auto"/>
          </w:tcPr>
          <w:p w14:paraId="5FDB37B0" w14:textId="77777777" w:rsidR="00D918C0" w:rsidRPr="002749BC" w:rsidRDefault="00D918C0" w:rsidP="00E56146">
            <w:pPr>
              <w:pStyle w:val="Tablecolumnheadings"/>
              <w:rPr>
                <w:shd w:val="clear" w:color="auto" w:fill="FFFFFF"/>
              </w:rPr>
            </w:pPr>
            <w:r w:rsidRPr="002749BC">
              <w:t>Jurisdiction</w:t>
            </w:r>
          </w:p>
        </w:tc>
        <w:tc>
          <w:tcPr>
            <w:tcW w:w="0" w:type="auto"/>
            <w:tcBorders>
              <w:top w:val="single" w:sz="4" w:space="0" w:color="000000"/>
              <w:bottom w:val="single" w:sz="4" w:space="0" w:color="000000"/>
            </w:tcBorders>
            <w:shd w:val="clear" w:color="auto" w:fill="auto"/>
          </w:tcPr>
          <w:p w14:paraId="77F43DEA" w14:textId="77777777" w:rsidR="00D918C0" w:rsidRPr="002749BC" w:rsidRDefault="00D918C0" w:rsidP="00E56146">
            <w:pPr>
              <w:pStyle w:val="Tablecolumnheadings"/>
              <w:rPr>
                <w:shd w:val="clear" w:color="auto" w:fill="FFFFFF"/>
              </w:rPr>
            </w:pPr>
            <w:r w:rsidRPr="002749BC">
              <w:t>Study goal and studied attributes</w:t>
            </w:r>
          </w:p>
        </w:tc>
        <w:tc>
          <w:tcPr>
            <w:tcW w:w="0" w:type="auto"/>
            <w:tcBorders>
              <w:top w:val="single" w:sz="4" w:space="0" w:color="000000"/>
              <w:bottom w:val="single" w:sz="4" w:space="0" w:color="000000"/>
            </w:tcBorders>
            <w:shd w:val="clear" w:color="auto" w:fill="auto"/>
          </w:tcPr>
          <w:p w14:paraId="6FF8382F" w14:textId="77777777" w:rsidR="00D918C0" w:rsidRPr="002749BC" w:rsidRDefault="00D918C0" w:rsidP="00E56146">
            <w:pPr>
              <w:pStyle w:val="Tablecolumnheadings"/>
              <w:rPr>
                <w:shd w:val="clear" w:color="auto" w:fill="FFFFFF"/>
              </w:rPr>
            </w:pPr>
            <w:r w:rsidRPr="002749BC">
              <w:t>Valuation method(s)</w:t>
            </w:r>
          </w:p>
        </w:tc>
        <w:tc>
          <w:tcPr>
            <w:tcW w:w="0" w:type="auto"/>
            <w:tcBorders>
              <w:top w:val="single" w:sz="4" w:space="0" w:color="000000"/>
              <w:bottom w:val="single" w:sz="4" w:space="0" w:color="000000"/>
            </w:tcBorders>
            <w:shd w:val="clear" w:color="auto" w:fill="auto"/>
          </w:tcPr>
          <w:p w14:paraId="20905EC8" w14:textId="77777777" w:rsidR="00D918C0" w:rsidRPr="002749BC" w:rsidRDefault="00D918C0" w:rsidP="00E56146">
            <w:pPr>
              <w:pStyle w:val="Tablecolumnheadings"/>
              <w:rPr>
                <w:shd w:val="clear" w:color="auto" w:fill="FFFFFF"/>
              </w:rPr>
            </w:pPr>
            <w:r w:rsidRPr="002749BC">
              <w:t>Relevant insights</w:t>
            </w:r>
          </w:p>
        </w:tc>
      </w:tr>
      <w:tr w:rsidR="00D918C0" w:rsidRPr="002749BC" w14:paraId="50D2F861" w14:textId="77777777" w:rsidTr="005B26ED">
        <w:tc>
          <w:tcPr>
            <w:tcW w:w="0" w:type="auto"/>
            <w:tcBorders>
              <w:top w:val="single" w:sz="4" w:space="0" w:color="000000"/>
              <w:bottom w:val="single" w:sz="4" w:space="0" w:color="BFBFBF" w:themeColor="background1" w:themeShade="BF"/>
            </w:tcBorders>
            <w:shd w:val="clear" w:color="auto" w:fill="auto"/>
          </w:tcPr>
          <w:p w14:paraId="7820C2B9" w14:textId="77777777" w:rsidR="00D918C0" w:rsidRPr="002749BC" w:rsidRDefault="00D918C0" w:rsidP="00E56146">
            <w:pPr>
              <w:pStyle w:val="Tablebody"/>
              <w:rPr>
                <w:shd w:val="clear" w:color="auto" w:fill="FFFFFF"/>
              </w:rPr>
            </w:pPr>
            <w:r w:rsidRPr="002749BC">
              <w:rPr>
                <w:shd w:val="clear" w:color="auto" w:fill="FFFFFF"/>
              </w:rPr>
              <w:t>Willingness to pay for residential electricity supply quality and reliability</w:t>
            </w:r>
            <w:r w:rsidRPr="005D11B8">
              <w:rPr>
                <w:rStyle w:val="FootnoteReference"/>
              </w:rPr>
              <w:footnoteReference w:id="53"/>
            </w:r>
            <w:r w:rsidRPr="002749BC">
              <w:rPr>
                <w:shd w:val="clear" w:color="auto" w:fill="FFFFFF"/>
              </w:rPr>
              <w:t xml:space="preserve"> (2014)</w:t>
            </w:r>
          </w:p>
        </w:tc>
        <w:tc>
          <w:tcPr>
            <w:tcW w:w="0" w:type="auto"/>
            <w:tcBorders>
              <w:top w:val="single" w:sz="4" w:space="0" w:color="000000"/>
              <w:bottom w:val="single" w:sz="4" w:space="0" w:color="BFBFBF" w:themeColor="background1" w:themeShade="BF"/>
            </w:tcBorders>
            <w:shd w:val="clear" w:color="auto" w:fill="auto"/>
          </w:tcPr>
          <w:p w14:paraId="1BDB2AB8" w14:textId="77777777" w:rsidR="00D918C0" w:rsidRPr="002749BC" w:rsidRDefault="00D918C0" w:rsidP="00E56146">
            <w:pPr>
              <w:pStyle w:val="Tablebody"/>
              <w:rPr>
                <w:shd w:val="clear" w:color="auto" w:fill="FFFFFF"/>
              </w:rPr>
            </w:pPr>
            <w:r w:rsidRPr="002749BC">
              <w:rPr>
                <w:shd w:val="clear" w:color="auto" w:fill="FFFFFF"/>
              </w:rPr>
              <w:t>Canberra</w:t>
            </w:r>
          </w:p>
        </w:tc>
        <w:tc>
          <w:tcPr>
            <w:tcW w:w="0" w:type="auto"/>
            <w:tcBorders>
              <w:top w:val="single" w:sz="4" w:space="0" w:color="000000"/>
              <w:bottom w:val="single" w:sz="4" w:space="0" w:color="BFBFBF" w:themeColor="background1" w:themeShade="BF"/>
            </w:tcBorders>
            <w:shd w:val="clear" w:color="auto" w:fill="auto"/>
          </w:tcPr>
          <w:p w14:paraId="4202A3E5" w14:textId="77777777" w:rsidR="00D918C0" w:rsidRPr="002749BC" w:rsidRDefault="00D918C0" w:rsidP="00E56146">
            <w:pPr>
              <w:pStyle w:val="Tablebody"/>
              <w:rPr>
                <w:shd w:val="clear" w:color="auto" w:fill="FFFFFF"/>
              </w:rPr>
            </w:pPr>
            <w:r w:rsidRPr="002749BC">
              <w:rPr>
                <w:shd w:val="clear" w:color="auto" w:fill="FFFFFF"/>
              </w:rPr>
              <w:t xml:space="preserve">To inform the amount of expenditure that should be reflected in the revenue requirement for a service provider </w:t>
            </w:r>
          </w:p>
          <w:p w14:paraId="7A5653DE" w14:textId="77777777" w:rsidR="00D918C0" w:rsidRPr="002749BC" w:rsidRDefault="00D918C0" w:rsidP="00E56146">
            <w:pPr>
              <w:pStyle w:val="Tablebody"/>
              <w:rPr>
                <w:shd w:val="clear" w:color="auto" w:fill="FFFFFF"/>
              </w:rPr>
            </w:pPr>
            <w:r w:rsidRPr="002749BC">
              <w:rPr>
                <w:shd w:val="clear" w:color="auto" w:fill="FFFFFF"/>
              </w:rPr>
              <w:t>Studied attributes:</w:t>
            </w:r>
            <w:r w:rsidRPr="002749BC">
              <w:t xml:space="preserve"> households’ WTP to avoid specific restrictions on service supply quality (especially reliability) in residential electricity, frequency of outages, duration of outages. </w:t>
            </w:r>
          </w:p>
        </w:tc>
        <w:tc>
          <w:tcPr>
            <w:tcW w:w="0" w:type="auto"/>
            <w:tcBorders>
              <w:top w:val="single" w:sz="4" w:space="0" w:color="000000"/>
              <w:bottom w:val="single" w:sz="4" w:space="0" w:color="BFBFBF" w:themeColor="background1" w:themeShade="BF"/>
            </w:tcBorders>
            <w:shd w:val="clear" w:color="auto" w:fill="auto"/>
          </w:tcPr>
          <w:p w14:paraId="5CDC5705" w14:textId="77777777" w:rsidR="00D918C0" w:rsidRPr="002749BC" w:rsidRDefault="00D918C0" w:rsidP="00E56146">
            <w:pPr>
              <w:pStyle w:val="Tablebody"/>
              <w:rPr>
                <w:shd w:val="clear" w:color="auto" w:fill="FFFFFF"/>
              </w:rPr>
            </w:pPr>
            <w:r w:rsidRPr="002749BC">
              <w:rPr>
                <w:shd w:val="clear" w:color="auto" w:fill="FFFFFF"/>
              </w:rPr>
              <w:t>Choice modelling</w:t>
            </w:r>
          </w:p>
        </w:tc>
        <w:tc>
          <w:tcPr>
            <w:tcW w:w="0" w:type="auto"/>
            <w:tcBorders>
              <w:top w:val="single" w:sz="4" w:space="0" w:color="000000"/>
              <w:bottom w:val="single" w:sz="4" w:space="0" w:color="BFBFBF" w:themeColor="background1" w:themeShade="BF"/>
            </w:tcBorders>
            <w:shd w:val="clear" w:color="auto" w:fill="auto"/>
          </w:tcPr>
          <w:p w14:paraId="0C033FE6" w14:textId="77777777" w:rsidR="00D918C0" w:rsidRPr="002749BC" w:rsidRDefault="00D918C0" w:rsidP="00E56146">
            <w:pPr>
              <w:pStyle w:val="Tablebody"/>
              <w:rPr>
                <w:shd w:val="clear" w:color="auto" w:fill="FFFFFF"/>
              </w:rPr>
            </w:pPr>
            <w:r w:rsidRPr="002749BC">
              <w:rPr>
                <w:shd w:val="clear" w:color="auto" w:fill="FFFFFF"/>
              </w:rPr>
              <w:t xml:space="preserve">Residential customers value reliability of the electricity service. In particular, frequency and the duration of outages are important to customers, and customers value incurring fewer and shorter outages. </w:t>
            </w:r>
          </w:p>
          <w:p w14:paraId="73B70F4D" w14:textId="77777777" w:rsidR="00D918C0" w:rsidRPr="002749BC" w:rsidRDefault="00D918C0" w:rsidP="00E56146">
            <w:pPr>
              <w:pStyle w:val="Tablebody"/>
              <w:rPr>
                <w:shd w:val="clear" w:color="auto" w:fill="FFFFFF"/>
              </w:rPr>
            </w:pPr>
            <w:r w:rsidRPr="002749BC">
              <w:rPr>
                <w:shd w:val="clear" w:color="auto" w:fill="FFFFFF"/>
              </w:rPr>
              <w:t>Average WTP to avoid a common set of events such as outages, power surges and flickers in electric current vary from $60 (2012) per customer per event for an 8 hour electricity outage when it occurs once a year through to $9 per event for a flicker in electric current.</w:t>
            </w:r>
          </w:p>
        </w:tc>
      </w:tr>
      <w:tr w:rsidR="00D918C0" w:rsidRPr="002749BC" w14:paraId="548F7305" w14:textId="77777777" w:rsidTr="005B26ED">
        <w:tc>
          <w:tcPr>
            <w:tcW w:w="0" w:type="auto"/>
            <w:tcBorders>
              <w:top w:val="single" w:sz="4" w:space="0" w:color="BFBFBF" w:themeColor="background1" w:themeShade="BF"/>
              <w:bottom w:val="single" w:sz="4" w:space="0" w:color="BFBFBF" w:themeColor="background1" w:themeShade="BF"/>
            </w:tcBorders>
            <w:shd w:val="clear" w:color="auto" w:fill="auto"/>
          </w:tcPr>
          <w:p w14:paraId="488F815F" w14:textId="77777777" w:rsidR="00D918C0" w:rsidRPr="002749BC" w:rsidRDefault="00D918C0" w:rsidP="00E56146">
            <w:pPr>
              <w:pStyle w:val="Tablebody"/>
              <w:rPr>
                <w:shd w:val="clear" w:color="auto" w:fill="FFFFFF"/>
              </w:rPr>
            </w:pPr>
            <w:r w:rsidRPr="002749BC">
              <w:rPr>
                <w:shd w:val="clear" w:color="auto" w:fill="FFFFFF"/>
              </w:rPr>
              <w:t>Estimating the willingness to pay for reliable electricity supply</w:t>
            </w:r>
            <w:r w:rsidRPr="005D11B8">
              <w:rPr>
                <w:rStyle w:val="FootnoteReference"/>
              </w:rPr>
              <w:footnoteReference w:id="54"/>
            </w:r>
            <w:r w:rsidRPr="002749BC">
              <w:rPr>
                <w:shd w:val="clear" w:color="auto" w:fill="FFFFFF"/>
              </w:rPr>
              <w:t xml:space="preserve"> (2016)</w:t>
            </w:r>
          </w:p>
        </w:tc>
        <w:tc>
          <w:tcPr>
            <w:tcW w:w="0" w:type="auto"/>
            <w:tcBorders>
              <w:top w:val="single" w:sz="4" w:space="0" w:color="BFBFBF" w:themeColor="background1" w:themeShade="BF"/>
              <w:bottom w:val="single" w:sz="4" w:space="0" w:color="BFBFBF" w:themeColor="background1" w:themeShade="BF"/>
            </w:tcBorders>
            <w:shd w:val="clear" w:color="auto" w:fill="auto"/>
          </w:tcPr>
          <w:p w14:paraId="4462F513" w14:textId="77777777" w:rsidR="00D918C0" w:rsidRPr="002749BC" w:rsidRDefault="00D918C0" w:rsidP="00E56146">
            <w:pPr>
              <w:pStyle w:val="Tablebody"/>
              <w:rPr>
                <w:shd w:val="clear" w:color="auto" w:fill="FFFFFF"/>
              </w:rPr>
            </w:pPr>
            <w:r w:rsidRPr="002749BC">
              <w:rPr>
                <w:shd w:val="clear" w:color="auto" w:fill="FFFFFF"/>
              </w:rPr>
              <w:t>Turkey</w:t>
            </w:r>
          </w:p>
        </w:tc>
        <w:tc>
          <w:tcPr>
            <w:tcW w:w="0" w:type="auto"/>
            <w:tcBorders>
              <w:top w:val="single" w:sz="4" w:space="0" w:color="BFBFBF" w:themeColor="background1" w:themeShade="BF"/>
              <w:bottom w:val="single" w:sz="4" w:space="0" w:color="BFBFBF" w:themeColor="background1" w:themeShade="BF"/>
            </w:tcBorders>
            <w:shd w:val="clear" w:color="auto" w:fill="auto"/>
          </w:tcPr>
          <w:p w14:paraId="2360B265" w14:textId="77777777" w:rsidR="00D918C0" w:rsidRPr="002749BC" w:rsidRDefault="00D918C0" w:rsidP="00E56146">
            <w:pPr>
              <w:pStyle w:val="Tablebody"/>
              <w:rPr>
                <w:shd w:val="clear" w:color="auto" w:fill="FFFFFF"/>
              </w:rPr>
            </w:pPr>
            <w:r w:rsidRPr="002749BC">
              <w:rPr>
                <w:shd w:val="clear" w:color="auto" w:fill="FFFFFF"/>
              </w:rPr>
              <w:t>To examine household WTP for improved electricity service</w:t>
            </w:r>
          </w:p>
          <w:p w14:paraId="4FA89406" w14:textId="77777777" w:rsidR="00D918C0" w:rsidRPr="002749BC" w:rsidRDefault="00D918C0" w:rsidP="00E56146">
            <w:pPr>
              <w:pStyle w:val="Tablebody"/>
              <w:rPr>
                <w:shd w:val="clear" w:color="auto" w:fill="FFFFFF"/>
              </w:rPr>
            </w:pPr>
            <w:r w:rsidRPr="002749BC">
              <w:rPr>
                <w:shd w:val="clear" w:color="auto" w:fill="FFFFFF"/>
              </w:rPr>
              <w:t>Studied attributes: frequency of outages, duration of outages, notification of outages and timing of outages (season, day of the week, time of day)</w:t>
            </w:r>
          </w:p>
          <w:p w14:paraId="11438106" w14:textId="77777777" w:rsidR="00D918C0" w:rsidRPr="002749BC" w:rsidRDefault="00D918C0" w:rsidP="00E56146">
            <w:pPr>
              <w:pStyle w:val="Tablebody"/>
              <w:rPr>
                <w:shd w:val="clear" w:color="auto" w:fill="FFFFFF"/>
              </w:rPr>
            </w:pPr>
          </w:p>
        </w:tc>
        <w:tc>
          <w:tcPr>
            <w:tcW w:w="0" w:type="auto"/>
            <w:tcBorders>
              <w:top w:val="single" w:sz="4" w:space="0" w:color="BFBFBF" w:themeColor="background1" w:themeShade="BF"/>
              <w:bottom w:val="single" w:sz="4" w:space="0" w:color="BFBFBF" w:themeColor="background1" w:themeShade="BF"/>
            </w:tcBorders>
            <w:shd w:val="clear" w:color="auto" w:fill="auto"/>
          </w:tcPr>
          <w:p w14:paraId="65B98AA9" w14:textId="77777777" w:rsidR="00D918C0" w:rsidRPr="002749BC" w:rsidRDefault="00D918C0" w:rsidP="00E56146">
            <w:pPr>
              <w:pStyle w:val="Tablebody"/>
              <w:rPr>
                <w:shd w:val="clear" w:color="auto" w:fill="FFFFFF"/>
              </w:rPr>
            </w:pPr>
            <w:r w:rsidRPr="002749BC">
              <w:rPr>
                <w:shd w:val="clear" w:color="auto" w:fill="FFFFFF"/>
              </w:rPr>
              <w:t>Choice modelling</w:t>
            </w:r>
          </w:p>
        </w:tc>
        <w:tc>
          <w:tcPr>
            <w:tcW w:w="0" w:type="auto"/>
            <w:tcBorders>
              <w:top w:val="single" w:sz="4" w:space="0" w:color="BFBFBF" w:themeColor="background1" w:themeShade="BF"/>
              <w:bottom w:val="single" w:sz="4" w:space="0" w:color="BFBFBF" w:themeColor="background1" w:themeShade="BF"/>
            </w:tcBorders>
            <w:shd w:val="clear" w:color="auto" w:fill="auto"/>
          </w:tcPr>
          <w:p w14:paraId="1A095A2D" w14:textId="77777777" w:rsidR="00D918C0" w:rsidRPr="002749BC" w:rsidRDefault="00D918C0" w:rsidP="00E56146">
            <w:pPr>
              <w:pStyle w:val="Tablebody"/>
              <w:rPr>
                <w:shd w:val="clear" w:color="auto" w:fill="FFFFFF"/>
              </w:rPr>
            </w:pPr>
            <w:r w:rsidRPr="002749BC">
              <w:rPr>
                <w:shd w:val="clear" w:color="auto" w:fill="FFFFFF"/>
              </w:rPr>
              <w:t>To avoid the cost of outages, households are willing to incur a 3.6% and a 13.9% increase in their monthly electricity bill for summer and winter, respectively.</w:t>
            </w:r>
          </w:p>
          <w:p w14:paraId="73D52F96" w14:textId="77777777" w:rsidR="00D918C0" w:rsidRPr="002749BC" w:rsidRDefault="00D918C0" w:rsidP="00E56146">
            <w:pPr>
              <w:pStyle w:val="Tablebody"/>
              <w:rPr>
                <w:shd w:val="clear" w:color="auto" w:fill="FFFFFF"/>
              </w:rPr>
            </w:pPr>
            <w:r w:rsidRPr="002749BC">
              <w:rPr>
                <w:shd w:val="clear" w:color="auto" w:fill="FFFFFF"/>
              </w:rPr>
              <w:t>The willingness to pay per hour unserved is $0.24 USD (2008) for summer, and $0.92 USD (2008) for winter.</w:t>
            </w:r>
          </w:p>
        </w:tc>
      </w:tr>
      <w:tr w:rsidR="00D918C0" w:rsidRPr="002749BC" w14:paraId="0C469536" w14:textId="77777777" w:rsidTr="005B26ED">
        <w:tc>
          <w:tcPr>
            <w:tcW w:w="0" w:type="auto"/>
            <w:tcBorders>
              <w:top w:val="single" w:sz="4" w:space="0" w:color="BFBFBF" w:themeColor="background1" w:themeShade="BF"/>
              <w:bottom w:val="single" w:sz="4" w:space="0" w:color="BFBFBF" w:themeColor="background1" w:themeShade="BF"/>
            </w:tcBorders>
            <w:shd w:val="clear" w:color="auto" w:fill="auto"/>
          </w:tcPr>
          <w:p w14:paraId="1E3C6574" w14:textId="77777777" w:rsidR="00D918C0" w:rsidRPr="002749BC" w:rsidRDefault="00D918C0" w:rsidP="00E56146">
            <w:pPr>
              <w:pStyle w:val="Tablebody"/>
              <w:rPr>
                <w:shd w:val="clear" w:color="auto" w:fill="FFFFFF"/>
              </w:rPr>
            </w:pPr>
            <w:r w:rsidRPr="002749BC">
              <w:rPr>
                <w:shd w:val="clear" w:color="auto" w:fill="FFFFFF"/>
              </w:rPr>
              <w:t>Value of Customer Reliability Final Report</w:t>
            </w:r>
            <w:r w:rsidRPr="005D11B8">
              <w:rPr>
                <w:rStyle w:val="FootnoteReference"/>
              </w:rPr>
              <w:footnoteReference w:id="55"/>
            </w:r>
            <w:r w:rsidRPr="002749BC">
              <w:rPr>
                <w:shd w:val="clear" w:color="auto" w:fill="FFFFFF"/>
              </w:rPr>
              <w:t xml:space="preserve"> (2014) </w:t>
            </w:r>
          </w:p>
        </w:tc>
        <w:tc>
          <w:tcPr>
            <w:tcW w:w="0" w:type="auto"/>
            <w:tcBorders>
              <w:top w:val="single" w:sz="4" w:space="0" w:color="BFBFBF" w:themeColor="background1" w:themeShade="BF"/>
              <w:bottom w:val="single" w:sz="4" w:space="0" w:color="BFBFBF" w:themeColor="background1" w:themeShade="BF"/>
            </w:tcBorders>
            <w:shd w:val="clear" w:color="auto" w:fill="auto"/>
          </w:tcPr>
          <w:p w14:paraId="0E0CD66E" w14:textId="77777777" w:rsidR="00D918C0" w:rsidRPr="002749BC" w:rsidRDefault="00D918C0" w:rsidP="00E56146">
            <w:pPr>
              <w:pStyle w:val="Tablebody"/>
              <w:rPr>
                <w:shd w:val="clear" w:color="auto" w:fill="FFFFFF"/>
              </w:rPr>
            </w:pPr>
            <w:r w:rsidRPr="002749BC">
              <w:rPr>
                <w:shd w:val="clear" w:color="auto" w:fill="FFFFFF"/>
              </w:rPr>
              <w:t>Australia</w:t>
            </w:r>
          </w:p>
        </w:tc>
        <w:tc>
          <w:tcPr>
            <w:tcW w:w="0" w:type="auto"/>
            <w:tcBorders>
              <w:top w:val="single" w:sz="4" w:space="0" w:color="BFBFBF" w:themeColor="background1" w:themeShade="BF"/>
              <w:bottom w:val="single" w:sz="4" w:space="0" w:color="BFBFBF" w:themeColor="background1" w:themeShade="BF"/>
            </w:tcBorders>
            <w:shd w:val="clear" w:color="auto" w:fill="auto"/>
          </w:tcPr>
          <w:p w14:paraId="1D8AF1C9" w14:textId="77777777" w:rsidR="00D918C0" w:rsidRPr="002749BC" w:rsidRDefault="00D918C0" w:rsidP="00E56146">
            <w:pPr>
              <w:pStyle w:val="Tablebody"/>
              <w:rPr>
                <w:shd w:val="clear" w:color="auto" w:fill="FFFFFF"/>
              </w:rPr>
            </w:pPr>
            <w:r w:rsidRPr="002749BC">
              <w:rPr>
                <w:shd w:val="clear" w:color="auto" w:fill="FFFFFF"/>
              </w:rPr>
              <w:t>To review of the value of customer reliability to provide national level value of customer reliability (VCRs) for the first time</w:t>
            </w:r>
          </w:p>
          <w:p w14:paraId="766A6BDB" w14:textId="77777777" w:rsidR="00D918C0" w:rsidRPr="002749BC" w:rsidRDefault="00D918C0" w:rsidP="00E56146">
            <w:pPr>
              <w:pStyle w:val="Tablebody"/>
              <w:rPr>
                <w:shd w:val="clear" w:color="auto" w:fill="FFFFFF"/>
              </w:rPr>
            </w:pPr>
            <w:r w:rsidRPr="002749BC">
              <w:rPr>
                <w:shd w:val="clear" w:color="auto" w:fill="FFFFFF"/>
              </w:rPr>
              <w:t>Studied attributes: Length of outage, frequency, timing</w:t>
            </w:r>
          </w:p>
        </w:tc>
        <w:tc>
          <w:tcPr>
            <w:tcW w:w="0" w:type="auto"/>
            <w:tcBorders>
              <w:top w:val="single" w:sz="4" w:space="0" w:color="BFBFBF" w:themeColor="background1" w:themeShade="BF"/>
              <w:bottom w:val="single" w:sz="4" w:space="0" w:color="BFBFBF" w:themeColor="background1" w:themeShade="BF"/>
            </w:tcBorders>
            <w:shd w:val="clear" w:color="auto" w:fill="auto"/>
          </w:tcPr>
          <w:p w14:paraId="6BB8A778" w14:textId="77777777" w:rsidR="00D918C0" w:rsidRPr="002749BC" w:rsidRDefault="00D918C0" w:rsidP="00E56146">
            <w:pPr>
              <w:pStyle w:val="Tablebody"/>
              <w:rPr>
                <w:shd w:val="clear" w:color="auto" w:fill="FFFFFF"/>
              </w:rPr>
            </w:pPr>
            <w:r w:rsidRPr="002749BC">
              <w:rPr>
                <w:shd w:val="clear" w:color="auto" w:fill="FFFFFF"/>
              </w:rPr>
              <w:t>Choice modelling and contingent valuation</w:t>
            </w:r>
          </w:p>
        </w:tc>
        <w:tc>
          <w:tcPr>
            <w:tcW w:w="0" w:type="auto"/>
            <w:tcBorders>
              <w:top w:val="single" w:sz="4" w:space="0" w:color="BFBFBF" w:themeColor="background1" w:themeShade="BF"/>
              <w:bottom w:val="single" w:sz="4" w:space="0" w:color="BFBFBF" w:themeColor="background1" w:themeShade="BF"/>
            </w:tcBorders>
            <w:shd w:val="clear" w:color="auto" w:fill="auto"/>
          </w:tcPr>
          <w:p w14:paraId="25FD8AA0" w14:textId="77777777" w:rsidR="00D918C0" w:rsidRPr="002749BC" w:rsidRDefault="00D918C0" w:rsidP="00E56146">
            <w:pPr>
              <w:pStyle w:val="Tablebody"/>
              <w:rPr>
                <w:shd w:val="clear" w:color="auto" w:fill="FFFFFF"/>
              </w:rPr>
            </w:pPr>
            <w:r w:rsidRPr="002749BC">
              <w:rPr>
                <w:shd w:val="clear" w:color="auto" w:fill="FFFFFF"/>
              </w:rPr>
              <w:t>Choice modelling was used to establish the relative importance to customers of the different characteristics of unplanned outages (duration, frequency, time of year, time of day)</w:t>
            </w:r>
          </w:p>
          <w:p w14:paraId="0ABBE27C" w14:textId="77777777" w:rsidR="00D918C0" w:rsidRPr="002749BC" w:rsidRDefault="00D918C0" w:rsidP="00E56146">
            <w:pPr>
              <w:pStyle w:val="Tablebody"/>
              <w:rPr>
                <w:shd w:val="clear" w:color="auto" w:fill="FFFFFF"/>
              </w:rPr>
            </w:pPr>
            <w:r w:rsidRPr="002749BC">
              <w:rPr>
                <w:shd w:val="clear" w:color="auto" w:fill="FFFFFF"/>
              </w:rPr>
              <w:t>Contingent valuation was used to establish customers’ willingness to pay for improvements in average reliability.</w:t>
            </w:r>
          </w:p>
          <w:p w14:paraId="64EC7806" w14:textId="77777777" w:rsidR="00D918C0" w:rsidRPr="002749BC" w:rsidRDefault="00D918C0" w:rsidP="00E56146">
            <w:pPr>
              <w:pStyle w:val="Tablebody"/>
              <w:rPr>
                <w:shd w:val="clear" w:color="auto" w:fill="FFFFFF"/>
              </w:rPr>
            </w:pPr>
            <w:r w:rsidRPr="002749BC">
              <w:rPr>
                <w:shd w:val="clear" w:color="auto" w:fill="FFFFFF"/>
              </w:rPr>
              <w:t>Residential $25.95 VCR $/kWh (2013)</w:t>
            </w:r>
          </w:p>
          <w:p w14:paraId="5EC57B3C" w14:textId="77777777" w:rsidR="00D918C0" w:rsidRPr="002749BC" w:rsidRDefault="00D918C0" w:rsidP="00E56146">
            <w:pPr>
              <w:pStyle w:val="Tablebody"/>
              <w:rPr>
                <w:shd w:val="clear" w:color="auto" w:fill="FFFFFF"/>
              </w:rPr>
            </w:pPr>
            <w:r w:rsidRPr="002749BC">
              <w:rPr>
                <w:shd w:val="clear" w:color="auto" w:fill="FFFFFF"/>
              </w:rPr>
              <w:t>Agriculture $47.67 VCR $/kWh</w:t>
            </w:r>
          </w:p>
          <w:p w14:paraId="59158CB4" w14:textId="77777777" w:rsidR="00D918C0" w:rsidRPr="002749BC" w:rsidRDefault="00D918C0" w:rsidP="00E56146">
            <w:pPr>
              <w:pStyle w:val="Tablebody"/>
              <w:rPr>
                <w:shd w:val="clear" w:color="auto" w:fill="FFFFFF"/>
              </w:rPr>
            </w:pPr>
            <w:r w:rsidRPr="002749BC">
              <w:rPr>
                <w:shd w:val="clear" w:color="auto" w:fill="FFFFFF"/>
              </w:rPr>
              <w:t>Commercial $44.72 VCR $/kWh</w:t>
            </w:r>
          </w:p>
          <w:p w14:paraId="2AC3C26A" w14:textId="77777777" w:rsidR="00D918C0" w:rsidRPr="002749BC" w:rsidRDefault="00D918C0" w:rsidP="00E56146">
            <w:pPr>
              <w:pStyle w:val="Tablebody"/>
              <w:rPr>
                <w:shd w:val="clear" w:color="auto" w:fill="FFFFFF"/>
              </w:rPr>
            </w:pPr>
            <w:r w:rsidRPr="002749BC">
              <w:rPr>
                <w:shd w:val="clear" w:color="auto" w:fill="FFFFFF"/>
              </w:rPr>
              <w:t>Industrial $44.06 VCR $/kWh</w:t>
            </w:r>
          </w:p>
          <w:p w14:paraId="33061B00" w14:textId="77777777" w:rsidR="00D918C0" w:rsidRPr="002749BC" w:rsidRDefault="00D918C0" w:rsidP="00E56146">
            <w:pPr>
              <w:pStyle w:val="Tablebody"/>
              <w:rPr>
                <w:shd w:val="clear" w:color="auto" w:fill="FFFFFF"/>
              </w:rPr>
            </w:pPr>
            <w:r w:rsidRPr="002749BC">
              <w:rPr>
                <w:shd w:val="clear" w:color="auto" w:fill="FFFFFF"/>
              </w:rPr>
              <w:t>Direct connect customers $6.05 VCR $/kWh</w:t>
            </w:r>
          </w:p>
        </w:tc>
      </w:tr>
      <w:tr w:rsidR="00D918C0" w:rsidRPr="002749BC" w14:paraId="46CD4F51" w14:textId="77777777" w:rsidTr="005B26ED">
        <w:tc>
          <w:tcPr>
            <w:tcW w:w="0" w:type="auto"/>
            <w:tcBorders>
              <w:top w:val="single" w:sz="4" w:space="0" w:color="BFBFBF" w:themeColor="background1" w:themeShade="BF"/>
              <w:bottom w:val="single" w:sz="4" w:space="0" w:color="BFBFBF" w:themeColor="background1" w:themeShade="BF"/>
            </w:tcBorders>
            <w:shd w:val="clear" w:color="auto" w:fill="auto"/>
          </w:tcPr>
          <w:p w14:paraId="0AD6F3AA" w14:textId="77777777" w:rsidR="00D918C0" w:rsidRPr="002673D9" w:rsidRDefault="00D918C0" w:rsidP="00E56146">
            <w:pPr>
              <w:pStyle w:val="Tablebody"/>
              <w:rPr>
                <w:shd w:val="clear" w:color="auto" w:fill="FFFFFF"/>
              </w:rPr>
            </w:pPr>
            <w:r w:rsidRPr="002673D9">
              <w:rPr>
                <w:shd w:val="clear" w:color="auto" w:fill="FFFFFF"/>
              </w:rPr>
              <w:t>CBD and Inner Metro VCR estimates</w:t>
            </w:r>
            <w:r w:rsidRPr="002673D9">
              <w:rPr>
                <w:rStyle w:val="FootnoteReference"/>
              </w:rPr>
              <w:footnoteReference w:id="56"/>
            </w:r>
            <w:r w:rsidRPr="002673D9">
              <w:rPr>
                <w:shd w:val="clear" w:color="auto" w:fill="FFFFFF"/>
              </w:rPr>
              <w:t xml:space="preserve"> (2016)</w:t>
            </w:r>
          </w:p>
        </w:tc>
        <w:tc>
          <w:tcPr>
            <w:tcW w:w="0" w:type="auto"/>
            <w:tcBorders>
              <w:top w:val="single" w:sz="4" w:space="0" w:color="BFBFBF" w:themeColor="background1" w:themeShade="BF"/>
              <w:bottom w:val="single" w:sz="4" w:space="0" w:color="BFBFBF" w:themeColor="background1" w:themeShade="BF"/>
            </w:tcBorders>
            <w:shd w:val="clear" w:color="auto" w:fill="auto"/>
          </w:tcPr>
          <w:p w14:paraId="734E7953" w14:textId="77777777" w:rsidR="00D918C0" w:rsidRPr="002673D9" w:rsidRDefault="00D918C0" w:rsidP="00E56146">
            <w:pPr>
              <w:pStyle w:val="Tablebody"/>
              <w:rPr>
                <w:shd w:val="clear" w:color="auto" w:fill="FFFFFF"/>
              </w:rPr>
            </w:pPr>
            <w:r>
              <w:rPr>
                <w:shd w:val="clear" w:color="auto" w:fill="FFFFFF"/>
              </w:rPr>
              <w:t>Australia</w:t>
            </w:r>
          </w:p>
        </w:tc>
        <w:tc>
          <w:tcPr>
            <w:tcW w:w="0" w:type="auto"/>
            <w:tcBorders>
              <w:top w:val="single" w:sz="4" w:space="0" w:color="BFBFBF" w:themeColor="background1" w:themeShade="BF"/>
              <w:bottom w:val="single" w:sz="4" w:space="0" w:color="BFBFBF" w:themeColor="background1" w:themeShade="BF"/>
            </w:tcBorders>
            <w:shd w:val="clear" w:color="auto" w:fill="auto"/>
          </w:tcPr>
          <w:p w14:paraId="24916AAD" w14:textId="77777777" w:rsidR="00D918C0" w:rsidRDefault="00D918C0" w:rsidP="00E56146">
            <w:pPr>
              <w:pStyle w:val="Tablebody"/>
              <w:rPr>
                <w:shd w:val="clear" w:color="auto" w:fill="FFFFFF"/>
              </w:rPr>
            </w:pPr>
            <w:r>
              <w:rPr>
                <w:shd w:val="clear" w:color="auto" w:fill="FFFFFF"/>
              </w:rPr>
              <w:t>T</w:t>
            </w:r>
            <w:r w:rsidRPr="0000378C">
              <w:rPr>
                <w:shd w:val="clear" w:color="auto" w:fill="FFFFFF"/>
              </w:rPr>
              <w:t>o determine defensible values of the Value of Customer</w:t>
            </w:r>
            <w:r>
              <w:rPr>
                <w:shd w:val="clear" w:color="auto" w:fill="FFFFFF"/>
              </w:rPr>
              <w:t xml:space="preserve"> </w:t>
            </w:r>
            <w:r w:rsidRPr="0000378C">
              <w:rPr>
                <w:shd w:val="clear" w:color="auto" w:fill="FFFFFF"/>
              </w:rPr>
              <w:t>Reliability (VCR) that can be applied to unserved energy estimates in both Sydney’s CBD and Sydney’s</w:t>
            </w:r>
            <w:r>
              <w:rPr>
                <w:shd w:val="clear" w:color="auto" w:fill="FFFFFF"/>
              </w:rPr>
              <w:t xml:space="preserve"> </w:t>
            </w:r>
            <w:r w:rsidRPr="0000378C">
              <w:rPr>
                <w:shd w:val="clear" w:color="auto" w:fill="FFFFFF"/>
              </w:rPr>
              <w:t>Inner Metropolitan (Inner Metro) areas, drawing on existing, publicly available VCR estimates.</w:t>
            </w:r>
          </w:p>
          <w:p w14:paraId="79B63CB2" w14:textId="77777777" w:rsidR="00D918C0" w:rsidRPr="002673D9" w:rsidRDefault="00D918C0" w:rsidP="00E56146">
            <w:pPr>
              <w:pStyle w:val="Tablebody"/>
              <w:rPr>
                <w:shd w:val="clear" w:color="auto" w:fill="FFFFFF"/>
              </w:rPr>
            </w:pPr>
            <w:r>
              <w:rPr>
                <w:shd w:val="clear" w:color="auto" w:fill="FFFFFF"/>
              </w:rPr>
              <w:t>Studied attributes: type of customer, location, length of outage, frequency of outage</w:t>
            </w:r>
          </w:p>
        </w:tc>
        <w:tc>
          <w:tcPr>
            <w:tcW w:w="0" w:type="auto"/>
            <w:tcBorders>
              <w:top w:val="single" w:sz="4" w:space="0" w:color="BFBFBF" w:themeColor="background1" w:themeShade="BF"/>
              <w:bottom w:val="single" w:sz="4" w:space="0" w:color="BFBFBF" w:themeColor="background1" w:themeShade="BF"/>
            </w:tcBorders>
            <w:shd w:val="clear" w:color="auto" w:fill="auto"/>
          </w:tcPr>
          <w:p w14:paraId="5F436E4D" w14:textId="77777777" w:rsidR="00D918C0" w:rsidRDefault="00D918C0" w:rsidP="00E56146">
            <w:pPr>
              <w:pStyle w:val="Tablebody"/>
              <w:rPr>
                <w:shd w:val="clear" w:color="auto" w:fill="FFFFFF"/>
              </w:rPr>
            </w:pPr>
            <w:r>
              <w:rPr>
                <w:shd w:val="clear" w:color="auto" w:fill="FFFFFF"/>
              </w:rPr>
              <w:t xml:space="preserve">Used AEMO 2014 VCR as a base, the applied a range of income uplift factors to value CBD/Inner Metro Residential VCR. </w:t>
            </w:r>
          </w:p>
          <w:p w14:paraId="38EB60B5" w14:textId="77777777" w:rsidR="00D918C0" w:rsidRPr="002673D9" w:rsidRDefault="00D918C0" w:rsidP="00E56146">
            <w:pPr>
              <w:pStyle w:val="Tablebody"/>
              <w:rPr>
                <w:shd w:val="clear" w:color="auto" w:fill="FFFFFF"/>
              </w:rPr>
            </w:pPr>
            <w:r>
              <w:rPr>
                <w:shd w:val="clear" w:color="auto" w:fill="FFFFFF"/>
              </w:rPr>
              <w:t>Used OGW’s VCR as a base for CBD/Inner Metro Commercial VCR, adjusting for size of commercial customer</w:t>
            </w:r>
          </w:p>
        </w:tc>
        <w:tc>
          <w:tcPr>
            <w:tcW w:w="0" w:type="auto"/>
            <w:tcBorders>
              <w:top w:val="single" w:sz="4" w:space="0" w:color="BFBFBF" w:themeColor="background1" w:themeShade="BF"/>
              <w:bottom w:val="single" w:sz="4" w:space="0" w:color="BFBFBF" w:themeColor="background1" w:themeShade="BF"/>
            </w:tcBorders>
            <w:shd w:val="clear" w:color="auto" w:fill="auto"/>
          </w:tcPr>
          <w:p w14:paraId="38E9C656" w14:textId="77777777" w:rsidR="00D918C0" w:rsidRDefault="00D918C0" w:rsidP="00E56146">
            <w:pPr>
              <w:pStyle w:val="Tablebody"/>
              <w:rPr>
                <w:shd w:val="clear" w:color="auto" w:fill="FFFFFF"/>
              </w:rPr>
            </w:pPr>
            <w:r>
              <w:rPr>
                <w:shd w:val="clear" w:color="auto" w:fill="FFFFFF"/>
              </w:rPr>
              <w:t>Total CBD VCR: $150-$192/kWh (in 2015/16$)</w:t>
            </w:r>
          </w:p>
          <w:p w14:paraId="7B6AAF20" w14:textId="77777777" w:rsidR="00D918C0" w:rsidRPr="002673D9" w:rsidRDefault="00D918C0" w:rsidP="00E56146">
            <w:pPr>
              <w:pStyle w:val="Tablebody"/>
              <w:rPr>
                <w:shd w:val="clear" w:color="auto" w:fill="FFFFFF"/>
              </w:rPr>
            </w:pPr>
            <w:r>
              <w:rPr>
                <w:shd w:val="clear" w:color="auto" w:fill="FFFFFF"/>
              </w:rPr>
              <w:t>Total Inner Metro VCR: $90/kWh (in 2015/16$)</w:t>
            </w:r>
          </w:p>
        </w:tc>
      </w:tr>
      <w:tr w:rsidR="00D918C0" w:rsidRPr="002749BC" w14:paraId="214A2AFA" w14:textId="77777777" w:rsidTr="005B26ED">
        <w:tc>
          <w:tcPr>
            <w:tcW w:w="0" w:type="auto"/>
            <w:tcBorders>
              <w:top w:val="single" w:sz="4" w:space="0" w:color="BFBFBF" w:themeColor="background1" w:themeShade="BF"/>
              <w:bottom w:val="single" w:sz="4" w:space="0" w:color="BFBFBF" w:themeColor="background1" w:themeShade="BF"/>
            </w:tcBorders>
            <w:shd w:val="clear" w:color="auto" w:fill="auto"/>
          </w:tcPr>
          <w:p w14:paraId="4D68B775" w14:textId="77777777" w:rsidR="00D918C0" w:rsidRPr="002749BC" w:rsidRDefault="00D918C0" w:rsidP="00E56146">
            <w:pPr>
              <w:pStyle w:val="Tablebody"/>
              <w:rPr>
                <w:shd w:val="clear" w:color="auto" w:fill="FFFFFF"/>
              </w:rPr>
            </w:pPr>
            <w:r w:rsidRPr="002749BC">
              <w:rPr>
                <w:shd w:val="clear" w:color="auto" w:fill="FFFFFF"/>
              </w:rPr>
              <w:lastRenderedPageBreak/>
              <w:t>Economics of Widespread, Long-Duration Power Interruptions</w:t>
            </w:r>
            <w:r w:rsidRPr="005D11B8">
              <w:rPr>
                <w:rStyle w:val="FootnoteReference"/>
              </w:rPr>
              <w:footnoteReference w:id="57"/>
            </w:r>
            <w:r w:rsidRPr="002749BC">
              <w:rPr>
                <w:shd w:val="clear" w:color="auto" w:fill="FFFFFF"/>
              </w:rPr>
              <w:t xml:space="preserve"> (2019)</w:t>
            </w:r>
          </w:p>
        </w:tc>
        <w:tc>
          <w:tcPr>
            <w:tcW w:w="0" w:type="auto"/>
            <w:tcBorders>
              <w:top w:val="single" w:sz="4" w:space="0" w:color="BFBFBF" w:themeColor="background1" w:themeShade="BF"/>
              <w:bottom w:val="single" w:sz="4" w:space="0" w:color="BFBFBF" w:themeColor="background1" w:themeShade="BF"/>
            </w:tcBorders>
            <w:shd w:val="clear" w:color="auto" w:fill="auto"/>
          </w:tcPr>
          <w:p w14:paraId="4552E5F6" w14:textId="77777777" w:rsidR="00D918C0" w:rsidRPr="002749BC" w:rsidRDefault="00D918C0" w:rsidP="00E56146">
            <w:pPr>
              <w:pStyle w:val="Tablebody"/>
              <w:rPr>
                <w:shd w:val="clear" w:color="auto" w:fill="FFFFFF"/>
              </w:rPr>
            </w:pPr>
            <w:r w:rsidRPr="002749BC">
              <w:rPr>
                <w:shd w:val="clear" w:color="auto" w:fill="FFFFFF"/>
              </w:rPr>
              <w:t>US</w:t>
            </w:r>
          </w:p>
        </w:tc>
        <w:tc>
          <w:tcPr>
            <w:tcW w:w="0" w:type="auto"/>
            <w:tcBorders>
              <w:top w:val="single" w:sz="4" w:space="0" w:color="BFBFBF" w:themeColor="background1" w:themeShade="BF"/>
              <w:bottom w:val="single" w:sz="4" w:space="0" w:color="BFBFBF" w:themeColor="background1" w:themeShade="BF"/>
            </w:tcBorders>
            <w:shd w:val="clear" w:color="auto" w:fill="auto"/>
          </w:tcPr>
          <w:p w14:paraId="184CDBC5" w14:textId="77777777" w:rsidR="00D918C0" w:rsidRPr="002749BC" w:rsidRDefault="00D918C0" w:rsidP="00E56146">
            <w:pPr>
              <w:pStyle w:val="Tablebody"/>
              <w:rPr>
                <w:shd w:val="clear" w:color="auto" w:fill="FFFFFF"/>
              </w:rPr>
            </w:pPr>
            <w:r w:rsidRPr="002749BC">
              <w:rPr>
                <w:shd w:val="clear" w:color="auto" w:fill="FFFFFF"/>
              </w:rPr>
              <w:t xml:space="preserve">Assessing the state of knowledge on valuation techniques applicable to long duration and widespread power outages. </w:t>
            </w:r>
          </w:p>
        </w:tc>
        <w:tc>
          <w:tcPr>
            <w:tcW w:w="0" w:type="auto"/>
            <w:tcBorders>
              <w:top w:val="single" w:sz="4" w:space="0" w:color="BFBFBF" w:themeColor="background1" w:themeShade="BF"/>
              <w:bottom w:val="single" w:sz="4" w:space="0" w:color="BFBFBF" w:themeColor="background1" w:themeShade="BF"/>
            </w:tcBorders>
            <w:shd w:val="clear" w:color="auto" w:fill="auto"/>
          </w:tcPr>
          <w:p w14:paraId="5797E065" w14:textId="77777777" w:rsidR="00D918C0" w:rsidRPr="002749BC" w:rsidRDefault="00D918C0" w:rsidP="00E56146">
            <w:pPr>
              <w:pStyle w:val="Tablebody"/>
              <w:rPr>
                <w:shd w:val="clear" w:color="auto" w:fill="FFFFFF"/>
              </w:rPr>
            </w:pPr>
            <w:r w:rsidRPr="002749BC">
              <w:rPr>
                <w:shd w:val="clear" w:color="auto" w:fill="FFFFFF"/>
              </w:rPr>
              <w:t xml:space="preserve">Contingent valuation; </w:t>
            </w:r>
            <w:r w:rsidRPr="002749BC">
              <w:t>customer damage functions; macroeconomic modelling (I/O and CGE)</w:t>
            </w:r>
          </w:p>
        </w:tc>
        <w:tc>
          <w:tcPr>
            <w:tcW w:w="0" w:type="auto"/>
            <w:tcBorders>
              <w:top w:val="single" w:sz="4" w:space="0" w:color="BFBFBF" w:themeColor="background1" w:themeShade="BF"/>
              <w:bottom w:val="single" w:sz="4" w:space="0" w:color="BFBFBF" w:themeColor="background1" w:themeShade="BF"/>
            </w:tcBorders>
            <w:shd w:val="clear" w:color="auto" w:fill="auto"/>
          </w:tcPr>
          <w:p w14:paraId="788855A2" w14:textId="1D389438" w:rsidR="00D918C0" w:rsidRPr="002749BC" w:rsidRDefault="00D918C0" w:rsidP="00E56146">
            <w:pPr>
              <w:pStyle w:val="Tablebody"/>
              <w:rPr>
                <w:shd w:val="clear" w:color="auto" w:fill="FFFFFF"/>
              </w:rPr>
            </w:pPr>
            <w:r w:rsidRPr="002749BC">
              <w:rPr>
                <w:shd w:val="clear" w:color="auto" w:fill="FFFFFF"/>
              </w:rPr>
              <w:t xml:space="preserve">Different methods are required for </w:t>
            </w:r>
            <w:r w:rsidR="00382A6A" w:rsidRPr="002749BC">
              <w:rPr>
                <w:shd w:val="clear" w:color="auto" w:fill="FFFFFF"/>
              </w:rPr>
              <w:t>analysing</w:t>
            </w:r>
            <w:r w:rsidRPr="002749BC">
              <w:rPr>
                <w:shd w:val="clear" w:color="auto" w:fill="FFFFFF"/>
              </w:rPr>
              <w:t xml:space="preserve"> interruptions that are of longer duration (days, weeks, or longer) and of a larger geographic scope (entire metropolitan areas or regions which may extend across multiple service territories). That is VCR methods and the resulting valuations are not applicable to these types of outages. </w:t>
            </w:r>
          </w:p>
        </w:tc>
      </w:tr>
      <w:tr w:rsidR="00D918C0" w:rsidRPr="002749BC" w14:paraId="0129B19B" w14:textId="77777777" w:rsidTr="005B26ED">
        <w:tc>
          <w:tcPr>
            <w:tcW w:w="0" w:type="auto"/>
            <w:tcBorders>
              <w:top w:val="single" w:sz="4" w:space="0" w:color="BFBFBF" w:themeColor="background1" w:themeShade="BF"/>
              <w:bottom w:val="single" w:sz="4" w:space="0" w:color="BFBFBF" w:themeColor="background1" w:themeShade="BF"/>
            </w:tcBorders>
            <w:shd w:val="clear" w:color="auto" w:fill="auto"/>
          </w:tcPr>
          <w:p w14:paraId="355F8DDD" w14:textId="77777777" w:rsidR="00D918C0" w:rsidRPr="002749BC" w:rsidRDefault="00D918C0" w:rsidP="00E56146">
            <w:pPr>
              <w:pStyle w:val="Tablebody"/>
              <w:rPr>
                <w:shd w:val="clear" w:color="auto" w:fill="FFFFFF"/>
              </w:rPr>
            </w:pPr>
            <w:r w:rsidRPr="002749BC">
              <w:rPr>
                <w:shd w:val="clear" w:color="auto" w:fill="FFFFFF"/>
              </w:rPr>
              <w:t>Economic assessment of electricity distribution reliability standard packages</w:t>
            </w:r>
            <w:r w:rsidRPr="005D11B8">
              <w:rPr>
                <w:rStyle w:val="FootnoteReference"/>
              </w:rPr>
              <w:footnoteReference w:id="58"/>
            </w:r>
            <w:r w:rsidRPr="002749BC">
              <w:rPr>
                <w:shd w:val="clear" w:color="auto" w:fill="FFFFFF"/>
              </w:rPr>
              <w:t xml:space="preserve"> (2018)</w:t>
            </w:r>
          </w:p>
        </w:tc>
        <w:tc>
          <w:tcPr>
            <w:tcW w:w="0" w:type="auto"/>
            <w:tcBorders>
              <w:top w:val="single" w:sz="4" w:space="0" w:color="BFBFBF" w:themeColor="background1" w:themeShade="BF"/>
              <w:bottom w:val="single" w:sz="4" w:space="0" w:color="BFBFBF" w:themeColor="background1" w:themeShade="BF"/>
            </w:tcBorders>
            <w:shd w:val="clear" w:color="auto" w:fill="auto"/>
          </w:tcPr>
          <w:p w14:paraId="2DD23758" w14:textId="77777777" w:rsidR="00D918C0" w:rsidRPr="002749BC" w:rsidRDefault="00D918C0" w:rsidP="00E56146">
            <w:pPr>
              <w:pStyle w:val="Tablebody"/>
              <w:rPr>
                <w:shd w:val="clear" w:color="auto" w:fill="FFFFFF"/>
              </w:rPr>
            </w:pPr>
            <w:r w:rsidRPr="002749BC">
              <w:rPr>
                <w:shd w:val="clear" w:color="auto" w:fill="FFFFFF"/>
              </w:rPr>
              <w:t>South Australia</w:t>
            </w:r>
          </w:p>
        </w:tc>
        <w:tc>
          <w:tcPr>
            <w:tcW w:w="0" w:type="auto"/>
            <w:tcBorders>
              <w:top w:val="single" w:sz="4" w:space="0" w:color="BFBFBF" w:themeColor="background1" w:themeShade="BF"/>
              <w:bottom w:val="single" w:sz="4" w:space="0" w:color="BFBFBF" w:themeColor="background1" w:themeShade="BF"/>
            </w:tcBorders>
            <w:shd w:val="clear" w:color="auto" w:fill="auto"/>
          </w:tcPr>
          <w:p w14:paraId="74A1FF8F" w14:textId="77777777" w:rsidR="00D918C0" w:rsidRPr="002749BC" w:rsidRDefault="00D918C0" w:rsidP="00E56146">
            <w:pPr>
              <w:pStyle w:val="Tablebody"/>
              <w:rPr>
                <w:shd w:val="clear" w:color="auto" w:fill="FFFFFF"/>
              </w:rPr>
            </w:pPr>
            <w:r w:rsidRPr="002749BC">
              <w:rPr>
                <w:shd w:val="clear" w:color="auto" w:fill="FFFFFF"/>
              </w:rPr>
              <w:t>To examine the economic efficiency of selected reliability improvements that could be implemented in different parts of South Australia’s electricity distribution network</w:t>
            </w:r>
          </w:p>
          <w:p w14:paraId="05D613EE" w14:textId="77777777" w:rsidR="00D918C0" w:rsidRPr="002749BC" w:rsidRDefault="00D918C0" w:rsidP="00E56146">
            <w:pPr>
              <w:pStyle w:val="Tablebody"/>
              <w:rPr>
                <w:shd w:val="clear" w:color="auto" w:fill="FFFFFF"/>
              </w:rPr>
            </w:pPr>
            <w:r w:rsidRPr="002749BC">
              <w:rPr>
                <w:shd w:val="clear" w:color="auto" w:fill="FFFFFF"/>
              </w:rPr>
              <w:t>Studied attributes: reliability, frequency of outages, length of outages</w:t>
            </w:r>
          </w:p>
          <w:p w14:paraId="00C7320F" w14:textId="77777777" w:rsidR="00D918C0" w:rsidRPr="002749BC" w:rsidRDefault="00D918C0" w:rsidP="00E56146">
            <w:pPr>
              <w:pStyle w:val="Tablebody"/>
              <w:rPr>
                <w:shd w:val="clear" w:color="auto" w:fill="FFFFFF"/>
              </w:rPr>
            </w:pPr>
          </w:p>
        </w:tc>
        <w:tc>
          <w:tcPr>
            <w:tcW w:w="0" w:type="auto"/>
            <w:tcBorders>
              <w:top w:val="single" w:sz="4" w:space="0" w:color="BFBFBF" w:themeColor="background1" w:themeShade="BF"/>
              <w:bottom w:val="single" w:sz="4" w:space="0" w:color="BFBFBF" w:themeColor="background1" w:themeShade="BF"/>
            </w:tcBorders>
            <w:shd w:val="clear" w:color="auto" w:fill="auto"/>
          </w:tcPr>
          <w:p w14:paraId="74D81D72" w14:textId="77777777" w:rsidR="00D918C0" w:rsidRPr="002749BC" w:rsidRDefault="00D918C0" w:rsidP="00E56146">
            <w:pPr>
              <w:pStyle w:val="Tablebody"/>
              <w:rPr>
                <w:shd w:val="clear" w:color="auto" w:fill="FFFFFF"/>
              </w:rPr>
            </w:pPr>
            <w:r w:rsidRPr="002749BC">
              <w:rPr>
                <w:shd w:val="clear" w:color="auto" w:fill="FFFFFF"/>
              </w:rPr>
              <w:t>Contingent valuation</w:t>
            </w:r>
          </w:p>
        </w:tc>
        <w:tc>
          <w:tcPr>
            <w:tcW w:w="0" w:type="auto"/>
            <w:tcBorders>
              <w:top w:val="single" w:sz="4" w:space="0" w:color="BFBFBF" w:themeColor="background1" w:themeShade="BF"/>
              <w:bottom w:val="single" w:sz="4" w:space="0" w:color="BFBFBF" w:themeColor="background1" w:themeShade="BF"/>
            </w:tcBorders>
            <w:shd w:val="clear" w:color="auto" w:fill="auto"/>
          </w:tcPr>
          <w:p w14:paraId="21EEA0DE" w14:textId="77777777" w:rsidR="00D918C0" w:rsidRPr="002749BC" w:rsidRDefault="00D918C0" w:rsidP="00E56146">
            <w:pPr>
              <w:pStyle w:val="Tablebody"/>
              <w:rPr>
                <w:shd w:val="clear" w:color="auto" w:fill="FFFFFF"/>
              </w:rPr>
            </w:pPr>
            <w:r w:rsidRPr="002749BC">
              <w:rPr>
                <w:shd w:val="clear" w:color="auto" w:fill="FFFFFF"/>
              </w:rPr>
              <w:t xml:space="preserve">Customers are willing to pay about (2018) $7 per year (on average) to allow SA Power Networks to provide guaranteed service level (GSL) payments to customers that experience long one-off outages. </w:t>
            </w:r>
          </w:p>
          <w:p w14:paraId="5A9E2CCE" w14:textId="77777777" w:rsidR="00D918C0" w:rsidRPr="002749BC" w:rsidRDefault="00D918C0" w:rsidP="00E56146">
            <w:pPr>
              <w:pStyle w:val="Tablebody"/>
              <w:rPr>
                <w:shd w:val="clear" w:color="auto" w:fill="FFFFFF"/>
              </w:rPr>
            </w:pPr>
            <w:r w:rsidRPr="002749BC">
              <w:rPr>
                <w:shd w:val="clear" w:color="auto" w:fill="FFFFFF"/>
              </w:rPr>
              <w:t>This is about 60% of what every customer currently contributes annually on their electricity bill for these payments. However, 42% of customers said they would prefer to not pay anything at all for the GSLs.</w:t>
            </w:r>
          </w:p>
        </w:tc>
      </w:tr>
      <w:tr w:rsidR="00D918C0" w:rsidRPr="002749BC" w14:paraId="27DF45C7" w14:textId="77777777" w:rsidTr="005B26ED">
        <w:tc>
          <w:tcPr>
            <w:tcW w:w="0" w:type="auto"/>
            <w:tcBorders>
              <w:top w:val="single" w:sz="4" w:space="0" w:color="BFBFBF" w:themeColor="background1" w:themeShade="BF"/>
              <w:bottom w:val="single" w:sz="4" w:space="0" w:color="BFBFBF" w:themeColor="background1" w:themeShade="BF"/>
            </w:tcBorders>
            <w:shd w:val="clear" w:color="auto" w:fill="auto"/>
          </w:tcPr>
          <w:p w14:paraId="378F47D3" w14:textId="77777777" w:rsidR="00D918C0" w:rsidRPr="002749BC" w:rsidRDefault="00D918C0" w:rsidP="00E56146">
            <w:pPr>
              <w:pStyle w:val="Tablebody"/>
              <w:rPr>
                <w:shd w:val="clear" w:color="auto" w:fill="FFFFFF"/>
              </w:rPr>
            </w:pPr>
            <w:r w:rsidRPr="002749BC">
              <w:rPr>
                <w:shd w:val="clear" w:color="auto" w:fill="FFFFFF"/>
              </w:rPr>
              <w:t>Study on Estimation of Costs due to Electricity interruptions and Voltage Disturbances</w:t>
            </w:r>
            <w:r w:rsidRPr="005D11B8">
              <w:rPr>
                <w:rStyle w:val="FootnoteReference"/>
              </w:rPr>
              <w:footnoteReference w:id="59"/>
            </w:r>
            <w:r w:rsidRPr="002749BC">
              <w:rPr>
                <w:shd w:val="clear" w:color="auto" w:fill="FFFFFF"/>
              </w:rPr>
              <w:t xml:space="preserve"> (2010)</w:t>
            </w:r>
          </w:p>
        </w:tc>
        <w:tc>
          <w:tcPr>
            <w:tcW w:w="0" w:type="auto"/>
            <w:tcBorders>
              <w:top w:val="single" w:sz="4" w:space="0" w:color="BFBFBF" w:themeColor="background1" w:themeShade="BF"/>
              <w:bottom w:val="single" w:sz="4" w:space="0" w:color="BFBFBF" w:themeColor="background1" w:themeShade="BF"/>
            </w:tcBorders>
            <w:shd w:val="clear" w:color="auto" w:fill="auto"/>
          </w:tcPr>
          <w:p w14:paraId="0EC32C31" w14:textId="77777777" w:rsidR="00D918C0" w:rsidRPr="002749BC" w:rsidRDefault="00D918C0" w:rsidP="00E56146">
            <w:pPr>
              <w:pStyle w:val="Tablebody"/>
              <w:rPr>
                <w:shd w:val="clear" w:color="auto" w:fill="FFFFFF"/>
              </w:rPr>
            </w:pPr>
            <w:r w:rsidRPr="002749BC">
              <w:rPr>
                <w:shd w:val="clear" w:color="auto" w:fill="FFFFFF"/>
              </w:rPr>
              <w:t>Europe</w:t>
            </w:r>
          </w:p>
        </w:tc>
        <w:tc>
          <w:tcPr>
            <w:tcW w:w="0" w:type="auto"/>
            <w:tcBorders>
              <w:top w:val="single" w:sz="4" w:space="0" w:color="BFBFBF" w:themeColor="background1" w:themeShade="BF"/>
              <w:bottom w:val="single" w:sz="4" w:space="0" w:color="BFBFBF" w:themeColor="background1" w:themeShade="BF"/>
            </w:tcBorders>
            <w:shd w:val="clear" w:color="auto" w:fill="auto"/>
          </w:tcPr>
          <w:p w14:paraId="70831E21" w14:textId="77777777" w:rsidR="00D918C0" w:rsidRPr="002749BC" w:rsidRDefault="00D918C0" w:rsidP="00E56146">
            <w:pPr>
              <w:pStyle w:val="Tablebody"/>
              <w:rPr>
                <w:shd w:val="clear" w:color="auto" w:fill="FFFFFF"/>
              </w:rPr>
            </w:pPr>
            <w:r w:rsidRPr="002749BC">
              <w:rPr>
                <w:shd w:val="clear" w:color="auto" w:fill="FFFFFF"/>
              </w:rPr>
              <w:t>To advise the Council of European Energy Regulators how to design and develop nationwide cost-estimation studies</w:t>
            </w:r>
          </w:p>
        </w:tc>
        <w:tc>
          <w:tcPr>
            <w:tcW w:w="0" w:type="auto"/>
            <w:tcBorders>
              <w:top w:val="single" w:sz="4" w:space="0" w:color="BFBFBF" w:themeColor="background1" w:themeShade="BF"/>
              <w:bottom w:val="single" w:sz="4" w:space="0" w:color="BFBFBF" w:themeColor="background1" w:themeShade="BF"/>
            </w:tcBorders>
            <w:shd w:val="clear" w:color="auto" w:fill="auto"/>
          </w:tcPr>
          <w:p w14:paraId="7127B905" w14:textId="77777777" w:rsidR="00D918C0" w:rsidRPr="002749BC" w:rsidRDefault="00D918C0" w:rsidP="00E56146">
            <w:pPr>
              <w:pStyle w:val="Tablebody"/>
              <w:rPr>
                <w:shd w:val="clear" w:color="auto" w:fill="FFFFFF"/>
              </w:rPr>
            </w:pPr>
            <w:r w:rsidRPr="002749BC">
              <w:rPr>
                <w:shd w:val="clear" w:color="auto" w:fill="FFFFFF"/>
              </w:rPr>
              <w:t>Contingent valuation; Direct cost studies; Preventative cost method</w:t>
            </w:r>
          </w:p>
        </w:tc>
        <w:tc>
          <w:tcPr>
            <w:tcW w:w="0" w:type="auto"/>
            <w:tcBorders>
              <w:top w:val="single" w:sz="4" w:space="0" w:color="BFBFBF" w:themeColor="background1" w:themeShade="BF"/>
              <w:bottom w:val="single" w:sz="4" w:space="0" w:color="BFBFBF" w:themeColor="background1" w:themeShade="BF"/>
            </w:tcBorders>
            <w:shd w:val="clear" w:color="auto" w:fill="auto"/>
          </w:tcPr>
          <w:p w14:paraId="1BF1D75A" w14:textId="77777777" w:rsidR="00D918C0" w:rsidRPr="002749BC" w:rsidRDefault="00D918C0" w:rsidP="00E56146">
            <w:pPr>
              <w:pStyle w:val="Tablebody"/>
              <w:rPr>
                <w:shd w:val="clear" w:color="auto" w:fill="FFFFFF"/>
              </w:rPr>
            </w:pPr>
            <w:r w:rsidRPr="002749BC">
              <w:rPr>
                <w:shd w:val="clear" w:color="auto" w:fill="FFFFFF"/>
              </w:rPr>
              <w:t xml:space="preserve">Recommends the use of contingent valuation techniques for households but also encourages consideration of direct cost method for households and other customer types. This involves surveying customers with an extensive list of potential cost categories for them to assign estimated values to. </w:t>
            </w:r>
          </w:p>
        </w:tc>
      </w:tr>
      <w:tr w:rsidR="00D918C0" w:rsidRPr="002749BC" w14:paraId="7DBB146B" w14:textId="77777777" w:rsidTr="005B26ED">
        <w:tc>
          <w:tcPr>
            <w:tcW w:w="0" w:type="auto"/>
            <w:tcBorders>
              <w:top w:val="single" w:sz="4" w:space="0" w:color="BFBFBF" w:themeColor="background1" w:themeShade="BF"/>
              <w:bottom w:val="single" w:sz="4" w:space="0" w:color="000000"/>
            </w:tcBorders>
            <w:shd w:val="clear" w:color="auto" w:fill="auto"/>
          </w:tcPr>
          <w:p w14:paraId="3B84B1F8" w14:textId="77777777" w:rsidR="00D918C0" w:rsidRPr="002749BC" w:rsidRDefault="00D918C0" w:rsidP="00E56146">
            <w:pPr>
              <w:pStyle w:val="Tablebody"/>
              <w:rPr>
                <w:shd w:val="clear" w:color="auto" w:fill="FFFFFF"/>
              </w:rPr>
            </w:pPr>
            <w:r w:rsidRPr="002749BC">
              <w:rPr>
                <w:shd w:val="clear" w:color="auto" w:fill="FFFFFF"/>
              </w:rPr>
              <w:t>Value of Lost Load: An Efficient Economic Indicator for Power Supply Security? A Literature Review</w:t>
            </w:r>
            <w:r w:rsidRPr="005D11B8">
              <w:rPr>
                <w:rStyle w:val="FootnoteReference"/>
              </w:rPr>
              <w:footnoteReference w:id="60"/>
            </w:r>
            <w:r w:rsidRPr="002749BC">
              <w:rPr>
                <w:shd w:val="clear" w:color="auto" w:fill="FFFFFF"/>
              </w:rPr>
              <w:t xml:space="preserve"> (2015)</w:t>
            </w:r>
          </w:p>
        </w:tc>
        <w:tc>
          <w:tcPr>
            <w:tcW w:w="0" w:type="auto"/>
            <w:tcBorders>
              <w:top w:val="single" w:sz="4" w:space="0" w:color="BFBFBF" w:themeColor="background1" w:themeShade="BF"/>
              <w:bottom w:val="single" w:sz="4" w:space="0" w:color="000000"/>
            </w:tcBorders>
            <w:shd w:val="clear" w:color="auto" w:fill="auto"/>
          </w:tcPr>
          <w:p w14:paraId="6CAC464A" w14:textId="77777777" w:rsidR="00D918C0" w:rsidRPr="002749BC" w:rsidRDefault="00D918C0" w:rsidP="00E56146">
            <w:pPr>
              <w:pStyle w:val="Tablebody"/>
              <w:rPr>
                <w:shd w:val="clear" w:color="auto" w:fill="FFFFFF"/>
              </w:rPr>
            </w:pPr>
            <w:r w:rsidRPr="002749BC">
              <w:rPr>
                <w:shd w:val="clear" w:color="auto" w:fill="FFFFFF"/>
              </w:rPr>
              <w:t>International</w:t>
            </w:r>
          </w:p>
        </w:tc>
        <w:tc>
          <w:tcPr>
            <w:tcW w:w="0" w:type="auto"/>
            <w:tcBorders>
              <w:top w:val="single" w:sz="4" w:space="0" w:color="BFBFBF" w:themeColor="background1" w:themeShade="BF"/>
              <w:bottom w:val="single" w:sz="4" w:space="0" w:color="000000"/>
            </w:tcBorders>
            <w:shd w:val="clear" w:color="auto" w:fill="auto"/>
          </w:tcPr>
          <w:p w14:paraId="281184DD" w14:textId="77777777" w:rsidR="00D918C0" w:rsidRPr="002749BC" w:rsidRDefault="00D918C0" w:rsidP="00E56146">
            <w:pPr>
              <w:pStyle w:val="Tablebody"/>
              <w:rPr>
                <w:shd w:val="clear" w:color="auto" w:fill="FFFFFF"/>
              </w:rPr>
            </w:pPr>
            <w:r w:rsidRPr="002749BC">
              <w:rPr>
                <w:shd w:val="clear" w:color="auto" w:fill="FFFFFF"/>
              </w:rPr>
              <w:t xml:space="preserve">A literature review of methods of valuing lost load – a concept very similar to VCR. </w:t>
            </w:r>
          </w:p>
        </w:tc>
        <w:tc>
          <w:tcPr>
            <w:tcW w:w="0" w:type="auto"/>
            <w:tcBorders>
              <w:top w:val="single" w:sz="4" w:space="0" w:color="BFBFBF" w:themeColor="background1" w:themeShade="BF"/>
              <w:bottom w:val="single" w:sz="4" w:space="0" w:color="000000"/>
            </w:tcBorders>
            <w:shd w:val="clear" w:color="auto" w:fill="auto"/>
          </w:tcPr>
          <w:p w14:paraId="4322CF0D" w14:textId="77777777" w:rsidR="00D918C0" w:rsidRPr="002749BC" w:rsidRDefault="00D918C0" w:rsidP="00E56146">
            <w:pPr>
              <w:pStyle w:val="Tablebody"/>
              <w:rPr>
                <w:shd w:val="clear" w:color="auto" w:fill="FFFFFF"/>
              </w:rPr>
            </w:pPr>
            <w:r w:rsidRPr="002749BC">
              <w:rPr>
                <w:shd w:val="clear" w:color="auto" w:fill="FFFFFF"/>
              </w:rPr>
              <w:t>Blackout studies; Willingness to pay/avoid; Direct cost studies; Production function techniques</w:t>
            </w:r>
          </w:p>
        </w:tc>
        <w:tc>
          <w:tcPr>
            <w:tcW w:w="0" w:type="auto"/>
            <w:tcBorders>
              <w:top w:val="single" w:sz="4" w:space="0" w:color="BFBFBF" w:themeColor="background1" w:themeShade="BF"/>
              <w:bottom w:val="single" w:sz="4" w:space="0" w:color="000000"/>
            </w:tcBorders>
            <w:shd w:val="clear" w:color="auto" w:fill="auto"/>
          </w:tcPr>
          <w:p w14:paraId="296E0B7A" w14:textId="77777777" w:rsidR="00D918C0" w:rsidRPr="002749BC" w:rsidRDefault="00D918C0" w:rsidP="00E56146">
            <w:pPr>
              <w:pStyle w:val="Tablebody"/>
              <w:rPr>
                <w:shd w:val="clear" w:color="auto" w:fill="FFFFFF"/>
              </w:rPr>
            </w:pPr>
            <w:r w:rsidRPr="002749BC">
              <w:rPr>
                <w:shd w:val="clear" w:color="auto" w:fill="FFFFFF"/>
              </w:rPr>
              <w:t xml:space="preserve">In some cases, VCR and its equivalents can be estimated using bottom-up analysis of the damage costs and mitigation costs imposed on customers. This procedure is mainly applied for industrial and commercial users, for which electricity inputs to operations may be well documented or understood. </w:t>
            </w:r>
          </w:p>
        </w:tc>
      </w:tr>
    </w:tbl>
    <w:p w14:paraId="34210627" w14:textId="17D51428" w:rsidR="005B26ED" w:rsidRDefault="005B26ED" w:rsidP="005B26ED">
      <w:pPr>
        <w:pStyle w:val="BodyText"/>
      </w:pPr>
    </w:p>
    <w:p w14:paraId="64730451" w14:textId="77777777" w:rsidR="005B26ED" w:rsidRDefault="005B26ED">
      <w:pPr>
        <w:spacing w:before="0" w:line="240" w:lineRule="auto"/>
        <w:jc w:val="left"/>
        <w:rPr>
          <w:szCs w:val="20"/>
          <w:lang w:eastAsia="en-AU"/>
        </w:rPr>
      </w:pPr>
      <w:r>
        <w:br w:type="page"/>
      </w:r>
    </w:p>
    <w:p w14:paraId="4A75FFF3" w14:textId="73FB1E50" w:rsidR="004A0879" w:rsidRPr="002749BC" w:rsidRDefault="004A0879" w:rsidP="004A0879">
      <w:pPr>
        <w:pStyle w:val="Caption"/>
        <w:rPr>
          <w:b w:val="0"/>
        </w:rPr>
      </w:pPr>
      <w:bookmarkStart w:id="31" w:name="_Ref10129611"/>
      <w:bookmarkStart w:id="32" w:name="_Toc12387788"/>
      <w:r w:rsidRPr="002749BC">
        <w:lastRenderedPageBreak/>
        <w:t xml:space="preserve">Table </w:t>
      </w:r>
      <w:r w:rsidRPr="002749BC">
        <w:rPr>
          <w:noProof/>
        </w:rPr>
        <w:fldChar w:fldCharType="begin"/>
      </w:r>
      <w:r w:rsidRPr="002749BC">
        <w:rPr>
          <w:noProof/>
        </w:rPr>
        <w:instrText xml:space="preserve"> SEQ Table \* ARABIC </w:instrText>
      </w:r>
      <w:r w:rsidRPr="002749BC">
        <w:rPr>
          <w:noProof/>
        </w:rPr>
        <w:fldChar w:fldCharType="separate"/>
      </w:r>
      <w:r w:rsidR="00176422">
        <w:rPr>
          <w:noProof/>
        </w:rPr>
        <w:t>7</w:t>
      </w:r>
      <w:r w:rsidRPr="002749BC">
        <w:rPr>
          <w:noProof/>
        </w:rPr>
        <w:fldChar w:fldCharType="end"/>
      </w:r>
      <w:bookmarkEnd w:id="31"/>
      <w:r w:rsidRPr="002749BC">
        <w:t xml:space="preserve"> </w:t>
      </w:r>
      <w:r w:rsidRPr="002749BC">
        <w:tab/>
        <w:t xml:space="preserve">Non-market valuation studies </w:t>
      </w:r>
      <w:r>
        <w:t xml:space="preserve">on </w:t>
      </w:r>
      <w:r w:rsidRPr="002749BC">
        <w:t>the value of reliability</w:t>
      </w:r>
      <w:r>
        <w:t xml:space="preserve"> in </w:t>
      </w:r>
      <w:r w:rsidR="009F3B9E">
        <w:t>water</w:t>
      </w:r>
      <w:bookmarkEnd w:id="32"/>
    </w:p>
    <w:tbl>
      <w:tblPr>
        <w:tblW w:w="5250" w:type="pct"/>
        <w:tblCellMar>
          <w:left w:w="56" w:type="dxa"/>
          <w:right w:w="56" w:type="dxa"/>
        </w:tblCellMar>
        <w:tblLook w:val="0000" w:firstRow="0" w:lastRow="0" w:firstColumn="0" w:lastColumn="0" w:noHBand="0" w:noVBand="0"/>
      </w:tblPr>
      <w:tblGrid>
        <w:gridCol w:w="2645"/>
        <w:gridCol w:w="1417"/>
        <w:gridCol w:w="6676"/>
        <w:gridCol w:w="1186"/>
        <w:gridCol w:w="3822"/>
      </w:tblGrid>
      <w:tr w:rsidR="002106AB" w:rsidRPr="002749BC" w14:paraId="2421F535" w14:textId="77777777" w:rsidTr="005B26ED">
        <w:trPr>
          <w:tblHeader/>
        </w:trPr>
        <w:tc>
          <w:tcPr>
            <w:tcW w:w="0" w:type="auto"/>
            <w:tcBorders>
              <w:top w:val="single" w:sz="4" w:space="0" w:color="000000"/>
              <w:bottom w:val="single" w:sz="4" w:space="0" w:color="000000"/>
            </w:tcBorders>
            <w:shd w:val="clear" w:color="auto" w:fill="auto"/>
          </w:tcPr>
          <w:p w14:paraId="4A580707" w14:textId="5FD65311" w:rsidR="00420B06" w:rsidRPr="002749BC" w:rsidRDefault="00420B06" w:rsidP="00420B06">
            <w:pPr>
              <w:pStyle w:val="Tablecolumnheadings"/>
              <w:rPr>
                <w:shd w:val="clear" w:color="auto" w:fill="FFFFFF"/>
              </w:rPr>
            </w:pPr>
            <w:r w:rsidRPr="002749BC">
              <w:t>Study (Year)</w:t>
            </w:r>
          </w:p>
        </w:tc>
        <w:tc>
          <w:tcPr>
            <w:tcW w:w="450" w:type="pct"/>
            <w:tcBorders>
              <w:top w:val="single" w:sz="4" w:space="0" w:color="000000"/>
              <w:bottom w:val="single" w:sz="4" w:space="0" w:color="000000"/>
            </w:tcBorders>
            <w:shd w:val="clear" w:color="auto" w:fill="auto"/>
          </w:tcPr>
          <w:p w14:paraId="2E12828B" w14:textId="1982D018" w:rsidR="00420B06" w:rsidRPr="002749BC" w:rsidRDefault="00420B06" w:rsidP="00420B06">
            <w:pPr>
              <w:pStyle w:val="Tablecolumnheadings"/>
              <w:rPr>
                <w:shd w:val="clear" w:color="auto" w:fill="FFFFFF"/>
              </w:rPr>
            </w:pPr>
            <w:r w:rsidRPr="002749BC">
              <w:t>Jurisd</w:t>
            </w:r>
            <w:r w:rsidR="005B26ED">
              <w:t>.</w:t>
            </w:r>
          </w:p>
        </w:tc>
        <w:tc>
          <w:tcPr>
            <w:tcW w:w="2120" w:type="pct"/>
            <w:tcBorders>
              <w:top w:val="single" w:sz="4" w:space="0" w:color="000000"/>
              <w:bottom w:val="single" w:sz="4" w:space="0" w:color="000000"/>
            </w:tcBorders>
            <w:shd w:val="clear" w:color="auto" w:fill="auto"/>
          </w:tcPr>
          <w:p w14:paraId="1726D0A9" w14:textId="203245CF" w:rsidR="00420B06" w:rsidRPr="002749BC" w:rsidRDefault="00420B06" w:rsidP="00420B06">
            <w:pPr>
              <w:pStyle w:val="Tablecolumnheadings"/>
              <w:rPr>
                <w:shd w:val="clear" w:color="auto" w:fill="FFFFFF"/>
              </w:rPr>
            </w:pPr>
            <w:r w:rsidRPr="002749BC">
              <w:t>Study goal and studied attributes</w:t>
            </w:r>
          </w:p>
        </w:tc>
        <w:tc>
          <w:tcPr>
            <w:tcW w:w="0" w:type="auto"/>
            <w:tcBorders>
              <w:top w:val="single" w:sz="4" w:space="0" w:color="000000"/>
              <w:bottom w:val="single" w:sz="4" w:space="0" w:color="000000"/>
            </w:tcBorders>
            <w:shd w:val="clear" w:color="auto" w:fill="auto"/>
          </w:tcPr>
          <w:p w14:paraId="471FA5C8" w14:textId="43ACD870" w:rsidR="00420B06" w:rsidRPr="002749BC" w:rsidRDefault="00420B06" w:rsidP="00420B06">
            <w:pPr>
              <w:pStyle w:val="Tablecolumnheadings"/>
              <w:rPr>
                <w:shd w:val="clear" w:color="auto" w:fill="FFFFFF"/>
              </w:rPr>
            </w:pPr>
            <w:r w:rsidRPr="002749BC">
              <w:t>Valuation method(s)</w:t>
            </w:r>
          </w:p>
        </w:tc>
        <w:tc>
          <w:tcPr>
            <w:tcW w:w="0" w:type="auto"/>
            <w:tcBorders>
              <w:top w:val="single" w:sz="4" w:space="0" w:color="000000"/>
              <w:bottom w:val="single" w:sz="4" w:space="0" w:color="000000"/>
            </w:tcBorders>
            <w:shd w:val="clear" w:color="auto" w:fill="auto"/>
          </w:tcPr>
          <w:p w14:paraId="2427C0F3" w14:textId="3CF4C81E" w:rsidR="00420B06" w:rsidRPr="002749BC" w:rsidRDefault="007F1E72" w:rsidP="00420B06">
            <w:pPr>
              <w:pStyle w:val="Tablecolumnheadings"/>
              <w:rPr>
                <w:shd w:val="clear" w:color="auto" w:fill="FFFFFF"/>
              </w:rPr>
            </w:pPr>
            <w:r w:rsidRPr="002749BC">
              <w:t>Relevant insights</w:t>
            </w:r>
          </w:p>
        </w:tc>
      </w:tr>
      <w:tr w:rsidR="002106AB" w:rsidRPr="002749BC" w14:paraId="5DBADD15" w14:textId="77777777" w:rsidTr="005B26ED">
        <w:tc>
          <w:tcPr>
            <w:tcW w:w="0" w:type="auto"/>
            <w:tcBorders>
              <w:top w:val="single" w:sz="4" w:space="0" w:color="000000"/>
              <w:bottom w:val="single" w:sz="4" w:space="0" w:color="BFBFBF" w:themeColor="background1" w:themeShade="BF"/>
            </w:tcBorders>
            <w:shd w:val="clear" w:color="auto" w:fill="auto"/>
          </w:tcPr>
          <w:p w14:paraId="45BAE6BF" w14:textId="5A61EFEA" w:rsidR="00290231" w:rsidRPr="002749BC" w:rsidRDefault="00F0484A" w:rsidP="00420B06">
            <w:pPr>
              <w:pStyle w:val="Tablebody"/>
              <w:rPr>
                <w:shd w:val="clear" w:color="auto" w:fill="FFFFFF"/>
              </w:rPr>
            </w:pPr>
            <w:r w:rsidRPr="002749BC">
              <w:rPr>
                <w:szCs w:val="24"/>
              </w:rPr>
              <w:t>Willingness to Pay Research Project</w:t>
            </w:r>
            <w:r w:rsidR="009768E9" w:rsidRPr="005D11B8">
              <w:rPr>
                <w:rStyle w:val="FootnoteReference"/>
              </w:rPr>
              <w:footnoteReference w:id="61"/>
            </w:r>
            <w:r w:rsidRPr="002749BC">
              <w:rPr>
                <w:szCs w:val="24"/>
              </w:rPr>
              <w:t xml:space="preserve"> (2012)</w:t>
            </w:r>
          </w:p>
        </w:tc>
        <w:tc>
          <w:tcPr>
            <w:tcW w:w="450" w:type="pct"/>
            <w:tcBorders>
              <w:top w:val="single" w:sz="4" w:space="0" w:color="000000"/>
              <w:bottom w:val="single" w:sz="4" w:space="0" w:color="BFBFBF" w:themeColor="background1" w:themeShade="BF"/>
            </w:tcBorders>
            <w:shd w:val="clear" w:color="auto" w:fill="auto"/>
          </w:tcPr>
          <w:p w14:paraId="2E330E92" w14:textId="13FB23DC" w:rsidR="00290231" w:rsidRPr="002749BC" w:rsidRDefault="009768E9" w:rsidP="00420B06">
            <w:pPr>
              <w:pStyle w:val="Tablebody"/>
              <w:rPr>
                <w:shd w:val="clear" w:color="auto" w:fill="FFFFFF"/>
              </w:rPr>
            </w:pPr>
            <w:r w:rsidRPr="002749BC">
              <w:rPr>
                <w:shd w:val="clear" w:color="auto" w:fill="FFFFFF"/>
              </w:rPr>
              <w:t>ACT</w:t>
            </w:r>
          </w:p>
        </w:tc>
        <w:tc>
          <w:tcPr>
            <w:tcW w:w="2120" w:type="pct"/>
            <w:tcBorders>
              <w:top w:val="single" w:sz="4" w:space="0" w:color="000000"/>
              <w:bottom w:val="single" w:sz="4" w:space="0" w:color="BFBFBF" w:themeColor="background1" w:themeShade="BF"/>
            </w:tcBorders>
            <w:shd w:val="clear" w:color="auto" w:fill="auto"/>
          </w:tcPr>
          <w:p w14:paraId="35F6D738" w14:textId="0E102092" w:rsidR="005948AF" w:rsidRPr="002749BC" w:rsidRDefault="005948AF" w:rsidP="00420B06">
            <w:pPr>
              <w:pStyle w:val="Tablebody"/>
              <w:rPr>
                <w:shd w:val="clear" w:color="auto" w:fill="FFFFFF"/>
              </w:rPr>
            </w:pPr>
            <w:r w:rsidRPr="002749BC">
              <w:rPr>
                <w:shd w:val="clear" w:color="auto" w:fill="FFFFFF"/>
              </w:rPr>
              <w:t xml:space="preserve">To estimate the amounts of money that household in the ACT </w:t>
            </w:r>
            <w:r w:rsidR="006A30EB" w:rsidRPr="002749BC">
              <w:rPr>
                <w:shd w:val="clear" w:color="auto" w:fill="FFFFFF"/>
              </w:rPr>
              <w:t>a</w:t>
            </w:r>
            <w:r w:rsidRPr="002749BC">
              <w:rPr>
                <w:shd w:val="clear" w:color="auto" w:fill="FFFFFF"/>
              </w:rPr>
              <w:t xml:space="preserve">re willing to trade for changes </w:t>
            </w:r>
            <w:r w:rsidR="006A30EB" w:rsidRPr="002749BC">
              <w:rPr>
                <w:shd w:val="clear" w:color="auto" w:fill="FFFFFF"/>
              </w:rPr>
              <w:t>in water supply security, and electricity and gas supply reliability.</w:t>
            </w:r>
          </w:p>
          <w:p w14:paraId="77C2C111" w14:textId="63CF3001" w:rsidR="009768E9" w:rsidRPr="002749BC" w:rsidRDefault="00497DD7" w:rsidP="00497DD7">
            <w:pPr>
              <w:pStyle w:val="Tablebody"/>
              <w:rPr>
                <w:shd w:val="clear" w:color="auto" w:fill="FFFFFF"/>
              </w:rPr>
            </w:pPr>
            <w:r w:rsidRPr="002749BC">
              <w:rPr>
                <w:shd w:val="clear" w:color="auto" w:fill="FFFFFF"/>
              </w:rPr>
              <w:t xml:space="preserve">Studied attributes: </w:t>
            </w:r>
            <w:r w:rsidR="002D7E7F" w:rsidRPr="002749BC">
              <w:rPr>
                <w:shd w:val="clear" w:color="auto" w:fill="FFFFFF"/>
              </w:rPr>
              <w:t xml:space="preserve">Value to customers of reducing </w:t>
            </w:r>
            <w:r w:rsidR="009768E9" w:rsidRPr="002749BC">
              <w:rPr>
                <w:shd w:val="clear" w:color="auto" w:fill="FFFFFF"/>
              </w:rPr>
              <w:t>the likelihood of</w:t>
            </w:r>
            <w:r w:rsidRPr="002749BC">
              <w:rPr>
                <w:shd w:val="clear" w:color="auto" w:fill="FFFFFF"/>
              </w:rPr>
              <w:t xml:space="preserve"> – </w:t>
            </w:r>
            <w:r w:rsidR="009768E9" w:rsidRPr="002749BC">
              <w:rPr>
                <w:shd w:val="clear" w:color="auto" w:fill="FFFFFF"/>
              </w:rPr>
              <w:t>Stage</w:t>
            </w:r>
            <w:r w:rsidRPr="002749BC">
              <w:rPr>
                <w:shd w:val="clear" w:color="auto" w:fill="FFFFFF"/>
              </w:rPr>
              <w:t xml:space="preserve"> </w:t>
            </w:r>
            <w:r w:rsidR="009768E9" w:rsidRPr="002749BC">
              <w:rPr>
                <w:shd w:val="clear" w:color="auto" w:fill="FFFFFF"/>
              </w:rPr>
              <w:t>4 restrictions by 5 percentage points</w:t>
            </w:r>
            <w:r w:rsidRPr="002749BC">
              <w:rPr>
                <w:shd w:val="clear" w:color="auto" w:fill="FFFFFF"/>
              </w:rPr>
              <w:t xml:space="preserve">; </w:t>
            </w:r>
            <w:r w:rsidR="009768E9" w:rsidRPr="002749BC">
              <w:rPr>
                <w:shd w:val="clear" w:color="auto" w:fill="FFFFFF"/>
              </w:rPr>
              <w:t>Stage 3 restrictions by 5 percentage points</w:t>
            </w:r>
            <w:r w:rsidRPr="002749BC">
              <w:rPr>
                <w:shd w:val="clear" w:color="auto" w:fill="FFFFFF"/>
              </w:rPr>
              <w:t xml:space="preserve">; and </w:t>
            </w:r>
            <w:r w:rsidR="009768E9" w:rsidRPr="002749BC">
              <w:rPr>
                <w:shd w:val="clear" w:color="auto" w:fill="FFFFFF"/>
              </w:rPr>
              <w:t>Stage 2 restrictions by 5 percentage points</w:t>
            </w:r>
          </w:p>
        </w:tc>
        <w:tc>
          <w:tcPr>
            <w:tcW w:w="0" w:type="auto"/>
            <w:tcBorders>
              <w:top w:val="single" w:sz="4" w:space="0" w:color="000000"/>
              <w:bottom w:val="single" w:sz="4" w:space="0" w:color="BFBFBF" w:themeColor="background1" w:themeShade="BF"/>
            </w:tcBorders>
            <w:shd w:val="clear" w:color="auto" w:fill="auto"/>
          </w:tcPr>
          <w:p w14:paraId="057594B4" w14:textId="0873F1B1" w:rsidR="00290231" w:rsidRPr="002749BC" w:rsidRDefault="009768E9" w:rsidP="00420B06">
            <w:pPr>
              <w:pStyle w:val="Tablebody"/>
              <w:rPr>
                <w:shd w:val="clear" w:color="auto" w:fill="FFFFFF"/>
              </w:rPr>
            </w:pPr>
            <w:r w:rsidRPr="002749BC">
              <w:rPr>
                <w:shd w:val="clear" w:color="auto" w:fill="FFFFFF"/>
              </w:rPr>
              <w:t>Choice modelling</w:t>
            </w:r>
          </w:p>
        </w:tc>
        <w:tc>
          <w:tcPr>
            <w:tcW w:w="0" w:type="auto"/>
            <w:tcBorders>
              <w:top w:val="single" w:sz="4" w:space="0" w:color="000000"/>
              <w:bottom w:val="single" w:sz="4" w:space="0" w:color="BFBFBF" w:themeColor="background1" w:themeShade="BF"/>
            </w:tcBorders>
            <w:shd w:val="clear" w:color="auto" w:fill="auto"/>
          </w:tcPr>
          <w:p w14:paraId="44FCE1E9" w14:textId="1A89B714" w:rsidR="00290231" w:rsidRPr="002749BC" w:rsidRDefault="009768E9" w:rsidP="00420B06">
            <w:pPr>
              <w:pStyle w:val="Tablebody"/>
              <w:rPr>
                <w:shd w:val="clear" w:color="auto" w:fill="FFFFFF"/>
              </w:rPr>
            </w:pPr>
            <w:r w:rsidRPr="002749BC">
              <w:rPr>
                <w:shd w:val="clear" w:color="auto" w:fill="FFFFFF"/>
              </w:rPr>
              <w:t>$222.74 annual WTP $ per household</w:t>
            </w:r>
            <w:r w:rsidR="00F3008D" w:rsidRPr="002749BC">
              <w:rPr>
                <w:shd w:val="clear" w:color="auto" w:fill="FFFFFF"/>
              </w:rPr>
              <w:t xml:space="preserve"> (2012)</w:t>
            </w:r>
          </w:p>
          <w:p w14:paraId="3B8B2A63" w14:textId="4343D6AE" w:rsidR="009768E9" w:rsidRPr="002749BC" w:rsidRDefault="009768E9" w:rsidP="009768E9">
            <w:pPr>
              <w:pStyle w:val="Tablebody"/>
              <w:rPr>
                <w:shd w:val="clear" w:color="auto" w:fill="FFFFFF"/>
              </w:rPr>
            </w:pPr>
            <w:r w:rsidRPr="002749BC">
              <w:rPr>
                <w:shd w:val="clear" w:color="auto" w:fill="FFFFFF"/>
              </w:rPr>
              <w:t xml:space="preserve">$78.32 annual </w:t>
            </w:r>
            <w:r w:rsidR="000F6EAC" w:rsidRPr="002749BC">
              <w:rPr>
                <w:shd w:val="clear" w:color="auto" w:fill="FFFFFF"/>
              </w:rPr>
              <w:t>WTP</w:t>
            </w:r>
            <w:r w:rsidR="002D7E7F" w:rsidRPr="002749BC">
              <w:rPr>
                <w:shd w:val="clear" w:color="auto" w:fill="FFFFFF"/>
              </w:rPr>
              <w:t xml:space="preserve"> </w:t>
            </w:r>
            <w:r w:rsidRPr="002749BC">
              <w:rPr>
                <w:shd w:val="clear" w:color="auto" w:fill="FFFFFF"/>
              </w:rPr>
              <w:t>$ per household</w:t>
            </w:r>
          </w:p>
          <w:p w14:paraId="0AD663AF" w14:textId="3926BCF6" w:rsidR="009768E9" w:rsidRPr="002749BC" w:rsidRDefault="009768E9" w:rsidP="009768E9">
            <w:pPr>
              <w:pStyle w:val="Tablebody"/>
              <w:rPr>
                <w:shd w:val="clear" w:color="auto" w:fill="FFFFFF"/>
              </w:rPr>
            </w:pPr>
            <w:r w:rsidRPr="002749BC">
              <w:rPr>
                <w:shd w:val="clear" w:color="auto" w:fill="FFFFFF"/>
              </w:rPr>
              <w:t xml:space="preserve">$22.38 annual </w:t>
            </w:r>
            <w:r w:rsidR="000F6EAC" w:rsidRPr="002749BC">
              <w:rPr>
                <w:shd w:val="clear" w:color="auto" w:fill="FFFFFF"/>
              </w:rPr>
              <w:t>WTP</w:t>
            </w:r>
            <w:r w:rsidR="002D7E7F" w:rsidRPr="002749BC">
              <w:rPr>
                <w:shd w:val="clear" w:color="auto" w:fill="FFFFFF"/>
              </w:rPr>
              <w:t xml:space="preserve"> </w:t>
            </w:r>
            <w:r w:rsidRPr="002749BC">
              <w:rPr>
                <w:shd w:val="clear" w:color="auto" w:fill="FFFFFF"/>
              </w:rPr>
              <w:t>$ per household</w:t>
            </w:r>
          </w:p>
        </w:tc>
      </w:tr>
      <w:tr w:rsidR="002106AB" w:rsidRPr="002749BC" w14:paraId="74015D04" w14:textId="77777777" w:rsidTr="005B26ED">
        <w:tc>
          <w:tcPr>
            <w:tcW w:w="0" w:type="auto"/>
            <w:tcBorders>
              <w:top w:val="single" w:sz="4" w:space="0" w:color="BFBFBF" w:themeColor="background1" w:themeShade="BF"/>
              <w:bottom w:val="single" w:sz="4" w:space="0" w:color="BFBFBF" w:themeColor="background1" w:themeShade="BF"/>
            </w:tcBorders>
            <w:shd w:val="clear" w:color="auto" w:fill="auto"/>
          </w:tcPr>
          <w:p w14:paraId="12ED2F40" w14:textId="20474627" w:rsidR="00290231" w:rsidRPr="002749BC" w:rsidRDefault="004D1DD2" w:rsidP="00420B06">
            <w:pPr>
              <w:pStyle w:val="Tablebody"/>
              <w:rPr>
                <w:shd w:val="clear" w:color="auto" w:fill="FFFFFF"/>
              </w:rPr>
            </w:pPr>
            <w:r w:rsidRPr="002749BC">
              <w:rPr>
                <w:shd w:val="clear" w:color="auto" w:fill="FFFFFF"/>
              </w:rPr>
              <w:t>Willingness to pay to avoid water restrictions in Australia under a changing climate</w:t>
            </w:r>
            <w:r w:rsidR="00C31481" w:rsidRPr="005D11B8">
              <w:rPr>
                <w:rStyle w:val="FootnoteReference"/>
              </w:rPr>
              <w:footnoteReference w:id="62"/>
            </w:r>
            <w:r w:rsidR="009768E9" w:rsidRPr="002749BC">
              <w:rPr>
                <w:shd w:val="clear" w:color="auto" w:fill="FFFFFF"/>
              </w:rPr>
              <w:t xml:space="preserve"> (201</w:t>
            </w:r>
            <w:r w:rsidR="009327D9" w:rsidRPr="002749BC">
              <w:rPr>
                <w:shd w:val="clear" w:color="auto" w:fill="FFFFFF"/>
              </w:rPr>
              <w:t>4</w:t>
            </w:r>
            <w:r w:rsidR="009768E9" w:rsidRPr="002749BC">
              <w:rPr>
                <w:shd w:val="clear" w:color="auto" w:fill="FFFFFF"/>
              </w:rPr>
              <w:t xml:space="preserve">)  </w:t>
            </w:r>
          </w:p>
        </w:tc>
        <w:tc>
          <w:tcPr>
            <w:tcW w:w="450" w:type="pct"/>
            <w:tcBorders>
              <w:top w:val="single" w:sz="4" w:space="0" w:color="BFBFBF" w:themeColor="background1" w:themeShade="BF"/>
              <w:bottom w:val="single" w:sz="4" w:space="0" w:color="BFBFBF" w:themeColor="background1" w:themeShade="BF"/>
            </w:tcBorders>
            <w:shd w:val="clear" w:color="auto" w:fill="auto"/>
          </w:tcPr>
          <w:p w14:paraId="303A6A9D" w14:textId="79FF1F22" w:rsidR="00290231" w:rsidRPr="002749BC" w:rsidRDefault="009768E9" w:rsidP="00420B06">
            <w:pPr>
              <w:pStyle w:val="Tablebody"/>
              <w:rPr>
                <w:shd w:val="clear" w:color="auto" w:fill="FFFFFF"/>
              </w:rPr>
            </w:pPr>
            <w:r w:rsidRPr="002749BC">
              <w:rPr>
                <w:shd w:val="clear" w:color="auto" w:fill="FFFFFF"/>
              </w:rPr>
              <w:t>Greater Sydney, NSW</w:t>
            </w:r>
          </w:p>
        </w:tc>
        <w:tc>
          <w:tcPr>
            <w:tcW w:w="2120" w:type="pct"/>
            <w:tcBorders>
              <w:top w:val="single" w:sz="4" w:space="0" w:color="BFBFBF" w:themeColor="background1" w:themeShade="BF"/>
              <w:bottom w:val="single" w:sz="4" w:space="0" w:color="BFBFBF" w:themeColor="background1" w:themeShade="BF"/>
            </w:tcBorders>
            <w:shd w:val="clear" w:color="auto" w:fill="auto"/>
          </w:tcPr>
          <w:p w14:paraId="4C18E3FF" w14:textId="63771847" w:rsidR="00290231" w:rsidRPr="002749BC" w:rsidRDefault="001E15E0" w:rsidP="001E15E0">
            <w:pPr>
              <w:pStyle w:val="Tablebody"/>
              <w:rPr>
                <w:shd w:val="clear" w:color="auto" w:fill="FFFFFF"/>
              </w:rPr>
            </w:pPr>
            <w:r w:rsidRPr="002749BC">
              <w:rPr>
                <w:shd w:val="clear" w:color="auto" w:fill="FFFFFF"/>
              </w:rPr>
              <w:t>To assess the v</w:t>
            </w:r>
            <w:r w:rsidR="002D7E7F" w:rsidRPr="002749BC">
              <w:rPr>
                <w:shd w:val="clear" w:color="auto" w:fill="FFFFFF"/>
              </w:rPr>
              <w:t xml:space="preserve">alue to customers of </w:t>
            </w:r>
            <w:r w:rsidR="009768E9" w:rsidRPr="002749BC">
              <w:rPr>
                <w:shd w:val="clear" w:color="auto" w:fill="FFFFFF"/>
              </w:rPr>
              <w:t>1% reduction in the probability of a Level 2 water restriction (No sprinklers, but hand-held hoses with trigger permitted 2 days/week)</w:t>
            </w:r>
            <w:r w:rsidRPr="002749BC">
              <w:rPr>
                <w:shd w:val="clear" w:color="auto" w:fill="FFFFFF"/>
              </w:rPr>
              <w:t xml:space="preserve"> and </w:t>
            </w:r>
            <w:r w:rsidR="002D7E7F" w:rsidRPr="002749BC">
              <w:rPr>
                <w:shd w:val="clear" w:color="auto" w:fill="FFFFFF"/>
              </w:rPr>
              <w:t>of a</w:t>
            </w:r>
            <w:r w:rsidR="009768E9" w:rsidRPr="002749BC">
              <w:rPr>
                <w:shd w:val="clear" w:color="auto" w:fill="FFFFFF"/>
              </w:rPr>
              <w:t xml:space="preserve"> 1% reduction in the probability of a Level 1 water restriction (Sprinklers only permitted 2 days per week)</w:t>
            </w:r>
          </w:p>
        </w:tc>
        <w:tc>
          <w:tcPr>
            <w:tcW w:w="0" w:type="auto"/>
            <w:tcBorders>
              <w:top w:val="single" w:sz="4" w:space="0" w:color="BFBFBF" w:themeColor="background1" w:themeShade="BF"/>
              <w:bottom w:val="single" w:sz="4" w:space="0" w:color="BFBFBF" w:themeColor="background1" w:themeShade="BF"/>
            </w:tcBorders>
            <w:shd w:val="clear" w:color="auto" w:fill="auto"/>
          </w:tcPr>
          <w:p w14:paraId="71EF9B1B" w14:textId="45F77659" w:rsidR="00290231" w:rsidRPr="002749BC" w:rsidRDefault="009768E9" w:rsidP="00420B06">
            <w:pPr>
              <w:pStyle w:val="Tablebody"/>
              <w:rPr>
                <w:shd w:val="clear" w:color="auto" w:fill="FFFFFF"/>
              </w:rPr>
            </w:pPr>
            <w:r w:rsidRPr="002749BC">
              <w:rPr>
                <w:shd w:val="clear" w:color="auto" w:fill="FFFFFF"/>
              </w:rPr>
              <w:t>Choice modelling</w:t>
            </w:r>
          </w:p>
        </w:tc>
        <w:tc>
          <w:tcPr>
            <w:tcW w:w="0" w:type="auto"/>
            <w:tcBorders>
              <w:top w:val="single" w:sz="4" w:space="0" w:color="BFBFBF" w:themeColor="background1" w:themeShade="BF"/>
              <w:bottom w:val="single" w:sz="4" w:space="0" w:color="BFBFBF" w:themeColor="background1" w:themeShade="BF"/>
            </w:tcBorders>
            <w:shd w:val="clear" w:color="auto" w:fill="auto"/>
          </w:tcPr>
          <w:p w14:paraId="7731B53C" w14:textId="7D7F2DD0" w:rsidR="009768E9" w:rsidRPr="002749BC" w:rsidRDefault="009768E9" w:rsidP="009768E9">
            <w:pPr>
              <w:pStyle w:val="Tablebody"/>
              <w:rPr>
                <w:shd w:val="clear" w:color="auto" w:fill="FFFFFF"/>
              </w:rPr>
            </w:pPr>
            <w:r w:rsidRPr="002749BC">
              <w:rPr>
                <w:shd w:val="clear" w:color="auto" w:fill="FFFFFF"/>
              </w:rPr>
              <w:t xml:space="preserve">$4.87 annual </w:t>
            </w:r>
            <w:r w:rsidR="00645FD3" w:rsidRPr="002749BC">
              <w:rPr>
                <w:shd w:val="clear" w:color="auto" w:fill="FFFFFF"/>
              </w:rPr>
              <w:t>WTP</w:t>
            </w:r>
            <w:r w:rsidR="002D7E7F" w:rsidRPr="002749BC">
              <w:rPr>
                <w:shd w:val="clear" w:color="auto" w:fill="FFFFFF"/>
              </w:rPr>
              <w:t xml:space="preserve"> </w:t>
            </w:r>
            <w:r w:rsidRPr="002749BC">
              <w:rPr>
                <w:shd w:val="clear" w:color="auto" w:fill="FFFFFF"/>
              </w:rPr>
              <w:t>$ per household</w:t>
            </w:r>
            <w:r w:rsidR="00F3008D" w:rsidRPr="002749BC">
              <w:rPr>
                <w:shd w:val="clear" w:color="auto" w:fill="FFFFFF"/>
              </w:rPr>
              <w:t xml:space="preserve"> </w:t>
            </w:r>
          </w:p>
          <w:p w14:paraId="101E431D" w14:textId="15300708" w:rsidR="00290231" w:rsidRPr="002749BC" w:rsidRDefault="009768E9" w:rsidP="009768E9">
            <w:pPr>
              <w:pStyle w:val="Tablebody"/>
              <w:rPr>
                <w:shd w:val="clear" w:color="auto" w:fill="FFFFFF"/>
              </w:rPr>
            </w:pPr>
            <w:r w:rsidRPr="002749BC">
              <w:rPr>
                <w:shd w:val="clear" w:color="auto" w:fill="FFFFFF"/>
              </w:rPr>
              <w:t xml:space="preserve">$1.30 annual </w:t>
            </w:r>
            <w:r w:rsidR="00645FD3" w:rsidRPr="002749BC">
              <w:rPr>
                <w:shd w:val="clear" w:color="auto" w:fill="FFFFFF"/>
              </w:rPr>
              <w:t>WTP</w:t>
            </w:r>
            <w:r w:rsidR="002D7E7F" w:rsidRPr="002749BC">
              <w:rPr>
                <w:shd w:val="clear" w:color="auto" w:fill="FFFFFF"/>
              </w:rPr>
              <w:t xml:space="preserve"> </w:t>
            </w:r>
            <w:r w:rsidRPr="002749BC">
              <w:rPr>
                <w:shd w:val="clear" w:color="auto" w:fill="FFFFFF"/>
              </w:rPr>
              <w:t>$ per household</w:t>
            </w:r>
          </w:p>
        </w:tc>
      </w:tr>
      <w:tr w:rsidR="002106AB" w:rsidRPr="002749BC" w14:paraId="133A3774" w14:textId="77777777" w:rsidTr="005B26ED">
        <w:tc>
          <w:tcPr>
            <w:tcW w:w="0" w:type="auto"/>
            <w:tcBorders>
              <w:top w:val="single" w:sz="4" w:space="0" w:color="BFBFBF" w:themeColor="background1" w:themeShade="BF"/>
              <w:bottom w:val="single" w:sz="4" w:space="0" w:color="BFBFBF" w:themeColor="background1" w:themeShade="BF"/>
            </w:tcBorders>
            <w:shd w:val="clear" w:color="auto" w:fill="auto"/>
          </w:tcPr>
          <w:p w14:paraId="1E6EE694" w14:textId="4B1B93B9" w:rsidR="009327D9" w:rsidRPr="002749BC" w:rsidRDefault="009327D9" w:rsidP="009327D9">
            <w:pPr>
              <w:pStyle w:val="Tablebody"/>
              <w:rPr>
                <w:shd w:val="clear" w:color="auto" w:fill="FFFFFF"/>
              </w:rPr>
            </w:pPr>
            <w:r w:rsidRPr="002749BC">
              <w:rPr>
                <w:shd w:val="clear" w:color="auto" w:fill="FFFFFF"/>
              </w:rPr>
              <w:t>Willingness to Pay to Avoid Water Restrictions in Australia Under a Changing Climate</w:t>
            </w:r>
            <w:r w:rsidRPr="005D11B8">
              <w:rPr>
                <w:rStyle w:val="FootnoteReference"/>
              </w:rPr>
              <w:footnoteReference w:id="63"/>
            </w:r>
            <w:r w:rsidRPr="002749BC">
              <w:rPr>
                <w:shd w:val="clear" w:color="auto" w:fill="FFFFFF"/>
              </w:rPr>
              <w:t xml:space="preserve"> (2018)</w:t>
            </w:r>
          </w:p>
        </w:tc>
        <w:tc>
          <w:tcPr>
            <w:tcW w:w="450" w:type="pct"/>
            <w:tcBorders>
              <w:top w:val="single" w:sz="4" w:space="0" w:color="BFBFBF" w:themeColor="background1" w:themeShade="BF"/>
              <w:bottom w:val="single" w:sz="4" w:space="0" w:color="BFBFBF" w:themeColor="background1" w:themeShade="BF"/>
            </w:tcBorders>
            <w:shd w:val="clear" w:color="auto" w:fill="auto"/>
          </w:tcPr>
          <w:p w14:paraId="1F907A09" w14:textId="7F4A15D9" w:rsidR="009327D9" w:rsidRPr="002749BC" w:rsidRDefault="009327D9" w:rsidP="009327D9">
            <w:pPr>
              <w:pStyle w:val="Tablebody"/>
              <w:rPr>
                <w:shd w:val="clear" w:color="auto" w:fill="FFFFFF"/>
              </w:rPr>
            </w:pPr>
            <w:r w:rsidRPr="002749BC">
              <w:rPr>
                <w:shd w:val="clear" w:color="auto" w:fill="FFFFFF"/>
              </w:rPr>
              <w:t>Wodonga, Melbourne, Bendigo, Goulburn, Albury, Sydney</w:t>
            </w:r>
          </w:p>
        </w:tc>
        <w:tc>
          <w:tcPr>
            <w:tcW w:w="2120" w:type="pct"/>
            <w:tcBorders>
              <w:top w:val="single" w:sz="4" w:space="0" w:color="BFBFBF" w:themeColor="background1" w:themeShade="BF"/>
              <w:bottom w:val="single" w:sz="4" w:space="0" w:color="BFBFBF" w:themeColor="background1" w:themeShade="BF"/>
            </w:tcBorders>
            <w:shd w:val="clear" w:color="auto" w:fill="auto"/>
          </w:tcPr>
          <w:p w14:paraId="17453BF8" w14:textId="223FF3B1" w:rsidR="00953735" w:rsidRPr="002749BC" w:rsidRDefault="00953735" w:rsidP="009327D9">
            <w:pPr>
              <w:pStyle w:val="Tablebody"/>
              <w:rPr>
                <w:shd w:val="clear" w:color="auto" w:fill="FFFFFF"/>
              </w:rPr>
            </w:pPr>
            <w:r w:rsidRPr="002749BC">
              <w:rPr>
                <w:shd w:val="clear" w:color="auto" w:fill="FFFFFF"/>
              </w:rPr>
              <w:t>To assess WTP to avoid water restrictions.</w:t>
            </w:r>
          </w:p>
          <w:p w14:paraId="04A65C94" w14:textId="60847325" w:rsidR="009327D9" w:rsidRPr="002749BC" w:rsidRDefault="0054183F" w:rsidP="009327D9">
            <w:pPr>
              <w:pStyle w:val="Tablebody"/>
              <w:rPr>
                <w:shd w:val="clear" w:color="auto" w:fill="FFFFFF"/>
              </w:rPr>
            </w:pPr>
            <w:r w:rsidRPr="002749BC">
              <w:rPr>
                <w:shd w:val="clear" w:color="auto" w:fill="FFFFFF"/>
              </w:rPr>
              <w:t>Studied attributes: WTP in periods of drought vs post-drought (with and without house price)</w:t>
            </w:r>
          </w:p>
        </w:tc>
        <w:tc>
          <w:tcPr>
            <w:tcW w:w="0" w:type="auto"/>
            <w:tcBorders>
              <w:top w:val="single" w:sz="4" w:space="0" w:color="BFBFBF" w:themeColor="background1" w:themeShade="BF"/>
              <w:bottom w:val="single" w:sz="4" w:space="0" w:color="BFBFBF" w:themeColor="background1" w:themeShade="BF"/>
            </w:tcBorders>
            <w:shd w:val="clear" w:color="auto" w:fill="auto"/>
          </w:tcPr>
          <w:p w14:paraId="7D3A3ACE" w14:textId="08FE44A9" w:rsidR="009327D9" w:rsidRPr="002749BC" w:rsidRDefault="009327D9" w:rsidP="009327D9">
            <w:pPr>
              <w:pStyle w:val="Tablebody"/>
              <w:rPr>
                <w:shd w:val="clear" w:color="auto" w:fill="FFFFFF"/>
              </w:rPr>
            </w:pPr>
            <w:r w:rsidRPr="002749BC">
              <w:rPr>
                <w:shd w:val="clear" w:color="auto" w:fill="FFFFFF"/>
              </w:rPr>
              <w:t>Contingent valuation</w:t>
            </w:r>
          </w:p>
        </w:tc>
        <w:tc>
          <w:tcPr>
            <w:tcW w:w="0" w:type="auto"/>
            <w:tcBorders>
              <w:top w:val="single" w:sz="4" w:space="0" w:color="BFBFBF" w:themeColor="background1" w:themeShade="BF"/>
              <w:bottom w:val="single" w:sz="4" w:space="0" w:color="BFBFBF" w:themeColor="background1" w:themeShade="BF"/>
            </w:tcBorders>
            <w:shd w:val="clear" w:color="auto" w:fill="auto"/>
          </w:tcPr>
          <w:p w14:paraId="0E0E214D" w14:textId="2DCAA511" w:rsidR="0054183F" w:rsidRPr="002749BC" w:rsidRDefault="0054183F" w:rsidP="009327D9">
            <w:pPr>
              <w:pStyle w:val="Tablebody"/>
              <w:rPr>
                <w:shd w:val="clear" w:color="auto" w:fill="FFFFFF"/>
              </w:rPr>
            </w:pPr>
            <w:r w:rsidRPr="002749BC">
              <w:rPr>
                <w:shd w:val="clear" w:color="auto" w:fill="FFFFFF"/>
              </w:rPr>
              <w:t>The study found that WTP estimates change over time in almost all regional centres, but not in Sydney and Melbourne when housing prices are considered</w:t>
            </w:r>
          </w:p>
          <w:p w14:paraId="1D9CB4A7" w14:textId="161DBDFC" w:rsidR="009327D9" w:rsidRPr="002749BC" w:rsidRDefault="009327D9" w:rsidP="009327D9">
            <w:pPr>
              <w:pStyle w:val="Tablebody"/>
              <w:rPr>
                <w:shd w:val="clear" w:color="auto" w:fill="FFFFFF"/>
              </w:rPr>
            </w:pPr>
            <w:r w:rsidRPr="002749BC">
              <w:rPr>
                <w:shd w:val="clear" w:color="auto" w:fill="FFFFFF"/>
              </w:rPr>
              <w:t>$145 (Melbourne) annual WTP $ per household;</w:t>
            </w:r>
          </w:p>
          <w:p w14:paraId="3DEEF503" w14:textId="1E9ADFCC" w:rsidR="009327D9" w:rsidRPr="002749BC" w:rsidRDefault="009327D9" w:rsidP="009327D9">
            <w:pPr>
              <w:pStyle w:val="Tablebody"/>
              <w:rPr>
                <w:shd w:val="clear" w:color="auto" w:fill="FFFFFF"/>
              </w:rPr>
            </w:pPr>
            <w:r w:rsidRPr="002749BC">
              <w:rPr>
                <w:shd w:val="clear" w:color="auto" w:fill="FFFFFF"/>
              </w:rPr>
              <w:t>$149 (Sydney) annual WTP $ per household</w:t>
            </w:r>
          </w:p>
        </w:tc>
      </w:tr>
      <w:tr w:rsidR="002106AB" w:rsidRPr="002749BC" w14:paraId="7A58C041" w14:textId="77777777" w:rsidTr="005B26ED">
        <w:tc>
          <w:tcPr>
            <w:tcW w:w="0" w:type="auto"/>
            <w:tcBorders>
              <w:top w:val="single" w:sz="4" w:space="0" w:color="BFBFBF" w:themeColor="background1" w:themeShade="BF"/>
              <w:bottom w:val="single" w:sz="4" w:space="0" w:color="000000"/>
            </w:tcBorders>
            <w:shd w:val="clear" w:color="auto" w:fill="auto"/>
          </w:tcPr>
          <w:p w14:paraId="26FE7349" w14:textId="0BD1150B" w:rsidR="009327D9" w:rsidRPr="002749BC" w:rsidRDefault="009327D9" w:rsidP="009327D9">
            <w:pPr>
              <w:pStyle w:val="Tablebody"/>
              <w:rPr>
                <w:shd w:val="clear" w:color="auto" w:fill="FFFFFF"/>
              </w:rPr>
            </w:pPr>
            <w:r w:rsidRPr="002749BC">
              <w:rPr>
                <w:shd w:val="clear" w:color="auto" w:fill="FFFFFF"/>
              </w:rPr>
              <w:t>Measuring Welfare Losses from Urban Water Supply Disruptions</w:t>
            </w:r>
            <w:r w:rsidRPr="005D11B8">
              <w:rPr>
                <w:rStyle w:val="FootnoteReference"/>
              </w:rPr>
              <w:footnoteReference w:id="64"/>
            </w:r>
            <w:r w:rsidRPr="002749BC">
              <w:rPr>
                <w:shd w:val="clear" w:color="auto" w:fill="FFFFFF"/>
              </w:rPr>
              <w:t xml:space="preserve"> (2015)</w:t>
            </w:r>
          </w:p>
        </w:tc>
        <w:tc>
          <w:tcPr>
            <w:tcW w:w="450" w:type="pct"/>
            <w:tcBorders>
              <w:top w:val="single" w:sz="4" w:space="0" w:color="BFBFBF" w:themeColor="background1" w:themeShade="BF"/>
              <w:bottom w:val="single" w:sz="4" w:space="0" w:color="000000"/>
            </w:tcBorders>
            <w:shd w:val="clear" w:color="auto" w:fill="auto"/>
          </w:tcPr>
          <w:p w14:paraId="0A9972CB" w14:textId="77F3BDE1" w:rsidR="009327D9" w:rsidRPr="002749BC" w:rsidRDefault="009327D9" w:rsidP="009327D9">
            <w:pPr>
              <w:pStyle w:val="Tablebody"/>
              <w:rPr>
                <w:shd w:val="clear" w:color="auto" w:fill="FFFFFF"/>
              </w:rPr>
            </w:pPr>
            <w:r w:rsidRPr="002749BC">
              <w:rPr>
                <w:shd w:val="clear" w:color="auto" w:fill="FFFFFF"/>
              </w:rPr>
              <w:t>San Francisco Bay Area (SF) and Southern California (SC)</w:t>
            </w:r>
          </w:p>
        </w:tc>
        <w:tc>
          <w:tcPr>
            <w:tcW w:w="2120" w:type="pct"/>
            <w:tcBorders>
              <w:top w:val="single" w:sz="4" w:space="0" w:color="BFBFBF" w:themeColor="background1" w:themeShade="BF"/>
              <w:bottom w:val="single" w:sz="4" w:space="0" w:color="000000"/>
            </w:tcBorders>
            <w:shd w:val="clear" w:color="auto" w:fill="auto"/>
          </w:tcPr>
          <w:p w14:paraId="3BD57CDC" w14:textId="101F202E" w:rsidR="009327D9" w:rsidRPr="002749BC" w:rsidRDefault="009327D9" w:rsidP="009327D9">
            <w:pPr>
              <w:pStyle w:val="Tablebody"/>
              <w:rPr>
                <w:shd w:val="clear" w:color="auto" w:fill="FFFFFF"/>
              </w:rPr>
            </w:pPr>
            <w:r w:rsidRPr="002749BC">
              <w:rPr>
                <w:shd w:val="clear" w:color="auto" w:fill="FFFFFF"/>
              </w:rPr>
              <w:t>The study evaluates welfare losses from urban water supply disruptions, looking at annual WTP in order to avoid 10% percent disruption</w:t>
            </w:r>
          </w:p>
        </w:tc>
        <w:tc>
          <w:tcPr>
            <w:tcW w:w="0" w:type="auto"/>
            <w:tcBorders>
              <w:top w:val="single" w:sz="4" w:space="0" w:color="BFBFBF" w:themeColor="background1" w:themeShade="BF"/>
              <w:bottom w:val="single" w:sz="4" w:space="0" w:color="000000"/>
            </w:tcBorders>
            <w:shd w:val="clear" w:color="auto" w:fill="auto"/>
          </w:tcPr>
          <w:p w14:paraId="0823D6B9" w14:textId="48BF7E25" w:rsidR="009327D9" w:rsidRPr="002749BC" w:rsidRDefault="009327D9" w:rsidP="009327D9">
            <w:pPr>
              <w:pStyle w:val="Tablebody"/>
              <w:rPr>
                <w:shd w:val="clear" w:color="auto" w:fill="FFFFFF"/>
              </w:rPr>
            </w:pPr>
            <w:r w:rsidRPr="002749BC">
              <w:rPr>
                <w:shd w:val="clear" w:color="auto" w:fill="FFFFFF"/>
              </w:rPr>
              <w:t>Utility Fixed Effects Model</w:t>
            </w:r>
          </w:p>
        </w:tc>
        <w:tc>
          <w:tcPr>
            <w:tcW w:w="0" w:type="auto"/>
            <w:tcBorders>
              <w:top w:val="single" w:sz="4" w:space="0" w:color="BFBFBF" w:themeColor="background1" w:themeShade="BF"/>
              <w:bottom w:val="single" w:sz="4" w:space="0" w:color="000000"/>
            </w:tcBorders>
            <w:shd w:val="clear" w:color="auto" w:fill="auto"/>
          </w:tcPr>
          <w:p w14:paraId="65ACD966" w14:textId="0AF9A5C7" w:rsidR="009327D9" w:rsidRPr="002749BC" w:rsidRDefault="009327D9" w:rsidP="009327D9">
            <w:pPr>
              <w:pStyle w:val="Tablebody"/>
              <w:rPr>
                <w:shd w:val="clear" w:color="auto" w:fill="FFFFFF"/>
              </w:rPr>
            </w:pPr>
            <w:r w:rsidRPr="002749BC">
              <w:rPr>
                <w:shd w:val="clear" w:color="auto" w:fill="FFFFFF"/>
              </w:rPr>
              <w:t>$65.09 (SF) annual WTP AUD$ per household (2015)</w:t>
            </w:r>
          </w:p>
          <w:p w14:paraId="61F11FAB" w14:textId="29E81974" w:rsidR="009327D9" w:rsidRPr="002749BC" w:rsidRDefault="009327D9" w:rsidP="009327D9">
            <w:pPr>
              <w:pStyle w:val="Tablebody"/>
              <w:rPr>
                <w:shd w:val="clear" w:color="auto" w:fill="FFFFFF"/>
              </w:rPr>
            </w:pPr>
            <w:r w:rsidRPr="002749BC">
              <w:rPr>
                <w:shd w:val="clear" w:color="auto" w:fill="FFFFFF"/>
              </w:rPr>
              <w:t>$82.38 (SC) annual WTP AUD$ per household</w:t>
            </w:r>
          </w:p>
        </w:tc>
      </w:tr>
    </w:tbl>
    <w:p w14:paraId="39710E55" w14:textId="7E7BC39C" w:rsidR="00D7024F" w:rsidRDefault="00617F98" w:rsidP="00167C46">
      <w:pPr>
        <w:pStyle w:val="Note"/>
      </w:pPr>
      <w:r w:rsidRPr="002749BC">
        <w:rPr>
          <w:rStyle w:val="Notelabel"/>
        </w:rPr>
        <w:t>a</w:t>
      </w:r>
      <w:r w:rsidRPr="002749BC">
        <w:t xml:space="preserve"> </w:t>
      </w:r>
      <w:r w:rsidR="00FD0E1D" w:rsidRPr="002749BC">
        <w:t xml:space="preserve">WTP estimates </w:t>
      </w:r>
      <w:r w:rsidR="00512592" w:rsidRPr="002749BC">
        <w:t xml:space="preserve">from Water studies </w:t>
      </w:r>
      <w:r w:rsidR="00FD0E1D" w:rsidRPr="002749BC">
        <w:t>have been inflated to 1 July 2018 dollars using the Australian consumer price index.</w:t>
      </w:r>
    </w:p>
    <w:p w14:paraId="6D0C4090" w14:textId="37718A64" w:rsidR="005B26ED" w:rsidRDefault="005B26ED" w:rsidP="005B26ED">
      <w:pPr>
        <w:rPr>
          <w:lang w:eastAsia="en-AU"/>
        </w:rPr>
      </w:pPr>
    </w:p>
    <w:p w14:paraId="19D70163" w14:textId="7CCEC481" w:rsidR="005B26ED" w:rsidRDefault="005B26ED" w:rsidP="005B26ED">
      <w:pPr>
        <w:rPr>
          <w:lang w:eastAsia="en-AU"/>
        </w:rPr>
      </w:pPr>
    </w:p>
    <w:p w14:paraId="23558EC3" w14:textId="1CDE8689" w:rsidR="005B26ED" w:rsidRDefault="005B26ED">
      <w:pPr>
        <w:spacing w:before="0" w:line="240" w:lineRule="auto"/>
        <w:jc w:val="left"/>
        <w:rPr>
          <w:lang w:eastAsia="en-AU"/>
        </w:rPr>
      </w:pPr>
      <w:r>
        <w:rPr>
          <w:lang w:eastAsia="en-AU"/>
        </w:rPr>
        <w:br w:type="page"/>
      </w:r>
    </w:p>
    <w:p w14:paraId="0BCF880E" w14:textId="61ECCABE" w:rsidR="00E56146" w:rsidRPr="002749BC" w:rsidRDefault="00E56146" w:rsidP="00E56146">
      <w:pPr>
        <w:pStyle w:val="Caption"/>
        <w:rPr>
          <w:b w:val="0"/>
        </w:rPr>
      </w:pPr>
      <w:bookmarkStart w:id="33" w:name="_Ref10129596"/>
      <w:bookmarkStart w:id="34" w:name="_Toc12387789"/>
      <w:r w:rsidRPr="002749BC">
        <w:lastRenderedPageBreak/>
        <w:t xml:space="preserve">Table </w:t>
      </w:r>
      <w:r w:rsidRPr="002749BC">
        <w:rPr>
          <w:noProof/>
        </w:rPr>
        <w:fldChar w:fldCharType="begin"/>
      </w:r>
      <w:r w:rsidRPr="002749BC">
        <w:rPr>
          <w:noProof/>
        </w:rPr>
        <w:instrText xml:space="preserve"> SEQ Table \* ARABIC </w:instrText>
      </w:r>
      <w:r w:rsidRPr="002749BC">
        <w:rPr>
          <w:noProof/>
        </w:rPr>
        <w:fldChar w:fldCharType="separate"/>
      </w:r>
      <w:r w:rsidR="00176422">
        <w:rPr>
          <w:noProof/>
        </w:rPr>
        <w:t>8</w:t>
      </w:r>
      <w:r w:rsidRPr="002749BC">
        <w:rPr>
          <w:noProof/>
        </w:rPr>
        <w:fldChar w:fldCharType="end"/>
      </w:r>
      <w:bookmarkEnd w:id="33"/>
      <w:r w:rsidRPr="002749BC">
        <w:t xml:space="preserve"> </w:t>
      </w:r>
      <w:r w:rsidRPr="002749BC">
        <w:tab/>
        <w:t xml:space="preserve">Non-market valuation studies </w:t>
      </w:r>
      <w:r>
        <w:t xml:space="preserve">on </w:t>
      </w:r>
      <w:r w:rsidRPr="002749BC">
        <w:t>the value of reliability</w:t>
      </w:r>
      <w:r>
        <w:t xml:space="preserve"> in </w:t>
      </w:r>
      <w:r w:rsidR="00E94267">
        <w:t>broadband</w:t>
      </w:r>
      <w:bookmarkEnd w:id="34"/>
    </w:p>
    <w:tbl>
      <w:tblPr>
        <w:tblW w:w="5250" w:type="pct"/>
        <w:tblLayout w:type="fixed"/>
        <w:tblCellMar>
          <w:left w:w="56" w:type="dxa"/>
          <w:right w:w="56" w:type="dxa"/>
        </w:tblCellMar>
        <w:tblLook w:val="0020" w:firstRow="1" w:lastRow="0" w:firstColumn="0" w:lastColumn="0" w:noHBand="0" w:noVBand="0"/>
      </w:tblPr>
      <w:tblGrid>
        <w:gridCol w:w="2348"/>
        <w:gridCol w:w="707"/>
        <w:gridCol w:w="5305"/>
        <w:gridCol w:w="1365"/>
        <w:gridCol w:w="6021"/>
      </w:tblGrid>
      <w:tr w:rsidR="00E56146" w:rsidRPr="002749BC" w14:paraId="6D2B3B8B" w14:textId="77777777" w:rsidTr="00320F86">
        <w:tc>
          <w:tcPr>
            <w:tcW w:w="2070" w:type="dxa"/>
            <w:tcBorders>
              <w:top w:val="single" w:sz="4" w:space="0" w:color="auto"/>
              <w:bottom w:val="single" w:sz="4" w:space="0" w:color="auto"/>
            </w:tcBorders>
            <w:shd w:val="clear" w:color="auto" w:fill="auto"/>
          </w:tcPr>
          <w:p w14:paraId="315244E4" w14:textId="5CA4C9F2" w:rsidR="00E56146" w:rsidRPr="002749BC" w:rsidRDefault="00E56146" w:rsidP="00E94267">
            <w:pPr>
              <w:pStyle w:val="Tableheading1"/>
              <w:rPr>
                <w:shd w:val="clear" w:color="auto" w:fill="FFFFFF"/>
              </w:rPr>
            </w:pPr>
            <w:r w:rsidRPr="002749BC">
              <w:t>Study (Year)</w:t>
            </w:r>
          </w:p>
        </w:tc>
        <w:tc>
          <w:tcPr>
            <w:tcW w:w="623" w:type="dxa"/>
            <w:tcBorders>
              <w:top w:val="single" w:sz="4" w:space="0" w:color="auto"/>
              <w:bottom w:val="single" w:sz="4" w:space="0" w:color="auto"/>
            </w:tcBorders>
            <w:shd w:val="clear" w:color="auto" w:fill="auto"/>
          </w:tcPr>
          <w:p w14:paraId="3C29A15D" w14:textId="2D7AA424" w:rsidR="00E56146" w:rsidRPr="002749BC" w:rsidRDefault="00E56146" w:rsidP="00E94267">
            <w:pPr>
              <w:pStyle w:val="Tableheading1"/>
              <w:rPr>
                <w:shd w:val="clear" w:color="auto" w:fill="FFFFFF"/>
              </w:rPr>
            </w:pPr>
            <w:r w:rsidRPr="002749BC">
              <w:t>Jurisd</w:t>
            </w:r>
            <w:r w:rsidR="005B26ED">
              <w:t>.</w:t>
            </w:r>
          </w:p>
        </w:tc>
        <w:tc>
          <w:tcPr>
            <w:tcW w:w="4678" w:type="dxa"/>
            <w:tcBorders>
              <w:top w:val="single" w:sz="4" w:space="0" w:color="auto"/>
              <w:bottom w:val="single" w:sz="4" w:space="0" w:color="auto"/>
            </w:tcBorders>
            <w:shd w:val="clear" w:color="auto" w:fill="auto"/>
          </w:tcPr>
          <w:p w14:paraId="24205204" w14:textId="22A03D17" w:rsidR="00E56146" w:rsidRPr="002749BC" w:rsidRDefault="00E56146" w:rsidP="00E94267">
            <w:pPr>
              <w:pStyle w:val="Tableheading1"/>
              <w:rPr>
                <w:shd w:val="clear" w:color="auto" w:fill="FFFFFF"/>
              </w:rPr>
            </w:pPr>
            <w:r w:rsidRPr="002749BC">
              <w:t>Study goal and studied attributes</w:t>
            </w:r>
          </w:p>
        </w:tc>
        <w:tc>
          <w:tcPr>
            <w:tcW w:w="1204" w:type="dxa"/>
            <w:tcBorders>
              <w:top w:val="single" w:sz="4" w:space="0" w:color="auto"/>
              <w:bottom w:val="single" w:sz="4" w:space="0" w:color="auto"/>
            </w:tcBorders>
            <w:shd w:val="clear" w:color="auto" w:fill="auto"/>
          </w:tcPr>
          <w:p w14:paraId="06F72625" w14:textId="78545DE4" w:rsidR="00E56146" w:rsidRPr="002749BC" w:rsidRDefault="00E56146" w:rsidP="00E94267">
            <w:pPr>
              <w:pStyle w:val="Tableheading1"/>
              <w:rPr>
                <w:shd w:val="clear" w:color="auto" w:fill="FFFFFF"/>
              </w:rPr>
            </w:pPr>
            <w:r w:rsidRPr="002749BC">
              <w:t>Valuation method(s)</w:t>
            </w:r>
          </w:p>
        </w:tc>
        <w:tc>
          <w:tcPr>
            <w:tcW w:w="5309" w:type="dxa"/>
            <w:tcBorders>
              <w:top w:val="single" w:sz="4" w:space="0" w:color="auto"/>
              <w:bottom w:val="single" w:sz="4" w:space="0" w:color="auto"/>
            </w:tcBorders>
            <w:shd w:val="clear" w:color="auto" w:fill="auto"/>
          </w:tcPr>
          <w:p w14:paraId="527EFFE1" w14:textId="57A2D90E" w:rsidR="00E56146" w:rsidRPr="002749BC" w:rsidRDefault="00E56146" w:rsidP="00E94267">
            <w:pPr>
              <w:pStyle w:val="Tableheading1"/>
              <w:rPr>
                <w:shd w:val="clear" w:color="auto" w:fill="FFFFFF"/>
              </w:rPr>
            </w:pPr>
            <w:r w:rsidRPr="002749BC">
              <w:t>Relevant insights</w:t>
            </w:r>
          </w:p>
        </w:tc>
      </w:tr>
      <w:tr w:rsidR="00E56146" w:rsidRPr="002749BC" w14:paraId="125EC0DD" w14:textId="77777777" w:rsidTr="00320F86">
        <w:tc>
          <w:tcPr>
            <w:tcW w:w="2070" w:type="dxa"/>
            <w:tcBorders>
              <w:top w:val="single" w:sz="4" w:space="0" w:color="auto"/>
              <w:bottom w:val="single" w:sz="4" w:space="0" w:color="BFBFBF" w:themeColor="background1" w:themeShade="BF"/>
            </w:tcBorders>
            <w:shd w:val="clear" w:color="auto" w:fill="auto"/>
          </w:tcPr>
          <w:p w14:paraId="1D1505E8" w14:textId="77777777" w:rsidR="004A0879" w:rsidRPr="002749BC" w:rsidRDefault="004A0879" w:rsidP="00E56146">
            <w:pPr>
              <w:pStyle w:val="Tableunitsrow"/>
              <w:rPr>
                <w:shd w:val="clear" w:color="auto" w:fill="FFFFFF"/>
              </w:rPr>
            </w:pPr>
            <w:r w:rsidRPr="002749BC">
              <w:rPr>
                <w:shd w:val="clear" w:color="auto" w:fill="FFFFFF"/>
              </w:rPr>
              <w:t>Household Demand for Broadband Internet</w:t>
            </w:r>
            <w:r w:rsidRPr="005D11B8">
              <w:rPr>
                <w:rStyle w:val="FootnoteReference"/>
              </w:rPr>
              <w:footnoteReference w:id="65"/>
            </w:r>
            <w:r w:rsidRPr="002749BC">
              <w:rPr>
                <w:shd w:val="clear" w:color="auto" w:fill="FFFFFF"/>
              </w:rPr>
              <w:t xml:space="preserve"> (2010)</w:t>
            </w:r>
          </w:p>
        </w:tc>
        <w:tc>
          <w:tcPr>
            <w:tcW w:w="623" w:type="dxa"/>
            <w:tcBorders>
              <w:top w:val="single" w:sz="4" w:space="0" w:color="auto"/>
              <w:bottom w:val="single" w:sz="4" w:space="0" w:color="BFBFBF" w:themeColor="background1" w:themeShade="BF"/>
            </w:tcBorders>
            <w:shd w:val="clear" w:color="auto" w:fill="auto"/>
          </w:tcPr>
          <w:p w14:paraId="4A904F0D" w14:textId="77777777" w:rsidR="004A0879" w:rsidRPr="002749BC" w:rsidRDefault="004A0879" w:rsidP="00E56146">
            <w:pPr>
              <w:pStyle w:val="Tableunitsrow"/>
              <w:rPr>
                <w:shd w:val="clear" w:color="auto" w:fill="FFFFFF"/>
              </w:rPr>
            </w:pPr>
            <w:r w:rsidRPr="002749BC">
              <w:rPr>
                <w:shd w:val="clear" w:color="auto" w:fill="FFFFFF"/>
              </w:rPr>
              <w:t>USA</w:t>
            </w:r>
          </w:p>
        </w:tc>
        <w:tc>
          <w:tcPr>
            <w:tcW w:w="4678" w:type="dxa"/>
            <w:tcBorders>
              <w:top w:val="single" w:sz="4" w:space="0" w:color="auto"/>
              <w:bottom w:val="single" w:sz="4" w:space="0" w:color="BFBFBF" w:themeColor="background1" w:themeShade="BF"/>
            </w:tcBorders>
            <w:shd w:val="clear" w:color="auto" w:fill="auto"/>
          </w:tcPr>
          <w:p w14:paraId="1D35814A" w14:textId="77777777" w:rsidR="004A0879" w:rsidRPr="002749BC" w:rsidRDefault="004A0879" w:rsidP="00E56146">
            <w:pPr>
              <w:pStyle w:val="Tableunitsrow"/>
              <w:rPr>
                <w:shd w:val="clear" w:color="auto" w:fill="FFFFFF"/>
              </w:rPr>
            </w:pPr>
            <w:r w:rsidRPr="002749BC">
              <w:rPr>
                <w:shd w:val="clear" w:color="auto" w:fill="FFFFFF"/>
              </w:rPr>
              <w:t>To determine consumer valuations of different aspects of broadband internet service</w:t>
            </w:r>
          </w:p>
          <w:p w14:paraId="28ADA603" w14:textId="77777777" w:rsidR="004A0879" w:rsidRPr="002749BC" w:rsidRDefault="004A0879" w:rsidP="00E56146">
            <w:pPr>
              <w:pStyle w:val="Tableunitsrow"/>
              <w:rPr>
                <w:shd w:val="clear" w:color="auto" w:fill="FFFFFF"/>
              </w:rPr>
            </w:pPr>
            <w:r w:rsidRPr="002749BC">
              <w:rPr>
                <w:shd w:val="clear" w:color="auto" w:fill="FFFFFF"/>
              </w:rPr>
              <w:t>Studied attributes: household data, eight internet service characteristics (including cost, connection speed, connection reliability, wireless connectivity)</w:t>
            </w:r>
          </w:p>
        </w:tc>
        <w:tc>
          <w:tcPr>
            <w:tcW w:w="1204" w:type="dxa"/>
            <w:tcBorders>
              <w:top w:val="single" w:sz="4" w:space="0" w:color="auto"/>
              <w:bottom w:val="single" w:sz="4" w:space="0" w:color="BFBFBF" w:themeColor="background1" w:themeShade="BF"/>
            </w:tcBorders>
            <w:shd w:val="clear" w:color="auto" w:fill="auto"/>
          </w:tcPr>
          <w:p w14:paraId="28C6886C" w14:textId="77777777" w:rsidR="004A0879" w:rsidRPr="002749BC" w:rsidRDefault="004A0879" w:rsidP="00E56146">
            <w:pPr>
              <w:pStyle w:val="Tableunitsrow"/>
              <w:rPr>
                <w:shd w:val="clear" w:color="auto" w:fill="FFFFFF"/>
              </w:rPr>
            </w:pPr>
            <w:r w:rsidRPr="002749BC">
              <w:rPr>
                <w:shd w:val="clear" w:color="auto" w:fill="FFFFFF"/>
              </w:rPr>
              <w:t>Choice modelling</w:t>
            </w:r>
          </w:p>
        </w:tc>
        <w:tc>
          <w:tcPr>
            <w:tcW w:w="5309" w:type="dxa"/>
            <w:tcBorders>
              <w:top w:val="single" w:sz="4" w:space="0" w:color="auto"/>
              <w:bottom w:val="single" w:sz="4" w:space="0" w:color="BFBFBF" w:themeColor="background1" w:themeShade="BF"/>
            </w:tcBorders>
            <w:shd w:val="clear" w:color="auto" w:fill="auto"/>
          </w:tcPr>
          <w:p w14:paraId="636C6E13" w14:textId="77777777" w:rsidR="004A0879" w:rsidRPr="002749BC" w:rsidRDefault="004A0879" w:rsidP="00E56146">
            <w:pPr>
              <w:pStyle w:val="Tableunitsrow"/>
              <w:rPr>
                <w:shd w:val="clear" w:color="auto" w:fill="FFFFFF"/>
              </w:rPr>
            </w:pPr>
            <w:r w:rsidRPr="002749BC">
              <w:rPr>
                <w:shd w:val="clear" w:color="auto" w:fill="FFFFFF"/>
              </w:rPr>
              <w:t>It found that reliability and speed are important service characteristics, reflected in WTP:</w:t>
            </w:r>
          </w:p>
          <w:p w14:paraId="51C7BCBF" w14:textId="77777777" w:rsidR="004A0879" w:rsidRPr="002749BC" w:rsidRDefault="004A0879" w:rsidP="00E56146">
            <w:pPr>
              <w:pStyle w:val="Tableunitsrow"/>
              <w:rPr>
                <w:shd w:val="clear" w:color="auto" w:fill="FFFFFF"/>
              </w:rPr>
            </w:pPr>
            <w:r w:rsidRPr="002749BC">
              <w:rPr>
                <w:shd w:val="clear" w:color="auto" w:fill="FFFFFF"/>
              </w:rPr>
              <w:t>USD $20 per month for more reliable service (2010)</w:t>
            </w:r>
          </w:p>
          <w:p w14:paraId="76A0D02A" w14:textId="77777777" w:rsidR="004A0879" w:rsidRPr="002749BC" w:rsidRDefault="004A0879" w:rsidP="00E56146">
            <w:pPr>
              <w:pStyle w:val="Tableunitsrow"/>
              <w:rPr>
                <w:shd w:val="clear" w:color="auto" w:fill="FFFFFF"/>
              </w:rPr>
            </w:pPr>
            <w:r w:rsidRPr="002749BC">
              <w:rPr>
                <w:shd w:val="clear" w:color="auto" w:fill="FFFFFF"/>
              </w:rPr>
              <w:t>USD $79 per month for a fast, reliable Internet service</w:t>
            </w:r>
          </w:p>
        </w:tc>
      </w:tr>
      <w:tr w:rsidR="00E56146" w:rsidRPr="002749BC" w14:paraId="5211AF68" w14:textId="77777777" w:rsidTr="00320F86">
        <w:tc>
          <w:tcPr>
            <w:tcW w:w="2070" w:type="dxa"/>
            <w:tcBorders>
              <w:top w:val="single" w:sz="4" w:space="0" w:color="BFBFBF" w:themeColor="background1" w:themeShade="BF"/>
              <w:bottom w:val="single" w:sz="4" w:space="0" w:color="BFBFBF" w:themeColor="background1" w:themeShade="BF"/>
            </w:tcBorders>
            <w:shd w:val="clear" w:color="auto" w:fill="auto"/>
          </w:tcPr>
          <w:p w14:paraId="58199D73" w14:textId="77777777" w:rsidR="004A0879" w:rsidRPr="002749BC" w:rsidRDefault="004A0879" w:rsidP="00E56146">
            <w:pPr>
              <w:pStyle w:val="Tableunitsrow"/>
              <w:rPr>
                <w:shd w:val="clear" w:color="auto" w:fill="FFFFFF"/>
              </w:rPr>
            </w:pPr>
            <w:r w:rsidRPr="002749BC">
              <w:rPr>
                <w:shd w:val="clear" w:color="auto" w:fill="FFFFFF"/>
              </w:rPr>
              <w:t>Broadband Internet access, awareness, and use: Analysis of United States household data</w:t>
            </w:r>
            <w:r>
              <w:rPr>
                <w:rStyle w:val="FootnoteReference"/>
                <w:shd w:val="clear" w:color="auto" w:fill="FFFFFF"/>
              </w:rPr>
              <w:footnoteReference w:id="66"/>
            </w:r>
            <w:r w:rsidRPr="002749BC">
              <w:rPr>
                <w:shd w:val="clear" w:color="auto" w:fill="FFFFFF"/>
              </w:rPr>
              <w:t xml:space="preserve"> (2005)</w:t>
            </w:r>
          </w:p>
        </w:tc>
        <w:tc>
          <w:tcPr>
            <w:tcW w:w="623" w:type="dxa"/>
            <w:tcBorders>
              <w:top w:val="single" w:sz="4" w:space="0" w:color="BFBFBF" w:themeColor="background1" w:themeShade="BF"/>
              <w:bottom w:val="single" w:sz="4" w:space="0" w:color="BFBFBF" w:themeColor="background1" w:themeShade="BF"/>
            </w:tcBorders>
            <w:shd w:val="clear" w:color="auto" w:fill="auto"/>
          </w:tcPr>
          <w:p w14:paraId="69BA2356" w14:textId="77777777" w:rsidR="004A0879" w:rsidRPr="002749BC" w:rsidRDefault="004A0879" w:rsidP="00E56146">
            <w:pPr>
              <w:pStyle w:val="Tableunitsrow"/>
              <w:rPr>
                <w:shd w:val="clear" w:color="auto" w:fill="FFFFFF"/>
              </w:rPr>
            </w:pPr>
            <w:r w:rsidRPr="002749BC">
              <w:rPr>
                <w:shd w:val="clear" w:color="auto" w:fill="FFFFFF"/>
              </w:rPr>
              <w:t>USA</w:t>
            </w:r>
          </w:p>
        </w:tc>
        <w:tc>
          <w:tcPr>
            <w:tcW w:w="4678" w:type="dxa"/>
            <w:tcBorders>
              <w:top w:val="single" w:sz="4" w:space="0" w:color="BFBFBF" w:themeColor="background1" w:themeShade="BF"/>
              <w:bottom w:val="single" w:sz="4" w:space="0" w:color="BFBFBF" w:themeColor="background1" w:themeShade="BF"/>
            </w:tcBorders>
            <w:shd w:val="clear" w:color="auto" w:fill="auto"/>
          </w:tcPr>
          <w:p w14:paraId="24EA7CED" w14:textId="77777777" w:rsidR="004A0879" w:rsidRPr="002749BC" w:rsidRDefault="004A0879" w:rsidP="00E56146">
            <w:pPr>
              <w:pStyle w:val="Tableunitsrow"/>
              <w:rPr>
                <w:shd w:val="clear" w:color="auto" w:fill="FFFFFF"/>
              </w:rPr>
            </w:pPr>
            <w:r w:rsidRPr="002749BC">
              <w:rPr>
                <w:shd w:val="clear" w:color="auto" w:fill="FFFFFF"/>
              </w:rPr>
              <w:t>To understand into how important various attributes including reliability attributes are in determining customer choice of service.</w:t>
            </w:r>
          </w:p>
          <w:p w14:paraId="52C74C0A" w14:textId="77777777" w:rsidR="004A0879" w:rsidRPr="002749BC" w:rsidRDefault="004A0879" w:rsidP="00E56146">
            <w:pPr>
              <w:pStyle w:val="Tableunitsrow"/>
              <w:rPr>
                <w:shd w:val="clear" w:color="auto" w:fill="FFFFFF"/>
              </w:rPr>
            </w:pPr>
            <w:r w:rsidRPr="002749BC">
              <w:rPr>
                <w:shd w:val="clear" w:color="auto" w:fill="FFFFFF"/>
              </w:rPr>
              <w:t>Studied attributes: ‘always-on’, price, speed, installation, and reliability</w:t>
            </w:r>
          </w:p>
          <w:p w14:paraId="42BD0176" w14:textId="77777777" w:rsidR="004A0879" w:rsidRPr="002749BC" w:rsidRDefault="004A0879" w:rsidP="00E56146">
            <w:pPr>
              <w:pStyle w:val="Tableunitsrow"/>
              <w:rPr>
                <w:shd w:val="clear" w:color="auto" w:fill="FFFFFF"/>
              </w:rPr>
            </w:pPr>
          </w:p>
        </w:tc>
        <w:tc>
          <w:tcPr>
            <w:tcW w:w="1204" w:type="dxa"/>
            <w:tcBorders>
              <w:top w:val="single" w:sz="4" w:space="0" w:color="BFBFBF" w:themeColor="background1" w:themeShade="BF"/>
              <w:bottom w:val="single" w:sz="4" w:space="0" w:color="BFBFBF" w:themeColor="background1" w:themeShade="BF"/>
            </w:tcBorders>
            <w:shd w:val="clear" w:color="auto" w:fill="auto"/>
          </w:tcPr>
          <w:p w14:paraId="67EDDFEF" w14:textId="77777777" w:rsidR="004A0879" w:rsidRPr="002749BC" w:rsidRDefault="004A0879" w:rsidP="00E56146">
            <w:pPr>
              <w:pStyle w:val="Tableunitsrow"/>
              <w:rPr>
                <w:shd w:val="clear" w:color="auto" w:fill="FFFFFF"/>
              </w:rPr>
            </w:pPr>
            <w:r w:rsidRPr="002749BC">
              <w:rPr>
                <w:shd w:val="clear" w:color="auto" w:fill="FFFFFF"/>
              </w:rPr>
              <w:t>Choice modelling</w:t>
            </w:r>
          </w:p>
        </w:tc>
        <w:tc>
          <w:tcPr>
            <w:tcW w:w="5309" w:type="dxa"/>
            <w:tcBorders>
              <w:top w:val="single" w:sz="4" w:space="0" w:color="BFBFBF" w:themeColor="background1" w:themeShade="BF"/>
              <w:bottom w:val="single" w:sz="4" w:space="0" w:color="BFBFBF" w:themeColor="background1" w:themeShade="BF"/>
            </w:tcBorders>
            <w:shd w:val="clear" w:color="auto" w:fill="auto"/>
          </w:tcPr>
          <w:p w14:paraId="2BB4CC63" w14:textId="5C05AB81" w:rsidR="004A0879" w:rsidRPr="002749BC" w:rsidRDefault="004A0879" w:rsidP="00E56146">
            <w:pPr>
              <w:pStyle w:val="Tableunitsrow"/>
              <w:rPr>
                <w:shd w:val="clear" w:color="auto" w:fill="FFFFFF"/>
              </w:rPr>
            </w:pPr>
            <w:r w:rsidRPr="002749BC">
              <w:rPr>
                <w:shd w:val="clear" w:color="auto" w:fill="FFFFFF"/>
              </w:rPr>
              <w:t>WTP up to USD $16.54 for more reliable service (2002)</w:t>
            </w:r>
            <w:r>
              <w:rPr>
                <w:shd w:val="clear" w:color="auto" w:fill="FFFFFF"/>
              </w:rPr>
              <w:t xml:space="preserve">; $11.37 for more speed and $5.07 for ‘always on’ </w:t>
            </w:r>
            <w:r w:rsidR="00593B11">
              <w:rPr>
                <w:shd w:val="clear" w:color="auto" w:fill="FFFFFF"/>
              </w:rPr>
              <w:t xml:space="preserve">(Note: study does not explicitly state the period – whether monthly or annually – Synergies believes </w:t>
            </w:r>
            <w:r w:rsidR="003D52BD">
              <w:rPr>
                <w:shd w:val="clear" w:color="auto" w:fill="FFFFFF"/>
              </w:rPr>
              <w:t xml:space="preserve">values most likely to be “per </w:t>
            </w:r>
            <w:r w:rsidR="00593B11">
              <w:rPr>
                <w:shd w:val="clear" w:color="auto" w:fill="FFFFFF"/>
              </w:rPr>
              <w:t>month</w:t>
            </w:r>
            <w:r w:rsidR="003D52BD">
              <w:rPr>
                <w:shd w:val="clear" w:color="auto" w:fill="FFFFFF"/>
              </w:rPr>
              <w:t>”</w:t>
            </w:r>
            <w:r w:rsidR="00593B11">
              <w:rPr>
                <w:shd w:val="clear" w:color="auto" w:fill="FFFFFF"/>
              </w:rPr>
              <w:t>)</w:t>
            </w:r>
          </w:p>
        </w:tc>
      </w:tr>
      <w:tr w:rsidR="00E56146" w:rsidRPr="002749BC" w14:paraId="58157572" w14:textId="77777777" w:rsidTr="00320F86">
        <w:tc>
          <w:tcPr>
            <w:tcW w:w="2070" w:type="dxa"/>
            <w:tcBorders>
              <w:top w:val="single" w:sz="4" w:space="0" w:color="BFBFBF" w:themeColor="background1" w:themeShade="BF"/>
              <w:bottom w:val="single" w:sz="4" w:space="0" w:color="BFBFBF" w:themeColor="background1" w:themeShade="BF"/>
            </w:tcBorders>
            <w:shd w:val="clear" w:color="auto" w:fill="auto"/>
          </w:tcPr>
          <w:p w14:paraId="0B830087" w14:textId="77777777" w:rsidR="004A0879" w:rsidRPr="002749BC" w:rsidRDefault="004A0879" w:rsidP="00E56146">
            <w:pPr>
              <w:pStyle w:val="Tablebody"/>
              <w:rPr>
                <w:lang w:eastAsia="en-US"/>
              </w:rPr>
            </w:pPr>
            <w:r w:rsidRPr="00E00DFB">
              <w:rPr>
                <w:lang w:eastAsia="en-US"/>
              </w:rPr>
              <w:t>Characterizing and improving the reliability of broadband internet</w:t>
            </w:r>
            <w:r w:rsidRPr="002749BC">
              <w:rPr>
                <w:lang w:eastAsia="en-US"/>
              </w:rPr>
              <w:t xml:space="preserve"> access</w:t>
            </w:r>
            <w:r w:rsidRPr="005D11B8">
              <w:rPr>
                <w:rStyle w:val="FootnoteReference"/>
              </w:rPr>
              <w:footnoteReference w:id="67"/>
            </w:r>
            <w:r w:rsidRPr="002749BC">
              <w:rPr>
                <w:lang w:eastAsia="en-US"/>
              </w:rPr>
              <w:t xml:space="preserve"> (2011)</w:t>
            </w:r>
          </w:p>
        </w:tc>
        <w:tc>
          <w:tcPr>
            <w:tcW w:w="623" w:type="dxa"/>
            <w:tcBorders>
              <w:top w:val="single" w:sz="4" w:space="0" w:color="BFBFBF" w:themeColor="background1" w:themeShade="BF"/>
              <w:bottom w:val="single" w:sz="4" w:space="0" w:color="BFBFBF" w:themeColor="background1" w:themeShade="BF"/>
            </w:tcBorders>
            <w:shd w:val="clear" w:color="auto" w:fill="auto"/>
          </w:tcPr>
          <w:p w14:paraId="3BB7E30E" w14:textId="77777777" w:rsidR="004A0879" w:rsidRPr="002749BC" w:rsidRDefault="004A0879" w:rsidP="00E56146">
            <w:pPr>
              <w:pStyle w:val="Tablebody"/>
              <w:rPr>
                <w:shd w:val="clear" w:color="auto" w:fill="FFFFFF"/>
              </w:rPr>
            </w:pPr>
            <w:r w:rsidRPr="002749BC">
              <w:rPr>
                <w:shd w:val="clear" w:color="auto" w:fill="FFFFFF"/>
              </w:rPr>
              <w:t>USA</w:t>
            </w:r>
          </w:p>
        </w:tc>
        <w:tc>
          <w:tcPr>
            <w:tcW w:w="4678" w:type="dxa"/>
            <w:tcBorders>
              <w:top w:val="single" w:sz="4" w:space="0" w:color="BFBFBF" w:themeColor="background1" w:themeShade="BF"/>
              <w:bottom w:val="single" w:sz="4" w:space="0" w:color="BFBFBF" w:themeColor="background1" w:themeShade="BF"/>
            </w:tcBorders>
            <w:shd w:val="clear" w:color="auto" w:fill="auto"/>
          </w:tcPr>
          <w:p w14:paraId="188E69C7" w14:textId="77777777" w:rsidR="004A0879" w:rsidRPr="002749BC" w:rsidRDefault="004A0879" w:rsidP="00E56146">
            <w:pPr>
              <w:pStyle w:val="Tablebody"/>
              <w:rPr>
                <w:shd w:val="clear" w:color="auto" w:fill="FFFFFF"/>
              </w:rPr>
            </w:pPr>
            <w:r w:rsidRPr="002749BC">
              <w:rPr>
                <w:shd w:val="clear" w:color="auto" w:fill="FFFFFF"/>
              </w:rPr>
              <w:t>To demonstrate the growing importance of reliability by measuring its effect on user behaviour.</w:t>
            </w:r>
          </w:p>
          <w:p w14:paraId="2A7CBB08" w14:textId="77777777" w:rsidR="004A0879" w:rsidRPr="002749BC" w:rsidRDefault="004A0879" w:rsidP="00E56146">
            <w:pPr>
              <w:pStyle w:val="Tablebody"/>
              <w:rPr>
                <w:shd w:val="clear" w:color="auto" w:fill="FFFFFF"/>
              </w:rPr>
            </w:pPr>
            <w:r w:rsidRPr="002749BC">
              <w:rPr>
                <w:shd w:val="clear" w:color="auto" w:fill="FFFFFF"/>
              </w:rPr>
              <w:t xml:space="preserve">Studied attributes: three different ways in which the “reliability” of broadband services can be measured: (1) the reliability of the service itself; (2) the reliability of network services offered by the ISP (e.g., DNS); and (3) the consistency of the service’s performance. </w:t>
            </w:r>
          </w:p>
        </w:tc>
        <w:tc>
          <w:tcPr>
            <w:tcW w:w="1204" w:type="dxa"/>
            <w:tcBorders>
              <w:top w:val="single" w:sz="4" w:space="0" w:color="BFBFBF" w:themeColor="background1" w:themeShade="BF"/>
              <w:bottom w:val="single" w:sz="4" w:space="0" w:color="BFBFBF" w:themeColor="background1" w:themeShade="BF"/>
            </w:tcBorders>
            <w:shd w:val="clear" w:color="auto" w:fill="auto"/>
          </w:tcPr>
          <w:p w14:paraId="0E1FDD2E" w14:textId="77777777" w:rsidR="004A0879" w:rsidRPr="002749BC" w:rsidRDefault="004A0879" w:rsidP="00E56146">
            <w:pPr>
              <w:pStyle w:val="Tablebody"/>
              <w:rPr>
                <w:shd w:val="clear" w:color="auto" w:fill="FFFFFF"/>
              </w:rPr>
            </w:pPr>
            <w:r w:rsidRPr="002749BC">
              <w:rPr>
                <w:shd w:val="clear" w:color="auto" w:fill="FFFFFF"/>
              </w:rPr>
              <w:t>Analysis of data packet and outage data</w:t>
            </w:r>
          </w:p>
        </w:tc>
        <w:tc>
          <w:tcPr>
            <w:tcW w:w="5309" w:type="dxa"/>
            <w:tcBorders>
              <w:top w:val="single" w:sz="4" w:space="0" w:color="BFBFBF" w:themeColor="background1" w:themeShade="BF"/>
              <w:bottom w:val="single" w:sz="4" w:space="0" w:color="BFBFBF" w:themeColor="background1" w:themeShade="BF"/>
            </w:tcBorders>
            <w:shd w:val="clear" w:color="auto" w:fill="auto"/>
          </w:tcPr>
          <w:p w14:paraId="7774D4D2" w14:textId="77777777" w:rsidR="004A0879" w:rsidRPr="002749BC" w:rsidRDefault="004A0879" w:rsidP="00E56146">
            <w:pPr>
              <w:pStyle w:val="Tablebody"/>
              <w:rPr>
                <w:shd w:val="clear" w:color="auto" w:fill="FFFFFF"/>
              </w:rPr>
            </w:pPr>
            <w:r w:rsidRPr="002749BC">
              <w:rPr>
                <w:shd w:val="clear" w:color="auto" w:fill="FFFFFF"/>
              </w:rPr>
              <w:t xml:space="preserve">The study demonstrated that where consumers experience a consistently lossy connection – one with high average packet loss – they make less use of the service (implying that some give up and forgo the benefit of internet use). </w:t>
            </w:r>
          </w:p>
        </w:tc>
      </w:tr>
      <w:tr w:rsidR="00E56146" w:rsidRPr="002749BC" w14:paraId="0D718721" w14:textId="77777777" w:rsidTr="00320F86">
        <w:tc>
          <w:tcPr>
            <w:tcW w:w="2070" w:type="dxa"/>
            <w:tcBorders>
              <w:top w:val="single" w:sz="4" w:space="0" w:color="BFBFBF" w:themeColor="background1" w:themeShade="BF"/>
              <w:bottom w:val="single" w:sz="4" w:space="0" w:color="BFBFBF" w:themeColor="background1" w:themeShade="BF"/>
            </w:tcBorders>
            <w:shd w:val="clear" w:color="auto" w:fill="auto"/>
          </w:tcPr>
          <w:p w14:paraId="4A478BAD" w14:textId="77777777" w:rsidR="004A0879" w:rsidRPr="002749BC" w:rsidRDefault="004A0879" w:rsidP="00E56146">
            <w:pPr>
              <w:pStyle w:val="Tablebody"/>
              <w:rPr>
                <w:shd w:val="clear" w:color="auto" w:fill="FFFFFF"/>
              </w:rPr>
            </w:pPr>
            <w:r w:rsidRPr="002749BC">
              <w:rPr>
                <w:lang w:eastAsia="en-US"/>
              </w:rPr>
              <w:t>Assessing broadband reliability: measurement and policy challenges</w:t>
            </w:r>
            <w:r w:rsidRPr="005D11B8">
              <w:rPr>
                <w:rStyle w:val="FootnoteReference"/>
              </w:rPr>
              <w:footnoteReference w:id="68"/>
            </w:r>
            <w:r w:rsidRPr="002749BC">
              <w:rPr>
                <w:lang w:eastAsia="en-US"/>
              </w:rPr>
              <w:t xml:space="preserve"> (2011)</w:t>
            </w:r>
          </w:p>
        </w:tc>
        <w:tc>
          <w:tcPr>
            <w:tcW w:w="623" w:type="dxa"/>
            <w:tcBorders>
              <w:top w:val="single" w:sz="4" w:space="0" w:color="BFBFBF" w:themeColor="background1" w:themeShade="BF"/>
              <w:bottom w:val="single" w:sz="4" w:space="0" w:color="BFBFBF" w:themeColor="background1" w:themeShade="BF"/>
            </w:tcBorders>
            <w:shd w:val="clear" w:color="auto" w:fill="auto"/>
          </w:tcPr>
          <w:p w14:paraId="35C64FF4" w14:textId="77777777" w:rsidR="004A0879" w:rsidRPr="002749BC" w:rsidRDefault="004A0879" w:rsidP="00E56146">
            <w:pPr>
              <w:pStyle w:val="Tablebody"/>
              <w:rPr>
                <w:shd w:val="clear" w:color="auto" w:fill="FFFFFF"/>
              </w:rPr>
            </w:pPr>
            <w:r w:rsidRPr="002749BC">
              <w:rPr>
                <w:shd w:val="clear" w:color="auto" w:fill="FFFFFF"/>
              </w:rPr>
              <w:t>USA</w:t>
            </w:r>
          </w:p>
        </w:tc>
        <w:tc>
          <w:tcPr>
            <w:tcW w:w="4678" w:type="dxa"/>
            <w:tcBorders>
              <w:top w:val="single" w:sz="4" w:space="0" w:color="BFBFBF" w:themeColor="background1" w:themeShade="BF"/>
              <w:bottom w:val="single" w:sz="4" w:space="0" w:color="BFBFBF" w:themeColor="background1" w:themeShade="BF"/>
            </w:tcBorders>
            <w:shd w:val="clear" w:color="auto" w:fill="auto"/>
          </w:tcPr>
          <w:p w14:paraId="13F610E5" w14:textId="77777777" w:rsidR="004A0879" w:rsidRPr="002749BC" w:rsidRDefault="004A0879" w:rsidP="00E56146">
            <w:pPr>
              <w:pStyle w:val="Tablebody"/>
              <w:rPr>
                <w:shd w:val="clear" w:color="auto" w:fill="FFFFFF"/>
              </w:rPr>
            </w:pPr>
            <w:r w:rsidRPr="002749BC">
              <w:rPr>
                <w:shd w:val="clear" w:color="auto" w:fill="FFFFFF"/>
              </w:rPr>
              <w:t>To assess broadband reliability and what reporting requirements should be for various types of outages at the current time</w:t>
            </w:r>
          </w:p>
          <w:p w14:paraId="61F2DF15" w14:textId="77777777" w:rsidR="004A0879" w:rsidRPr="002749BC" w:rsidRDefault="004A0879" w:rsidP="00E56146">
            <w:pPr>
              <w:pStyle w:val="Tablebody"/>
              <w:rPr>
                <w:shd w:val="clear" w:color="auto" w:fill="FFFFFF"/>
              </w:rPr>
            </w:pPr>
            <w:r w:rsidRPr="002749BC">
              <w:rPr>
                <w:shd w:val="clear" w:color="auto" w:fill="FFFFFF"/>
              </w:rPr>
              <w:t>Studied attributes: reliability, speed, access</w:t>
            </w:r>
          </w:p>
        </w:tc>
        <w:tc>
          <w:tcPr>
            <w:tcW w:w="1204" w:type="dxa"/>
            <w:tcBorders>
              <w:top w:val="single" w:sz="4" w:space="0" w:color="BFBFBF" w:themeColor="background1" w:themeShade="BF"/>
              <w:bottom w:val="single" w:sz="4" w:space="0" w:color="BFBFBF" w:themeColor="background1" w:themeShade="BF"/>
            </w:tcBorders>
            <w:shd w:val="clear" w:color="auto" w:fill="auto"/>
          </w:tcPr>
          <w:p w14:paraId="3D6503D1" w14:textId="77777777" w:rsidR="004A0879" w:rsidRPr="002749BC" w:rsidRDefault="004A0879" w:rsidP="00E56146">
            <w:pPr>
              <w:pStyle w:val="Tablebody"/>
              <w:rPr>
                <w:shd w:val="clear" w:color="auto" w:fill="FFFFFF"/>
              </w:rPr>
            </w:pPr>
            <w:r w:rsidRPr="002749BC">
              <w:rPr>
                <w:shd w:val="clear" w:color="auto" w:fill="FFFFFF"/>
              </w:rPr>
              <w:t>N/A</w:t>
            </w:r>
          </w:p>
        </w:tc>
        <w:tc>
          <w:tcPr>
            <w:tcW w:w="5309" w:type="dxa"/>
            <w:tcBorders>
              <w:top w:val="single" w:sz="4" w:space="0" w:color="BFBFBF" w:themeColor="background1" w:themeShade="BF"/>
              <w:bottom w:val="single" w:sz="4" w:space="0" w:color="BFBFBF" w:themeColor="background1" w:themeShade="BF"/>
            </w:tcBorders>
            <w:shd w:val="clear" w:color="auto" w:fill="auto"/>
          </w:tcPr>
          <w:p w14:paraId="675044F0" w14:textId="77777777" w:rsidR="004A0879" w:rsidRPr="002749BC" w:rsidRDefault="004A0879" w:rsidP="00E56146">
            <w:pPr>
              <w:pStyle w:val="Tablebody"/>
              <w:rPr>
                <w:shd w:val="clear" w:color="auto" w:fill="FFFFFF"/>
              </w:rPr>
            </w:pPr>
            <w:r w:rsidRPr="002749BC">
              <w:rPr>
                <w:shd w:val="clear" w:color="auto" w:fill="FFFFFF"/>
              </w:rPr>
              <w:t>Consumers identified concerns about reliability as second only to speed in importance</w:t>
            </w:r>
          </w:p>
        </w:tc>
      </w:tr>
      <w:tr w:rsidR="00E56146" w:rsidRPr="002749BC" w14:paraId="6D45782A" w14:textId="77777777" w:rsidTr="00320F86">
        <w:trPr>
          <w:trHeight w:val="494"/>
        </w:trPr>
        <w:tc>
          <w:tcPr>
            <w:tcW w:w="2070" w:type="dxa"/>
            <w:tcBorders>
              <w:top w:val="single" w:sz="4" w:space="0" w:color="BFBFBF" w:themeColor="background1" w:themeShade="BF"/>
              <w:bottom w:val="single" w:sz="4" w:space="0" w:color="BFBFBF" w:themeColor="background1" w:themeShade="BF"/>
            </w:tcBorders>
            <w:shd w:val="clear" w:color="auto" w:fill="auto"/>
          </w:tcPr>
          <w:p w14:paraId="5759AB98" w14:textId="77777777" w:rsidR="004A0879" w:rsidRPr="002749BC" w:rsidRDefault="004A0879" w:rsidP="00E56146">
            <w:pPr>
              <w:pStyle w:val="Tablebody"/>
              <w:rPr>
                <w:lang w:eastAsia="en-US"/>
              </w:rPr>
            </w:pPr>
            <w:r w:rsidRPr="002749BC">
              <w:rPr>
                <w:lang w:eastAsia="en-US"/>
              </w:rPr>
              <w:t>Measuring performance when broadband is the new Public Switched Telephone Network</w:t>
            </w:r>
            <w:r w:rsidRPr="005D11B8">
              <w:rPr>
                <w:rStyle w:val="FootnoteReference"/>
              </w:rPr>
              <w:footnoteReference w:id="69"/>
            </w:r>
            <w:r w:rsidRPr="002749BC">
              <w:rPr>
                <w:lang w:eastAsia="en-US"/>
              </w:rPr>
              <w:t xml:space="preserve"> (2013)</w:t>
            </w:r>
          </w:p>
        </w:tc>
        <w:tc>
          <w:tcPr>
            <w:tcW w:w="623" w:type="dxa"/>
            <w:tcBorders>
              <w:top w:val="single" w:sz="4" w:space="0" w:color="BFBFBF" w:themeColor="background1" w:themeShade="BF"/>
              <w:bottom w:val="single" w:sz="4" w:space="0" w:color="BFBFBF" w:themeColor="background1" w:themeShade="BF"/>
            </w:tcBorders>
            <w:shd w:val="clear" w:color="auto" w:fill="auto"/>
          </w:tcPr>
          <w:p w14:paraId="2618BF4F" w14:textId="77777777" w:rsidR="004A0879" w:rsidRPr="002749BC" w:rsidRDefault="004A0879" w:rsidP="00E56146">
            <w:pPr>
              <w:pStyle w:val="Tablebody"/>
              <w:rPr>
                <w:shd w:val="clear" w:color="auto" w:fill="FFFFFF"/>
              </w:rPr>
            </w:pPr>
            <w:r w:rsidRPr="002749BC">
              <w:rPr>
                <w:shd w:val="clear" w:color="auto" w:fill="FFFFFF"/>
              </w:rPr>
              <w:t>USA</w:t>
            </w:r>
          </w:p>
        </w:tc>
        <w:tc>
          <w:tcPr>
            <w:tcW w:w="4678" w:type="dxa"/>
            <w:tcBorders>
              <w:top w:val="single" w:sz="4" w:space="0" w:color="BFBFBF" w:themeColor="background1" w:themeShade="BF"/>
              <w:bottom w:val="single" w:sz="4" w:space="0" w:color="BFBFBF" w:themeColor="background1" w:themeShade="BF"/>
            </w:tcBorders>
            <w:shd w:val="clear" w:color="auto" w:fill="auto"/>
          </w:tcPr>
          <w:p w14:paraId="1E70126B" w14:textId="77777777" w:rsidR="004A0879" w:rsidRPr="002749BC" w:rsidRDefault="004A0879" w:rsidP="00E56146">
            <w:pPr>
              <w:pStyle w:val="Tablebody"/>
              <w:rPr>
                <w:shd w:val="clear" w:color="auto" w:fill="FFFFFF"/>
              </w:rPr>
            </w:pPr>
            <w:r w:rsidRPr="002749BC">
              <w:rPr>
                <w:shd w:val="clear" w:color="auto" w:fill="FFFFFF"/>
              </w:rPr>
              <w:t>To investigate the metrics which will need to be considered by communications policymakers as the world transitions to broadband as the new PSTN and as essential infrastructure.</w:t>
            </w:r>
          </w:p>
          <w:p w14:paraId="4C7F48BE" w14:textId="77777777" w:rsidR="004A0879" w:rsidRPr="002749BC" w:rsidRDefault="004A0879" w:rsidP="00E56146">
            <w:pPr>
              <w:pStyle w:val="Tablebody"/>
              <w:rPr>
                <w:shd w:val="clear" w:color="auto" w:fill="FFFFFF"/>
              </w:rPr>
            </w:pPr>
            <w:r w:rsidRPr="002749BC">
              <w:rPr>
                <w:shd w:val="clear" w:color="auto" w:fill="FFFFFF"/>
              </w:rPr>
              <w:t xml:space="preserve">Studied attributes: reliability of performance, connectivity and core services. </w:t>
            </w:r>
          </w:p>
          <w:p w14:paraId="4A1691DD" w14:textId="77777777" w:rsidR="004A0879" w:rsidRPr="002749BC" w:rsidRDefault="004A0879" w:rsidP="00E56146">
            <w:pPr>
              <w:pStyle w:val="Tablebody"/>
              <w:rPr>
                <w:shd w:val="clear" w:color="auto" w:fill="FFFFFF"/>
              </w:rPr>
            </w:pPr>
            <w:r w:rsidRPr="002749BC">
              <w:rPr>
                <w:shd w:val="clear" w:color="auto" w:fill="FFFFFF"/>
              </w:rPr>
              <w:t xml:space="preserve"> </w:t>
            </w:r>
          </w:p>
        </w:tc>
        <w:tc>
          <w:tcPr>
            <w:tcW w:w="1204" w:type="dxa"/>
            <w:tcBorders>
              <w:top w:val="single" w:sz="4" w:space="0" w:color="BFBFBF" w:themeColor="background1" w:themeShade="BF"/>
              <w:bottom w:val="single" w:sz="4" w:space="0" w:color="BFBFBF" w:themeColor="background1" w:themeShade="BF"/>
            </w:tcBorders>
            <w:shd w:val="clear" w:color="auto" w:fill="auto"/>
          </w:tcPr>
          <w:p w14:paraId="5EE6BA41" w14:textId="77777777" w:rsidR="004A0879" w:rsidRPr="002749BC" w:rsidRDefault="004A0879" w:rsidP="00E56146">
            <w:pPr>
              <w:pStyle w:val="Tablebody"/>
              <w:rPr>
                <w:shd w:val="clear" w:color="auto" w:fill="FFFFFF"/>
              </w:rPr>
            </w:pPr>
            <w:r w:rsidRPr="002749BC">
              <w:rPr>
                <w:shd w:val="clear" w:color="auto" w:fill="FFFFFF"/>
              </w:rPr>
              <w:t>N/A</w:t>
            </w:r>
          </w:p>
        </w:tc>
        <w:tc>
          <w:tcPr>
            <w:tcW w:w="5309" w:type="dxa"/>
            <w:tcBorders>
              <w:top w:val="single" w:sz="4" w:space="0" w:color="BFBFBF" w:themeColor="background1" w:themeShade="BF"/>
              <w:bottom w:val="single" w:sz="4" w:space="0" w:color="BFBFBF" w:themeColor="background1" w:themeShade="BF"/>
            </w:tcBorders>
            <w:shd w:val="clear" w:color="auto" w:fill="auto"/>
          </w:tcPr>
          <w:p w14:paraId="548429D3" w14:textId="77777777" w:rsidR="004A0879" w:rsidRPr="002749BC" w:rsidRDefault="004A0879" w:rsidP="00E56146">
            <w:pPr>
              <w:pStyle w:val="Tablebody"/>
              <w:rPr>
                <w:shd w:val="clear" w:color="auto" w:fill="FFFFFF"/>
              </w:rPr>
            </w:pPr>
            <w:r w:rsidRPr="002749BC">
              <w:rPr>
                <w:shd w:val="clear" w:color="auto" w:fill="FFFFFF"/>
              </w:rPr>
              <w:t>Defining metrics will be difficult due to the nature of broadband internet – heterogenous, complex and dynamic. Performance metrics are needed to formulate, target, and enforce effective communication policies. The challenge of meeting these needs is complicated by the growing complexity of broadband and the more dynamic market and regulatory environment in which the new PSTN exists</w:t>
            </w:r>
          </w:p>
        </w:tc>
      </w:tr>
      <w:tr w:rsidR="00E56146" w:rsidRPr="002749BC" w14:paraId="64226F46" w14:textId="77777777" w:rsidTr="00320F86">
        <w:tc>
          <w:tcPr>
            <w:tcW w:w="2070" w:type="dxa"/>
            <w:tcBorders>
              <w:top w:val="single" w:sz="4" w:space="0" w:color="BFBFBF" w:themeColor="background1" w:themeShade="BF"/>
              <w:bottom w:val="single" w:sz="4" w:space="0" w:color="auto"/>
            </w:tcBorders>
            <w:shd w:val="clear" w:color="auto" w:fill="auto"/>
          </w:tcPr>
          <w:p w14:paraId="1D1FCE68" w14:textId="77777777" w:rsidR="004A0879" w:rsidRPr="002749BC" w:rsidRDefault="004A0879" w:rsidP="00E56146">
            <w:pPr>
              <w:pStyle w:val="Tablebody"/>
              <w:rPr>
                <w:shd w:val="clear" w:color="auto" w:fill="FFFFFF"/>
              </w:rPr>
            </w:pPr>
            <w:r w:rsidRPr="002749BC">
              <w:rPr>
                <w:lang w:eastAsia="en-US"/>
              </w:rPr>
              <w:t>Internet QoS: Pieces of the puzzle</w:t>
            </w:r>
            <w:r w:rsidRPr="005D11B8">
              <w:rPr>
                <w:rStyle w:val="FootnoteReference"/>
              </w:rPr>
              <w:footnoteReference w:id="70"/>
            </w:r>
          </w:p>
        </w:tc>
        <w:tc>
          <w:tcPr>
            <w:tcW w:w="623" w:type="dxa"/>
            <w:tcBorders>
              <w:top w:val="single" w:sz="4" w:space="0" w:color="BFBFBF" w:themeColor="background1" w:themeShade="BF"/>
              <w:bottom w:val="single" w:sz="4" w:space="0" w:color="auto"/>
            </w:tcBorders>
            <w:shd w:val="clear" w:color="auto" w:fill="auto"/>
          </w:tcPr>
          <w:p w14:paraId="683E3C07" w14:textId="77777777" w:rsidR="004A0879" w:rsidRPr="002749BC" w:rsidRDefault="004A0879" w:rsidP="00E56146">
            <w:pPr>
              <w:pStyle w:val="Tablebody"/>
              <w:rPr>
                <w:shd w:val="clear" w:color="auto" w:fill="FFFFFF"/>
              </w:rPr>
            </w:pPr>
            <w:r w:rsidRPr="002749BC">
              <w:rPr>
                <w:shd w:val="clear" w:color="auto" w:fill="FFFFFF"/>
              </w:rPr>
              <w:t>International</w:t>
            </w:r>
          </w:p>
        </w:tc>
        <w:tc>
          <w:tcPr>
            <w:tcW w:w="4678" w:type="dxa"/>
            <w:tcBorders>
              <w:top w:val="single" w:sz="4" w:space="0" w:color="BFBFBF" w:themeColor="background1" w:themeShade="BF"/>
              <w:bottom w:val="single" w:sz="4" w:space="0" w:color="auto"/>
            </w:tcBorders>
            <w:shd w:val="clear" w:color="auto" w:fill="auto"/>
          </w:tcPr>
          <w:p w14:paraId="3691C6FD" w14:textId="77777777" w:rsidR="004A0879" w:rsidRPr="002749BC" w:rsidRDefault="004A0879" w:rsidP="00E56146">
            <w:pPr>
              <w:pStyle w:val="Tablebody"/>
              <w:rPr>
                <w:shd w:val="clear" w:color="auto" w:fill="FFFFFF"/>
              </w:rPr>
            </w:pPr>
            <w:r w:rsidRPr="002749BC">
              <w:rPr>
                <w:shd w:val="clear" w:color="auto" w:fill="FFFFFF"/>
              </w:rPr>
              <w:t>Qualitative investigations into how to make quality of service (QoS) an explicit service attribute given relevant features of the internet and related networks.</w:t>
            </w:r>
          </w:p>
        </w:tc>
        <w:tc>
          <w:tcPr>
            <w:tcW w:w="1204" w:type="dxa"/>
            <w:tcBorders>
              <w:top w:val="single" w:sz="4" w:space="0" w:color="BFBFBF" w:themeColor="background1" w:themeShade="BF"/>
              <w:bottom w:val="single" w:sz="4" w:space="0" w:color="auto"/>
            </w:tcBorders>
            <w:shd w:val="clear" w:color="auto" w:fill="auto"/>
          </w:tcPr>
          <w:p w14:paraId="118BA7B6" w14:textId="77777777" w:rsidR="004A0879" w:rsidRPr="002749BC" w:rsidRDefault="004A0879" w:rsidP="00E56146">
            <w:pPr>
              <w:pStyle w:val="Tablebody"/>
              <w:rPr>
                <w:shd w:val="clear" w:color="auto" w:fill="FFFFFF"/>
              </w:rPr>
            </w:pPr>
            <w:r w:rsidRPr="002749BC">
              <w:rPr>
                <w:shd w:val="clear" w:color="auto" w:fill="FFFFFF"/>
              </w:rPr>
              <w:t>N/A</w:t>
            </w:r>
          </w:p>
        </w:tc>
        <w:tc>
          <w:tcPr>
            <w:tcW w:w="5309" w:type="dxa"/>
            <w:tcBorders>
              <w:top w:val="single" w:sz="4" w:space="0" w:color="BFBFBF" w:themeColor="background1" w:themeShade="BF"/>
              <w:bottom w:val="single" w:sz="4" w:space="0" w:color="auto"/>
            </w:tcBorders>
            <w:shd w:val="clear" w:color="auto" w:fill="auto"/>
          </w:tcPr>
          <w:p w14:paraId="35ADB5C1" w14:textId="77777777" w:rsidR="004A0879" w:rsidRPr="002749BC" w:rsidRDefault="004A0879" w:rsidP="00E56146">
            <w:pPr>
              <w:pStyle w:val="Tablebody"/>
              <w:rPr>
                <w:shd w:val="clear" w:color="auto" w:fill="FFFFFF"/>
              </w:rPr>
            </w:pPr>
            <w:r w:rsidRPr="002749BC">
              <w:rPr>
                <w:shd w:val="clear" w:color="auto" w:fill="FFFFFF"/>
              </w:rPr>
              <w:t xml:space="preserve">The study found that no Internet service provider sell QoS explicitly, be it for residential or business customers. Reflects in part the monopoly characteristics of the physical networks that reduce the scope for retailers to differentiate on the basis of reliability. </w:t>
            </w:r>
          </w:p>
        </w:tc>
      </w:tr>
    </w:tbl>
    <w:p w14:paraId="0E050080" w14:textId="262A998A" w:rsidR="00035872" w:rsidRPr="005918D5" w:rsidRDefault="00035872" w:rsidP="00320F86">
      <w:pPr>
        <w:sectPr w:rsidR="00035872" w:rsidRPr="005918D5" w:rsidSect="005B26ED">
          <w:headerReference w:type="default" r:id="rId27"/>
          <w:pgSz w:w="16838" w:h="11906" w:orient="landscape" w:code="9"/>
          <w:pgMar w:top="567" w:right="820" w:bottom="851" w:left="1134" w:header="426" w:footer="567" w:gutter="0"/>
          <w:cols w:space="708"/>
          <w:docGrid w:linePitch="360"/>
        </w:sectPr>
      </w:pPr>
    </w:p>
    <w:p w14:paraId="630E93E6" w14:textId="175A7F1F" w:rsidR="00204FAB" w:rsidRPr="001B0CEE" w:rsidRDefault="008F5587" w:rsidP="001B0CEE">
      <w:pPr>
        <w:pStyle w:val="Heading2"/>
      </w:pPr>
      <w:bookmarkStart w:id="35" w:name="_Ref5891501"/>
      <w:bookmarkStart w:id="36" w:name="_Toc12387762"/>
      <w:bookmarkStart w:id="37" w:name="_Ref4704281"/>
      <w:r w:rsidRPr="001B0CEE">
        <w:lastRenderedPageBreak/>
        <w:t xml:space="preserve">Case study: </w:t>
      </w:r>
      <w:bookmarkEnd w:id="35"/>
      <w:r w:rsidR="00FA0103" w:rsidRPr="001B0CEE">
        <w:t>SA reliability standards review</w:t>
      </w:r>
      <w:bookmarkEnd w:id="36"/>
    </w:p>
    <w:p w14:paraId="5B3509EF" w14:textId="673AAA03" w:rsidR="008F5587" w:rsidRPr="002749BC" w:rsidRDefault="008F5587" w:rsidP="008F5587">
      <w:pPr>
        <w:pStyle w:val="BodyText"/>
        <w:rPr>
          <w:lang w:eastAsia="en-US"/>
        </w:rPr>
      </w:pPr>
      <w:r w:rsidRPr="002749BC">
        <w:rPr>
          <w:lang w:eastAsia="en-US"/>
        </w:rPr>
        <w:t xml:space="preserve">In January 2019, the Essential Service Commission of South Australia (ESCOSA) published its final decision from its SA Power Networks 2020 reliability standards review, which set reliability levels for the next 5 years and reformed the basis for compensation payments (Guaranteed Service Level scheme). </w:t>
      </w:r>
      <w:r w:rsidR="00866B0C" w:rsidRPr="002749BC">
        <w:rPr>
          <w:lang w:eastAsia="en-US"/>
        </w:rPr>
        <w:t>Based on willingness to pay studies, ESCOSA determined that:</w:t>
      </w:r>
    </w:p>
    <w:p w14:paraId="369B0974" w14:textId="15932487" w:rsidR="00866B0C" w:rsidRPr="002749BC" w:rsidRDefault="00866B0C" w:rsidP="00866B0C">
      <w:pPr>
        <w:pStyle w:val="bullet"/>
      </w:pPr>
      <w:r w:rsidRPr="002749BC">
        <w:t>Reliability levels should remain unchanged; and</w:t>
      </w:r>
    </w:p>
    <w:p w14:paraId="48ED1CF8" w14:textId="12F48894" w:rsidR="00866B0C" w:rsidRPr="002749BC" w:rsidRDefault="00866B0C" w:rsidP="00866B0C">
      <w:pPr>
        <w:pStyle w:val="bullet"/>
      </w:pPr>
      <w:r w:rsidRPr="002749BC">
        <w:t xml:space="preserve">Compensation payments would be reduced in scope and be targeted to compensating customers with ongoing, persistent reliability issues. </w:t>
      </w:r>
    </w:p>
    <w:p w14:paraId="58B4A3AC" w14:textId="3688491C" w:rsidR="00B8288B" w:rsidRPr="002749BC" w:rsidRDefault="00866B0C" w:rsidP="00FA0103">
      <w:pPr>
        <w:pStyle w:val="BodyText"/>
      </w:pPr>
      <w:r w:rsidRPr="002749BC">
        <w:t>The willingness to pay study relied upon by ESCOSA was prepared by Oakley Greenwood in Jun</w:t>
      </w:r>
      <w:r w:rsidR="008355BA">
        <w:t>e</w:t>
      </w:r>
      <w:r w:rsidRPr="002749BC">
        <w:t xml:space="preserve"> 2018</w:t>
      </w:r>
      <w:r w:rsidR="0005372D">
        <w:t>,</w:t>
      </w:r>
      <w:r w:rsidR="00FA0103" w:rsidRPr="005D11B8">
        <w:rPr>
          <w:rStyle w:val="FootnoteReference"/>
        </w:rPr>
        <w:footnoteReference w:id="71"/>
      </w:r>
      <w:r w:rsidRPr="002749BC">
        <w:t xml:space="preserve"> which surveyed SAPN customers using a contingent valuation approach</w:t>
      </w:r>
      <w:r w:rsidR="00FA0103" w:rsidRPr="002749BC">
        <w:t xml:space="preserve">. </w:t>
      </w:r>
    </w:p>
    <w:p w14:paraId="1031CAE4" w14:textId="5874E276" w:rsidR="00B8288B" w:rsidRPr="002749BC" w:rsidRDefault="00B8288B" w:rsidP="001B0CEE">
      <w:pPr>
        <w:pStyle w:val="Heading3"/>
      </w:pPr>
      <w:r w:rsidRPr="002749BC">
        <w:t>Reasons for using contingent valuation</w:t>
      </w:r>
    </w:p>
    <w:p w14:paraId="251F2F73" w14:textId="426DFA8D" w:rsidR="00FA0103" w:rsidRPr="002749BC" w:rsidRDefault="00FA0103" w:rsidP="00FA0103">
      <w:pPr>
        <w:pStyle w:val="BodyText"/>
      </w:pPr>
      <w:r w:rsidRPr="002749BC">
        <w:t xml:space="preserve">In its report, Oakley Greenwood provided a detailed explanation of their reasons for adopting contingent valuation over choice modelling for this purpose. </w:t>
      </w:r>
    </w:p>
    <w:p w14:paraId="162688BF" w14:textId="04964FD2" w:rsidR="00FA0103" w:rsidRPr="002749BC" w:rsidRDefault="00FA0103" w:rsidP="00FA0103">
      <w:pPr>
        <w:pStyle w:val="BodyText"/>
      </w:pPr>
      <w:r w:rsidRPr="002749BC">
        <w:t>Firstly, Oakley Greenwood noted that</w:t>
      </w:r>
      <w:r w:rsidR="0090064B" w:rsidRPr="002749BC">
        <w:t>:</w:t>
      </w:r>
      <w:r w:rsidR="0090064B" w:rsidRPr="005D11B8">
        <w:rPr>
          <w:rStyle w:val="FootnoteReference"/>
        </w:rPr>
        <w:footnoteReference w:id="72"/>
      </w:r>
    </w:p>
    <w:p w14:paraId="77F9AF32" w14:textId="3D832314" w:rsidR="00FA0103" w:rsidRPr="002749BC" w:rsidRDefault="0090064B" w:rsidP="00FA0103">
      <w:pPr>
        <w:pStyle w:val="Quote"/>
        <w:rPr>
          <w:lang w:val="en-AU"/>
        </w:rPr>
      </w:pPr>
      <w:r w:rsidRPr="002749BC">
        <w:rPr>
          <w:lang w:val="en-AU"/>
        </w:rPr>
        <w:t>“</w:t>
      </w:r>
      <w:r w:rsidR="00FA0103" w:rsidRPr="002749BC">
        <w:rPr>
          <w:lang w:val="en-AU"/>
        </w:rPr>
        <w:t xml:space="preserve">[Contingent valuation] provides a means for getting a specific estimate in absolute dollar terms of the value each respondent places on each reliability improvement option. … By contrast, [choice modelling] only provides information on customers’ preferences regarding different costs in combination with other attributes of a service improvement option. It cannot (on its own) provide a definitive statement of </w:t>
      </w:r>
      <w:r w:rsidRPr="002749BC">
        <w:rPr>
          <w:lang w:val="en-AU"/>
        </w:rPr>
        <w:t>willingness to pay</w:t>
      </w:r>
      <w:r w:rsidR="00FA0103" w:rsidRPr="002749BC">
        <w:rPr>
          <w:lang w:val="en-AU"/>
        </w:rPr>
        <w:t xml:space="preserve"> for any specific level of cost of a service improvement option.</w:t>
      </w:r>
      <w:r w:rsidRPr="002749BC">
        <w:rPr>
          <w:lang w:val="en-AU"/>
        </w:rPr>
        <w:t>”</w:t>
      </w:r>
      <w:r w:rsidR="00FA0103" w:rsidRPr="002749BC">
        <w:rPr>
          <w:lang w:val="en-AU"/>
        </w:rPr>
        <w:t xml:space="preserve"> </w:t>
      </w:r>
    </w:p>
    <w:p w14:paraId="71F35BC9" w14:textId="25699343" w:rsidR="00A46678" w:rsidRPr="002749BC" w:rsidRDefault="0090064B" w:rsidP="00FA0103">
      <w:pPr>
        <w:pStyle w:val="BodyText"/>
      </w:pPr>
      <w:r w:rsidRPr="002749BC">
        <w:t>Oakley Greenwood noted the advantage that choice modelling typically offers by showing how customers are willing to trade-off different attributes against one another, but then explained why this advantage wasn’t relevant to the question at hand</w:t>
      </w:r>
      <w:r w:rsidR="00A46678" w:rsidRPr="002749BC">
        <w:t xml:space="preserve">. Essentially, the things required to improve the frequency and duration attributes vary considerably by location and it would be impractical for the distributor to specify variable “packages” of outlays that would deliver different levels of improvement in each attribute. As a result, Oakley Greenwood </w:t>
      </w:r>
      <w:r w:rsidR="00502E25" w:rsidRPr="002749BC">
        <w:t>concluded</w:t>
      </w:r>
      <w:r w:rsidR="00A46678" w:rsidRPr="002749BC">
        <w:t xml:space="preserve"> that </w:t>
      </w:r>
      <w:r w:rsidR="00502E25" w:rsidRPr="002749BC">
        <w:t>“</w:t>
      </w:r>
      <w:r w:rsidR="00A46678" w:rsidRPr="002749BC">
        <w:t xml:space="preserve">there is not a smooth </w:t>
      </w:r>
      <w:r w:rsidR="00A46678" w:rsidRPr="002749BC">
        <w:lastRenderedPageBreak/>
        <w:t>trade-off relationship between improvements in the frequency and duration of outages</w:t>
      </w:r>
      <w:r w:rsidR="00502E25" w:rsidRPr="002749BC">
        <w:t>”</w:t>
      </w:r>
      <w:r w:rsidR="00B54108">
        <w:t>.</w:t>
      </w:r>
      <w:r w:rsidR="00502E25" w:rsidRPr="005D11B8">
        <w:rPr>
          <w:rStyle w:val="FootnoteReference"/>
        </w:rPr>
        <w:footnoteReference w:id="73"/>
      </w:r>
    </w:p>
    <w:p w14:paraId="12D35428" w14:textId="6CA022BA" w:rsidR="00502E25" w:rsidRPr="002749BC" w:rsidRDefault="00502E25" w:rsidP="00FA0103">
      <w:pPr>
        <w:pStyle w:val="BodyText"/>
      </w:pPr>
      <w:r w:rsidRPr="002749BC">
        <w:t xml:space="preserve">Given the constraints on how the electricity distributor would deliver reliability improvements in practice, Oakley Greenwood concluded that the insights into customer preferences for trade-offs between multiple attributes would be of </w:t>
      </w:r>
      <w:r w:rsidR="008B4168" w:rsidRPr="002749BC">
        <w:t xml:space="preserve">largely </w:t>
      </w:r>
      <w:r w:rsidRPr="002749BC">
        <w:t xml:space="preserve">academic interest only. </w:t>
      </w:r>
    </w:p>
    <w:p w14:paraId="56611C06" w14:textId="0781B91B" w:rsidR="00B8288B" w:rsidRPr="002749BC" w:rsidRDefault="00B8288B" w:rsidP="001B0CEE">
      <w:pPr>
        <w:pStyle w:val="Heading3"/>
      </w:pPr>
      <w:r w:rsidRPr="002749BC">
        <w:t>Determining compensation payments</w:t>
      </w:r>
    </w:p>
    <w:p w14:paraId="51E6F4F7" w14:textId="214EA245" w:rsidR="008B4168" w:rsidRPr="002749BC" w:rsidRDefault="00B8288B" w:rsidP="00FA0103">
      <w:pPr>
        <w:pStyle w:val="BodyText"/>
      </w:pPr>
      <w:r w:rsidRPr="002749BC">
        <w:t xml:space="preserve">Given ACCAN’s interest in calculating compensation payments, we point out that the Oakley Greenwood analysis was not used directly for this purpose. </w:t>
      </w:r>
      <w:r w:rsidR="008B4168" w:rsidRPr="002749BC">
        <w:t xml:space="preserve">Oakley Greenwood directed the contingent valuation study towards determining the average willingness to pay for </w:t>
      </w:r>
      <w:r w:rsidR="007470F0" w:rsidRPr="002749BC">
        <w:t>5% and 10% improvements in</w:t>
      </w:r>
      <w:r w:rsidR="008B4168" w:rsidRPr="002749BC">
        <w:t xml:space="preserve"> reliability</w:t>
      </w:r>
      <w:r w:rsidRPr="002749BC">
        <w:t xml:space="preserve"> and then they used these valuations as inputs to a cost-benefit analysis of different reliability levels. ESCOSA then selected the most economically efficient reliability setting</w:t>
      </w:r>
      <w:r w:rsidRPr="005D11B8">
        <w:rPr>
          <w:rStyle w:val="FootnoteReference"/>
        </w:rPr>
        <w:footnoteReference w:id="74"/>
      </w:r>
      <w:r w:rsidRPr="002749BC">
        <w:t xml:space="preserve"> and derived compensation by multiplying the VCR ($/MWh) determined by AEMO by the implied amount of energy not served (MWh) to a customer experiencing different total outage durations.  </w:t>
      </w:r>
    </w:p>
    <w:p w14:paraId="518D4635" w14:textId="6A0BD111" w:rsidR="00FA0103" w:rsidRPr="002749BC" w:rsidRDefault="00B8288B" w:rsidP="001B0CEE">
      <w:pPr>
        <w:pStyle w:val="Heading3"/>
      </w:pPr>
      <w:r w:rsidRPr="002749BC">
        <w:t>Implications for ACCAN</w:t>
      </w:r>
      <w:r w:rsidR="00FA0103" w:rsidRPr="002749BC">
        <w:t xml:space="preserve"> </w:t>
      </w:r>
    </w:p>
    <w:p w14:paraId="6E6026D8" w14:textId="24E3044D" w:rsidR="00C37B8B" w:rsidRPr="002749BC" w:rsidRDefault="00E0315B" w:rsidP="008F5587">
      <w:pPr>
        <w:pStyle w:val="BodyText"/>
        <w:rPr>
          <w:lang w:eastAsia="en-US"/>
        </w:rPr>
      </w:pPr>
      <w:r w:rsidRPr="002749BC">
        <w:rPr>
          <w:lang w:eastAsia="en-US"/>
        </w:rPr>
        <w:t xml:space="preserve">ESCOSA’s review of reliability standards and compensation levels </w:t>
      </w:r>
      <w:r w:rsidR="00222EB9" w:rsidRPr="002749BC">
        <w:rPr>
          <w:lang w:eastAsia="en-US"/>
        </w:rPr>
        <w:t xml:space="preserve">offers illustrates </w:t>
      </w:r>
      <w:r w:rsidR="00C37B8B" w:rsidRPr="002749BC">
        <w:rPr>
          <w:lang w:eastAsia="en-US"/>
        </w:rPr>
        <w:t>two</w:t>
      </w:r>
      <w:r w:rsidR="00222EB9" w:rsidRPr="002749BC">
        <w:rPr>
          <w:lang w:eastAsia="en-US"/>
        </w:rPr>
        <w:t xml:space="preserve"> points relevant to ACCAN’s non-market valuation strategy. Firstly, the potential richness of choice modelling insights should be considered in light of what could be done with those insights that would be of practical value to the consumers ACCAN represents. Secondly, the review underscores the continuing acceptability of contingent valuation as an appropriate technique in circumstances where the options to be evaluated can be narrowly specified. </w:t>
      </w:r>
    </w:p>
    <w:p w14:paraId="130A1250" w14:textId="0EB8DD92" w:rsidR="00222EB9" w:rsidRPr="002749BC" w:rsidRDefault="00C37B8B" w:rsidP="008F5587">
      <w:pPr>
        <w:pStyle w:val="BodyText"/>
        <w:rPr>
          <w:lang w:eastAsia="en-US"/>
        </w:rPr>
      </w:pPr>
      <w:r w:rsidRPr="002749BC">
        <w:rPr>
          <w:lang w:eastAsia="en-US"/>
        </w:rPr>
        <w:t>T</w:t>
      </w:r>
      <w:r w:rsidR="00222EB9" w:rsidRPr="002749BC">
        <w:rPr>
          <w:lang w:eastAsia="en-US"/>
        </w:rPr>
        <w:t xml:space="preserve">he fact that ESCOSA opted to use VCR as the basis for setting the level of compensation payments for </w:t>
      </w:r>
      <w:r w:rsidRPr="002749BC">
        <w:rPr>
          <w:lang w:eastAsia="en-US"/>
        </w:rPr>
        <w:t xml:space="preserve">eligible </w:t>
      </w:r>
      <w:r w:rsidR="00222EB9" w:rsidRPr="002749BC">
        <w:rPr>
          <w:lang w:eastAsia="en-US"/>
        </w:rPr>
        <w:t xml:space="preserve">customers </w:t>
      </w:r>
      <w:r w:rsidR="00B917BF" w:rsidRPr="002749BC">
        <w:rPr>
          <w:lang w:eastAsia="en-US"/>
        </w:rPr>
        <w:t>may not be particularly relevant to ACCAN</w:t>
      </w:r>
      <w:r w:rsidRPr="002749BC">
        <w:rPr>
          <w:lang w:eastAsia="en-US"/>
        </w:rPr>
        <w:t xml:space="preserve">. It illustrates the very wide application that the VCR has as a metric of incremental cost/value in the electricity sector. </w:t>
      </w:r>
      <w:r w:rsidR="00B917BF" w:rsidRPr="002749BC">
        <w:rPr>
          <w:lang w:eastAsia="en-US"/>
        </w:rPr>
        <w:t>However, in the absence of VCR, we consider that it would also have been feasible for ESCOSA to use a</w:t>
      </w:r>
      <w:r w:rsidR="006047A7">
        <w:rPr>
          <w:lang w:eastAsia="en-US"/>
        </w:rPr>
        <w:t xml:space="preserve"> stated preference valuation </w:t>
      </w:r>
      <w:r w:rsidR="00B917BF" w:rsidRPr="002749BC">
        <w:rPr>
          <w:lang w:eastAsia="en-US"/>
        </w:rPr>
        <w:t xml:space="preserve"> approach to determine the appropriate level of compensation. </w:t>
      </w:r>
    </w:p>
    <w:p w14:paraId="178392FC" w14:textId="4B527DA1" w:rsidR="00151C0A" w:rsidRPr="002749BC" w:rsidRDefault="00151C0A" w:rsidP="00151C0A">
      <w:pPr>
        <w:pStyle w:val="Heading1"/>
      </w:pPr>
      <w:bookmarkStart w:id="38" w:name="_Ref5908297"/>
      <w:bookmarkStart w:id="39" w:name="_Toc12387763"/>
      <w:r w:rsidRPr="002749BC">
        <w:lastRenderedPageBreak/>
        <w:t>Benefit Transfer</w:t>
      </w:r>
      <w:bookmarkEnd w:id="37"/>
      <w:bookmarkEnd w:id="38"/>
      <w:bookmarkEnd w:id="39"/>
    </w:p>
    <w:p w14:paraId="252BFBFA" w14:textId="278CD95D" w:rsidR="00903B35" w:rsidRPr="00A8589D" w:rsidRDefault="00E52C42" w:rsidP="001B0CEE">
      <w:pPr>
        <w:pStyle w:val="Heading2"/>
      </w:pPr>
      <w:bookmarkStart w:id="40" w:name="_Toc12387764"/>
      <w:r w:rsidRPr="001B0CEE">
        <w:t>Opportunities</w:t>
      </w:r>
      <w:r w:rsidR="00AC113B" w:rsidRPr="001B0CEE">
        <w:t xml:space="preserve"> for benefit transfer</w:t>
      </w:r>
      <w:bookmarkEnd w:id="40"/>
    </w:p>
    <w:p w14:paraId="45F277FB" w14:textId="60C311F3" w:rsidR="00AC113B" w:rsidRPr="002749BC" w:rsidRDefault="00AC113B" w:rsidP="00AC113B">
      <w:r w:rsidRPr="002749BC">
        <w:t>Based on the literature reviews of non-market valuation studies for the value of customer time and the value of reliability, Synergies considers that there is a promising benefit transfer opportunity in the case of valuing customer time, but not in the case of estimating the value of long delays in receiving a broadband service connection</w:t>
      </w:r>
      <w:r w:rsidR="0007420B">
        <w:t xml:space="preserve"> or experiencing an outage</w:t>
      </w:r>
      <w:r w:rsidRPr="002749BC">
        <w:t>.</w:t>
      </w:r>
      <w:r w:rsidR="00BC7330" w:rsidRPr="002749BC">
        <w:t xml:space="preserve"> </w:t>
      </w:r>
    </w:p>
    <w:p w14:paraId="4DC6C430" w14:textId="4950B231" w:rsidR="00BC7330" w:rsidRPr="002749BC" w:rsidRDefault="00BC7330" w:rsidP="00AC113B">
      <w:r w:rsidRPr="002749BC">
        <w:t xml:space="preserve">In the case of customer time, we consider that there is a sound basis for considering that the costs incurred by a person spending time trying to resolve a service issue with a telco provider will have much in common with those incurred by a commuter using the transport system to travel </w:t>
      </w:r>
      <w:r w:rsidR="00B54108">
        <w:t>from</w:t>
      </w:r>
      <w:r w:rsidRPr="002749BC">
        <w:t xml:space="preserve"> one point to another. In both cases, the costs relate primarily to </w:t>
      </w:r>
      <w:r w:rsidR="001B4010" w:rsidRPr="002749BC">
        <w:t>the opportunity cost of a person’s time – the value of the best alternative use of that person’s time. In both cases, there may be differences in cost depending on the relative unpleasantness or perceived inconvenience of the experience. In both cases the commuter or customer is engaged in</w:t>
      </w:r>
      <w:r w:rsidRPr="002749BC">
        <w:t xml:space="preserve"> a largely non-discretionary activity</w:t>
      </w:r>
      <w:r w:rsidR="001B4010" w:rsidRPr="002749BC">
        <w:t xml:space="preserve">. In both cases, there may be scope for the commuter or customer to mitigate costs by multitasking during some steps in the process. </w:t>
      </w:r>
    </w:p>
    <w:p w14:paraId="252F1C7D" w14:textId="36947D68" w:rsidR="00AC113B" w:rsidRPr="002749BC" w:rsidRDefault="001B4010" w:rsidP="004D43F6">
      <w:r w:rsidRPr="002749BC">
        <w:t>In the case of reliability, we do not see an opportunity for benefit transfer to be used to value the parameter of interest – namely the cost of excessively long waits to receive a service connection</w:t>
      </w:r>
      <w:r w:rsidR="0007420B">
        <w:t xml:space="preserve"> or experiencing an outage</w:t>
      </w:r>
      <w:r w:rsidRPr="002749BC">
        <w:t xml:space="preserve">. </w:t>
      </w:r>
      <w:r w:rsidR="004D43F6" w:rsidRPr="002749BC">
        <w:t xml:space="preserve">The valuation studies we identified in the water and electricity sectors apply to services that provide utility to customers in ways that are very different to telecommunication services. The impact on a customer of being denied access to a fixed broadband service for a day is clearly not equivalent to the impact of being without electricity for the same period, nor to the impairment of a household’s ability to water its garden over summer. Thus to estimate the value to customers of lengthy delays in service connection, we consider that a novel non-market valuation study would be required. </w:t>
      </w:r>
    </w:p>
    <w:p w14:paraId="1F97E4C5" w14:textId="1E35C00C" w:rsidR="004D43F6" w:rsidRPr="002749BC" w:rsidRDefault="004D43F6" w:rsidP="004D43F6">
      <w:r w:rsidRPr="002749BC">
        <w:t xml:space="preserve">The following sections detail how we consider that the ATAP guidelines could be applied to perform a benefit transfer of value of time estimates from the transport context into a telecommunications setting. </w:t>
      </w:r>
    </w:p>
    <w:p w14:paraId="4250D610" w14:textId="7FABAFC5" w:rsidR="00AC113B" w:rsidRPr="001B0CEE" w:rsidRDefault="00AC113B" w:rsidP="001B0CEE">
      <w:pPr>
        <w:pStyle w:val="Heading2"/>
      </w:pPr>
      <w:bookmarkStart w:id="41" w:name="_Toc12387765"/>
      <w:r w:rsidRPr="001B0CEE">
        <w:t>Overview of the ATAP time valuation framework</w:t>
      </w:r>
      <w:bookmarkEnd w:id="41"/>
    </w:p>
    <w:p w14:paraId="33C475B1" w14:textId="466442F8" w:rsidR="00CC6A74" w:rsidRPr="002749BC" w:rsidRDefault="00CC6A74" w:rsidP="00CC6A74">
      <w:pPr>
        <w:pStyle w:val="BodyText"/>
      </w:pPr>
      <w:r w:rsidRPr="002749BC">
        <w:rPr>
          <w:lang w:eastAsia="en-US"/>
        </w:rPr>
        <w:t xml:space="preserve">In Australian transport planning, best practice for the estimation of non-market value has come to be embodied in the </w:t>
      </w:r>
      <w:r w:rsidRPr="002749BC">
        <w:t xml:space="preserve">Australian Transport Assessment and Planning (ATAP) Guidelines, which align closely with Infrastructure Australia's (IA) Reform and Investment Framework. IA regards the ATAP Guidelines as representing best </w:t>
      </w:r>
      <w:r w:rsidRPr="002749BC">
        <w:lastRenderedPageBreak/>
        <w:t>practice for transport planning and assessment in Australia and accordingly hosts these materials on its website</w:t>
      </w:r>
      <w:r w:rsidR="009915CA">
        <w:t>.</w:t>
      </w:r>
      <w:r w:rsidRPr="005D11B8">
        <w:rPr>
          <w:rStyle w:val="FootnoteReference"/>
        </w:rPr>
        <w:footnoteReference w:id="75"/>
      </w:r>
      <w:r w:rsidRPr="002749BC">
        <w:t xml:space="preserve"> </w:t>
      </w:r>
    </w:p>
    <w:p w14:paraId="12E3E005" w14:textId="77777777" w:rsidR="00CC6A74" w:rsidRPr="002749BC" w:rsidRDefault="00CC6A74" w:rsidP="00CC6A74">
      <w:r w:rsidRPr="002749BC">
        <w:t>The ATAP Guidelines are routinely applied to assess the costs and benefits of major transport infrastructure projects. The non-market values provided in the Guidelines support benefit transfer estimations of, for instance, the economic benefits of investments to reduce congestion or reduce average travel times. Examples of multi-billion projects from IA’s infrastructure high priority list that use this approach include:</w:t>
      </w:r>
    </w:p>
    <w:p w14:paraId="4B15D5B1" w14:textId="77777777" w:rsidR="00CC6A74" w:rsidRPr="002749BC" w:rsidRDefault="00CC6A74" w:rsidP="00CC6A74">
      <w:pPr>
        <w:pStyle w:val="bullet"/>
      </w:pPr>
      <w:r w:rsidRPr="002749BC">
        <w:t>M4 Motorway upgrade from Parramatta to Lapstone (NSW);</w:t>
      </w:r>
    </w:p>
    <w:p w14:paraId="1FB3B1C8" w14:textId="77777777" w:rsidR="00CC6A74" w:rsidRPr="002749BC" w:rsidRDefault="00CC6A74" w:rsidP="00CC6A74">
      <w:pPr>
        <w:pStyle w:val="bullet"/>
      </w:pPr>
      <w:r w:rsidRPr="002749BC">
        <w:t>Sydney Metro: City and Southwest (NSW);</w:t>
      </w:r>
    </w:p>
    <w:p w14:paraId="4BB80E43" w14:textId="77777777" w:rsidR="00CC6A74" w:rsidRPr="002749BC" w:rsidRDefault="00CC6A74" w:rsidP="00CC6A74">
      <w:pPr>
        <w:pStyle w:val="bullet"/>
      </w:pPr>
      <w:r w:rsidRPr="002749BC">
        <w:t>Western Sydney Airport (NSW);</w:t>
      </w:r>
    </w:p>
    <w:p w14:paraId="6F07FA8D" w14:textId="77777777" w:rsidR="00CC6A74" w:rsidRPr="002749BC" w:rsidRDefault="00CC6A74" w:rsidP="00CC6A74">
      <w:pPr>
        <w:pStyle w:val="bullet"/>
      </w:pPr>
      <w:r w:rsidRPr="002749BC">
        <w:t>M80 Ring Road upgrade (Vic);</w:t>
      </w:r>
    </w:p>
    <w:p w14:paraId="2023E7BD" w14:textId="77777777" w:rsidR="00CC6A74" w:rsidRPr="002749BC" w:rsidRDefault="00CC6A74" w:rsidP="00CC6A74">
      <w:pPr>
        <w:pStyle w:val="bullet"/>
      </w:pPr>
      <w:r w:rsidRPr="002749BC">
        <w:t>Monash Freeway Upgrade Stage 2 (Vic);</w:t>
      </w:r>
    </w:p>
    <w:p w14:paraId="1C7E0286" w14:textId="77777777" w:rsidR="00CC6A74" w:rsidRPr="002749BC" w:rsidRDefault="00CC6A74" w:rsidP="00CC6A74">
      <w:pPr>
        <w:pStyle w:val="bullet"/>
      </w:pPr>
      <w:r w:rsidRPr="002749BC">
        <w:t>North East Link (Vic);</w:t>
      </w:r>
    </w:p>
    <w:p w14:paraId="29337F63" w14:textId="77777777" w:rsidR="00CC6A74" w:rsidRPr="002749BC" w:rsidRDefault="00CC6A74" w:rsidP="00CC6A74">
      <w:pPr>
        <w:pStyle w:val="bullet"/>
      </w:pPr>
      <w:r w:rsidRPr="002749BC">
        <w:t>Brisbane Metro (Qld); and</w:t>
      </w:r>
    </w:p>
    <w:p w14:paraId="37AAAEFD" w14:textId="77777777" w:rsidR="00CC6A74" w:rsidRPr="002749BC" w:rsidRDefault="00CC6A74" w:rsidP="00CC6A74">
      <w:pPr>
        <w:pStyle w:val="bullet"/>
      </w:pPr>
      <w:r w:rsidRPr="002749BC">
        <w:t>METRONET: Yanchep Rail Extension (WA).</w:t>
      </w:r>
    </w:p>
    <w:p w14:paraId="353CC9D0" w14:textId="0F69EC54" w:rsidR="00BC7330" w:rsidRPr="002749BC" w:rsidRDefault="00AC113B" w:rsidP="00AC113B">
      <w:pPr>
        <w:pStyle w:val="BodyText"/>
      </w:pPr>
      <w:r w:rsidRPr="002749BC">
        <w:t xml:space="preserve">The ATAP </w:t>
      </w:r>
      <w:r w:rsidR="00774E99" w:rsidRPr="002749BC">
        <w:t>G</w:t>
      </w:r>
      <w:r w:rsidRPr="002749BC">
        <w:t xml:space="preserve">uidelines specify a headline value for the cost of each hour an average person spends </w:t>
      </w:r>
      <w:r w:rsidR="00E15D35" w:rsidRPr="002749BC">
        <w:t xml:space="preserve">travelling </w:t>
      </w:r>
      <w:r w:rsidRPr="002749BC">
        <w:t>in a vehicle – the value of in</w:t>
      </w:r>
      <w:r w:rsidR="00E15D35" w:rsidRPr="002749BC">
        <w:t>-</w:t>
      </w:r>
      <w:r w:rsidRPr="002749BC">
        <w:t>vehicle time (IVT)</w:t>
      </w:r>
      <w:r w:rsidR="00E15D35" w:rsidRPr="002749BC">
        <w:t>, expressed in units of dollars per hour</w:t>
      </w:r>
      <w:r w:rsidRPr="002749BC">
        <w:t xml:space="preserve">. The guidelines then specify a set of multipliers that can be applied to adjust the IVT to calculate an accurate estimate of the cost of time </w:t>
      </w:r>
      <w:r w:rsidR="001B0CEE">
        <w:t>forgone</w:t>
      </w:r>
      <w:r w:rsidRPr="002749BC">
        <w:t xml:space="preserve"> during an entire journey from Point A to Point B. The resulting generalised </w:t>
      </w:r>
      <w:r w:rsidR="00E15D35" w:rsidRPr="002749BC">
        <w:t xml:space="preserve">value of </w:t>
      </w:r>
      <w:r w:rsidRPr="002749BC">
        <w:t xml:space="preserve">time measure is the weighted sum of </w:t>
      </w:r>
      <w:r w:rsidR="00E15D35" w:rsidRPr="002749BC">
        <w:t xml:space="preserve">the value of time across </w:t>
      </w:r>
      <w:r w:rsidRPr="002749BC">
        <w:t xml:space="preserve">all </w:t>
      </w:r>
      <w:r w:rsidR="00BC7330" w:rsidRPr="002749BC">
        <w:t>steps making up a journey</w:t>
      </w:r>
      <w:r w:rsidRPr="002749BC">
        <w:t xml:space="preserve">. </w:t>
      </w:r>
    </w:p>
    <w:p w14:paraId="08BCA352" w14:textId="04A6056F" w:rsidR="00B4611E" w:rsidRPr="001B0CEE" w:rsidRDefault="00B4611E" w:rsidP="005B26ED">
      <w:pPr>
        <w:pStyle w:val="Heading2"/>
      </w:pPr>
      <w:bookmarkStart w:id="42" w:name="_Ref4409868"/>
      <w:bookmarkStart w:id="43" w:name="_Toc12387766"/>
      <w:r w:rsidRPr="001B0CEE">
        <w:t xml:space="preserve">Application </w:t>
      </w:r>
      <w:r w:rsidR="00942215" w:rsidRPr="001B0CEE">
        <w:t xml:space="preserve">of ATAP Guidelines </w:t>
      </w:r>
      <w:r w:rsidRPr="001B0CEE">
        <w:t xml:space="preserve">to </w:t>
      </w:r>
      <w:r w:rsidR="00B54108" w:rsidRPr="00A8589D">
        <w:t xml:space="preserve">customer wait </w:t>
      </w:r>
      <w:r w:rsidRPr="00A8589D">
        <w:t>time</w:t>
      </w:r>
      <w:r w:rsidR="00B54108" w:rsidRPr="00A8589D">
        <w:t>s</w:t>
      </w:r>
      <w:bookmarkEnd w:id="42"/>
      <w:bookmarkEnd w:id="43"/>
    </w:p>
    <w:p w14:paraId="53CEE68B" w14:textId="6A9149C4" w:rsidR="00917DAA" w:rsidRDefault="00B4611E" w:rsidP="00B4611E">
      <w:pPr>
        <w:pStyle w:val="BodyText"/>
      </w:pPr>
      <w:bookmarkStart w:id="44" w:name="_Hlk3986911"/>
      <w:r w:rsidRPr="002749BC">
        <w:t xml:space="preserve">Not all measures </w:t>
      </w:r>
      <w:r w:rsidR="00137241" w:rsidRPr="002749BC">
        <w:t>sp</w:t>
      </w:r>
      <w:r w:rsidR="00616924" w:rsidRPr="002749BC">
        <w:t>ecified by ATAP</w:t>
      </w:r>
      <w:r w:rsidR="00F7609B" w:rsidRPr="002749BC">
        <w:t xml:space="preserve"> in relation to a public transport journey </w:t>
      </w:r>
      <w:r w:rsidRPr="002749BC">
        <w:t xml:space="preserve">are relevant in this context. Resolving an issue </w:t>
      </w:r>
      <w:r w:rsidR="002B511A">
        <w:t xml:space="preserve">with a customer service representative, whether by </w:t>
      </w:r>
      <w:r w:rsidRPr="002749BC">
        <w:t>phone</w:t>
      </w:r>
      <w:r w:rsidR="002B511A">
        <w:t>, in person or by email,</w:t>
      </w:r>
      <w:r w:rsidRPr="002749BC">
        <w:t xml:space="preserve"> is less complex and hence unlikely to require the whole suite of adjustment multipliers</w:t>
      </w:r>
      <w:r w:rsidR="00460D1F" w:rsidRPr="002749BC">
        <w:t xml:space="preserve"> estimated in the Guidelines</w:t>
      </w:r>
      <w:r w:rsidRPr="002749BC">
        <w:t xml:space="preserve">. </w:t>
      </w:r>
    </w:p>
    <w:p w14:paraId="47D23B15" w14:textId="2716F809" w:rsidR="00B4611E" w:rsidRPr="002749BC" w:rsidRDefault="00B4611E" w:rsidP="00B4611E">
      <w:pPr>
        <w:pStyle w:val="BodyText"/>
      </w:pPr>
      <w:r w:rsidRPr="002749BC">
        <w:lastRenderedPageBreak/>
        <w:t xml:space="preserve">In most cases the resolution of an issue </w:t>
      </w:r>
      <w:r w:rsidR="002B511A">
        <w:t>proceeds by</w:t>
      </w:r>
      <w:r w:rsidRPr="002749BC">
        <w:t xml:space="preserve"> the following steps: </w:t>
      </w:r>
    </w:p>
    <w:p w14:paraId="67317A9B" w14:textId="7A91B30E" w:rsidR="00B4611E" w:rsidRPr="002749BC" w:rsidRDefault="002B511A" w:rsidP="00320F86">
      <w:pPr>
        <w:pStyle w:val="numberedbullet"/>
        <w:numPr>
          <w:ilvl w:val="0"/>
          <w:numId w:val="27"/>
        </w:numPr>
      </w:pPr>
      <w:r>
        <w:t>The customer calls, visits or lodges a written communication and waits to be attended to by a customer service representative</w:t>
      </w:r>
    </w:p>
    <w:p w14:paraId="70396E50" w14:textId="1CB53267" w:rsidR="00B4611E" w:rsidRPr="002749BC" w:rsidRDefault="002B511A" w:rsidP="00B4611E">
      <w:pPr>
        <w:pStyle w:val="numberedbullet"/>
      </w:pPr>
      <w:r>
        <w:t>The customer</w:t>
      </w:r>
      <w:r w:rsidRPr="002749BC">
        <w:t xml:space="preserve"> </w:t>
      </w:r>
      <w:r w:rsidR="00B4611E" w:rsidRPr="002749BC">
        <w:t xml:space="preserve">explains the issue to the </w:t>
      </w:r>
      <w:r w:rsidR="00C01D30">
        <w:t xml:space="preserve">service </w:t>
      </w:r>
      <w:r>
        <w:t>represent</w:t>
      </w:r>
      <w:r w:rsidR="00C01D30">
        <w:t>ative</w:t>
      </w:r>
      <w:r>
        <w:t xml:space="preserve"> (</w:t>
      </w:r>
      <w:r w:rsidR="00C01D30">
        <w:t xml:space="preserve">for engagement by email, </w:t>
      </w:r>
      <w:r>
        <w:t xml:space="preserve">this step </w:t>
      </w:r>
      <w:r w:rsidR="00C01D30">
        <w:t>may occur as the first step</w:t>
      </w:r>
      <w:r>
        <w:t>)</w:t>
      </w:r>
    </w:p>
    <w:p w14:paraId="6649E361" w14:textId="01504620" w:rsidR="00B4611E" w:rsidRPr="002749BC" w:rsidRDefault="00B4611E" w:rsidP="00B4611E">
      <w:pPr>
        <w:pStyle w:val="numberedbullet"/>
      </w:pPr>
      <w:r w:rsidRPr="002749BC">
        <w:t xml:space="preserve">If the </w:t>
      </w:r>
      <w:r w:rsidR="00C01D30">
        <w:t>service representative</w:t>
      </w:r>
      <w:r w:rsidR="00C01D30" w:rsidRPr="002749BC">
        <w:t xml:space="preserve"> </w:t>
      </w:r>
      <w:r w:rsidRPr="002749BC">
        <w:t xml:space="preserve">is able to resolve the issue the </w:t>
      </w:r>
      <w:r w:rsidR="00C01D30">
        <w:t>process then ends</w:t>
      </w:r>
    </w:p>
    <w:p w14:paraId="3BA4E4DE" w14:textId="748108CA" w:rsidR="00B4611E" w:rsidRPr="002749BC" w:rsidRDefault="00B4611E" w:rsidP="00B4611E">
      <w:pPr>
        <w:pStyle w:val="numberedbullet"/>
      </w:pPr>
      <w:r w:rsidRPr="002749BC">
        <w:t xml:space="preserve">If the </w:t>
      </w:r>
      <w:r w:rsidR="00201F24">
        <w:t>service representative</w:t>
      </w:r>
      <w:r w:rsidR="00201F24" w:rsidRPr="002749BC">
        <w:t xml:space="preserve"> </w:t>
      </w:r>
      <w:r w:rsidRPr="002749BC">
        <w:t xml:space="preserve">is not able to resolve the issue, the </w:t>
      </w:r>
      <w:r w:rsidR="00201F24">
        <w:t>customer is then handed off</w:t>
      </w:r>
      <w:r w:rsidRPr="002749BC">
        <w:t xml:space="preserve"> to another operator and the process resumes at step 2.</w:t>
      </w:r>
    </w:p>
    <w:p w14:paraId="6DEB119D" w14:textId="35D095DA" w:rsidR="007207BB" w:rsidRPr="002749BC" w:rsidRDefault="001D79A5" w:rsidP="007207BB">
      <w:pPr>
        <w:pStyle w:val="BodyText"/>
      </w:pPr>
      <w:r w:rsidRPr="002749BC">
        <w:t xml:space="preserve">Synergies proposes to classify the </w:t>
      </w:r>
      <w:r w:rsidR="00001736" w:rsidRPr="002749BC">
        <w:t>above steps</w:t>
      </w:r>
      <w:r w:rsidRPr="002749BC">
        <w:t xml:space="preserve"> </w:t>
      </w:r>
      <w:r w:rsidR="00001736" w:rsidRPr="002749BC">
        <w:t>in</w:t>
      </w:r>
      <w:r w:rsidRPr="002749BC">
        <w:t xml:space="preserve"> </w:t>
      </w:r>
      <w:r w:rsidR="00E167B6">
        <w:t xml:space="preserve">obtaining a </w:t>
      </w:r>
      <w:r w:rsidR="00116A0A">
        <w:t xml:space="preserve">resolution to </w:t>
      </w:r>
      <w:r w:rsidRPr="002749BC">
        <w:t>a</w:t>
      </w:r>
      <w:r w:rsidR="00116A0A">
        <w:t xml:space="preserve"> telco</w:t>
      </w:r>
      <w:r w:rsidRPr="002749BC">
        <w:t xml:space="preserve"> service </w:t>
      </w:r>
      <w:r w:rsidR="00E167B6">
        <w:t xml:space="preserve">issue </w:t>
      </w:r>
      <w:r w:rsidRPr="002749BC">
        <w:t xml:space="preserve">according to whether the customer is likely to experience the feeling that they are making progress towards their objective or </w:t>
      </w:r>
      <w:r w:rsidR="00001736" w:rsidRPr="002749BC">
        <w:t>feel</w:t>
      </w:r>
      <w:r w:rsidRPr="002749BC">
        <w:t xml:space="preserve"> they are merely waiting. </w:t>
      </w:r>
      <w:r w:rsidR="00B4611E" w:rsidRPr="002749BC">
        <w:t xml:space="preserve">If the first </w:t>
      </w:r>
      <w:r w:rsidR="00116A0A">
        <w:t>service representative</w:t>
      </w:r>
      <w:r w:rsidR="00116A0A" w:rsidRPr="002749BC">
        <w:t xml:space="preserve"> </w:t>
      </w:r>
      <w:r w:rsidR="00B4611E" w:rsidRPr="002749BC">
        <w:t xml:space="preserve">is able to resolve the issue, waiting time only occurs during </w:t>
      </w:r>
      <w:r w:rsidR="00116A0A">
        <w:t>S</w:t>
      </w:r>
      <w:r w:rsidR="00116A0A" w:rsidRPr="002749BC">
        <w:t>tep</w:t>
      </w:r>
      <w:r w:rsidR="00116A0A">
        <w:t> </w:t>
      </w:r>
      <w:r w:rsidR="00B4611E" w:rsidRPr="002749BC">
        <w:t xml:space="preserve">1. If the first </w:t>
      </w:r>
      <w:r w:rsidR="00116A0A">
        <w:t>service representative</w:t>
      </w:r>
      <w:r w:rsidR="00116A0A" w:rsidRPr="002749BC">
        <w:t xml:space="preserve"> </w:t>
      </w:r>
      <w:r w:rsidR="00B4611E" w:rsidRPr="002749BC">
        <w:t xml:space="preserve">is unable to resolve the issue, all subsequent steps can be considered waiting time </w:t>
      </w:r>
      <w:r w:rsidRPr="002749BC">
        <w:t>since</w:t>
      </w:r>
      <w:r w:rsidR="00B4611E" w:rsidRPr="002749BC">
        <w:t xml:space="preserve"> in their view the </w:t>
      </w:r>
      <w:r w:rsidR="00116A0A">
        <w:t>customer</w:t>
      </w:r>
      <w:r w:rsidR="00116A0A" w:rsidRPr="002749BC">
        <w:t xml:space="preserve"> </w:t>
      </w:r>
      <w:r w:rsidR="00B4611E" w:rsidRPr="002749BC">
        <w:t xml:space="preserve">does not make progress. The first time the </w:t>
      </w:r>
      <w:r w:rsidR="004F6C8E">
        <w:t>customer</w:t>
      </w:r>
      <w:r w:rsidR="004F6C8E" w:rsidRPr="002749BC">
        <w:t xml:space="preserve"> </w:t>
      </w:r>
      <w:r w:rsidR="00B4611E" w:rsidRPr="002749BC">
        <w:t xml:space="preserve">explains the issue to the </w:t>
      </w:r>
      <w:r w:rsidR="004F6C8E">
        <w:t>service representative</w:t>
      </w:r>
      <w:r w:rsidR="004F6C8E" w:rsidRPr="002749BC">
        <w:t xml:space="preserve"> </w:t>
      </w:r>
      <w:r w:rsidR="00B4611E" w:rsidRPr="002749BC">
        <w:t xml:space="preserve">can be considered progress. </w:t>
      </w:r>
      <w:r w:rsidR="004F6C8E">
        <w:t xml:space="preserve">The reason for treating the first and second </w:t>
      </w:r>
      <w:r w:rsidR="00493052">
        <w:t xml:space="preserve">rounds of explanation differently </w:t>
      </w:r>
      <w:r w:rsidR="005D7B5E">
        <w:t xml:space="preserve">is </w:t>
      </w:r>
      <w:r w:rsidR="000B2627">
        <w:t>explained later in this section</w:t>
      </w:r>
      <w:r w:rsidR="00083706">
        <w:t xml:space="preserve">. </w:t>
      </w:r>
      <w:r w:rsidR="00B4611E" w:rsidRPr="002749BC">
        <w:fldChar w:fldCharType="begin"/>
      </w:r>
      <w:r w:rsidR="00B4611E" w:rsidRPr="002749BC">
        <w:instrText xml:space="preserve"> REF _Ref3986864 \h </w:instrText>
      </w:r>
      <w:r w:rsidR="00B4611E" w:rsidRPr="002749BC">
        <w:fldChar w:fldCharType="separate"/>
      </w:r>
      <w:r w:rsidR="00176422" w:rsidRPr="002749BC">
        <w:t xml:space="preserve">Figure </w:t>
      </w:r>
      <w:r w:rsidR="00176422">
        <w:rPr>
          <w:noProof/>
        </w:rPr>
        <w:t>2</w:t>
      </w:r>
      <w:r w:rsidR="00B4611E" w:rsidRPr="002749BC">
        <w:fldChar w:fldCharType="end"/>
      </w:r>
      <w:r w:rsidR="00B4611E" w:rsidRPr="002749BC">
        <w:t xml:space="preserve"> illustrates </w:t>
      </w:r>
      <w:r w:rsidR="00917DAA">
        <w:t>the steps in the process and shows the classification of each step as either progress or waiting time</w:t>
      </w:r>
      <w:r w:rsidR="00B4611E" w:rsidRPr="002749BC">
        <w:t xml:space="preserve">. </w:t>
      </w:r>
    </w:p>
    <w:p w14:paraId="7FCC1AD4" w14:textId="14850359" w:rsidR="00B4611E" w:rsidRPr="002749BC" w:rsidRDefault="00B4611E" w:rsidP="00B4611E">
      <w:pPr>
        <w:pStyle w:val="Caption"/>
        <w:rPr>
          <w:b w:val="0"/>
          <w:bCs w:val="0"/>
        </w:rPr>
      </w:pPr>
      <w:bookmarkStart w:id="45" w:name="_Ref3986864"/>
      <w:bookmarkStart w:id="46" w:name="_Toc12387779"/>
      <w:r w:rsidRPr="002749BC">
        <w:t xml:space="preserve">Figure </w:t>
      </w:r>
      <w:r w:rsidRPr="002749BC">
        <w:rPr>
          <w:noProof/>
        </w:rPr>
        <w:fldChar w:fldCharType="begin"/>
      </w:r>
      <w:r w:rsidRPr="002749BC">
        <w:rPr>
          <w:noProof/>
        </w:rPr>
        <w:instrText xml:space="preserve"> SEQ Figure \* ARABIC </w:instrText>
      </w:r>
      <w:r w:rsidRPr="002749BC">
        <w:rPr>
          <w:noProof/>
        </w:rPr>
        <w:fldChar w:fldCharType="separate"/>
      </w:r>
      <w:r w:rsidR="00176422">
        <w:rPr>
          <w:noProof/>
        </w:rPr>
        <w:t>2</w:t>
      </w:r>
      <w:r w:rsidRPr="002749BC">
        <w:rPr>
          <w:noProof/>
        </w:rPr>
        <w:fldChar w:fldCharType="end"/>
      </w:r>
      <w:bookmarkEnd w:id="45"/>
      <w:r w:rsidRPr="002749BC">
        <w:rPr>
          <w:b w:val="0"/>
        </w:rPr>
        <w:tab/>
      </w:r>
      <w:r w:rsidR="00201F24">
        <w:rPr>
          <w:b w:val="0"/>
        </w:rPr>
        <w:t>Steps in r</w:t>
      </w:r>
      <w:r w:rsidR="00201F24" w:rsidRPr="002749BC">
        <w:rPr>
          <w:b w:val="0"/>
        </w:rPr>
        <w:t xml:space="preserve">esolving </w:t>
      </w:r>
      <w:r w:rsidRPr="002749BC">
        <w:rPr>
          <w:b w:val="0"/>
        </w:rPr>
        <w:t>a</w:t>
      </w:r>
      <w:r w:rsidR="00E167B6">
        <w:rPr>
          <w:b w:val="0"/>
        </w:rPr>
        <w:t xml:space="preserve"> telco service</w:t>
      </w:r>
      <w:r w:rsidRPr="002749BC">
        <w:rPr>
          <w:b w:val="0"/>
        </w:rPr>
        <w:t xml:space="preserve"> issue</w:t>
      </w:r>
      <w:bookmarkEnd w:id="46"/>
      <w:r w:rsidRPr="002749BC">
        <w:rPr>
          <w:b w:val="0"/>
        </w:rPr>
        <w:t xml:space="preserve"> </w:t>
      </w:r>
    </w:p>
    <w:tbl>
      <w:tblPr>
        <w:tblW w:w="0" w:type="auto"/>
        <w:tblInd w:w="108" w:type="dxa"/>
        <w:tblLook w:val="0000" w:firstRow="0" w:lastRow="0" w:firstColumn="0" w:lastColumn="0" w:noHBand="0" w:noVBand="0"/>
      </w:tblPr>
      <w:tblGrid>
        <w:gridCol w:w="8612"/>
      </w:tblGrid>
      <w:tr w:rsidR="00B4611E" w:rsidRPr="002749BC" w14:paraId="0CA18A2A" w14:textId="77777777" w:rsidTr="00EB079F">
        <w:tc>
          <w:tcPr>
            <w:tcW w:w="12178" w:type="dxa"/>
          </w:tcPr>
          <w:p w14:paraId="542E3B30" w14:textId="0C923DC5" w:rsidR="00B4611E" w:rsidRPr="002749BC" w:rsidRDefault="009B19A7" w:rsidP="00EB079F">
            <w:pPr>
              <w:pStyle w:val="BodyText"/>
              <w:keepNext/>
            </w:pPr>
            <w:r>
              <w:rPr>
                <w:noProof/>
              </w:rPr>
              <w:drawing>
                <wp:inline distT="0" distB="0" distL="0" distR="0" wp14:anchorId="2BA1A444" wp14:editId="6993AF44">
                  <wp:extent cx="5247860" cy="2201178"/>
                  <wp:effectExtent l="0" t="0" r="0" b="8890"/>
                  <wp:docPr id="11" name="Picture 11" descr="Steps in resolving a telco service iss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266699" cy="2209080"/>
                          </a:xfrm>
                          <a:prstGeom prst="rect">
                            <a:avLst/>
                          </a:prstGeom>
                          <a:noFill/>
                        </pic:spPr>
                      </pic:pic>
                    </a:graphicData>
                  </a:graphic>
                </wp:inline>
              </w:drawing>
            </w:r>
          </w:p>
        </w:tc>
      </w:tr>
    </w:tbl>
    <w:p w14:paraId="2C3E2C0D" w14:textId="77777777" w:rsidR="00B4611E" w:rsidRPr="002749BC" w:rsidRDefault="00B4611E" w:rsidP="00B4611E">
      <w:pPr>
        <w:pStyle w:val="Note"/>
        <w:keepNext w:val="0"/>
        <w:rPr>
          <w:rFonts w:ascii="Arial Bold" w:hAnsi="Arial Bold"/>
          <w:b/>
          <w:szCs w:val="14"/>
        </w:rPr>
      </w:pPr>
      <w:r w:rsidRPr="002749BC">
        <w:rPr>
          <w:rFonts w:ascii="Arial Bold" w:hAnsi="Arial Bold"/>
          <w:b/>
          <w:szCs w:val="14"/>
        </w:rPr>
        <w:t>Data source: Synergies illustration</w:t>
      </w:r>
    </w:p>
    <w:p w14:paraId="682CAA70" w14:textId="3CC0CF51" w:rsidR="00B4611E" w:rsidRPr="002749BC" w:rsidRDefault="00B4611E" w:rsidP="00B4611E">
      <w:pPr>
        <w:pStyle w:val="BodyText"/>
      </w:pPr>
      <w:r w:rsidRPr="002749BC">
        <w:t xml:space="preserve">The public transport journey equivalent of progress is the time spent moving, </w:t>
      </w:r>
      <w:r w:rsidR="00001736" w:rsidRPr="002749BC">
        <w:t>which</w:t>
      </w:r>
      <w:r w:rsidRPr="002749BC">
        <w:t xml:space="preserve"> in the ATAP framework </w:t>
      </w:r>
      <w:r w:rsidR="00001736" w:rsidRPr="002749BC">
        <w:t xml:space="preserve">is simply </w:t>
      </w:r>
      <w:r w:rsidRPr="002749BC">
        <w:t xml:space="preserve">the IVT. This time constitutes the unavoidable component of the process necessary to achieve the goal during which the traveller or </w:t>
      </w:r>
      <w:r w:rsidR="005B0578">
        <w:t>customer</w:t>
      </w:r>
      <w:r w:rsidR="005B0578" w:rsidRPr="002749BC">
        <w:t xml:space="preserve"> </w:t>
      </w:r>
      <w:r w:rsidRPr="002749BC">
        <w:t xml:space="preserve">could perform other tasks but typically does not feel frustration. The time </w:t>
      </w:r>
      <w:r w:rsidRPr="002749BC">
        <w:lastRenderedPageBreak/>
        <w:t xml:space="preserve">spent waiting tends to involve varying degrees of frustration for which the IVT value should be adjusted. In </w:t>
      </w:r>
      <w:r w:rsidR="00DA1FEF" w:rsidRPr="002749BC">
        <w:t>t</w:t>
      </w:r>
      <w:r w:rsidRPr="002749BC">
        <w:t xml:space="preserve">he public transport </w:t>
      </w:r>
      <w:r w:rsidR="00001736" w:rsidRPr="002749BC">
        <w:t xml:space="preserve">setting, </w:t>
      </w:r>
      <w:r w:rsidRPr="002749BC">
        <w:t>there are two types of waiting time</w:t>
      </w:r>
      <w:r w:rsidR="00001736" w:rsidRPr="002749BC">
        <w:t>:</w:t>
      </w:r>
    </w:p>
    <w:bookmarkEnd w:id="44"/>
    <w:p w14:paraId="149381FA" w14:textId="1C0120F0" w:rsidR="00B4611E" w:rsidRPr="002749BC" w:rsidRDefault="00A303DB" w:rsidP="00B4611E">
      <w:pPr>
        <w:pStyle w:val="bullet"/>
      </w:pPr>
      <w:r w:rsidRPr="002749BC">
        <w:t>w</w:t>
      </w:r>
      <w:r w:rsidR="00B4611E" w:rsidRPr="002749BC">
        <w:t>ait time relates to the time spent at a bus stop or train station; and</w:t>
      </w:r>
    </w:p>
    <w:p w14:paraId="79EE0DE3" w14:textId="77777777" w:rsidR="00B4611E" w:rsidRPr="002749BC" w:rsidRDefault="00B4611E" w:rsidP="00B4611E">
      <w:pPr>
        <w:pStyle w:val="bullet"/>
      </w:pPr>
      <w:r w:rsidRPr="002749BC">
        <w:t>a transfer penalty is typically applied for this waiting time when it is at an intermediate point of the journey, e.g. when the traveller changes from a feeder bus to the train that takes them to their ultimate destination;</w:t>
      </w:r>
    </w:p>
    <w:p w14:paraId="2A1E06F1" w14:textId="710A85F9" w:rsidR="00E72155" w:rsidRDefault="00001736" w:rsidP="00B4611E">
      <w:pPr>
        <w:pStyle w:val="BodyText"/>
      </w:pPr>
      <w:r w:rsidRPr="002749BC">
        <w:t>An equivalent distinction is</w:t>
      </w:r>
      <w:r w:rsidR="00B4611E" w:rsidRPr="002749BC">
        <w:t xml:space="preserve"> </w:t>
      </w:r>
      <w:r w:rsidRPr="002749BC">
        <w:t>likely to be</w:t>
      </w:r>
      <w:r w:rsidR="00B4611E" w:rsidRPr="002749BC">
        <w:t xml:space="preserve"> applicable to time </w:t>
      </w:r>
      <w:r w:rsidRPr="002749BC">
        <w:t xml:space="preserve">spent waiting </w:t>
      </w:r>
      <w:r w:rsidR="005D7B5E">
        <w:t>to resolve a service issue</w:t>
      </w:r>
      <w:r w:rsidR="00B4611E" w:rsidRPr="002749BC">
        <w:t xml:space="preserve">. While re-explaining an issue can be unpleasant, waiting for the opportunity to do so </w:t>
      </w:r>
      <w:r w:rsidRPr="002749BC">
        <w:t>may be considered</w:t>
      </w:r>
      <w:r w:rsidR="00B4611E" w:rsidRPr="002749BC">
        <w:t xml:space="preserve"> frustrating</w:t>
      </w:r>
      <w:r w:rsidRPr="002749BC">
        <w:t xml:space="preserve"> and thus disliked even more</w:t>
      </w:r>
      <w:r w:rsidR="00B4611E" w:rsidRPr="002749BC">
        <w:t xml:space="preserve">. We therefore suggest </w:t>
      </w:r>
      <w:r w:rsidR="00774E99" w:rsidRPr="002749BC">
        <w:t xml:space="preserve">that the valuation of time spent </w:t>
      </w:r>
      <w:r w:rsidR="000B2627">
        <w:t>resolving a service issue</w:t>
      </w:r>
      <w:r w:rsidR="00774E99" w:rsidRPr="002749BC">
        <w:t xml:space="preserve"> apply </w:t>
      </w:r>
      <w:r w:rsidR="00CF2971" w:rsidRPr="002749BC">
        <w:t>between two and four</w:t>
      </w:r>
      <w:r w:rsidR="00774E99" w:rsidRPr="002749BC">
        <w:t xml:space="preserve"> valuation estimates</w:t>
      </w:r>
      <w:r w:rsidR="006537AA" w:rsidRPr="002749BC">
        <w:t xml:space="preserve"> </w:t>
      </w:r>
      <w:r w:rsidR="00774E99" w:rsidRPr="002749BC">
        <w:t xml:space="preserve">to different steps in the </w:t>
      </w:r>
      <w:r w:rsidR="000B2627">
        <w:t>process</w:t>
      </w:r>
      <w:r w:rsidR="00C9796F" w:rsidRPr="002749BC">
        <w:t>, as set out below</w:t>
      </w:r>
      <w:r w:rsidR="00E72155">
        <w:t xml:space="preserve">. </w:t>
      </w:r>
    </w:p>
    <w:p w14:paraId="7A58B37F" w14:textId="3D9C2401" w:rsidR="00C9796F" w:rsidRPr="002749BC" w:rsidRDefault="00C9796F" w:rsidP="00B4611E">
      <w:pPr>
        <w:pStyle w:val="BodyText"/>
      </w:pPr>
      <w:r w:rsidRPr="002749BC">
        <w:t>At a minimum:</w:t>
      </w:r>
    </w:p>
    <w:p w14:paraId="70D13F2F" w14:textId="31FD81F5" w:rsidR="00B17559" w:rsidRPr="002749BC" w:rsidRDefault="001A3EC4" w:rsidP="002A073D">
      <w:pPr>
        <w:pStyle w:val="bullet"/>
      </w:pPr>
      <w:r w:rsidRPr="002749BC">
        <w:t xml:space="preserve">the </w:t>
      </w:r>
      <w:r w:rsidR="001F5D8E" w:rsidRPr="002749BC">
        <w:t xml:space="preserve">time spent on the initial explanation to the first </w:t>
      </w:r>
      <w:r w:rsidR="000B2627">
        <w:t>service representative</w:t>
      </w:r>
      <w:r w:rsidR="000B2627" w:rsidRPr="002749BC">
        <w:t xml:space="preserve"> </w:t>
      </w:r>
      <w:r w:rsidR="00774E99" w:rsidRPr="002749BC">
        <w:t>should be valued at the unadjusted IVT</w:t>
      </w:r>
      <w:r w:rsidR="001F5D8E" w:rsidRPr="002749BC">
        <w:t>;</w:t>
      </w:r>
      <w:r w:rsidR="00B54108">
        <w:t xml:space="preserve"> and</w:t>
      </w:r>
    </w:p>
    <w:p w14:paraId="1AF2C682" w14:textId="656F5E55" w:rsidR="00C9796F" w:rsidRPr="002749BC" w:rsidRDefault="00C9796F" w:rsidP="00C9796F">
      <w:pPr>
        <w:pStyle w:val="bullet"/>
      </w:pPr>
      <w:r w:rsidRPr="002749BC">
        <w:t xml:space="preserve">time spent waiting during </w:t>
      </w:r>
      <w:r w:rsidR="00541B24">
        <w:t>hand-overs</w:t>
      </w:r>
      <w:r w:rsidR="00541B24" w:rsidRPr="002749BC">
        <w:t xml:space="preserve"> </w:t>
      </w:r>
      <w:r w:rsidR="000B2627">
        <w:t>between service representatives</w:t>
      </w:r>
      <w:r w:rsidR="000B2627" w:rsidRPr="002749BC">
        <w:t xml:space="preserve"> </w:t>
      </w:r>
      <w:r w:rsidRPr="002749BC">
        <w:t xml:space="preserve">should be valued at the IVT multiplied by the transfer penalty adjustment. </w:t>
      </w:r>
    </w:p>
    <w:p w14:paraId="2770C413" w14:textId="2FFBFD8A" w:rsidR="00C9796F" w:rsidRPr="002749BC" w:rsidRDefault="00C9796F" w:rsidP="00C9796F">
      <w:pPr>
        <w:pStyle w:val="BodyText"/>
      </w:pPr>
      <w:r w:rsidRPr="002749BC">
        <w:t xml:space="preserve">In addition, to estimate upper limit values: </w:t>
      </w:r>
    </w:p>
    <w:p w14:paraId="0BFAFC2D" w14:textId="6CDC001E" w:rsidR="00C53CC1" w:rsidRPr="002749BC" w:rsidRDefault="006B1BE6" w:rsidP="002A073D">
      <w:pPr>
        <w:pStyle w:val="bullet"/>
      </w:pPr>
      <w:r w:rsidRPr="002749BC">
        <w:t xml:space="preserve">the time the </w:t>
      </w:r>
      <w:r w:rsidR="00E320C9">
        <w:t>customer</w:t>
      </w:r>
      <w:r w:rsidR="00E320C9" w:rsidRPr="002749BC">
        <w:t xml:space="preserve"> </w:t>
      </w:r>
      <w:r w:rsidRPr="002749BC">
        <w:t xml:space="preserve">waits for the first </w:t>
      </w:r>
      <w:r w:rsidR="00541B24">
        <w:t>service representative</w:t>
      </w:r>
      <w:r w:rsidR="00541B24" w:rsidRPr="002749BC">
        <w:t xml:space="preserve"> </w:t>
      </w:r>
      <w:r w:rsidR="000A2DEE" w:rsidRPr="002749BC">
        <w:t xml:space="preserve">to </w:t>
      </w:r>
      <w:r w:rsidRPr="002749BC">
        <w:t xml:space="preserve">answer and </w:t>
      </w:r>
      <w:r w:rsidR="00AA36AA" w:rsidRPr="002749BC">
        <w:t xml:space="preserve">any time waiting during </w:t>
      </w:r>
      <w:r w:rsidR="00541B24">
        <w:t>handovers</w:t>
      </w:r>
      <w:r w:rsidR="00541B24" w:rsidRPr="002749BC">
        <w:t xml:space="preserve"> </w:t>
      </w:r>
      <w:r w:rsidR="00AA36AA" w:rsidRPr="002749BC">
        <w:t>and re-</w:t>
      </w:r>
      <w:r w:rsidR="00F31413" w:rsidRPr="002749BC">
        <w:t>explaining</w:t>
      </w:r>
      <w:r w:rsidR="00AA36AA" w:rsidRPr="002749BC">
        <w:t xml:space="preserve"> the </w:t>
      </w:r>
      <w:r w:rsidR="0043003F" w:rsidRPr="002749BC">
        <w:t>issue</w:t>
      </w:r>
      <w:r w:rsidR="000A2DEE" w:rsidRPr="002749BC">
        <w:t xml:space="preserve"> to subsequent </w:t>
      </w:r>
      <w:r w:rsidR="00E320C9">
        <w:t>service representatives</w:t>
      </w:r>
      <w:r w:rsidR="00E320C9" w:rsidRPr="002749BC">
        <w:t xml:space="preserve"> </w:t>
      </w:r>
      <w:r w:rsidR="00CF2971" w:rsidRPr="002749BC">
        <w:t>c</w:t>
      </w:r>
      <w:r w:rsidR="00774E99" w:rsidRPr="002749BC">
        <w:t>ould be valued at the IVT multiplied by the wait time adjustment</w:t>
      </w:r>
      <w:r w:rsidR="00B54108">
        <w:t>;</w:t>
      </w:r>
      <w:r w:rsidR="00C9796F" w:rsidRPr="005D11B8">
        <w:rPr>
          <w:rStyle w:val="FootnoteReference"/>
        </w:rPr>
        <w:footnoteReference w:id="76"/>
      </w:r>
      <w:r w:rsidR="00F31413" w:rsidRPr="002749BC">
        <w:t xml:space="preserve"> and</w:t>
      </w:r>
    </w:p>
    <w:p w14:paraId="5D835337" w14:textId="27348362" w:rsidR="00C9796F" w:rsidRDefault="00C9796F" w:rsidP="002A073D">
      <w:pPr>
        <w:pStyle w:val="bullet"/>
      </w:pPr>
      <w:r w:rsidRPr="002749BC">
        <w:t xml:space="preserve">the time spent re-explaining an issue after several iterations could be valued at the IVT multiplied by the crowded conditions multiplier.  </w:t>
      </w:r>
    </w:p>
    <w:p w14:paraId="24A0FF53" w14:textId="79546E05" w:rsidR="00E72155" w:rsidRPr="002749BC" w:rsidRDefault="00B9623F" w:rsidP="00A55AA6">
      <w:pPr>
        <w:pStyle w:val="BodyText"/>
      </w:pPr>
      <w:r>
        <w:t>The</w:t>
      </w:r>
      <w:r w:rsidR="00F313A5">
        <w:t>se</w:t>
      </w:r>
      <w:r>
        <w:t xml:space="preserve"> proposed matches between ATAP parameters and the components of a customer’s “journey” through a service </w:t>
      </w:r>
      <w:r w:rsidR="00F313A5">
        <w:t>interaction are summarised in</w:t>
      </w:r>
      <w:r w:rsidR="00E72155" w:rsidRPr="002749BC">
        <w:t xml:space="preserve"> </w:t>
      </w:r>
      <w:r w:rsidR="00E72155" w:rsidRPr="002749BC">
        <w:fldChar w:fldCharType="begin"/>
      </w:r>
      <w:r w:rsidR="00E72155" w:rsidRPr="002749BC">
        <w:instrText xml:space="preserve"> REF _Ref3994431 \h </w:instrText>
      </w:r>
      <w:r w:rsidR="00E72155" w:rsidRPr="002749BC">
        <w:fldChar w:fldCharType="separate"/>
      </w:r>
      <w:r w:rsidR="00176422" w:rsidRPr="002749BC">
        <w:t xml:space="preserve">Table </w:t>
      </w:r>
      <w:r w:rsidR="00176422">
        <w:rPr>
          <w:noProof/>
        </w:rPr>
        <w:t>9</w:t>
      </w:r>
      <w:r w:rsidR="00E72155" w:rsidRPr="002749BC">
        <w:fldChar w:fldCharType="end"/>
      </w:r>
      <w:r w:rsidR="00E72155" w:rsidRPr="002749BC">
        <w:t>.</w:t>
      </w:r>
    </w:p>
    <w:p w14:paraId="636C11AB" w14:textId="6491505B" w:rsidR="00B4611E" w:rsidRPr="002749BC" w:rsidRDefault="00B4611E" w:rsidP="00320F86">
      <w:pPr>
        <w:pStyle w:val="Caption"/>
        <w:keepLines/>
        <w:rPr>
          <w:b w:val="0"/>
        </w:rPr>
      </w:pPr>
      <w:bookmarkStart w:id="47" w:name="_Ref3994431"/>
      <w:bookmarkStart w:id="48" w:name="_Toc12387790"/>
      <w:r w:rsidRPr="002749BC">
        <w:lastRenderedPageBreak/>
        <w:t xml:space="preserve">Table </w:t>
      </w:r>
      <w:r w:rsidRPr="002749BC">
        <w:rPr>
          <w:noProof/>
        </w:rPr>
        <w:fldChar w:fldCharType="begin"/>
      </w:r>
      <w:r w:rsidRPr="002749BC">
        <w:rPr>
          <w:noProof/>
        </w:rPr>
        <w:instrText xml:space="preserve"> SEQ Table \* ARABIC </w:instrText>
      </w:r>
      <w:r w:rsidRPr="002749BC">
        <w:rPr>
          <w:noProof/>
        </w:rPr>
        <w:fldChar w:fldCharType="separate"/>
      </w:r>
      <w:r w:rsidR="00176422">
        <w:rPr>
          <w:noProof/>
        </w:rPr>
        <w:t>9</w:t>
      </w:r>
      <w:r w:rsidRPr="002749BC">
        <w:rPr>
          <w:noProof/>
        </w:rPr>
        <w:fldChar w:fldCharType="end"/>
      </w:r>
      <w:bookmarkEnd w:id="47"/>
      <w:r w:rsidRPr="002749BC">
        <w:t xml:space="preserve"> </w:t>
      </w:r>
      <w:r w:rsidRPr="002749BC">
        <w:tab/>
        <w:t>Applying ATAP parameters to resolving an issue</w:t>
      </w:r>
      <w:bookmarkEnd w:id="48"/>
      <w:r w:rsidRPr="002749BC">
        <w:t xml:space="preserve"> </w:t>
      </w:r>
    </w:p>
    <w:tbl>
      <w:tblPr>
        <w:tblW w:w="8504" w:type="dxa"/>
        <w:tblInd w:w="85" w:type="dxa"/>
        <w:tblLayout w:type="fixed"/>
        <w:tblCellMar>
          <w:left w:w="56" w:type="dxa"/>
          <w:right w:w="56" w:type="dxa"/>
        </w:tblCellMar>
        <w:tblLook w:val="0000" w:firstRow="0" w:lastRow="0" w:firstColumn="0" w:lastColumn="0" w:noHBand="0" w:noVBand="0"/>
        <w:tblCaption w:val="Applying ATAP parameters to resolving an issue "/>
        <w:tblDescription w:val="A table showing each step in the customer service interaction matched to a value parameter drawn from the ATAP guidelines"/>
      </w:tblPr>
      <w:tblGrid>
        <w:gridCol w:w="2325"/>
        <w:gridCol w:w="2693"/>
        <w:gridCol w:w="3486"/>
      </w:tblGrid>
      <w:tr w:rsidR="00B4611E" w:rsidRPr="002749BC" w14:paraId="7EE731AF" w14:textId="77777777" w:rsidTr="00D124B6">
        <w:trPr>
          <w:tblHeader/>
        </w:trPr>
        <w:tc>
          <w:tcPr>
            <w:tcW w:w="2325" w:type="dxa"/>
            <w:tcBorders>
              <w:top w:val="single" w:sz="4" w:space="0" w:color="000000"/>
              <w:bottom w:val="single" w:sz="4" w:space="0" w:color="000000"/>
            </w:tcBorders>
            <w:shd w:val="clear" w:color="auto" w:fill="auto"/>
          </w:tcPr>
          <w:p w14:paraId="43EEB3FF" w14:textId="17167DAC" w:rsidR="00B4611E" w:rsidRPr="002749BC" w:rsidRDefault="007413FD" w:rsidP="00320F86">
            <w:pPr>
              <w:pStyle w:val="Tablecolumnheadings"/>
              <w:keepNext/>
              <w:keepLines/>
            </w:pPr>
            <w:r>
              <w:t>Step in the process</w:t>
            </w:r>
          </w:p>
        </w:tc>
        <w:tc>
          <w:tcPr>
            <w:tcW w:w="2693" w:type="dxa"/>
            <w:tcBorders>
              <w:top w:val="single" w:sz="4" w:space="0" w:color="000000"/>
              <w:bottom w:val="single" w:sz="4" w:space="0" w:color="000000"/>
            </w:tcBorders>
            <w:shd w:val="clear" w:color="auto" w:fill="auto"/>
          </w:tcPr>
          <w:p w14:paraId="377C268A" w14:textId="77777777" w:rsidR="00B4611E" w:rsidRPr="002749BC" w:rsidRDefault="00B4611E" w:rsidP="00320F86">
            <w:pPr>
              <w:pStyle w:val="Tablecolumnheadings"/>
              <w:keepNext/>
              <w:keepLines/>
            </w:pPr>
            <w:r w:rsidRPr="002749BC">
              <w:t>Recommended value</w:t>
            </w:r>
          </w:p>
        </w:tc>
        <w:tc>
          <w:tcPr>
            <w:tcW w:w="3486" w:type="dxa"/>
            <w:tcBorders>
              <w:top w:val="single" w:sz="4" w:space="0" w:color="000000"/>
              <w:bottom w:val="single" w:sz="4" w:space="0" w:color="000000"/>
            </w:tcBorders>
            <w:shd w:val="clear" w:color="auto" w:fill="auto"/>
          </w:tcPr>
          <w:p w14:paraId="30DF3B00" w14:textId="77777777" w:rsidR="00B4611E" w:rsidRPr="002749BC" w:rsidRDefault="00B4611E" w:rsidP="00320F86">
            <w:pPr>
              <w:pStyle w:val="Tablecolumnheadings"/>
              <w:keepNext/>
              <w:keepLines/>
            </w:pPr>
            <w:r w:rsidRPr="002749BC">
              <w:t>Maximum value</w:t>
            </w:r>
          </w:p>
        </w:tc>
      </w:tr>
      <w:tr w:rsidR="00B4611E" w:rsidRPr="002749BC" w14:paraId="6BF7D628" w14:textId="77777777" w:rsidTr="00D124B6">
        <w:tc>
          <w:tcPr>
            <w:tcW w:w="2325" w:type="dxa"/>
            <w:tcBorders>
              <w:top w:val="single" w:sz="4" w:space="0" w:color="000000"/>
            </w:tcBorders>
            <w:shd w:val="clear" w:color="auto" w:fill="auto"/>
          </w:tcPr>
          <w:p w14:paraId="0669F9BE" w14:textId="77777777" w:rsidR="00B4611E" w:rsidRPr="002749BC" w:rsidRDefault="00B4611E" w:rsidP="00320F86">
            <w:pPr>
              <w:pStyle w:val="Tablebody"/>
              <w:keepNext/>
              <w:keepLines/>
            </w:pPr>
            <w:r w:rsidRPr="002749BC">
              <w:t>Wait for answer</w:t>
            </w:r>
          </w:p>
        </w:tc>
        <w:tc>
          <w:tcPr>
            <w:tcW w:w="2693" w:type="dxa"/>
            <w:tcBorders>
              <w:top w:val="single" w:sz="4" w:space="0" w:color="000000"/>
            </w:tcBorders>
            <w:shd w:val="clear" w:color="auto" w:fill="auto"/>
          </w:tcPr>
          <w:p w14:paraId="2A9EA88B" w14:textId="77777777" w:rsidR="00B4611E" w:rsidRPr="002749BC" w:rsidRDefault="00B4611E" w:rsidP="00320F86">
            <w:pPr>
              <w:pStyle w:val="Tablebody"/>
              <w:keepNext/>
              <w:keepLines/>
            </w:pPr>
            <w:r w:rsidRPr="002749BC">
              <w:t>IVT</w:t>
            </w:r>
          </w:p>
        </w:tc>
        <w:tc>
          <w:tcPr>
            <w:tcW w:w="3486" w:type="dxa"/>
            <w:tcBorders>
              <w:top w:val="single" w:sz="4" w:space="0" w:color="000000"/>
            </w:tcBorders>
            <w:shd w:val="clear" w:color="auto" w:fill="auto"/>
          </w:tcPr>
          <w:p w14:paraId="65F7BC18" w14:textId="6C925F5A" w:rsidR="00B4611E" w:rsidRPr="002749BC" w:rsidRDefault="00B4611E" w:rsidP="00320F86">
            <w:pPr>
              <w:pStyle w:val="Tablebody"/>
              <w:keepNext/>
              <w:keepLines/>
            </w:pPr>
            <w:r w:rsidRPr="002749BC">
              <w:t xml:space="preserve">IVT </w:t>
            </w:r>
            <w:r w:rsidR="00774E99" w:rsidRPr="002749BC">
              <w:t>x</w:t>
            </w:r>
            <w:r w:rsidRPr="002749BC">
              <w:t xml:space="preserve"> wait time adjustment</w:t>
            </w:r>
            <w:r w:rsidR="00774E99" w:rsidRPr="002749BC">
              <w:t xml:space="preserve"> (1.4)</w:t>
            </w:r>
          </w:p>
        </w:tc>
      </w:tr>
      <w:tr w:rsidR="00B4611E" w:rsidRPr="002749BC" w14:paraId="0AD1D592" w14:textId="77777777" w:rsidTr="00D124B6">
        <w:tc>
          <w:tcPr>
            <w:tcW w:w="2325" w:type="dxa"/>
            <w:shd w:val="clear" w:color="auto" w:fill="auto"/>
          </w:tcPr>
          <w:p w14:paraId="1DDFBCE3" w14:textId="77777777" w:rsidR="00B4611E" w:rsidRPr="002749BC" w:rsidRDefault="00B4611E" w:rsidP="00320F86">
            <w:pPr>
              <w:pStyle w:val="Tablebody"/>
              <w:keepNext/>
              <w:keepLines/>
            </w:pPr>
            <w:r w:rsidRPr="002749BC">
              <w:t>Explain issue to operator</w:t>
            </w:r>
          </w:p>
        </w:tc>
        <w:tc>
          <w:tcPr>
            <w:tcW w:w="2693" w:type="dxa"/>
            <w:shd w:val="clear" w:color="auto" w:fill="auto"/>
          </w:tcPr>
          <w:p w14:paraId="2B5E09C9" w14:textId="77777777" w:rsidR="00B4611E" w:rsidRPr="002749BC" w:rsidRDefault="00B4611E" w:rsidP="00320F86">
            <w:pPr>
              <w:pStyle w:val="Tablebody"/>
              <w:keepNext/>
              <w:keepLines/>
            </w:pPr>
            <w:r w:rsidRPr="002749BC">
              <w:t>IVT</w:t>
            </w:r>
          </w:p>
        </w:tc>
        <w:tc>
          <w:tcPr>
            <w:tcW w:w="3486" w:type="dxa"/>
            <w:shd w:val="clear" w:color="auto" w:fill="auto"/>
          </w:tcPr>
          <w:p w14:paraId="51AA3C22" w14:textId="77777777" w:rsidR="00B4611E" w:rsidRPr="002749BC" w:rsidRDefault="00B4611E" w:rsidP="00320F86">
            <w:pPr>
              <w:pStyle w:val="Tablebody"/>
              <w:keepNext/>
              <w:keepLines/>
            </w:pPr>
            <w:r w:rsidRPr="002749BC">
              <w:t>IVT</w:t>
            </w:r>
          </w:p>
        </w:tc>
      </w:tr>
      <w:tr w:rsidR="00B4611E" w:rsidRPr="002749BC" w14:paraId="01987B19" w14:textId="77777777" w:rsidTr="00D124B6">
        <w:tc>
          <w:tcPr>
            <w:tcW w:w="2325" w:type="dxa"/>
            <w:shd w:val="clear" w:color="auto" w:fill="auto"/>
          </w:tcPr>
          <w:p w14:paraId="2EFB0720" w14:textId="77777777" w:rsidR="00B4611E" w:rsidRPr="002749BC" w:rsidRDefault="00B4611E" w:rsidP="00320F86">
            <w:pPr>
              <w:pStyle w:val="Tablebody"/>
              <w:keepNext/>
              <w:keepLines/>
            </w:pPr>
            <w:r w:rsidRPr="002749BC">
              <w:t>Transfer to other operator</w:t>
            </w:r>
          </w:p>
        </w:tc>
        <w:tc>
          <w:tcPr>
            <w:tcW w:w="2693" w:type="dxa"/>
            <w:shd w:val="clear" w:color="auto" w:fill="auto"/>
          </w:tcPr>
          <w:p w14:paraId="7C40F9D1" w14:textId="0F8E1999" w:rsidR="00B4611E" w:rsidRPr="002749BC" w:rsidRDefault="00774E99" w:rsidP="00320F86">
            <w:pPr>
              <w:pStyle w:val="Tablebody"/>
              <w:keepNext/>
              <w:keepLines/>
            </w:pPr>
            <w:r w:rsidRPr="002749BC">
              <w:t>IVT x wait time adjustment (1.4)</w:t>
            </w:r>
          </w:p>
        </w:tc>
        <w:tc>
          <w:tcPr>
            <w:tcW w:w="3486" w:type="dxa"/>
            <w:shd w:val="clear" w:color="auto" w:fill="auto"/>
          </w:tcPr>
          <w:p w14:paraId="5C248F40" w14:textId="04849DC6" w:rsidR="00B4611E" w:rsidRPr="002749BC" w:rsidRDefault="00B4611E" w:rsidP="00320F86">
            <w:pPr>
              <w:pStyle w:val="Tablebody"/>
              <w:keepNext/>
              <w:keepLines/>
            </w:pPr>
            <w:r w:rsidRPr="002749BC">
              <w:t>IVT</w:t>
            </w:r>
            <w:r w:rsidR="00774E99" w:rsidRPr="002749BC">
              <w:t xml:space="preserve"> x</w:t>
            </w:r>
            <w:r w:rsidRPr="002749BC">
              <w:t xml:space="preserve"> transfer penalty</w:t>
            </w:r>
            <w:r w:rsidR="00774E99" w:rsidRPr="002749BC">
              <w:t xml:space="preserve"> (1.5)</w:t>
            </w:r>
          </w:p>
        </w:tc>
      </w:tr>
      <w:tr w:rsidR="00B4611E" w:rsidRPr="002749BC" w14:paraId="0B7BBCCF" w14:textId="77777777" w:rsidTr="00D124B6">
        <w:tc>
          <w:tcPr>
            <w:tcW w:w="2325" w:type="dxa"/>
            <w:tcBorders>
              <w:bottom w:val="single" w:sz="4" w:space="0" w:color="000000"/>
            </w:tcBorders>
            <w:shd w:val="clear" w:color="auto" w:fill="auto"/>
          </w:tcPr>
          <w:p w14:paraId="51B71053" w14:textId="77777777" w:rsidR="00B4611E" w:rsidRPr="002749BC" w:rsidRDefault="00B4611E" w:rsidP="00320F86">
            <w:pPr>
              <w:pStyle w:val="Tablebody"/>
              <w:keepNext/>
              <w:keepLines/>
            </w:pPr>
            <w:r w:rsidRPr="002749BC">
              <w:t>Explain issue to next operator</w:t>
            </w:r>
          </w:p>
        </w:tc>
        <w:tc>
          <w:tcPr>
            <w:tcW w:w="2693" w:type="dxa"/>
            <w:tcBorders>
              <w:bottom w:val="single" w:sz="4" w:space="0" w:color="000000"/>
            </w:tcBorders>
            <w:shd w:val="clear" w:color="auto" w:fill="auto"/>
          </w:tcPr>
          <w:p w14:paraId="73D261C3" w14:textId="4908F401" w:rsidR="00B4611E" w:rsidRPr="002749BC" w:rsidRDefault="00DF3C42" w:rsidP="00320F86">
            <w:pPr>
              <w:pStyle w:val="Tablebody"/>
              <w:keepNext/>
              <w:keepLines/>
            </w:pPr>
            <w:r w:rsidRPr="002749BC">
              <w:t>IVT x wait time adjustment (1.4)</w:t>
            </w:r>
          </w:p>
        </w:tc>
        <w:tc>
          <w:tcPr>
            <w:tcW w:w="3486" w:type="dxa"/>
            <w:tcBorders>
              <w:bottom w:val="single" w:sz="4" w:space="0" w:color="000000"/>
            </w:tcBorders>
            <w:shd w:val="clear" w:color="auto" w:fill="auto"/>
          </w:tcPr>
          <w:p w14:paraId="5A4B07EC" w14:textId="4E2DEFD3" w:rsidR="00B4611E" w:rsidRPr="002749BC" w:rsidRDefault="00B4611E" w:rsidP="00320F86">
            <w:pPr>
              <w:pStyle w:val="Tablebody"/>
              <w:keepNext/>
              <w:keepLines/>
              <w:rPr>
                <w:vertAlign w:val="superscript"/>
              </w:rPr>
            </w:pPr>
            <w:r w:rsidRPr="002749BC">
              <w:t>IVT</w:t>
            </w:r>
            <w:r w:rsidR="00DF3C42" w:rsidRPr="002749BC">
              <w:t xml:space="preserve"> x</w:t>
            </w:r>
            <w:r w:rsidRPr="002749BC">
              <w:t xml:space="preserve"> crowded conditions multiplier</w:t>
            </w:r>
            <w:r w:rsidR="00DF3C42" w:rsidRPr="002749BC">
              <w:t xml:space="preserve"> (1.65)</w:t>
            </w:r>
            <w:r w:rsidR="00DF3C42" w:rsidRPr="002749BC">
              <w:rPr>
                <w:b/>
                <w:vertAlign w:val="superscript"/>
              </w:rPr>
              <w:t>(a)</w:t>
            </w:r>
          </w:p>
        </w:tc>
      </w:tr>
    </w:tbl>
    <w:p w14:paraId="4E8BB594" w14:textId="537840EE" w:rsidR="00DF3C42" w:rsidRPr="002749BC" w:rsidRDefault="00DF3C42" w:rsidP="00320F86">
      <w:pPr>
        <w:pStyle w:val="Source"/>
        <w:keepNext/>
        <w:keepLines/>
      </w:pPr>
      <w:r w:rsidRPr="002749BC">
        <w:rPr>
          <w:b/>
        </w:rPr>
        <w:t xml:space="preserve">(a) </w:t>
      </w:r>
      <w:r w:rsidRPr="002749BC">
        <w:t>use only</w:t>
      </w:r>
      <w:r w:rsidRPr="002749BC">
        <w:rPr>
          <w:b/>
        </w:rPr>
        <w:t xml:space="preserve"> </w:t>
      </w:r>
      <w:r w:rsidRPr="002749BC">
        <w:t>in cases where the customer has been through several iterations of re-explaining the problem</w:t>
      </w:r>
      <w:r w:rsidRPr="002749BC">
        <w:rPr>
          <w:b/>
        </w:rPr>
        <w:t xml:space="preserve"> </w:t>
      </w:r>
    </w:p>
    <w:p w14:paraId="2506FD09" w14:textId="77777777" w:rsidR="00B4611E" w:rsidRPr="002749BC" w:rsidRDefault="00B4611E" w:rsidP="00320F86">
      <w:pPr>
        <w:pStyle w:val="Source"/>
        <w:keepNext/>
        <w:keepLines/>
        <w:rPr>
          <w:b/>
        </w:rPr>
      </w:pPr>
      <w:r w:rsidRPr="002749BC">
        <w:rPr>
          <w:b/>
        </w:rPr>
        <w:t>Source:</w:t>
      </w:r>
      <w:r w:rsidRPr="002749BC">
        <w:t xml:space="preserve"> Synergies analysis</w:t>
      </w:r>
    </w:p>
    <w:p w14:paraId="1825FFB7" w14:textId="77777777" w:rsidR="00B4611E" w:rsidRPr="001B0CEE" w:rsidRDefault="00B4611E" w:rsidP="000A2593">
      <w:pPr>
        <w:pStyle w:val="Heading2"/>
      </w:pPr>
      <w:bookmarkStart w:id="49" w:name="_Toc12387767"/>
      <w:r w:rsidRPr="001B0CEE">
        <w:t>Calculating the values</w:t>
      </w:r>
      <w:bookmarkEnd w:id="49"/>
    </w:p>
    <w:p w14:paraId="29B97E47" w14:textId="641F7F77" w:rsidR="00E70D86" w:rsidRPr="002749BC" w:rsidRDefault="00B4611E" w:rsidP="00B4611E">
      <w:pPr>
        <w:pStyle w:val="BodyText"/>
      </w:pPr>
      <w:r w:rsidRPr="002749BC">
        <w:t>The value of in-vehicle time in uncrowded seated conditions is measured in dollars per hour and based on regression analysis conducted by ATAP of 31 Australian and NZ studies, mainly Stated Preference surveys undertaken between 1990 and 2014. The average value for IVT in Australia based on this estimation is $12.80 per hour in 2014 dollars</w:t>
      </w:r>
      <w:r w:rsidR="00B54108">
        <w:t>.</w:t>
      </w:r>
      <w:r w:rsidRPr="005D11B8">
        <w:rPr>
          <w:rStyle w:val="FootnoteReference"/>
        </w:rPr>
        <w:footnoteReference w:id="77"/>
      </w:r>
      <w:r w:rsidRPr="002749BC">
        <w:t xml:space="preserve"> Applying CPI figures escalates this value to $13.67 per hour in 2018 dollars.</w:t>
      </w:r>
      <w:r w:rsidRPr="005D11B8">
        <w:rPr>
          <w:rStyle w:val="FootnoteReference"/>
        </w:rPr>
        <w:footnoteReference w:id="78"/>
      </w:r>
      <w:r w:rsidRPr="002749BC">
        <w:t xml:space="preserve"> </w:t>
      </w:r>
    </w:p>
    <w:p w14:paraId="04CFC0DD" w14:textId="64768BB0" w:rsidR="00B4611E" w:rsidRPr="002749BC" w:rsidRDefault="00E70D86" w:rsidP="00B4611E">
      <w:pPr>
        <w:pStyle w:val="BodyText"/>
      </w:pPr>
      <w:r w:rsidRPr="002749BC">
        <w:t xml:space="preserve">The adjustment multipliers provided in the ATAP Guidelines were derived from </w:t>
      </w:r>
      <w:r w:rsidR="00774E99" w:rsidRPr="002749BC">
        <w:t>the same</w:t>
      </w:r>
      <w:r w:rsidRPr="002749BC">
        <w:t xml:space="preserve"> review of </w:t>
      </w:r>
      <w:r w:rsidR="00774E99" w:rsidRPr="002749BC">
        <w:t>31</w:t>
      </w:r>
      <w:r w:rsidRPr="002749BC">
        <w:t xml:space="preserve"> Australian and New Zealand studies</w:t>
      </w:r>
      <w:r w:rsidR="00774E99" w:rsidRPr="002749BC">
        <w:t xml:space="preserve"> as the IVT is based on</w:t>
      </w:r>
      <w:r w:rsidRPr="002749BC">
        <w:t xml:space="preserve">. </w:t>
      </w:r>
      <w:r w:rsidR="00B4611E" w:rsidRPr="002749BC">
        <w:t>The adjustment multiplier are as follows</w:t>
      </w:r>
      <w:r w:rsidR="00B54108">
        <w:t>:</w:t>
      </w:r>
      <w:r w:rsidR="00B4611E" w:rsidRPr="005D11B8">
        <w:rPr>
          <w:rStyle w:val="FootnoteReference"/>
        </w:rPr>
        <w:footnoteReference w:id="79"/>
      </w:r>
    </w:p>
    <w:p w14:paraId="3126864C" w14:textId="77777777" w:rsidR="00B4611E" w:rsidRPr="002749BC" w:rsidRDefault="00B4611E" w:rsidP="00B4611E">
      <w:pPr>
        <w:pStyle w:val="bullet"/>
      </w:pPr>
      <w:r w:rsidRPr="002749BC">
        <w:t>Wait time: 1.4</w:t>
      </w:r>
    </w:p>
    <w:p w14:paraId="2DFAEB4D" w14:textId="77777777" w:rsidR="00B4611E" w:rsidRPr="002749BC" w:rsidRDefault="00B4611E" w:rsidP="00B4611E">
      <w:pPr>
        <w:pStyle w:val="bullet"/>
      </w:pPr>
      <w:r w:rsidRPr="002749BC">
        <w:t>Transfer penalty: 1.5</w:t>
      </w:r>
    </w:p>
    <w:p w14:paraId="0E21ACB6" w14:textId="77777777" w:rsidR="00B4611E" w:rsidRPr="002749BC" w:rsidRDefault="00B4611E" w:rsidP="00B4611E">
      <w:pPr>
        <w:pStyle w:val="bullet"/>
      </w:pPr>
      <w:r w:rsidRPr="002749BC">
        <w:t>Standing in crowded conditions: 1.65</w:t>
      </w:r>
    </w:p>
    <w:p w14:paraId="3CEB7D63" w14:textId="67BEA470" w:rsidR="00B4611E" w:rsidRPr="002749BC" w:rsidRDefault="00BB74CD" w:rsidP="00B4611E">
      <w:pPr>
        <w:pStyle w:val="BodyText"/>
      </w:pPr>
      <w:r w:rsidRPr="002749BC">
        <w:fldChar w:fldCharType="begin"/>
      </w:r>
      <w:r w:rsidRPr="002749BC">
        <w:instrText xml:space="preserve"> REF _Ref3994757 \h </w:instrText>
      </w:r>
      <w:r w:rsidRPr="002749BC">
        <w:fldChar w:fldCharType="separate"/>
      </w:r>
      <w:r w:rsidR="00176422" w:rsidRPr="002749BC">
        <w:t xml:space="preserve">Table </w:t>
      </w:r>
      <w:r w:rsidR="00176422">
        <w:rPr>
          <w:noProof/>
        </w:rPr>
        <w:t>10</w:t>
      </w:r>
      <w:r w:rsidRPr="002749BC">
        <w:fldChar w:fldCharType="end"/>
      </w:r>
      <w:r>
        <w:t xml:space="preserve"> shows</w:t>
      </w:r>
      <w:r w:rsidRPr="002749BC">
        <w:t xml:space="preserve"> </w:t>
      </w:r>
      <w:r w:rsidR="00B4611E" w:rsidRPr="002749BC">
        <w:t>the IVT value</w:t>
      </w:r>
      <w:r>
        <w:t>s combined</w:t>
      </w:r>
      <w:r w:rsidR="00B4611E" w:rsidRPr="002749BC">
        <w:t xml:space="preserve"> with the multipliers, </w:t>
      </w:r>
      <w:r w:rsidR="00BA6765">
        <w:t>giving</w:t>
      </w:r>
      <w:r w:rsidR="00B4611E" w:rsidRPr="002749BC">
        <w:t xml:space="preserve"> the recommended and maximum values for the four steps in the </w:t>
      </w:r>
      <w:r w:rsidR="00BA6765">
        <w:t xml:space="preserve">service </w:t>
      </w:r>
      <w:r w:rsidR="00B4611E" w:rsidRPr="002749BC">
        <w:t xml:space="preserve">resolution process measured in $13.67 per hour in 2018 dollars. </w:t>
      </w:r>
      <w:r w:rsidR="00BA6765">
        <w:t>It</w:t>
      </w:r>
      <w:r w:rsidR="00B4611E" w:rsidRPr="002749BC">
        <w:t xml:space="preserve"> shows that the recommended value of waiting time is $19.14 per hour, that is the waiting time penalty amounts to $5.47 per hour. Under extreme conditions, e.g. if a </w:t>
      </w:r>
      <w:r w:rsidR="0028179B">
        <w:t>customer</w:t>
      </w:r>
      <w:r w:rsidR="0028179B" w:rsidRPr="002749BC">
        <w:t xml:space="preserve"> </w:t>
      </w:r>
      <w:r w:rsidR="00B4611E" w:rsidRPr="002749BC">
        <w:t xml:space="preserve">has to explain their problem to the fourth </w:t>
      </w:r>
      <w:r w:rsidR="0028179B">
        <w:t>service representative</w:t>
      </w:r>
      <w:r w:rsidR="00B4611E" w:rsidRPr="002749BC">
        <w:t xml:space="preserve">, it could be argued that this </w:t>
      </w:r>
      <w:r w:rsidR="00AD425A" w:rsidRPr="002749BC">
        <w:t xml:space="preserve">penalty </w:t>
      </w:r>
      <w:r w:rsidR="00B4611E" w:rsidRPr="002749BC">
        <w:t>value increases to up to $8.89 per hour making the total value of time $22.56 per hour.</w:t>
      </w:r>
      <w:r w:rsidR="000E1667">
        <w:t xml:space="preserve"> </w:t>
      </w:r>
    </w:p>
    <w:p w14:paraId="31360C71" w14:textId="78DF4DD6" w:rsidR="00B4611E" w:rsidRPr="002749BC" w:rsidRDefault="00B4611E" w:rsidP="00320F86">
      <w:pPr>
        <w:pStyle w:val="Caption"/>
        <w:keepLines/>
        <w:rPr>
          <w:b w:val="0"/>
        </w:rPr>
      </w:pPr>
      <w:bookmarkStart w:id="50" w:name="_Ref3994757"/>
      <w:bookmarkStart w:id="51" w:name="_Toc12387791"/>
      <w:r w:rsidRPr="002749BC">
        <w:lastRenderedPageBreak/>
        <w:t xml:space="preserve">Table </w:t>
      </w:r>
      <w:r w:rsidRPr="002749BC">
        <w:rPr>
          <w:noProof/>
        </w:rPr>
        <w:fldChar w:fldCharType="begin"/>
      </w:r>
      <w:r w:rsidRPr="002749BC">
        <w:rPr>
          <w:noProof/>
        </w:rPr>
        <w:instrText xml:space="preserve"> SEQ Table \* ARABIC </w:instrText>
      </w:r>
      <w:r w:rsidRPr="002749BC">
        <w:rPr>
          <w:noProof/>
        </w:rPr>
        <w:fldChar w:fldCharType="separate"/>
      </w:r>
      <w:r w:rsidR="00176422">
        <w:rPr>
          <w:noProof/>
        </w:rPr>
        <w:t>10</w:t>
      </w:r>
      <w:r w:rsidRPr="002749BC">
        <w:rPr>
          <w:noProof/>
        </w:rPr>
        <w:fldChar w:fldCharType="end"/>
      </w:r>
      <w:bookmarkEnd w:id="50"/>
      <w:r w:rsidRPr="002749BC">
        <w:t xml:space="preserve"> </w:t>
      </w:r>
      <w:r w:rsidRPr="002749BC">
        <w:tab/>
        <w:t>Applying ATAP parameters to resolving an issue on the phone</w:t>
      </w:r>
      <w:r w:rsidR="00AD425A" w:rsidRPr="002749BC">
        <w:t xml:space="preserve"> ($/hour)</w:t>
      </w:r>
      <w:bookmarkEnd w:id="51"/>
    </w:p>
    <w:tbl>
      <w:tblPr>
        <w:tblW w:w="8504" w:type="dxa"/>
        <w:tblInd w:w="85" w:type="dxa"/>
        <w:tblLayout w:type="fixed"/>
        <w:tblCellMar>
          <w:left w:w="56" w:type="dxa"/>
          <w:right w:w="56" w:type="dxa"/>
        </w:tblCellMar>
        <w:tblLook w:val="0000" w:firstRow="0" w:lastRow="0" w:firstColumn="0" w:lastColumn="0" w:noHBand="0" w:noVBand="0"/>
        <w:tblCaption w:val="Applying ATAP parameters to resolving an issue on the phone"/>
        <w:tblDescription w:val="Final estimates of recommended and maximum values for each step in the customer service resolution process - derived from applying the ATAP guidelines. "/>
      </w:tblPr>
      <w:tblGrid>
        <w:gridCol w:w="3176"/>
        <w:gridCol w:w="2664"/>
        <w:gridCol w:w="2664"/>
      </w:tblGrid>
      <w:tr w:rsidR="00B4611E" w:rsidRPr="002749BC" w14:paraId="1C8EAC76" w14:textId="77777777" w:rsidTr="00010369">
        <w:trPr>
          <w:tblHeader/>
        </w:trPr>
        <w:tc>
          <w:tcPr>
            <w:tcW w:w="3176" w:type="dxa"/>
            <w:tcBorders>
              <w:top w:val="single" w:sz="4" w:space="0" w:color="000000"/>
              <w:bottom w:val="single" w:sz="4" w:space="0" w:color="000000"/>
            </w:tcBorders>
            <w:shd w:val="clear" w:color="auto" w:fill="auto"/>
          </w:tcPr>
          <w:p w14:paraId="01881DDA" w14:textId="6A74F39F" w:rsidR="00B4611E" w:rsidRPr="002749BC" w:rsidRDefault="007413FD" w:rsidP="00320F86">
            <w:pPr>
              <w:pStyle w:val="Tablecolumnheadings"/>
              <w:keepNext/>
              <w:keepLines/>
            </w:pPr>
            <w:r>
              <w:t>Step in the process</w:t>
            </w:r>
          </w:p>
        </w:tc>
        <w:tc>
          <w:tcPr>
            <w:tcW w:w="2664" w:type="dxa"/>
            <w:tcBorders>
              <w:top w:val="single" w:sz="4" w:space="0" w:color="000000"/>
              <w:bottom w:val="single" w:sz="4" w:space="0" w:color="000000"/>
            </w:tcBorders>
            <w:shd w:val="clear" w:color="auto" w:fill="auto"/>
          </w:tcPr>
          <w:p w14:paraId="5DEDDCA8" w14:textId="77777777" w:rsidR="00B4611E" w:rsidRPr="002749BC" w:rsidRDefault="00B4611E" w:rsidP="00320F86">
            <w:pPr>
              <w:pStyle w:val="Tablecolumnheadings"/>
              <w:keepNext/>
              <w:keepLines/>
              <w:jc w:val="center"/>
            </w:pPr>
            <w:r w:rsidRPr="002749BC">
              <w:t>Recommended value</w:t>
            </w:r>
          </w:p>
        </w:tc>
        <w:tc>
          <w:tcPr>
            <w:tcW w:w="2664" w:type="dxa"/>
            <w:tcBorders>
              <w:top w:val="single" w:sz="4" w:space="0" w:color="000000"/>
              <w:bottom w:val="single" w:sz="4" w:space="0" w:color="000000"/>
            </w:tcBorders>
            <w:shd w:val="clear" w:color="auto" w:fill="auto"/>
          </w:tcPr>
          <w:p w14:paraId="0936F62C" w14:textId="77777777" w:rsidR="00B4611E" w:rsidRPr="002749BC" w:rsidRDefault="00B4611E" w:rsidP="00320F86">
            <w:pPr>
              <w:pStyle w:val="Tablecolumnheadings"/>
              <w:keepNext/>
              <w:keepLines/>
              <w:jc w:val="center"/>
            </w:pPr>
            <w:r w:rsidRPr="002749BC">
              <w:t>Maximum value</w:t>
            </w:r>
          </w:p>
        </w:tc>
      </w:tr>
      <w:tr w:rsidR="00B4611E" w:rsidRPr="002749BC" w14:paraId="59DCC8CB" w14:textId="77777777" w:rsidTr="00010369">
        <w:tc>
          <w:tcPr>
            <w:tcW w:w="3176" w:type="dxa"/>
            <w:tcBorders>
              <w:top w:val="single" w:sz="4" w:space="0" w:color="000000"/>
            </w:tcBorders>
            <w:shd w:val="clear" w:color="auto" w:fill="auto"/>
          </w:tcPr>
          <w:p w14:paraId="287AE05E" w14:textId="77777777" w:rsidR="00B4611E" w:rsidRPr="002749BC" w:rsidRDefault="00B4611E" w:rsidP="00320F86">
            <w:pPr>
              <w:pStyle w:val="Tablebody"/>
              <w:keepNext/>
              <w:keepLines/>
            </w:pPr>
            <w:r w:rsidRPr="002749BC">
              <w:t>Wait for answer</w:t>
            </w:r>
          </w:p>
        </w:tc>
        <w:tc>
          <w:tcPr>
            <w:tcW w:w="2664" w:type="dxa"/>
            <w:tcBorders>
              <w:top w:val="single" w:sz="4" w:space="0" w:color="000000"/>
            </w:tcBorders>
            <w:shd w:val="clear" w:color="auto" w:fill="auto"/>
          </w:tcPr>
          <w:p w14:paraId="0CFE4427" w14:textId="77777777" w:rsidR="00B4611E" w:rsidRPr="002749BC" w:rsidRDefault="00B4611E" w:rsidP="00320F86">
            <w:pPr>
              <w:pStyle w:val="Tablebody"/>
              <w:keepNext/>
              <w:keepLines/>
              <w:jc w:val="center"/>
            </w:pPr>
            <w:r w:rsidRPr="002749BC">
              <w:t>$13.67</w:t>
            </w:r>
          </w:p>
        </w:tc>
        <w:tc>
          <w:tcPr>
            <w:tcW w:w="2664" w:type="dxa"/>
            <w:tcBorders>
              <w:top w:val="single" w:sz="4" w:space="0" w:color="000000"/>
            </w:tcBorders>
            <w:shd w:val="clear" w:color="auto" w:fill="auto"/>
          </w:tcPr>
          <w:p w14:paraId="11894305" w14:textId="77777777" w:rsidR="00B4611E" w:rsidRPr="002749BC" w:rsidRDefault="00B4611E" w:rsidP="00320F86">
            <w:pPr>
              <w:pStyle w:val="Tablebody"/>
              <w:keepNext/>
              <w:keepLines/>
              <w:jc w:val="center"/>
            </w:pPr>
            <w:r w:rsidRPr="002749BC">
              <w:t>$13.67 * 1.4 = $19.14</w:t>
            </w:r>
          </w:p>
        </w:tc>
      </w:tr>
      <w:tr w:rsidR="00B4611E" w:rsidRPr="002749BC" w14:paraId="4548CF8C" w14:textId="77777777" w:rsidTr="00010369">
        <w:tc>
          <w:tcPr>
            <w:tcW w:w="3176" w:type="dxa"/>
            <w:shd w:val="clear" w:color="auto" w:fill="auto"/>
          </w:tcPr>
          <w:p w14:paraId="060FF382" w14:textId="77777777" w:rsidR="00B4611E" w:rsidRPr="002749BC" w:rsidRDefault="00B4611E" w:rsidP="00320F86">
            <w:pPr>
              <w:pStyle w:val="Tablebody"/>
              <w:keepNext/>
              <w:keepLines/>
            </w:pPr>
            <w:r w:rsidRPr="002749BC">
              <w:t>Explain issue to operator</w:t>
            </w:r>
          </w:p>
        </w:tc>
        <w:tc>
          <w:tcPr>
            <w:tcW w:w="2664" w:type="dxa"/>
            <w:shd w:val="clear" w:color="auto" w:fill="auto"/>
          </w:tcPr>
          <w:p w14:paraId="2CFD7AF3" w14:textId="77777777" w:rsidR="00B4611E" w:rsidRPr="002749BC" w:rsidRDefault="00B4611E" w:rsidP="00320F86">
            <w:pPr>
              <w:pStyle w:val="Tablebody"/>
              <w:keepNext/>
              <w:keepLines/>
              <w:jc w:val="center"/>
            </w:pPr>
            <w:r w:rsidRPr="002749BC">
              <w:t>$13.67</w:t>
            </w:r>
          </w:p>
        </w:tc>
        <w:tc>
          <w:tcPr>
            <w:tcW w:w="2664" w:type="dxa"/>
            <w:shd w:val="clear" w:color="auto" w:fill="auto"/>
          </w:tcPr>
          <w:p w14:paraId="13628303" w14:textId="77777777" w:rsidR="00B4611E" w:rsidRPr="002749BC" w:rsidRDefault="00B4611E" w:rsidP="00320F86">
            <w:pPr>
              <w:pStyle w:val="Tablebody"/>
              <w:keepNext/>
              <w:keepLines/>
              <w:jc w:val="center"/>
            </w:pPr>
            <w:r w:rsidRPr="002749BC">
              <w:t>$13.67</w:t>
            </w:r>
          </w:p>
        </w:tc>
      </w:tr>
      <w:tr w:rsidR="00B4611E" w:rsidRPr="002749BC" w14:paraId="3E6651A3" w14:textId="77777777" w:rsidTr="00010369">
        <w:tc>
          <w:tcPr>
            <w:tcW w:w="3176" w:type="dxa"/>
            <w:shd w:val="clear" w:color="auto" w:fill="auto"/>
          </w:tcPr>
          <w:p w14:paraId="154F1650" w14:textId="77777777" w:rsidR="00B4611E" w:rsidRPr="002749BC" w:rsidRDefault="00B4611E" w:rsidP="00320F86">
            <w:pPr>
              <w:pStyle w:val="Tablebody"/>
              <w:keepNext/>
              <w:keepLines/>
            </w:pPr>
            <w:r w:rsidRPr="002749BC">
              <w:t>Transfer to other operator</w:t>
            </w:r>
          </w:p>
        </w:tc>
        <w:tc>
          <w:tcPr>
            <w:tcW w:w="2664" w:type="dxa"/>
            <w:shd w:val="clear" w:color="auto" w:fill="auto"/>
          </w:tcPr>
          <w:p w14:paraId="1617B67C" w14:textId="77777777" w:rsidR="00B4611E" w:rsidRPr="002749BC" w:rsidRDefault="00B4611E" w:rsidP="00320F86">
            <w:pPr>
              <w:pStyle w:val="Tablebody"/>
              <w:keepNext/>
              <w:keepLines/>
              <w:jc w:val="center"/>
            </w:pPr>
            <w:r w:rsidRPr="002749BC">
              <w:t>$13.67 * 1.4 = $19.14</w:t>
            </w:r>
          </w:p>
        </w:tc>
        <w:tc>
          <w:tcPr>
            <w:tcW w:w="2664" w:type="dxa"/>
            <w:shd w:val="clear" w:color="auto" w:fill="auto"/>
          </w:tcPr>
          <w:p w14:paraId="26C06819" w14:textId="77777777" w:rsidR="00B4611E" w:rsidRPr="002749BC" w:rsidRDefault="00B4611E" w:rsidP="00320F86">
            <w:pPr>
              <w:pStyle w:val="Tablebody"/>
              <w:keepNext/>
              <w:keepLines/>
              <w:jc w:val="center"/>
            </w:pPr>
            <w:r w:rsidRPr="002749BC">
              <w:t>$13.67 * 1.5 = $20.51</w:t>
            </w:r>
          </w:p>
        </w:tc>
      </w:tr>
      <w:tr w:rsidR="00B4611E" w:rsidRPr="002749BC" w14:paraId="2E3FA40B" w14:textId="77777777" w:rsidTr="00010369">
        <w:tc>
          <w:tcPr>
            <w:tcW w:w="3176" w:type="dxa"/>
            <w:tcBorders>
              <w:bottom w:val="single" w:sz="4" w:space="0" w:color="000000"/>
            </w:tcBorders>
            <w:shd w:val="clear" w:color="auto" w:fill="auto"/>
          </w:tcPr>
          <w:p w14:paraId="7656A9C9" w14:textId="77777777" w:rsidR="00B4611E" w:rsidRPr="002749BC" w:rsidRDefault="00B4611E" w:rsidP="00320F86">
            <w:pPr>
              <w:pStyle w:val="Tablebody"/>
              <w:keepNext/>
              <w:keepLines/>
            </w:pPr>
            <w:r w:rsidRPr="002749BC">
              <w:t>Explain issue to next operator</w:t>
            </w:r>
          </w:p>
        </w:tc>
        <w:tc>
          <w:tcPr>
            <w:tcW w:w="2664" w:type="dxa"/>
            <w:tcBorders>
              <w:bottom w:val="single" w:sz="4" w:space="0" w:color="000000"/>
            </w:tcBorders>
            <w:shd w:val="clear" w:color="auto" w:fill="auto"/>
          </w:tcPr>
          <w:p w14:paraId="75BC8079" w14:textId="77777777" w:rsidR="00B4611E" w:rsidRPr="002749BC" w:rsidRDefault="00B4611E" w:rsidP="00320F86">
            <w:pPr>
              <w:pStyle w:val="Tablebody"/>
              <w:keepNext/>
              <w:keepLines/>
              <w:jc w:val="center"/>
            </w:pPr>
            <w:r w:rsidRPr="002749BC">
              <w:t>$13.67 * 1.4 = $19.14</w:t>
            </w:r>
          </w:p>
        </w:tc>
        <w:tc>
          <w:tcPr>
            <w:tcW w:w="2664" w:type="dxa"/>
            <w:tcBorders>
              <w:bottom w:val="single" w:sz="4" w:space="0" w:color="000000"/>
            </w:tcBorders>
            <w:shd w:val="clear" w:color="auto" w:fill="auto"/>
          </w:tcPr>
          <w:p w14:paraId="5B9996EB" w14:textId="77777777" w:rsidR="00B4611E" w:rsidRPr="002749BC" w:rsidRDefault="00B4611E" w:rsidP="00320F86">
            <w:pPr>
              <w:pStyle w:val="Tablebody"/>
              <w:keepNext/>
              <w:keepLines/>
              <w:jc w:val="center"/>
            </w:pPr>
            <w:r w:rsidRPr="002749BC">
              <w:t>$13.67 * 1.65 = $22.56</w:t>
            </w:r>
          </w:p>
        </w:tc>
      </w:tr>
    </w:tbl>
    <w:p w14:paraId="5A84F856" w14:textId="77777777" w:rsidR="00B4611E" w:rsidRPr="002749BC" w:rsidRDefault="00B4611E" w:rsidP="00320F86">
      <w:pPr>
        <w:pStyle w:val="Source"/>
        <w:keepNext/>
        <w:keepLines/>
        <w:rPr>
          <w:b/>
        </w:rPr>
      </w:pPr>
      <w:r w:rsidRPr="002749BC">
        <w:rPr>
          <w:b/>
        </w:rPr>
        <w:t>Note: Rounded values</w:t>
      </w:r>
    </w:p>
    <w:p w14:paraId="3A37D9E1" w14:textId="77FE0FE0" w:rsidR="00B4611E" w:rsidRDefault="00B4611E" w:rsidP="00320F86">
      <w:pPr>
        <w:pStyle w:val="Source"/>
        <w:keepNext/>
        <w:keepLines/>
      </w:pPr>
      <w:r w:rsidRPr="002749BC">
        <w:rPr>
          <w:b/>
        </w:rPr>
        <w:t>Source:</w:t>
      </w:r>
      <w:r w:rsidRPr="002749BC">
        <w:t xml:space="preserve"> Synergies analysis of ATAP data</w:t>
      </w:r>
    </w:p>
    <w:p w14:paraId="68B3F12B" w14:textId="0DCCFEC5" w:rsidR="00010369" w:rsidRPr="00010369" w:rsidRDefault="00010369" w:rsidP="00010369">
      <w:pPr>
        <w:pStyle w:val="BodyText"/>
      </w:pPr>
      <w:r>
        <w:t xml:space="preserve">We stress that the values shown in </w:t>
      </w:r>
      <w:r w:rsidRPr="002749BC">
        <w:fldChar w:fldCharType="begin"/>
      </w:r>
      <w:r w:rsidRPr="002749BC">
        <w:instrText xml:space="preserve"> REF _Ref3994757 \h </w:instrText>
      </w:r>
      <w:r w:rsidRPr="002749BC">
        <w:fldChar w:fldCharType="separate"/>
      </w:r>
      <w:r w:rsidR="00176422" w:rsidRPr="002749BC">
        <w:t xml:space="preserve">Table </w:t>
      </w:r>
      <w:r w:rsidR="00176422">
        <w:rPr>
          <w:noProof/>
        </w:rPr>
        <w:t>10</w:t>
      </w:r>
      <w:r w:rsidRPr="002749BC">
        <w:fldChar w:fldCharType="end"/>
      </w:r>
      <w:r>
        <w:t xml:space="preserve"> represent recommended and maximum value estimates if ACCAN seeks to estimate values from the ATAP guidelines. We would expect there to be valid alternative estimates (both higher and lower than the estimates shown) based on other studies and methods described earlier in this report.</w:t>
      </w:r>
    </w:p>
    <w:p w14:paraId="0D929ED0" w14:textId="77777777" w:rsidR="00E55BB8" w:rsidRPr="001B0CEE" w:rsidRDefault="000061F2" w:rsidP="001B0CEE">
      <w:pPr>
        <w:pStyle w:val="Heading2"/>
      </w:pPr>
      <w:bookmarkStart w:id="52" w:name="_Toc12387768"/>
      <w:r w:rsidRPr="001B0CEE">
        <w:t>Defensibility</w:t>
      </w:r>
      <w:bookmarkEnd w:id="52"/>
    </w:p>
    <w:p w14:paraId="3D07A32B" w14:textId="01207740" w:rsidR="00A66D56" w:rsidRPr="002749BC" w:rsidRDefault="00A66D56" w:rsidP="005141DE">
      <w:pPr>
        <w:pStyle w:val="BodyText"/>
      </w:pPr>
      <w:r w:rsidRPr="002749BC">
        <w:t xml:space="preserve">In support of our proposed approach to applying the ATAP guidelines as described above, we </w:t>
      </w:r>
      <w:r w:rsidR="005141DE" w:rsidRPr="002749BC">
        <w:t xml:space="preserve">make several points. </w:t>
      </w:r>
      <w:r w:rsidRPr="002749BC">
        <w:t>The ATAP Guidelines are widely accepted and regularly updated</w:t>
      </w:r>
      <w:r w:rsidR="005141DE" w:rsidRPr="002749BC">
        <w:t xml:space="preserve">, which </w:t>
      </w:r>
      <w:r w:rsidR="000A2593">
        <w:t>suggests that</w:t>
      </w:r>
      <w:r w:rsidR="000A2593" w:rsidRPr="002749BC">
        <w:t xml:space="preserve"> </w:t>
      </w:r>
      <w:r w:rsidR="005141DE" w:rsidRPr="002749BC">
        <w:t xml:space="preserve">the values and the valuation framework </w:t>
      </w:r>
      <w:r w:rsidR="009851FC">
        <w:t>can</w:t>
      </w:r>
      <w:r w:rsidR="009851FC" w:rsidRPr="002749BC">
        <w:t xml:space="preserve"> </w:t>
      </w:r>
      <w:r w:rsidR="005141DE" w:rsidRPr="002749BC">
        <w:t xml:space="preserve">be considered robust, at least in the travel context. Many critiques of non-market valuations rest on technical objections to the sampling and survey methods or the scarcity of studies and we consider that similar critiques must be considered weak in this instance. </w:t>
      </w:r>
    </w:p>
    <w:p w14:paraId="2DBEEF88" w14:textId="4B668989" w:rsidR="00A66D56" w:rsidRDefault="005141DE" w:rsidP="005141DE">
      <w:pPr>
        <w:pStyle w:val="BodyText"/>
      </w:pPr>
      <w:r w:rsidRPr="002749BC">
        <w:t xml:space="preserve">We consider that there is no reason to believe that a person has a </w:t>
      </w:r>
      <w:r w:rsidR="00B54E5C" w:rsidRPr="002749BC">
        <w:t xml:space="preserve">smaller range of alternative uses of their time when they are on the phone dealing with a service call than if they are commuting. In other words, the alternative activities that would be available to a person who could avoid spending an hour on either of these two tasks (waiting </w:t>
      </w:r>
      <w:r w:rsidR="002F63F7">
        <w:t xml:space="preserve">to </w:t>
      </w:r>
      <w:r w:rsidR="002F63F7" w:rsidRPr="002F63F7">
        <w:t>resolv</w:t>
      </w:r>
      <w:r w:rsidR="002F63F7">
        <w:t>e</w:t>
      </w:r>
      <w:r w:rsidR="002F63F7" w:rsidRPr="002F63F7">
        <w:t xml:space="preserve"> a service issue</w:t>
      </w:r>
      <w:r w:rsidR="00B54E5C" w:rsidRPr="002749BC">
        <w:t xml:space="preserve"> or commuting), seem more likely to be very similar. Since</w:t>
      </w:r>
      <w:r w:rsidRPr="002749BC">
        <w:t xml:space="preserve"> the </w:t>
      </w:r>
      <w:r w:rsidR="00B54E5C" w:rsidRPr="002749BC">
        <w:t>value</w:t>
      </w:r>
      <w:r w:rsidRPr="002749BC">
        <w:t xml:space="preserve"> of </w:t>
      </w:r>
      <w:r w:rsidR="00B54E5C" w:rsidRPr="002749BC">
        <w:t xml:space="preserve">one’s </w:t>
      </w:r>
      <w:r w:rsidRPr="002749BC">
        <w:t xml:space="preserve">time is primarily </w:t>
      </w:r>
      <w:r w:rsidR="00B54E5C" w:rsidRPr="002749BC">
        <w:t>a function of the</w:t>
      </w:r>
      <w:r w:rsidRPr="002749BC">
        <w:t xml:space="preserve"> opportunity cost of that time</w:t>
      </w:r>
      <w:r w:rsidR="00B54E5C" w:rsidRPr="002749BC">
        <w:t>, this</w:t>
      </w:r>
      <w:r w:rsidRPr="002749BC">
        <w:t xml:space="preserve"> suggest</w:t>
      </w:r>
      <w:r w:rsidR="00B54E5C" w:rsidRPr="002749BC">
        <w:t>s</w:t>
      </w:r>
      <w:r w:rsidRPr="002749BC">
        <w:t xml:space="preserve"> that substituting values from a travel context into </w:t>
      </w:r>
      <w:r w:rsidR="00F95352">
        <w:t>the context of resolving a</w:t>
      </w:r>
      <w:r w:rsidR="000136B7">
        <w:t xml:space="preserve"> service</w:t>
      </w:r>
      <w:r w:rsidRPr="002749BC">
        <w:t xml:space="preserve"> </w:t>
      </w:r>
      <w:r w:rsidR="00F95352">
        <w:t>issue</w:t>
      </w:r>
      <w:r w:rsidR="00F95352" w:rsidRPr="002749BC">
        <w:t xml:space="preserve"> </w:t>
      </w:r>
      <w:r w:rsidR="00B54E5C" w:rsidRPr="002749BC">
        <w:t>is reasonable</w:t>
      </w:r>
      <w:r w:rsidRPr="002749BC">
        <w:t xml:space="preserve">. </w:t>
      </w:r>
    </w:p>
    <w:p w14:paraId="15B67FF5" w14:textId="37B71932" w:rsidR="0046605B" w:rsidRPr="002749BC" w:rsidRDefault="0046605B" w:rsidP="005141DE">
      <w:pPr>
        <w:pStyle w:val="BodyText"/>
      </w:pPr>
      <w:r>
        <w:t xml:space="preserve">We further consider that there </w:t>
      </w:r>
      <w:r w:rsidR="00F44CCA">
        <w:t>are grounds for considering</w:t>
      </w:r>
      <w:r w:rsidRPr="0046605B">
        <w:t xml:space="preserve"> that </w:t>
      </w:r>
      <w:r w:rsidR="00F44CCA">
        <w:t xml:space="preserve">an estimate of the value of time from a </w:t>
      </w:r>
      <w:r w:rsidRPr="0046605B">
        <w:t xml:space="preserve">travel </w:t>
      </w:r>
      <w:r w:rsidR="00F44CCA">
        <w:t>context</w:t>
      </w:r>
      <w:r w:rsidRPr="0046605B">
        <w:t xml:space="preserve"> </w:t>
      </w:r>
      <w:r w:rsidR="00F44CCA">
        <w:t>c</w:t>
      </w:r>
      <w:r w:rsidRPr="0046605B">
        <w:t xml:space="preserve">ould underestimate the inconvenience cost experienced by </w:t>
      </w:r>
      <w:r w:rsidR="0080769D">
        <w:t>telecommunication</w:t>
      </w:r>
      <w:r w:rsidRPr="0046605B">
        <w:t xml:space="preserve"> customers. </w:t>
      </w:r>
      <w:r w:rsidR="0002127B">
        <w:t>Firstly, it could be relevant that i</w:t>
      </w:r>
      <w:r w:rsidRPr="0046605B">
        <w:t xml:space="preserve">n the case of travel, consumers generally have choices between different </w:t>
      </w:r>
      <w:r w:rsidR="0080769D">
        <w:t xml:space="preserve">transport </w:t>
      </w:r>
      <w:r w:rsidRPr="0046605B">
        <w:t>modes</w:t>
      </w:r>
      <w:r w:rsidR="0080769D">
        <w:t xml:space="preserve"> – allowing them to choose a mode that minimises their subjective experience of inconvenience. I</w:t>
      </w:r>
      <w:r w:rsidRPr="0046605B">
        <w:t xml:space="preserve">n the case of </w:t>
      </w:r>
      <w:r w:rsidR="0080769D">
        <w:t>telecommunication</w:t>
      </w:r>
      <w:r w:rsidR="0080769D" w:rsidRPr="0046605B">
        <w:t xml:space="preserve"> customers</w:t>
      </w:r>
      <w:r w:rsidR="008B363B">
        <w:t xml:space="preserve">, the </w:t>
      </w:r>
      <w:r w:rsidR="00F23446">
        <w:t xml:space="preserve">customer has essentially no </w:t>
      </w:r>
      <w:r w:rsidR="008B363B">
        <w:t xml:space="preserve">choice </w:t>
      </w:r>
      <w:r w:rsidR="00F23446">
        <w:t xml:space="preserve">as to how they can to resolve their service issue </w:t>
      </w:r>
      <w:r w:rsidR="0002127B">
        <w:t>– they must deal with their service provider’s call centre</w:t>
      </w:r>
      <w:r w:rsidR="00B54108">
        <w:t xml:space="preserve"> (or alternative point of contact)</w:t>
      </w:r>
      <w:r w:rsidRPr="0046605B">
        <w:t>. Second</w:t>
      </w:r>
      <w:r w:rsidR="0002127B">
        <w:t>ly</w:t>
      </w:r>
      <w:r w:rsidRPr="0046605B">
        <w:t>, many commuters now use bus or train time to check emails, read a boo</w:t>
      </w:r>
      <w:r w:rsidR="007B5DD4">
        <w:t>k or</w:t>
      </w:r>
      <w:r w:rsidR="006048E2">
        <w:t xml:space="preserve"> perform</w:t>
      </w:r>
      <w:r w:rsidR="007B5DD4">
        <w:t xml:space="preserve"> many other work or leisure related </w:t>
      </w:r>
      <w:r w:rsidR="006048E2">
        <w:lastRenderedPageBreak/>
        <w:t>activities that can be mediated by a smart phone</w:t>
      </w:r>
      <w:r w:rsidRPr="0046605B">
        <w:t xml:space="preserve">. </w:t>
      </w:r>
      <w:r w:rsidR="006048E2">
        <w:t>Th</w:t>
      </w:r>
      <w:r w:rsidR="007009E6">
        <w:t xml:space="preserve">e increased opportunity to do this creates considerable scope to reduce the opportunity cost of the time spent travelling. </w:t>
      </w:r>
      <w:r w:rsidR="0067593B">
        <w:t>We predict</w:t>
      </w:r>
      <w:r w:rsidR="004A331D">
        <w:t xml:space="preserve"> that there would be</w:t>
      </w:r>
      <w:r w:rsidR="007009E6">
        <w:t xml:space="preserve"> less</w:t>
      </w:r>
      <w:r w:rsidRPr="0046605B">
        <w:t xml:space="preserve"> scope </w:t>
      </w:r>
      <w:r w:rsidR="007009E6">
        <w:t xml:space="preserve">to engage in </w:t>
      </w:r>
      <w:r w:rsidR="003D0999">
        <w:t xml:space="preserve">parallel activities of this kind when </w:t>
      </w:r>
      <w:r w:rsidRPr="0046605B">
        <w:t xml:space="preserve">waiting </w:t>
      </w:r>
      <w:r w:rsidR="004A331D">
        <w:t>on a service</w:t>
      </w:r>
      <w:r w:rsidRPr="0046605B">
        <w:t xml:space="preserve"> call </w:t>
      </w:r>
      <w:r w:rsidR="004A331D">
        <w:t>and clearly less scope when explaining the problem to a</w:t>
      </w:r>
      <w:r w:rsidR="0067593B">
        <w:t xml:space="preserve"> customer service representative</w:t>
      </w:r>
      <w:r w:rsidRPr="0046605B">
        <w:t>.</w:t>
      </w:r>
    </w:p>
    <w:p w14:paraId="7725B9C4" w14:textId="064E777F" w:rsidR="00174AC0" w:rsidRPr="002749BC" w:rsidRDefault="00174AC0" w:rsidP="005141DE">
      <w:pPr>
        <w:pStyle w:val="BodyText"/>
      </w:pPr>
      <w:r w:rsidRPr="002749BC">
        <w:t>Some may argue that spending time on public transport is less pleasant than spending time at home, waiting on the phone</w:t>
      </w:r>
      <w:r w:rsidR="004E1D33" w:rsidRPr="002749BC">
        <w:t xml:space="preserve"> and that therefore a lower average value of time should apply to the latter</w:t>
      </w:r>
      <w:r w:rsidRPr="002749BC">
        <w:t xml:space="preserve">. </w:t>
      </w:r>
      <w:r w:rsidR="004E1D33" w:rsidRPr="002749BC">
        <w:t>Such arguments are plausible, but a proponent of this view ought to be able to account for why the value of time for private car journeys has been found to be similar to, indeed slightly higher than, the value of time for public transport journeys</w:t>
      </w:r>
      <w:r w:rsidR="009915CA">
        <w:t>.</w:t>
      </w:r>
      <w:r w:rsidR="004E1D33" w:rsidRPr="005D11B8">
        <w:rPr>
          <w:rStyle w:val="FootnoteReference"/>
        </w:rPr>
        <w:footnoteReference w:id="80"/>
      </w:r>
      <w:r w:rsidR="004E1D33" w:rsidRPr="002749BC">
        <w:t xml:space="preserve"> </w:t>
      </w:r>
    </w:p>
    <w:p w14:paraId="0C1943F8" w14:textId="1D5A6B0C" w:rsidR="00B54E5C" w:rsidRPr="002749BC" w:rsidRDefault="00B54E5C" w:rsidP="005141DE">
      <w:pPr>
        <w:pStyle w:val="BodyText"/>
      </w:pPr>
      <w:r w:rsidRPr="002749BC">
        <w:t xml:space="preserve">Synergies believes the main source of uncertainty in applying the ATAP Guidelines to the telecommunications context as proposed is in the adjustments required to reflect the additional unpleasantness or frustration with particular variants or steps in the process. This could be addressed by presenting valuations in the form of a range with the unadjusted value (IVT) used to estimate the bottom of the range and the adjusted values used to estimate the top of the range.  </w:t>
      </w:r>
    </w:p>
    <w:p w14:paraId="0BAE5007" w14:textId="6C6D0101" w:rsidR="00B4611E" w:rsidRPr="002749BC" w:rsidRDefault="00B54E5C" w:rsidP="00A66D56">
      <w:pPr>
        <w:pStyle w:val="BodyText"/>
      </w:pPr>
      <w:r w:rsidRPr="002749BC">
        <w:t xml:space="preserve">Finally, if ACCAN undertakes novel research into the value of time in </w:t>
      </w:r>
      <w:r w:rsidR="00DC0790">
        <w:t>the context of resolving service issues</w:t>
      </w:r>
      <w:r w:rsidRPr="002749BC">
        <w:t xml:space="preserve">, we think there would be value in returning to </w:t>
      </w:r>
      <w:r w:rsidR="00174AC0" w:rsidRPr="002749BC">
        <w:t xml:space="preserve">crosscheck these results against </w:t>
      </w:r>
      <w:r w:rsidRPr="002749BC">
        <w:t xml:space="preserve">the </w:t>
      </w:r>
      <w:r w:rsidR="00174AC0" w:rsidRPr="002749BC">
        <w:t>ATAP Guidelines</w:t>
      </w:r>
      <w:r w:rsidR="00A66D56" w:rsidRPr="002749BC">
        <w:t>.</w:t>
      </w:r>
      <w:r w:rsidR="00174AC0" w:rsidRPr="002749BC">
        <w:t xml:space="preserve"> We could also envisage designing a choice modelling experiment by thinking about the different steps in a service call and specifying these as attributes such that the relative importance of these different aspects of the customer service experience could be assessed. </w:t>
      </w:r>
    </w:p>
    <w:p w14:paraId="3CED2ED5" w14:textId="4225A570" w:rsidR="00151C0A" w:rsidRDefault="00E52C42" w:rsidP="00151C0A">
      <w:pPr>
        <w:pStyle w:val="Heading1"/>
      </w:pPr>
      <w:bookmarkStart w:id="53" w:name="_Ref5908302"/>
      <w:bookmarkStart w:id="54" w:name="_Toc12387769"/>
      <w:r w:rsidRPr="002749BC">
        <w:lastRenderedPageBreak/>
        <w:t xml:space="preserve">Guidance for </w:t>
      </w:r>
      <w:r w:rsidR="00BA3850">
        <w:t>c</w:t>
      </w:r>
      <w:r w:rsidRPr="002749BC">
        <w:t>onducting</w:t>
      </w:r>
      <w:r w:rsidR="00626100">
        <w:t xml:space="preserve"> bespoke</w:t>
      </w:r>
      <w:r w:rsidRPr="002749BC">
        <w:t xml:space="preserve"> </w:t>
      </w:r>
      <w:r w:rsidR="00BA3850">
        <w:t>primary</w:t>
      </w:r>
      <w:r w:rsidR="00BA3850" w:rsidRPr="002749BC">
        <w:t xml:space="preserve"> </w:t>
      </w:r>
      <w:r w:rsidR="00BA3850">
        <w:t>r</w:t>
      </w:r>
      <w:r w:rsidRPr="002749BC">
        <w:t>esearch</w:t>
      </w:r>
      <w:bookmarkEnd w:id="53"/>
      <w:bookmarkEnd w:id="54"/>
    </w:p>
    <w:p w14:paraId="3948A1C3" w14:textId="15DB5008" w:rsidR="00CF6B4E" w:rsidRPr="00CA0564" w:rsidRDefault="00D878F3" w:rsidP="00F95352">
      <w:pPr>
        <w:pStyle w:val="BodyText"/>
      </w:pPr>
      <w:r>
        <w:rPr>
          <w:lang w:eastAsia="en-US"/>
        </w:rPr>
        <w:t>As the preceding sections have made clear, a considerable body of evidence already exists to support the estimation of the value of customer time</w:t>
      </w:r>
      <w:r w:rsidR="00D56B6B">
        <w:rPr>
          <w:lang w:eastAsia="en-US"/>
        </w:rPr>
        <w:t xml:space="preserve"> in a telecommunications service context</w:t>
      </w:r>
      <w:r w:rsidR="00C1461D">
        <w:rPr>
          <w:lang w:eastAsia="en-US"/>
        </w:rPr>
        <w:t xml:space="preserve">. This is less true in the case of estimating </w:t>
      </w:r>
      <w:r w:rsidR="00E53465">
        <w:rPr>
          <w:lang w:eastAsia="en-US"/>
        </w:rPr>
        <w:t xml:space="preserve">the </w:t>
      </w:r>
      <w:r w:rsidR="00C1461D">
        <w:rPr>
          <w:lang w:eastAsia="en-US"/>
        </w:rPr>
        <w:t>costs</w:t>
      </w:r>
      <w:r w:rsidR="00E53465">
        <w:rPr>
          <w:lang w:eastAsia="en-US"/>
        </w:rPr>
        <w:t xml:space="preserve"> of</w:t>
      </w:r>
      <w:r w:rsidR="00C1461D">
        <w:rPr>
          <w:lang w:eastAsia="en-US"/>
        </w:rPr>
        <w:t xml:space="preserve"> interruptions </w:t>
      </w:r>
      <w:r w:rsidR="00430902">
        <w:rPr>
          <w:lang w:eastAsia="en-US"/>
        </w:rPr>
        <w:t>or delays in receiving a</w:t>
      </w:r>
      <w:r w:rsidR="00E53465">
        <w:rPr>
          <w:lang w:eastAsia="en-US"/>
        </w:rPr>
        <w:t xml:space="preserve"> telecommunications </w:t>
      </w:r>
      <w:r w:rsidR="00430902">
        <w:rPr>
          <w:lang w:eastAsia="en-US"/>
        </w:rPr>
        <w:t xml:space="preserve">service. However, in both instances, ACCAN may </w:t>
      </w:r>
      <w:r w:rsidR="00CA0564">
        <w:rPr>
          <w:lang w:eastAsia="en-US"/>
        </w:rPr>
        <w:t xml:space="preserve">form the view that bespoke primary research would be of benefit to future public policy discussions. This section offers guidance to inform how such primary research may be approached.  </w:t>
      </w:r>
    </w:p>
    <w:p w14:paraId="339980DB" w14:textId="579C13CB" w:rsidR="00E52C42" w:rsidRPr="001B0CEE" w:rsidRDefault="00787BAF" w:rsidP="001B0CEE">
      <w:pPr>
        <w:pStyle w:val="Heading2"/>
      </w:pPr>
      <w:bookmarkStart w:id="55" w:name="_Toc12387770"/>
      <w:r w:rsidRPr="001B0CEE">
        <w:t>Scope of guidance</w:t>
      </w:r>
      <w:bookmarkEnd w:id="55"/>
    </w:p>
    <w:p w14:paraId="79DFA527" w14:textId="2FFA5CE1" w:rsidR="00FF5330" w:rsidRPr="002749BC" w:rsidRDefault="00FF5330" w:rsidP="00FF5330">
      <w:pPr>
        <w:pStyle w:val="BodyText"/>
        <w:rPr>
          <w:lang w:eastAsia="en-US"/>
        </w:rPr>
      </w:pPr>
      <w:r w:rsidRPr="002749BC">
        <w:rPr>
          <w:lang w:eastAsia="en-US"/>
        </w:rPr>
        <w:t xml:space="preserve">Based on the materials provided and discussions with ACCAN there are several potential research objectives that ACCAN may pursue through </w:t>
      </w:r>
      <w:r w:rsidR="00626100">
        <w:rPr>
          <w:lang w:eastAsia="en-US"/>
        </w:rPr>
        <w:t>bespoke</w:t>
      </w:r>
      <w:r w:rsidR="00626100" w:rsidRPr="002749BC">
        <w:rPr>
          <w:lang w:eastAsia="en-US"/>
        </w:rPr>
        <w:t xml:space="preserve"> </w:t>
      </w:r>
      <w:r w:rsidRPr="002749BC">
        <w:rPr>
          <w:lang w:eastAsia="en-US"/>
        </w:rPr>
        <w:t>research. In relation to the value of customer time, we understand that ACCAN intends to use a valuation as part of demonstrating the “broader economic costs of poor customer service, and the need for further regulatory interventions to address these costs”</w:t>
      </w:r>
      <w:r w:rsidRPr="005D11B8">
        <w:rPr>
          <w:rStyle w:val="FootnoteReference"/>
        </w:rPr>
        <w:footnoteReference w:id="81"/>
      </w:r>
      <w:r w:rsidRPr="002749BC">
        <w:rPr>
          <w:lang w:eastAsia="en-US"/>
        </w:rPr>
        <w:t xml:space="preserve">. In relation to service reliability, we understand that the ultimate purpose of a valuation may be to provide an estimate on which to base customer compensation payments by a service provider for failure to meet minimum service levels – for instance for connection times.  </w:t>
      </w:r>
    </w:p>
    <w:p w14:paraId="177B0A17" w14:textId="2CCC7B2D" w:rsidR="00C31481" w:rsidRPr="002749BC" w:rsidRDefault="00903553" w:rsidP="00FF5330">
      <w:pPr>
        <w:pStyle w:val="BodyText"/>
        <w:rPr>
          <w:lang w:eastAsia="en-US"/>
        </w:rPr>
      </w:pPr>
      <w:r w:rsidRPr="002749BC">
        <w:rPr>
          <w:lang w:eastAsia="en-US"/>
        </w:rPr>
        <w:t>The first of these</w:t>
      </w:r>
      <w:r w:rsidR="00626100">
        <w:rPr>
          <w:lang w:eastAsia="en-US"/>
        </w:rPr>
        <w:t xml:space="preserve"> bespoke</w:t>
      </w:r>
      <w:r w:rsidRPr="002749BC">
        <w:rPr>
          <w:lang w:eastAsia="en-US"/>
        </w:rPr>
        <w:t xml:space="preserve"> research objectives – providing an estimate of broader economic cost – implies two different types of research</w:t>
      </w:r>
      <w:r w:rsidR="00626100">
        <w:rPr>
          <w:lang w:eastAsia="en-US"/>
        </w:rPr>
        <w:t>:</w:t>
      </w:r>
      <w:r w:rsidRPr="002749BC">
        <w:rPr>
          <w:lang w:eastAsia="en-US"/>
        </w:rPr>
        <w:t xml:space="preserve"> a non-market valuation study of the value of customer time forgone</w:t>
      </w:r>
      <w:r w:rsidR="00626100">
        <w:rPr>
          <w:lang w:eastAsia="en-US"/>
        </w:rPr>
        <w:t xml:space="preserve"> (choice modelling)</w:t>
      </w:r>
      <w:r w:rsidRPr="002749BC">
        <w:rPr>
          <w:lang w:eastAsia="en-US"/>
        </w:rPr>
        <w:t xml:space="preserve"> and </w:t>
      </w:r>
      <w:r w:rsidR="00C31481" w:rsidRPr="002749BC">
        <w:rPr>
          <w:lang w:eastAsia="en-US"/>
        </w:rPr>
        <w:t xml:space="preserve">a </w:t>
      </w:r>
      <w:r w:rsidR="00626100">
        <w:rPr>
          <w:lang w:eastAsia="en-US"/>
        </w:rPr>
        <w:t xml:space="preserve">second </w:t>
      </w:r>
      <w:r w:rsidR="00C31481" w:rsidRPr="002749BC">
        <w:rPr>
          <w:lang w:eastAsia="en-US"/>
        </w:rPr>
        <w:t>investigation</w:t>
      </w:r>
      <w:r w:rsidRPr="002749BC">
        <w:rPr>
          <w:lang w:eastAsia="en-US"/>
        </w:rPr>
        <w:t xml:space="preserve"> to quantify the amount of time spent waiting to resolve issues per customer per year</w:t>
      </w:r>
      <w:r w:rsidRPr="005D11B8">
        <w:rPr>
          <w:rStyle w:val="FootnoteReference"/>
        </w:rPr>
        <w:footnoteReference w:id="82"/>
      </w:r>
      <w:r w:rsidR="00626100">
        <w:rPr>
          <w:lang w:eastAsia="en-US"/>
        </w:rPr>
        <w:t xml:space="preserve"> (customer service survey)</w:t>
      </w:r>
      <w:r w:rsidRPr="002749BC">
        <w:rPr>
          <w:lang w:eastAsia="en-US"/>
        </w:rPr>
        <w:t xml:space="preserve">. In the case of service reliability, it appears that only a non-market valuation study would be required. </w:t>
      </w:r>
    </w:p>
    <w:p w14:paraId="19C371E3" w14:textId="091C2318" w:rsidR="00FF5330" w:rsidRPr="002749BC" w:rsidRDefault="00903553" w:rsidP="00FF5330">
      <w:pPr>
        <w:pStyle w:val="BodyText"/>
        <w:rPr>
          <w:lang w:eastAsia="en-US"/>
        </w:rPr>
      </w:pPr>
      <w:r w:rsidRPr="002749BC">
        <w:rPr>
          <w:lang w:eastAsia="en-US"/>
        </w:rPr>
        <w:t xml:space="preserve">The guidance offered in this section relates to non-market valuation studies and we haven’t considered the methodological issues that may accompany a study to robustly estimate average wait times. However, we would anticipate that a market research firm would be well placed to address any such issues. Moreover, in the case of the non-market values studies, we think that there will be some benefit in ACCAN gaining a better awareness of some methodological issues before it goes to market to seek a service provider to undertake these studies.  </w:t>
      </w:r>
    </w:p>
    <w:p w14:paraId="566D7269" w14:textId="494EB026" w:rsidR="00523DC7" w:rsidRPr="001B0CEE" w:rsidRDefault="002F784F" w:rsidP="001B0CEE">
      <w:pPr>
        <w:pStyle w:val="Heading2"/>
      </w:pPr>
      <w:bookmarkStart w:id="56" w:name="_Toc12387771"/>
      <w:r w:rsidRPr="001B0CEE">
        <w:lastRenderedPageBreak/>
        <w:t>Valuation approach</w:t>
      </w:r>
      <w:bookmarkEnd w:id="56"/>
    </w:p>
    <w:p w14:paraId="3411A0DC" w14:textId="4889A4E5" w:rsidR="000061F2" w:rsidRPr="002749BC" w:rsidRDefault="000061F2" w:rsidP="00CF4D18">
      <w:pPr>
        <w:pStyle w:val="BodyText"/>
      </w:pPr>
      <w:r w:rsidRPr="002749BC">
        <w:t>On the question of what valuation approach(es)</w:t>
      </w:r>
      <w:r w:rsidR="00B54108">
        <w:t xml:space="preserve"> </w:t>
      </w:r>
      <w:r w:rsidRPr="002749BC">
        <w:t xml:space="preserve">may be suitable for ACCAN, our high-level advice can be summarised as follows. </w:t>
      </w:r>
    </w:p>
    <w:p w14:paraId="77A5E288" w14:textId="77777777" w:rsidR="00551502" w:rsidRPr="002749BC" w:rsidRDefault="00551502" w:rsidP="00551502">
      <w:pPr>
        <w:pStyle w:val="bullet"/>
      </w:pPr>
      <w:r w:rsidRPr="002749BC">
        <w:rPr>
          <w:i/>
        </w:rPr>
        <w:t>Both contingent valuation</w:t>
      </w:r>
      <w:r w:rsidRPr="005D11B8">
        <w:rPr>
          <w:rStyle w:val="FootnoteReference"/>
        </w:rPr>
        <w:footnoteReference w:id="83"/>
      </w:r>
      <w:r w:rsidRPr="002749BC">
        <w:rPr>
          <w:i/>
        </w:rPr>
        <w:t xml:space="preserve"> and choice modelling are relevant, well accepted techniques that could be used to value both customer wait times and service reliability. </w:t>
      </w:r>
    </w:p>
    <w:p w14:paraId="31F07085" w14:textId="0489102C" w:rsidR="00551502" w:rsidRPr="002749BC" w:rsidRDefault="00551502" w:rsidP="00551502">
      <w:pPr>
        <w:pStyle w:val="BulletTrailingParagraph"/>
      </w:pPr>
      <w:r w:rsidRPr="002749BC">
        <w:t>Contingent valuation may be the best approach if ACCAN is highly budget constrained and interested in valuing a narrowly defined option or outcome for a point-in-time application</w:t>
      </w:r>
      <w:r w:rsidR="00BA3850">
        <w:t xml:space="preserve"> (that is, </w:t>
      </w:r>
      <w:r w:rsidR="00D52E23">
        <w:t xml:space="preserve">there is </w:t>
      </w:r>
      <w:r w:rsidR="00B13A96">
        <w:t xml:space="preserve">a </w:t>
      </w:r>
      <w:r w:rsidR="00BA3850">
        <w:t>single attribute of interest)</w:t>
      </w:r>
      <w:r w:rsidRPr="002749BC">
        <w:t xml:space="preserve">. Choice modelling </w:t>
      </w:r>
      <w:r w:rsidR="00BA3850">
        <w:t>would</w:t>
      </w:r>
      <w:r w:rsidR="00BA3850" w:rsidRPr="002749BC">
        <w:t xml:space="preserve"> </w:t>
      </w:r>
      <w:r w:rsidRPr="002749BC">
        <w:t xml:space="preserve">be the better approach if ACCAN can afford it and believes that it may need valuation evidence to support advocacy concerning other service attributes besides the timeliness of service call resolution or the extent of connection wait times. Choice modelling results </w:t>
      </w:r>
      <w:r w:rsidR="00BA3850">
        <w:t>would also allow ACCAN the flexibility to explore customer values across a range of future service offerings, and therefore the estimates generated by choice modelling are likely to have longer ‘shelf-life’ than contingent valuation (notwithstanding the need to update the values periodically as consumer preferences may change over time)</w:t>
      </w:r>
      <w:r w:rsidRPr="002749BC">
        <w:t xml:space="preserve">.  </w:t>
      </w:r>
    </w:p>
    <w:p w14:paraId="529FE2AF" w14:textId="544CEFDA" w:rsidR="000061F2" w:rsidRPr="002749BC" w:rsidRDefault="000061F2" w:rsidP="000061F2">
      <w:pPr>
        <w:pStyle w:val="bullet"/>
        <w:rPr>
          <w:i/>
        </w:rPr>
      </w:pPr>
      <w:r w:rsidRPr="002749BC">
        <w:rPr>
          <w:i/>
        </w:rPr>
        <w:t>Revealed preference studies unlikely to be relevant to ACCAN</w:t>
      </w:r>
    </w:p>
    <w:p w14:paraId="455404B7" w14:textId="6387C7A5" w:rsidR="00B67906" w:rsidRPr="002749BC" w:rsidRDefault="00B67906" w:rsidP="000061F2">
      <w:pPr>
        <w:pStyle w:val="BulletTrailingParagraph"/>
      </w:pPr>
      <w:r w:rsidRPr="002749BC">
        <w:t xml:space="preserve">We have not identified any opportunities for ACCAN to use revealed preference techniques to </w:t>
      </w:r>
      <w:r w:rsidR="000061F2" w:rsidRPr="002749BC">
        <w:t xml:space="preserve">estimate the value of </w:t>
      </w:r>
      <w:r w:rsidRPr="002749BC">
        <w:t xml:space="preserve">customer time forgone or </w:t>
      </w:r>
      <w:r w:rsidR="000061F2" w:rsidRPr="002749BC">
        <w:t xml:space="preserve">the costs of a service provider </w:t>
      </w:r>
      <w:r w:rsidRPr="002749BC">
        <w:t>failing to meet mandated connection and repair timeframes.</w:t>
      </w:r>
      <w:r w:rsidR="000061F2" w:rsidRPr="002749BC">
        <w:t xml:space="preserve"> Studies of this kind would likely require access to high value commercial data held by telcos – access that ACCAN wouldn’t normally expect to enjoy.  </w:t>
      </w:r>
    </w:p>
    <w:p w14:paraId="34C14908" w14:textId="36F7DB5F" w:rsidR="000061F2" w:rsidRPr="002749BC" w:rsidRDefault="00BE7F17" w:rsidP="00AF77D1">
      <w:pPr>
        <w:pStyle w:val="bullet"/>
        <w:rPr>
          <w:i/>
        </w:rPr>
      </w:pPr>
      <w:r w:rsidRPr="002749BC">
        <w:rPr>
          <w:i/>
        </w:rPr>
        <w:t xml:space="preserve">Direct cost method unsuitable for valuation purposes, though approach may be helpful in designing </w:t>
      </w:r>
      <w:r w:rsidR="00DB08C1" w:rsidRPr="002749BC">
        <w:rPr>
          <w:i/>
        </w:rPr>
        <w:t xml:space="preserve">a </w:t>
      </w:r>
      <w:r w:rsidRPr="002749BC">
        <w:rPr>
          <w:i/>
        </w:rPr>
        <w:t>stated preference stud</w:t>
      </w:r>
      <w:r w:rsidR="00DB08C1" w:rsidRPr="002749BC">
        <w:rPr>
          <w:i/>
        </w:rPr>
        <w:t>y of reliability</w:t>
      </w:r>
      <w:r w:rsidRPr="002749BC">
        <w:rPr>
          <w:i/>
        </w:rPr>
        <w:t xml:space="preserve">. </w:t>
      </w:r>
    </w:p>
    <w:p w14:paraId="7CFED8B9" w14:textId="254474DC" w:rsidR="00BE7F17" w:rsidRPr="002749BC" w:rsidRDefault="00BE7F17" w:rsidP="00BE7F17">
      <w:pPr>
        <w:pStyle w:val="BulletTrailingParagraph"/>
      </w:pPr>
      <w:r w:rsidRPr="002749BC">
        <w:t xml:space="preserve">Notwithstanding the fact that the direct cost method has been used in the electricity context, we don’t consider the technique robust for the purposes of estimating non-market values for </w:t>
      </w:r>
      <w:r w:rsidR="00133FB5">
        <w:t xml:space="preserve">diverse </w:t>
      </w:r>
      <w:r w:rsidRPr="002749BC">
        <w:t>small customers</w:t>
      </w:r>
      <w:r w:rsidR="004D4983">
        <w:rPr>
          <w:rStyle w:val="FootnoteReference"/>
        </w:rPr>
        <w:footnoteReference w:id="84"/>
      </w:r>
      <w:r w:rsidRPr="002749BC">
        <w:t xml:space="preserve"> as ACCAN is interested in doing. </w:t>
      </w:r>
      <w:r w:rsidR="00DB08C1" w:rsidRPr="002749BC">
        <w:t xml:space="preserve">However, we think that it may be useful to develop a list of the types of costs that connection delays impose, since this could be helpful in framing survey questions.  </w:t>
      </w:r>
    </w:p>
    <w:p w14:paraId="4F5FFBF5" w14:textId="417DBF24" w:rsidR="003626D1" w:rsidRPr="002749BC" w:rsidRDefault="00042F07" w:rsidP="00CA527D">
      <w:pPr>
        <w:pStyle w:val="BodyText"/>
      </w:pPr>
      <w:r w:rsidRPr="002749BC">
        <w:lastRenderedPageBreak/>
        <w:t xml:space="preserve">In the following section, we identify methodological considerations for ACCAN to be aware of if it pursues either a contingent valuation or choice modelling study. </w:t>
      </w:r>
    </w:p>
    <w:p w14:paraId="08568BF2" w14:textId="47F1BB67" w:rsidR="00B26587" w:rsidRPr="001B0CEE" w:rsidRDefault="00AE13D5" w:rsidP="001B0CEE">
      <w:pPr>
        <w:pStyle w:val="Heading2"/>
      </w:pPr>
      <w:bookmarkStart w:id="57" w:name="_Toc12387772"/>
      <w:r w:rsidRPr="001B0CEE">
        <w:t>Methodological considerations</w:t>
      </w:r>
      <w:bookmarkEnd w:id="57"/>
    </w:p>
    <w:p w14:paraId="107B9BF4" w14:textId="2370854C" w:rsidR="003515FE" w:rsidRPr="002749BC" w:rsidRDefault="006035C8" w:rsidP="003515FE">
      <w:pPr>
        <w:pStyle w:val="BodyText"/>
        <w:rPr>
          <w:lang w:eastAsia="en-US"/>
        </w:rPr>
      </w:pPr>
      <w:r w:rsidRPr="002749BC">
        <w:rPr>
          <w:lang w:eastAsia="en-US"/>
        </w:rPr>
        <w:t xml:space="preserve">If ACCAN intends to commission </w:t>
      </w:r>
      <w:r w:rsidR="00AE13D5" w:rsidRPr="002749BC">
        <w:rPr>
          <w:lang w:eastAsia="en-US"/>
        </w:rPr>
        <w:t xml:space="preserve">a stated preference survey of some type – </w:t>
      </w:r>
      <w:r w:rsidRPr="002749BC">
        <w:rPr>
          <w:lang w:eastAsia="en-US"/>
        </w:rPr>
        <w:t>whether contingent valuation or</w:t>
      </w:r>
      <w:r w:rsidR="00AE13D5" w:rsidRPr="002749BC">
        <w:rPr>
          <w:lang w:eastAsia="en-US"/>
        </w:rPr>
        <w:t xml:space="preserve"> choice modelling </w:t>
      </w:r>
      <w:r w:rsidR="00F77042" w:rsidRPr="002749BC">
        <w:rPr>
          <w:lang w:eastAsia="en-US"/>
        </w:rPr>
        <w:t>–</w:t>
      </w:r>
      <w:r w:rsidR="00AE13D5" w:rsidRPr="002749BC">
        <w:rPr>
          <w:lang w:eastAsia="en-US"/>
        </w:rPr>
        <w:t xml:space="preserve"> </w:t>
      </w:r>
      <w:r w:rsidRPr="002749BC">
        <w:rPr>
          <w:lang w:eastAsia="en-US"/>
        </w:rPr>
        <w:t xml:space="preserve">the following methodological issues and preparations should be considered. </w:t>
      </w:r>
    </w:p>
    <w:p w14:paraId="2EB66936" w14:textId="315995C0" w:rsidR="006035C8" w:rsidRPr="002749BC" w:rsidRDefault="006035C8" w:rsidP="001B0CEE">
      <w:pPr>
        <w:pStyle w:val="Heading3"/>
      </w:pPr>
      <w:r w:rsidRPr="002749BC">
        <w:t>Choice of provider</w:t>
      </w:r>
    </w:p>
    <w:p w14:paraId="54D2AEE8" w14:textId="7983B712" w:rsidR="006035C8" w:rsidRPr="002749BC" w:rsidRDefault="006035C8" w:rsidP="006035C8">
      <w:pPr>
        <w:pStyle w:val="BodyText"/>
      </w:pPr>
      <w:r w:rsidRPr="002749BC">
        <w:t xml:space="preserve">ACCAN should choose a market research firm with extensive experience in designing and delivering both contingent valuation and choice modelling surveys. ACCAN should request examples of the consultant’s reports to clients in order to assess how accessible the consultant has made its work to past clients. </w:t>
      </w:r>
    </w:p>
    <w:p w14:paraId="2EBAE922" w14:textId="52E64F6D" w:rsidR="005C735A" w:rsidRPr="002749BC" w:rsidRDefault="00242EC8" w:rsidP="001B0CEE">
      <w:pPr>
        <w:pStyle w:val="Heading3"/>
      </w:pPr>
      <w:r w:rsidRPr="002749BC">
        <w:t>Willingness to pay versus willingness to accept</w:t>
      </w:r>
    </w:p>
    <w:p w14:paraId="4645DDC3" w14:textId="0EB6F149" w:rsidR="00242EC8" w:rsidRPr="002749BC" w:rsidRDefault="005C735A" w:rsidP="006E565E">
      <w:pPr>
        <w:pStyle w:val="BodyText"/>
      </w:pPr>
      <w:r w:rsidRPr="002749BC">
        <w:t xml:space="preserve">As an advocacy body, ACCAN is interested in raising consumer welfare. ACCAN therefore would be expected to advocate for service providers to lift their performance, without increasing their charges. This perspective may lead it to prefer a survey design that frames questions in terms of customers’ willingness to accept compensation for service below a minimum level rather than in terms of their willingness to pay for improved service. </w:t>
      </w:r>
      <w:r w:rsidR="00242EC8" w:rsidRPr="002749BC">
        <w:t>We encourage ACCAN to adopt the willingness to pay framing when designing research</w:t>
      </w:r>
      <w:r w:rsidR="002746DB">
        <w:t>. W</w:t>
      </w:r>
      <w:r w:rsidR="00242EC8" w:rsidRPr="002749BC">
        <w:t xml:space="preserve">e consider this approach </w:t>
      </w:r>
      <w:r w:rsidR="002746DB">
        <w:t>to be</w:t>
      </w:r>
      <w:r w:rsidR="002746DB" w:rsidRPr="002749BC">
        <w:t xml:space="preserve"> </w:t>
      </w:r>
      <w:r w:rsidR="00242EC8" w:rsidRPr="002749BC">
        <w:t>more robust</w:t>
      </w:r>
      <w:r w:rsidR="002A29AD">
        <w:t xml:space="preserve"> as respondents are likely to regard the framing as credible and easy to grasp. An emphasis on tangible service attributes as part of a willingness to pay assessment is likely to produce a more valid measure of value.</w:t>
      </w:r>
    </w:p>
    <w:p w14:paraId="0B075DC0" w14:textId="7A3468A3" w:rsidR="00A4325F" w:rsidRPr="002749BC" w:rsidRDefault="00A4325F" w:rsidP="001B0CEE">
      <w:pPr>
        <w:pStyle w:val="Heading3"/>
      </w:pPr>
      <w:r w:rsidRPr="002749BC">
        <w:t xml:space="preserve">Specification of </w:t>
      </w:r>
      <w:r w:rsidR="003D7761" w:rsidRPr="002749BC">
        <w:t xml:space="preserve">options / </w:t>
      </w:r>
      <w:r w:rsidRPr="002749BC">
        <w:t>attributes</w:t>
      </w:r>
    </w:p>
    <w:p w14:paraId="2A2A2A93" w14:textId="797008A7" w:rsidR="003D7761" w:rsidRPr="002749BC" w:rsidRDefault="003D7761" w:rsidP="003D7761">
      <w:pPr>
        <w:pStyle w:val="BodyText"/>
      </w:pPr>
      <w:r w:rsidRPr="002749BC">
        <w:t xml:space="preserve">If conducting a </w:t>
      </w:r>
      <w:r w:rsidR="00F9229F">
        <w:t>stated preference valuation</w:t>
      </w:r>
      <w:r w:rsidRPr="002749BC">
        <w:t xml:space="preserve"> study, for instance on the value of reliability, ACCAN should ensure that it has specified the option(s) in a manner that </w:t>
      </w:r>
      <w:r w:rsidR="00616EE3">
        <w:t xml:space="preserve">matches, as far as possible, </w:t>
      </w:r>
      <w:r w:rsidRPr="002749BC">
        <w:t xml:space="preserve">the policy settings that it anticipates. </w:t>
      </w:r>
    </w:p>
    <w:p w14:paraId="0FB1355E" w14:textId="6D127DA4" w:rsidR="003D7761" w:rsidRPr="002749BC" w:rsidRDefault="003D7761" w:rsidP="003D7761">
      <w:pPr>
        <w:pStyle w:val="BodyText"/>
      </w:pPr>
      <w:r w:rsidRPr="002749BC">
        <w:t>ACCAN should consult among its members</w:t>
      </w:r>
      <w:r w:rsidR="00F9229F">
        <w:t xml:space="preserve"> and/or </w:t>
      </w:r>
      <w:r w:rsidR="00384F5B">
        <w:t>telecommunication</w:t>
      </w:r>
      <w:r w:rsidR="00F9229F">
        <w:t xml:space="preserve"> customers</w:t>
      </w:r>
      <w:r w:rsidRPr="002749BC">
        <w:t xml:space="preserve"> (for instance by means of a workshop</w:t>
      </w:r>
      <w:r w:rsidR="00F9229F">
        <w:t xml:space="preserve"> or focus groups</w:t>
      </w:r>
      <w:r w:rsidRPr="002749BC">
        <w:t xml:space="preserve">) to obtain information on the set of attributes to test and the credible minimum and maximum attribute levels to specify for the model. The attributes identified in Section </w:t>
      </w:r>
      <w:r w:rsidR="005268A0">
        <w:fldChar w:fldCharType="begin"/>
      </w:r>
      <w:r w:rsidR="005268A0">
        <w:instrText xml:space="preserve"> REF _Ref6309850 \r \h </w:instrText>
      </w:r>
      <w:r w:rsidR="005268A0">
        <w:fldChar w:fldCharType="separate"/>
      </w:r>
      <w:r w:rsidR="00176422">
        <w:t>4.1</w:t>
      </w:r>
      <w:r w:rsidR="005268A0">
        <w:fldChar w:fldCharType="end"/>
      </w:r>
      <w:r w:rsidRPr="002749BC">
        <w:t xml:space="preserve"> provide a starting point for the attributes that ACCAN and its members may consider relevant</w:t>
      </w:r>
      <w:r w:rsidR="00573D65" w:rsidRPr="002749BC">
        <w:t>.</w:t>
      </w:r>
      <w:r w:rsidRPr="002749BC">
        <w:t xml:space="preserve"> </w:t>
      </w:r>
      <w:r w:rsidR="00573D65" w:rsidRPr="002749BC">
        <w:t xml:space="preserve">A workshop with </w:t>
      </w:r>
      <w:r w:rsidR="00573D65" w:rsidRPr="002749BC">
        <w:lastRenderedPageBreak/>
        <w:t>members</w:t>
      </w:r>
      <w:r w:rsidRPr="002749BC">
        <w:t xml:space="preserve"> </w:t>
      </w:r>
      <w:r w:rsidR="00573D65" w:rsidRPr="002749BC">
        <w:t>would</w:t>
      </w:r>
      <w:r w:rsidRPr="002749BC">
        <w:t xml:space="preserve"> also provide an opportunity to ensure that the packages or choice sets presented are ones that respondents might expect to experience.</w:t>
      </w:r>
    </w:p>
    <w:p w14:paraId="0947FA7E" w14:textId="0E11B3EF" w:rsidR="003D7761" w:rsidRPr="002749BC" w:rsidRDefault="00335DAA" w:rsidP="001B0CEE">
      <w:pPr>
        <w:pStyle w:val="Heading3"/>
      </w:pPr>
      <w:r w:rsidRPr="002749BC">
        <w:t>Sampling strategy</w:t>
      </w:r>
    </w:p>
    <w:p w14:paraId="5D889B6D" w14:textId="365B689D" w:rsidR="007711D2" w:rsidRPr="002749BC" w:rsidRDefault="007711D2" w:rsidP="00335DAA">
      <w:pPr>
        <w:pStyle w:val="BodyText"/>
      </w:pPr>
      <w:r w:rsidRPr="002749BC">
        <w:t xml:space="preserve">We understand that </w:t>
      </w:r>
      <w:r w:rsidR="00335DAA" w:rsidRPr="002749BC">
        <w:t>ACCAN</w:t>
      </w:r>
      <w:r w:rsidRPr="002749BC">
        <w:t>’s advocacy covers both “</w:t>
      </w:r>
      <w:r w:rsidRPr="002749BC">
        <w:rPr>
          <w:lang w:eastAsia="en-US"/>
        </w:rPr>
        <w:t>consumers” (which we take to mean residential customers) and small businesses</w:t>
      </w:r>
      <w:r w:rsidRPr="002749BC">
        <w:t xml:space="preserve">. It is likely that the value of delays in receiving a service connection will differ considerably between these two groups and ideally, both groups would be separately tested. This would require survey samples to be drawn from both these sub-populations, which would increase the cost. A cheaper alternative might be to obtain a random sample of all customers that includes both consumers and small businesses. This would allow an average value to be estimated across both types, but would not allow separate valuations to be estimated. </w:t>
      </w:r>
    </w:p>
    <w:p w14:paraId="58308588" w14:textId="3509AAB9" w:rsidR="00335DAA" w:rsidRDefault="007711D2" w:rsidP="007711D2">
      <w:pPr>
        <w:pStyle w:val="BodyText"/>
      </w:pPr>
      <w:r w:rsidRPr="002749BC">
        <w:t xml:space="preserve">ACCAN will need to assess the benefit to its advocacy of distinguishing between the value to residential customers and small business customers and compare this against the additional cost this would involve. This assessment can be done as part of the procurement process by requesting quotes </w:t>
      </w:r>
      <w:r w:rsidR="00774E99" w:rsidRPr="002749BC">
        <w:t xml:space="preserve">for both approaches.  </w:t>
      </w:r>
    </w:p>
    <w:p w14:paraId="4EE73BCB" w14:textId="1C194A6D" w:rsidR="00A962C4" w:rsidRDefault="00A962C4" w:rsidP="001B0CEE">
      <w:pPr>
        <w:pStyle w:val="Heading3"/>
      </w:pPr>
      <w:r>
        <w:t>Other design choices</w:t>
      </w:r>
    </w:p>
    <w:p w14:paraId="11490620" w14:textId="15541A4E" w:rsidR="00A962C4" w:rsidRPr="00A962C4" w:rsidRDefault="00A962C4" w:rsidP="00A962C4">
      <w:pPr>
        <w:pStyle w:val="BodyText"/>
      </w:pPr>
      <w:r w:rsidRPr="002749BC">
        <w:t xml:space="preserve">There are </w:t>
      </w:r>
      <w:r>
        <w:t xml:space="preserve">several stages </w:t>
      </w:r>
      <w:r w:rsidRPr="002749BC">
        <w:t xml:space="preserve">in the design of a choice experiment and each involve important </w:t>
      </w:r>
      <w:r>
        <w:t xml:space="preserve">design choices. Synergies recommends that ACCAN </w:t>
      </w:r>
      <w:r w:rsidR="009847D4">
        <w:t>note the matters listed in Appendix </w:t>
      </w:r>
      <w:r w:rsidR="009847D4">
        <w:fldChar w:fldCharType="begin"/>
      </w:r>
      <w:r w:rsidR="009847D4">
        <w:instrText xml:space="preserve"> REF _Ref6211467 \n \h </w:instrText>
      </w:r>
      <w:r w:rsidR="009847D4">
        <w:fldChar w:fldCharType="separate"/>
      </w:r>
      <w:r w:rsidR="00176422">
        <w:t>C</w:t>
      </w:r>
      <w:r w:rsidR="009847D4">
        <w:fldChar w:fldCharType="end"/>
      </w:r>
      <w:r w:rsidR="009847D4">
        <w:t xml:space="preserve">, being issues and judgements for the specialised market research firm that ACCAN selects. </w:t>
      </w:r>
    </w:p>
    <w:p w14:paraId="7F06C873" w14:textId="33B434BA" w:rsidR="001B0590" w:rsidRPr="002749BC" w:rsidRDefault="00E96268" w:rsidP="00E96268">
      <w:pPr>
        <w:pStyle w:val="Heading1"/>
      </w:pPr>
      <w:bookmarkStart w:id="58" w:name="_Ref5908307"/>
      <w:bookmarkStart w:id="59" w:name="_Toc12387773"/>
      <w:r w:rsidRPr="002749BC">
        <w:lastRenderedPageBreak/>
        <w:t>References</w:t>
      </w:r>
      <w:bookmarkEnd w:id="58"/>
      <w:bookmarkEnd w:id="59"/>
    </w:p>
    <w:p w14:paraId="40DD012C" w14:textId="77777777" w:rsidR="00765482" w:rsidRDefault="00E96268" w:rsidP="00765482">
      <w:pPr>
        <w:pStyle w:val="Bibliography"/>
      </w:pPr>
      <w:r w:rsidRPr="002749BC">
        <w:fldChar w:fldCharType="begin"/>
      </w:r>
      <w:r w:rsidR="00765482">
        <w:instrText xml:space="preserve"> ADDIN ZOTERO_BIBL {"uncited":[],"omitted":[],"custom":[]} CSL_BIBLIOGRAPHY </w:instrText>
      </w:r>
      <w:r w:rsidRPr="002749BC">
        <w:fldChar w:fldCharType="separate"/>
      </w:r>
      <w:r w:rsidR="00765482">
        <w:t>Alpizar, Francisco, Fredrik Carlsson, and Peter Martinsson. “Using Choice Experiments for Non-Market Valuation,” June 2001, 37.</w:t>
      </w:r>
    </w:p>
    <w:p w14:paraId="7982D6EA" w14:textId="77777777" w:rsidR="00765482" w:rsidRDefault="00765482" w:rsidP="00765482">
      <w:pPr>
        <w:pStyle w:val="Bibliography"/>
      </w:pPr>
      <w:r>
        <w:t>Athira, I.C., C.P. Muneera, K Krishnamurthy, and M.V.L.R. Anjaneyulu. “Estimation of Value of Travel Time for Work Trips.” Accessed March 18, 2019. https://doi.org/10.1016/j.trpro.2016.11.067.</w:t>
      </w:r>
    </w:p>
    <w:p w14:paraId="2B7BB85C" w14:textId="77777777" w:rsidR="00765482" w:rsidRDefault="00765482" w:rsidP="00765482">
      <w:pPr>
        <w:pStyle w:val="Bibliography"/>
      </w:pPr>
      <w:r>
        <w:t>Australian Communications and Media Authority. “Reconnecting the Customer - Estimation of Benefits,” November 2015. https://acma.gov.au/-/media/Economics-Advisory/Research/PDF/Reconnecting-the-Customer_estimation-of-benefits-pdf.pdf?la=en.</w:t>
      </w:r>
    </w:p>
    <w:p w14:paraId="445C63E2" w14:textId="77777777" w:rsidR="00765482" w:rsidRDefault="00765482" w:rsidP="00765482">
      <w:pPr>
        <w:pStyle w:val="Bibliography"/>
      </w:pPr>
      <w:r>
        <w:t>Australian Energy Market Operator. “Value of Customer Reliability Review,” September 2014. http://www.aemo.com.au/-/media/Files/PDF/VCR-final-report--PDF-update-27-Nov-14.pdf.</w:t>
      </w:r>
    </w:p>
    <w:p w14:paraId="2770B35D" w14:textId="77777777" w:rsidR="00765482" w:rsidRDefault="00765482" w:rsidP="00765482">
      <w:pPr>
        <w:pStyle w:val="Bibliography"/>
      </w:pPr>
      <w:r>
        <w:t>———. “Value of Customer Reliability Statement of Approach,” November 11, 2013. https://www.aemo.com.au/media/Files/Other/consultations/nem/Value_of_Customer_Reliability_Statement_of_Approach_121113.pdf.</w:t>
      </w:r>
    </w:p>
    <w:p w14:paraId="299DBD98" w14:textId="77777777" w:rsidR="00765482" w:rsidRDefault="00765482" w:rsidP="00765482">
      <w:pPr>
        <w:pStyle w:val="Bibliography"/>
      </w:pPr>
      <w:r>
        <w:t>Australian Energy Regulator. “Values of Customer Reliability Consultation Paper,” October 2018.</w:t>
      </w:r>
    </w:p>
    <w:p w14:paraId="237F3CA6" w14:textId="77777777" w:rsidR="00765482" w:rsidRDefault="00765482" w:rsidP="00765482">
      <w:pPr>
        <w:pStyle w:val="Bibliography"/>
      </w:pPr>
      <w:r>
        <w:t>Belenky, Peter. “Valuation of Travel Time in Economic Anaylsis,” September 28, 2011. https://www.transportation.gov/sites/dot.dev/files/docs/vot_guidance_092811c.pdf.</w:t>
      </w:r>
    </w:p>
    <w:p w14:paraId="63466A45" w14:textId="77777777" w:rsidR="00765482" w:rsidRDefault="00765482" w:rsidP="00765482">
      <w:pPr>
        <w:pStyle w:val="Bibliography"/>
      </w:pPr>
      <w:r>
        <w:t>Bischof, Zachary, Fabian Bustamante, and Nick Feamster. “Characterizing and Improving the Reliability of Broadband Internet Access.” SSRN Scholarly Paper. Rochester, NY: Social Science Research Network, February 11, 2018. https://papers.ssrn.com/abstract=3121942.</w:t>
      </w:r>
    </w:p>
    <w:p w14:paraId="1F67BB3A" w14:textId="77777777" w:rsidR="00765482" w:rsidRDefault="00765482" w:rsidP="00765482">
      <w:pPr>
        <w:pStyle w:val="Bibliography"/>
      </w:pPr>
      <w:r>
        <w:t xml:space="preserve">Brennan, Donna, Sorada Tapsuwan, and Gordon Ingram. “The Welfare Costs of Urban Outdoor Water Restrictions.” </w:t>
      </w:r>
      <w:r>
        <w:rPr>
          <w:i/>
          <w:iCs/>
        </w:rPr>
        <w:t>Australian Journal of Agricultural and Resource Economics</w:t>
      </w:r>
      <w:r>
        <w:t xml:space="preserve"> 51, no. 3 (August 7, 2007): 243–61. https://doi.org/10.1111/j.1467-8489.2007.00395.x.</w:t>
      </w:r>
    </w:p>
    <w:p w14:paraId="69865199" w14:textId="77777777" w:rsidR="00765482" w:rsidRDefault="00765482" w:rsidP="00765482">
      <w:pPr>
        <w:pStyle w:val="Bibliography"/>
      </w:pPr>
      <w:r w:rsidRPr="00320F86">
        <w:rPr>
          <w:lang w:val="de-DE"/>
        </w:rPr>
        <w:t xml:space="preserve">Bruvoll, Annegrete, Bente Halvorsen, and Karine Nyborg. </w:t>
      </w:r>
      <w:r>
        <w:t xml:space="preserve">“Households’ Recycling Efforts.” </w:t>
      </w:r>
      <w:r>
        <w:rPr>
          <w:i/>
          <w:iCs/>
        </w:rPr>
        <w:t>Resources, Conservation and Recycling</w:t>
      </w:r>
      <w:r>
        <w:t xml:space="preserve"> 36, no. 4 (November 1, 2002): 337–54. https://doi.org/10.1016/S0921-3449(02)00055-1.</w:t>
      </w:r>
    </w:p>
    <w:p w14:paraId="60F536E4" w14:textId="77777777" w:rsidR="00765482" w:rsidRDefault="00765482" w:rsidP="00765482">
      <w:pPr>
        <w:pStyle w:val="Bibliography"/>
      </w:pPr>
      <w:r>
        <w:t xml:space="preserve">Buck, Steven, Maximilian Auffhammer, Stephen Hamilton, and David Sunding. “Measuring Welfare Losses from Urban Water Supply Disruptions.” </w:t>
      </w:r>
      <w:r>
        <w:rPr>
          <w:i/>
          <w:iCs/>
        </w:rPr>
        <w:t>Journal of the Association of Environmental and Resource Economists</w:t>
      </w:r>
      <w:r>
        <w:t xml:space="preserve"> 3, no. 3 (July 27, 2016): 743–78. https://doi.org/10.1086/687761.</w:t>
      </w:r>
    </w:p>
    <w:p w14:paraId="3A47C0A4" w14:textId="77777777" w:rsidR="00765482" w:rsidRDefault="00765482" w:rsidP="00765482">
      <w:pPr>
        <w:pStyle w:val="Bibliography"/>
      </w:pPr>
      <w:r>
        <w:t>Centre for International Economics. “Review of Willingness to Pay Methodologies (A Report Prepared for IPART),” August 2001.</w:t>
      </w:r>
    </w:p>
    <w:p w14:paraId="6DB6180F" w14:textId="77777777" w:rsidR="00765482" w:rsidRDefault="00765482" w:rsidP="00765482">
      <w:pPr>
        <w:pStyle w:val="Bibliography"/>
      </w:pPr>
      <w:r>
        <w:t>Chapman, Jonathan, Mark Dean, Pietro Ortoleva, Erik Snowberg, and Colin Camerer. “Willingness to Pay and Willingness to Accept Are Probably Less Correlated Than You Think.” Cambridge, MA: National Bureau of Economic Research, October 2017. https://doi.org/10.3386/w23954.</w:t>
      </w:r>
    </w:p>
    <w:p w14:paraId="7DC5F866" w14:textId="77777777" w:rsidR="00765482" w:rsidRDefault="00765482" w:rsidP="00765482">
      <w:pPr>
        <w:pStyle w:val="Bibliography"/>
      </w:pPr>
      <w:r>
        <w:lastRenderedPageBreak/>
        <w:t>Cooper, Bethany, Michael Burton, and Lin Crase. “Avoiding Water Restrictions in Australia: Using a Finite Mixture Scaled Ordered Probit Model to Investigate the Impact of Changes in the Climatic Setting.” World Congress of Environmental and Resource Economists, 2014.</w:t>
      </w:r>
    </w:p>
    <w:p w14:paraId="2ED7521F" w14:textId="77777777" w:rsidR="00765482" w:rsidRDefault="00765482" w:rsidP="00765482">
      <w:pPr>
        <w:pStyle w:val="Bibliography"/>
      </w:pPr>
      <w:r>
        <w:t xml:space="preserve">Cooper, Bethany, Lin Crase, and Michael Burton. “Willingness to Pay to Avoid Water Restrictions in Australia Under a Changing Climate.” </w:t>
      </w:r>
      <w:r>
        <w:rPr>
          <w:i/>
          <w:iCs/>
        </w:rPr>
        <w:t>Environmental and Resource Economics</w:t>
      </w:r>
      <w:r>
        <w:t>, March 2, 2018, 1–25. https://doi.org/10.1007/s10640-018-0228-x.</w:t>
      </w:r>
    </w:p>
    <w:p w14:paraId="15764CDA" w14:textId="77777777" w:rsidR="00765482" w:rsidRDefault="00765482" w:rsidP="00765482">
      <w:pPr>
        <w:pStyle w:val="Bibliography"/>
      </w:pPr>
      <w:r>
        <w:t xml:space="preserve">Czajkowski, Mikołaj, Tadeusz Kądziela, and Nick Hanley. “We Want to Sort! Assessing Households’ Preferences for Sorting Waste.” </w:t>
      </w:r>
      <w:r>
        <w:rPr>
          <w:i/>
          <w:iCs/>
        </w:rPr>
        <w:t>Resource and Energy Economics</w:t>
      </w:r>
      <w:r>
        <w:t xml:space="preserve"> 36, no. 1 (January 1, 2014): 290–306. https://doi.org/10.1016/j.reseneeco.2013.05.006.</w:t>
      </w:r>
    </w:p>
    <w:p w14:paraId="766EF5A6" w14:textId="77777777" w:rsidR="00765482" w:rsidRDefault="00765482" w:rsidP="00765482">
      <w:pPr>
        <w:pStyle w:val="Bibliography"/>
      </w:pPr>
      <w:r w:rsidRPr="00320F86">
        <w:rPr>
          <w:lang w:val="de-DE"/>
        </w:rPr>
        <w:t xml:space="preserve">Dagli, Orhan, and Glenn Jenkins. </w:t>
      </w:r>
      <w:r>
        <w:t>“Consumer Preferences for Improvements in Mobile Telecommunication Services,” 2015. https://doi.org/10.1016/j.tele.2015.07.002.</w:t>
      </w:r>
    </w:p>
    <w:p w14:paraId="19D2D2D3" w14:textId="77777777" w:rsidR="00765482" w:rsidRDefault="00765482" w:rsidP="00765482">
      <w:pPr>
        <w:pStyle w:val="Bibliography"/>
      </w:pPr>
      <w:r>
        <w:t xml:space="preserve">Deacon, Robert T., and Jon Sonstelie. “Rationing by Waiting and the Value of Time: Results from a Natural Experiment.” </w:t>
      </w:r>
      <w:r>
        <w:rPr>
          <w:i/>
          <w:iCs/>
        </w:rPr>
        <w:t>Journal of Political Economy</w:t>
      </w:r>
      <w:r>
        <w:t xml:space="preserve"> 93, no. 4 (1985): 627–47.</w:t>
      </w:r>
    </w:p>
    <w:p w14:paraId="47EEA352" w14:textId="77777777" w:rsidR="00765482" w:rsidRDefault="00765482" w:rsidP="00765482">
      <w:pPr>
        <w:pStyle w:val="Bibliography"/>
      </w:pPr>
      <w:r>
        <w:t>Department of Infrastructure, Regional Development and Cities. “Australian Transport Assessment and Planning Guidelines - M1 Public Transport Supporting Technical Report (Public Transport Parameter Values),” January 9, 2018. https://atap.gov.au/parameter-values/road-transport/3-travel-time.aspx#ftr2.</w:t>
      </w:r>
    </w:p>
    <w:p w14:paraId="28FC633F" w14:textId="77777777" w:rsidR="00765482" w:rsidRDefault="00765482" w:rsidP="00765482">
      <w:pPr>
        <w:pStyle w:val="Bibliography"/>
      </w:pPr>
      <w:r>
        <w:t xml:space="preserve">Douglas, N, and I Wallis. “Predicting the Value of Public Transport In-Vehicle Time.” In </w:t>
      </w:r>
      <w:r>
        <w:rPr>
          <w:i/>
          <w:iCs/>
        </w:rPr>
        <w:t>Australasian Transport Research Forum 2013 Proceedings</w:t>
      </w:r>
      <w:r>
        <w:t>, 2013.</w:t>
      </w:r>
    </w:p>
    <w:p w14:paraId="75783549" w14:textId="77777777" w:rsidR="00765482" w:rsidRDefault="00765482" w:rsidP="00765482">
      <w:pPr>
        <w:pStyle w:val="Bibliography"/>
      </w:pPr>
      <w:r>
        <w:t xml:space="preserve">Douglas, Neil, and George Karpouzis. “Estimating the Passenger Cost of Station Crowding.” In </w:t>
      </w:r>
      <w:r>
        <w:rPr>
          <w:i/>
          <w:iCs/>
        </w:rPr>
        <w:t>28th Australasian Transport Research Forum, Sydney, Australia</w:t>
      </w:r>
      <w:r>
        <w:t>, 1–11, 2005.</w:t>
      </w:r>
    </w:p>
    <w:p w14:paraId="1FA123B6" w14:textId="77777777" w:rsidR="00765482" w:rsidRDefault="00765482" w:rsidP="00765482">
      <w:pPr>
        <w:pStyle w:val="Bibliography"/>
      </w:pPr>
      <w:r>
        <w:t xml:space="preserve">Douglas, Neil, and Julieta Legaspi. “Estimating the Value of Private Car Travel Time and Reliability for NSW.” In </w:t>
      </w:r>
      <w:r>
        <w:rPr>
          <w:i/>
          <w:iCs/>
        </w:rPr>
        <w:t>ARRB International Conference, 28th, 2018, Brisbane, Queensland, Australia</w:t>
      </w:r>
      <w:r>
        <w:t>, 2018.</w:t>
      </w:r>
    </w:p>
    <w:p w14:paraId="03E3D011" w14:textId="77777777" w:rsidR="00765482" w:rsidRDefault="00765482" w:rsidP="00765482">
      <w:pPr>
        <w:pStyle w:val="Bibliography"/>
      </w:pPr>
      <w:r>
        <w:t>Fickling, Robert, Hugh Gunn, Howard R. Kirby, Mark Bradley, and Chris Heywood. “Productive Use of Rail Travel Time and the Valuation of Travel Time Savings for Rail Business Travellers,” June 2009, 170.</w:t>
      </w:r>
    </w:p>
    <w:p w14:paraId="55B1D293" w14:textId="77777777" w:rsidR="00765482" w:rsidRDefault="00765482" w:rsidP="00765482">
      <w:pPr>
        <w:pStyle w:val="Bibliography"/>
      </w:pPr>
      <w:r>
        <w:t xml:space="preserve">Halvorsen, Bente. “Effects of Norms and Opportunity Cost of Time on Household Recycling.” </w:t>
      </w:r>
      <w:r>
        <w:rPr>
          <w:i/>
          <w:iCs/>
        </w:rPr>
        <w:t>Land Economics</w:t>
      </w:r>
      <w:r>
        <w:t xml:space="preserve"> 84, no. 3 (2008): 501–16.</w:t>
      </w:r>
    </w:p>
    <w:p w14:paraId="21E8264C" w14:textId="77777777" w:rsidR="00765482" w:rsidRDefault="00765482" w:rsidP="00765482">
      <w:pPr>
        <w:pStyle w:val="Bibliography"/>
      </w:pPr>
      <w:r>
        <w:t xml:space="preserve">Hensher, D, and W Greene. “The Mixed Logit Model: The State of Practice.” </w:t>
      </w:r>
      <w:r>
        <w:rPr>
          <w:i/>
          <w:iCs/>
        </w:rPr>
        <w:t>Transportation</w:t>
      </w:r>
      <w:r>
        <w:t xml:space="preserve"> 30, no. 2 (2003): 133–176.</w:t>
      </w:r>
    </w:p>
    <w:p w14:paraId="621203BB" w14:textId="77777777" w:rsidR="00765482" w:rsidRDefault="00765482" w:rsidP="00765482">
      <w:pPr>
        <w:pStyle w:val="Bibliography"/>
      </w:pPr>
      <w:r>
        <w:t xml:space="preserve">Hensher, David A., Nina Shore, and Kenneth Train. “Willingness to Pay for Residential Electricity Supply Quality and Reliability.” </w:t>
      </w:r>
      <w:r>
        <w:rPr>
          <w:i/>
          <w:iCs/>
        </w:rPr>
        <w:t>Applied Energy</w:t>
      </w:r>
      <w:r>
        <w:t xml:space="preserve"> 115 (February 15, 2014): 280–92. https://doi.org/10.1016/j.apenergy.2013.11.007.</w:t>
      </w:r>
    </w:p>
    <w:p w14:paraId="6825F9C5" w14:textId="77777777" w:rsidR="00765482" w:rsidRDefault="00765482" w:rsidP="00765482">
      <w:pPr>
        <w:pStyle w:val="Bibliography"/>
      </w:pPr>
      <w:r>
        <w:t xml:space="preserve">Hofmann, Matthias, Helge Seljeseth, Gro Holst Volden, and G. H. Kjølle. “Study on Estimation of Costs Due to Electricity Interruptions and Voltage Disturbances.” </w:t>
      </w:r>
      <w:r>
        <w:rPr>
          <w:i/>
          <w:iCs/>
        </w:rPr>
        <w:t>SINTEF Energy Rearch</w:t>
      </w:r>
      <w:r>
        <w:t>, 2010.</w:t>
      </w:r>
    </w:p>
    <w:p w14:paraId="13EBD66E" w14:textId="77777777" w:rsidR="00765482" w:rsidRDefault="00765482" w:rsidP="00765482">
      <w:pPr>
        <w:pStyle w:val="Bibliography"/>
      </w:pPr>
      <w:r>
        <w:lastRenderedPageBreak/>
        <w:t>Houston Kemp. “CBD and Inner Metro VCR Estimates (A Report for TransGrid).” Sydney, Australia, July 28, 2016. https://www.ipart.nsw.gov.au/files/sharedassets/website/shared-files/investigation-section-12-publications-electricity-transmission-reliability-standards/consultant-report-transgrid-vcr-estimates-july-2016.pdf.</w:t>
      </w:r>
    </w:p>
    <w:p w14:paraId="598E07F6" w14:textId="77777777" w:rsidR="00765482" w:rsidRDefault="00765482" w:rsidP="00765482">
      <w:pPr>
        <w:pStyle w:val="Bibliography"/>
      </w:pPr>
      <w:r>
        <w:t xml:space="preserve">Keon, Neil J., and G. Anandalingam. “Optimal Pricing for Multiple Services in Telecommunications Networks Offering Quality-of-Service Guarantees.” </w:t>
      </w:r>
      <w:r>
        <w:rPr>
          <w:i/>
          <w:iCs/>
        </w:rPr>
        <w:t>IEEE/ACM Trans. Netw.</w:t>
      </w:r>
      <w:r>
        <w:t xml:space="preserve"> 11, no. 1 (February 2003): 66–80. https://doi.org/10.1109/TNET.2002.808409.</w:t>
      </w:r>
    </w:p>
    <w:p w14:paraId="38D44594" w14:textId="77777777" w:rsidR="00765482" w:rsidRDefault="00765482" w:rsidP="00765482">
      <w:pPr>
        <w:pStyle w:val="Bibliography"/>
      </w:pPr>
      <w:r>
        <w:t xml:space="preserve">Kuhn, D Richard. “Sources of Failure in the Public Switched Telephone Network.” </w:t>
      </w:r>
      <w:r>
        <w:rPr>
          <w:i/>
          <w:iCs/>
        </w:rPr>
        <w:t>Computer</w:t>
      </w:r>
      <w:r>
        <w:t xml:space="preserve"> 30, no. 4 (1997): 31–36.</w:t>
      </w:r>
    </w:p>
    <w:p w14:paraId="427E171B" w14:textId="77777777" w:rsidR="00765482" w:rsidRDefault="00765482" w:rsidP="00765482">
      <w:pPr>
        <w:pStyle w:val="Bibliography"/>
      </w:pPr>
      <w:r>
        <w:t>Larsen, P., S. H. Kristina, S. H. Kristina, Joseph Eto, and Alan Sanstad. “Frontiers in the Economics of Widespread, Long-Duration Power Interruptions: Proceedings from an Expert Workshop,” 2019.</w:t>
      </w:r>
    </w:p>
    <w:p w14:paraId="7A494690" w14:textId="77777777" w:rsidR="00765482" w:rsidRDefault="00765482" w:rsidP="00765482">
      <w:pPr>
        <w:pStyle w:val="Bibliography"/>
      </w:pPr>
      <w:r>
        <w:t>Legaspi, J, and N Douglas. “Value of Travel Time Revisited - NSW Experiment,” 2015, 15.</w:t>
      </w:r>
    </w:p>
    <w:p w14:paraId="682507C2" w14:textId="77777777" w:rsidR="00765482" w:rsidRDefault="00765482" w:rsidP="00765482">
      <w:pPr>
        <w:pStyle w:val="Bibliography"/>
      </w:pPr>
      <w:r>
        <w:t xml:space="preserve">Lehr, William, Steven Bauer, and David D. Clark. “Measuring Performance When Broadband Is the New PSTN.” </w:t>
      </w:r>
      <w:r>
        <w:rPr>
          <w:i/>
          <w:iCs/>
        </w:rPr>
        <w:t>Journal of Information Policy</w:t>
      </w:r>
      <w:r>
        <w:t xml:space="preserve"> 3 (2013): 411–41. https://doi.org/10.5325/jinfopoli.3.2013.0411.</w:t>
      </w:r>
    </w:p>
    <w:p w14:paraId="6FA78AA5" w14:textId="77777777" w:rsidR="00765482" w:rsidRDefault="00765482" w:rsidP="00765482">
      <w:pPr>
        <w:pStyle w:val="Bibliography"/>
      </w:pPr>
      <w:r>
        <w:t>Lehr, William, Mikko Heikkinen, David D. Clark, and Steven Bauer. “Assessing Broadband Reliability: Measurement and Policy Challenges.” SSRN Scholarly Paper. Rochester, NY: Social Science Research Network, September 24, 2011. https://papers.ssrn.com/abstract=1979746.</w:t>
      </w:r>
    </w:p>
    <w:p w14:paraId="097ECEBC" w14:textId="77777777" w:rsidR="00765482" w:rsidRDefault="00765482" w:rsidP="00765482">
      <w:pPr>
        <w:pStyle w:val="Bibliography"/>
      </w:pPr>
      <w:r>
        <w:t xml:space="preserve">Louviere, Jordan J., Jordan J Louviere, David A. Hensher, and Joffre Dan Swait. </w:t>
      </w:r>
      <w:r>
        <w:rPr>
          <w:i/>
          <w:iCs/>
        </w:rPr>
        <w:t>Stated Choice Methods: Analysis and Applications</w:t>
      </w:r>
      <w:r>
        <w:t>. Cambridge: Cambridge University Press, 2000.</w:t>
      </w:r>
    </w:p>
    <w:p w14:paraId="60CDC043" w14:textId="77777777" w:rsidR="00765482" w:rsidRDefault="00765482" w:rsidP="00765482">
      <w:pPr>
        <w:pStyle w:val="Bibliography"/>
      </w:pPr>
      <w:r>
        <w:t xml:space="preserve">Mackie, P., J. Nellthorp, J. Laird, and F. Ahmed. “Toolkit for the Economic Evaluation of World Bank Transport Projects.” </w:t>
      </w:r>
      <w:r>
        <w:rPr>
          <w:i/>
          <w:iCs/>
        </w:rPr>
        <w:t>Institute for Transport Studies, University of Leeds</w:t>
      </w:r>
      <w:r>
        <w:t>, 2003.</w:t>
      </w:r>
    </w:p>
    <w:p w14:paraId="5055AC7F" w14:textId="77777777" w:rsidR="00765482" w:rsidRDefault="00765482" w:rsidP="00765482">
      <w:pPr>
        <w:pStyle w:val="Bibliography"/>
      </w:pPr>
      <w:r>
        <w:t xml:space="preserve">Mangham, Lindsay J., Kara Hanson, and Barbara McPake. “How to Do (or Not to Do) … Designing a Discrete Choice Experiment for Application in a Low-Income Country.” </w:t>
      </w:r>
      <w:r>
        <w:rPr>
          <w:i/>
          <w:iCs/>
        </w:rPr>
        <w:t>Health Policy and Planning</w:t>
      </w:r>
      <w:r>
        <w:t xml:space="preserve"> 24, no. 2 (March 1, 2009): 151–58. https://doi.org/10.1093/heapol/czn047.</w:t>
      </w:r>
    </w:p>
    <w:p w14:paraId="01C75C08" w14:textId="77777777" w:rsidR="00765482" w:rsidRDefault="00765482" w:rsidP="00765482">
      <w:pPr>
        <w:pStyle w:val="Bibliography"/>
      </w:pPr>
      <w:r>
        <w:t>McNair, Ben, and Michael Ward. “Willingness to Pay Research Project.” Final Report. Prepared for ACTEW Corporation, 2012.</w:t>
      </w:r>
    </w:p>
    <w:p w14:paraId="582254DA" w14:textId="77777777" w:rsidR="00765482" w:rsidRDefault="00765482" w:rsidP="00765482">
      <w:pPr>
        <w:pStyle w:val="Bibliography"/>
      </w:pPr>
      <w:r>
        <w:t xml:space="preserve">Meddeb, A. “Internet QoS: Pieces of the Puzzle.” </w:t>
      </w:r>
      <w:r>
        <w:rPr>
          <w:i/>
          <w:iCs/>
        </w:rPr>
        <w:t>IEEE Communications Magazine</w:t>
      </w:r>
      <w:r>
        <w:t xml:space="preserve"> 48, no. 1 (January 2010): 86–94. https://doi.org/10.1109/MCOM.2010.5394035.</w:t>
      </w:r>
    </w:p>
    <w:p w14:paraId="381E2702" w14:textId="77777777" w:rsidR="00765482" w:rsidRDefault="00765482" w:rsidP="00765482">
      <w:pPr>
        <w:pStyle w:val="Bibliography"/>
      </w:pPr>
      <w:r>
        <w:t>Morrison, Mark, Russell K Blamey, Jeffrey W Bennett, and Jordan Louviere. “A Comparison of Stated Preference Techniques for Estimating Environmental Values,” 1997.</w:t>
      </w:r>
    </w:p>
    <w:p w14:paraId="77CB5336" w14:textId="77777777" w:rsidR="00765482" w:rsidRDefault="00765482" w:rsidP="00765482">
      <w:pPr>
        <w:pStyle w:val="Bibliography"/>
      </w:pPr>
      <w:r>
        <w:t>Oakley Greenwood. “Economic Assessment of Electricity Distribution Reliability Standard Packages,” June 26, 2018. https://www.escosa.sa.gov.au/ArticleDocuments/1186/20180801-Electricity-</w:t>
      </w:r>
      <w:r>
        <w:lastRenderedPageBreak/>
        <w:t>EconomicAnalysisReliabilityImprovementPackages-SSF20Report-OakleyGreenwood.pdf.aspx.</w:t>
      </w:r>
    </w:p>
    <w:p w14:paraId="4E443680" w14:textId="77777777" w:rsidR="00765482" w:rsidRDefault="00765482" w:rsidP="00765482">
      <w:pPr>
        <w:pStyle w:val="Bibliography"/>
      </w:pPr>
      <w:r>
        <w:t>Office of Best Practice Regulation. “Regulatory Burden Measurement Framework,” February 2016. https://www.pmc.gov.au/sites/default/files/publications/regulatory-burden-measurement-framework.pdf.</w:t>
      </w:r>
    </w:p>
    <w:p w14:paraId="29EBBE51" w14:textId="77777777" w:rsidR="00765482" w:rsidRDefault="00765482" w:rsidP="00765482">
      <w:pPr>
        <w:pStyle w:val="Bibliography"/>
      </w:pPr>
      <w:r>
        <w:t xml:space="preserve">Ozbafli, Aygul, and Glenn P. Jenkins. “Estimating the Willingness to Pay for Reliable Electricity Supply: A Choice Experiment Study.” </w:t>
      </w:r>
      <w:r>
        <w:rPr>
          <w:i/>
          <w:iCs/>
        </w:rPr>
        <w:t>Energy Economics</w:t>
      </w:r>
      <w:r>
        <w:t xml:space="preserve"> 56 (May 1, 2016): 443–52. https://doi.org/10.1016/j.eneco.2016.03.025.</w:t>
      </w:r>
    </w:p>
    <w:p w14:paraId="53F0FFE4" w14:textId="77777777" w:rsidR="00765482" w:rsidRDefault="00765482" w:rsidP="00765482">
      <w:pPr>
        <w:pStyle w:val="Bibliography"/>
      </w:pPr>
      <w:r>
        <w:t>Productivity Commission. “Public Infrastructure: Inquiry Report,” 2014.</w:t>
      </w:r>
    </w:p>
    <w:p w14:paraId="5F95BF31" w14:textId="77777777" w:rsidR="00765482" w:rsidRDefault="00765482" w:rsidP="00765482">
      <w:pPr>
        <w:pStyle w:val="Bibliography"/>
      </w:pPr>
      <w:r>
        <w:t>Regional Development and Cities Department of Infrastructure. “Infrastructure Australia - Associated Websites.” Infrastructure, Regional Development and Cities. Accessed April 12, 2019. https://infrastructure.gov.au/utilities/websites.aspx.</w:t>
      </w:r>
    </w:p>
    <w:p w14:paraId="0ED4B430" w14:textId="77777777" w:rsidR="00765482" w:rsidRDefault="00765482" w:rsidP="00765482">
      <w:pPr>
        <w:pStyle w:val="Bibliography"/>
      </w:pPr>
      <w:r>
        <w:t xml:space="preserve">Rosston, Gregory L., Scott J Savage, and Donald M Waldman. “Household Demand for Broadband Internet in 2010.” </w:t>
      </w:r>
      <w:r>
        <w:rPr>
          <w:i/>
          <w:iCs/>
        </w:rPr>
        <w:t>The B.E. Journal of Economic Analysis &amp; Policy</w:t>
      </w:r>
      <w:r>
        <w:t xml:space="preserve"> 10, no. 1 (2010). https://doi.org/10.2202/1935-1682.2541.</w:t>
      </w:r>
    </w:p>
    <w:p w14:paraId="111152CF" w14:textId="77777777" w:rsidR="00765482" w:rsidRDefault="00765482" w:rsidP="00765482">
      <w:pPr>
        <w:pStyle w:val="Bibliography"/>
      </w:pPr>
      <w:r>
        <w:t xml:space="preserve">Savage, Scott J., and Donald Waldman. “Broadband Internet Access, Awareness, and Use: Analysis of United States Household Data.” </w:t>
      </w:r>
      <w:r>
        <w:rPr>
          <w:i/>
          <w:iCs/>
        </w:rPr>
        <w:t>Telecommunications Policy</w:t>
      </w:r>
      <w:r>
        <w:t xml:space="preserve"> 29, no. 8 (September 2005): 615–33. https://doi.org/10.1016/j.telpol.2005.06.001.</w:t>
      </w:r>
    </w:p>
    <w:p w14:paraId="60A2799B" w14:textId="77777777" w:rsidR="00765482" w:rsidRDefault="00765482" w:rsidP="00765482">
      <w:pPr>
        <w:pStyle w:val="Bibliography"/>
      </w:pPr>
      <w:r>
        <w:t>Scarpa, Ric. “Methodology for the Estimation of the Value of Customer Reliability for AEMO,” November 11, 2013. https://www.aemo.com.au/media/Files/Other/consultations/nem/Methodology_Paper_Ric_Scarpa_121113.pdf.</w:t>
      </w:r>
    </w:p>
    <w:p w14:paraId="5420282B" w14:textId="77777777" w:rsidR="00765482" w:rsidRDefault="00765482" w:rsidP="00765482">
      <w:pPr>
        <w:pStyle w:val="Bibliography"/>
      </w:pPr>
      <w:r w:rsidRPr="00320F86">
        <w:rPr>
          <w:lang w:val="de-DE"/>
        </w:rPr>
        <w:t xml:space="preserve">Schröder, Thomas, and Wilhelm Kuckshinrichs. </w:t>
      </w:r>
      <w:r>
        <w:t xml:space="preserve">“Value of Lost Load: An Efficient Economic Indicator for Power Supply Security? A Literature Review.” </w:t>
      </w:r>
      <w:r>
        <w:rPr>
          <w:i/>
          <w:iCs/>
        </w:rPr>
        <w:t>Frontiers in Energy Research</w:t>
      </w:r>
      <w:r>
        <w:t xml:space="preserve"> 3 (2015). https://doi.org/10.3389/fenrg.2015.00055.</w:t>
      </w:r>
    </w:p>
    <w:p w14:paraId="70B1D2EF" w14:textId="77777777" w:rsidR="00765482" w:rsidRDefault="00765482" w:rsidP="00765482">
      <w:pPr>
        <w:pStyle w:val="Bibliography"/>
      </w:pPr>
      <w:r>
        <w:t xml:space="preserve">Shin, Ho Kyun, Andrey Kim, and Chang Won Lee. “Relationship between Consumer’s Preference and Service Attributes in Mobile Telecommunication Service.” </w:t>
      </w:r>
      <w:r>
        <w:rPr>
          <w:i/>
          <w:iCs/>
        </w:rPr>
        <w:t>Expert Systems with Applications</w:t>
      </w:r>
      <w:r>
        <w:t xml:space="preserve"> 38, no. 4 (April 2011): 3522–27. https://doi.org/10.1016/j.eswa.2010.08.140.</w:t>
      </w:r>
    </w:p>
    <w:p w14:paraId="70F60871" w14:textId="77777777" w:rsidR="00765482" w:rsidRDefault="00765482" w:rsidP="00765482">
      <w:pPr>
        <w:pStyle w:val="Bibliography"/>
      </w:pPr>
      <w:r>
        <w:t xml:space="preserve">Shires, J. D., and G. C. de Jong. “An International Meta-Analysis of Values of Travel Time Savings.” </w:t>
      </w:r>
      <w:r>
        <w:rPr>
          <w:i/>
          <w:iCs/>
        </w:rPr>
        <w:t>Evaluation and Program Planning</w:t>
      </w:r>
      <w:r>
        <w:t>, Evaluating the Impact of Transport Projects: Lessons for Other Disciplines, 32, no. 4 (November 1, 2009): 315–25. https://doi.org/10.1016/j.evalprogplan.2009.06.010.</w:t>
      </w:r>
    </w:p>
    <w:p w14:paraId="29AECD5D" w14:textId="77777777" w:rsidR="00765482" w:rsidRDefault="00765482" w:rsidP="00765482">
      <w:pPr>
        <w:pStyle w:val="Bibliography"/>
      </w:pPr>
      <w:r>
        <w:t xml:space="preserve">Small, Kenneth A. “Valuation of Travel Time.” </w:t>
      </w:r>
      <w:r>
        <w:rPr>
          <w:i/>
          <w:iCs/>
        </w:rPr>
        <w:t>Economics of Transportation</w:t>
      </w:r>
      <w:r>
        <w:t xml:space="preserve"> 1, no. 1–2 (December 2012): 2–14. https://doi.org/10.1016/j.ecotra.2012.09.002.</w:t>
      </w:r>
    </w:p>
    <w:p w14:paraId="32093B6F" w14:textId="77777777" w:rsidR="00765482" w:rsidRDefault="00765482" w:rsidP="00765482">
      <w:pPr>
        <w:pStyle w:val="Bibliography"/>
      </w:pPr>
      <w:r>
        <w:t>Wardman, Mark, Richard Batley, James Laird, Peter Mackie, Tony Fowkes, Glenn Lyons, John Bates, and Jonas Eliasson. “Valuation of Travel Time Savings for Business Travellers (A Report Prepared for the UK Department for Transport).” Institute for Transport Studies, University of Leeds, 2013.</w:t>
      </w:r>
    </w:p>
    <w:p w14:paraId="2739D237" w14:textId="77777777" w:rsidR="00765482" w:rsidRDefault="00765482" w:rsidP="00765482">
      <w:pPr>
        <w:pStyle w:val="Bibliography"/>
      </w:pPr>
      <w:r>
        <w:lastRenderedPageBreak/>
        <w:t>Western Power. “Service Standard Report - 2017-18,” 2018. https://www.erawa.com.au/cproot/19955/2/Western%20Power%20-%20Service%20standard%20report%20-%202017-18.PDF.</w:t>
      </w:r>
    </w:p>
    <w:p w14:paraId="37CD9D1C" w14:textId="7463314A" w:rsidR="00E96268" w:rsidRDefault="00E96268" w:rsidP="00093C2C">
      <w:pPr>
        <w:pStyle w:val="Heading1"/>
      </w:pPr>
      <w:r w:rsidRPr="002749BC">
        <w:lastRenderedPageBreak/>
        <w:fldChar w:fldCharType="end"/>
      </w:r>
      <w:bookmarkStart w:id="60" w:name="_Toc12387774"/>
      <w:r w:rsidR="00093C2C">
        <w:t>Appendices</w:t>
      </w:r>
      <w:bookmarkEnd w:id="60"/>
    </w:p>
    <w:p w14:paraId="38A0530F" w14:textId="77777777" w:rsidR="00BC54E5" w:rsidRPr="00BC54E5" w:rsidRDefault="00BC54E5" w:rsidP="00BC54E5">
      <w:pPr>
        <w:pStyle w:val="BodyText"/>
        <w:rPr>
          <w:lang w:eastAsia="en-US"/>
        </w:rPr>
      </w:pPr>
    </w:p>
    <w:p w14:paraId="14843CD3" w14:textId="3EF40279" w:rsidR="008A5F3F" w:rsidRPr="002749BC" w:rsidRDefault="008A5F3F" w:rsidP="000612A5">
      <w:pPr>
        <w:pStyle w:val="Heading7"/>
      </w:pPr>
      <w:bookmarkStart w:id="61" w:name="_Ref4706465"/>
      <w:bookmarkStart w:id="62" w:name="_Toc12387775"/>
      <w:r w:rsidRPr="002749BC">
        <w:lastRenderedPageBreak/>
        <w:t>Sample Choice Modelling Survey</w:t>
      </w:r>
      <w:bookmarkEnd w:id="61"/>
      <w:bookmarkEnd w:id="62"/>
    </w:p>
    <w:p w14:paraId="320FB57F" w14:textId="64F80419" w:rsidR="00ED2502" w:rsidRPr="002749BC" w:rsidRDefault="000E4DEE" w:rsidP="00ED2502">
      <w:pPr>
        <w:pStyle w:val="BodyText"/>
        <w:rPr>
          <w:lang w:eastAsia="en-US"/>
        </w:rPr>
      </w:pPr>
      <w:r>
        <w:rPr>
          <w:lang w:eastAsia="en-US"/>
        </w:rPr>
        <w:t xml:space="preserve">An example of a choice modelling survey form used in one of the studies reviewed here is shown in </w:t>
      </w:r>
      <w:r>
        <w:rPr>
          <w:lang w:eastAsia="en-US"/>
        </w:rPr>
        <w:fldChar w:fldCharType="begin"/>
      </w:r>
      <w:r>
        <w:rPr>
          <w:lang w:eastAsia="en-US"/>
        </w:rPr>
        <w:instrText xml:space="preserve"> REF _Ref6210625 \h </w:instrText>
      </w:r>
      <w:r>
        <w:rPr>
          <w:lang w:eastAsia="en-US"/>
        </w:rPr>
      </w:r>
      <w:r>
        <w:rPr>
          <w:lang w:eastAsia="en-US"/>
        </w:rPr>
        <w:fldChar w:fldCharType="separate"/>
      </w:r>
      <w:r w:rsidR="00176422" w:rsidRPr="002749BC">
        <w:t xml:space="preserve">Figure </w:t>
      </w:r>
      <w:r w:rsidR="00176422">
        <w:rPr>
          <w:noProof/>
        </w:rPr>
        <w:t>A</w:t>
      </w:r>
      <w:r w:rsidR="00176422" w:rsidRPr="002749BC">
        <w:t>.</w:t>
      </w:r>
      <w:r w:rsidR="00176422">
        <w:rPr>
          <w:noProof/>
        </w:rPr>
        <w:t>1</w:t>
      </w:r>
      <w:r>
        <w:rPr>
          <w:lang w:eastAsia="en-US"/>
        </w:rPr>
        <w:fldChar w:fldCharType="end"/>
      </w:r>
      <w:r>
        <w:rPr>
          <w:lang w:eastAsia="en-US"/>
        </w:rPr>
        <w:t xml:space="preserve">. The two alternative service packages Option A and Option B comprise a “choice set”. Cost, speed, reliability, priority are the service attributes. </w:t>
      </w:r>
    </w:p>
    <w:p w14:paraId="52A045CE" w14:textId="46524954" w:rsidR="00ED2502" w:rsidRPr="002749BC" w:rsidRDefault="00ED2502">
      <w:pPr>
        <w:pStyle w:val="Caption"/>
        <w:rPr>
          <w:b w:val="0"/>
          <w:bCs w:val="0"/>
        </w:rPr>
      </w:pPr>
      <w:bookmarkStart w:id="63" w:name="_Ref6210625"/>
      <w:bookmarkStart w:id="64" w:name="_Toc12387780"/>
      <w:r w:rsidRPr="002749BC">
        <w:t xml:space="preserve">Figure </w:t>
      </w:r>
      <w:r w:rsidR="0089091D" w:rsidRPr="002749BC">
        <w:rPr>
          <w:noProof/>
        </w:rPr>
        <w:fldChar w:fldCharType="begin"/>
      </w:r>
      <w:r w:rsidR="0089091D" w:rsidRPr="002749BC">
        <w:rPr>
          <w:noProof/>
        </w:rPr>
        <w:instrText xml:space="preserve"> STYLEREF 7 \s </w:instrText>
      </w:r>
      <w:r w:rsidR="0089091D" w:rsidRPr="002749BC">
        <w:rPr>
          <w:noProof/>
        </w:rPr>
        <w:fldChar w:fldCharType="separate"/>
      </w:r>
      <w:r w:rsidR="00176422">
        <w:rPr>
          <w:noProof/>
        </w:rPr>
        <w:t>A</w:t>
      </w:r>
      <w:r w:rsidR="0089091D" w:rsidRPr="002749BC">
        <w:rPr>
          <w:noProof/>
        </w:rPr>
        <w:fldChar w:fldCharType="end"/>
      </w:r>
      <w:r w:rsidRPr="002749BC">
        <w:t>.</w:t>
      </w:r>
      <w:r w:rsidR="0089091D" w:rsidRPr="002749BC">
        <w:rPr>
          <w:noProof/>
        </w:rPr>
        <w:fldChar w:fldCharType="begin"/>
      </w:r>
      <w:r w:rsidR="0089091D" w:rsidRPr="002749BC">
        <w:rPr>
          <w:noProof/>
        </w:rPr>
        <w:instrText xml:space="preserve"> SEQ Figure \* ARABIC \s 7 </w:instrText>
      </w:r>
      <w:r w:rsidR="0089091D" w:rsidRPr="002749BC">
        <w:rPr>
          <w:noProof/>
        </w:rPr>
        <w:fldChar w:fldCharType="separate"/>
      </w:r>
      <w:r w:rsidR="00176422">
        <w:rPr>
          <w:noProof/>
        </w:rPr>
        <w:t>1</w:t>
      </w:r>
      <w:r w:rsidR="0089091D" w:rsidRPr="002749BC">
        <w:rPr>
          <w:noProof/>
        </w:rPr>
        <w:fldChar w:fldCharType="end"/>
      </w:r>
      <w:bookmarkEnd w:id="63"/>
      <w:r w:rsidRPr="002749BC">
        <w:rPr>
          <w:b w:val="0"/>
        </w:rPr>
        <w:tab/>
        <w:t>Example of a choice modelling survey for broadband fixed line service (US, 2010)</w:t>
      </w:r>
      <w:bookmarkEnd w:id="64"/>
    </w:p>
    <w:tbl>
      <w:tblPr>
        <w:tblW w:w="0" w:type="auto"/>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612"/>
      </w:tblGrid>
      <w:tr w:rsidR="00ED2502" w:rsidRPr="002749BC" w14:paraId="27674945" w14:textId="77777777" w:rsidTr="00ED2502">
        <w:tc>
          <w:tcPr>
            <w:tcW w:w="12178" w:type="dxa"/>
          </w:tcPr>
          <w:p w14:paraId="69A2D8E2" w14:textId="6C9C9D9C" w:rsidR="00ED2502" w:rsidRPr="002749BC" w:rsidRDefault="00ED2502" w:rsidP="00D45DCB">
            <w:pPr>
              <w:pStyle w:val="BodyText"/>
              <w:keepNext/>
            </w:pPr>
            <w:r w:rsidRPr="002749BC">
              <w:rPr>
                <w:noProof/>
              </w:rPr>
              <w:drawing>
                <wp:inline distT="0" distB="0" distL="0" distR="0" wp14:anchorId="4F576A40" wp14:editId="5BF620FE">
                  <wp:extent cx="5217658" cy="5945332"/>
                  <wp:effectExtent l="0" t="0" r="2540" b="0"/>
                  <wp:docPr id="8" name="Picture 8" descr="Example of a choice modelling survey page for broadband fixed line service, showing an Option A and Option B, each described in terms of different levels in multiple attribut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5226485" cy="5955390"/>
                          </a:xfrm>
                          <a:prstGeom prst="rect">
                            <a:avLst/>
                          </a:prstGeom>
                        </pic:spPr>
                      </pic:pic>
                    </a:graphicData>
                  </a:graphic>
                </wp:inline>
              </w:drawing>
            </w:r>
          </w:p>
        </w:tc>
      </w:tr>
    </w:tbl>
    <w:p w14:paraId="630A57D7" w14:textId="06CA69AD" w:rsidR="00ED2502" w:rsidRPr="002749BC" w:rsidRDefault="00ED2502" w:rsidP="00D45DCB">
      <w:pPr>
        <w:pStyle w:val="Note"/>
        <w:keepNext w:val="0"/>
        <w:rPr>
          <w:rFonts w:ascii="Arial Bold" w:hAnsi="Arial Bold"/>
          <w:b/>
          <w:szCs w:val="14"/>
        </w:rPr>
      </w:pPr>
      <w:r w:rsidRPr="002749BC">
        <w:rPr>
          <w:rFonts w:ascii="Arial Bold" w:hAnsi="Arial Bold"/>
          <w:b/>
          <w:szCs w:val="14"/>
        </w:rPr>
        <w:t>Data source: Rosston et al 2010</w:t>
      </w:r>
      <w:r w:rsidRPr="005D11B8">
        <w:rPr>
          <w:rStyle w:val="FootnoteReference"/>
        </w:rPr>
        <w:footnoteReference w:id="85"/>
      </w:r>
      <w:r w:rsidRPr="002749BC">
        <w:rPr>
          <w:rFonts w:ascii="Arial Bold" w:hAnsi="Arial Bold"/>
          <w:b/>
          <w:szCs w:val="14"/>
        </w:rPr>
        <w:t xml:space="preserve">. </w:t>
      </w:r>
    </w:p>
    <w:p w14:paraId="08598B6A" w14:textId="53A19249" w:rsidR="00ED2502" w:rsidRPr="002749BC" w:rsidRDefault="003453E2" w:rsidP="00F25FC6">
      <w:pPr>
        <w:pStyle w:val="Heading7"/>
      </w:pPr>
      <w:bookmarkStart w:id="65" w:name="_Toc12387776"/>
      <w:r w:rsidRPr="002749BC">
        <w:lastRenderedPageBreak/>
        <w:t>Income effects in benefit transfer</w:t>
      </w:r>
      <w:bookmarkEnd w:id="65"/>
    </w:p>
    <w:p w14:paraId="24A72410" w14:textId="2ABFF1D9" w:rsidR="00F25FC6" w:rsidRPr="002749BC" w:rsidRDefault="003453E2" w:rsidP="00F25FC6">
      <w:pPr>
        <w:pStyle w:val="BodyText"/>
        <w:rPr>
          <w:lang w:eastAsia="en-US"/>
        </w:rPr>
      </w:pPr>
      <w:r w:rsidRPr="002749BC">
        <w:t>In our benefit transfer discussion, we noted the importance of accounting for differences in context between the study in which a value was estimated and the situation in which that value is to be applied by means of benefit transfer.  I</w:t>
      </w:r>
      <w:r w:rsidR="00F25FC6" w:rsidRPr="002749BC">
        <w:t>ncome effects on non-market values can be neatly illustrated</w:t>
      </w:r>
      <w:r w:rsidR="00F25FC6" w:rsidRPr="002749BC">
        <w:rPr>
          <w:lang w:eastAsia="en-US"/>
        </w:rPr>
        <w:t xml:space="preserve"> by observing how valuations tend to increase in step with rising income and wealth in the population, with the implication that older estimates must be adjusted for income. This point is well illustrated in </w:t>
      </w:r>
      <w:r w:rsidRPr="002749BC">
        <w:rPr>
          <w:lang w:eastAsia="en-US"/>
        </w:rPr>
        <w:fldChar w:fldCharType="begin"/>
      </w:r>
      <w:r w:rsidRPr="002749BC">
        <w:rPr>
          <w:lang w:eastAsia="en-US"/>
        </w:rPr>
        <w:instrText xml:space="preserve"> REF _Ref5907321 \h </w:instrText>
      </w:r>
      <w:r w:rsidRPr="002749BC">
        <w:rPr>
          <w:lang w:eastAsia="en-US"/>
        </w:rPr>
      </w:r>
      <w:r w:rsidRPr="002749BC">
        <w:rPr>
          <w:lang w:eastAsia="en-US"/>
        </w:rPr>
        <w:fldChar w:fldCharType="separate"/>
      </w:r>
      <w:r w:rsidR="00176422" w:rsidRPr="002749BC">
        <w:t xml:space="preserve">Figure </w:t>
      </w:r>
      <w:r w:rsidR="00176422">
        <w:rPr>
          <w:noProof/>
        </w:rPr>
        <w:t>B</w:t>
      </w:r>
      <w:r w:rsidR="00176422" w:rsidRPr="002749BC">
        <w:t>.</w:t>
      </w:r>
      <w:r w:rsidR="00176422">
        <w:rPr>
          <w:noProof/>
        </w:rPr>
        <w:t>1</w:t>
      </w:r>
      <w:r w:rsidRPr="002749BC">
        <w:rPr>
          <w:lang w:eastAsia="en-US"/>
        </w:rPr>
        <w:fldChar w:fldCharType="end"/>
      </w:r>
      <w:r w:rsidR="00F25FC6" w:rsidRPr="002749BC">
        <w:rPr>
          <w:lang w:eastAsia="en-US"/>
        </w:rPr>
        <w:t xml:space="preserve"> – extracted from a 2013 NSW study. </w:t>
      </w:r>
    </w:p>
    <w:p w14:paraId="3B1F3169" w14:textId="67B6B4BE" w:rsidR="00F25FC6" w:rsidRPr="002749BC" w:rsidRDefault="003453E2" w:rsidP="00F25FC6">
      <w:pPr>
        <w:pStyle w:val="Caption"/>
        <w:rPr>
          <w:b w:val="0"/>
          <w:bCs w:val="0"/>
        </w:rPr>
      </w:pPr>
      <w:bookmarkStart w:id="66" w:name="_Ref5907321"/>
      <w:bookmarkStart w:id="67" w:name="_Toc12387781"/>
      <w:r w:rsidRPr="002749BC">
        <w:t xml:space="preserve">Figure </w:t>
      </w:r>
      <w:r w:rsidR="002749BC" w:rsidRPr="002749BC">
        <w:rPr>
          <w:noProof/>
        </w:rPr>
        <w:fldChar w:fldCharType="begin"/>
      </w:r>
      <w:r w:rsidR="002749BC" w:rsidRPr="002749BC">
        <w:rPr>
          <w:noProof/>
        </w:rPr>
        <w:instrText xml:space="preserve"> STYLEREF 7 \s </w:instrText>
      </w:r>
      <w:r w:rsidR="002749BC" w:rsidRPr="002749BC">
        <w:rPr>
          <w:noProof/>
        </w:rPr>
        <w:fldChar w:fldCharType="separate"/>
      </w:r>
      <w:r w:rsidR="00176422">
        <w:rPr>
          <w:noProof/>
        </w:rPr>
        <w:t>B</w:t>
      </w:r>
      <w:r w:rsidR="002749BC" w:rsidRPr="002749BC">
        <w:rPr>
          <w:noProof/>
        </w:rPr>
        <w:fldChar w:fldCharType="end"/>
      </w:r>
      <w:r w:rsidRPr="002749BC">
        <w:t>.</w:t>
      </w:r>
      <w:r w:rsidR="002749BC" w:rsidRPr="002749BC">
        <w:rPr>
          <w:noProof/>
        </w:rPr>
        <w:fldChar w:fldCharType="begin"/>
      </w:r>
      <w:r w:rsidR="002749BC" w:rsidRPr="002749BC">
        <w:rPr>
          <w:noProof/>
        </w:rPr>
        <w:instrText xml:space="preserve"> SEQ Figure \* ARABIC \s 7 </w:instrText>
      </w:r>
      <w:r w:rsidR="002749BC" w:rsidRPr="002749BC">
        <w:rPr>
          <w:noProof/>
        </w:rPr>
        <w:fldChar w:fldCharType="separate"/>
      </w:r>
      <w:r w:rsidR="00176422">
        <w:rPr>
          <w:noProof/>
        </w:rPr>
        <w:t>1</w:t>
      </w:r>
      <w:r w:rsidR="002749BC" w:rsidRPr="002749BC">
        <w:rPr>
          <w:noProof/>
        </w:rPr>
        <w:fldChar w:fldCharType="end"/>
      </w:r>
      <w:bookmarkEnd w:id="66"/>
      <w:r w:rsidRPr="002749BC">
        <w:rPr>
          <w:b w:val="0"/>
        </w:rPr>
        <w:tab/>
      </w:r>
      <w:r w:rsidR="00F25FC6" w:rsidRPr="002749BC">
        <w:rPr>
          <w:b w:val="0"/>
        </w:rPr>
        <w:t>Trends in NSW/Australia &amp; NZ Value of Time</w:t>
      </w:r>
      <w:bookmarkEnd w:id="67"/>
    </w:p>
    <w:tbl>
      <w:tblPr>
        <w:tblW w:w="0" w:type="auto"/>
        <w:tblInd w:w="108" w:type="dxa"/>
        <w:tblLook w:val="0000" w:firstRow="0" w:lastRow="0" w:firstColumn="0" w:lastColumn="0" w:noHBand="0" w:noVBand="0"/>
      </w:tblPr>
      <w:tblGrid>
        <w:gridCol w:w="8612"/>
      </w:tblGrid>
      <w:tr w:rsidR="00F25FC6" w:rsidRPr="002749BC" w14:paraId="33157DF7" w14:textId="77777777" w:rsidTr="000061F2">
        <w:tc>
          <w:tcPr>
            <w:tcW w:w="12178" w:type="dxa"/>
          </w:tcPr>
          <w:p w14:paraId="36B75A71" w14:textId="77777777" w:rsidR="00F25FC6" w:rsidRPr="002749BC" w:rsidRDefault="00F25FC6" w:rsidP="000061F2">
            <w:pPr>
              <w:pStyle w:val="BodyText"/>
              <w:keepNext/>
            </w:pPr>
            <w:r w:rsidRPr="002749BC">
              <w:rPr>
                <w:noProof/>
              </w:rPr>
              <w:drawing>
                <wp:inline distT="0" distB="0" distL="0" distR="0" wp14:anchorId="3791DCF8" wp14:editId="00B90936">
                  <wp:extent cx="5069586" cy="2761380"/>
                  <wp:effectExtent l="0" t="0" r="0" b="1270"/>
                  <wp:docPr id="3" name="Picture 3" descr="Trends in NSW/Australia &amp; NZ Value of Time. It shows that the average value of public transport in-vehicle time has climbed steadily over time, as respondent's incomes have grown over 20 year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084710" cy="2769618"/>
                          </a:xfrm>
                          <a:prstGeom prst="rect">
                            <a:avLst/>
                          </a:prstGeom>
                          <a:noFill/>
                          <a:ln>
                            <a:noFill/>
                          </a:ln>
                        </pic:spPr>
                      </pic:pic>
                    </a:graphicData>
                  </a:graphic>
                </wp:inline>
              </w:drawing>
            </w:r>
          </w:p>
        </w:tc>
      </w:tr>
    </w:tbl>
    <w:p w14:paraId="5A8E2932" w14:textId="77777777" w:rsidR="00F25FC6" w:rsidRPr="002749BC" w:rsidRDefault="00F25FC6" w:rsidP="00F25FC6">
      <w:pPr>
        <w:pStyle w:val="Note"/>
      </w:pPr>
      <w:r w:rsidRPr="002749BC">
        <w:rPr>
          <w:rFonts w:ascii="Arial Bold" w:hAnsi="Arial Bold"/>
          <w:b/>
          <w:szCs w:val="14"/>
        </w:rPr>
        <w:t>Note:</w:t>
      </w:r>
      <w:r w:rsidRPr="002749BC">
        <w:t xml:space="preserve"> Average value of Public Transport Time $/hr</w:t>
      </w:r>
    </w:p>
    <w:p w14:paraId="1ACF5369" w14:textId="77777777" w:rsidR="00F25FC6" w:rsidRPr="002749BC" w:rsidRDefault="00F25FC6" w:rsidP="00F25FC6">
      <w:pPr>
        <w:pStyle w:val="Note"/>
        <w:keepNext w:val="0"/>
        <w:rPr>
          <w:rFonts w:ascii="Arial Bold" w:hAnsi="Arial Bold"/>
          <w:b/>
          <w:szCs w:val="14"/>
        </w:rPr>
      </w:pPr>
      <w:r w:rsidRPr="002749BC">
        <w:rPr>
          <w:rFonts w:ascii="Arial Bold" w:hAnsi="Arial Bold"/>
          <w:b/>
          <w:szCs w:val="14"/>
        </w:rPr>
        <w:t>Data source: Douglas and Wallis (2013)</w:t>
      </w:r>
      <w:r w:rsidRPr="005D11B8">
        <w:rPr>
          <w:rStyle w:val="FootnoteReference"/>
        </w:rPr>
        <w:footnoteReference w:id="86"/>
      </w:r>
    </w:p>
    <w:p w14:paraId="1EBF9A5E" w14:textId="77777777" w:rsidR="00F25FC6" w:rsidRPr="002749BC" w:rsidRDefault="00F25FC6" w:rsidP="00F25FC6">
      <w:pPr>
        <w:pStyle w:val="BodyText"/>
      </w:pPr>
    </w:p>
    <w:p w14:paraId="14C24474" w14:textId="318E346D" w:rsidR="00F25FC6" w:rsidRDefault="001916E1" w:rsidP="001916E1">
      <w:pPr>
        <w:pStyle w:val="Heading7"/>
      </w:pPr>
      <w:bookmarkStart w:id="68" w:name="_Ref6211467"/>
      <w:bookmarkStart w:id="69" w:name="_Toc12387777"/>
      <w:r>
        <w:lastRenderedPageBreak/>
        <w:t>Survey Design Considerations</w:t>
      </w:r>
      <w:bookmarkEnd w:id="68"/>
      <w:bookmarkEnd w:id="69"/>
    </w:p>
    <w:p w14:paraId="07B88533" w14:textId="54817972" w:rsidR="000D22A5" w:rsidRDefault="001916E1" w:rsidP="001916E1">
      <w:pPr>
        <w:pStyle w:val="BodyText"/>
      </w:pPr>
      <w:r w:rsidRPr="002749BC">
        <w:t xml:space="preserve">There are </w:t>
      </w:r>
      <w:r w:rsidR="00A962C4">
        <w:t xml:space="preserve">several stages </w:t>
      </w:r>
      <w:r w:rsidRPr="002749BC">
        <w:t xml:space="preserve">in the design of a choice experiment and each involve important </w:t>
      </w:r>
      <w:r w:rsidR="00A962C4">
        <w:t>design choices</w:t>
      </w:r>
      <w:r w:rsidRPr="002749BC">
        <w:t xml:space="preserve">, as shown in </w:t>
      </w:r>
      <w:r w:rsidR="000E4DEE">
        <w:fldChar w:fldCharType="begin"/>
      </w:r>
      <w:r w:rsidR="000E4DEE">
        <w:instrText xml:space="preserve"> REF _Ref6210570 \h </w:instrText>
      </w:r>
      <w:r w:rsidR="000E4DEE">
        <w:fldChar w:fldCharType="separate"/>
      </w:r>
      <w:r w:rsidR="00176422" w:rsidRPr="004B4A23">
        <w:t xml:space="preserve">Table </w:t>
      </w:r>
      <w:r w:rsidR="00176422">
        <w:rPr>
          <w:noProof/>
        </w:rPr>
        <w:t>C</w:t>
      </w:r>
      <w:r w:rsidR="00176422" w:rsidRPr="004B4A23">
        <w:t>.</w:t>
      </w:r>
      <w:r w:rsidR="00176422">
        <w:rPr>
          <w:noProof/>
        </w:rPr>
        <w:t>1</w:t>
      </w:r>
      <w:r w:rsidR="000E4DEE">
        <w:fldChar w:fldCharType="end"/>
      </w:r>
      <w:r w:rsidR="002506C7">
        <w:t xml:space="preserve">, </w:t>
      </w:r>
      <w:r w:rsidR="002506C7">
        <w:fldChar w:fldCharType="begin"/>
      </w:r>
      <w:r w:rsidR="002506C7">
        <w:instrText xml:space="preserve"> REF _Ref10131578 \h </w:instrText>
      </w:r>
      <w:r w:rsidR="002506C7">
        <w:fldChar w:fldCharType="separate"/>
      </w:r>
      <w:r w:rsidR="00176422" w:rsidRPr="004B4A23">
        <w:t xml:space="preserve">Table </w:t>
      </w:r>
      <w:r w:rsidR="00176422">
        <w:rPr>
          <w:noProof/>
        </w:rPr>
        <w:t>C</w:t>
      </w:r>
      <w:r w:rsidR="00176422" w:rsidRPr="004B4A23">
        <w:t>.</w:t>
      </w:r>
      <w:r w:rsidR="00176422">
        <w:rPr>
          <w:noProof/>
        </w:rPr>
        <w:t>2</w:t>
      </w:r>
      <w:r w:rsidR="002506C7">
        <w:fldChar w:fldCharType="end"/>
      </w:r>
      <w:r w:rsidR="002506C7">
        <w:t xml:space="preserve">, </w:t>
      </w:r>
      <w:r w:rsidR="002506C7">
        <w:fldChar w:fldCharType="begin"/>
      </w:r>
      <w:r w:rsidR="002506C7">
        <w:instrText xml:space="preserve"> REF _Ref10131580 \h </w:instrText>
      </w:r>
      <w:r w:rsidR="002506C7">
        <w:fldChar w:fldCharType="separate"/>
      </w:r>
      <w:r w:rsidR="00176422" w:rsidRPr="004B4A23">
        <w:t xml:space="preserve">Table </w:t>
      </w:r>
      <w:r w:rsidR="00176422">
        <w:rPr>
          <w:noProof/>
        </w:rPr>
        <w:t>C</w:t>
      </w:r>
      <w:r w:rsidR="00176422" w:rsidRPr="004B4A23">
        <w:t>.</w:t>
      </w:r>
      <w:r w:rsidR="00176422">
        <w:rPr>
          <w:noProof/>
        </w:rPr>
        <w:t>3</w:t>
      </w:r>
      <w:r w:rsidR="002506C7">
        <w:fldChar w:fldCharType="end"/>
      </w:r>
      <w:r w:rsidR="002506C7">
        <w:t xml:space="preserve"> and </w:t>
      </w:r>
      <w:r w:rsidR="002506C7">
        <w:fldChar w:fldCharType="begin"/>
      </w:r>
      <w:r w:rsidR="002506C7">
        <w:instrText xml:space="preserve"> REF _Ref10131583 \h </w:instrText>
      </w:r>
      <w:r w:rsidR="002506C7">
        <w:fldChar w:fldCharType="separate"/>
      </w:r>
      <w:r w:rsidR="00176422" w:rsidRPr="004B4A23">
        <w:t xml:space="preserve">Table </w:t>
      </w:r>
      <w:r w:rsidR="00176422">
        <w:rPr>
          <w:noProof/>
        </w:rPr>
        <w:t>C</w:t>
      </w:r>
      <w:r w:rsidR="00176422" w:rsidRPr="004B4A23">
        <w:t>.</w:t>
      </w:r>
      <w:r w:rsidR="00176422">
        <w:rPr>
          <w:noProof/>
        </w:rPr>
        <w:t>4</w:t>
      </w:r>
      <w:r w:rsidR="002506C7">
        <w:fldChar w:fldCharType="end"/>
      </w:r>
      <w:r w:rsidRPr="002749BC">
        <w:t xml:space="preserve">. </w:t>
      </w:r>
      <w:r>
        <w:t xml:space="preserve">In most instances, these design considerations will be for a market research service provider to </w:t>
      </w:r>
      <w:r w:rsidR="000E4DEE">
        <w:t xml:space="preserve">apply.  </w:t>
      </w:r>
    </w:p>
    <w:p w14:paraId="22293372" w14:textId="4166718F" w:rsidR="001916E1" w:rsidRPr="002749BC" w:rsidRDefault="000E4DEE" w:rsidP="001916E1">
      <w:pPr>
        <w:pStyle w:val="Caption"/>
        <w:rPr>
          <w:b w:val="0"/>
        </w:rPr>
      </w:pPr>
      <w:bookmarkStart w:id="70" w:name="_Ref6210570"/>
      <w:bookmarkStart w:id="71" w:name="_Toc12387792"/>
      <w:r w:rsidRPr="004B4A23">
        <w:t xml:space="preserve">Table </w:t>
      </w:r>
      <w:r w:rsidR="005268A0">
        <w:rPr>
          <w:noProof/>
        </w:rPr>
        <w:fldChar w:fldCharType="begin"/>
      </w:r>
      <w:r w:rsidR="005268A0">
        <w:rPr>
          <w:noProof/>
        </w:rPr>
        <w:instrText xml:space="preserve"> STYLEREF 7 \s </w:instrText>
      </w:r>
      <w:r w:rsidR="005268A0">
        <w:rPr>
          <w:noProof/>
        </w:rPr>
        <w:fldChar w:fldCharType="separate"/>
      </w:r>
      <w:r w:rsidR="00176422">
        <w:rPr>
          <w:noProof/>
        </w:rPr>
        <w:t>C</w:t>
      </w:r>
      <w:r w:rsidR="005268A0">
        <w:rPr>
          <w:noProof/>
        </w:rPr>
        <w:fldChar w:fldCharType="end"/>
      </w:r>
      <w:r w:rsidRPr="004B4A23">
        <w:t>.</w:t>
      </w:r>
      <w:r w:rsidR="005268A0">
        <w:rPr>
          <w:noProof/>
        </w:rPr>
        <w:fldChar w:fldCharType="begin"/>
      </w:r>
      <w:r w:rsidR="005268A0">
        <w:rPr>
          <w:noProof/>
        </w:rPr>
        <w:instrText xml:space="preserve"> SEQ Table \* ARABIC \s 7 </w:instrText>
      </w:r>
      <w:r w:rsidR="005268A0">
        <w:rPr>
          <w:noProof/>
        </w:rPr>
        <w:fldChar w:fldCharType="separate"/>
      </w:r>
      <w:r w:rsidR="00176422">
        <w:rPr>
          <w:noProof/>
        </w:rPr>
        <w:t>1</w:t>
      </w:r>
      <w:r w:rsidR="005268A0">
        <w:rPr>
          <w:noProof/>
        </w:rPr>
        <w:fldChar w:fldCharType="end"/>
      </w:r>
      <w:bookmarkEnd w:id="70"/>
      <w:r>
        <w:tab/>
      </w:r>
      <w:r w:rsidR="00AC0224">
        <w:t xml:space="preserve">Dos and Don’ts of </w:t>
      </w:r>
      <w:r w:rsidR="000D22A5">
        <w:t>specifying</w:t>
      </w:r>
      <w:r w:rsidR="000D22A5" w:rsidRPr="002749BC">
        <w:t xml:space="preserve"> attributes, attribute levels and customisation</w:t>
      </w:r>
      <w:bookmarkEnd w:id="71"/>
    </w:p>
    <w:tbl>
      <w:tblPr>
        <w:tblW w:w="5000" w:type="pct"/>
        <w:tblCellMar>
          <w:left w:w="56" w:type="dxa"/>
          <w:right w:w="56" w:type="dxa"/>
        </w:tblCellMar>
        <w:tblLook w:val="0200" w:firstRow="0" w:lastRow="0" w:firstColumn="0" w:lastColumn="0" w:noHBand="1" w:noVBand="0"/>
        <w:tblCaption w:val="Dos and Don’ts of specifying attributes, attribute levels and customisation"/>
        <w:tblDescription w:val="Key considerations in using choice experiment for non-market valuation. These dos and don'ts specifically relate to specifying attributes, attribute levels and customisation"/>
      </w:tblPr>
      <w:tblGrid>
        <w:gridCol w:w="8616"/>
      </w:tblGrid>
      <w:tr w:rsidR="00664623" w:rsidRPr="002749BC" w14:paraId="6D9BBE14" w14:textId="77777777" w:rsidTr="00664623">
        <w:tc>
          <w:tcPr>
            <w:tcW w:w="5000" w:type="pct"/>
            <w:tcBorders>
              <w:top w:val="single" w:sz="4" w:space="0" w:color="000000"/>
              <w:bottom w:val="single" w:sz="4" w:space="0" w:color="000000"/>
            </w:tcBorders>
            <w:shd w:val="clear" w:color="auto" w:fill="auto"/>
          </w:tcPr>
          <w:p w14:paraId="04D521C9" w14:textId="3C038D9B" w:rsidR="00664623" w:rsidRDefault="00664623" w:rsidP="00664623">
            <w:pPr>
              <w:pStyle w:val="Tableheading1"/>
            </w:pPr>
            <w:r>
              <w:t>DO</w:t>
            </w:r>
          </w:p>
          <w:p w14:paraId="7F732E42" w14:textId="0098E6A6" w:rsidR="00664623" w:rsidRPr="002749BC" w:rsidRDefault="00664623" w:rsidP="001916E1">
            <w:pPr>
              <w:pStyle w:val="Tablelistbullet"/>
            </w:pPr>
            <w:r w:rsidRPr="002749BC">
              <w:t xml:space="preserve">Research attributes and attribute levels used in previous studies and their importance in the choice decisions </w:t>
            </w:r>
            <w:r w:rsidRPr="002749BC">
              <w:rPr>
                <w:b/>
                <w:vertAlign w:val="superscript"/>
              </w:rPr>
              <w:t xml:space="preserve">(a) </w:t>
            </w:r>
          </w:p>
          <w:p w14:paraId="00C2A832" w14:textId="77777777" w:rsidR="00664623" w:rsidRPr="002749BC" w:rsidRDefault="00664623" w:rsidP="001916E1">
            <w:pPr>
              <w:pStyle w:val="Tablelistbullet"/>
            </w:pPr>
            <w:r w:rsidRPr="002749BC">
              <w:t xml:space="preserve">Consider the target population’s perspective and experience in selecting and defining the attributes. Published and grey literature, such as policy documents and government reports, are a useful starting point for identifying attributes. </w:t>
            </w:r>
            <w:r w:rsidRPr="002749BC">
              <w:rPr>
                <w:vertAlign w:val="superscript"/>
              </w:rPr>
              <w:t xml:space="preserve">(c) </w:t>
            </w:r>
          </w:p>
          <w:p w14:paraId="46BB3059" w14:textId="7E6EC093" w:rsidR="00664623" w:rsidRPr="002749BC" w:rsidRDefault="00664623" w:rsidP="001916E1">
            <w:pPr>
              <w:pStyle w:val="Tablelistbullet"/>
            </w:pPr>
            <w:r w:rsidRPr="002749BC">
              <w:t>Use focus group studies to provide information on credible minimum and maximum attribute levels</w:t>
            </w:r>
            <w:r w:rsidRPr="002749BC">
              <w:rPr>
                <w:b/>
                <w:vertAlign w:val="superscript"/>
              </w:rPr>
              <w:t xml:space="preserve">(a) </w:t>
            </w:r>
            <w:r w:rsidRPr="002749BC">
              <w:t xml:space="preserve">This </w:t>
            </w:r>
            <w:r w:rsidR="0007420B">
              <w:t>will</w:t>
            </w:r>
            <w:r w:rsidRPr="002749BC">
              <w:t xml:space="preserve"> also ensure the range of situations are ones that respondents might expect to experience. </w:t>
            </w:r>
          </w:p>
          <w:p w14:paraId="163AAA4A" w14:textId="77777777" w:rsidR="00664623" w:rsidRPr="002749BC" w:rsidRDefault="00664623" w:rsidP="001916E1">
            <w:pPr>
              <w:pStyle w:val="Tablelistbullet"/>
            </w:pPr>
            <w:r w:rsidRPr="002749BC">
              <w:t xml:space="preserve">Ensure that the attributes selected, and their levels, can be combined in a credible manner. </w:t>
            </w:r>
            <w:r w:rsidRPr="002749BC">
              <w:rPr>
                <w:b/>
                <w:vertAlign w:val="superscript"/>
              </w:rPr>
              <w:t>(a)</w:t>
            </w:r>
          </w:p>
          <w:p w14:paraId="63A3A3A9" w14:textId="77777777" w:rsidR="00664623" w:rsidRPr="002749BC" w:rsidRDefault="00664623" w:rsidP="001916E1">
            <w:pPr>
              <w:pStyle w:val="Tablelistbullet"/>
            </w:pPr>
            <w:r w:rsidRPr="002749BC">
              <w:t>To appropriately inform policy, ensure participants are given the impression that their answers are consequential and that they might be compelled to pay any amount they commit to in the survey, which in turn gives participants an incentive to answer carefully and honestly.</w:t>
            </w:r>
            <w:r w:rsidRPr="002749BC">
              <w:rPr>
                <w:b/>
                <w:vertAlign w:val="superscript"/>
              </w:rPr>
              <w:t xml:space="preserve"> (a)</w:t>
            </w:r>
            <w:r w:rsidRPr="002749BC">
              <w:t xml:space="preserve"> </w:t>
            </w:r>
          </w:p>
          <w:p w14:paraId="17CA6EE0" w14:textId="77777777" w:rsidR="00664623" w:rsidRPr="002749BC" w:rsidRDefault="00664623" w:rsidP="001916E1">
            <w:pPr>
              <w:pStyle w:val="Tablelistbullet"/>
            </w:pPr>
            <w:r w:rsidRPr="002749BC">
              <w:t xml:space="preserve">Ensure that the payment mechanism by which people would financially contribute (e.g. taxes or fees) is specific and credible. The choice of payment can be difficult but can be informed by focus groups. </w:t>
            </w:r>
            <w:r w:rsidRPr="002749BC">
              <w:rPr>
                <w:vertAlign w:val="superscript"/>
              </w:rPr>
              <w:t>(b)</w:t>
            </w:r>
          </w:p>
        </w:tc>
      </w:tr>
      <w:tr w:rsidR="00664623" w:rsidRPr="002749BC" w14:paraId="01A97887" w14:textId="77777777" w:rsidTr="00664623">
        <w:tc>
          <w:tcPr>
            <w:tcW w:w="5000" w:type="pct"/>
            <w:tcBorders>
              <w:top w:val="single" w:sz="4" w:space="0" w:color="000000"/>
              <w:bottom w:val="single" w:sz="4" w:space="0" w:color="auto"/>
            </w:tcBorders>
            <w:shd w:val="clear" w:color="auto" w:fill="auto"/>
          </w:tcPr>
          <w:p w14:paraId="2E8039F8" w14:textId="77777777" w:rsidR="00664623" w:rsidRDefault="00664623" w:rsidP="00664623">
            <w:pPr>
              <w:pStyle w:val="Tableheading1"/>
            </w:pPr>
            <w:r w:rsidRPr="002749BC">
              <w:t>Don’t</w:t>
            </w:r>
          </w:p>
          <w:p w14:paraId="1AB9BEED" w14:textId="77777777" w:rsidR="00664623" w:rsidRPr="002749BC" w:rsidRDefault="00664623" w:rsidP="00664623">
            <w:pPr>
              <w:pStyle w:val="Tablelistbullet"/>
            </w:pPr>
            <w:r w:rsidRPr="002749BC">
              <w:t xml:space="preserve">Limit attribute research to only one field/sector or the field/sector targeted by the survey </w:t>
            </w:r>
            <w:r w:rsidRPr="002749BC">
              <w:rPr>
                <w:vertAlign w:val="superscript"/>
              </w:rPr>
              <w:t>(a)</w:t>
            </w:r>
          </w:p>
          <w:p w14:paraId="62DE3C39" w14:textId="77777777" w:rsidR="00664623" w:rsidRPr="002749BC" w:rsidRDefault="00664623" w:rsidP="00664623">
            <w:pPr>
              <w:pStyle w:val="Tablelistbullet"/>
            </w:pPr>
            <w:r w:rsidRPr="002749BC">
              <w:t>Use attributes that respondents are not familiar with</w:t>
            </w:r>
            <w:r w:rsidRPr="002749BC">
              <w:rPr>
                <w:b/>
                <w:vertAlign w:val="superscript"/>
              </w:rPr>
              <w:t>(a)</w:t>
            </w:r>
          </w:p>
          <w:p w14:paraId="4820490A" w14:textId="02B94468" w:rsidR="00664623" w:rsidRPr="002749BC" w:rsidRDefault="00664623" w:rsidP="00664623">
            <w:pPr>
              <w:pStyle w:val="Tablelistbullet"/>
            </w:pPr>
            <w:r w:rsidRPr="002749BC">
              <w:t xml:space="preserve">Use an excessive number of choice sets and/or excessive number of attributes in each choice (which can affect quality of responses) </w:t>
            </w:r>
            <w:r w:rsidRPr="002749BC">
              <w:rPr>
                <w:b/>
                <w:vertAlign w:val="superscript"/>
              </w:rPr>
              <w:t>(a)</w:t>
            </w:r>
          </w:p>
        </w:tc>
      </w:tr>
    </w:tbl>
    <w:p w14:paraId="5B7D7B9C" w14:textId="56796AC2" w:rsidR="000D22A5" w:rsidRDefault="000D22A5" w:rsidP="000D22A5">
      <w:pPr>
        <w:pStyle w:val="Caption"/>
      </w:pPr>
      <w:bookmarkStart w:id="72" w:name="_Ref10131578"/>
      <w:bookmarkStart w:id="73" w:name="_Toc12387793"/>
      <w:r w:rsidRPr="004B4A23">
        <w:t xml:space="preserve">Table </w:t>
      </w:r>
      <w:r>
        <w:rPr>
          <w:noProof/>
        </w:rPr>
        <w:fldChar w:fldCharType="begin"/>
      </w:r>
      <w:r>
        <w:rPr>
          <w:noProof/>
        </w:rPr>
        <w:instrText xml:space="preserve"> STYLEREF 7 \s </w:instrText>
      </w:r>
      <w:r>
        <w:rPr>
          <w:noProof/>
        </w:rPr>
        <w:fldChar w:fldCharType="separate"/>
      </w:r>
      <w:r w:rsidR="00176422">
        <w:rPr>
          <w:noProof/>
        </w:rPr>
        <w:t>C</w:t>
      </w:r>
      <w:r>
        <w:rPr>
          <w:noProof/>
        </w:rPr>
        <w:fldChar w:fldCharType="end"/>
      </w:r>
      <w:r w:rsidRPr="004B4A23">
        <w:t>.</w:t>
      </w:r>
      <w:r>
        <w:rPr>
          <w:noProof/>
        </w:rPr>
        <w:fldChar w:fldCharType="begin"/>
      </w:r>
      <w:r>
        <w:rPr>
          <w:noProof/>
        </w:rPr>
        <w:instrText xml:space="preserve"> SEQ Table \* ARABIC \s 7 </w:instrText>
      </w:r>
      <w:r>
        <w:rPr>
          <w:noProof/>
        </w:rPr>
        <w:fldChar w:fldCharType="separate"/>
      </w:r>
      <w:r w:rsidR="00176422">
        <w:rPr>
          <w:noProof/>
        </w:rPr>
        <w:t>2</w:t>
      </w:r>
      <w:r>
        <w:rPr>
          <w:noProof/>
        </w:rPr>
        <w:fldChar w:fldCharType="end"/>
      </w:r>
      <w:bookmarkEnd w:id="72"/>
      <w:r>
        <w:tab/>
      </w:r>
      <w:r w:rsidR="00AC0224">
        <w:t>Dos and Don’ts of e</w:t>
      </w:r>
      <w:r w:rsidR="00AC0224" w:rsidRPr="002749BC">
        <w:t>xperiment design</w:t>
      </w:r>
      <w:bookmarkEnd w:id="73"/>
    </w:p>
    <w:tbl>
      <w:tblPr>
        <w:tblW w:w="5000" w:type="pct"/>
        <w:tblCellMar>
          <w:left w:w="56" w:type="dxa"/>
          <w:right w:w="56" w:type="dxa"/>
        </w:tblCellMar>
        <w:tblLook w:val="0200" w:firstRow="0" w:lastRow="0" w:firstColumn="0" w:lastColumn="0" w:noHBand="1" w:noVBand="0"/>
        <w:tblCaption w:val="Dos and Don’ts of experiment design"/>
        <w:tblDescription w:val="Key considerations in using choice experiment for non-market valuation. These dos and don'ts specifically relate to experiment design"/>
      </w:tblPr>
      <w:tblGrid>
        <w:gridCol w:w="8616"/>
      </w:tblGrid>
      <w:tr w:rsidR="00AC0224" w:rsidRPr="002749BC" w14:paraId="139F5835" w14:textId="77777777" w:rsidTr="00F80C48">
        <w:tc>
          <w:tcPr>
            <w:tcW w:w="5000" w:type="pct"/>
            <w:tcBorders>
              <w:top w:val="single" w:sz="4" w:space="0" w:color="000000"/>
              <w:bottom w:val="single" w:sz="4" w:space="0" w:color="000000"/>
            </w:tcBorders>
            <w:shd w:val="clear" w:color="auto" w:fill="auto"/>
          </w:tcPr>
          <w:p w14:paraId="34BC0A81" w14:textId="77777777" w:rsidR="00AC0224" w:rsidRDefault="00AC0224" w:rsidP="00F80C48">
            <w:pPr>
              <w:pStyle w:val="Tableheading1"/>
            </w:pPr>
            <w:r>
              <w:t>DO</w:t>
            </w:r>
          </w:p>
          <w:p w14:paraId="4F83B19A" w14:textId="77777777" w:rsidR="00AC0224" w:rsidRPr="002749BC" w:rsidRDefault="00AC0224" w:rsidP="00AC0224">
            <w:pPr>
              <w:pStyle w:val="Tablelistbullet"/>
            </w:pPr>
            <w:r w:rsidRPr="002749BC">
              <w:t>Ensure the levels of each attribute occur with equal frequency in the design</w:t>
            </w:r>
            <w:r w:rsidRPr="002749BC">
              <w:rPr>
                <w:b/>
                <w:vertAlign w:val="superscript"/>
              </w:rPr>
              <w:t>(a)</w:t>
            </w:r>
          </w:p>
          <w:p w14:paraId="0A41419B" w14:textId="77777777" w:rsidR="00AC0224" w:rsidRPr="002749BC" w:rsidRDefault="00AC0224" w:rsidP="00AC0224">
            <w:pPr>
              <w:pStyle w:val="Tablelistbullet"/>
            </w:pPr>
            <w:r w:rsidRPr="002749BC">
              <w:t>Ensure the design has minimal overlap (where an attribute level does not repeat itself in a choice set)</w:t>
            </w:r>
            <w:r w:rsidRPr="002749BC">
              <w:rPr>
                <w:b/>
                <w:vertAlign w:val="superscript"/>
              </w:rPr>
              <w:t xml:space="preserve"> (a)</w:t>
            </w:r>
          </w:p>
          <w:p w14:paraId="4E399F41" w14:textId="047E96ED" w:rsidR="00AC0224" w:rsidRPr="002749BC" w:rsidRDefault="00AC0224" w:rsidP="00AC0224">
            <w:pPr>
              <w:pStyle w:val="Tablelistbullet"/>
            </w:pPr>
            <w:r w:rsidRPr="002749BC">
              <w:t>Ensure there is utility balance, where the utility of each alternative within a choice set is equal</w:t>
            </w:r>
            <w:r w:rsidRPr="002749BC">
              <w:rPr>
                <w:b/>
                <w:vertAlign w:val="superscript"/>
              </w:rPr>
              <w:t>(a)</w:t>
            </w:r>
          </w:p>
        </w:tc>
      </w:tr>
      <w:tr w:rsidR="00AC0224" w:rsidRPr="002749BC" w14:paraId="012C0B35" w14:textId="77777777" w:rsidTr="00F80C48">
        <w:tc>
          <w:tcPr>
            <w:tcW w:w="5000" w:type="pct"/>
            <w:tcBorders>
              <w:top w:val="single" w:sz="4" w:space="0" w:color="000000"/>
              <w:bottom w:val="single" w:sz="4" w:space="0" w:color="auto"/>
            </w:tcBorders>
            <w:shd w:val="clear" w:color="auto" w:fill="auto"/>
          </w:tcPr>
          <w:p w14:paraId="6307A9B1" w14:textId="77777777" w:rsidR="00AC0224" w:rsidRDefault="00AC0224" w:rsidP="00F80C48">
            <w:pPr>
              <w:pStyle w:val="Tableheading1"/>
            </w:pPr>
            <w:r w:rsidRPr="002749BC">
              <w:t>Don’t</w:t>
            </w:r>
          </w:p>
          <w:p w14:paraId="46F8AE50" w14:textId="77777777" w:rsidR="00AC0224" w:rsidRPr="002749BC" w:rsidRDefault="00AC0224" w:rsidP="00AC0224">
            <w:pPr>
              <w:pStyle w:val="Tablelistbullet"/>
            </w:pPr>
            <w:r w:rsidRPr="002749BC">
              <w:t>Ignore the correlation between attributes, the choice set may not be credible to the respondent</w:t>
            </w:r>
            <w:r w:rsidRPr="002749BC">
              <w:rPr>
                <w:b/>
                <w:vertAlign w:val="superscript"/>
              </w:rPr>
              <w:t>(a)</w:t>
            </w:r>
          </w:p>
          <w:p w14:paraId="64789654" w14:textId="4D43FAB2" w:rsidR="00AC0224" w:rsidRPr="002749BC" w:rsidRDefault="00AC0224" w:rsidP="00AC0224">
            <w:pPr>
              <w:pStyle w:val="Tablelistbullet"/>
            </w:pPr>
            <w:r w:rsidRPr="002749BC">
              <w:t xml:space="preserve">Do not assume a more advanced experimental design is superior to a simpler experimental design. The advantages of a more powerful design may be outweighed by the complexity and problems, such as obtaining information about the parameter values. </w:t>
            </w:r>
            <w:r w:rsidRPr="002749BC">
              <w:rPr>
                <w:vertAlign w:val="superscript"/>
              </w:rPr>
              <w:t>(</w:t>
            </w:r>
            <w:r w:rsidRPr="002749BC">
              <w:rPr>
                <w:b/>
                <w:vertAlign w:val="superscript"/>
              </w:rPr>
              <w:t>a)</w:t>
            </w:r>
          </w:p>
        </w:tc>
      </w:tr>
    </w:tbl>
    <w:p w14:paraId="49ACCDA0" w14:textId="468E8E04" w:rsidR="000D22A5" w:rsidRDefault="000D22A5" w:rsidP="000D22A5">
      <w:pPr>
        <w:pStyle w:val="Caption"/>
      </w:pPr>
      <w:bookmarkStart w:id="74" w:name="_Ref10131580"/>
      <w:bookmarkStart w:id="75" w:name="_Toc12387794"/>
      <w:r w:rsidRPr="004B4A23">
        <w:t xml:space="preserve">Table </w:t>
      </w:r>
      <w:r>
        <w:rPr>
          <w:noProof/>
        </w:rPr>
        <w:fldChar w:fldCharType="begin"/>
      </w:r>
      <w:r>
        <w:rPr>
          <w:noProof/>
        </w:rPr>
        <w:instrText xml:space="preserve"> STYLEREF 7 \s </w:instrText>
      </w:r>
      <w:r>
        <w:rPr>
          <w:noProof/>
        </w:rPr>
        <w:fldChar w:fldCharType="separate"/>
      </w:r>
      <w:r w:rsidR="00176422">
        <w:rPr>
          <w:noProof/>
        </w:rPr>
        <w:t>C</w:t>
      </w:r>
      <w:r>
        <w:rPr>
          <w:noProof/>
        </w:rPr>
        <w:fldChar w:fldCharType="end"/>
      </w:r>
      <w:r w:rsidRPr="004B4A23">
        <w:t>.</w:t>
      </w:r>
      <w:r>
        <w:rPr>
          <w:noProof/>
        </w:rPr>
        <w:fldChar w:fldCharType="begin"/>
      </w:r>
      <w:r>
        <w:rPr>
          <w:noProof/>
        </w:rPr>
        <w:instrText xml:space="preserve"> SEQ Table \* ARABIC \s 7 </w:instrText>
      </w:r>
      <w:r>
        <w:rPr>
          <w:noProof/>
        </w:rPr>
        <w:fldChar w:fldCharType="separate"/>
      </w:r>
      <w:r w:rsidR="00176422">
        <w:rPr>
          <w:noProof/>
        </w:rPr>
        <w:t>3</w:t>
      </w:r>
      <w:r>
        <w:rPr>
          <w:noProof/>
        </w:rPr>
        <w:fldChar w:fldCharType="end"/>
      </w:r>
      <w:bookmarkEnd w:id="74"/>
      <w:r>
        <w:tab/>
      </w:r>
      <w:r w:rsidR="00AC0224">
        <w:t>Dos and Don’ts of e</w:t>
      </w:r>
      <w:r w:rsidR="00AC0224" w:rsidRPr="002749BC">
        <w:t>xperimental context, test of validity and questionnaire development</w:t>
      </w:r>
      <w:bookmarkEnd w:id="75"/>
    </w:p>
    <w:tbl>
      <w:tblPr>
        <w:tblW w:w="5000" w:type="pct"/>
        <w:tblCellMar>
          <w:left w:w="56" w:type="dxa"/>
          <w:right w:w="56" w:type="dxa"/>
        </w:tblCellMar>
        <w:tblLook w:val="0200" w:firstRow="0" w:lastRow="0" w:firstColumn="0" w:lastColumn="0" w:noHBand="1" w:noVBand="0"/>
        <w:tblCaption w:val="Dos and Don’ts of experimental context, test of validity and questionnaire development"/>
        <w:tblDescription w:val="Key considerations in using choice experiment for non-market valuation. These dos and don'ts specifically relate to experimental context, test of validity and questionnaire development"/>
      </w:tblPr>
      <w:tblGrid>
        <w:gridCol w:w="8616"/>
      </w:tblGrid>
      <w:tr w:rsidR="00AC0224" w:rsidRPr="002749BC" w14:paraId="0AC33F09" w14:textId="77777777" w:rsidTr="00F80C48">
        <w:tc>
          <w:tcPr>
            <w:tcW w:w="5000" w:type="pct"/>
            <w:tcBorders>
              <w:top w:val="single" w:sz="4" w:space="0" w:color="000000"/>
              <w:bottom w:val="single" w:sz="4" w:space="0" w:color="000000"/>
            </w:tcBorders>
            <w:shd w:val="clear" w:color="auto" w:fill="auto"/>
          </w:tcPr>
          <w:p w14:paraId="1EC8E927" w14:textId="77777777" w:rsidR="00AC0224" w:rsidRDefault="00AC0224" w:rsidP="00F80C48">
            <w:pPr>
              <w:pStyle w:val="Tableheading1"/>
            </w:pPr>
            <w:r>
              <w:t>DO</w:t>
            </w:r>
          </w:p>
          <w:p w14:paraId="6D87F204" w14:textId="4CED1D9E" w:rsidR="00AC0224" w:rsidRPr="002749BC" w:rsidRDefault="00AC0224" w:rsidP="00AC0224">
            <w:pPr>
              <w:pStyle w:val="Tablelistbullet"/>
            </w:pPr>
            <w:r>
              <w:t>Use a</w:t>
            </w:r>
            <w:r w:rsidRPr="002749BC">
              <w:t xml:space="preserve">ttributes </w:t>
            </w:r>
            <w:r>
              <w:t>that are</w:t>
            </w:r>
            <w:r w:rsidRPr="002749BC">
              <w:t xml:space="preserve"> sufficiently differentiated to ensure trade-offs</w:t>
            </w:r>
            <w:r w:rsidRPr="002749BC">
              <w:rPr>
                <w:b/>
                <w:vertAlign w:val="superscript"/>
              </w:rPr>
              <w:t>(a)</w:t>
            </w:r>
          </w:p>
          <w:p w14:paraId="135C6C95" w14:textId="77777777" w:rsidR="00AC0224" w:rsidRPr="002749BC" w:rsidRDefault="00AC0224" w:rsidP="00AC0224">
            <w:pPr>
              <w:pStyle w:val="Tablelistbullet"/>
            </w:pPr>
            <w:r w:rsidRPr="002749BC">
              <w:t>Allow for a status quo alternative</w:t>
            </w:r>
            <w:r w:rsidRPr="002749BC">
              <w:rPr>
                <w:b/>
                <w:vertAlign w:val="superscript"/>
              </w:rPr>
              <w:t>(a)</w:t>
            </w:r>
          </w:p>
          <w:p w14:paraId="5BBE3D9C" w14:textId="77777777" w:rsidR="00AC0224" w:rsidRPr="002749BC" w:rsidRDefault="00AC0224" w:rsidP="00AC0224">
            <w:pPr>
              <w:pStyle w:val="Tablelistbullet"/>
            </w:pPr>
            <w:r w:rsidRPr="002749BC">
              <w:t xml:space="preserve">Use debriefing questions to identify and eliminate result bias. Debriefing questions can be used where respondents are asked to give reason why they focused on only one or two of the attributes in the survey. </w:t>
            </w:r>
            <w:r w:rsidRPr="002749BC">
              <w:rPr>
                <w:vertAlign w:val="superscript"/>
              </w:rPr>
              <w:t>(a)</w:t>
            </w:r>
          </w:p>
          <w:p w14:paraId="1CA54135" w14:textId="2C4E6D54" w:rsidR="00AC0224" w:rsidRPr="002749BC" w:rsidRDefault="00AC0224" w:rsidP="00AC0224">
            <w:pPr>
              <w:pStyle w:val="Tablelistbullet"/>
            </w:pPr>
            <w:r w:rsidRPr="002749BC">
              <w:t xml:space="preserve">Test for stability by including choice sets for half of the participants in the start of the survey and the other half in the end of the survey. This helps avoid issues of learning and fatigue effects resulting from task complexity. </w:t>
            </w:r>
            <w:r w:rsidRPr="002749BC">
              <w:rPr>
                <w:vertAlign w:val="superscript"/>
              </w:rPr>
              <w:t>(a)</w:t>
            </w:r>
          </w:p>
        </w:tc>
      </w:tr>
      <w:tr w:rsidR="00AC0224" w:rsidRPr="002749BC" w14:paraId="11BD5508" w14:textId="77777777" w:rsidTr="00F80C48">
        <w:tc>
          <w:tcPr>
            <w:tcW w:w="5000" w:type="pct"/>
            <w:tcBorders>
              <w:top w:val="single" w:sz="4" w:space="0" w:color="000000"/>
              <w:bottom w:val="single" w:sz="4" w:space="0" w:color="auto"/>
            </w:tcBorders>
            <w:shd w:val="clear" w:color="auto" w:fill="auto"/>
          </w:tcPr>
          <w:p w14:paraId="7F55F942" w14:textId="77777777" w:rsidR="00AC0224" w:rsidRDefault="00AC0224" w:rsidP="00F80C48">
            <w:pPr>
              <w:pStyle w:val="Tableheading1"/>
            </w:pPr>
            <w:r w:rsidRPr="002749BC">
              <w:t>Don’t</w:t>
            </w:r>
          </w:p>
          <w:p w14:paraId="204853A3" w14:textId="3AFD437E" w:rsidR="00AC0224" w:rsidRPr="002749BC" w:rsidRDefault="00AC0224" w:rsidP="00F80C48">
            <w:pPr>
              <w:pStyle w:val="Tablelistbullet"/>
            </w:pPr>
            <w:r w:rsidRPr="002749BC">
              <w:t>Include more than 4 to 5 attributes in a choice set, which may lead to a severe detriment to the quality of the data collected due to the task complexity</w:t>
            </w:r>
            <w:r w:rsidRPr="002749BC">
              <w:rPr>
                <w:b/>
                <w:vertAlign w:val="superscript"/>
              </w:rPr>
              <w:t xml:space="preserve">(a) </w:t>
            </w:r>
            <w:r w:rsidRPr="002749BC">
              <w:t>Task complexity arises when the amount of effort demanded when choosing the preferred alternative in a choice set may be so high that it exce</w:t>
            </w:r>
            <w:r>
              <w:t>ed</w:t>
            </w:r>
            <w:r w:rsidRPr="002749BC">
              <w:t xml:space="preserve">s the ability of the respondents to select their preferred option. </w:t>
            </w:r>
            <w:r w:rsidRPr="002749BC">
              <w:rPr>
                <w:vertAlign w:val="superscript"/>
              </w:rPr>
              <w:t>(a)</w:t>
            </w:r>
          </w:p>
        </w:tc>
      </w:tr>
    </w:tbl>
    <w:p w14:paraId="26810C18" w14:textId="6EFB1F95" w:rsidR="000D22A5" w:rsidRDefault="000D22A5" w:rsidP="000D22A5">
      <w:pPr>
        <w:pStyle w:val="Caption"/>
      </w:pPr>
      <w:bookmarkStart w:id="76" w:name="_Ref10131583"/>
      <w:bookmarkStart w:id="77" w:name="_Toc12387795"/>
      <w:r w:rsidRPr="004B4A23">
        <w:lastRenderedPageBreak/>
        <w:t xml:space="preserve">Table </w:t>
      </w:r>
      <w:r>
        <w:rPr>
          <w:noProof/>
        </w:rPr>
        <w:fldChar w:fldCharType="begin"/>
      </w:r>
      <w:r>
        <w:rPr>
          <w:noProof/>
        </w:rPr>
        <w:instrText xml:space="preserve"> STYLEREF 7 \s </w:instrText>
      </w:r>
      <w:r>
        <w:rPr>
          <w:noProof/>
        </w:rPr>
        <w:fldChar w:fldCharType="separate"/>
      </w:r>
      <w:r w:rsidR="00176422">
        <w:rPr>
          <w:noProof/>
        </w:rPr>
        <w:t>C</w:t>
      </w:r>
      <w:r>
        <w:rPr>
          <w:noProof/>
        </w:rPr>
        <w:fldChar w:fldCharType="end"/>
      </w:r>
      <w:r w:rsidRPr="004B4A23">
        <w:t>.</w:t>
      </w:r>
      <w:r>
        <w:rPr>
          <w:noProof/>
        </w:rPr>
        <w:fldChar w:fldCharType="begin"/>
      </w:r>
      <w:r>
        <w:rPr>
          <w:noProof/>
        </w:rPr>
        <w:instrText xml:space="preserve"> SEQ Table \* ARABIC \s 7 </w:instrText>
      </w:r>
      <w:r>
        <w:rPr>
          <w:noProof/>
        </w:rPr>
        <w:fldChar w:fldCharType="separate"/>
      </w:r>
      <w:r w:rsidR="00176422">
        <w:rPr>
          <w:noProof/>
        </w:rPr>
        <w:t>4</w:t>
      </w:r>
      <w:r>
        <w:rPr>
          <w:noProof/>
        </w:rPr>
        <w:fldChar w:fldCharType="end"/>
      </w:r>
      <w:bookmarkEnd w:id="76"/>
      <w:r>
        <w:tab/>
      </w:r>
      <w:r w:rsidR="00AC0224">
        <w:t xml:space="preserve">Dos and Don’ts of </w:t>
      </w:r>
      <w:r w:rsidR="00AC0224" w:rsidRPr="002749BC">
        <w:t>sampl</w:t>
      </w:r>
      <w:r w:rsidR="00B9490D">
        <w:t>e</w:t>
      </w:r>
      <w:r w:rsidR="00AC0224">
        <w:t xml:space="preserve"> selection and </w:t>
      </w:r>
      <w:r w:rsidR="00B9490D">
        <w:t xml:space="preserve">sampling </w:t>
      </w:r>
      <w:r w:rsidR="00AC0224" w:rsidRPr="002749BC">
        <w:t>strategy</w:t>
      </w:r>
      <w:bookmarkEnd w:id="77"/>
    </w:p>
    <w:tbl>
      <w:tblPr>
        <w:tblW w:w="5000" w:type="pct"/>
        <w:tblCellMar>
          <w:left w:w="56" w:type="dxa"/>
          <w:right w:w="56" w:type="dxa"/>
        </w:tblCellMar>
        <w:tblLook w:val="0200" w:firstRow="0" w:lastRow="0" w:firstColumn="0" w:lastColumn="0" w:noHBand="1" w:noVBand="0"/>
        <w:tblCaption w:val="Dos and Don’ts of sampling selection and strategy"/>
        <w:tblDescription w:val="Key considerations in using choice experiment for non-market valuation. These dos and don'ts specifically relate to sampling selection and strategy"/>
      </w:tblPr>
      <w:tblGrid>
        <w:gridCol w:w="8616"/>
      </w:tblGrid>
      <w:tr w:rsidR="00AC0224" w:rsidRPr="002749BC" w14:paraId="34DC3D84" w14:textId="77777777" w:rsidTr="00F80C48">
        <w:tc>
          <w:tcPr>
            <w:tcW w:w="5000" w:type="pct"/>
            <w:tcBorders>
              <w:top w:val="single" w:sz="4" w:space="0" w:color="000000"/>
              <w:bottom w:val="single" w:sz="4" w:space="0" w:color="000000"/>
            </w:tcBorders>
            <w:shd w:val="clear" w:color="auto" w:fill="auto"/>
          </w:tcPr>
          <w:p w14:paraId="494C7146" w14:textId="77777777" w:rsidR="00AC0224" w:rsidRDefault="00AC0224" w:rsidP="00F80C48">
            <w:pPr>
              <w:pStyle w:val="Tableheading1"/>
            </w:pPr>
            <w:r>
              <w:t>DO</w:t>
            </w:r>
          </w:p>
          <w:p w14:paraId="74BD9C05" w14:textId="77777777" w:rsidR="00AC0224" w:rsidRPr="002749BC" w:rsidRDefault="00AC0224" w:rsidP="00AC0224">
            <w:pPr>
              <w:pStyle w:val="Tablelistbullet"/>
            </w:pPr>
            <w:r w:rsidRPr="002749BC">
              <w:t>Consider a more specific sampling method if a small but important sub-group is of particular interest (and budget availability)</w:t>
            </w:r>
            <w:r w:rsidRPr="002749BC">
              <w:rPr>
                <w:b/>
                <w:vertAlign w:val="superscript"/>
              </w:rPr>
              <w:t xml:space="preserve"> (a)</w:t>
            </w:r>
          </w:p>
          <w:p w14:paraId="14A263D2" w14:textId="29175026" w:rsidR="00AC0224" w:rsidRPr="002749BC" w:rsidRDefault="00AC0224" w:rsidP="00AC0224">
            <w:pPr>
              <w:pStyle w:val="Tablelistbullet"/>
            </w:pPr>
            <w:r w:rsidRPr="002749BC">
              <w:t xml:space="preserve">A simple random sample is generally a reasonable choice. </w:t>
            </w:r>
            <w:r w:rsidRPr="002749BC">
              <w:rPr>
                <w:vertAlign w:val="superscript"/>
              </w:rPr>
              <w:t>(a)</w:t>
            </w:r>
          </w:p>
        </w:tc>
      </w:tr>
      <w:tr w:rsidR="00AC0224" w:rsidRPr="002749BC" w14:paraId="4A9AE1D1" w14:textId="77777777" w:rsidTr="00F80C48">
        <w:tc>
          <w:tcPr>
            <w:tcW w:w="5000" w:type="pct"/>
            <w:tcBorders>
              <w:top w:val="single" w:sz="4" w:space="0" w:color="000000"/>
              <w:bottom w:val="single" w:sz="4" w:space="0" w:color="auto"/>
            </w:tcBorders>
            <w:shd w:val="clear" w:color="auto" w:fill="auto"/>
          </w:tcPr>
          <w:p w14:paraId="0030BCB6" w14:textId="77777777" w:rsidR="00AC0224" w:rsidRDefault="00AC0224" w:rsidP="00F80C48">
            <w:pPr>
              <w:pStyle w:val="Tableheading1"/>
            </w:pPr>
            <w:r w:rsidRPr="002749BC">
              <w:t>Don’t</w:t>
            </w:r>
          </w:p>
          <w:p w14:paraId="68C437BB" w14:textId="69E3B1FC" w:rsidR="00AC0224" w:rsidRPr="002749BC" w:rsidRDefault="00AC0224" w:rsidP="00F80C48">
            <w:pPr>
              <w:pStyle w:val="Tablelistbullet"/>
            </w:pPr>
            <w:r w:rsidRPr="002749BC">
              <w:t xml:space="preserve">The selection of sample strategy and sample size is largely dependent on the budget </w:t>
            </w:r>
            <w:r w:rsidRPr="002749BC">
              <w:rPr>
                <w:vertAlign w:val="superscript"/>
              </w:rPr>
              <w:t>(a)</w:t>
            </w:r>
          </w:p>
        </w:tc>
      </w:tr>
    </w:tbl>
    <w:p w14:paraId="40465708" w14:textId="14C5E7B2" w:rsidR="00F87C71" w:rsidRPr="00F87C71" w:rsidRDefault="000D22A5" w:rsidP="00F87C71">
      <w:pPr>
        <w:pStyle w:val="BodyText"/>
      </w:pPr>
      <w:r w:rsidRPr="00F87C71">
        <w:t xml:space="preserve">Note: </w:t>
      </w:r>
      <w:r w:rsidR="005C34DD" w:rsidRPr="00F87C71">
        <w:t xml:space="preserve">the points made in </w:t>
      </w:r>
      <w:r w:rsidR="005C34DD" w:rsidRPr="00F87C71">
        <w:fldChar w:fldCharType="begin"/>
      </w:r>
      <w:r w:rsidR="005C34DD" w:rsidRPr="00F87C71">
        <w:instrText xml:space="preserve"> REF _Ref6210570 \h </w:instrText>
      </w:r>
      <w:r w:rsidR="00F87C71">
        <w:instrText xml:space="preserve"> \* MERGEFORMAT </w:instrText>
      </w:r>
      <w:r w:rsidR="005C34DD" w:rsidRPr="00F87C71">
        <w:fldChar w:fldCharType="separate"/>
      </w:r>
      <w:r w:rsidR="00176422" w:rsidRPr="004B4A23">
        <w:t xml:space="preserve">Table </w:t>
      </w:r>
      <w:r w:rsidR="00176422">
        <w:t>C</w:t>
      </w:r>
      <w:r w:rsidR="00176422" w:rsidRPr="004B4A23">
        <w:t>.</w:t>
      </w:r>
      <w:r w:rsidR="00176422">
        <w:t>1</w:t>
      </w:r>
      <w:r w:rsidR="005C34DD" w:rsidRPr="00F87C71">
        <w:fldChar w:fldCharType="end"/>
      </w:r>
      <w:r w:rsidR="005C34DD" w:rsidRPr="00F87C71">
        <w:t xml:space="preserve"> to </w:t>
      </w:r>
      <w:r w:rsidR="005C34DD" w:rsidRPr="00F87C71">
        <w:fldChar w:fldCharType="begin"/>
      </w:r>
      <w:r w:rsidR="005C34DD" w:rsidRPr="00F87C71">
        <w:instrText xml:space="preserve"> REF _Ref10131583 \h </w:instrText>
      </w:r>
      <w:r w:rsidR="00F87C71">
        <w:instrText xml:space="preserve"> \* MERGEFORMAT </w:instrText>
      </w:r>
      <w:r w:rsidR="005C34DD" w:rsidRPr="00F87C71">
        <w:fldChar w:fldCharType="separate"/>
      </w:r>
      <w:r w:rsidR="00176422" w:rsidRPr="004B4A23">
        <w:t xml:space="preserve">Table </w:t>
      </w:r>
      <w:r w:rsidR="00176422">
        <w:t>C</w:t>
      </w:r>
      <w:r w:rsidR="00176422" w:rsidRPr="004B4A23">
        <w:t>.</w:t>
      </w:r>
      <w:r w:rsidR="00176422">
        <w:t>4</w:t>
      </w:r>
      <w:r w:rsidR="005C34DD" w:rsidRPr="00F87C71">
        <w:fldChar w:fldCharType="end"/>
      </w:r>
      <w:r w:rsidRPr="00F87C71">
        <w:t xml:space="preserve"> predominantly relate to choice modelling experiments, though some will also apply to contingent valuation.</w:t>
      </w:r>
      <w:r w:rsidR="005C34DD" w:rsidRPr="00F87C71">
        <w:t xml:space="preserve"> Sources are indicated by </w:t>
      </w:r>
      <w:r w:rsidR="00F87C71" w:rsidRPr="00F87C71">
        <w:t>superscripts</w:t>
      </w:r>
      <w:r w:rsidRPr="00F87C71">
        <w:t xml:space="preserve"> </w:t>
      </w:r>
      <w:r w:rsidR="00F87C71" w:rsidRPr="00F87C71">
        <w:t xml:space="preserve">as follows </w:t>
      </w:r>
    </w:p>
    <w:p w14:paraId="1B170EBD" w14:textId="77777777" w:rsidR="00F87C71" w:rsidRPr="00F87C71" w:rsidRDefault="000D22A5" w:rsidP="00F87C71">
      <w:pPr>
        <w:pStyle w:val="bullet"/>
        <w:rPr>
          <w:b/>
        </w:rPr>
      </w:pPr>
      <w:r w:rsidRPr="002749BC">
        <w:t>(a) Alpizar 2001</w:t>
      </w:r>
      <w:r w:rsidRPr="005D11B8">
        <w:rPr>
          <w:rStyle w:val="FootnoteReference"/>
        </w:rPr>
        <w:footnoteReference w:id="87"/>
      </w:r>
      <w:r w:rsidRPr="002749BC">
        <w:t xml:space="preserve"> </w:t>
      </w:r>
    </w:p>
    <w:p w14:paraId="42792764" w14:textId="77777777" w:rsidR="00F87C71" w:rsidRPr="00F87C71" w:rsidRDefault="000D22A5" w:rsidP="00F87C71">
      <w:pPr>
        <w:pStyle w:val="bullet"/>
        <w:rPr>
          <w:b/>
        </w:rPr>
      </w:pPr>
      <w:r w:rsidRPr="002749BC">
        <w:t xml:space="preserve">(b) PC 2014 </w:t>
      </w:r>
      <w:r w:rsidRPr="005D11B8">
        <w:rPr>
          <w:rStyle w:val="FootnoteReference"/>
        </w:rPr>
        <w:footnoteReference w:id="88"/>
      </w:r>
    </w:p>
    <w:p w14:paraId="0CA85E80" w14:textId="248CA3EB" w:rsidR="000D22A5" w:rsidRPr="002749BC" w:rsidRDefault="000D22A5" w:rsidP="00F87C71">
      <w:pPr>
        <w:pStyle w:val="bullet"/>
        <w:rPr>
          <w:b/>
        </w:rPr>
      </w:pPr>
      <w:r w:rsidRPr="002749BC">
        <w:t>(c) Mangham</w:t>
      </w:r>
      <w:r w:rsidRPr="005D11B8">
        <w:rPr>
          <w:rStyle w:val="FootnoteReference"/>
        </w:rPr>
        <w:footnoteReference w:id="89"/>
      </w:r>
    </w:p>
    <w:p w14:paraId="0DC511E4" w14:textId="77777777" w:rsidR="000D22A5" w:rsidRPr="001916E1" w:rsidRDefault="000D22A5" w:rsidP="001916E1">
      <w:pPr>
        <w:pStyle w:val="BodyText"/>
        <w:rPr>
          <w:lang w:eastAsia="en-US"/>
        </w:rPr>
      </w:pPr>
    </w:p>
    <w:sectPr w:rsidR="000D22A5" w:rsidRPr="001916E1" w:rsidSect="008E27B5">
      <w:headerReference w:type="default" r:id="rId30"/>
      <w:pgSz w:w="11906" w:h="16838" w:code="9"/>
      <w:pgMar w:top="2268" w:right="1701" w:bottom="1701" w:left="1701"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DD62FA" w14:textId="77777777" w:rsidR="003C7917" w:rsidRDefault="003C7917">
      <w:r>
        <w:separator/>
      </w:r>
    </w:p>
  </w:endnote>
  <w:endnote w:type="continuationSeparator" w:id="0">
    <w:p w14:paraId="198ABD50" w14:textId="77777777" w:rsidR="003C7917" w:rsidRDefault="003C7917">
      <w:r>
        <w:continuationSeparator/>
      </w:r>
    </w:p>
  </w:endnote>
  <w:endnote w:type="continuationNotice" w:id="1">
    <w:p w14:paraId="1E5CF607" w14:textId="77777777" w:rsidR="003C7917" w:rsidRDefault="003C7917">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old">
    <w:altName w:val="Arial"/>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30" w:type="dxa"/>
      <w:tblCellMar>
        <w:left w:w="0" w:type="dxa"/>
        <w:right w:w="0" w:type="dxa"/>
      </w:tblCellMar>
      <w:tblLook w:val="04A0" w:firstRow="1" w:lastRow="0" w:firstColumn="1" w:lastColumn="0" w:noHBand="0" w:noVBand="1"/>
    </w:tblPr>
    <w:tblGrid>
      <w:gridCol w:w="1730"/>
      <w:gridCol w:w="1959"/>
      <w:gridCol w:w="1996"/>
      <w:gridCol w:w="1474"/>
      <w:gridCol w:w="71"/>
    </w:tblGrid>
    <w:tr w:rsidR="00513FB6" w:rsidRPr="00DE45B3" w14:paraId="1575CA99" w14:textId="77777777" w:rsidTr="000E227B">
      <w:trPr>
        <w:gridAfter w:val="1"/>
        <w:wAfter w:w="71" w:type="dxa"/>
        <w:trHeight w:val="422"/>
      </w:trPr>
      <w:tc>
        <w:tcPr>
          <w:tcW w:w="7159" w:type="dxa"/>
          <w:gridSpan w:val="4"/>
          <w:vAlign w:val="center"/>
          <w:hideMark/>
        </w:tcPr>
        <w:p w14:paraId="27117C33" w14:textId="77777777" w:rsidR="00513FB6" w:rsidRPr="00DE45B3" w:rsidRDefault="00513FB6" w:rsidP="00EB079F">
          <w:pPr>
            <w:pStyle w:val="located"/>
            <w:rPr>
              <w:color w:val="FF7A00"/>
            </w:rPr>
          </w:pPr>
          <w:r w:rsidRPr="00DE45B3">
            <w:drawing>
              <wp:inline distT="0" distB="0" distL="0" distR="0" wp14:anchorId="2161FAB1" wp14:editId="46DB1CA3">
                <wp:extent cx="949138" cy="290052"/>
                <wp:effectExtent l="19050" t="0" r="3362" b="0"/>
                <wp:docPr id="7" name="Picture 17" descr="Synergies_col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ynergies_col_logo.jpg"/>
                        <pic:cNvPicPr>
                          <a:picLocks noChangeAspect="1" noChangeArrowheads="1"/>
                        </pic:cNvPicPr>
                      </pic:nvPicPr>
                      <pic:blipFill>
                        <a:blip r:embed="rId1"/>
                        <a:srcRect/>
                        <a:stretch>
                          <a:fillRect/>
                        </a:stretch>
                      </pic:blipFill>
                      <pic:spPr bwMode="auto">
                        <a:xfrm>
                          <a:off x="0" y="0"/>
                          <a:ext cx="954671" cy="291743"/>
                        </a:xfrm>
                        <a:prstGeom prst="rect">
                          <a:avLst/>
                        </a:prstGeom>
                        <a:noFill/>
                        <a:ln w="9525">
                          <a:noFill/>
                          <a:miter lim="800000"/>
                          <a:headEnd/>
                          <a:tailEnd/>
                        </a:ln>
                      </pic:spPr>
                    </pic:pic>
                  </a:graphicData>
                </a:graphic>
              </wp:inline>
            </w:drawing>
          </w:r>
        </w:p>
        <w:p w14:paraId="64D689EA" w14:textId="77777777" w:rsidR="00513FB6" w:rsidRPr="00DE45B3" w:rsidRDefault="00513FB6" w:rsidP="00EB079F">
          <w:pPr>
            <w:pStyle w:val="located"/>
            <w:rPr>
              <w:color w:val="FF7A00"/>
            </w:rPr>
          </w:pPr>
        </w:p>
      </w:tc>
    </w:tr>
    <w:tr w:rsidR="00513FB6" w14:paraId="3D8C6A80" w14:textId="77777777" w:rsidTr="009355DC">
      <w:trPr>
        <w:trHeight w:val="846"/>
      </w:trPr>
      <w:tc>
        <w:tcPr>
          <w:tcW w:w="1730" w:type="dxa"/>
          <w:tcBorders>
            <w:right w:val="single" w:sz="4" w:space="0" w:color="ED7D31"/>
          </w:tcBorders>
          <w:tcMar>
            <w:top w:w="0" w:type="dxa"/>
            <w:left w:w="108" w:type="dxa"/>
            <w:bottom w:w="0" w:type="dxa"/>
            <w:right w:w="108" w:type="dxa"/>
          </w:tcMar>
          <w:hideMark/>
        </w:tcPr>
        <w:p w14:paraId="62EA1B55" w14:textId="77777777" w:rsidR="00513FB6" w:rsidRPr="009355DC" w:rsidRDefault="00513FB6" w:rsidP="009355DC">
          <w:pPr>
            <w:pStyle w:val="address2"/>
            <w:rPr>
              <w:b w:val="0"/>
              <w:color w:val="1F497D"/>
            </w:rPr>
          </w:pPr>
          <w:r w:rsidRPr="009355DC">
            <w:rPr>
              <w:b w:val="0"/>
            </w:rPr>
            <w:t>Brisbane</w:t>
          </w:r>
          <w:r w:rsidRPr="009355DC">
            <w:rPr>
              <w:b w:val="0"/>
              <w:bCs/>
              <w:color w:val="FF0000"/>
            </w:rPr>
            <w:br/>
          </w:r>
          <w:r w:rsidRPr="009355DC">
            <w:rPr>
              <w:b w:val="0"/>
            </w:rPr>
            <w:t>Level 8, 10 Felix Street</w:t>
          </w:r>
          <w:r w:rsidRPr="009355DC">
            <w:rPr>
              <w:b w:val="0"/>
            </w:rPr>
            <w:br/>
            <w:t>Brisbane QLD 4000</w:t>
          </w:r>
          <w:r w:rsidRPr="009355DC">
            <w:rPr>
              <w:b w:val="0"/>
            </w:rPr>
            <w:br/>
          </w:r>
          <w:r w:rsidRPr="009355DC">
            <w:rPr>
              <w:b w:val="0"/>
              <w:bCs/>
              <w:color w:val="FF8000"/>
            </w:rPr>
            <w:t>P</w:t>
          </w:r>
          <w:r w:rsidRPr="009355DC">
            <w:rPr>
              <w:b w:val="0"/>
              <w:color w:val="FF8000"/>
            </w:rPr>
            <w:t xml:space="preserve"> </w:t>
          </w:r>
          <w:r w:rsidRPr="009355DC">
            <w:rPr>
              <w:b w:val="0"/>
              <w:color w:val="004000"/>
            </w:rPr>
            <w:t> </w:t>
          </w:r>
          <w:r w:rsidRPr="009355DC">
            <w:rPr>
              <w:b w:val="0"/>
            </w:rPr>
            <w:t>61 7 3227 9500</w:t>
          </w:r>
          <w:r w:rsidRPr="009355DC">
            <w:rPr>
              <w:b w:val="0"/>
              <w:color w:val="004000"/>
            </w:rPr>
            <w:t> </w:t>
          </w:r>
          <w:r w:rsidRPr="009355DC">
            <w:rPr>
              <w:b w:val="0"/>
              <w:color w:val="000000"/>
            </w:rPr>
            <w:br/>
          </w:r>
          <w:r w:rsidRPr="009355DC">
            <w:rPr>
              <w:b w:val="0"/>
              <w:bCs/>
              <w:color w:val="FF8000"/>
            </w:rPr>
            <w:t>F</w:t>
          </w:r>
          <w:r w:rsidRPr="009355DC">
            <w:rPr>
              <w:b w:val="0"/>
              <w:color w:val="FF8000"/>
            </w:rPr>
            <w:t xml:space="preserve"> </w:t>
          </w:r>
          <w:r w:rsidRPr="009355DC">
            <w:rPr>
              <w:b w:val="0"/>
              <w:color w:val="004000"/>
            </w:rPr>
            <w:t> </w:t>
          </w:r>
          <w:r w:rsidRPr="009355DC">
            <w:rPr>
              <w:b w:val="0"/>
            </w:rPr>
            <w:t>61 7 3221 0404</w:t>
          </w:r>
          <w:r w:rsidRPr="009355DC">
            <w:rPr>
              <w:b w:val="0"/>
              <w:color w:val="004000"/>
            </w:rPr>
            <w:t> </w:t>
          </w:r>
        </w:p>
      </w:tc>
      <w:tc>
        <w:tcPr>
          <w:tcW w:w="1959" w:type="dxa"/>
          <w:tcBorders>
            <w:left w:val="single" w:sz="4" w:space="0" w:color="ED7D31"/>
            <w:right w:val="single" w:sz="4" w:space="0" w:color="ED7D31"/>
          </w:tcBorders>
          <w:tcMar>
            <w:top w:w="0" w:type="dxa"/>
            <w:left w:w="108" w:type="dxa"/>
            <w:bottom w:w="0" w:type="dxa"/>
            <w:right w:w="108" w:type="dxa"/>
          </w:tcMar>
          <w:hideMark/>
        </w:tcPr>
        <w:p w14:paraId="4A277E38" w14:textId="77777777" w:rsidR="00513FB6" w:rsidRPr="009355DC" w:rsidRDefault="00513FB6" w:rsidP="009355DC">
          <w:pPr>
            <w:pStyle w:val="address2"/>
            <w:rPr>
              <w:b w:val="0"/>
              <w:color w:val="004000"/>
            </w:rPr>
          </w:pPr>
          <w:r w:rsidRPr="009355DC">
            <w:rPr>
              <w:b w:val="0"/>
            </w:rPr>
            <w:t xml:space="preserve">Melbourne </w:t>
          </w:r>
          <w:r w:rsidRPr="009355DC">
            <w:rPr>
              <w:b w:val="0"/>
            </w:rPr>
            <w:br/>
            <w:t>Level 9, 440 Collins Street</w:t>
          </w:r>
          <w:r w:rsidRPr="009355DC">
            <w:rPr>
              <w:b w:val="0"/>
            </w:rPr>
            <w:br/>
            <w:t>Melbourne VIC 3000</w:t>
          </w:r>
          <w:r w:rsidRPr="009355DC">
            <w:rPr>
              <w:b w:val="0"/>
            </w:rPr>
            <w:br/>
          </w:r>
          <w:r w:rsidRPr="009355DC">
            <w:rPr>
              <w:b w:val="0"/>
              <w:bCs/>
            </w:rPr>
            <w:t>P</w:t>
          </w:r>
          <w:r w:rsidRPr="009355DC">
            <w:rPr>
              <w:b w:val="0"/>
            </w:rPr>
            <w:t xml:space="preserve">  61 3 8692 7272</w:t>
          </w:r>
          <w:r w:rsidRPr="009355DC">
            <w:rPr>
              <w:b w:val="0"/>
            </w:rPr>
            <w:br/>
          </w:r>
          <w:r w:rsidRPr="009355DC">
            <w:rPr>
              <w:b w:val="0"/>
              <w:bCs/>
            </w:rPr>
            <w:t>F</w:t>
          </w:r>
          <w:r w:rsidRPr="009355DC">
            <w:rPr>
              <w:b w:val="0"/>
            </w:rPr>
            <w:t xml:space="preserve">  61 7 3221 0404 </w:t>
          </w:r>
        </w:p>
      </w:tc>
      <w:tc>
        <w:tcPr>
          <w:tcW w:w="1996" w:type="dxa"/>
          <w:tcBorders>
            <w:left w:val="single" w:sz="4" w:space="0" w:color="ED7D31"/>
            <w:right w:val="single" w:sz="4" w:space="0" w:color="ED7D31"/>
          </w:tcBorders>
          <w:hideMark/>
        </w:tcPr>
        <w:p w14:paraId="68220B39" w14:textId="77777777" w:rsidR="00513FB6" w:rsidRPr="009355DC" w:rsidRDefault="00513FB6" w:rsidP="009355DC">
          <w:pPr>
            <w:pStyle w:val="address2"/>
            <w:ind w:left="133"/>
            <w:rPr>
              <w:b w:val="0"/>
              <w:bCs/>
            </w:rPr>
          </w:pPr>
          <w:r w:rsidRPr="009355DC">
            <w:rPr>
              <w:b w:val="0"/>
            </w:rPr>
            <w:t xml:space="preserve">Perth </w:t>
          </w:r>
          <w:r w:rsidRPr="009355DC">
            <w:rPr>
              <w:b w:val="0"/>
            </w:rPr>
            <w:br/>
            <w:t>995 Hay Street</w:t>
          </w:r>
          <w:r w:rsidRPr="009355DC">
            <w:rPr>
              <w:b w:val="0"/>
            </w:rPr>
            <w:br/>
          </w:r>
          <w:r>
            <w:rPr>
              <w:b w:val="0"/>
            </w:rPr>
            <w:t>Perth</w:t>
          </w:r>
          <w:r w:rsidRPr="009355DC">
            <w:rPr>
              <w:b w:val="0"/>
            </w:rPr>
            <w:t xml:space="preserve"> WA 600</w:t>
          </w:r>
          <w:r>
            <w:rPr>
              <w:b w:val="0"/>
            </w:rPr>
            <w:t>0</w:t>
          </w:r>
          <w:r w:rsidRPr="009355DC">
            <w:rPr>
              <w:b w:val="0"/>
            </w:rPr>
            <w:br/>
          </w:r>
          <w:r w:rsidRPr="009355DC">
            <w:rPr>
              <w:b w:val="0"/>
              <w:bCs/>
            </w:rPr>
            <w:t>P</w:t>
          </w:r>
          <w:r w:rsidRPr="009355DC">
            <w:rPr>
              <w:b w:val="0"/>
            </w:rPr>
            <w:t xml:space="preserve">  61 407 348 612</w:t>
          </w:r>
          <w:r w:rsidRPr="009355DC">
            <w:rPr>
              <w:b w:val="0"/>
            </w:rPr>
            <w:br/>
          </w:r>
          <w:r w:rsidRPr="009355DC">
            <w:rPr>
              <w:b w:val="0"/>
              <w:bCs/>
            </w:rPr>
            <w:t>F</w:t>
          </w:r>
          <w:r w:rsidRPr="009355DC">
            <w:rPr>
              <w:b w:val="0"/>
            </w:rPr>
            <w:t xml:space="preserve">  61 7 3221 0404  </w:t>
          </w:r>
        </w:p>
      </w:tc>
      <w:tc>
        <w:tcPr>
          <w:tcW w:w="1545" w:type="dxa"/>
          <w:gridSpan w:val="2"/>
          <w:tcBorders>
            <w:left w:val="single" w:sz="4" w:space="0" w:color="ED7D31"/>
          </w:tcBorders>
        </w:tcPr>
        <w:p w14:paraId="7D158496" w14:textId="77777777" w:rsidR="00513FB6" w:rsidRPr="009355DC" w:rsidRDefault="00513FB6" w:rsidP="009355DC">
          <w:pPr>
            <w:pStyle w:val="address2"/>
            <w:ind w:left="122"/>
            <w:rPr>
              <w:b w:val="0"/>
              <w:bCs/>
            </w:rPr>
          </w:pPr>
          <w:r w:rsidRPr="009355DC">
            <w:rPr>
              <w:b w:val="0"/>
            </w:rPr>
            <w:t>Sydney</w:t>
          </w:r>
          <w:r w:rsidRPr="009355DC">
            <w:rPr>
              <w:b w:val="0"/>
              <w:color w:val="000000"/>
            </w:rPr>
            <w:t xml:space="preserve"> </w:t>
          </w:r>
          <w:r w:rsidRPr="009355DC">
            <w:rPr>
              <w:b w:val="0"/>
              <w:color w:val="000000"/>
            </w:rPr>
            <w:br/>
          </w:r>
          <w:r w:rsidRPr="009355DC">
            <w:rPr>
              <w:b w:val="0"/>
            </w:rPr>
            <w:t>Suite 518, 377 Kent Street</w:t>
          </w:r>
          <w:r w:rsidRPr="009355DC">
            <w:rPr>
              <w:b w:val="0"/>
            </w:rPr>
            <w:br/>
            <w:t>Sydney NSW 2000</w:t>
          </w:r>
          <w:r w:rsidRPr="009355DC">
            <w:rPr>
              <w:b w:val="0"/>
              <w:color w:val="000000"/>
            </w:rPr>
            <w:br/>
          </w:r>
          <w:r w:rsidRPr="009355DC">
            <w:rPr>
              <w:b w:val="0"/>
              <w:bCs/>
              <w:color w:val="FF8000"/>
            </w:rPr>
            <w:t>P</w:t>
          </w:r>
          <w:r w:rsidRPr="009355DC">
            <w:rPr>
              <w:b w:val="0"/>
              <w:color w:val="FF8000"/>
            </w:rPr>
            <w:t xml:space="preserve"> </w:t>
          </w:r>
          <w:r w:rsidRPr="009355DC">
            <w:rPr>
              <w:b w:val="0"/>
              <w:color w:val="004000"/>
            </w:rPr>
            <w:t> </w:t>
          </w:r>
          <w:r w:rsidRPr="009355DC">
            <w:rPr>
              <w:b w:val="0"/>
            </w:rPr>
            <w:t>61 2 8915 6235</w:t>
          </w:r>
          <w:r w:rsidRPr="009355DC">
            <w:rPr>
              <w:b w:val="0"/>
              <w:color w:val="000000"/>
            </w:rPr>
            <w:br/>
          </w:r>
          <w:r w:rsidRPr="009355DC">
            <w:rPr>
              <w:b w:val="0"/>
              <w:bCs/>
              <w:color w:val="FF8000"/>
            </w:rPr>
            <w:t>F</w:t>
          </w:r>
          <w:r w:rsidRPr="009355DC">
            <w:rPr>
              <w:b w:val="0"/>
              <w:color w:val="FF8000"/>
            </w:rPr>
            <w:t xml:space="preserve"> </w:t>
          </w:r>
          <w:r w:rsidRPr="009355DC">
            <w:rPr>
              <w:b w:val="0"/>
              <w:color w:val="004000"/>
            </w:rPr>
            <w:t> </w:t>
          </w:r>
          <w:r w:rsidRPr="009355DC">
            <w:rPr>
              <w:b w:val="0"/>
            </w:rPr>
            <w:t>61 7 3221 0404</w:t>
          </w:r>
        </w:p>
      </w:tc>
    </w:tr>
    <w:tr w:rsidR="00513FB6" w:rsidRPr="005076F2" w14:paraId="0AB1539E" w14:textId="77777777" w:rsidTr="000E227B">
      <w:trPr>
        <w:gridAfter w:val="1"/>
        <w:wAfter w:w="71" w:type="dxa"/>
        <w:trHeight w:val="113"/>
      </w:trPr>
      <w:tc>
        <w:tcPr>
          <w:tcW w:w="7159" w:type="dxa"/>
          <w:gridSpan w:val="4"/>
        </w:tcPr>
        <w:p w14:paraId="4EDE7BA7" w14:textId="77777777" w:rsidR="00513FB6" w:rsidRPr="005076F2" w:rsidRDefault="00513FB6" w:rsidP="00EB079F">
          <w:pPr>
            <w:pStyle w:val="located"/>
            <w:rPr>
              <w:b w:val="0"/>
            </w:rPr>
          </w:pPr>
        </w:p>
        <w:p w14:paraId="483A96A0" w14:textId="77777777" w:rsidR="00513FB6" w:rsidRPr="005076F2" w:rsidRDefault="00513FB6" w:rsidP="00EB079F">
          <w:pPr>
            <w:pStyle w:val="located"/>
            <w:rPr>
              <w:rFonts w:cs="Calibri"/>
              <w:b w:val="0"/>
              <w:color w:val="000000"/>
            </w:rPr>
          </w:pPr>
          <w:r w:rsidRPr="005076F2">
            <w:rPr>
              <w:b w:val="0"/>
            </w:rPr>
            <w:t xml:space="preserve">W </w:t>
          </w:r>
          <w:r w:rsidRPr="005076F2">
            <w:rPr>
              <w:b w:val="0"/>
              <w:color w:val="003300"/>
            </w:rPr>
            <w:t> </w:t>
          </w:r>
          <w:hyperlink r:id="rId2" w:history="1">
            <w:r w:rsidRPr="005076F2">
              <w:rPr>
                <w:rStyle w:val="Hyperlink"/>
                <w:rFonts w:ascii="Arial" w:hAnsi="Arial"/>
                <w:b w:val="0"/>
                <w:color w:val="003300"/>
              </w:rPr>
              <w:t>www.synergies.com.au</w:t>
            </w:r>
          </w:hyperlink>
        </w:p>
      </w:tc>
    </w:tr>
  </w:tbl>
  <w:p w14:paraId="4FE17F8E" w14:textId="77777777" w:rsidR="00513FB6" w:rsidRDefault="00513F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431056" w14:textId="77777777" w:rsidR="00513FB6" w:rsidRDefault="00513FB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B123B7" w14:textId="5968A939" w:rsidR="00513FB6" w:rsidRDefault="00513FB6">
    <w:pPr>
      <w:pStyle w:val="Footer"/>
    </w:pPr>
    <w:r>
      <w:rPr>
        <w:noProof/>
      </w:rPr>
      <w:fldChar w:fldCharType="begin"/>
    </w:r>
    <w:r>
      <w:rPr>
        <w:noProof/>
      </w:rPr>
      <w:instrText xml:space="preserve"> STYLEREF  "MAIN TITLE" </w:instrText>
    </w:r>
    <w:r>
      <w:rPr>
        <w:noProof/>
      </w:rPr>
      <w:fldChar w:fldCharType="separate"/>
    </w:r>
    <w:r w:rsidR="00176422">
      <w:rPr>
        <w:noProof/>
      </w:rPr>
      <w:t>Please hold: costing telco customer wait times</w:t>
    </w:r>
    <w:r>
      <w:rPr>
        <w:noProof/>
      </w:rPr>
      <w:fldChar w:fldCharType="end"/>
    </w:r>
    <w:r>
      <w:tab/>
    </w:r>
    <w:r>
      <w:rPr>
        <w:caps w:val="0"/>
      </w:rPr>
      <w:t>Page</w:t>
    </w:r>
    <w:r>
      <w:t xml:space="preserve"> </w:t>
    </w:r>
    <w:r>
      <w:rPr>
        <w:rStyle w:val="PageNumber"/>
      </w:rPr>
      <w:fldChar w:fldCharType="begin"/>
    </w:r>
    <w:r>
      <w:rPr>
        <w:rStyle w:val="PageNumber"/>
      </w:rPr>
      <w:instrText xml:space="preserve"> PAGE </w:instrText>
    </w:r>
    <w:r>
      <w:rPr>
        <w:rStyle w:val="PageNumber"/>
      </w:rPr>
      <w:fldChar w:fldCharType="separate"/>
    </w:r>
    <w:r w:rsidR="00176422">
      <w:rPr>
        <w:rStyle w:val="PageNumber"/>
        <w:noProof/>
      </w:rPr>
      <w:t>23</w:t>
    </w:r>
    <w:r>
      <w:rPr>
        <w:rStyle w:val="PageNumber"/>
      </w:rPr>
      <w:fldChar w:fldCharType="end"/>
    </w:r>
    <w:r>
      <w:rPr>
        <w:rStyle w:val="PageNumber"/>
      </w:rPr>
      <w:t xml:space="preserve"> </w:t>
    </w:r>
    <w:r>
      <w:rPr>
        <w:rStyle w:val="PageNumber"/>
        <w:caps w:val="0"/>
      </w:rPr>
      <w:t>of</w:t>
    </w:r>
    <w:r>
      <w:rPr>
        <w:rStyle w:val="PageNumber"/>
      </w:rPr>
      <w:t xml:space="preserve"> </w:t>
    </w:r>
    <w:r>
      <w:rPr>
        <w:rStyle w:val="PageNumber"/>
      </w:rPr>
      <w:fldChar w:fldCharType="begin"/>
    </w:r>
    <w:r>
      <w:rPr>
        <w:rStyle w:val="PageNumber"/>
      </w:rPr>
      <w:instrText xml:space="preserve"> =</w:instrText>
    </w:r>
    <w:r>
      <w:rPr>
        <w:rStyle w:val="PageNumber"/>
      </w:rPr>
      <w:fldChar w:fldCharType="begin"/>
    </w:r>
    <w:r>
      <w:rPr>
        <w:rStyle w:val="PageNumber"/>
      </w:rPr>
      <w:instrText xml:space="preserve"> numpages </w:instrText>
    </w:r>
    <w:r>
      <w:rPr>
        <w:rStyle w:val="PageNumber"/>
      </w:rPr>
      <w:fldChar w:fldCharType="separate"/>
    </w:r>
    <w:r w:rsidR="00176422">
      <w:rPr>
        <w:rStyle w:val="PageNumber"/>
        <w:noProof/>
      </w:rPr>
      <w:instrText>59</w:instrText>
    </w:r>
    <w:r>
      <w:rPr>
        <w:rStyle w:val="PageNumber"/>
      </w:rPr>
      <w:fldChar w:fldCharType="end"/>
    </w:r>
    <w:r>
      <w:rPr>
        <w:rStyle w:val="PageNumber"/>
      </w:rPr>
      <w:instrText xml:space="preserve"> </w:instrText>
    </w:r>
    <w:r>
      <w:rPr>
        <w:rStyle w:val="PageNumber"/>
      </w:rPr>
      <w:fldChar w:fldCharType="separate"/>
    </w:r>
    <w:r w:rsidR="00176422">
      <w:rPr>
        <w:rStyle w:val="PageNumber"/>
        <w:noProof/>
      </w:rPr>
      <w:t>59</w:t>
    </w:r>
    <w:r>
      <w:rPr>
        <w:rStyle w:val="PageNumber"/>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0202EF" w14:textId="77777777" w:rsidR="00513FB6" w:rsidRDefault="00513FB6">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740E68" w14:textId="067929CE" w:rsidR="00513FB6" w:rsidRDefault="00513FB6" w:rsidP="009A1CA7">
    <w:pPr>
      <w:pStyle w:val="Footer"/>
      <w:tabs>
        <w:tab w:val="clear" w:pos="8505"/>
        <w:tab w:val="right" w:pos="12191"/>
      </w:tabs>
    </w:pPr>
    <w:r>
      <w:rPr>
        <w:noProof/>
      </w:rPr>
      <w:fldChar w:fldCharType="begin"/>
    </w:r>
    <w:r>
      <w:rPr>
        <w:noProof/>
      </w:rPr>
      <w:instrText xml:space="preserve"> STYLEREF  "MAIN TITLE" </w:instrText>
    </w:r>
    <w:r>
      <w:rPr>
        <w:noProof/>
      </w:rPr>
      <w:fldChar w:fldCharType="separate"/>
    </w:r>
    <w:r w:rsidR="00176422">
      <w:rPr>
        <w:noProof/>
      </w:rPr>
      <w:t>Please hold: costing telco customer wait times</w:t>
    </w:r>
    <w:r>
      <w:rPr>
        <w:noProof/>
      </w:rPr>
      <w:fldChar w:fldCharType="end"/>
    </w:r>
    <w:r>
      <w:tab/>
    </w:r>
    <w:r>
      <w:rPr>
        <w:caps w:val="0"/>
      </w:rPr>
      <w:t>Page</w:t>
    </w:r>
    <w:r>
      <w:t xml:space="preserve"> </w:t>
    </w:r>
    <w:r>
      <w:rPr>
        <w:rStyle w:val="PageNumber"/>
      </w:rPr>
      <w:fldChar w:fldCharType="begin"/>
    </w:r>
    <w:r>
      <w:rPr>
        <w:rStyle w:val="PageNumber"/>
      </w:rPr>
      <w:instrText xml:space="preserve"> PAGE </w:instrText>
    </w:r>
    <w:r>
      <w:rPr>
        <w:rStyle w:val="PageNumber"/>
      </w:rPr>
      <w:fldChar w:fldCharType="separate"/>
    </w:r>
    <w:r w:rsidR="00176422">
      <w:rPr>
        <w:rStyle w:val="PageNumber"/>
        <w:noProof/>
      </w:rPr>
      <w:t>27</w:t>
    </w:r>
    <w:r>
      <w:rPr>
        <w:rStyle w:val="PageNumber"/>
      </w:rPr>
      <w:fldChar w:fldCharType="end"/>
    </w:r>
    <w:r>
      <w:rPr>
        <w:rStyle w:val="PageNumber"/>
      </w:rPr>
      <w:t xml:space="preserve"> </w:t>
    </w:r>
    <w:r>
      <w:rPr>
        <w:rStyle w:val="PageNumber"/>
        <w:caps w:val="0"/>
      </w:rPr>
      <w:t>of</w:t>
    </w:r>
    <w:r>
      <w:rPr>
        <w:rStyle w:val="PageNumber"/>
      </w:rPr>
      <w:t xml:space="preserve"> </w:t>
    </w:r>
    <w:r>
      <w:rPr>
        <w:rStyle w:val="PageNumber"/>
      </w:rPr>
      <w:fldChar w:fldCharType="begin"/>
    </w:r>
    <w:r>
      <w:rPr>
        <w:rStyle w:val="PageNumber"/>
      </w:rPr>
      <w:instrText xml:space="preserve"> =</w:instrText>
    </w:r>
    <w:r>
      <w:rPr>
        <w:rStyle w:val="PageNumber"/>
      </w:rPr>
      <w:fldChar w:fldCharType="begin"/>
    </w:r>
    <w:r>
      <w:rPr>
        <w:rStyle w:val="PageNumber"/>
      </w:rPr>
      <w:instrText xml:space="preserve"> numpages </w:instrText>
    </w:r>
    <w:r>
      <w:rPr>
        <w:rStyle w:val="PageNumber"/>
      </w:rPr>
      <w:fldChar w:fldCharType="separate"/>
    </w:r>
    <w:r w:rsidR="00176422">
      <w:rPr>
        <w:rStyle w:val="PageNumber"/>
        <w:noProof/>
      </w:rPr>
      <w:instrText>59</w:instrText>
    </w:r>
    <w:r>
      <w:rPr>
        <w:rStyle w:val="PageNumber"/>
      </w:rPr>
      <w:fldChar w:fldCharType="end"/>
    </w:r>
    <w:r>
      <w:rPr>
        <w:rStyle w:val="PageNumber"/>
      </w:rPr>
      <w:instrText xml:space="preserve"> </w:instrText>
    </w:r>
    <w:r>
      <w:rPr>
        <w:rStyle w:val="PageNumber"/>
      </w:rPr>
      <w:fldChar w:fldCharType="separate"/>
    </w:r>
    <w:r w:rsidR="00176422">
      <w:rPr>
        <w:rStyle w:val="PageNumber"/>
        <w:noProof/>
      </w:rPr>
      <w:t>59</w:t>
    </w:r>
    <w:r>
      <w:rPr>
        <w:rStyle w:val="PageNumber"/>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4A1040" w14:textId="499AAE8C" w:rsidR="00513FB6" w:rsidRDefault="00513FB6">
    <w:pPr>
      <w:pStyle w:val="Footer"/>
    </w:pPr>
    <w:r>
      <w:rPr>
        <w:noProof/>
      </w:rPr>
      <w:fldChar w:fldCharType="begin"/>
    </w:r>
    <w:r>
      <w:rPr>
        <w:noProof/>
      </w:rPr>
      <w:instrText xml:space="preserve"> STYLEREF  "MAIN TITLE" </w:instrText>
    </w:r>
    <w:r>
      <w:rPr>
        <w:noProof/>
      </w:rPr>
      <w:fldChar w:fldCharType="separate"/>
    </w:r>
    <w:r w:rsidR="00176422">
      <w:rPr>
        <w:noProof/>
      </w:rPr>
      <w:t>Please hold: costing telco customer wait times</w:t>
    </w:r>
    <w:r>
      <w:rPr>
        <w:noProof/>
      </w:rPr>
      <w:fldChar w:fldCharType="end"/>
    </w:r>
    <w:r>
      <w:tab/>
    </w:r>
    <w:r>
      <w:rPr>
        <w:caps w:val="0"/>
      </w:rPr>
      <w:t>Page</w:t>
    </w:r>
    <w:r>
      <w:t xml:space="preserve"> </w:t>
    </w:r>
    <w:r>
      <w:rPr>
        <w:rStyle w:val="PageNumber"/>
      </w:rPr>
      <w:fldChar w:fldCharType="begin"/>
    </w:r>
    <w:r>
      <w:rPr>
        <w:rStyle w:val="PageNumber"/>
      </w:rPr>
      <w:instrText xml:space="preserve"> PAGE </w:instrText>
    </w:r>
    <w:r>
      <w:rPr>
        <w:rStyle w:val="PageNumber"/>
      </w:rPr>
      <w:fldChar w:fldCharType="separate"/>
    </w:r>
    <w:r w:rsidR="00176422">
      <w:rPr>
        <w:rStyle w:val="PageNumber"/>
        <w:noProof/>
      </w:rPr>
      <w:t>59</w:t>
    </w:r>
    <w:r>
      <w:rPr>
        <w:rStyle w:val="PageNumber"/>
      </w:rPr>
      <w:fldChar w:fldCharType="end"/>
    </w:r>
    <w:r>
      <w:rPr>
        <w:rStyle w:val="PageNumber"/>
      </w:rPr>
      <w:t xml:space="preserve"> </w:t>
    </w:r>
    <w:r>
      <w:rPr>
        <w:rStyle w:val="PageNumber"/>
        <w:caps w:val="0"/>
      </w:rPr>
      <w:t>of</w:t>
    </w:r>
    <w:r>
      <w:rPr>
        <w:rStyle w:val="PageNumber"/>
      </w:rPr>
      <w:t xml:space="preserve"> </w:t>
    </w:r>
    <w:r>
      <w:rPr>
        <w:rStyle w:val="PageNumber"/>
      </w:rPr>
      <w:fldChar w:fldCharType="begin"/>
    </w:r>
    <w:r>
      <w:rPr>
        <w:rStyle w:val="PageNumber"/>
      </w:rPr>
      <w:instrText xml:space="preserve"> =</w:instrText>
    </w:r>
    <w:r>
      <w:rPr>
        <w:rStyle w:val="PageNumber"/>
      </w:rPr>
      <w:fldChar w:fldCharType="begin"/>
    </w:r>
    <w:r>
      <w:rPr>
        <w:rStyle w:val="PageNumber"/>
      </w:rPr>
      <w:instrText xml:space="preserve"> numpages </w:instrText>
    </w:r>
    <w:r>
      <w:rPr>
        <w:rStyle w:val="PageNumber"/>
      </w:rPr>
      <w:fldChar w:fldCharType="separate"/>
    </w:r>
    <w:r w:rsidR="00176422">
      <w:rPr>
        <w:rStyle w:val="PageNumber"/>
        <w:noProof/>
      </w:rPr>
      <w:instrText>59</w:instrText>
    </w:r>
    <w:r>
      <w:rPr>
        <w:rStyle w:val="PageNumber"/>
      </w:rPr>
      <w:fldChar w:fldCharType="end"/>
    </w:r>
    <w:r>
      <w:rPr>
        <w:rStyle w:val="PageNumber"/>
      </w:rPr>
      <w:instrText xml:space="preserve"> </w:instrText>
    </w:r>
    <w:r>
      <w:rPr>
        <w:rStyle w:val="PageNumber"/>
      </w:rPr>
      <w:fldChar w:fldCharType="separate"/>
    </w:r>
    <w:r w:rsidR="00176422">
      <w:rPr>
        <w:rStyle w:val="PageNumber"/>
        <w:noProof/>
      </w:rPr>
      <w:t>59</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C1764D" w14:textId="77777777" w:rsidR="003C7917" w:rsidRDefault="003C7917">
      <w:r>
        <w:separator/>
      </w:r>
    </w:p>
  </w:footnote>
  <w:footnote w:type="continuationSeparator" w:id="0">
    <w:p w14:paraId="5A02EE26" w14:textId="77777777" w:rsidR="003C7917" w:rsidRDefault="003C7917">
      <w:r>
        <w:continuationSeparator/>
      </w:r>
    </w:p>
  </w:footnote>
  <w:footnote w:type="continuationNotice" w:id="1">
    <w:p w14:paraId="1C94C570" w14:textId="77777777" w:rsidR="003C7917" w:rsidRDefault="003C7917">
      <w:pPr>
        <w:spacing w:before="0" w:line="240" w:lineRule="auto"/>
      </w:pPr>
    </w:p>
  </w:footnote>
  <w:footnote w:id="2">
    <w:p w14:paraId="2265074F" w14:textId="14AFFCA3" w:rsidR="00513FB6" w:rsidRDefault="00513FB6">
      <w:pPr>
        <w:pStyle w:val="FootnoteText"/>
      </w:pPr>
      <w:r w:rsidRPr="005D11B8">
        <w:rPr>
          <w:rStyle w:val="FootnoteReference"/>
        </w:rPr>
        <w:footnoteRef/>
      </w:r>
      <w:r>
        <w:t xml:space="preserve"> </w:t>
      </w:r>
      <w:r>
        <w:tab/>
        <w:t xml:space="preserve">We can speculate as why this is the case. It may reflect a lack of competitive pressure in the Australian telecommunications market or that service providers have not found customers to be responsive to products that aim to differentiate themselves on these dimensions. </w:t>
      </w:r>
    </w:p>
  </w:footnote>
  <w:footnote w:id="3">
    <w:p w14:paraId="79938899" w14:textId="198A8B5E" w:rsidR="00513FB6" w:rsidRPr="00FF2DAF" w:rsidRDefault="00513FB6" w:rsidP="00393958">
      <w:pPr>
        <w:pStyle w:val="FootnoteText"/>
        <w:spacing w:before="0" w:after="60"/>
      </w:pPr>
      <w:r w:rsidRPr="005D11B8">
        <w:rPr>
          <w:rStyle w:val="FootnoteReference"/>
        </w:rPr>
        <w:footnoteRef/>
      </w:r>
      <w:r>
        <w:t xml:space="preserve"> </w:t>
      </w:r>
      <w:r>
        <w:tab/>
      </w:r>
      <w:r>
        <w:fldChar w:fldCharType="begin"/>
      </w:r>
      <w:r>
        <w:instrText xml:space="preserve"> ADDIN ZOTERO_ITEM CSL_CITATION {"citationID":"4tkHrTPY","properties":{"formattedCitation":"Francisco Alpizar, Fredrik Carlsson, and Peter Martinsson, \\uc0\\u8220{}Using Choice Experiments for Non-Market Valuation,\\uc0\\u8221{} June 2001, 37.","plainCitation":"Francisco Alpizar, Fredrik Carlsson, and Peter Martinsson, “Using Choice Experiments for Non-Market Valuation,” June 2001, 37.","noteIndex":2},"citationItems":[{"id":258,"uris":["http://zotero.org/groups/1820930/items/P8LIZXPA"],"uri":["http://zotero.org/groups/1820930/items/P8LIZXPA"],"itemData":{"id":258,"type":"article-journal","title":"Using Choice Experiments for Non-Market Valuation","page":"37","source":"Zotero","abstract":"This paper provides the latest research developments in the method of choice experiments applied to valuation of non-market goods. Choice experiments, along with the, by now, well-known contingent valuation method, are very important tools for valuing non-market goods and the results are used in both cost-benefit analyses and litigations related to damage assessments. The paper should provide the reader with both the means to carry out a choice experiment and to conduct a detailed critical analysis of its performance in order to give informed advice about the results. A discussion of the underlying economic model of choice experiments is incorporated, as well as a presentation of econometric models consistent with economic theory. Furthermore, a detailed discussion on the development of a choice experiment is provided, which in particular focuses on the design of the experiment and tests of validity. Finally, a discussion on different ways to calculate welfare effects is presented.","language":"en","author":[{"family":"Alpizar","given":"Francisco"},{"family":"Carlsson","given":"Fredrik"},{"family":"Martinsson","given":"Peter"}],"issued":{"date-parts":[["2001",6]]}}}],"schema":"https://github.com/citation-style-language/schema/raw/master/csl-citation.json"} </w:instrText>
      </w:r>
      <w:r>
        <w:fldChar w:fldCharType="separate"/>
      </w:r>
      <w:r w:rsidRPr="00466CA1">
        <w:rPr>
          <w:szCs w:val="24"/>
        </w:rPr>
        <w:t>Francisco Alpizar, Fredrik Carlsson, and Peter Martinsson, “Using Choice Experiments for Non-Market Valuation,” June 2001, 37.</w:t>
      </w:r>
      <w:r>
        <w:fldChar w:fldCharType="end"/>
      </w:r>
    </w:p>
  </w:footnote>
  <w:footnote w:id="4">
    <w:p w14:paraId="07F269F0" w14:textId="338FBE7D" w:rsidR="00513FB6" w:rsidRPr="00B44AB8" w:rsidRDefault="00513FB6" w:rsidP="00393958">
      <w:pPr>
        <w:pStyle w:val="FootnoteText"/>
        <w:spacing w:before="0" w:after="60"/>
      </w:pPr>
      <w:r w:rsidRPr="005D11B8">
        <w:rPr>
          <w:rStyle w:val="FootnoteReference"/>
        </w:rPr>
        <w:footnoteRef/>
      </w:r>
      <w:r>
        <w:t xml:space="preserve"> </w:t>
      </w:r>
      <w:r>
        <w:tab/>
      </w:r>
      <w:r>
        <w:rPr>
          <w:lang w:val="en-US"/>
        </w:rPr>
        <w:t>Respondents could equally be asked how much compensation they would be willing to accept for a decrease in service or product quality. Noting that this is functionally the same question in economic terms, we will focus in the explanations that follow on the willingness-to-pay form of the question.</w:t>
      </w:r>
    </w:p>
  </w:footnote>
  <w:footnote w:id="5">
    <w:p w14:paraId="25B68DB3" w14:textId="45B3721F" w:rsidR="00513FB6" w:rsidRPr="00AE67BC" w:rsidRDefault="00513FB6" w:rsidP="00393958">
      <w:pPr>
        <w:pStyle w:val="FootnoteText"/>
        <w:spacing w:before="0" w:after="60"/>
      </w:pPr>
      <w:r w:rsidRPr="005D11B8">
        <w:rPr>
          <w:rStyle w:val="FootnoteReference"/>
        </w:rPr>
        <w:footnoteRef/>
      </w:r>
      <w:r>
        <w:t xml:space="preserve"> </w:t>
      </w:r>
      <w:r>
        <w:tab/>
      </w:r>
      <w:r>
        <w:fldChar w:fldCharType="begin"/>
      </w:r>
      <w:r>
        <w:instrText xml:space="preserve"> ADDIN ZOTERO_ITEM CSL_CITATION {"citationID":"pv7ZyJ3C","properties":{"formattedCitation":"Mark Morrison et al., \\uc0\\u8220{}A Comparison of Stated Preference Techniques for Estimating Environmental Values,\\uc0\\u8221{} 1997.","plainCitation":"Mark Morrison et al., “A Comparison of Stated Preference Techniques for Estimating Environmental Values,” 1997.","noteIndex":4},"citationItems":[{"id":257,"uris":["http://zotero.org/groups/1820930/items/6AQUIUU3"],"uri":["http://zotero.org/groups/1820930/items/6AQUIUU3"],"itemData":{"id":257,"type":"report","title":"A comparison of stated preference techniques for estimating environmental values","author":[{"family":"Morrison","given":"Mark"},{"family":"Blamey","given":"Russell K"},{"family":"Bennett","given":"Jeffrey W"},{"family":"Louviere","given":"Jordan"}],"issued":{"date-parts":[["1997"]]}}}],"schema":"https://github.com/citation-style-language/schema/raw/master/csl-citation.json"} </w:instrText>
      </w:r>
      <w:r>
        <w:fldChar w:fldCharType="separate"/>
      </w:r>
      <w:r w:rsidRPr="00AE67BC">
        <w:rPr>
          <w:szCs w:val="24"/>
        </w:rPr>
        <w:t>Mark Morrison et al., “A Comparison of Stated Preference Techniques for Estimating Environmental Values,” 1997.</w:t>
      </w:r>
      <w:r>
        <w:fldChar w:fldCharType="end"/>
      </w:r>
    </w:p>
  </w:footnote>
  <w:footnote w:id="6">
    <w:p w14:paraId="59178677" w14:textId="4ED33FF1" w:rsidR="00513FB6" w:rsidRPr="00AB513D" w:rsidRDefault="00513FB6" w:rsidP="00393958">
      <w:pPr>
        <w:pStyle w:val="FootnoteText"/>
        <w:spacing w:before="0" w:after="60"/>
      </w:pPr>
      <w:r w:rsidRPr="005D11B8">
        <w:rPr>
          <w:rStyle w:val="FootnoteReference"/>
        </w:rPr>
        <w:footnoteRef/>
      </w:r>
      <w:r>
        <w:t xml:space="preserve"> </w:t>
      </w:r>
      <w:r>
        <w:tab/>
      </w:r>
      <w:r>
        <w:fldChar w:fldCharType="begin"/>
      </w:r>
      <w:r>
        <w:instrText xml:space="preserve"> ADDIN ZOTERO_ITEM CSL_CITATION {"citationID":"CHWbzeYa","properties":{"formattedCitation":"Centre for International Economics, \\uc0\\u8220{}Review of Willingness to Pay Methodologies (A Report Prepared for IPART),\\uc0\\u8221{} August 2001.","plainCitation":"Centre for International Economics, “Review of Willingness to Pay Methodologies (A Report Prepared for IPART),” August 2001.","noteIndex":5},"citationItems":[{"id":213,"uris":["http://zotero.org/groups/1820930/items/MAJHH6AZ"],"uri":["http://zotero.org/groups/1820930/items/MAJHH6AZ"],"itemData":{"id":213,"type":"report","title":"Review of Willingness to Pay Methodologies (A report prepared for IPART)","author":[{"literal":"Centre for International Economics"}],"issued":{"date-parts":[["2001",8]]}}}],"schema":"https://github.com/citation-style-language/schema/raw/master/csl-citation.json"} </w:instrText>
      </w:r>
      <w:r>
        <w:fldChar w:fldCharType="separate"/>
      </w:r>
      <w:r w:rsidRPr="00D52E23">
        <w:rPr>
          <w:szCs w:val="24"/>
        </w:rPr>
        <w:t>Centre for International Economics, “Review of Willingness to Pay Methodologies (A Report Prepared for IPART),” August 2001.</w:t>
      </w:r>
      <w:r>
        <w:fldChar w:fldCharType="end"/>
      </w:r>
    </w:p>
  </w:footnote>
  <w:footnote w:id="7">
    <w:p w14:paraId="39347607" w14:textId="21C6FF22" w:rsidR="00513FB6" w:rsidRPr="00B44AB8" w:rsidRDefault="00513FB6" w:rsidP="00393958">
      <w:pPr>
        <w:pStyle w:val="FootnoteText"/>
        <w:spacing w:before="0" w:after="60"/>
      </w:pPr>
      <w:r w:rsidRPr="005D11B8">
        <w:rPr>
          <w:rStyle w:val="FootnoteReference"/>
        </w:rPr>
        <w:footnoteRef/>
      </w:r>
      <w:r>
        <w:t xml:space="preserve"> </w:t>
      </w:r>
      <w:r>
        <w:tab/>
      </w:r>
      <w:r>
        <w:fldChar w:fldCharType="begin"/>
      </w:r>
      <w:r>
        <w:instrText xml:space="preserve"> ADDIN ZOTERO_ITEM CSL_CITATION {"citationID":"gZdaf9MN","properties":{"formattedCitation":"Jordan J. Louviere et al., {\\i{}Stated Choice Methods: Analysis and Applications} (Cambridge: Cambridge University Press, 2000).","plainCitation":"Jordan J. Louviere et al., Stated Choice Methods: Analysis and Applications (Cambridge: Cambridge University Press, 2000).","noteIndex":6},"citationItems":[{"id":253,"uris":["http://zotero.org/groups/1820930/items/IDZB2RCG"],"uri":["http://zotero.org/groups/1820930/items/IDZB2RCG"],"itemData":{"id":253,"type":"book","title":"Stated choice methods: analysis and applications","publisher":"Cambridge University Press","publisher-place":"Cambridge","event-place":"Cambridge","abstract":"Understanding and predicting the behaviour of decision makers when choosing among discrete goods has been one of the most fruitful areas of applied research over the last thirty years. An understanding of individual consumer behaviour can lead to significant changes in product or service design, pricing strategy, distribution channel and communication strategy selection, as well as public welfare analysis. This graduate and practitioner guide, first published in 2000, deals with the study and prediction of consumer choice behaviour, concentrating on stated preference (SP) methods - placing decision makers in controlled experiments that yield hypothetical choices - rather than revealed preferences (RP) - actual choices in the market. It shows how SP methods can be implemented, from experimental design to econometric modelling, and suggests how to combine RP and SP data to get the best from each type. The book also presents an update of econometric approaches to choice modelling.","ISBN":"978-0-511-75383-1","language":"eng","author":[{"family":"Louviere","given":"Jordan J."},{"family":"Louviere","given":"Jordan J"},{"family":"Hensher","given":"David A."},{"family":"Swait","given":"Joffre Dan"}],"issued":{"date-parts":[["2000"]]}}}],"schema":"https://github.com/citation-style-language/schema/raw/master/csl-citation.json"} </w:instrText>
      </w:r>
      <w:r>
        <w:fldChar w:fldCharType="separate"/>
      </w:r>
      <w:r w:rsidRPr="00BF387D">
        <w:rPr>
          <w:szCs w:val="24"/>
        </w:rPr>
        <w:t xml:space="preserve">Jordan J. Louviere et al., </w:t>
      </w:r>
      <w:r w:rsidRPr="00BF387D">
        <w:rPr>
          <w:i/>
          <w:iCs/>
          <w:szCs w:val="24"/>
        </w:rPr>
        <w:t>Stated Choice Methods: Analysis and Applications</w:t>
      </w:r>
      <w:r w:rsidRPr="00BF387D">
        <w:rPr>
          <w:szCs w:val="24"/>
        </w:rPr>
        <w:t xml:space="preserve"> (Cambridge: Cambridge University Press, 2000).</w:t>
      </w:r>
      <w:r>
        <w:fldChar w:fldCharType="end"/>
      </w:r>
    </w:p>
  </w:footnote>
  <w:footnote w:id="8">
    <w:p w14:paraId="5920AA43" w14:textId="7B482B9E" w:rsidR="00513FB6" w:rsidRPr="00AE244C" w:rsidRDefault="00513FB6" w:rsidP="00393958">
      <w:pPr>
        <w:pStyle w:val="FootnoteText"/>
        <w:spacing w:before="0" w:after="60"/>
      </w:pPr>
      <w:r w:rsidRPr="005D11B8">
        <w:rPr>
          <w:rStyle w:val="FootnoteReference"/>
        </w:rPr>
        <w:footnoteRef/>
      </w:r>
      <w:r>
        <w:t xml:space="preserve"> </w:t>
      </w:r>
      <w:r>
        <w:tab/>
      </w:r>
      <w:r>
        <w:fldChar w:fldCharType="begin"/>
      </w:r>
      <w:r>
        <w:instrText xml:space="preserve"> ADDIN ZOTERO_ITEM CSL_CITATION {"citationID":"JHLs9Awu","properties":{"formattedCitation":"Centre for International Economics, \\uc0\\u8220{}Review of Willingness to Pay Methodologies (A Report Prepared for IPART).\\uc0\\u8221{}","plainCitation":"Centre for International Economics, “Review of Willingness to Pay Methodologies (A Report Prepared for IPART).”","noteIndex":7},"citationItems":[{"id":213,"uris":["http://zotero.org/groups/1820930/items/MAJHH6AZ"],"uri":["http://zotero.org/groups/1820930/items/MAJHH6AZ"],"itemData":{"id":213,"type":"report","title":"Review of Willingness to Pay Methodologies (A report prepared for IPART)","author":[{"literal":"Centre for International Economics"}],"issued":{"date-parts":[["2001",8]]}}}],"schema":"https://github.com/citation-style-language/schema/raw/master/csl-citation.json"} </w:instrText>
      </w:r>
      <w:r>
        <w:fldChar w:fldCharType="separate"/>
      </w:r>
      <w:r w:rsidRPr="00D52E23">
        <w:rPr>
          <w:szCs w:val="24"/>
        </w:rPr>
        <w:t>Centre for International Economics, “Review of Willingness to Pay Methodologies (A Report Prepared for IPART).”</w:t>
      </w:r>
      <w:r>
        <w:fldChar w:fldCharType="end"/>
      </w:r>
    </w:p>
  </w:footnote>
  <w:footnote w:id="9">
    <w:p w14:paraId="6D680C66" w14:textId="312E1DAA" w:rsidR="00513FB6" w:rsidRDefault="00513FB6">
      <w:pPr>
        <w:pStyle w:val="FootnoteText"/>
      </w:pPr>
      <w:r w:rsidRPr="005D11B8">
        <w:rPr>
          <w:rStyle w:val="FootnoteReference"/>
        </w:rPr>
        <w:footnoteRef/>
      </w:r>
      <w:r>
        <w:t xml:space="preserve"> </w:t>
      </w:r>
      <w:r>
        <w:tab/>
      </w:r>
      <w:r>
        <w:fldChar w:fldCharType="begin"/>
      </w:r>
      <w:r>
        <w:instrText xml:space="preserve"> ADDIN ZOTERO_ITEM CSL_CITATION {"citationID":"20o5XFde","properties":{"formattedCitation":"D Hensher and W Greene, \\uc0\\u8220{}The Mixed Logit Model: The State of Practice,\\uc0\\u8221{} {\\i{}Transportation} 30, no. 2 (2003): 133\\uc0\\u8211{}176.","plainCitation":"D Hensher and W Greene, “The Mixed Logit Model: The State of Practice,” Transportation 30, no. 2 (2003): 133–176.","noteIndex":8},"citationItems":[{"id":254,"uris":["http://zotero.org/groups/1820930/items/M38TFLHH"],"uri":["http://zotero.org/groups/1820930/items/M38TFLHH"],"itemData":{"id":254,"type":"article-journal","title":"The Mixed Logit model: The state of practice","container-title":"Transportation","page":"133–176","volume":"30","issue":"2","abstract":"The mixed logit model is considered to be the most promising state of the art discrete choice model currently available. Increasingly researchers and practitioners are estimating mixed logit models of various degrees of sophistication with mixtures of revealed preference and stated choice data. It is timely to review progress in model estimation since the learning curve is steep and the unwary are likely to fall into a chasm if not careful. These chasms are very deep indeed given the complexity of the mixed logit model. Although the theory is relatively clear, estimation and data issues are far from clear. Indeed there is a great deal of potential mis-inference consequent on trying to extract increased behavioural realism from data that are often not able to comply with the demands of mixed logit models. Possibly for the first time we now have an estimation method that requires extremely high quality data if the analyst wishes to take advantage of the extended behavioural capabilities of such models. This paper focuses on the new opportunities offered by mixed logit models and some issues to be aware of to avoid misuse of such advanced discrete choice methods by the practitioner.","ISSN":"0049-4488","language":"eng","author":[{"family":"Hensher","given":"D"},{"family":"Greene","given":"W"}],"issued":{"date-parts":[["2003"]]}}}],"schema":"https://github.com/citation-style-language/schema/raw/master/csl-citation.json"} </w:instrText>
      </w:r>
      <w:r>
        <w:fldChar w:fldCharType="separate"/>
      </w:r>
      <w:r w:rsidRPr="007525FE">
        <w:rPr>
          <w:szCs w:val="24"/>
        </w:rPr>
        <w:t xml:space="preserve">D Hensher and W Greene, “The Mixed Logit Model: The State of Practice,” </w:t>
      </w:r>
      <w:r w:rsidRPr="007525FE">
        <w:rPr>
          <w:i/>
          <w:iCs/>
          <w:szCs w:val="24"/>
        </w:rPr>
        <w:t>Transportation</w:t>
      </w:r>
      <w:r w:rsidRPr="007525FE">
        <w:rPr>
          <w:szCs w:val="24"/>
        </w:rPr>
        <w:t xml:space="preserve"> 30, no. 2 (2003): 133–176.</w:t>
      </w:r>
      <w:r>
        <w:fldChar w:fldCharType="end"/>
      </w:r>
    </w:p>
  </w:footnote>
  <w:footnote w:id="10">
    <w:p w14:paraId="6A128457" w14:textId="38210E3C" w:rsidR="00513FB6" w:rsidRPr="009E57CB" w:rsidRDefault="00513FB6" w:rsidP="00393958">
      <w:pPr>
        <w:pStyle w:val="FootnoteText"/>
        <w:spacing w:before="0" w:after="60"/>
      </w:pPr>
      <w:r w:rsidRPr="005D11B8">
        <w:rPr>
          <w:rStyle w:val="FootnoteReference"/>
        </w:rPr>
        <w:footnoteRef/>
      </w:r>
      <w:r>
        <w:t xml:space="preserve"> </w:t>
      </w:r>
      <w:r>
        <w:tab/>
        <w:t xml:space="preserve">Total of </w:t>
      </w:r>
      <w:r w:rsidRPr="009E57CB">
        <w:t xml:space="preserve">2,288 </w:t>
      </w:r>
      <w:r>
        <w:t xml:space="preserve">data points </w:t>
      </w:r>
      <w:r w:rsidRPr="009E57CB">
        <w:t>i.e. 143</w:t>
      </w:r>
      <w:r>
        <w:t xml:space="preserve"> responses</w:t>
      </w:r>
      <w:r w:rsidRPr="009E57CB">
        <w:t xml:space="preserve"> × 16 </w:t>
      </w:r>
      <w:r>
        <w:t>choice sets per response.</w:t>
      </w:r>
    </w:p>
  </w:footnote>
  <w:footnote w:id="11">
    <w:p w14:paraId="01E66D41" w14:textId="7664E749" w:rsidR="00513FB6" w:rsidRPr="00FE1F2C" w:rsidRDefault="00513FB6" w:rsidP="00393958">
      <w:pPr>
        <w:pStyle w:val="FootnoteText"/>
        <w:spacing w:before="0" w:after="60"/>
      </w:pPr>
      <w:r w:rsidRPr="005D11B8">
        <w:rPr>
          <w:rStyle w:val="FootnoteReference"/>
        </w:rPr>
        <w:footnoteRef/>
      </w:r>
      <w:r>
        <w:t xml:space="preserve"> </w:t>
      </w:r>
      <w:r>
        <w:tab/>
      </w:r>
      <w:r>
        <w:fldChar w:fldCharType="begin"/>
      </w:r>
      <w:r>
        <w:instrText xml:space="preserve"> ADDIN ZOTERO_ITEM CSL_CITATION {"citationID":"HckYD8d4","properties":{"formattedCitation":"J. D. Shires and G. C. de Jong, \\uc0\\u8220{}An International Meta-Analysis of Values of Travel Time Savings,\\uc0\\u8221{} {\\i{}Evaluation and Program Planning}, Evaluating the Impact of Transport Projects: Lessons for Other Disciplines, 32, no. 4 (November 1, 2009): 315\\uc0\\u8211{}25, https://doi.org/10.1016/j.evalprogplan.2009.06.010.","plainCitation":"J. D. Shires and G. C. de Jong, “An International Meta-Analysis of Values of Travel Time Savings,” Evaluation and Program Planning, Evaluating the Impact of Transport Projects: Lessons for Other Disciplines, 32, no. 4 (November 1, 2009): 315–25, https://doi.org/10.1016/j.evalprogplan.2009.06.010.","noteIndex":11},"citationItems":[{"id":271,"uris":["http://zotero.org/groups/1820930/items/J7TNYQUA"],"uri":["http://zotero.org/groups/1820930/items/J7TNYQUA"],"itemData":{"id":271,"type":"article-journal","title":"An international meta-analysis of values of travel time savings","container-title":"Evaluation and Program Planning","collection-title":"Evaluating the Impact of Transport Projects: Lessons for Other Disciplines","page":"315-325","volume":"32","issue":"4","source":"ScienceDirect","abstract":"Values of travel time savings are often used in cost–benefit analysis of transport projects and policies, and also to compute generalised travel costs. There has been considerable debate as to whether different research methods (e.g. stated versus revealed preference) will lead to different values of travel time savings, and which segmentations (e.g. by income or mode) are most important to capture the heterogeneity in these values. In addition there are many countries where no specific valuation studies have been done. In this paper new equations are estimated on the outcomes of value of travel time savings studies from various countries. In the data set, several countries appear more than once, which is taken into account by estimating random effects panel models. The meta-analysis sheds some new light on the variation of the value of travel time savings by income, country, travel purpose, mode, distance and by survey method. Furthermore, the resulting meta-models are applied to produce new values of travel time savings for business travel, commuting and for other purposes in passenger transport, for 25 European Union Member states. Similar methods could be used to statistically analyse studies carried out on other non-monetary effects, both for transport and non-transport projects, and for inclusion in cost–benefit analysis.","DOI":"10.1016/j.evalprogplan.2009.06.010","ISSN":"0149-7189","journalAbbreviation":"Evaluation and Program Planning","author":[{"family":"Shires","given":"J. D."},{"family":"Jong","given":"G. C.","non-dropping-particle":"de"}],"issued":{"date-parts":[["2009",11,1]]}}}],"schema":"https://github.com/citation-style-language/schema/raw/master/csl-citation.json"} </w:instrText>
      </w:r>
      <w:r>
        <w:fldChar w:fldCharType="separate"/>
      </w:r>
      <w:r w:rsidRPr="00FE1F2C">
        <w:rPr>
          <w:szCs w:val="24"/>
        </w:rPr>
        <w:t xml:space="preserve">J. D. Shires and G. C. de Jong, “An International Meta-Analysis of Values of Travel Time Savings,” </w:t>
      </w:r>
      <w:r w:rsidRPr="00FE1F2C">
        <w:rPr>
          <w:i/>
          <w:iCs/>
          <w:szCs w:val="24"/>
        </w:rPr>
        <w:t>Evaluation and Program Planning</w:t>
      </w:r>
      <w:r w:rsidRPr="00FE1F2C">
        <w:rPr>
          <w:szCs w:val="24"/>
        </w:rPr>
        <w:t>, Evaluating the Impact of Transport Projects: Lessons for Other Disciplines, 32, no. 4 (November 1, 2009): 315–25, https://doi.org/10.1016/j.evalprogplan.2009.06.010.</w:t>
      </w:r>
      <w:r>
        <w:fldChar w:fldCharType="end"/>
      </w:r>
    </w:p>
  </w:footnote>
  <w:footnote w:id="12">
    <w:p w14:paraId="200C9A5D" w14:textId="5F8C72F0" w:rsidR="00513FB6" w:rsidRPr="004340EB" w:rsidRDefault="00513FB6" w:rsidP="00393958">
      <w:pPr>
        <w:pStyle w:val="FootnoteText"/>
        <w:spacing w:before="0" w:after="60"/>
      </w:pPr>
      <w:r w:rsidRPr="005D11B8">
        <w:rPr>
          <w:rStyle w:val="FootnoteReference"/>
        </w:rPr>
        <w:footnoteRef/>
      </w:r>
      <w:r>
        <w:t xml:space="preserve"> </w:t>
      </w:r>
      <w:r>
        <w:tab/>
      </w:r>
      <w:r>
        <w:fldChar w:fldCharType="begin"/>
      </w:r>
      <w:r>
        <w:instrText xml:space="preserve"> ADDIN ZOTERO_ITEM CSL_CITATION {"citationID":"OK9jL9B6","properties":{"formattedCitation":"Morrison et al., \\uc0\\u8220{}A Comparison of Stated Preference Techniques for Estimating Environmental Values.\\uc0\\u8221{}","plainCitation":"Morrison et al., “A Comparison of Stated Preference Techniques for Estimating Environmental Values.”","noteIndex":12},"citationItems":[{"id":257,"uris":["http://zotero.org/groups/1820930/items/6AQUIUU3"],"uri":["http://zotero.org/groups/1820930/items/6AQUIUU3"],"itemData":{"id":257,"type":"report","title":"A comparison of stated preference techniques for estimating environmental values","author":[{"family":"Morrison","given":"Mark"},{"family":"Blamey","given":"Russell K"},{"family":"Bennett","given":"Jeffrey W"},{"family":"Louviere","given":"Jordan"}],"issued":{"date-parts":[["1997"]]}}}],"schema":"https://github.com/citation-style-language/schema/raw/master/csl-citation.json"} </w:instrText>
      </w:r>
      <w:r>
        <w:fldChar w:fldCharType="separate"/>
      </w:r>
      <w:r w:rsidRPr="004340EB">
        <w:rPr>
          <w:szCs w:val="24"/>
        </w:rPr>
        <w:t>Morrison et al., “A Comparison of Stated Preference Techniques for Estimating Environmental Values.”</w:t>
      </w:r>
      <w:r>
        <w:fldChar w:fldCharType="end"/>
      </w:r>
    </w:p>
  </w:footnote>
  <w:footnote w:id="13">
    <w:p w14:paraId="1292DA82" w14:textId="4DF59C6A" w:rsidR="00513FB6" w:rsidRDefault="00513FB6">
      <w:pPr>
        <w:pStyle w:val="FootnoteText"/>
      </w:pPr>
      <w:r w:rsidRPr="005D11B8">
        <w:rPr>
          <w:rStyle w:val="FootnoteReference"/>
        </w:rPr>
        <w:footnoteRef/>
      </w:r>
      <w:r>
        <w:t xml:space="preserve"> </w:t>
      </w:r>
      <w:r>
        <w:tab/>
      </w:r>
      <w:r w:rsidRPr="001F478C">
        <w:fldChar w:fldCharType="begin"/>
      </w:r>
      <w:r>
        <w:rPr>
          <w:highlight w:val="yellow"/>
        </w:rPr>
        <w:instrText xml:space="preserve"> ADDIN ZOTERO_ITEM CSL_CITATION {"citationID":"roJEauxB","properties":{"formattedCitation":"Centre for International Economics, \\uc0\\u8220{}Review of Willingness to Pay Methodologies (A Report Prepared for IPART).\\uc0\\u8221{}","plainCitation":"Centre for International Economics, “Review of Willingness to Pay Methodologies (A Report Prepared for IPART).”","noteIndex":13},"citationItems":[{"id":213,"uris":["http://zotero.org/groups/1820930/items/MAJHH6AZ"],"uri":["http://zotero.org/groups/1820930/items/MAJHH6AZ"],"itemData":{"id":213,"type":"report","title":"Review of Willingness to Pay Methodologies (A report prepared for IPART)","author":[{"literal":"Centre for International Economics"}],"issued":{"date-parts":[["2001",8]]}}}],"schema":"https://github.com/citation-style-language/schema/raw/master/csl-citation.json"} </w:instrText>
      </w:r>
      <w:r w:rsidRPr="001F478C">
        <w:fldChar w:fldCharType="separate"/>
      </w:r>
      <w:r w:rsidRPr="00D52E23">
        <w:rPr>
          <w:szCs w:val="24"/>
        </w:rPr>
        <w:t>Centre for International Economics, “Review of Willingness to Pay Methodologies (A Report Prepared for IPART).”</w:t>
      </w:r>
      <w:r w:rsidRPr="001F478C">
        <w:fldChar w:fldCharType="end"/>
      </w:r>
    </w:p>
  </w:footnote>
  <w:footnote w:id="14">
    <w:p w14:paraId="0B19A32B" w14:textId="5981DBCC" w:rsidR="00513FB6" w:rsidRDefault="00513FB6">
      <w:pPr>
        <w:pStyle w:val="FootnoteText"/>
      </w:pPr>
      <w:r w:rsidRPr="005D11B8">
        <w:rPr>
          <w:rStyle w:val="FootnoteReference"/>
        </w:rPr>
        <w:footnoteRef/>
      </w:r>
      <w:r>
        <w:t xml:space="preserve"> </w:t>
      </w:r>
      <w:r>
        <w:tab/>
      </w:r>
      <w:r>
        <w:fldChar w:fldCharType="begin"/>
      </w:r>
      <w:r>
        <w:instrText xml:space="preserve"> ADDIN ZOTERO_ITEM CSL_CITATION {"citationID":"Wwmc0oAA","properties":{"formattedCitation":"Jonathan Chapman et al., \\uc0\\u8220{}Willingness to Pay and Willingness to Accept Are Probably Less Correlated Than You Think\\uc0\\u8221{} (Cambridge, MA: National Bureau of Economic Research, October 2017), https://doi.org/10.3386/w23954.","plainCitation":"Jonathan Chapman et al., “Willingness to Pay and Willingness to Accept Are Probably Less Correlated Than You Think” (Cambridge, MA: National Bureau of Economic Research, October 2017), https://doi.org/10.3386/w23954.","noteIndex":14},"citationItems":[{"id":221,"uris":["http://zotero.org/groups/1820930/items/7LGFK5XK"],"uri":["http://zotero.org/groups/1820930/items/7LGFK5XK"],"itemData":{"id":221,"type":"report","title":"Willingness to Pay and Willingness to Accept are Probably Less Correlated Than You Think","publisher":"National Bureau of Economic Research","publisher-place":"Cambridge, MA","page":"w23954","source":"DOI.org (Crossref)","event-place":"Cambridge, MA","abstract":"An enormous literature documents that willingness to pay (WTP) is less than willingness to accept (WTA) a monetary amount for an object, a phenomenon called the endowment e</w:instrText>
      </w:r>
      <w:r>
        <w:rPr>
          <w:rFonts w:ascii="Times New Roman" w:hAnsi="Times New Roman"/>
        </w:rPr>
        <w:instrText>ﬀ</w:instrText>
      </w:r>
      <w:r>
        <w:instrText xml:space="preserve">ect. Using data from an incentivized survey of a representative sample of 3,000 U.S. adults, we add one (probably) surprising additional </w:instrText>
      </w:r>
      <w:r>
        <w:rPr>
          <w:rFonts w:cs="Book Antiqua"/>
        </w:rPr>
        <w:instrText>ﬁ</w:instrText>
      </w:r>
      <w:r>
        <w:instrText>nding: WTA and WTP for a lottery are, at best, slightly correlated. Across all participants, the correlation is slightly negative. We also collect data from published, incentivized, studies, all run on university students, to analyze the correlation between WTA and WTP, which those studies did not examine. We document a correlation of 0.15–0.2, which is consistent with the correlation for high-IQ participants in our own data. While poorly related to each other, WTA and WTP are closely related to di</w:instrText>
      </w:r>
      <w:r>
        <w:rPr>
          <w:rFonts w:ascii="Times New Roman" w:hAnsi="Times New Roman"/>
        </w:rPr>
        <w:instrText>ﬀ</w:instrText>
      </w:r>
      <w:r>
        <w:instrText xml:space="preserve">erent measures of risk aversion, and relatively stable across time. Models of reference dependence can explain the correlations we observe in our data, but only with speciﬁc parameterizations. However, these models are inconsistent with other aspects of our data, suggesting the need for more theories and empirical studies of the processes of buying and selling.","URL":"http://www.nber.org/papers/w23954.pdf","note":"DOI: 10.3386/w23954","number":"w23954","language":"en","author":[{"family":"Chapman","given":"Jonathan"},{"family":"Dean","given":"Mark"},{"family":"Ortoleva","given":"Pietro"},{"family":"Snowberg","given":"Erik"},{"family":"Camerer","given":"Colin"}],"issued":{"date-parts":[["2017",10]]},"accessed":{"date-parts":[["2019",4,11]]}}}],"schema":"https://github.com/citation-style-language/schema/raw/master/csl-citation.json"} </w:instrText>
      </w:r>
      <w:r>
        <w:fldChar w:fldCharType="separate"/>
      </w:r>
      <w:r w:rsidRPr="00E557D9">
        <w:rPr>
          <w:szCs w:val="24"/>
        </w:rPr>
        <w:t>Jonathan Chapman et al., “Willingness to Pay and Willingness to Accept Are Probably Less Correlated Than You Think” (Cambridge, MA: National Bureau of Economic Research, October 2017), https://doi.org/10.3386/w23954.</w:t>
      </w:r>
      <w:r>
        <w:fldChar w:fldCharType="end"/>
      </w:r>
    </w:p>
  </w:footnote>
  <w:footnote w:id="15">
    <w:p w14:paraId="00A9F9DA" w14:textId="77777777" w:rsidR="00513FB6" w:rsidRDefault="00513FB6" w:rsidP="0011696F">
      <w:pPr>
        <w:pStyle w:val="FootnoteText"/>
        <w:spacing w:before="0" w:after="60"/>
      </w:pPr>
      <w:r w:rsidRPr="005D11B8">
        <w:rPr>
          <w:rStyle w:val="FootnoteReference"/>
        </w:rPr>
        <w:footnoteRef/>
      </w:r>
      <w:r>
        <w:t xml:space="preserve"> </w:t>
      </w:r>
      <w:r>
        <w:tab/>
        <w:t xml:space="preserve">Note that this estimate has not been updated to account for income growth – only for the rate of inflation. Adjusting for inflation should capture most of the change, given that the literature values are relatively recent. </w:t>
      </w:r>
    </w:p>
  </w:footnote>
  <w:footnote w:id="16">
    <w:p w14:paraId="3CD9985B" w14:textId="26DCC027" w:rsidR="00513FB6" w:rsidRDefault="00513FB6">
      <w:pPr>
        <w:pStyle w:val="FootnoteText"/>
      </w:pPr>
      <w:r w:rsidRPr="005D11B8">
        <w:rPr>
          <w:rStyle w:val="FootnoteReference"/>
        </w:rPr>
        <w:footnoteRef/>
      </w:r>
      <w:r>
        <w:t xml:space="preserve"> </w:t>
      </w:r>
      <w:r>
        <w:tab/>
      </w:r>
      <w:r>
        <w:fldChar w:fldCharType="begin"/>
      </w:r>
      <w:r>
        <w:instrText xml:space="preserve"> ADDIN ZOTERO_ITEM CSL_CITATION {"citationID":"s6AXKHf7","properties":{"formattedCitation":"Mark Wardman et al., \\uc0\\u8220{}Valuation of Travel Time Savings for Business Travellers (A Report Prepared for the UK Department for Transport)\\uc0\\u8221{} (Institute for Transport Studies, University of Leeds, 2013).","plainCitation":"Mark Wardman et al., “Valuation of Travel Time Savings for Business Travellers (A Report Prepared for the UK Department for Transport)” (Institute for Transport Studies, University of Leeds, 2013).","noteIndex":16},"citationItems":[{"id":216,"uris":["http://zotero.org/groups/1820930/items/RV6VIN6M"],"uri":["http://zotero.org/groups/1820930/items/RV6VIN6M"],"itemData":{"id":216,"type":"report","title":"Valuation of travel time savings for business travellers (A report prepared for the UK Department for Transport)","publisher":"Institute for Transport Studies, University of Leeds","author":[{"family":"Wardman","given":"Mark"},{"family":"Batley","given":"Richard"},{"family":"Laird","given":"James"},{"family":"Mackie","given":"Peter"},{"family":"Fowkes","given":"Tony"},{"family":"Lyons","given":"Glenn"},{"family":"Bates","given":"John"},{"family":"Eliasson","given":"Jonas"}],"issued":{"date-parts":[["2013"]]}}}],"schema":"https://github.com/citation-style-language/schema/raw/master/csl-citation.json"} </w:instrText>
      </w:r>
      <w:r>
        <w:fldChar w:fldCharType="separate"/>
      </w:r>
      <w:r w:rsidRPr="00AF4790">
        <w:rPr>
          <w:szCs w:val="24"/>
        </w:rPr>
        <w:t>Mark Wardman et al., “Valuation of Travel Time Savings for Business Travellers (A Report Prepared for the UK Department for Transport)” (Institute for Transport Studies, University of Leeds, 2013).</w:t>
      </w:r>
      <w:r>
        <w:fldChar w:fldCharType="end"/>
      </w:r>
    </w:p>
  </w:footnote>
  <w:footnote w:id="17">
    <w:p w14:paraId="05BBA49D" w14:textId="6DE27542" w:rsidR="00513FB6" w:rsidRDefault="00513FB6">
      <w:pPr>
        <w:pStyle w:val="FootnoteText"/>
      </w:pPr>
      <w:r w:rsidRPr="005D11B8">
        <w:rPr>
          <w:rStyle w:val="FootnoteReference"/>
        </w:rPr>
        <w:footnoteRef/>
      </w:r>
      <w:r>
        <w:t xml:space="preserve"> </w:t>
      </w:r>
      <w:r>
        <w:fldChar w:fldCharType="begin"/>
      </w:r>
      <w:r>
        <w:instrText xml:space="preserve"> ADDIN ZOTERO_ITEM CSL_CITATION {"citationID":"KO238QIV","properties":{"formattedCitation":"P. Mackie et al., \\uc0\\u8220{}Toolkit for the Economic Evaluation of World Bank Transport Projects,\\uc0\\u8221{} {\\i{}Institute for Transport Studies, University of Leeds}, 2003.","plainCitation":"P. Mackie et al., “Toolkit for the Economic Evaluation of World Bank Transport Projects,” Institute for Transport Studies, University of Leeds, 2003.","noteIndex":17},"citationItems":[{"id":215,"uris":["http://zotero.org/groups/1820930/items/3AKWDUZ4"],"uri":["http://zotero.org/groups/1820930/items/3AKWDUZ4"],"itemData":{"id":215,"type":"article-journal","title":"Toolkit for the economic evaluation of world bank transport projects","container-title":"Institute for Transport Studies, University of Leeds","author":[{"family":"Mackie","given":"P."},{"family":"Nellthorp","given":"J."},{"family":"Laird","given":"J."},{"family":"Ahmed","given":"F."}],"issued":{"date-parts":[["2003"]]}}}],"schema":"https://github.com/citation-style-language/schema/raw/master/csl-citation.json"} </w:instrText>
      </w:r>
      <w:r>
        <w:fldChar w:fldCharType="separate"/>
      </w:r>
      <w:r w:rsidRPr="00361043">
        <w:rPr>
          <w:szCs w:val="24"/>
        </w:rPr>
        <w:t xml:space="preserve">P. Mackie et al., “Toolkit for the Economic Evaluation of World Bank Transport Projects,” </w:t>
      </w:r>
      <w:r w:rsidRPr="00361043">
        <w:rPr>
          <w:i/>
          <w:iCs/>
          <w:szCs w:val="24"/>
        </w:rPr>
        <w:t>Institute for Transport Studies, University of Leeds</w:t>
      </w:r>
      <w:r w:rsidRPr="00361043">
        <w:rPr>
          <w:szCs w:val="24"/>
        </w:rPr>
        <w:t>, 2003.</w:t>
      </w:r>
      <w:r>
        <w:fldChar w:fldCharType="end"/>
      </w:r>
    </w:p>
  </w:footnote>
  <w:footnote w:id="18">
    <w:p w14:paraId="75F88E74" w14:textId="75E4A382" w:rsidR="00513FB6" w:rsidRDefault="00513FB6">
      <w:pPr>
        <w:pStyle w:val="FootnoteText"/>
      </w:pPr>
      <w:r w:rsidRPr="005D11B8">
        <w:rPr>
          <w:rStyle w:val="FootnoteReference"/>
        </w:rPr>
        <w:footnoteRef/>
      </w:r>
      <w:r>
        <w:t xml:space="preserve"> </w:t>
      </w:r>
      <w:r>
        <w:fldChar w:fldCharType="begin"/>
      </w:r>
      <w:r>
        <w:instrText xml:space="preserve"> ADDIN ZOTERO_ITEM CSL_CITATION {"citationID":"haRzhrVG","properties":{"formattedCitation":"Wardman et al., \\uc0\\u8220{}Valuation of Travel Time Savings for Business Travellers (A Report Prepared for the UK Department for Transport).\\uc0\\u8221{}","plainCitation":"Wardman et al., “Valuation of Travel Time Savings for Business Travellers (A Report Prepared for the UK Department for Transport).”","noteIndex":18},"citationItems":[{"id":216,"uris":["http://zotero.org/groups/1820930/items/RV6VIN6M"],"uri":["http://zotero.org/groups/1820930/items/RV6VIN6M"],"itemData":{"id":216,"type":"report","title":"Valuation of travel time savings for business travellers (A report prepared for the UK Department for Transport)","publisher":"Institute for Transport Studies, University of Leeds","author":[{"family":"Wardman","given":"Mark"},{"family":"Batley","given":"Richard"},{"family":"Laird","given":"James"},{"family":"Mackie","given":"Peter"},{"family":"Fowkes","given":"Tony"},{"family":"Lyons","given":"Glenn"},{"family":"Bates","given":"John"},{"family":"Eliasson","given":"Jonas"}],"issued":{"date-parts":[["2013"]]}}}],"schema":"https://github.com/citation-style-language/schema/raw/master/csl-citation.json"} </w:instrText>
      </w:r>
      <w:r>
        <w:fldChar w:fldCharType="separate"/>
      </w:r>
      <w:r w:rsidRPr="00AA795A">
        <w:rPr>
          <w:szCs w:val="24"/>
        </w:rPr>
        <w:t>Wardman et al., “Valuation of Travel Time Savings for Business Travellers (A Report Prepared for the UK Department for Transport).”</w:t>
      </w:r>
      <w:r>
        <w:fldChar w:fldCharType="end"/>
      </w:r>
    </w:p>
  </w:footnote>
  <w:footnote w:id="19">
    <w:p w14:paraId="3AB3A791" w14:textId="76334B2F" w:rsidR="00513FB6" w:rsidRPr="00320F86" w:rsidRDefault="00513FB6">
      <w:pPr>
        <w:pStyle w:val="FootnoteText"/>
        <w:rPr>
          <w:lang w:val="en-US"/>
        </w:rPr>
      </w:pPr>
      <w:r>
        <w:rPr>
          <w:rStyle w:val="FootnoteReference"/>
        </w:rPr>
        <w:footnoteRef/>
      </w:r>
      <w:r>
        <w:t xml:space="preserve"> </w:t>
      </w:r>
      <w:r>
        <w:fldChar w:fldCharType="begin"/>
      </w:r>
      <w:r>
        <w:instrText xml:space="preserve"> ADDIN ZOTERO_ITEM CSL_CITATION {"citationID":"9rJBRwbG","properties":{"formattedCitation":"Office of Best Practice Regulation, \\uc0\\u8220{}Regulatory Burden Measurement Framework,\\uc0\\u8221{} February 2016, https://www.pmc.gov.au/sites/default/files/publications/regulatory-burden-measurement-framework.pdf.","plainCitation":"Office of Best Practice Regulation, “Regulatory Burden Measurement Framework,” February 2016, https://www.pmc.gov.au/sites/default/files/publications/regulatory-burden-measurement-framework.pdf.","noteIndex":19},"citationItems":[{"id":1457,"uris":["http://zotero.org/groups/1820930/items/I5S9K56R"],"uri":["http://zotero.org/groups/1820930/items/I5S9K56R"],"itemData":{"id":1457,"type":"report","title":"Regulatory Burden Measurement Framework","abstract":"The Australian Government Guide to Regulation discusses the importance of cutting red tape and of ensuring that all decisions being made about regulation are informed by an assessment of the impacts.\nA key principle for Australian Government policy makers in the Guide to Regulation is that: \n- The cost burden of new regulation must be fully offset by reductions in existing regulatory burden.\n- All regulatory costs, whether arising from new regulations or changes to existing regulation, must be quantified using the Regulatory Burden Measurement framework. The framework must also be used for quantifying offsetting regulatory savings, where applicable.\nThis guidance note provides advice on how to calculate regulatory costs using this framework.","URL":"https://www.pmc.gov.au/sites/default/files/publications/regulatory-burden-measurement-framework.pdf","author":[{"literal":"Office of Best Practice Regulation"}],"issued":{"date-parts":[["2016",2]]},"accessed":{"date-parts":[["2019",5,28]]}}}],"schema":"https://github.com/citation-style-language/schema/raw/master/csl-citation.json"} </w:instrText>
      </w:r>
      <w:r>
        <w:fldChar w:fldCharType="separate"/>
      </w:r>
      <w:r w:rsidRPr="00320F86">
        <w:rPr>
          <w:szCs w:val="24"/>
        </w:rPr>
        <w:t>Office of Best Practice Regulation, “Regulatory Burden Measurement Framework,” February 2016, https://www.pmc.gov.au/sites/default/files/publications/regulatory-burden-measurement-framework.pdf.</w:t>
      </w:r>
      <w:r>
        <w:fldChar w:fldCharType="end"/>
      </w:r>
    </w:p>
  </w:footnote>
  <w:footnote w:id="20">
    <w:p w14:paraId="0A3BE868" w14:textId="6A42FBF3" w:rsidR="00513FB6" w:rsidRPr="00320F86" w:rsidRDefault="00513FB6">
      <w:pPr>
        <w:pStyle w:val="FootnoteText"/>
        <w:rPr>
          <w:lang w:val="en-US"/>
        </w:rPr>
      </w:pPr>
      <w:r>
        <w:rPr>
          <w:rStyle w:val="FootnoteReference"/>
        </w:rPr>
        <w:footnoteRef/>
      </w:r>
      <w:r>
        <w:t xml:space="preserve"> </w:t>
      </w:r>
      <w:r>
        <w:fldChar w:fldCharType="begin"/>
      </w:r>
      <w:r>
        <w:instrText xml:space="preserve"> ADDIN ZOTERO_ITEM CSL_CITATION {"citationID":"Y4Ffqg59","properties":{"formattedCitation":"Australian Communications and Media Authority, \\uc0\\u8220{}Reconnecting the Customer - Estimation of Benefits,\\uc0\\u8221{} November 2015, https://acma.gov.au/-/media/Economics-Advisory/Research/PDF/Reconnecting-the-Customer_estimation-of-benefits-pdf.pdf?la=en.","plainCitation":"Australian Communications and Media Authority, “Reconnecting the Customer - Estimation of Benefits,” November 2015, https://acma.gov.au/-/media/Economics-Advisory/Research/PDF/Reconnecting-the-Customer_estimation-of-benefits-pdf.pdf?la=en.","noteIndex":20},"citationItems":[{"id":1456,"uris":["http://zotero.org/groups/1820930/items/IKRT6JBN"],"uri":["http://zotero.org/groups/1820930/items/IKRT6JBN"],"itemData":{"id":1456,"type":"report","title":"Reconnecting the Customer - Estimation of benefits","abstract":"A key finding from this benefits assessment is that Australian consumers have\nbenefited in the order of at least $545 million each year since registration of the\nrevised TCP Code in September 2012.\nThese benefits have been estimated based on the cost impacts on consumers and\nindustry operators of reduced complaints, consumers choosing plans more appropriate for their consumption behaviour, and reductions in unexpectedly high bills.\nMuch of the consumer benefit identified in this report involves economic transfers from industry to consumers. This is because mitigating the wrong contract problem1 and unexpectedly higher bills has reduced customer spend, which is lost revenue to\nindustry operators.","URL":"https://acma.gov.au/-/media/Economics-Advisory/Research/PDF/Reconnecting-the-Customer_estimation-of-benefits-pdf.pdf?la=en","author":[{"literal":"Australian Communications and Media Authority"}],"issued":{"date-parts":[["2015",11]]},"accessed":{"date-parts":[["2019",5,28]]}}}],"schema":"https://github.com/citation-style-language/schema/raw/master/csl-citation.json"} </w:instrText>
      </w:r>
      <w:r>
        <w:fldChar w:fldCharType="separate"/>
      </w:r>
      <w:r w:rsidRPr="00320F86">
        <w:rPr>
          <w:szCs w:val="24"/>
        </w:rPr>
        <w:t>Australian Communications and Media Authority, “Reconnecting the Customer - Estimation of Benefits,” November 2015, https://acma.gov.au/-/media/Economics-Advisory/Research/PDF/Reconnecting-the-Customer_estimation-of-benefits-pdf.pdf?la=en.</w:t>
      </w:r>
      <w:r>
        <w:fldChar w:fldCharType="end"/>
      </w:r>
    </w:p>
  </w:footnote>
  <w:footnote w:id="21">
    <w:p w14:paraId="20BC7D9F" w14:textId="26508691" w:rsidR="00513FB6" w:rsidRDefault="00513FB6">
      <w:pPr>
        <w:pStyle w:val="FootnoteText"/>
      </w:pPr>
      <w:r w:rsidRPr="005D11B8">
        <w:rPr>
          <w:rStyle w:val="FootnoteReference"/>
        </w:rPr>
        <w:footnoteRef/>
      </w:r>
      <w:r>
        <w:t xml:space="preserve"> </w:t>
      </w:r>
      <w:r>
        <w:tab/>
      </w:r>
      <w:r>
        <w:fldChar w:fldCharType="begin"/>
      </w:r>
      <w:r>
        <w:instrText xml:space="preserve"> ADDIN ZOTERO_ITEM CSL_CITATION {"citationID":"BLSYh5hS","properties":{"formattedCitation":"Western Power, \\uc0\\u8220{}Service Standard Report - 2017-18,\\uc0\\u8221{} 2018, https://www.erawa.com.au/cproot/19955/2/Western%20Power%20-%20Service%20standard%20report%20-%202017-18.PDF.","plainCitation":"Western Power, “Service Standard Report - 2017-18,” 2018, https://www.erawa.com.au/cproot/19955/2/Western%20Power%20-%20Service%20standard%20report%20-%202017-18.PDF.","noteIndex":21},"citationItems":[{"id":214,"uris":["http://zotero.org/groups/1820930/items/2VPC65LX"],"uri":["http://zotero.org/groups/1820930/items/2VPC65LX"],"itemData":{"id":214,"type":"report","title":"Service standard report - 2017-18","URL":"https://www.erawa.com.au/cproot/19955/2/Western%20Power%20-%20Service%20standard%20report%20-%202017-18.PDF","author":[{"literal":"Western Power"}],"issued":{"date-parts":[["2018"]]},"accessed":{"date-parts":[["2019",4,16]]}}}],"schema":"https://github.com/citation-style-language/schema/raw/master/csl-citation.json"} </w:instrText>
      </w:r>
      <w:r>
        <w:fldChar w:fldCharType="separate"/>
      </w:r>
      <w:r w:rsidRPr="007718C7">
        <w:rPr>
          <w:szCs w:val="24"/>
        </w:rPr>
        <w:t>Western Power, “Service Standard Report - 2017-18,” 2018, https://www.erawa.com.au/cproot/19955/2/Western%20Power%20-%20Service%20standard%20report%20-%202017-18.PDF.</w:t>
      </w:r>
      <w:r>
        <w:fldChar w:fldCharType="end"/>
      </w:r>
    </w:p>
  </w:footnote>
  <w:footnote w:id="22">
    <w:p w14:paraId="0CAFC9AD" w14:textId="77777777" w:rsidR="00513FB6" w:rsidRPr="00323812" w:rsidRDefault="00513FB6" w:rsidP="008D07B3">
      <w:pPr>
        <w:pStyle w:val="FootnoteText"/>
        <w:spacing w:before="0" w:after="0"/>
      </w:pPr>
      <w:r w:rsidRPr="005D11B8">
        <w:rPr>
          <w:rStyle w:val="FootnoteReference"/>
        </w:rPr>
        <w:footnoteRef/>
      </w:r>
      <w:r>
        <w:t xml:space="preserve"> </w:t>
      </w:r>
      <w:r>
        <w:tab/>
      </w:r>
      <w:r>
        <w:fldChar w:fldCharType="begin"/>
      </w:r>
      <w:r>
        <w:instrText xml:space="preserve"> ADDIN ZOTERO_ITEM CSL_CITATION {"citationID":"tGaFVNBK","properties":{"formattedCitation":"Department of Infrastructure, Regional Development and Cities, \\uc0\\u8220{}Australian Transport Assessment and Planning Guidelines - M1 Public Transport Supporting Technical Report (Public Transport Parameter Values),\\uc0\\u8221{} January 9, 2018, https://atap.gov.au/parameter-values/road-transport/3-travel-time.aspx#ftr2.","plainCitation":"Department of Infrastructure, Regional Development and Cities, “Australian Transport Assessment and Planning Guidelines - M1 Public Transport Supporting Technical Report (Public Transport Parameter Values),” January 9, 2018, https://atap.gov.au/parameter-values/road-transport/3-travel-time.aspx#ftr2.","noteIndex":22},"citationItems":[{"id":284,"uris":["http://zotero.org/groups/1820930/items/9JJDCJEK"],"uri":["http://zotero.org/groups/1820930/items/9JJDCJEK"],"itemData":{"id":284,"type":"report","title":"Australian Transport Assessment and Planning Guidelines - M1 Public Transport Supporting Technical Report (Public Transport Parameter Values)","abstract":"The value of travel time for the occupants of passenger cars was updated to 30 June 2013 using the change in Average Weekly Earnings (AWE) (Australian Bureau of Statistics, 2013b). The AWE for full</w:instrText>
      </w:r>
      <w:r>
        <w:rPr>
          <w:rFonts w:ascii="Times New Roman" w:hAnsi="Times New Roman"/>
        </w:rPr>
        <w:instrText>‑</w:instrText>
      </w:r>
      <w:r>
        <w:instrText xml:space="preserve">time ordinary adult workers in Australia as per May 2013 ($1,420.90 per week) was updated to June 2013 using the CPI and was calculated at $1,423.67 per week or $37.46 per hour assuming a 38 hour week. As in previous Austroads unit values updates (Austroads, 2012a), private travel time was valued at 40% of seasonally adjusted full time AWE for Australia (Austroads, 1997) or $14.99 per person-hour (i.e. 40% of the AWE).","URL":"https://atap.gov.au/parameter-values/road-transport/3-travel-time.aspx#ftr2","language":"en-US","author":[{"literal":"Department of Infrastructure, Regional Development and Cities"}],"issued":{"date-parts":[["2018",1,9]]},"accessed":{"date-parts":[["2019",3,18]]}}}],"schema":"https://github.com/citation-style-language/schema/raw/master/csl-citation.json"} </w:instrText>
      </w:r>
      <w:r>
        <w:fldChar w:fldCharType="separate"/>
      </w:r>
      <w:r w:rsidRPr="00930F97">
        <w:rPr>
          <w:szCs w:val="24"/>
        </w:rPr>
        <w:t>Department of Infrastructure, Regional Development and Cities, “Australian Transport Assessment and Planning Guidelines - M1 Public Transport Supporting Technical Report (Public Transport Parameter Values),” January 9, 2018, https://atap.gov.au/parameter-values/road-transport/3-travel-time.aspx#ftr2.</w:t>
      </w:r>
      <w:r>
        <w:fldChar w:fldCharType="end"/>
      </w:r>
    </w:p>
  </w:footnote>
  <w:footnote w:id="23">
    <w:p w14:paraId="4ED896C9" w14:textId="77777777" w:rsidR="00513FB6" w:rsidRPr="00927975" w:rsidRDefault="00513FB6" w:rsidP="008D07B3">
      <w:pPr>
        <w:pStyle w:val="FootnoteText"/>
        <w:spacing w:before="0" w:after="0"/>
      </w:pPr>
      <w:r w:rsidRPr="005D11B8">
        <w:rPr>
          <w:rStyle w:val="FootnoteReference"/>
        </w:rPr>
        <w:footnoteRef/>
      </w:r>
      <w:r>
        <w:t xml:space="preserve"> </w:t>
      </w:r>
      <w:r>
        <w:tab/>
      </w:r>
      <w:r>
        <w:fldChar w:fldCharType="begin"/>
      </w:r>
      <w:r>
        <w:instrText xml:space="preserve"> ADDIN ZOTERO_ITEM CSL_CITATION {"citationID":"4dnUvLxu","properties":{"formattedCitation":"J Legaspi and N Douglas, \\uc0\\u8220{}Value of Travel Time Revisited - NSW Experiment,\\uc0\\u8221{} 2015, 15.","plainCitation":"J Legaspi and N Douglas, “Value of Travel Time Revisited - NSW Experiment,” 2015, 15.","noteIndex":23},"citationItems":[{"id":278,"uris":["http://zotero.org/groups/1820930/items/FYNN2PK2"],"uri":["http://zotero.org/groups/1820930/items/FYNN2PK2"],"itemData":{"id":278,"type":"article-journal","title":"Value of Travel Time Revisited - NSW Experiment","page":"15","source":"Zotero","abstract":"One of the principal outputs of any transport improvement project is time saving-that is accomplishing the same transport task in less time.","language":"en","author":[{"family":"Legaspi","given":"J"},{"family":"Douglas","given":"N"}],"issued":{"date-parts":[["2015"]]}}}],"schema":"https://github.com/citation-style-language/schema/raw/master/csl-citation.json"} </w:instrText>
      </w:r>
      <w:r>
        <w:fldChar w:fldCharType="separate"/>
      </w:r>
      <w:r w:rsidRPr="00B44AB8">
        <w:rPr>
          <w:szCs w:val="24"/>
        </w:rPr>
        <w:t>J Legaspi and N Douglas, “Value of Travel Time Revisited - NSW Experiment,” 2015, 15.</w:t>
      </w:r>
      <w:r>
        <w:fldChar w:fldCharType="end"/>
      </w:r>
    </w:p>
  </w:footnote>
  <w:footnote w:id="24">
    <w:p w14:paraId="661D8BE9" w14:textId="6570C899" w:rsidR="00513FB6" w:rsidRPr="005B4F8A" w:rsidRDefault="00513FB6" w:rsidP="008D07B3">
      <w:pPr>
        <w:pStyle w:val="FootnoteText"/>
        <w:spacing w:before="0" w:after="0"/>
      </w:pPr>
      <w:r w:rsidRPr="005D11B8">
        <w:rPr>
          <w:rStyle w:val="FootnoteReference"/>
        </w:rPr>
        <w:footnoteRef/>
      </w:r>
      <w:r>
        <w:t xml:space="preserve"> </w:t>
      </w:r>
      <w:r>
        <w:tab/>
      </w:r>
      <w:r>
        <w:fldChar w:fldCharType="begin"/>
      </w:r>
      <w:r>
        <w:instrText xml:space="preserve"> ADDIN ZOTERO_ITEM CSL_CITATION {"citationID":"cPRKM8UI","properties":{"formattedCitation":"N Douglas and I Wallis, \\uc0\\u8220{}Predicting the Value of Public Transport In-Vehicle Time,\\uc0\\u8221{} in {\\i{}Australasian Transport Research Forum 2013 Proceedings}, 2013.","plainCitation":"N Douglas and I Wallis, “Predicting the Value of Public Transport In-Vehicle Time,” in Australasian Transport Research Forum 2013 Proceedings, 2013.","noteIndex":24},"citationItems":[{"id":279,"uris":["http://zotero.org/groups/1820930/items/9W9FCNYE"],"uri":["http://zotero.org/groups/1820930/items/9W9FCNYE"],"itemData":{"id":279,"type":"paper-conference","title":"Predicting the value of public transport in-vehicle time","container-title":"Australasian Transport Research Forum 2013 Proceedings","author":[{"family":"Douglas","given":"N"},{"family":"Wallis","given":"I"}],"issued":{"date-parts":[["2013"]]}}}],"schema":"https://github.com/citation-style-language/schema/raw/master/csl-citation.json"} </w:instrText>
      </w:r>
      <w:r>
        <w:fldChar w:fldCharType="separate"/>
      </w:r>
      <w:r w:rsidRPr="00393958">
        <w:rPr>
          <w:szCs w:val="24"/>
        </w:rPr>
        <w:t xml:space="preserve">N Douglas and I Wallis, “Predicting the Value of Public Transport In-Vehicle Time,” in </w:t>
      </w:r>
      <w:r w:rsidRPr="00393958">
        <w:rPr>
          <w:i/>
          <w:iCs/>
          <w:szCs w:val="24"/>
        </w:rPr>
        <w:t>Australasian Transport Research Forum 2013 Proceedings</w:t>
      </w:r>
      <w:r w:rsidRPr="00393958">
        <w:rPr>
          <w:szCs w:val="24"/>
        </w:rPr>
        <w:t>, 2013.</w:t>
      </w:r>
      <w:r>
        <w:fldChar w:fldCharType="end"/>
      </w:r>
    </w:p>
  </w:footnote>
  <w:footnote w:id="25">
    <w:p w14:paraId="168D6342" w14:textId="77777777" w:rsidR="00513FB6" w:rsidRPr="00A41ECB" w:rsidRDefault="00513FB6" w:rsidP="008D07B3">
      <w:pPr>
        <w:pStyle w:val="FootnoteText"/>
        <w:spacing w:before="0" w:after="0"/>
      </w:pPr>
      <w:r w:rsidRPr="005D11B8">
        <w:rPr>
          <w:rStyle w:val="FootnoteReference"/>
        </w:rPr>
        <w:footnoteRef/>
      </w:r>
      <w:r>
        <w:t xml:space="preserve"> </w:t>
      </w:r>
      <w:r>
        <w:tab/>
      </w:r>
      <w:r>
        <w:fldChar w:fldCharType="begin"/>
      </w:r>
      <w:r>
        <w:instrText xml:space="preserve"> ADDIN ZOTERO_ITEM CSL_CITATION {"citationID":"2BHA43zQ","properties":{"formattedCitation":"Peter Belenky, \\uc0\\u8220{}Valuation of Travel Time in Economic Anaylsis,\\uc0\\u8221{} September 28, 2011, https://www.transportation.gov/sites/dot.dev/files/docs/vot_guidance_092811c.pdf.","plainCitation":"Peter Belenky, “Valuation of Travel Time in Economic Anaylsis,” September 28, 2011, https://www.transportation.gov/sites/dot.dev/files/docs/vot_guidance_092811c.pdf.","noteIndex":25},"citationItems":[{"id":255,"uris":["http://zotero.org/groups/1820930/items/IVP8ED4H"],"uri":["http://zotero.org/groups/1820930/items/IVP8ED4H"],"itemData":{"id":255,"type":"webpage","title":"Valuation of Travel Time in Economic Anaylsis","URL":"https://www.transportation.gov/sites/dot.dev/files/docs/vot_guidance_092811c.pdf","author":[{"family":"Belenky","given":"Peter"}],"issued":{"date-parts":[["2011",9,28]]},"accessed":{"date-parts":[["2019",3,18]]}}}],"schema":"https://github.com/citation-style-language/schema/raw/master/csl-citation.json"} </w:instrText>
      </w:r>
      <w:r>
        <w:fldChar w:fldCharType="separate"/>
      </w:r>
      <w:r w:rsidRPr="006C019A">
        <w:rPr>
          <w:szCs w:val="24"/>
        </w:rPr>
        <w:t>Peter Belenky, “Valuation of Travel Time in Economic Anaylsis,” September 28, 2011, https://www.transportation.gov/sites/dot.dev/files/docs/vot_guidance_092811c.pdf.</w:t>
      </w:r>
      <w:r>
        <w:fldChar w:fldCharType="end"/>
      </w:r>
    </w:p>
  </w:footnote>
  <w:footnote w:id="26">
    <w:p w14:paraId="492586E2" w14:textId="77777777" w:rsidR="00513FB6" w:rsidRPr="009E3F6B" w:rsidRDefault="00513FB6" w:rsidP="008D07B3">
      <w:pPr>
        <w:pStyle w:val="FootnoteText"/>
        <w:spacing w:before="0" w:after="0"/>
      </w:pPr>
      <w:r w:rsidRPr="005D11B8">
        <w:rPr>
          <w:rStyle w:val="FootnoteReference"/>
        </w:rPr>
        <w:footnoteRef/>
      </w:r>
      <w:r>
        <w:t xml:space="preserve"> </w:t>
      </w:r>
      <w:r>
        <w:tab/>
      </w:r>
      <w:r>
        <w:fldChar w:fldCharType="begin"/>
      </w:r>
      <w:r>
        <w:instrText xml:space="preserve"> ADDIN ZOTERO_ITEM CSL_CITATION {"citationID":"TkJYL7Uz","properties":{"formattedCitation":"I.C. Athira et al., \\uc0\\u8220{}Estimation of Value of Travel Time for Work Trips,\\uc0\\u8221{} accessed March 18, 2019, https://doi.org/10.1016/j.trpro.2016.11.067.","plainCitation":"I.C. Athira et al., “Estimation of Value of Travel Time for Work Trips,” accessed March 18, 2019, https://doi.org/10.1016/j.trpro.2016.11.067.","noteIndex":26},"citationItems":[{"id":644,"uris":["http://zotero.org/groups/1820930/items/QXR7TGNK"],"uri":["http://zotero.org/groups/1820930/items/QXR7TGNK"],"itemData":{"id":644,"type":"webpage","title":"Estimation of Value of Travel Time for Work Trips","URL":"https://reader.elsevier.com/reader/sd/pii/S2352146516306810?token=A736362DC2E0851DCC4CEBF9E74EAFCB2186EF79379FB785AE113D28259F58186784C11D8A761BA258C856F42185EC18","note":"DOI: 10.1016/j.trpro.2016.11.067","language":"en","author":[{"family":"Athira","given":"I.C."},{"family":"Muneera","given":"C.P."},{"family":"Krishnamurthy","given":"K"},{"family":"Anjaneyulu","given":"M.V.L.R."}],"accessed":{"date-parts":[["2019",3,18]]}}}],"schema":"https://github.com/citation-style-language/schema/raw/master/csl-citation.json"} </w:instrText>
      </w:r>
      <w:r>
        <w:fldChar w:fldCharType="separate"/>
      </w:r>
      <w:r w:rsidRPr="00C94615">
        <w:rPr>
          <w:szCs w:val="24"/>
        </w:rPr>
        <w:t>I.C. Athira et al., “Estimation of Value of Travel Time for Work Trips,” accessed March 18, 2019, https://doi.org/10.1016/j.trpro.2016.11.067.</w:t>
      </w:r>
      <w:r>
        <w:fldChar w:fldCharType="end"/>
      </w:r>
    </w:p>
  </w:footnote>
  <w:footnote w:id="27">
    <w:p w14:paraId="3FB476E0" w14:textId="77777777" w:rsidR="00513FB6" w:rsidRDefault="00513FB6" w:rsidP="008D07B3">
      <w:pPr>
        <w:pStyle w:val="FootnoteText"/>
        <w:spacing w:before="0" w:after="0"/>
      </w:pPr>
      <w:r w:rsidRPr="005D11B8">
        <w:rPr>
          <w:rStyle w:val="FootnoteReference"/>
        </w:rPr>
        <w:footnoteRef/>
      </w:r>
      <w:r>
        <w:t xml:space="preserve"> </w:t>
      </w:r>
      <w:r>
        <w:tab/>
      </w:r>
      <w:r>
        <w:fldChar w:fldCharType="begin"/>
      </w:r>
      <w:r>
        <w:instrText xml:space="preserve"> ADDIN ZOTERO_ITEM CSL_CITATION {"citationID":"Ed3uq0hl","properties":{"formattedCitation":"Wardman et al., \\uc0\\u8220{}Valuation of Travel Time Savings for Business Travellers (A Report Prepared for the UK Department for Transport).\\uc0\\u8221{}","plainCitation":"Wardman et al., “Valuation of Travel Time Savings for Business Travellers (A Report Prepared for the UK Department for Transport).”","noteIndex":27},"citationItems":[{"id":216,"uris":["http://zotero.org/groups/1820930/items/RV6VIN6M"],"uri":["http://zotero.org/groups/1820930/items/RV6VIN6M"],"itemData":{"id":216,"type":"report","title":"Valuation of travel time savings for business travellers (A report prepared for the UK Department for Transport)","publisher":"Institute for Transport Studies, University of Leeds","author":[{"family":"Wardman","given":"Mark"},{"family":"Batley","given":"Richard"},{"family":"Laird","given":"James"},{"family":"Mackie","given":"Peter"},{"family":"Fowkes","given":"Tony"},{"family":"Lyons","given":"Glenn"},{"family":"Bates","given":"John"},{"family":"Eliasson","given":"Jonas"}],"issued":{"date-parts":[["2013"]]}}}],"schema":"https://github.com/citation-style-language/schema/raw/master/csl-citation.json"} </w:instrText>
      </w:r>
      <w:r>
        <w:fldChar w:fldCharType="separate"/>
      </w:r>
      <w:r w:rsidRPr="00AF4790">
        <w:rPr>
          <w:szCs w:val="24"/>
        </w:rPr>
        <w:t>Wardman et al., “Valuation of Travel Time Savings for Business Travellers (A Report Prepared for the UK Department for Transport).”</w:t>
      </w:r>
      <w:r>
        <w:fldChar w:fldCharType="end"/>
      </w:r>
    </w:p>
  </w:footnote>
  <w:footnote w:id="28">
    <w:p w14:paraId="09414300" w14:textId="77777777" w:rsidR="00513FB6" w:rsidRPr="00C7190C" w:rsidRDefault="00513FB6" w:rsidP="008D07B3">
      <w:pPr>
        <w:pStyle w:val="FootnoteText"/>
        <w:spacing w:before="0" w:after="0"/>
      </w:pPr>
      <w:r w:rsidRPr="005D11B8">
        <w:rPr>
          <w:rStyle w:val="FootnoteReference"/>
        </w:rPr>
        <w:footnoteRef/>
      </w:r>
      <w:r>
        <w:t xml:space="preserve"> </w:t>
      </w:r>
      <w:r>
        <w:tab/>
      </w:r>
      <w:r>
        <w:fldChar w:fldCharType="begin"/>
      </w:r>
      <w:r>
        <w:instrText xml:space="preserve"> ADDIN ZOTERO_ITEM CSL_CITATION {"citationID":"zncF6caQ","properties":{"formattedCitation":"Kenneth A. Small, \\uc0\\u8220{}Valuation of Travel Time,\\uc0\\u8221{} {\\i{}Economics of Transportation} 1, no. 1\\uc0\\u8211{}2 (December 2012): 2\\uc0\\u8211{}14, https://doi.org/10.1016/j.ecotra.2012.09.002.","plainCitation":"Kenneth A. Small, “Valuation of Travel Time,” Economics of Transportation 1, no. 1–2 (December 2012): 2–14, https://doi.org/10.1016/j.ecotra.2012.09.002.","noteIndex":28},"citationItems":[{"id":286,"uris":["http://zotero.org/groups/1820930/items/G3HIDUGP"],"uri":["http://zotero.org/groups/1820930/items/G3HIDUGP"],"itemData":{"id":286,"type":"article-journal","title":"Valuation of travel time","container-title":"Economics of Transportation","page":"2-14","volume":"1","issue":"1-2","source":"Crossref","abstract":"After decades of study, the value of travel time remains incompletely understood and ripe for further theoretical and empirical investigation. Research has revealed many regularities and connections between willingness to pay for time savings and other economic factors including time of day choice, aversion to unreliability, labor supply, taxation, activity scheduling, intrahousehold time allocation, and out-of-office productivity. Some of these connections have been addressed through sophisticated modeling, revealing a plethora of reasons for heterogeneity in value of time rooted in behavior at a micro scale. This paper reviews what we know and what we need to know. A recurrent theme is that the value of time for a particular travel movement depends strongly on very specific factors, and that understanding how these factors work will provide new insights into travel behavior and into more general economic choices.","DOI":"10.1016/j.ecotra.2012.09.002","ISSN":"22120122","language":"en","author":[{"family":"Small","given":"Kenneth A."}],"issued":{"date-parts":[["2012",12]]}}}],"schema":"https://github.com/citation-style-language/schema/raw/master/csl-citation.json"} </w:instrText>
      </w:r>
      <w:r>
        <w:fldChar w:fldCharType="separate"/>
      </w:r>
      <w:r w:rsidRPr="00FE1F2C">
        <w:rPr>
          <w:szCs w:val="24"/>
        </w:rPr>
        <w:t xml:space="preserve">Kenneth A. Small, “Valuation of Travel Time,” </w:t>
      </w:r>
      <w:r w:rsidRPr="00FE1F2C">
        <w:rPr>
          <w:i/>
          <w:iCs/>
          <w:szCs w:val="24"/>
        </w:rPr>
        <w:t>Economics of Transportation</w:t>
      </w:r>
      <w:r w:rsidRPr="00FE1F2C">
        <w:rPr>
          <w:szCs w:val="24"/>
        </w:rPr>
        <w:t xml:space="preserve"> 1, no. 1–2 (December 2012): 2–14, https://doi.org/10.1016/j.ecotra.2012.09.002.</w:t>
      </w:r>
      <w:r>
        <w:fldChar w:fldCharType="end"/>
      </w:r>
    </w:p>
  </w:footnote>
  <w:footnote w:id="29">
    <w:p w14:paraId="27B3FF63" w14:textId="77777777" w:rsidR="00513FB6" w:rsidRPr="00942FA6" w:rsidRDefault="00513FB6" w:rsidP="008D07B3">
      <w:pPr>
        <w:pStyle w:val="FootnoteText"/>
        <w:spacing w:before="0" w:after="0"/>
      </w:pPr>
      <w:r w:rsidRPr="005D11B8">
        <w:rPr>
          <w:rStyle w:val="FootnoteReference"/>
        </w:rPr>
        <w:footnoteRef/>
      </w:r>
      <w:r>
        <w:t xml:space="preserve"> </w:t>
      </w:r>
      <w:r>
        <w:tab/>
      </w:r>
      <w:r>
        <w:fldChar w:fldCharType="begin"/>
      </w:r>
      <w:r>
        <w:instrText xml:space="preserve"> ADDIN ZOTERO_ITEM CSL_CITATION {"citationID":"lJsTPbxX","properties":{"formattedCitation":"Shires and de Jong, \\uc0\\u8220{}An International Meta-Analysis of Values of Travel Time Savings.\\uc0\\u8221{}","plainCitation":"Shires and de Jong, “An International Meta-Analysis of Values of Travel Time Savings.”","noteIndex":29},"citationItems":[{"id":271,"uris":["http://zotero.org/groups/1820930/items/J7TNYQUA"],"uri":["http://zotero.org/groups/1820930/items/J7TNYQUA"],"itemData":{"id":271,"type":"article-journal","title":"An international meta-analysis of values of travel time savings","container-title":"Evaluation and Program Planning","collection-title":"Evaluating the Impact of Transport Projects: Lessons for Other Disciplines","page":"315-325","volume":"32","issue":"4","source":"ScienceDirect","abstract":"Values of travel time savings are often used in cost–benefit analysis of transport projects and policies, and also to compute generalised travel costs. There has been considerable debate as to whether different research methods (e.g. stated versus revealed preference) will lead to different values of travel time savings, and which segmentations (e.g. by income or mode) are most important to capture the heterogeneity in these values. In addition there are many countries where no specific valuation studies have been done. In this paper new equations are estimated on the outcomes of value of travel time savings studies from various countries. In the data set, several countries appear more than once, which is taken into account by estimating random effects panel models. The meta-analysis sheds some new light on the variation of the value of travel time savings by income, country, travel purpose, mode, distance and by survey method. Furthermore, the resulting meta-models are applied to produce new values of travel time savings for business travel, commuting and for other purposes in passenger transport, for 25 European Union Member states. Similar methods could be used to statistically analyse studies carried out on other non-monetary effects, both for transport and non-transport projects, and for inclusion in cost–benefit analysis.","DOI":"10.1016/j.evalprogplan.2009.06.010","ISSN":"0149-7189","journalAbbreviation":"Evaluation and Program Planning","author":[{"family":"Shires","given":"J. D."},{"family":"Jong","given":"G. C.","non-dropping-particle":"de"}],"issued":{"date-parts":[["2009",11,1]]}}}],"schema":"https://github.com/citation-style-language/schema/raw/master/csl-citation.json"} </w:instrText>
      </w:r>
      <w:r>
        <w:fldChar w:fldCharType="separate"/>
      </w:r>
      <w:r w:rsidRPr="00FE1F2C">
        <w:rPr>
          <w:szCs w:val="24"/>
        </w:rPr>
        <w:t>Shires and de Jong, “An International Meta-Analysis of Values of Travel Time Savings.”</w:t>
      </w:r>
      <w:r>
        <w:fldChar w:fldCharType="end"/>
      </w:r>
    </w:p>
  </w:footnote>
  <w:footnote w:id="30">
    <w:p w14:paraId="3F594F22" w14:textId="77777777" w:rsidR="00513FB6" w:rsidRPr="00BD56A2" w:rsidRDefault="00513FB6" w:rsidP="008D07B3">
      <w:pPr>
        <w:pStyle w:val="FootnoteText"/>
        <w:spacing w:before="0" w:after="0"/>
      </w:pPr>
      <w:r w:rsidRPr="005D11B8">
        <w:rPr>
          <w:rStyle w:val="FootnoteReference"/>
        </w:rPr>
        <w:footnoteRef/>
      </w:r>
      <w:r>
        <w:t xml:space="preserve"> </w:t>
      </w:r>
      <w:r>
        <w:tab/>
      </w:r>
      <w:r>
        <w:fldChar w:fldCharType="begin"/>
      </w:r>
      <w:r>
        <w:instrText xml:space="preserve"> ADDIN ZOTERO_ITEM CSL_CITATION {"citationID":"GfHfRQBp","properties":{"formattedCitation":"Robert Fickling et al., \\uc0\\u8220{}Productive Use of Rail Travel Time and the Valuation of Travel Time Savings for Rail Business Travellers,\\uc0\\u8221{} June 2009, 170.","plainCitation":"Robert Fickling et al., “Productive Use of Rail Travel Time and the Valuation of Travel Time Savings for Rail Business Travellers,” June 2009, 170.","noteIndex":30},"citationItems":[{"id":640,"uris":["http://zotero.org/groups/1820930/items/ZHPWTNPV"],"uri":["http://zotero.org/groups/1820930/items/ZHPWTNPV"],"itemData":{"id":640,"type":"article-journal","title":"Productive use of rail travel time and the valuation of travel time savings for rail business travellers","page":"170","source":"Zotero","language":"en","author":[{"family":"Fickling","given":"Robert"},{"family":"Gunn","given":"Hugh"},{"family":"Kirby","given":"Howard R."},{"family":"Bradley","given":"Mark"},{"family":"Heywood","given":"Chris"}],"issued":{"date-parts":[["2009",6]]}}}],"schema":"https://github.com/citation-style-language/schema/raw/master/csl-citation.json"} </w:instrText>
      </w:r>
      <w:r>
        <w:fldChar w:fldCharType="separate"/>
      </w:r>
      <w:r w:rsidRPr="00A36FAE">
        <w:rPr>
          <w:szCs w:val="24"/>
        </w:rPr>
        <w:t>Robert Fickling et al., “Productive Use of Rail Travel Time and the Valuation of Travel Time Savings for Rail Business Travellers,” June 2009, 170.</w:t>
      </w:r>
      <w:r>
        <w:fldChar w:fldCharType="end"/>
      </w:r>
    </w:p>
  </w:footnote>
  <w:footnote w:id="31">
    <w:p w14:paraId="603DA0D8" w14:textId="77777777" w:rsidR="00513FB6" w:rsidRPr="00973C57" w:rsidRDefault="00513FB6" w:rsidP="008D07B3">
      <w:pPr>
        <w:pStyle w:val="FootnoteText"/>
        <w:spacing w:before="0" w:after="0"/>
      </w:pPr>
      <w:r w:rsidRPr="005D11B8">
        <w:rPr>
          <w:rStyle w:val="FootnoteReference"/>
        </w:rPr>
        <w:footnoteRef/>
      </w:r>
      <w:r>
        <w:t xml:space="preserve"> </w:t>
      </w:r>
      <w:r>
        <w:tab/>
      </w:r>
      <w:r>
        <w:fldChar w:fldCharType="begin"/>
      </w:r>
      <w:r>
        <w:instrText xml:space="preserve"> ADDIN ZOTERO_ITEM CSL_CITATION {"citationID":"BwUSuJkV","properties":{"formattedCitation":"Neil Douglas and George Karpouzis, \\uc0\\u8220{}Estimating the Passenger Cost of Station Crowding,\\uc0\\u8221{} in {\\i{}28th Australasian Transport Research Forum, Sydney, Australia}, 2005, 1\\uc0\\u8211{}11.","plainCitation":"Neil Douglas and George Karpouzis, “Estimating the Passenger Cost of Station Crowding,” in 28th Australasian Transport Research Forum, Sydney, Australia, 2005, 1–11.","noteIndex":31},"citationItems":[{"id":277,"uris":["http://zotero.org/groups/1820930/items/2YLM8YE3"],"uri":["http://zotero.org/groups/1820930/items/2YLM8YE3"],"itemData":{"id":277,"type":"paper-conference","title":"Estimating the passenger cost of station crowding","container-title":"28th Australasian Transport Research Forum, Sydney, Australia","page":"1–11","author":[{"family":"Douglas","given":"Neil"},{"family":"Karpouzis","given":"George"}],"issued":{"date-parts":[["2005"]]}}}],"schema":"https://github.com/citation-style-language/schema/raw/master/csl-citation.json"} </w:instrText>
      </w:r>
      <w:r>
        <w:fldChar w:fldCharType="separate"/>
      </w:r>
      <w:r w:rsidRPr="00973C57">
        <w:rPr>
          <w:szCs w:val="24"/>
        </w:rPr>
        <w:t xml:space="preserve">Neil Douglas and George Karpouzis, “Estimating the Passenger Cost of Station Crowding,” in </w:t>
      </w:r>
      <w:r w:rsidRPr="00973C57">
        <w:rPr>
          <w:i/>
          <w:iCs/>
          <w:szCs w:val="24"/>
        </w:rPr>
        <w:t>28th Australasian Transport Research Forum, Sydney, Australia</w:t>
      </w:r>
      <w:r w:rsidRPr="00973C57">
        <w:rPr>
          <w:szCs w:val="24"/>
        </w:rPr>
        <w:t>, 2005, 1–11.</w:t>
      </w:r>
      <w:r>
        <w:fldChar w:fldCharType="end"/>
      </w:r>
    </w:p>
  </w:footnote>
  <w:footnote w:id="32">
    <w:p w14:paraId="375061F9" w14:textId="77777777" w:rsidR="00513FB6" w:rsidRPr="00AA2AF0" w:rsidRDefault="00513FB6" w:rsidP="008D07B3">
      <w:pPr>
        <w:pStyle w:val="FootnoteText"/>
        <w:spacing w:before="0" w:after="0"/>
      </w:pPr>
      <w:r w:rsidRPr="005D11B8">
        <w:rPr>
          <w:rStyle w:val="FootnoteReference"/>
        </w:rPr>
        <w:footnoteRef/>
      </w:r>
      <w:r>
        <w:t xml:space="preserve"> </w:t>
      </w:r>
      <w:r>
        <w:tab/>
      </w:r>
      <w:r>
        <w:fldChar w:fldCharType="begin"/>
      </w:r>
      <w:r>
        <w:instrText xml:space="preserve"> ADDIN ZOTERO_ITEM CSL_CITATION {"citationID":"R5kMS4vK","properties":{"formattedCitation":"Hensher and Greene, \\uc0\\u8220{}The Mixed Logit Model: The State of Practice.\\uc0\\u8221{}","plainCitation":"Hensher and Greene, “The Mixed Logit Model: The State of Practice.”","noteIndex":32},"citationItems":[{"id":254,"uris":["http://zotero.org/groups/1820930/items/M38TFLHH"],"uri":["http://zotero.org/groups/1820930/items/M38TFLHH"],"itemData":{"id":254,"type":"article-journal","title":"The Mixed Logit model: The state of practice","container-title":"Transportation","page":"133–176","volume":"30","issue":"2","abstract":"The mixed logit model is considered to be the most promising state of the art discrete choice model currently available. Increasingly researchers and practitioners are estimating mixed logit models of various degrees of sophistication with mixtures of revealed preference and stated choice data. It is timely to review progress in model estimation since the learning curve is steep and the unwary are likely to fall into a chasm if not careful. These chasms are very deep indeed given the complexity of the mixed logit model. Although the theory is relatively clear, estimation and data issues are far from clear. Indeed there is a great deal of potential mis-inference consequent on trying to extract increased behavioural realism from data that are often not able to comply with the demands of mixed logit models. Possibly for the first time we now have an estimation method that requires extremely high quality data if the analyst wishes to take advantage of the extended behavioural capabilities of such models. This paper focuses on the new opportunities offered by mixed logit models and some issues to be aware of to avoid misuse of such advanced discrete choice methods by the practitioner.","ISSN":"0049-4488","language":"eng","author":[{"family":"Hensher","given":"D"},{"family":"Greene","given":"W"}],"issued":{"date-parts":[["2003"]]}}}],"schema":"https://github.com/citation-style-language/schema/raw/master/csl-citation.json"} </w:instrText>
      </w:r>
      <w:r>
        <w:fldChar w:fldCharType="separate"/>
      </w:r>
      <w:r w:rsidRPr="007525FE">
        <w:rPr>
          <w:szCs w:val="24"/>
        </w:rPr>
        <w:t>Hensher and Greene, “The Mixed Logit Model: The State of Practice.”</w:t>
      </w:r>
      <w:r>
        <w:fldChar w:fldCharType="end"/>
      </w:r>
    </w:p>
  </w:footnote>
  <w:footnote w:id="33">
    <w:p w14:paraId="21CB6FB1" w14:textId="31A681B9" w:rsidR="00513FB6" w:rsidRPr="00903DAF" w:rsidRDefault="00513FB6" w:rsidP="008D07B3">
      <w:pPr>
        <w:pStyle w:val="FootnoteText"/>
        <w:spacing w:before="0" w:after="0"/>
      </w:pPr>
      <w:r w:rsidRPr="005D11B8">
        <w:rPr>
          <w:rStyle w:val="FootnoteReference"/>
        </w:rPr>
        <w:footnoteRef/>
      </w:r>
      <w:r>
        <w:t xml:space="preserve"> </w:t>
      </w:r>
      <w:r>
        <w:tab/>
      </w:r>
      <w:r>
        <w:fldChar w:fldCharType="begin"/>
      </w:r>
      <w:r>
        <w:instrText xml:space="preserve"> ADDIN ZOTERO_ITEM CSL_CITATION {"citationID":"ae9clU8W","properties":{"formattedCitation":"Robert T. Deacon and Jon Sonstelie, \\uc0\\u8220{}Rationing by Waiting and the Value of Time: Results from a Natural Experiment,\\uc0\\u8221{} {\\i{}Journal of Political Economy} 93, no. 4 (1985): 627\\uc0\\u8211{}47.","plainCitation":"Robert T. Deacon and Jon Sonstelie, “Rationing by Waiting and the Value of Time: Results from a Natural Experiment,” Journal of Political Economy 93, no. 4 (1985): 627–47.","noteIndex":33},"citationItems":[{"id":285,"uris":["http://zotero.org/groups/1820930/items/SBF3VQSC"],"uri":["http://zotero.org/groups/1820930/items/SBF3VQSC"],"itemData":{"id":285,"type":"article-journal","title":"Rationing by Waiting and the Value of Time: Results from a Natural Experiment","container-title":"Journal of Political Economy","page":"627-647","volume":"93","issue":"4","source":"JSTOR","ISSN":"0022-3808","title-short":"Rationing by Waiting and the Value of Time","author":[{"family":"Deacon","given":"Robert T."},{"family":"Sonstelie","given":"Jon"}],"issued":{"date-parts":[["1985"]]}}}],"schema":"https://github.com/citation-style-language/schema/raw/master/csl-citation.json"} </w:instrText>
      </w:r>
      <w:r>
        <w:fldChar w:fldCharType="separate"/>
      </w:r>
      <w:r w:rsidRPr="001D7319">
        <w:rPr>
          <w:szCs w:val="24"/>
        </w:rPr>
        <w:t xml:space="preserve">Robert T. Deacon and Jon Sonstelie, “Rationing by Waiting and the Value of Time: Results from a Natural Experiment,” </w:t>
      </w:r>
      <w:r w:rsidRPr="001D7319">
        <w:rPr>
          <w:i/>
          <w:iCs/>
          <w:szCs w:val="24"/>
        </w:rPr>
        <w:t>Journal of Political Economy</w:t>
      </w:r>
      <w:r w:rsidRPr="001D7319">
        <w:rPr>
          <w:szCs w:val="24"/>
        </w:rPr>
        <w:t xml:space="preserve"> 93, no. 4 (1985): 627–47.</w:t>
      </w:r>
      <w:r>
        <w:fldChar w:fldCharType="end"/>
      </w:r>
    </w:p>
  </w:footnote>
  <w:footnote w:id="34">
    <w:p w14:paraId="148891CD" w14:textId="7715232F" w:rsidR="00513FB6" w:rsidRPr="005F0074" w:rsidRDefault="00513FB6" w:rsidP="008D07B3">
      <w:pPr>
        <w:pStyle w:val="FootnoteText"/>
        <w:spacing w:before="0" w:after="0"/>
      </w:pPr>
      <w:r w:rsidRPr="005D11B8">
        <w:rPr>
          <w:rStyle w:val="FootnoteReference"/>
        </w:rPr>
        <w:footnoteRef/>
      </w:r>
      <w:r>
        <w:t xml:space="preserve"> </w:t>
      </w:r>
      <w:r>
        <w:tab/>
      </w:r>
      <w:r>
        <w:fldChar w:fldCharType="begin"/>
      </w:r>
      <w:r>
        <w:instrText xml:space="preserve"> ADDIN ZOTERO_ITEM CSL_CITATION {"citationID":"i9D3ovkG","properties":{"formattedCitation":"Bente Halvorsen, \\uc0\\u8220{}Effects of Norms and Opportunity Cost of Time on Household Recycling,\\uc0\\u8221{} {\\i{}Land Economics} 84, no. 3 (2008): 501\\uc0\\u8211{}16.","plainCitation":"Bente Halvorsen, “Effects of Norms and Opportunity Cost of Time on Household Recycling,” Land Economics 84, no. 3 (2008): 501–16.","noteIndex":34},"citationItems":[{"id":288,"uris":["http://zotero.org/groups/1820930/items/LQDYF8PR"],"uri":["http://zotero.org/groups/1820930/items/LQDYF8PR"],"itemData":{"id":288,"type":"article-journal","title":"Effects of Norms and Opportunity Cost of Time on Household Recycling","container-title":"Land Economics","page":"501-516","volume":"84","issue":"3","source":"JSTOR","archive":"JSTOR","abstract":"[Social and moral norms and the opportunity cost of time will affect household recycling efforts. A model is developed to describe how norms affect the recycling decision through feelings of self-respect, guilty conscience, and warmglow, as well as respect in, and sanctions from, the community. We find that the opportunity cost of time has a significant negative effect on household recycling. All indicators of warm-glow, social, and moral norms increase household recycling efforts. We find no evidence of crowding-out, neither when recycling is perceived as mandatory, nor when economic incentives are introduced in the form of a differentiated garbage fee.]","ISSN":"0023-7639","author":[{"family":"Halvorsen","given":"Bente"}],"issued":{"date-parts":[["2008"]]}}}],"schema":"https://github.com/citation-style-language/schema/raw/master/csl-citation.json"} </w:instrText>
      </w:r>
      <w:r>
        <w:fldChar w:fldCharType="separate"/>
      </w:r>
      <w:r w:rsidRPr="00C5410C">
        <w:rPr>
          <w:szCs w:val="24"/>
        </w:rPr>
        <w:t xml:space="preserve">Bente Halvorsen, “Effects of Norms and Opportunity Cost of Time on Household Recycling,” </w:t>
      </w:r>
      <w:r w:rsidRPr="00C5410C">
        <w:rPr>
          <w:i/>
          <w:iCs/>
          <w:szCs w:val="24"/>
        </w:rPr>
        <w:t>Land Economics</w:t>
      </w:r>
      <w:r w:rsidRPr="00C5410C">
        <w:rPr>
          <w:szCs w:val="24"/>
        </w:rPr>
        <w:t xml:space="preserve"> 84, no. 3 (2008): 501–16.</w:t>
      </w:r>
      <w:r>
        <w:fldChar w:fldCharType="end"/>
      </w:r>
    </w:p>
  </w:footnote>
  <w:footnote w:id="35">
    <w:p w14:paraId="564E174D" w14:textId="0D4C135C" w:rsidR="00513FB6" w:rsidRDefault="00513FB6" w:rsidP="008D07B3">
      <w:pPr>
        <w:pStyle w:val="FootnoteText"/>
        <w:spacing w:before="0" w:after="0"/>
      </w:pPr>
      <w:r>
        <w:rPr>
          <w:rStyle w:val="FootnoteReference"/>
        </w:rPr>
        <w:footnoteRef/>
      </w:r>
      <w:r>
        <w:t xml:space="preserve"> </w:t>
      </w:r>
      <w:r>
        <w:tab/>
      </w:r>
      <w:r>
        <w:fldChar w:fldCharType="begin"/>
      </w:r>
      <w:r>
        <w:instrText xml:space="preserve"> ADDIN ZOTERO_ITEM CSL_CITATION {"citationID":"kVMySBJu","properties":{"formattedCitation":"Annegrete Bruvoll, Bente Halvorsen, and Karine Nyborg, \\uc0\\u8220{}Households\\uc0\\u8217{} Recycling Efforts,\\uc0\\u8221{} {\\i{}Resources, Conservation and Recycling} 36, no. 4 (November 1, 2002): 337\\uc0\\u8211{}54, https://doi.org/10.1016/S0921-3449(02)00055-1.","plainCitation":"Annegrete Bruvoll, Bente Halvorsen, and Karine Nyborg, “Households’ Recycling Efforts,” Resources, Conservation and Recycling 36, no. 4 (November 1, 2002): 337–54, https://doi.org/10.1016/S0921-3449(02)00055-1.","noteIndex":35},"citationItems":[{"id":283,"uris":["http://zotero.org/groups/1820930/items/ZSFNQ53D"],"uri":["http://zotero.org/groups/1820930/items/ZSFNQ53D"],"itemData":{"id":283,"type":"article-journal","title":"Households’ recycling efforts","container-title":"Resources, Conservation and Recycling","page":"337-354","volume":"36","issue":"4","source":"ScienceDirect","abstract":"Households’ recycling effort is often argued to be of an insignificant size. It is also frequently argued that this contribution, if significant, is not a cost to households, since it is voluntary. Thus households’ use of time and energy are frequently disregarded in cost-benefit analyses of stricter recycling targets. In this survey, based on 1162 interviews, we find that sorting at source involves significant extra use of time and energy in the households. On average, each of those asked reported that they use close to half an hour a week for cleaning, sorting and transporting recyclable waste. On average, 185 h is used per tonne of waste. Four out of ten reported that they use warm or hot water to clean the materials. When investigating the motives for sorting waste, we find that many perceive sorting as mandatory, while some in fact find it a pleasant activity in itself. Moral motives for sorting at source are also widespread. A majority would prefer that a company took over the sorting if this were possible, and on average, the respondents are willing to pay US$ 20/year for this service.","DOI":"10.1016/S0921-3449(02)00055-1","ISSN":"0921-3449","journalAbbreviation":"Resources, Conservation and Recycling","author":[{"family":"Bruvoll","given":"Annegrete"},{"family":"Halvorsen","given":"Bente"},{"family":"Nyborg","given":"Karine"}],"issued":{"date-parts":[["2002",11,1]]}}}],"schema":"https://github.com/citation-style-language/schema/raw/master/csl-citation.json"} </w:instrText>
      </w:r>
      <w:r>
        <w:fldChar w:fldCharType="separate"/>
      </w:r>
      <w:r w:rsidRPr="00B06638">
        <w:rPr>
          <w:szCs w:val="24"/>
        </w:rPr>
        <w:t xml:space="preserve">Annegrete Bruvoll, Bente Halvorsen, and Karine Nyborg, “Households’ Recycling Efforts,” </w:t>
      </w:r>
      <w:r w:rsidRPr="00B06638">
        <w:rPr>
          <w:i/>
          <w:iCs/>
          <w:szCs w:val="24"/>
        </w:rPr>
        <w:t>Resources, Conservation and Recycling</w:t>
      </w:r>
      <w:r w:rsidRPr="00B06638">
        <w:rPr>
          <w:szCs w:val="24"/>
        </w:rPr>
        <w:t xml:space="preserve"> 36, no. 4 (November 1, 2002): 337–54, https://doi.org/10.1016/S0921-3449(02)00055-1.</w:t>
      </w:r>
      <w:r>
        <w:fldChar w:fldCharType="end"/>
      </w:r>
    </w:p>
  </w:footnote>
  <w:footnote w:id="36">
    <w:p w14:paraId="0CE0B6CC" w14:textId="06558313" w:rsidR="00513FB6" w:rsidRPr="00673D58" w:rsidRDefault="00513FB6" w:rsidP="008D07B3">
      <w:pPr>
        <w:pStyle w:val="FootnoteText"/>
        <w:spacing w:before="0" w:after="0"/>
      </w:pPr>
      <w:r w:rsidRPr="005D11B8">
        <w:rPr>
          <w:rStyle w:val="FootnoteReference"/>
        </w:rPr>
        <w:footnoteRef/>
      </w:r>
      <w:r>
        <w:t xml:space="preserve"> </w:t>
      </w:r>
      <w:r>
        <w:tab/>
      </w:r>
      <w:r>
        <w:fldChar w:fldCharType="begin"/>
      </w:r>
      <w:r>
        <w:instrText xml:space="preserve"> ADDIN ZOTERO_ITEM CSL_CITATION {"citationID":"TKSMlseh","properties":{"formattedCitation":"Miko\\uc0\\u322{}aj Czajkowski, Tadeusz K\\uc0\\u261{}dziela, and Nick Hanley, \\uc0\\u8220{}We Want to Sort! Assessing Households\\uc0\\u8217{} Preferences for Sorting Waste,\\uc0\\u8221{} {\\i{}Resource and Energy Economics} 36, no. 1 (January 1, 2014): 290\\uc0\\u8211{}306, https://doi.org/10.1016/j.reseneeco.2013.05.006.","plainCitation":"Mikołaj Czajkowski, Tadeusz Kądziela, and Nick Hanley, “We Want to Sort! Assessing Households’ Preferences for Sorting Waste,” Resource and Energy Economics 36, no. 1 (January 1, 2014): 290–306, https://doi.org/10.1016/j.reseneeco.2013.05.006.","noteIndex":36},"citationItems":[{"id":281,"uris":["http://zotero.org/groups/1820930/items/SXT9TLEK"],"uri":["http://zotero.org/groups/1820930/items/SXT9TLEK"],"itemData":{"id":281,"type":"article-journal","title":"We want to sort! Assessing households’ preferences for sorting waste","container-title":"Resource and Energy Economics","page":"290-306","volume":"36","issue":"1","source":"ScienceDirect","abstract":"There are two major ways in which solid waste can be sorted and recycled – at the household level, when households are required to sort waste into a given number of categories, or in specialised sorting facilities. Traditionally, it has been thought that sorting at the household level is an inconvenience, as it uses space and requires time and effort. Our study provides empirical evidence to the contrary, indicating that home sorting is a net source of utility for some people. Through a carefully designed choice experiment we collected stated choices from members of a Polish municipality with respect to the way their waste is sorted and how often it is collected. In the hypothetical scenario employed, respondents were informed that waste will be sorted anyway – if not at the household level then at a specialised sorting facility. Interestingly, analysis shows that a large group of people are willing to sort waste at the household level even if unsorted waste would be collected at no extra cost. For a minority, increased home sorting of waste would, however, impose a loss of utility. Overall, our results indicate that most respondents preferred to sort waste themselves if given the choice. We provide a few possible explanations of this perhaps surprising result, including the desire to promote a green external image, and a concern about the effectiveness of separation activities performed by others.","DOI":"10.1016/j.reseneeco.2013.05.006","ISSN":"0928-7655","journalAbbreviation":"Resource and Energy Economics","author":[{"family":"Czajkowski","given":"Mikołaj"},{"family":"Kądziela","given":"Tadeusz"},{"family":"Hanley","given":"Nick"}],"issued":{"date-parts":[["2014",1,1]]}}}],"schema":"https://github.com/citation-style-language/schema/raw/master/csl-citation.json"} </w:instrText>
      </w:r>
      <w:r>
        <w:fldChar w:fldCharType="separate"/>
      </w:r>
      <w:r w:rsidRPr="003F7F1C">
        <w:rPr>
          <w:szCs w:val="24"/>
        </w:rPr>
        <w:t xml:space="preserve">Mikołaj Czajkowski, Tadeusz Kądziela, and Nick Hanley, “We Want to Sort! Assessing Households’ Preferences for Sorting Waste,” </w:t>
      </w:r>
      <w:r w:rsidRPr="003F7F1C">
        <w:rPr>
          <w:i/>
          <w:iCs/>
          <w:szCs w:val="24"/>
        </w:rPr>
        <w:t>Resource and Energy Economics</w:t>
      </w:r>
      <w:r w:rsidRPr="003F7F1C">
        <w:rPr>
          <w:szCs w:val="24"/>
        </w:rPr>
        <w:t xml:space="preserve"> 36, no. 1 (January 1, 2014): 290–306, https://doi.org/10.1016/j.reseneeco.2013.05.006.</w:t>
      </w:r>
      <w:r>
        <w:fldChar w:fldCharType="end"/>
      </w:r>
    </w:p>
  </w:footnote>
  <w:footnote w:id="37">
    <w:p w14:paraId="23D17113" w14:textId="74B36C46" w:rsidR="00513FB6" w:rsidRDefault="00513FB6" w:rsidP="008D07B3">
      <w:pPr>
        <w:pStyle w:val="FootnoteText"/>
        <w:spacing w:before="0" w:after="0"/>
      </w:pPr>
      <w:r>
        <w:rPr>
          <w:rStyle w:val="FootnoteReference"/>
        </w:rPr>
        <w:footnoteRef/>
      </w:r>
      <w:r>
        <w:t xml:space="preserve"> </w:t>
      </w:r>
      <w:r>
        <w:tab/>
      </w:r>
      <w:r>
        <w:fldChar w:fldCharType="begin"/>
      </w:r>
      <w:r>
        <w:instrText xml:space="preserve"> ADDIN ZOTERO_ITEM CSL_CITATION {"citationID":"N138A8M3","properties":{"formattedCitation":"Office of Best Practice Regulation, \\uc0\\u8220{}Regulatory Burden Measurement Framework.\\uc0\\u8221{}","plainCitation":"Office of Best Practice Regulation, “Regulatory Burden Measurement Framework.”","noteIndex":37},"citationItems":[{"id":1457,"uris":["http://zotero.org/groups/1820930/items/I5S9K56R"],"uri":["http://zotero.org/groups/1820930/items/I5S9K56R"],"itemData":{"id":1457,"type":"report","title":"Regulatory Burden Measurement Framework","abstract":"The Australian Government Guide to Regulation discusses the importance of cutting red tape and of ensuring that all decisions being made about regulation are informed by an assessment of the impacts.\nA key principle for Australian Government policy makers in the Guide to Regulation is that: \n- The cost burden of new regulation must be fully offset by reductions in existing regulatory burden.\n- All regulatory costs, whether arising from new regulations or changes to existing regulation, must be quantified using the Regulatory Burden Measurement framework. The framework must also be used for quantifying offsetting regulatory savings, where applicable.\nThis guidance note provides advice on how to calculate regulatory costs using this framework.","URL":"https://www.pmc.gov.au/sites/default/files/publications/regulatory-burden-measurement-framework.pdf","author":[{"literal":"Office of Best Practice Regulation"}],"issued":{"date-parts":[["2016",2]]},"accessed":{"date-parts":[["2019",5,28]]}}}],"schema":"https://github.com/citation-style-language/schema/raw/master/csl-citation.json"} </w:instrText>
      </w:r>
      <w:r>
        <w:fldChar w:fldCharType="separate"/>
      </w:r>
      <w:r w:rsidRPr="0090550E">
        <w:rPr>
          <w:szCs w:val="24"/>
        </w:rPr>
        <w:t>Office of Best Practice Regulation, “Regulatory Burden Measurement Framework.”</w:t>
      </w:r>
      <w:r>
        <w:fldChar w:fldCharType="end"/>
      </w:r>
    </w:p>
  </w:footnote>
  <w:footnote w:id="38">
    <w:p w14:paraId="34EBABE3" w14:textId="6BF8E1F4" w:rsidR="00513FB6" w:rsidRPr="004A2E52" w:rsidRDefault="00513FB6" w:rsidP="008D07B3">
      <w:pPr>
        <w:pStyle w:val="FootnoteText"/>
        <w:spacing w:before="0" w:after="0"/>
        <w:rPr>
          <w:lang w:val="en-GB"/>
        </w:rPr>
      </w:pPr>
      <w:r w:rsidRPr="005D11B8">
        <w:rPr>
          <w:rStyle w:val="FootnoteReference"/>
        </w:rPr>
        <w:footnoteRef/>
      </w:r>
      <w:r>
        <w:t xml:space="preserve"> </w:t>
      </w:r>
      <w:r>
        <w:tab/>
      </w:r>
      <w:r>
        <w:fldChar w:fldCharType="begin"/>
      </w:r>
      <w:r>
        <w:instrText xml:space="preserve"> ADDIN ZOTERO_ITEM CSL_CITATION {"citationID":"NX6pF4f3","properties":{"formattedCitation":"Deacon and Sonstelie, \\uc0\\u8220{}Rationing by Waiting and the Value of Time.\\uc0\\u8221{}","plainCitation":"Deacon and Sonstelie, “Rationing by Waiting and the Value of Time.”","noteIndex":38},"citationItems":[{"id":285,"uris":["http://zotero.org/groups/1820930/items/SBF3VQSC"],"uri":["http://zotero.org/groups/1820930/items/SBF3VQSC"],"itemData":{"id":285,"type":"article-journal","title":"Rationing by Waiting and the Value of Time: Results from a Natural Experiment","container-title":"Journal of Political Economy","page":"627-647","volume":"93","issue":"4","source":"JSTOR","ISSN":"0022-3808","title-short":"Rationing by Waiting and the Value of Time","author":[{"family":"Deacon","given":"Robert T."},{"family":"Sonstelie","given":"Jon"}],"issued":{"date-parts":[["1985"]]}}}],"schema":"https://github.com/citation-style-language/schema/raw/master/csl-citation.json"} </w:instrText>
      </w:r>
      <w:r>
        <w:fldChar w:fldCharType="separate"/>
      </w:r>
      <w:r w:rsidRPr="0092241B">
        <w:rPr>
          <w:szCs w:val="24"/>
        </w:rPr>
        <w:t>Deacon and Sonstelie, “Rationing by Waiting and the Value of Time.”</w:t>
      </w:r>
      <w:r>
        <w:fldChar w:fldCharType="end"/>
      </w:r>
    </w:p>
  </w:footnote>
  <w:footnote w:id="39">
    <w:p w14:paraId="502DEFF7" w14:textId="69C040F9" w:rsidR="00513FB6" w:rsidRDefault="00513FB6" w:rsidP="008D07B3">
      <w:pPr>
        <w:pStyle w:val="FootnoteText"/>
        <w:spacing w:before="0" w:after="0"/>
      </w:pPr>
      <w:r>
        <w:rPr>
          <w:rStyle w:val="FootnoteReference"/>
        </w:rPr>
        <w:footnoteRef/>
      </w:r>
      <w:r>
        <w:t xml:space="preserve"> </w:t>
      </w:r>
      <w:r>
        <w:tab/>
      </w:r>
      <w:r>
        <w:fldChar w:fldCharType="begin"/>
      </w:r>
      <w:r>
        <w:instrText xml:space="preserve"> ADDIN ZOTERO_ITEM CSL_CITATION {"citationID":"kTxBSJtu","properties":{"formattedCitation":"Australian Communications and Media Authority, \\uc0\\u8220{}Reconnecting the Customer - Estimation of Benefits.\\uc0\\u8221{}","plainCitation":"Australian Communications and Media Authority, “Reconnecting the Customer - Estimation of Benefits.”","noteIndex":39},"citationItems":[{"id":1456,"uris":["http://zotero.org/groups/1820930/items/IKRT6JBN"],"uri":["http://zotero.org/groups/1820930/items/IKRT6JBN"],"itemData":{"id":1456,"type":"report","title":"Reconnecting the Customer - Estimation of benefits","abstract":"A key finding from this benefits assessment is that Australian consumers have\nbenefited in the order of at least $545 million each year since registration of the\nrevised TCP Code in September 2012.\nThese benefits have been estimated based on the cost impacts on consumers and\nindustry operators of reduced complaints, consumers choosing plans more appropriate for their consumption behaviour, and reductions in unexpectedly high bills.\nMuch of the consumer benefit identified in this report involves economic transfers from industry to consumers. This is because mitigating the wrong contract problem1 and unexpectedly higher bills has reduced customer spend, which is lost revenue to\nindustry operators.","URL":"https://acma.gov.au/-/media/Economics-Advisory/Research/PDF/Reconnecting-the-Customer_estimation-of-benefits-pdf.pdf?la=en","author":[{"literal":"Australian Communications and Media Authority"}],"issued":{"date-parts":[["2015",11]]},"accessed":{"date-parts":[["2019",5,28]]}}}],"schema":"https://github.com/citation-style-language/schema/raw/master/csl-citation.json"} </w:instrText>
      </w:r>
      <w:r>
        <w:fldChar w:fldCharType="separate"/>
      </w:r>
      <w:r w:rsidRPr="0090550E">
        <w:rPr>
          <w:szCs w:val="24"/>
        </w:rPr>
        <w:t>Australian Communications and Media Authority, “Reconnecting the Customer - Estimation of Benefits.”</w:t>
      </w:r>
      <w:r>
        <w:fldChar w:fldCharType="end"/>
      </w:r>
    </w:p>
  </w:footnote>
  <w:footnote w:id="40">
    <w:p w14:paraId="0D5BC208" w14:textId="73A7E7C0" w:rsidR="00513FB6" w:rsidRDefault="00513FB6" w:rsidP="008D07B3">
      <w:pPr>
        <w:pStyle w:val="FootnoteText"/>
        <w:spacing w:before="0" w:after="0"/>
      </w:pPr>
      <w:r w:rsidRPr="005D11B8">
        <w:rPr>
          <w:rStyle w:val="FootnoteReference"/>
        </w:rPr>
        <w:footnoteRef/>
      </w:r>
      <w:r>
        <w:t xml:space="preserve"> </w:t>
      </w:r>
      <w:r>
        <w:tab/>
      </w:r>
      <w:r>
        <w:fldChar w:fldCharType="begin"/>
      </w:r>
      <w:r>
        <w:instrText xml:space="preserve"> ADDIN ZOTERO_ITEM CSL_CITATION {"citationID":"XQrQJbs7","properties":{"formattedCitation":"Donna Brennan, Sorada Tapsuwan, and Gordon Ingram, \\uc0\\u8220{}The Welfare Costs of Urban Outdoor Water Restrictions,\\uc0\\u8221{} {\\i{}Australian Journal of Agricultural and Resource Economics} 51, no. 3 (August 7, 2007): 243\\uc0\\u8211{}61, https://doi.org/10.1111/j.1467-8489.2007.00395.x.","plainCitation":"Donna Brennan, Sorada Tapsuwan, and Gordon Ingram, “The Welfare Costs of Urban Outdoor Water Restrictions,” Australian Journal of Agricultural and Resource Economics 51, no. 3 (August 7, 2007): 243–61, https://doi.org/10.1111/j.1467-8489.2007.00395.x.","noteIndex":40},"citationItems":[{"id":304,"uris":["http://zotero.org/groups/1820930/items/BLQ7IT3T"],"uri":["http://zotero.org/groups/1820930/items/BLQ7IT3T"],"itemData":{"id":304,"type":"article-journal","title":"The welfare costs of urban outdoor water restrictions","container-title":"Australian Journal of Agricultural and Resource Economics","page":"243-261","volume":"51","issue":"3","source":"onlinelibrary.wiley.com (Atypon)","abstract":"Outdoor water restrictions are usually implemented as bans on a particular type of watering technology (sprinklers), which allow households to substitute for labour?intensive (hand?held) watering. This paper presents a household production model approach to analysing the impact of sprinkler restrictions on consumer welfare and their efficacy as a demand management tool. Central to our empirical analysis is an experimentally derived production function which describes the relationship between irrigation and lawn quality. We demonstrate that for a typical consumer complete sprinkler bans may be little more effective than milder restrictions policies, but are substantially more costly to the household.","DOI":"10.1111/j.1467-8489.2007.00395.x","ISSN":"1364-985X","journalAbbreviation":"Australian Journal of Agricultural and Resource Economics","author":[{"family":"Brennan","given":"Donna"},{"family":"Tapsuwan","given":"Sorada"},{"family":"Ingram","given":"Gordon"}],"issued":{"date-parts":[["2007",8,7]]}}}],"schema":"https://github.com/citation-style-language/schema/raw/master/csl-citation.json"} </w:instrText>
      </w:r>
      <w:r>
        <w:fldChar w:fldCharType="separate"/>
      </w:r>
      <w:r w:rsidRPr="00CA759B">
        <w:rPr>
          <w:szCs w:val="24"/>
        </w:rPr>
        <w:t xml:space="preserve">Donna Brennan, Sorada Tapsuwan, and Gordon Ingram, “The Welfare Costs of Urban Outdoor Water Restrictions,” </w:t>
      </w:r>
      <w:r w:rsidRPr="00CA759B">
        <w:rPr>
          <w:i/>
          <w:iCs/>
          <w:szCs w:val="24"/>
        </w:rPr>
        <w:t>Australian Journal of Agricultural and Resource Economics</w:t>
      </w:r>
      <w:r w:rsidRPr="00CA759B">
        <w:rPr>
          <w:szCs w:val="24"/>
        </w:rPr>
        <w:t xml:space="preserve"> 51, no. 3 (August 7, 2007): 243–61, https://doi.org/10.1111/j.1467-8489.2007.00395.x.</w:t>
      </w:r>
      <w:r>
        <w:fldChar w:fldCharType="end"/>
      </w:r>
    </w:p>
  </w:footnote>
  <w:footnote w:id="41">
    <w:p w14:paraId="3FE13CC6" w14:textId="77777777" w:rsidR="00513FB6" w:rsidRDefault="00513FB6" w:rsidP="00826B32">
      <w:pPr>
        <w:pStyle w:val="FootnoteText"/>
        <w:spacing w:before="0" w:after="60"/>
      </w:pPr>
      <w:r w:rsidRPr="005D11B8">
        <w:rPr>
          <w:rStyle w:val="FootnoteReference"/>
        </w:rPr>
        <w:footnoteRef/>
      </w:r>
      <w:r>
        <w:t xml:space="preserve"> </w:t>
      </w:r>
      <w:r>
        <w:tab/>
        <w:t xml:space="preserve">The main groups of customers considered by VCR studies in Australia have been Agriculture, Small Industrial, Large Industrial, Commercial and Residential. </w:t>
      </w:r>
    </w:p>
  </w:footnote>
  <w:footnote w:id="42">
    <w:p w14:paraId="3EE55CC9" w14:textId="7FFEAD2A" w:rsidR="00513FB6" w:rsidRDefault="00513FB6" w:rsidP="00826B32">
      <w:pPr>
        <w:pStyle w:val="FootnoteText"/>
        <w:spacing w:before="0" w:after="60"/>
      </w:pPr>
      <w:r w:rsidRPr="005D11B8">
        <w:rPr>
          <w:rStyle w:val="FootnoteReference"/>
        </w:rPr>
        <w:footnoteRef/>
      </w:r>
      <w:r>
        <w:t xml:space="preserve"> </w:t>
      </w:r>
      <w:r>
        <w:tab/>
      </w:r>
      <w:r>
        <w:fldChar w:fldCharType="begin"/>
      </w:r>
      <w:r>
        <w:instrText xml:space="preserve"> ADDIN ZOTERO_ITEM CSL_CITATION {"citationID":"SvmvcuSB","properties":{"formattedCitation":"Australian Energy Regulator, \\uc0\\u8220{}Values of Customer Reliability Consultation Paper,\\uc0\\u8221{} October 2018, 12.","plainCitation":"Australian Energy Regulator, “Values of Customer Reliability Consultation Paper,” October 2018, 12.","noteIndex":42},"citationItems":[{"id":236,"uris":["http://zotero.org/groups/1820930/items/V86VKK2F"],"uri":["http://zotero.org/groups/1820930/items/V86VKK2F"],"itemData":{"id":236,"type":"report","title":"Values of Customer Reliability Consultation Paper","abstract":"In response to a Rule Change proposal from the Council of Australian Governments (COAG)\nEnergy Council, the Australian Energy Market Commission (AEMC) amended the NER to\ngive the AER the responsibility of determining the values different customers place on\nhaving a reliable electricity supply.1 This is referred to as the value of customer reliability\n(VCR). The VCR links efficiency and reliability, playing a pivotal role in network planning and\ninvestment and informs the design of market and network price caps and incentives, such as\nfor network reliability.\nThe AEMC’s Rule Change became effective on 5 July 2018.2 Our first calculated VCRs must\nbe published by 31 December 2019.\nUnder this Rule Change we must develop a methodology for estimating VCRs, which\nincludes a mechanism for directly engaging with retail and other customers to determine\nthese values and a mechanism for adjusting VCR on an annual basis. This methodology\nmust be fit for purpose for any current or potential uses of customer reliability that we\nconsider to be relevant. Our practice is to consult widely on our decisions to maximise\nstakeholder input on matters which may affect the costs customers face for the services they\nreceive.\nVCRs seek to reflect the value different types of customers place on reliable electricity\nsupply under different conditions and are usually expressed in dollars per kilowatt hour\n(kWh). VCR is a critical input into identifying efficient levels of network expenditure.\nElectricity outages incur costs for consumers, both directly through financial losses resulting\nfrom lost productivity and business revenues, and in the form of intangible/indirect costs\nsuch as a reduction in the convenience, comfort, safety and amenity provided by electricity.\nHousehold and business consumers desire a reliable electricity supply that minimises\noutages and these associated costs.\nHowever, a reliable electricity supply requires investment in transmission and distribution\nnetwork assets, which is paid for by electricity consumers. There is, therefore, a trade-off to\nbe made between electricity reliability and affordability. This is because in order to achieve a\nhigher level of reliability, a higher amount of investment is required. In turn, the costs\nimposed on the consumer through their electricity bills will be higher.","author":[{"literal":"Australian Energy Regulator"}],"issued":{"date-parts":[["2018",10]]}},"locator":"12","label":"page"}],"schema":"https://github.com/citation-style-language/schema/raw/master/csl-citation.json"} </w:instrText>
      </w:r>
      <w:r>
        <w:fldChar w:fldCharType="separate"/>
      </w:r>
      <w:r w:rsidRPr="00EA6BA5">
        <w:rPr>
          <w:szCs w:val="24"/>
        </w:rPr>
        <w:t>Australian Energy Regulator, “Values of Customer Reliability Consultation Paper,” October 2018, 12.</w:t>
      </w:r>
      <w:r>
        <w:fldChar w:fldCharType="end"/>
      </w:r>
    </w:p>
  </w:footnote>
  <w:footnote w:id="43">
    <w:p w14:paraId="0025513B" w14:textId="5783B3DB" w:rsidR="00513FB6" w:rsidRDefault="00513FB6" w:rsidP="00826B32">
      <w:pPr>
        <w:pStyle w:val="FootnoteText"/>
        <w:spacing w:before="0" w:after="60"/>
      </w:pPr>
      <w:r w:rsidRPr="005D11B8">
        <w:rPr>
          <w:rStyle w:val="FootnoteReference"/>
        </w:rPr>
        <w:footnoteRef/>
      </w:r>
      <w:r>
        <w:t xml:space="preserve"> </w:t>
      </w:r>
      <w:r>
        <w:tab/>
      </w:r>
      <w:r>
        <w:fldChar w:fldCharType="begin"/>
      </w:r>
      <w:r>
        <w:instrText xml:space="preserve"> ADDIN ZOTERO_ITEM CSL_CITATION {"citationID":"UylZY2AN","properties":{"formattedCitation":"Australian Energy Regulator, 15.","plainCitation":"Australian Energy Regulator, 15.","noteIndex":43},"citationItems":[{"id":236,"uris":["http://zotero.org/groups/1820930/items/V86VKK2F"],"uri":["http://zotero.org/groups/1820930/items/V86VKK2F"],"itemData":{"id":236,"type":"report","title":"Values of Customer Reliability Consultation Paper","abstract":"In response to a Rule Change proposal from the Council of Australian Governments (COAG)\nEnergy Council, the Australian Energy Market Commission (AEMC) amended the NER to\ngive the AER the responsibility of determining the values different customers place on\nhaving a reliable electricity supply.1 This is referred to as the value of customer reliability\n(VCR). The VCR links efficiency and reliability, playing a pivotal role in network planning and\ninvestment and informs the design of market and network price caps and incentives, such as\nfor network reliability.\nThe AEMC’s Rule Change became effective on 5 July 2018.2 Our first calculated VCRs must\nbe published by 31 December 2019.\nUnder this Rule Change we must develop a methodology for estimating VCRs, which\nincludes a mechanism for directly engaging with retail and other customers to determine\nthese values and a mechanism for adjusting VCR on an annual basis. This methodology\nmust be fit for purpose for any current or potential uses of customer reliability that we\nconsider to be relevant. Our practice is to consult widely on our decisions to maximise\nstakeholder input on matters which may affect the costs customers face for the services they\nreceive.\nVCRs seek to reflect the value different types of customers place on reliable electricity\nsupply under different conditions and are usually expressed in dollars per kilowatt hour\n(kWh). VCR is a critical input into identifying efficient levels of network expenditure.\nElectricity outages incur costs for consumers, both directly through financial losses resulting\nfrom lost productivity and business revenues, and in the form of intangible/indirect costs\nsuch as a reduction in the convenience, comfort, safety and amenity provided by electricity.\nHousehold and business consumers desire a reliable electricity supply that minimises\noutages and these associated costs.\nHowever, a reliable electricity supply requires investment in transmission and distribution\nnetwork assets, which is paid for by electricity consumers. There is, therefore, a trade-off to\nbe made between electricity reliability and affordability. This is because in order to achieve a\nhigher level of reliability, a higher amount of investment is required. In turn, the costs\nimposed on the consumer through their electricity bills will be higher.","author":[{"literal":"Australian Energy Regulator"}],"issued":{"date-parts":[["2018",10]]}},"locator":"15","label":"page"}],"schema":"https://github.com/citation-style-language/schema/raw/master/csl-citation.json"} </w:instrText>
      </w:r>
      <w:r>
        <w:fldChar w:fldCharType="separate"/>
      </w:r>
      <w:r w:rsidRPr="00EA6BA5">
        <w:t>Australian Energy Regulator, 15.</w:t>
      </w:r>
      <w:r>
        <w:fldChar w:fldCharType="end"/>
      </w:r>
    </w:p>
  </w:footnote>
  <w:footnote w:id="44">
    <w:p w14:paraId="32A9FF7A" w14:textId="02AA949B" w:rsidR="00513FB6" w:rsidRDefault="00513FB6" w:rsidP="00826B32">
      <w:pPr>
        <w:pStyle w:val="FootnoteText"/>
        <w:spacing w:before="0" w:after="60"/>
      </w:pPr>
      <w:r w:rsidRPr="005D11B8">
        <w:rPr>
          <w:rStyle w:val="FootnoteReference"/>
        </w:rPr>
        <w:footnoteRef/>
      </w:r>
      <w:r>
        <w:t xml:space="preserve"> </w:t>
      </w:r>
      <w:r>
        <w:tab/>
      </w:r>
      <w:r>
        <w:fldChar w:fldCharType="begin"/>
      </w:r>
      <w:r>
        <w:instrText xml:space="preserve"> ADDIN ZOTERO_ITEM CSL_CITATION {"citationID":"S16249Sw","properties":{"formattedCitation":"Australian Energy Market Operator, \\uc0\\u8220{}Value of Customer Reliability Statement of Approach,\\uc0\\u8221{} November 11, 2013, https://www.aemo.com.au/media/Files/Other/consultations/nem/Value_of_Customer_Reliability_Statement_of_Approach_121113.pdf.","plainCitation":"Australian Energy Market Operator, “Value of Customer Reliability Statement of Approach,” November 11, 2013, https://www.aemo.com.au/media/Files/Other/consultations/nem/Value_of_Customer_Reliability_Statement_of_Approach_121113.pdf.","noteIndex":44},"citationItems":[{"id":234,"uris":["http://zotero.org/groups/1820930/items/8TZAMR28"],"uri":["http://zotero.org/groups/1820930/items/8TZAMR28"],"itemData":{"id":234,"type":"report","title":"Value of Customer reliability statement of approach","page":"14","source":"Zotero","URL":"https://www.aemo.com.au/media/Files/Other/consultations/nem/Value_of_Customer_Reliability_Statement_of_Approach_121113.pdf","language":"en","author":[{"literal":"Australian Energy Market Operator"}],"issued":{"date-parts":[["2013",11,11]]}}}],"schema":"https://github.com/citation-style-language/schema/raw/master/csl-citation.json"} </w:instrText>
      </w:r>
      <w:r>
        <w:fldChar w:fldCharType="separate"/>
      </w:r>
      <w:r w:rsidRPr="00EC03B2">
        <w:rPr>
          <w:szCs w:val="24"/>
        </w:rPr>
        <w:t>Australian Energy Market Operator, “Value of Customer Reliability Statement of Approach,” November 11, 2013, https://www.aemo.com.au/media/Files/Other/consultations/nem/Value_of_Customer_Reliability_Statement_of_Approach_121113.pdf.</w:t>
      </w:r>
      <w:r>
        <w:fldChar w:fldCharType="end"/>
      </w:r>
    </w:p>
  </w:footnote>
  <w:footnote w:id="45">
    <w:p w14:paraId="3EBACA42" w14:textId="12061081" w:rsidR="00513FB6" w:rsidRDefault="00513FB6" w:rsidP="00826B32">
      <w:pPr>
        <w:pStyle w:val="FootnoteText"/>
        <w:spacing w:before="0" w:after="60"/>
      </w:pPr>
      <w:r w:rsidRPr="005D11B8">
        <w:rPr>
          <w:rStyle w:val="FootnoteReference"/>
        </w:rPr>
        <w:footnoteRef/>
      </w:r>
      <w:r>
        <w:t xml:space="preserve"> </w:t>
      </w:r>
      <w:r>
        <w:tab/>
      </w:r>
      <w:r>
        <w:fldChar w:fldCharType="begin"/>
      </w:r>
      <w:r>
        <w:instrText xml:space="preserve"> ADDIN ZOTERO_ITEM CSL_CITATION {"citationID":"wIKLAcqr","properties":{"formattedCitation":"Australian Energy Market Operator, \\uc0\\u8220{}Value of Customer Reliability Review,\\uc0\\u8221{} September 2014, http://www.aemo.com.au/-/media/Files/PDF/VCR-final-report--PDF-update-27-Nov-14.pdf; Ric Scarpa, \\uc0\\u8220{}Methodology for the Estimation of the Value of Customer Reliability for AEMO,\\uc0\\u8221{} November 11, 2013, https://www.aemo.com.au/media/Files/Other/consultations/nem/Methodology_Paper_Ric_Scarpa_121113.pdf.","plainCitation":"Australian Energy Market Operator, “Value of Customer Reliability Review,” September 2014, http://www.aemo.com.au/-/media/Files/PDF/VCR-final-report--PDF-update-27-Nov-14.pdf; Ric Scarpa, “Methodology for the Estimation of the Value of Customer Reliability for AEMO,” November 11, 2013, https://www.aemo.com.au/media/Files/Other/consultations/nem/Methodology_Paper_Ric_Scarpa_121113.pdf.","noteIndex":45},"citationItems":[{"id":233,"uris":["http://zotero.org/groups/1820930/items/Q6MUQUY5"],"uri":["http://zotero.org/groups/1820930/items/Q6MUQUY5"],"itemData":{"id":233,"type":"report","title":"Value of Customer Reliability Review","abstract":"The purpose of this publication is to provide information about the outcomes of AEMO’s 2013–14 Value of Customer Reliability (VCR) review","URL":"http://www.aemo.com.au/-/media/Files/PDF/VCR-final-report--PDF-update-27-Nov-14.pdf","author":[{"literal":"Australian Energy Market Operator"}],"issued":{"date-parts":[["2014",9]]},"accessed":{"date-parts":[["2019",4,3]]}}},{"id":235,"uris":["http://zotero.org/groups/1820930/items/8MBDRKCA"],"uri":["http://zotero.org/groups/1820930/items/8MBDRKCA"],"itemData":{"id":235,"type":"report","title":"Methodology for the estimation of the value of customer reliability for AEMO","URL":"https://www.aemo.com.au/media/Files/Other/consultations/nem/Methodology_Paper_Ric_Scarpa_121113.pdf","author":[{"family":"Scarpa","given":"Ric"}],"issued":{"date-parts":[["2013",11,11]]},"accessed":{"date-parts":[["2019",4,9]]}}}],"schema":"https://github.com/citation-style-language/schema/raw/master/csl-citation.json"} </w:instrText>
      </w:r>
      <w:r>
        <w:fldChar w:fldCharType="separate"/>
      </w:r>
      <w:r w:rsidRPr="00A6488A">
        <w:rPr>
          <w:szCs w:val="24"/>
        </w:rPr>
        <w:t>Australian Energy Market Operator, “Value of Customer Reliability Review,” September 2014, http://www.aemo.com.au/-/media/Files/PDF/VCR-final-report--PDF-update-27-Nov-14.pdf; Ric Scarpa, “Methodology for the Estimation of the Value of Customer Reliability for AEMO,” November 11, 2013, https://www.aemo.com.au/media/Files/Other/consultations/nem/Methodology_Paper_Ric_Scarpa_121113.pdf.</w:t>
      </w:r>
      <w:r>
        <w:fldChar w:fldCharType="end"/>
      </w:r>
    </w:p>
  </w:footnote>
  <w:footnote w:id="46">
    <w:p w14:paraId="1EEE0D29" w14:textId="77777777" w:rsidR="00513FB6" w:rsidRDefault="00513FB6" w:rsidP="00826B32">
      <w:pPr>
        <w:pStyle w:val="FootnoteText"/>
        <w:spacing w:before="0" w:after="60"/>
      </w:pPr>
      <w:r w:rsidRPr="005D11B8">
        <w:rPr>
          <w:rStyle w:val="FootnoteReference"/>
        </w:rPr>
        <w:footnoteRef/>
      </w:r>
      <w:r>
        <w:t xml:space="preserve"> </w:t>
      </w:r>
      <w:r>
        <w:tab/>
        <w:t xml:space="preserve">We have supplied only a sample of the water restrictions literature we have reviewed for previous studies. Most of the studies not presented here used either choice modelling or contingent valuation.  </w:t>
      </w:r>
    </w:p>
  </w:footnote>
  <w:footnote w:id="47">
    <w:p w14:paraId="2D7BA6CD" w14:textId="48821E9F" w:rsidR="00513FB6" w:rsidRDefault="00513FB6" w:rsidP="00826B32">
      <w:pPr>
        <w:pStyle w:val="FootnoteText"/>
        <w:spacing w:before="0" w:after="60"/>
      </w:pPr>
      <w:r w:rsidRPr="005D11B8">
        <w:rPr>
          <w:rStyle w:val="FootnoteReference"/>
        </w:rPr>
        <w:footnoteRef/>
      </w:r>
      <w:r>
        <w:t xml:space="preserve"> </w:t>
      </w:r>
      <w:r>
        <w:tab/>
      </w:r>
      <w:r>
        <w:fldChar w:fldCharType="begin"/>
      </w:r>
      <w:r>
        <w:instrText xml:space="preserve"> ADDIN ZOTERO_ITEM CSL_CITATION {"citationID":"xlpO6JwQ","properties":{"formattedCitation":"D Richard Kuhn, \\uc0\\u8220{}Sources of Failure in the Public Switched Telephone Network,\\uc0\\u8221{} {\\i{}Computer} 30, no. 4 (1997): 31\\uc0\\u8211{}36.","plainCitation":"D Richard Kuhn, “Sources of Failure in the Public Switched Telephone Network,” Computer 30, no. 4 (1997): 31–36.","noteIndex":47},"citationItems":[{"id":231,"uris":["http://zotero.org/groups/1820930/items/69R6TAJQ"],"uri":["http://zotero.org/groups/1820930/items/69R6TAJQ"],"itemData":{"id":231,"type":"article-journal","title":"Sources of failure in the public switched telephone network","container-title":"Computer","page":"31–36","volume":"30","issue":"4","author":[{"family":"Kuhn","given":"D Richard"}],"issued":{"date-parts":[["1997"]]}}}],"schema":"https://github.com/citation-style-language/schema/raw/master/csl-citation.json"} </w:instrText>
      </w:r>
      <w:r>
        <w:fldChar w:fldCharType="separate"/>
      </w:r>
      <w:r w:rsidRPr="005146F6">
        <w:rPr>
          <w:szCs w:val="24"/>
        </w:rPr>
        <w:t xml:space="preserve">D Richard Kuhn, “Sources of Failure in the Public Switched Telephone Network,” </w:t>
      </w:r>
      <w:r w:rsidRPr="005146F6">
        <w:rPr>
          <w:i/>
          <w:iCs/>
          <w:szCs w:val="24"/>
        </w:rPr>
        <w:t>Computer</w:t>
      </w:r>
      <w:r w:rsidRPr="005146F6">
        <w:rPr>
          <w:szCs w:val="24"/>
        </w:rPr>
        <w:t xml:space="preserve"> 30, no. 4 (1997): 31–36.</w:t>
      </w:r>
      <w:r>
        <w:fldChar w:fldCharType="end"/>
      </w:r>
    </w:p>
  </w:footnote>
  <w:footnote w:id="48">
    <w:p w14:paraId="49B82031" w14:textId="77777777" w:rsidR="00513FB6" w:rsidRDefault="00513FB6" w:rsidP="00826B32">
      <w:pPr>
        <w:pStyle w:val="FootnoteText"/>
        <w:spacing w:before="0" w:after="60"/>
      </w:pPr>
      <w:r w:rsidRPr="005D11B8">
        <w:rPr>
          <w:rStyle w:val="FootnoteReference"/>
        </w:rPr>
        <w:footnoteRef/>
      </w:r>
      <w:r>
        <w:t xml:space="preserve"> </w:t>
      </w:r>
      <w:r>
        <w:tab/>
        <w:t xml:space="preserve">As measured by characteristics such as </w:t>
      </w:r>
      <w:r>
        <w:rPr>
          <w:shd w:val="clear" w:color="auto" w:fill="FFFFFF"/>
        </w:rPr>
        <w:t>up-time</w:t>
      </w:r>
    </w:p>
  </w:footnote>
  <w:footnote w:id="49">
    <w:p w14:paraId="37B7E486" w14:textId="6D38F363" w:rsidR="00513FB6" w:rsidRDefault="00513FB6" w:rsidP="00826B32">
      <w:pPr>
        <w:pStyle w:val="FootnoteText"/>
        <w:spacing w:before="0" w:after="60"/>
      </w:pPr>
      <w:r w:rsidRPr="005D11B8">
        <w:rPr>
          <w:rStyle w:val="FootnoteReference"/>
        </w:rPr>
        <w:footnoteRef/>
      </w:r>
      <w:r>
        <w:t xml:space="preserve"> </w:t>
      </w:r>
      <w:r>
        <w:tab/>
      </w:r>
      <w:r>
        <w:fldChar w:fldCharType="begin"/>
      </w:r>
      <w:r>
        <w:instrText xml:space="preserve"> ADDIN ZOTERO_ITEM CSL_CITATION {"citationID":"Ec4FwbnR","properties":{"formattedCitation":"A. Meddeb, \\uc0\\u8220{}Internet QoS: Pieces of the Puzzle,\\uc0\\u8221{} {\\i{}IEEE Communications Magazine} 48, no. 1 (January 2010): 86\\uc0\\u8211{}94, https://doi.org/10.1109/MCOM.2010.5394035.","plainCitation":"A. Meddeb, “Internet QoS: Pieces of the Puzzle,” IEEE Communications Magazine 48, no. 1 (January 2010): 86–94, https://doi.org/10.1109/MCOM.2010.5394035.","noteIndex":49},"citationItems":[{"id":252,"uris":["http://zotero.org/groups/1820930/items/WHJ5CT8E"],"uri":["http://zotero.org/groups/1820930/items/WHJ5CT8E"],"itemData":{"id":252,"type":"article-journal","title":"Internet QoS: Pieces of the puzzle","container-title":"IEEE Communications Magazine","page":"86-94","volume":"48","issue":"1","source":"IEEE Xplore","abstract":"One of the biggest challenges faced when dealing with QoS over the Internet is how to deliver QoS over an unregulated, connectionless network that was designed, deployed, operated, managed, and commercialized without any QoS perspectives. This article gives a concise but comprehensive overview of the Internet QoS puzzle. We aim not only at identifying all the pieces of the puzzle, but also at discovering how to join them together. These include terminology, definitions and standards, architectures, traffic engineering, regulation, accounting, pricing, and marketing. We also explain throughout the article how network providers should envision their service offerings in the context of an SLA and QoS-centric Internet.","DOI":"10.1109/MCOM.2010.5394035","ISSN":"0163-6804","title-short":"Internet QoS","author":[{"family":"Meddeb","given":"A."}],"issued":{"date-parts":[["2010",1]]}}}],"schema":"https://github.com/citation-style-language/schema/raw/master/csl-citation.json"} </w:instrText>
      </w:r>
      <w:r>
        <w:fldChar w:fldCharType="separate"/>
      </w:r>
      <w:r w:rsidRPr="00A6488A">
        <w:rPr>
          <w:szCs w:val="24"/>
        </w:rPr>
        <w:t xml:space="preserve">A. Meddeb, “Internet QoS: Pieces of the Puzzle,” </w:t>
      </w:r>
      <w:r w:rsidRPr="00A6488A">
        <w:rPr>
          <w:i/>
          <w:iCs/>
          <w:szCs w:val="24"/>
        </w:rPr>
        <w:t>IEEE Communications Magazine</w:t>
      </w:r>
      <w:r w:rsidRPr="00A6488A">
        <w:rPr>
          <w:szCs w:val="24"/>
        </w:rPr>
        <w:t xml:space="preserve"> 48, no. 1 (January 2010): 86–94, https://doi.org/10.1109/MCOM.2010.5394035.</w:t>
      </w:r>
      <w:r>
        <w:fldChar w:fldCharType="end"/>
      </w:r>
    </w:p>
  </w:footnote>
  <w:footnote w:id="50">
    <w:p w14:paraId="6023A559" w14:textId="6C4E7186" w:rsidR="00513FB6" w:rsidRPr="00D918C0" w:rsidRDefault="00513FB6">
      <w:pPr>
        <w:pStyle w:val="FootnoteText"/>
        <w:rPr>
          <w:lang w:val="en-US"/>
        </w:rPr>
      </w:pPr>
      <w:r>
        <w:rPr>
          <w:rStyle w:val="FootnoteReference"/>
        </w:rPr>
        <w:footnoteRef/>
      </w:r>
      <w:r>
        <w:t xml:space="preserve"> </w:t>
      </w:r>
      <w:r>
        <w:tab/>
      </w:r>
      <w:r>
        <w:fldChar w:fldCharType="begin"/>
      </w:r>
      <w:r>
        <w:instrText xml:space="preserve"> ADDIN ZOTERO_ITEM CSL_CITATION {"citationID":"H0SL61C8","properties":{"formattedCitation":"Orhan Dagli and Glenn Jenkins, \\uc0\\u8220{}Consumer Preferences for Improvements in Mobile Telecommunication Services,\\uc0\\u8221{} 2015, https://doi.org/10.1016/j.tele.2015.07.002.","plainCitation":"Orhan Dagli and Glenn Jenkins, “Consumer Preferences for Improvements in Mobile Telecommunication Services,” 2015, https://doi.org/10.1016/j.tele.2015.07.002.","noteIndex":50},"citationItems":[{"id":229,"uris":["http://zotero.org/groups/1820930/items/SM7I6RDM"],"uri":["http://zotero.org/groups/1820930/items/SM7I6RDM"],"itemData":{"id":229,"type":"article-journal","title":"Consumer preferences for improvements in mobile telecommunication services","URL":"https://reader.elsevier.com/reader/sd/pii/S0736585315000817?token=0802C9E061467AA0FDC4B6FD2E15D1FC4E2BF9CF569E27F57B8F9C05AE7CF61ECDD87D00A76B9EED7350DCF58DECB842","note":"DOI: 10.1016/j.tele.2015.07.002","language":"en","author":[{"family":"Dagli","given":"Orhan"},{"family":"Jenkins","given":"Glenn"}],"issued":{"date-parts":[["2015"]]},"accessed":{"date-parts":[["2019",3,20]]}}}],"schema":"https://github.com/citation-style-language/schema/raw/master/csl-citation.json"} </w:instrText>
      </w:r>
      <w:r>
        <w:fldChar w:fldCharType="separate"/>
      </w:r>
      <w:r w:rsidRPr="00D918C0">
        <w:rPr>
          <w:szCs w:val="24"/>
        </w:rPr>
        <w:t>Orhan Dagli and Glenn Jenkins, “Consumer Preferences for Improvements in Mobile Telecommunication Services,” 2015, https://doi.org/10.1016/j.tele.2015.07.002.</w:t>
      </w:r>
      <w:r>
        <w:fldChar w:fldCharType="end"/>
      </w:r>
    </w:p>
  </w:footnote>
  <w:footnote w:id="51">
    <w:p w14:paraId="759A7715" w14:textId="33E2D420" w:rsidR="00513FB6" w:rsidRDefault="00513FB6" w:rsidP="00826B32">
      <w:pPr>
        <w:pStyle w:val="FootnoteText"/>
        <w:spacing w:before="0" w:after="60"/>
      </w:pPr>
      <w:r w:rsidRPr="005D11B8">
        <w:rPr>
          <w:rStyle w:val="FootnoteReference"/>
        </w:rPr>
        <w:footnoteRef/>
      </w:r>
      <w:r>
        <w:t xml:space="preserve"> </w:t>
      </w:r>
      <w:r>
        <w:tab/>
      </w:r>
      <w:r>
        <w:fldChar w:fldCharType="begin"/>
      </w:r>
      <w:r>
        <w:instrText xml:space="preserve"> ADDIN ZOTERO_ITEM CSL_CITATION {"citationID":"yQPy2jhj","properties":{"formattedCitation":"Ho Kyun Shin, Andrey Kim, and Chang Won Lee, \\uc0\\u8220{}Relationship between Consumer\\uc0\\u8217{}s Preference and Service Attributes in Mobile Telecommunication Service,\\uc0\\u8221{} {\\i{}Expert Systems with Applications} 38, no. 4 (April 2011): 3522\\uc0\\u8211{}27, https://doi.org/10.1016/j.eswa.2010.08.140.","plainCitation":"Ho Kyun Shin, Andrey Kim, and Chang Won Lee, “Relationship between Consumer’s Preference and Service Attributes in Mobile Telecommunication Service,” Expert Systems with Applications 38, no. 4 (April 2011): 3522–27, https://doi.org/10.1016/j.eswa.2010.08.140.","noteIndex":51},"citationItems":[{"id":294,"uris":["http://zotero.org/groups/1820930/items/98FGM5II"],"uri":["http://zotero.org/groups/1820930/items/98FGM5II"],"itemData":{"id":294,"type":"article-journal","title":"Relationship between consumer’s preference and service attributes in mobile telecommunication service","container-title":"Expert Systems with Applications","page":"3522-3527","volume":"38","issue":"4","source":"Crossref","abstract":"The mobile telecommunication sector is increasing, thus becoming a key area for economic development in global and local markets. One of potential ways to promote competition among service providers is to introduce a mobile number portability (MNP) service. Consumer preferences are estimated using conjoint analysis. Results indicate that subscribers do not consider the MNP service an import attribute, while price and service quality are the most valuable attributes. The results of this study provide important information to implement the ﬁrst service launch in mobile telecommunication and other similar information and communication technology (ICT) services.","DOI":"10.1016/j.eswa.2010.08.140","ISSN":"09574174","language":"en","author":[{"family":"Shin","given":"Ho Kyun"},{"family":"Kim","given":"Andrey"},{"family":"Lee","given":"Chang Won"}],"issued":{"date-parts":[["2011",4]]}}}],"schema":"https://github.com/citation-style-language/schema/raw/master/csl-citation.json"} </w:instrText>
      </w:r>
      <w:r>
        <w:fldChar w:fldCharType="separate"/>
      </w:r>
      <w:r w:rsidRPr="00087915">
        <w:rPr>
          <w:szCs w:val="24"/>
        </w:rPr>
        <w:t xml:space="preserve">Ho Kyun Shin, Andrey Kim, and Chang Won Lee, “Relationship between Consumer’s Preference and Service Attributes in Mobile Telecommunication Service,” </w:t>
      </w:r>
      <w:r w:rsidRPr="00087915">
        <w:rPr>
          <w:i/>
          <w:iCs/>
          <w:szCs w:val="24"/>
        </w:rPr>
        <w:t>Expert Systems with Applications</w:t>
      </w:r>
      <w:r w:rsidRPr="00087915">
        <w:rPr>
          <w:szCs w:val="24"/>
        </w:rPr>
        <w:t xml:space="preserve"> 38, no. 4 (April 2011): 3522–27, https://doi.org/10.1016/j.eswa.2010.08.140.</w:t>
      </w:r>
      <w:r>
        <w:fldChar w:fldCharType="end"/>
      </w:r>
    </w:p>
  </w:footnote>
  <w:footnote w:id="52">
    <w:p w14:paraId="41D766E7" w14:textId="15B1A91E" w:rsidR="00513FB6" w:rsidRDefault="00513FB6" w:rsidP="00826B32">
      <w:pPr>
        <w:pStyle w:val="FootnoteText"/>
        <w:spacing w:before="0" w:after="60"/>
      </w:pPr>
      <w:r w:rsidRPr="005D11B8">
        <w:rPr>
          <w:rStyle w:val="FootnoteReference"/>
        </w:rPr>
        <w:footnoteRef/>
      </w:r>
      <w:r>
        <w:t xml:space="preserve"> </w:t>
      </w:r>
      <w:r>
        <w:tab/>
      </w:r>
      <w:r>
        <w:fldChar w:fldCharType="begin"/>
      </w:r>
      <w:r>
        <w:instrText xml:space="preserve"> ADDIN ZOTERO_ITEM CSL_CITATION {"citationID":"a2x296ub","properties":{"formattedCitation":"Neil J. Keon and G. Anandalingam, \\uc0\\u8220{}Optimal Pricing for Multiple Services in Telecommunications Networks Offering Quality-of-Service Guarantees,\\uc0\\u8221{} {\\i{}IEEE/ACM Trans. Netw.} 11, no. 1 (February 2003): 66\\uc0\\u8211{}80, https://doi.org/10.1109/TNET.2002.808409.","plainCitation":"Neil J. Keon and G. Anandalingam, “Optimal Pricing for Multiple Services in Telecommunications Networks Offering Quality-of-Service Guarantees,” IEEE/ACM Trans. Netw. 11, no. 1 (February 2003): 66–80, https://doi.org/10.1109/TNET.2002.808409.","noteIndex":52},"citationItems":[{"id":639,"uris":["http://zotero.org/groups/1820930/items/PDYEPHX8"],"uri":["http://zotero.org/groups/1820930/items/PDYEPHX8"],"itemData":{"id":639,"type":"article-journal","title":"Optimal Pricing for Multiple Services in Telecommunications Networks Offering Quality-of-service Guarantees","container-title":"IEEE/ACM Trans. Netw.","page":"66–80","volume":"11","issue":"1","source":"ACM Digital Library","abstract":"We consider pricing for multiple services offered over a single telecommunications network. Each service has quality-of-service (QoS) requirements that are guaranteed to users. Service classes may be defined by the type of service, such as voice, video, or data, as well as the origin and destination of the connection provided to the user. We formulate the optimal pricing problem as a nonlinear integer expected revenue optimization problem. We simultaneously solve for prices and the resource allocations necessary to provide connections with guaranteed QoS. We derive optimality conditions and a solution method for this class of problems, and apply to a realistic model of a multiservice communications network.","DOI":"10.1109/TNET.2002.808409","ISSN":"1063-6692","author":[{"family":"Keon","given":"Neil J."},{"family":"Anandalingam","given":"G."}],"issued":{"date-parts":[["2003",2]]}}}],"schema":"https://github.com/citation-style-language/schema/raw/master/csl-citation.json"} </w:instrText>
      </w:r>
      <w:r>
        <w:fldChar w:fldCharType="separate"/>
      </w:r>
      <w:r w:rsidRPr="00087915">
        <w:rPr>
          <w:szCs w:val="24"/>
        </w:rPr>
        <w:t xml:space="preserve">Neil J. Keon and G. Anandalingam, “Optimal Pricing for Multiple Services in Telecommunications Networks Offering Quality-of-Service Guarantees,” </w:t>
      </w:r>
      <w:r w:rsidRPr="00087915">
        <w:rPr>
          <w:i/>
          <w:iCs/>
          <w:szCs w:val="24"/>
        </w:rPr>
        <w:t>IEEE/ACM Trans. Netw.</w:t>
      </w:r>
      <w:r w:rsidRPr="00087915">
        <w:rPr>
          <w:szCs w:val="24"/>
        </w:rPr>
        <w:t xml:space="preserve"> 11, no. 1 (February 2003): 66–80, https://doi.org/10.1109/TNET.2002.808409.</w:t>
      </w:r>
      <w:r>
        <w:fldChar w:fldCharType="end"/>
      </w:r>
    </w:p>
  </w:footnote>
  <w:footnote w:id="53">
    <w:p w14:paraId="0CDAA6EF" w14:textId="77777777" w:rsidR="00513FB6" w:rsidRPr="00613A4A" w:rsidRDefault="00513FB6" w:rsidP="005B26ED">
      <w:pPr>
        <w:pStyle w:val="FootnoteText"/>
        <w:spacing w:before="0" w:after="0"/>
      </w:pPr>
      <w:r w:rsidRPr="005D11B8">
        <w:rPr>
          <w:rStyle w:val="FootnoteReference"/>
        </w:rPr>
        <w:footnoteRef/>
      </w:r>
      <w:r>
        <w:t xml:space="preserve"> </w:t>
      </w:r>
      <w:r>
        <w:tab/>
      </w:r>
      <w:r>
        <w:fldChar w:fldCharType="begin"/>
      </w:r>
      <w:r>
        <w:instrText xml:space="preserve"> ADDIN ZOTERO_ITEM CSL_CITATION {"citationID":"UwRB2Mnz","properties":{"formattedCitation":"David A. Hensher, Nina Shore, and Kenneth Train, \\uc0\\u8220{}Willingness to Pay for Residential Electricity Supply Quality and Reliability,\\uc0\\u8221{} {\\i{}Applied Energy} 115 (February 15, 2014): 280\\uc0\\u8211{}92, https://doi.org/10.1016/j.apenergy.2013.11.007.","plainCitation":"David A. Hensher, Nina Shore, and Kenneth Train, “Willingness to Pay for Residential Electricity Supply Quality and Reliability,” Applied Energy 115 (February 15, 2014): 280–92, https://doi.org/10.1016/j.apenergy.2013.11.007.","noteIndex":53},"citationItems":[{"id":643,"uris":["http://zotero.org/groups/1820930/items/IY8FNCBG"],"uri":["http://zotero.org/groups/1820930/items/IY8FNCBG"],"itemData":{"id":643,"type":"article-journal","title":"Willingness to pay for residential electricity supply quality and reliability","container-title":"Applied Energy","page":"280-292","volume":"115","source":"ScienceDirect","abstract":"A key feature of many regulatory reviews is determination of the amount of expenditure that should be reflected in the revenue requirement for a service provider. An increasingly important driver in determining the appropriate level of this expenditure is the desired level of service quality and requisite service targets which are incorporated in the ‘regulatory bargain’. Willingness to pay (WTP) evidence can be used in the regulatory bargain to establish such targets. In this paper we study households’ WTP to avoid specific restrictions on service supply quality (especially reliability) in residential electricity, using stated choice experiments to reveal the set of preferences required to calculate WTP. Using a sample of residents in Canberra, Australia, we find that residential customers value reliability of the electricity service; in particular, frequency and the duration of outages are important to customers, and customers value incurring fewer and shorter outages, compared to more frequent and longer outages. The average WTP to avoid a common set of events such as outages, power surges and flickers in electric current vary from $60 per customer per event for an 8-h electricity outage when it occurs once a year through to $9 per event for a flicker in electric current.","DOI":"10.1016/j.apenergy.2013.11.007","ISSN":"0306-2619","journalAbbreviation":"Applied Energy","author":[{"family":"Hensher","given":"David A."},{"family":"Shore","given":"Nina"},{"family":"Train","given":"Kenneth"}],"issued":{"date-parts":[["2014",2,15]]}}}],"schema":"https://github.com/citation-style-language/schema/raw/master/csl-citation.json"} </w:instrText>
      </w:r>
      <w:r>
        <w:fldChar w:fldCharType="separate"/>
      </w:r>
      <w:r w:rsidRPr="00613A4A">
        <w:rPr>
          <w:szCs w:val="24"/>
        </w:rPr>
        <w:t xml:space="preserve">David A. Hensher, Nina Shore, and Kenneth Train, “Willingness to Pay for Residential Electricity Supply Quality and Reliability,” </w:t>
      </w:r>
      <w:r w:rsidRPr="00613A4A">
        <w:rPr>
          <w:i/>
          <w:iCs/>
          <w:szCs w:val="24"/>
        </w:rPr>
        <w:t>Applied Energy</w:t>
      </w:r>
      <w:r w:rsidRPr="00613A4A">
        <w:rPr>
          <w:szCs w:val="24"/>
        </w:rPr>
        <w:t xml:space="preserve"> 115 (February 15, 2014): 280–92, https://doi.org/10.1016/j.apenergy.2013.11.007.</w:t>
      </w:r>
      <w:r>
        <w:fldChar w:fldCharType="end"/>
      </w:r>
    </w:p>
  </w:footnote>
  <w:footnote w:id="54">
    <w:p w14:paraId="3B42DB71" w14:textId="77777777" w:rsidR="00513FB6" w:rsidRPr="00613A4A" w:rsidRDefault="00513FB6" w:rsidP="005B26ED">
      <w:pPr>
        <w:pStyle w:val="FootnoteText"/>
        <w:spacing w:before="0" w:after="0"/>
      </w:pPr>
      <w:r w:rsidRPr="005D11B8">
        <w:rPr>
          <w:rStyle w:val="FootnoteReference"/>
        </w:rPr>
        <w:footnoteRef/>
      </w:r>
      <w:r>
        <w:t xml:space="preserve"> </w:t>
      </w:r>
      <w:r>
        <w:tab/>
      </w:r>
      <w:r>
        <w:fldChar w:fldCharType="begin"/>
      </w:r>
      <w:r>
        <w:instrText xml:space="preserve"> ADDIN ZOTERO_ITEM CSL_CITATION {"citationID":"EGxc1pyK","properties":{"formattedCitation":"Aygul Ozbafli and Glenn P. Jenkins, \\uc0\\u8220{}Estimating the Willingness to Pay for Reliable Electricity Supply: A Choice Experiment Study,\\uc0\\u8221{} {\\i{}Energy Economics} 56 (May 1, 2016): 443\\uc0\\u8211{}52, https://doi.org/10.1016/j.eneco.2016.03.025.","plainCitation":"Aygul Ozbafli and Glenn P. Jenkins, “Estimating the Willingness to Pay for Reliable Electricity Supply: A Choice Experiment Study,” Energy Economics 56 (May 1, 2016): 443–52, https://doi.org/10.1016/j.eneco.2016.03.025.","noteIndex":54},"citationItems":[{"id":642,"uris":["http://zotero.org/groups/1820930/items/TEH7TBQH"],"uri":["http://zotero.org/groups/1820930/items/TEH7TBQH"],"itemData":{"id":642,"type":"article-journal","title":"Estimating the willingness to pay for reliable electricity supply: A choice experiment study","container-title":"Energy Economics","page":"443-452","volume":"56","source":"ScienceDirect","abstract":"This research examines households' willingness to pay (WTP) for an improved electricity service. Households' stated WTP is estimated using the choice experiment (CE) method. The data used in the estimations come from 350 in-person interviews conducted during the period 5–22 August 2008 in North Cyprus. Compensating variation (CV) estimates for a zero-outage scenario are calculated using the parameter estimates from the mixed logit (ML) model; these are 6.65 YTL (Turkish lira) per month (3.02 USD) for summer and 25.83 YTL per month (11.74 USD) for winter. In order to avoid the cost of outages, households are willing to incur a 3.6% and a 13.9% increase in their monthly electricity bill for summer and winter, respectively. The WTP per hour unserved is 0.28 YTL (0.13 USD) for summer, and 1.08 YTL (0.49 USD) for winter. A preliminary cost–benefit analysis indicates that the annualized economic benefits are approximately 42.7 million YTL (19.4 million USD) for the residential sector. This would justify an investment in additional generation capacity of approximately 268MW, which is far more than that which is needed to eliminate the service reliability problem.","DOI":"10.1016/j.eneco.2016.03.025","ISSN":"0140-9883","title-short":"Estimating the willingness to pay for reliable electricity supply","journalAbbreviation":"Energy Economics","author":[{"family":"Ozbafli","given":"Aygul"},{"family":"Jenkins","given":"Glenn P."}],"issued":{"date-parts":[["2016",5,1]]}}}],"schema":"https://github.com/citation-style-language/schema/raw/master/csl-citation.json"} </w:instrText>
      </w:r>
      <w:r>
        <w:fldChar w:fldCharType="separate"/>
      </w:r>
      <w:r w:rsidRPr="00613A4A">
        <w:rPr>
          <w:szCs w:val="24"/>
        </w:rPr>
        <w:t xml:space="preserve">Aygul Ozbafli and Glenn P. Jenkins, “Estimating the Willingness to Pay for Reliable Electricity Supply: A Choice Experiment Study,” </w:t>
      </w:r>
      <w:r w:rsidRPr="00613A4A">
        <w:rPr>
          <w:i/>
          <w:iCs/>
          <w:szCs w:val="24"/>
        </w:rPr>
        <w:t>Energy Economics</w:t>
      </w:r>
      <w:r w:rsidRPr="00613A4A">
        <w:rPr>
          <w:szCs w:val="24"/>
        </w:rPr>
        <w:t xml:space="preserve"> 56 (May 1, 2016): 443–52, https://doi.org/10.1016/j.eneco.2016.03.025.</w:t>
      </w:r>
      <w:r>
        <w:fldChar w:fldCharType="end"/>
      </w:r>
    </w:p>
  </w:footnote>
  <w:footnote w:id="55">
    <w:p w14:paraId="0EE955DF" w14:textId="6FF701C0" w:rsidR="00513FB6" w:rsidRDefault="00513FB6" w:rsidP="005B26ED">
      <w:pPr>
        <w:pStyle w:val="FootnoteText"/>
        <w:spacing w:before="0" w:after="0"/>
      </w:pPr>
      <w:r w:rsidRPr="005D11B8">
        <w:rPr>
          <w:rStyle w:val="FootnoteReference"/>
        </w:rPr>
        <w:footnoteRef/>
      </w:r>
      <w:r>
        <w:t xml:space="preserve"> </w:t>
      </w:r>
      <w:r>
        <w:tab/>
      </w:r>
      <w:r>
        <w:fldChar w:fldCharType="begin"/>
      </w:r>
      <w:r>
        <w:instrText xml:space="preserve"> ADDIN ZOTERO_ITEM CSL_CITATION {"citationID":"7QXjwtqD","properties":{"formattedCitation":"Australian Energy Market Operator, \\uc0\\u8220{}Value of Customer Reliability Review.\\uc0\\u8221{}","plainCitation":"Australian Energy Market Operator, “Value of Customer Reliability Review.”","noteIndex":55},"citationItems":[{"id":233,"uris":["http://zotero.org/groups/1820930/items/Q6MUQUY5"],"uri":["http://zotero.org/groups/1820930/items/Q6MUQUY5"],"itemData":{"id":233,"type":"report","title":"Value of Customer Reliability Review","abstract":"The purpose of this publication is to provide information about the outcomes of AEMO’s 2013–14 Value of Customer Reliability (VCR) review","URL":"http://www.aemo.com.au/-/media/Files/PDF/VCR-final-report--PDF-update-27-Nov-14.pdf","author":[{"literal":"Australian Energy Market Operator"}],"issued":{"date-parts":[["2014",9]]},"accessed":{"date-parts":[["2019",4,3]]}}}],"schema":"https://github.com/citation-style-language/schema/raw/master/csl-citation.json"} </w:instrText>
      </w:r>
      <w:r>
        <w:fldChar w:fldCharType="separate"/>
      </w:r>
      <w:r w:rsidRPr="00A6488A">
        <w:rPr>
          <w:szCs w:val="24"/>
        </w:rPr>
        <w:t>Australian Energy Market Operator, “Value of Customer Reliability Review.”</w:t>
      </w:r>
      <w:r>
        <w:fldChar w:fldCharType="end"/>
      </w:r>
    </w:p>
  </w:footnote>
  <w:footnote w:id="56">
    <w:p w14:paraId="288FFAFE" w14:textId="77777777" w:rsidR="00513FB6" w:rsidRPr="00A70598" w:rsidRDefault="00513FB6" w:rsidP="005B26ED">
      <w:pPr>
        <w:pStyle w:val="FootnoteText"/>
        <w:spacing w:before="0" w:after="0"/>
        <w:rPr>
          <w:lang w:val="en-US"/>
        </w:rPr>
      </w:pPr>
      <w:r w:rsidRPr="005D11B8">
        <w:rPr>
          <w:rStyle w:val="FootnoteReference"/>
        </w:rPr>
        <w:footnoteRef/>
      </w:r>
      <w:r>
        <w:t xml:space="preserve"> </w:t>
      </w:r>
      <w:r>
        <w:tab/>
      </w:r>
      <w:r>
        <w:fldChar w:fldCharType="begin"/>
      </w:r>
      <w:r>
        <w:instrText xml:space="preserve"> ADDIN ZOTERO_ITEM CSL_CITATION {"citationID":"CeAaBJu2","properties":{"formattedCitation":"Houston Kemp, \\uc0\\u8220{}CBD and Inner Metro VCR Estimates (A Report for TransGrid)\\uc0\\u8221{} (Sydney, Australia, July 28, 2016), https://www.ipart.nsw.gov.au/files/sharedassets/website/shared-files/investigation-section-12-publications-electricity-transmission-reliability-standards/consultant-report-transgrid-vcr-estimates-july-2016.pdf.","plainCitation":"Houston Kemp, “CBD and Inner Metro VCR Estimates (A Report for TransGrid)” (Sydney, Australia, July 28, 2016), https://www.ipart.nsw.gov.au/files/sharedassets/website/shared-files/investigation-section-12-publications-electricity-transmission-reliability-standards/consultant-report-transgrid-vcr-estimates-july-2016.pdf.","noteIndex":56},"citationItems":[{"id":227,"uris":["http://zotero.org/groups/1820930/items/XHQKJ2VX"],"uri":["http://zotero.org/groups/1820930/items/XHQKJ2VX"],"itemData":{"id":227,"type":"report","title":"CBD and Inner Metro VCR estimates (A report for TransGrid)","publisher-place":"Sydney, Australia","event-place":"Sydney, Australia","URL":"https://www.ipart.nsw.gov.au/files/sharedassets/website/shared-files/investigation-section-12-publications-electricity-transmission-reliability-standards/consultant-report-transgrid-vcr-estimates-july-2016.pdf","author":[{"literal":"Houston Kemp"}],"issued":{"date-parts":[["2016",7,28]]}}}],"schema":"https://github.com/citation-style-language/schema/raw/master/csl-citation.json"} </w:instrText>
      </w:r>
      <w:r>
        <w:fldChar w:fldCharType="separate"/>
      </w:r>
      <w:r w:rsidRPr="00A70598">
        <w:rPr>
          <w:szCs w:val="24"/>
        </w:rPr>
        <w:t>Houston Kemp, “CBD and Inner Metro VCR Estimates (A Report for TransGrid)” (Sydney, Australia, July 28, 2016), https://www.ipart.nsw.gov.au/files/sharedassets/website/shared-files/investigation-section-12-publications-electricity-transmission-reliability-standards/consultant-report-transgrid-vcr-estimates-july-2016.pdf.</w:t>
      </w:r>
      <w:r>
        <w:fldChar w:fldCharType="end"/>
      </w:r>
    </w:p>
  </w:footnote>
  <w:footnote w:id="57">
    <w:p w14:paraId="369CB7D8" w14:textId="77777777" w:rsidR="00513FB6" w:rsidRPr="00320F86" w:rsidRDefault="00513FB6" w:rsidP="005B26ED">
      <w:pPr>
        <w:pStyle w:val="FootnoteText"/>
        <w:spacing w:before="0" w:after="0"/>
        <w:rPr>
          <w:lang w:val="de-DE"/>
        </w:rPr>
      </w:pPr>
      <w:r w:rsidRPr="005D11B8">
        <w:rPr>
          <w:rStyle w:val="FootnoteReference"/>
        </w:rPr>
        <w:footnoteRef/>
      </w:r>
      <w:r w:rsidRPr="00320F86">
        <w:rPr>
          <w:lang w:val="de-DE"/>
        </w:rPr>
        <w:t xml:space="preserve"> </w:t>
      </w:r>
      <w:r w:rsidRPr="00320F86">
        <w:rPr>
          <w:lang w:val="de-DE"/>
        </w:rPr>
        <w:tab/>
      </w:r>
      <w:r>
        <w:fldChar w:fldCharType="begin"/>
      </w:r>
      <w:r w:rsidRPr="00320F86">
        <w:rPr>
          <w:lang w:val="de-DE"/>
        </w:rPr>
        <w:instrText xml:space="preserve"> ADDIN ZOTERO_ITEM CSL_CITATION {"citationID":"DaAbINl2","properties":{"formattedCitation":"P. Larsen et al., \\uc0\\u8220{}Frontiers in the Economics of Widespread, Long-Duration Power Interruptions: Proceedings from an Expert Workshop,\\uc0\\u8221{} 2019.","plainCitation":"P. Larsen et al., “Frontiers in the Economics of Widespread, Long-Duration Power Interruptions: Proceedings from an Expert Workshop,” 2019.","noteIndex":57},"citationItems":[{"id":223,"uris":["http://zotero.org/groups/1820930/items/6JX26342"],"uri":["http://zotero.org/groups/1820930/items/6JX26342"],"itemData":{"id":223,"type":"article-journal","title":"Frontiers in the Economics of Widespread, Long-Duration Power Interruptions: Proceedings from an Expert Workshop","abstract":"The costs to electric utility customers from short-term, limited geographic-scale power disruptions have been studied for many years. However, there is increasing interest among regulators, policy-makers, and utilities in developing and implementing methods for analyzing interruptions that are of longer duration (days, weeks, or longer) and of a larger geographic scope (entire metropolitan areas or regions which may extend across multiple service territories). A 2017 report from the U.S. National Academies of Sciences, Engineering, and Medicine indicated the importance of  develop[ing] comprehensive studies to assess the value to customers of improved reliability and resilience…during large-area, longduration blackouts.” \nAs a contribution toward fulfilling this recommendation, the U.S. Department of Energy’s (DOE)  Office of Electricity’s Transmission Permitting and Technical Assistance Division, in partnership with Lawrence Berkeley National Laboratory (LBNL), convened a workshop to identify research needs  and discuss potential avenues for methodological advances in the economics of widespread,  long-duration power interruptions. The workshop was organized around six key themes in the economics of widespread, long-duration interruptions. LBNL conducted a competitive solicitation for white papers on these themes, and the authors selected were leading experts in academia,  industry, and the non-profit sector. They were tasked with assessing the state of knowledge on particular topics, and identifying research needs and promising directions to expand it. These topics included definitions of resilience and reliability; regional economic modeling approaches;  uncertainty quantification; data challenges and opportunities; contingent valuation survey techniques; and reduced-form analytical tools for assessing the impacts of power interruptions of this scale.","author":[{"family":"Larsen","given":"P."},{"family":"Kristina","given":"S. H."},{"family":"Kristina","given":"S. H."},{"family":"Eto","given":"Joseph"},{"family":"Sanstad","given":"Alan"}],"issued":{"date-parts":[["2019"]]}}}],"schema":"https://github.com/citation-style-language/schema/raw/master/csl-citation.json"} </w:instrText>
      </w:r>
      <w:r>
        <w:fldChar w:fldCharType="separate"/>
      </w:r>
      <w:r w:rsidRPr="00320F86">
        <w:rPr>
          <w:szCs w:val="24"/>
          <w:lang w:val="de-DE"/>
        </w:rPr>
        <w:t>P. Larsen et al., “Frontiers in the Economics of Widespread, Long-Duration Power Interruptions: Proceedings from an Expert Workshop,” 2019.</w:t>
      </w:r>
      <w:r>
        <w:fldChar w:fldCharType="end"/>
      </w:r>
    </w:p>
  </w:footnote>
  <w:footnote w:id="58">
    <w:p w14:paraId="35459D94" w14:textId="60B9CF70" w:rsidR="00513FB6" w:rsidRPr="00613A4A" w:rsidRDefault="00513FB6" w:rsidP="005B26ED">
      <w:pPr>
        <w:pStyle w:val="FootnoteText"/>
        <w:spacing w:before="0" w:after="0"/>
      </w:pPr>
      <w:r w:rsidRPr="005D11B8">
        <w:rPr>
          <w:rStyle w:val="FootnoteReference"/>
        </w:rPr>
        <w:footnoteRef/>
      </w:r>
      <w:r>
        <w:t xml:space="preserve"> </w:t>
      </w:r>
      <w:r>
        <w:tab/>
      </w:r>
      <w:r>
        <w:fldChar w:fldCharType="begin"/>
      </w:r>
      <w:r>
        <w:instrText xml:space="preserve"> ADDIN ZOTERO_ITEM CSL_CITATION {"citationID":"NebZlCiO","properties":{"formattedCitation":"Oakley Greenwood, \\uc0\\u8220{}Economic Assessment of Electricity Distribution Reliability Standard Packages,\\uc0\\u8221{} June 26, 2018, https://www.escosa.sa.gov.au/ArticleDocuments/1186/20180801-Electricity-EconomicAnalysisReliabilityImprovementPackages-SSF20Report-OakleyGreenwood.pdf.aspx.","plainCitation":"Oakley Greenwood, “Economic Assessment of Electricity Distribution Reliability Standard Packages,” June 26, 2018, https://www.escosa.sa.gov.au/ArticleDocuments/1186/20180801-Electricity-EconomicAnalysisReliabilityImprovementPackages-SSF20Report-OakleyGreenwood.pdf.aspx.","noteIndex":58},"citationItems":[{"id":243,"uris":["http://zotero.org/groups/1820930/items/U9JS4VRV"],"uri":["http://zotero.org/groups/1820930/items/U9JS4VRV"],"itemData":{"id":243,"type":"report","title":"Economic assessment of electricity distribution reliability standard packages","URL":"https://www.escosa.sa.gov.au/ArticleDocuments/1186/20180801-Electricity-EconomicAnalysisReliabilityImprovementPackages-SSF20Report-OakleyGreenwood.pdf.aspx","author":[{"literal":"Oakley Greenwood"}],"issued":{"date-parts":[["2018",6,26]]},"accessed":{"date-parts":[["2019",3,4]]}}}],"schema":"https://github.com/citation-style-language/schema/raw/master/csl-citation.json"} </w:instrText>
      </w:r>
      <w:r>
        <w:fldChar w:fldCharType="separate"/>
      </w:r>
      <w:r w:rsidRPr="00613A4A">
        <w:rPr>
          <w:szCs w:val="24"/>
        </w:rPr>
        <w:t>Oakley Greenwood, “Economic Assessment of Electricity Distribution Reliability Standard Packages,” June 26, 2018, https://www.escosa.sa.gov.au/ArticleDocuments/1186/20180801-Electricity-EconomicAnalysisReliabilityImprovementPackages-SSF20Report-OakleyGreenwood.pdf.aspx.</w:t>
      </w:r>
      <w:r>
        <w:fldChar w:fldCharType="end"/>
      </w:r>
    </w:p>
  </w:footnote>
  <w:footnote w:id="59">
    <w:p w14:paraId="4ABB14E0" w14:textId="77777777" w:rsidR="00513FB6" w:rsidRDefault="00513FB6" w:rsidP="005B26ED">
      <w:pPr>
        <w:pStyle w:val="FootnoteText"/>
        <w:spacing w:before="0" w:after="0"/>
      </w:pPr>
      <w:r w:rsidRPr="005D11B8">
        <w:rPr>
          <w:rStyle w:val="FootnoteReference"/>
        </w:rPr>
        <w:footnoteRef/>
      </w:r>
      <w:r>
        <w:t xml:space="preserve"> </w:t>
      </w:r>
      <w:r>
        <w:tab/>
      </w:r>
      <w:r>
        <w:fldChar w:fldCharType="begin"/>
      </w:r>
      <w:r>
        <w:instrText xml:space="preserve"> ADDIN ZOTERO_ITEM CSL_CITATION {"citationID":"PRFIfdl5","properties":{"formattedCitation":"Matthias Hofmann et al., \\uc0\\u8220{}Study on Estimation of Costs Due to Electricity Interruptions and Voltage Disturbances,\\uc0\\u8221{} {\\i{}SINTEF Energy Rearch}, 2010.","plainCitation":"Matthias Hofmann et al., “Study on Estimation of Costs Due to Electricity Interruptions and Voltage Disturbances,” SINTEF Energy Rearch, 2010.","noteIndex":59},"citationItems":[{"id":222,"uris":["http://zotero.org/groups/1820930/items/C5TC3GQ6"],"uri":["http://zotero.org/groups/1820930/items/C5TC3GQ6"],"itemData":{"id":222,"type":"article-journal","title":"Study on Estimation of Costs due to Electricity interruptions and Voltage Disturbances","container-title":"SINTEF Energy Rearch","author":[{"family":"Hofmann","given":"Matthias"},{"family":"Seljeseth","given":"Helge"},{"family":"Volden","given":"Gro Holst"},{"family":"Kjølle","given":"G. H."}],"issued":{"date-parts":[["2010"]]}}}],"schema":"https://github.com/citation-style-language/schema/raw/master/csl-citation.json"} </w:instrText>
      </w:r>
      <w:r>
        <w:fldChar w:fldCharType="separate"/>
      </w:r>
      <w:r w:rsidRPr="00393958">
        <w:rPr>
          <w:szCs w:val="24"/>
        </w:rPr>
        <w:t xml:space="preserve">Matthias Hofmann et al., “Study on Estimation of Costs Due to Electricity Interruptions and Voltage Disturbances,” </w:t>
      </w:r>
      <w:r w:rsidRPr="00393958">
        <w:rPr>
          <w:i/>
          <w:iCs/>
          <w:szCs w:val="24"/>
        </w:rPr>
        <w:t>SINTEF Energy Rearch</w:t>
      </w:r>
      <w:r w:rsidRPr="00393958">
        <w:rPr>
          <w:szCs w:val="24"/>
        </w:rPr>
        <w:t>, 2010.</w:t>
      </w:r>
      <w:r>
        <w:fldChar w:fldCharType="end"/>
      </w:r>
    </w:p>
  </w:footnote>
  <w:footnote w:id="60">
    <w:p w14:paraId="061CB49D" w14:textId="77777777" w:rsidR="00513FB6" w:rsidRDefault="00513FB6" w:rsidP="005B26ED">
      <w:pPr>
        <w:pStyle w:val="FootnoteText"/>
        <w:spacing w:before="0" w:after="0"/>
      </w:pPr>
      <w:r w:rsidRPr="005D11B8">
        <w:rPr>
          <w:rStyle w:val="FootnoteReference"/>
        </w:rPr>
        <w:footnoteRef/>
      </w:r>
      <w:r>
        <w:t xml:space="preserve"> </w:t>
      </w:r>
      <w:r>
        <w:tab/>
      </w:r>
      <w:r>
        <w:fldChar w:fldCharType="begin"/>
      </w:r>
      <w:r>
        <w:instrText xml:space="preserve"> ADDIN ZOTERO_ITEM CSL_CITATION {"citationID":"6HZHol4j","properties":{"formattedCitation":"Thomas Schr\\uc0\\u246{}der and Wilhelm Kuckshinrichs, \\uc0\\u8220{}Value of Lost Load: An Efficient Economic Indicator for Power Supply Security? A Literature Review,\\uc0\\u8221{} {\\i{}Frontiers in Energy Research} 3 (2015), https://doi.org/10.3389/fenrg.2015.00055.","plainCitation":"Thomas Schröder and Wilhelm Kuckshinrichs, “Value of Lost Load: An Efficient Economic Indicator for Power Supply Security? A Literature Review,” Frontiers in Energy Research 3 (2015), https://doi.org/10.3389/fenrg.2015.00055.","noteIndex":60},"citationItems":[{"id":224,"uris":["http://zotero.org/groups/1820930/items/QUW8HATU"],"uri":["http://zotero.org/groups/1820930/items/QUW8HATU"],"itemData":{"id":224,"type":"article-journal","title":"Value of Lost Load: An Efficient Economic Indicator for Power Supply Security? A Literature Review","container-title":"Frontiers in Energy Research","volume":"3","source":"Frontiers","abstract":"Security of electricity supply has become a fundamental requirement for well-functioning modern societies. Because of its central position in all sections of society, the present paper considers the economic consequences of a power supply interruption. The Value of Lost Load (VoLL) is a monetary indicator expressing the costs associated with an interruption of electricity supply. This paper reviews different methods for calculating VoLL, provides an overview of recently published studies, and presents suggestions to increase the explanatory power and international comparability of VoLL.","URL":"https://www.frontiersin.org/articles/10.3389/fenrg.2015.00055/full","DOI":"10.3389/fenrg.2015.00055","ISSN":"2296-598X","title-short":"Value of Lost Load","journalAbbreviation":"Front. Energy Res.","language":"English","author":[{"family":"Schröder","given":"Thomas"},{"family":"Kuckshinrichs","given":"Wilhelm"}],"issued":{"date-parts":[["2015"]]},"accessed":{"date-parts":[["2019",4,11]]}}}],"schema":"https://github.com/citation-style-language/schema/raw/master/csl-citation.json"} </w:instrText>
      </w:r>
      <w:r>
        <w:fldChar w:fldCharType="separate"/>
      </w:r>
      <w:r w:rsidRPr="00393958">
        <w:rPr>
          <w:szCs w:val="24"/>
        </w:rPr>
        <w:t xml:space="preserve">Thomas Schröder and Wilhelm Kuckshinrichs, “Value of Lost Load: An Efficient Economic Indicator for Power Supply Security? A Literature Review,” </w:t>
      </w:r>
      <w:r w:rsidRPr="00393958">
        <w:rPr>
          <w:i/>
          <w:iCs/>
          <w:szCs w:val="24"/>
        </w:rPr>
        <w:t>Frontiers in Energy Research</w:t>
      </w:r>
      <w:r w:rsidRPr="00393958">
        <w:rPr>
          <w:szCs w:val="24"/>
        </w:rPr>
        <w:t xml:space="preserve"> 3 (2015), https://doi.org/10.3389/fenrg.2015.00055.</w:t>
      </w:r>
      <w:r>
        <w:fldChar w:fldCharType="end"/>
      </w:r>
    </w:p>
  </w:footnote>
  <w:footnote w:id="61">
    <w:p w14:paraId="7C36E646" w14:textId="43F8EF01" w:rsidR="00513FB6" w:rsidRPr="005B593C" w:rsidRDefault="00513FB6" w:rsidP="005B26ED">
      <w:pPr>
        <w:pStyle w:val="FootnoteText"/>
        <w:spacing w:before="0" w:after="0"/>
        <w:rPr>
          <w:lang w:val="en-US"/>
        </w:rPr>
      </w:pPr>
      <w:r w:rsidRPr="005D11B8">
        <w:rPr>
          <w:rStyle w:val="FootnoteReference"/>
        </w:rPr>
        <w:footnoteRef/>
      </w:r>
      <w:r>
        <w:t xml:space="preserve"> </w:t>
      </w:r>
      <w:r>
        <w:tab/>
      </w:r>
      <w:r>
        <w:fldChar w:fldCharType="begin"/>
      </w:r>
      <w:r>
        <w:instrText xml:space="preserve"> ADDIN ZOTERO_ITEM CSL_CITATION {"citationID":"lmnVJkUV","properties":{"formattedCitation":"Ben McNair and Michael Ward, \\uc0\\u8220{}Willingness to Pay Research Project,\\uc0\\u8221{} Final Report (Prepared for ACTEW Corporation, 2012).","plainCitation":"Ben McNair and Michael Ward, “Willingness to Pay Research Project,” Final Report (Prepared for ACTEW Corporation, 2012).","noteIndex":61},"citationItems":[{"id":599,"uris":["http://zotero.org/groups/1820930/items/5BBSE9ZP"],"uri":["http://zotero.org/groups/1820930/items/5BBSE9ZP"],"itemData":{"id":599,"type":"report","title":"Willingness to pay research project","publisher":"Prepared for ACTEW Corporation","genre":"Final Report","author":[{"family":"McNair","given":"Ben"},{"family":"Ward","given":"Michael"}],"issued":{"date-parts":[["2012"]]}}}],"schema":"https://github.com/citation-style-language/schema/raw/master/csl-citation.json"} </w:instrText>
      </w:r>
      <w:r>
        <w:fldChar w:fldCharType="separate"/>
      </w:r>
      <w:r w:rsidRPr="004A118B">
        <w:rPr>
          <w:szCs w:val="24"/>
        </w:rPr>
        <w:t>Ben McNair and Michael Ward, “Willingness to Pay Research Project,” Final Report (Prepared for ACTEW Corporation, 2012).</w:t>
      </w:r>
      <w:r>
        <w:fldChar w:fldCharType="end"/>
      </w:r>
    </w:p>
  </w:footnote>
  <w:footnote w:id="62">
    <w:p w14:paraId="695AF931" w14:textId="2D2E3998" w:rsidR="00513FB6" w:rsidRDefault="00513FB6" w:rsidP="005B26ED">
      <w:pPr>
        <w:pStyle w:val="FootnoteText"/>
        <w:spacing w:before="0" w:after="0"/>
      </w:pPr>
      <w:r w:rsidRPr="005D11B8">
        <w:rPr>
          <w:rStyle w:val="FootnoteReference"/>
        </w:rPr>
        <w:footnoteRef/>
      </w:r>
      <w:r>
        <w:t xml:space="preserve"> </w:t>
      </w:r>
      <w:r>
        <w:tab/>
      </w:r>
      <w:r>
        <w:fldChar w:fldCharType="begin"/>
      </w:r>
      <w:r>
        <w:instrText xml:space="preserve"> ADDIN ZOTERO_ITEM CSL_CITATION {"citationID":"dyA7FbVv","properties":{"formattedCitation":"Bethany Cooper, Michael Burton, and Lin Crase, \\uc0\\u8220{}Avoiding Water Restrictions in Australia: Using a Finite Mixture Scaled Ordered Probit Model to Investigate the Impact of Changes in the Climatic Setting\\uc0\\u8221{} (World Congress of Environmental and Resource Economists, 2014).","plainCitation":"Bethany Cooper, Michael Burton, and Lin Crase, “Avoiding Water Restrictions in Australia: Using a Finite Mixture Scaled Ordered Probit Model to Investigate the Impact of Changes in the Climatic Setting” (World Congress of Environmental and Resource Economists, 2014).","noteIndex":62},"citationItems":[{"id":776,"uris":["http://zotero.org/groups/1820930/items/45F299TW"],"uri":["http://zotero.org/groups/1820930/items/45F299TW"],"itemData":{"id":776,"type":"paper-conference","title":"Avoiding water restrictions in Australia: using a finite mixture scaled ordered probit model to investigate the impact of changes in the climatic setting","publisher":"World Congress of Environmental and Resource Economists","author":[{"family":"Cooper","given":"Bethany"},{"family":"Burton","given":"Michael"},{"family":"Crase","given":"Lin"}],"issued":{"date-parts":[["2014"]]}}}],"schema":"https://github.com/citation-style-language/schema/raw/master/csl-citation.json"} </w:instrText>
      </w:r>
      <w:r>
        <w:fldChar w:fldCharType="separate"/>
      </w:r>
      <w:r w:rsidRPr="00C31481">
        <w:rPr>
          <w:szCs w:val="24"/>
        </w:rPr>
        <w:t>Bethany Cooper, Michael Burton, and Lin Crase, “Avoiding Water Restrictions in Australia: Using a Finite Mixture Scaled Ordered Probit Model to Investigate the Impact of Changes in the Climatic Setting” (World Congress of Environmental and Resource Economists, 2014).</w:t>
      </w:r>
      <w:r>
        <w:fldChar w:fldCharType="end"/>
      </w:r>
    </w:p>
  </w:footnote>
  <w:footnote w:id="63">
    <w:p w14:paraId="7BFEF6AC" w14:textId="0128F051" w:rsidR="00513FB6" w:rsidRDefault="00513FB6" w:rsidP="005B26ED">
      <w:pPr>
        <w:pStyle w:val="FootnoteText"/>
        <w:spacing w:before="0" w:after="0"/>
      </w:pPr>
      <w:r w:rsidRPr="005D11B8">
        <w:rPr>
          <w:rStyle w:val="FootnoteReference"/>
        </w:rPr>
        <w:footnoteRef/>
      </w:r>
      <w:r>
        <w:t xml:space="preserve"> </w:t>
      </w:r>
      <w:r>
        <w:tab/>
      </w:r>
      <w:r>
        <w:fldChar w:fldCharType="begin"/>
      </w:r>
      <w:r>
        <w:instrText xml:space="preserve"> ADDIN ZOTERO_ITEM CSL_CITATION {"citationID":"LT3e7R7p","properties":{"formattedCitation":"Bethany Cooper, Lin Crase, and Michael Burton, \\uc0\\u8220{}Willingness to Pay to Avoid Water Restrictions in Australia Under a Changing Climate,\\uc0\\u8221{} {\\i{}Environmental and Resource Economics}, March 2, 2018, 1\\uc0\\u8211{}25, https://doi.org/10.1007/s10640-018-0228-x.","plainCitation":"Bethany Cooper, Lin Crase, and Michael Burton, “Willingness to Pay to Avoid Water Restrictions in Australia Under a Changing Climate,” Environmental and Resource Economics, March 2, 2018, 1–25, https://doi.org/10.1007/s10640-018-0228-x.","noteIndex":63},"citationItems":[{"id":303,"uris":["http://zotero.org/groups/1820930/items/7NQ86WX4"],"uri":["http://zotero.org/groups/1820930/items/7NQ86WX4"],"itemData":{"id":303,"type":"article-journal","title":"Willingness to Pay to Avoid Water Restrictions in Australia Under a Changing Climate","container-title":"Environmental and Resource Economics","page":"1-25","source":"link.springer.com","abstract":"Mandatory water use restrictions have become a common feature of the urban water management landscape in countries like Australia. Water restrictions limit how water can be used and their impacts have often been enumerated by using stated preference techniques, like contingent valuation. Most interest in these studies emerged in times of drought, when the severity of restrictions and their deployment had increased and water managers contemplate supply augmentation measures. A question thus arises as to whether the same estimates can be legitimately deployed to water supply projects undertaken when water is more plentiful. This study sheds light on the impact on estimates of willingness to pay when the climatic backdrop to a contingent valuation experiment is altered. We report the results of a comparison between two surveys, undertaken in 2008 and 2012, using a common multiple-bounded discrete choice contingent valuation design, administered across six cities in Australia, covering metropolitan and regional settings. Using a finite mixture, scaled ordered probit model we investigate changes over time in willingness to pay by city, and also causes of individual heterogeneity in willingness to pay. We find that willingness to pay estimates significantly change over time in most regional centres but this is not the case for the major cities of Sydney and Melbourne, once changes in housing prices are included in the analysis.","DOI":"10.1007/s10640-018-0228-x","ISSN":"0924-6460, 1573-1502","journalAbbreviation":"Environ Resource Econ","language":"en","author":[{"family":"Cooper","given":"Bethany"},{"family":"Crase","given":"Lin"},{"family":"Burton","given":"Michael"}],"issued":{"date-parts":[["2018",3,2]]}}}],"schema":"https://github.com/citation-style-language/schema/raw/master/csl-citation.json"} </w:instrText>
      </w:r>
      <w:r>
        <w:fldChar w:fldCharType="separate"/>
      </w:r>
      <w:r w:rsidRPr="00C31481">
        <w:rPr>
          <w:szCs w:val="24"/>
        </w:rPr>
        <w:t xml:space="preserve">Bethany Cooper, Lin Crase, and Michael Burton, “Willingness to Pay to Avoid Water Restrictions in Australia Under a Changing Climate,” </w:t>
      </w:r>
      <w:r w:rsidRPr="00C31481">
        <w:rPr>
          <w:i/>
          <w:iCs/>
          <w:szCs w:val="24"/>
        </w:rPr>
        <w:t>Environmental and Resource Economics</w:t>
      </w:r>
      <w:r w:rsidRPr="00C31481">
        <w:rPr>
          <w:szCs w:val="24"/>
        </w:rPr>
        <w:t>, March 2, 2018, 1–25, https://doi.org/10.1007/s10640-018-0228-x.</w:t>
      </w:r>
      <w:r>
        <w:fldChar w:fldCharType="end"/>
      </w:r>
    </w:p>
  </w:footnote>
  <w:footnote w:id="64">
    <w:p w14:paraId="3ECA88E2" w14:textId="22AF776D" w:rsidR="00513FB6" w:rsidRDefault="00513FB6" w:rsidP="005B26ED">
      <w:pPr>
        <w:pStyle w:val="FootnoteText"/>
        <w:spacing w:before="0" w:after="0"/>
      </w:pPr>
      <w:r w:rsidRPr="005D11B8">
        <w:rPr>
          <w:rStyle w:val="FootnoteReference"/>
        </w:rPr>
        <w:footnoteRef/>
      </w:r>
      <w:r>
        <w:t xml:space="preserve"> </w:t>
      </w:r>
      <w:r>
        <w:tab/>
      </w:r>
      <w:r>
        <w:fldChar w:fldCharType="begin"/>
      </w:r>
      <w:r>
        <w:instrText xml:space="preserve"> ADDIN ZOTERO_ITEM CSL_CITATION {"citationID":"TOSv2xBG","properties":{"formattedCitation":"Steven Buck et al., \\uc0\\u8220{}Measuring Welfare Losses from Urban Water Supply Disruptions,\\uc0\\u8221{} {\\i{}Journal of the Association of Environmental and Resource Economists} 3, no. 3 (July 27, 2016): 743\\uc0\\u8211{}78, https://doi.org/10.1086/687761.","plainCitation":"Steven Buck et al., “Measuring Welfare Losses from Urban Water Supply Disruptions,” Journal of the Association of Environmental and Resource Economists 3, no. 3 (July 27, 2016): 743–78, https://doi.org/10.1086/687761.","noteIndex":64},"citationItems":[{"id":620,"uris":["http://zotero.org/groups/1820930/items/HYE7ACHT"],"uri":["http://zotero.org/groups/1820930/items/HYE7ACHT"],"itemData":{"id":620,"type":"article-journal","title":"Measuring Welfare Losses from Urban Water Supply Disruptions","container-title":"Journal of the Association of Environmental and Resource Economists","page":"743-778","volume":"3","issue":"3","source":"journals.uchicago.edu (Atypon)","abstract":"The paper evaluates welfare losses from urban water supply disruptions for a sample of 53 urban water utilities in California collectively providing service to over 20 million customers. The analysis accounts for the fact that most water utilities engage in a form of average cost pricing where volumetric rates are used to finance fixed expenses. We estimate utility-specific price elasticities for use in the welfare analysis, which are derived from a demand estimation based on a panel data set of 37 California water utilities. Welfare losses for an annual disruption range from an average of $1,458 per acre-foot of shortage for a 10% supply disruption to an average of $3,426 per acre-foot of shortage for a 30% supply disruption. The results indicate a household-level willingness to pay to avoid an annual disruption of approximately $60–$600 depending on the shortage size and location.","DOI":"10.1086/687761","ISSN":"2333-5955","journalAbbreviation":"Journal of the Association of Environmental and Resource Economists","author":[{"family":"Buck","given":"Steven"},{"family":"Auffhammer","given":"Maximilian"},{"family":"Hamilton","given":"Stephen"},{"family":"Sunding","given":"David"}],"issued":{"date-parts":[["2016",7,27]]}}}],"schema":"https://github.com/citation-style-language/schema/raw/master/csl-citation.json"} </w:instrText>
      </w:r>
      <w:r>
        <w:fldChar w:fldCharType="separate"/>
      </w:r>
      <w:r w:rsidRPr="002D7E7F">
        <w:rPr>
          <w:szCs w:val="24"/>
        </w:rPr>
        <w:t xml:space="preserve">Steven Buck et al., “Measuring Welfare Losses from Urban Water Supply Disruptions,” </w:t>
      </w:r>
      <w:r w:rsidRPr="002D7E7F">
        <w:rPr>
          <w:i/>
          <w:iCs/>
          <w:szCs w:val="24"/>
        </w:rPr>
        <w:t>Journal of the Association of Environmental and Resource Economists</w:t>
      </w:r>
      <w:r w:rsidRPr="002D7E7F">
        <w:rPr>
          <w:szCs w:val="24"/>
        </w:rPr>
        <w:t xml:space="preserve"> 3, no. 3 (July 27, 2016): 743–78, https://doi.org/10.1086/687761.</w:t>
      </w:r>
      <w:r>
        <w:fldChar w:fldCharType="end"/>
      </w:r>
    </w:p>
  </w:footnote>
  <w:footnote w:id="65">
    <w:p w14:paraId="4EC6CF4C" w14:textId="5D5C6FE4" w:rsidR="00513FB6" w:rsidRDefault="00513FB6" w:rsidP="005B26ED">
      <w:pPr>
        <w:pStyle w:val="FootnoteText"/>
        <w:spacing w:before="0" w:after="0"/>
      </w:pPr>
      <w:r w:rsidRPr="005D11B8">
        <w:rPr>
          <w:rStyle w:val="FootnoteReference"/>
        </w:rPr>
        <w:footnoteRef/>
      </w:r>
      <w:r>
        <w:t xml:space="preserve"> </w:t>
      </w:r>
      <w:r>
        <w:tab/>
      </w:r>
      <w:r>
        <w:fldChar w:fldCharType="begin"/>
      </w:r>
      <w:r>
        <w:instrText xml:space="preserve"> ADDIN ZOTERO_ITEM CSL_CITATION {"citationID":"FqgnCMFb","properties":{"formattedCitation":"Gregory L. Rosston, Scott J Savage, and Donald M Waldman, \\uc0\\u8220{}Household Demand for Broadband Internet in 2010,\\uc0\\u8221{} {\\i{}The B.E. Journal of Economic Analysis &amp; Policy} 10, no. 1 (2010), https://doi.org/10.2202/1935-1682.2541.","plainCitation":"Gregory L. Rosston, Scott J Savage, and Donald M Waldman, “Household Demand for Broadband Internet in 2010,” The B.E. Journal of Economic Analysis &amp; Policy 10, no. 1 (2010), https://doi.org/10.2202/1935-1682.2541.","noteIndex":65},"citationItems":[{"id":298,"uris":["http://zotero.org/groups/1820930/items/A8HQVWEP"],"uri":["http://zotero.org/groups/1820930/items/A8HQVWEP"],"itemData":{"id":298,"type":"article-journal","title":"Household Demand for Broadband Internet in 2010","container-title":"The B.E. Journal of Economic Analysis &amp; Policy","volume":"10","issue":"1","source":"DeGruyter","abstract":"This paper uses data from a nationwide survey administered during late 2009 and early 2010 to estimate a random utility model of household preferences for broadband Internet service. Reliability and speed are important service characteristics: the representative household is willing to pay $20 per month for more reliable service; $45 for an improvement in speed from slow to fast; and $48 for an improvement in speed from slow to very fast. A representative household would be willing to pay $79 per month for a fast, reliable Internet service. Internet valuations increase with experience, and there has been an estimated two- to three-fold increase in consumer surplus per household between 2003 and 2010. If experience causes increased valuation, targeted programs that educate households about the benefits from broadband, expose households to the broadband experience and/or directly support the initial take-up of broadband have potential to increase overall penetration in the United States.","URL":"https://www.degruyter.com/view/j/bejeap.2010.10.1/bejeap.2010.10.1.2541/bejeap.2010.10.1.2541.xml","DOI":"10.2202/1935-1682.2541","ISSN":"1935-1682","author":[{"family":"Rosston","given":"Gregory L."},{"family":"Savage","given":"Scott J"},{"family":"Waldman","given":"Donald M"}],"issued":{"date-parts":[["2010"]]},"accessed":{"date-parts":[["2019",3,20]]}}}],"schema":"https://github.com/citation-style-language/schema/raw/master/csl-citation.json"} </w:instrText>
      </w:r>
      <w:r>
        <w:fldChar w:fldCharType="separate"/>
      </w:r>
      <w:r w:rsidRPr="005F70EA">
        <w:rPr>
          <w:szCs w:val="24"/>
        </w:rPr>
        <w:t xml:space="preserve">Gregory L. Rosston, Scott J Savage, and Donald M Waldman, “Household Demand for Broadband Internet in 2010,” </w:t>
      </w:r>
      <w:r w:rsidRPr="005F70EA">
        <w:rPr>
          <w:i/>
          <w:iCs/>
          <w:szCs w:val="24"/>
        </w:rPr>
        <w:t>The B.E. Journal of Economic Analysis &amp; Policy</w:t>
      </w:r>
      <w:r w:rsidRPr="005F70EA">
        <w:rPr>
          <w:szCs w:val="24"/>
        </w:rPr>
        <w:t xml:space="preserve"> 10, no. 1 (2010), https://doi.org/10.2202/1935-1682.2541.</w:t>
      </w:r>
      <w:r>
        <w:fldChar w:fldCharType="end"/>
      </w:r>
    </w:p>
  </w:footnote>
  <w:footnote w:id="66">
    <w:p w14:paraId="3C0B7E76" w14:textId="77777777" w:rsidR="00513FB6" w:rsidRDefault="00513FB6" w:rsidP="005B26ED">
      <w:pPr>
        <w:pStyle w:val="FootnoteText"/>
        <w:spacing w:before="0" w:after="0"/>
      </w:pPr>
      <w:r>
        <w:rPr>
          <w:rStyle w:val="FootnoteReference"/>
        </w:rPr>
        <w:footnoteRef/>
      </w:r>
      <w:r>
        <w:t xml:space="preserve"> </w:t>
      </w:r>
      <w:r>
        <w:tab/>
      </w:r>
      <w:r>
        <w:fldChar w:fldCharType="begin"/>
      </w:r>
      <w:r>
        <w:instrText xml:space="preserve"> ADDIN ZOTERO_ITEM CSL_CITATION {"citationID":"klNV3yeF","properties":{"formattedCitation":"Scott J. Savage and Donald Waldman, \\uc0\\u8220{}Broadband Internet Access, Awareness, and Use: Analysis of United States Household Data,\\uc0\\u8221{} {\\i{}Telecommunications Policy} 29, no. 8 (September 2005): 615\\uc0\\u8211{}33, https://doi.org/10.1016/j.telpol.2005.06.001.","plainCitation":"Scott J. Savage and Donald Waldman, “Broadband Internet Access, Awareness, and Use: Analysis of United States Household Data,” Telecommunications Policy 29, no. 8 (September 2005): 615–33, https://doi.org/10.1016/j.telpol.2005.06.001.","noteIndex":66},"citationItems":[{"id":1455,"uris":["http://zotero.org/groups/1820930/items/FRUZX258"],"uri":["http://zotero.org/groups/1820930/items/FRUZX258"],"itemData":{"id":1455,"type":"article-journal","title":"Broadband Internet access, awareness, and use: Analysis of United States household data","container-title":"Telecommunications Policy","page":"615-633","volume":"29","issue":"8","source":"Crossref","abstract":"Data obtained from a nationwide survey of US residences during September and October 2002 are used to investigate household awareness of high-speed Internet access, proﬁle Internet access and use, and gain insight into how important always-on, price, speed, installation, and reliability attributes are in their choice of service. Preliminary analysis suggests relatively high awareness of cable modem and DSL availability. Almost 19 percent of the sample have high-speed connectivity, and the mean price paid per month for dialup and high-speed access is $19.76 and $42.36, respectively. Preference for high-speed access is apparent among households with higher income and college education. About 63 percent of high-speed users have more than ﬁve years of online experience, compared to 48 percent of dial-up users, and high-speed users are twice as likely to share music ﬁles and photos, bank, trade stocks, and pay bills ‘‘many times a week’’ than dial-up users. Willingness-to-pay estimates indicate reliability of service, speed, and always-on connectivity are important Internet access attributes.","DOI":"10.1016/j.telpol.2005.06.001","ISSN":"03085961","title-short":"Broadband Internet access, awareness, and use","language":"en","author":[{"family":"Savage","given":"Scott J."},{"family":"Waldman","given":"Donald"}],"issued":{"date-parts":[["2005",9]]}}}],"schema":"https://github.com/citation-style-language/schema/raw/master/csl-citation.json"} </w:instrText>
      </w:r>
      <w:r>
        <w:fldChar w:fldCharType="separate"/>
      </w:r>
      <w:r w:rsidRPr="001701D6">
        <w:rPr>
          <w:szCs w:val="24"/>
        </w:rPr>
        <w:t xml:space="preserve">Scott J. Savage and Donald Waldman, “Broadband Internet Access, Awareness, and Use: Analysis of United States Household Data,” </w:t>
      </w:r>
      <w:r w:rsidRPr="001701D6">
        <w:rPr>
          <w:i/>
          <w:iCs/>
          <w:szCs w:val="24"/>
        </w:rPr>
        <w:t>Telecommunications Policy</w:t>
      </w:r>
      <w:r w:rsidRPr="001701D6">
        <w:rPr>
          <w:szCs w:val="24"/>
        </w:rPr>
        <w:t xml:space="preserve"> 29, no. 8 (September 2005): 615–33, https://doi.org/10.1016/j.telpol.2005.06.001.</w:t>
      </w:r>
      <w:r>
        <w:fldChar w:fldCharType="end"/>
      </w:r>
    </w:p>
  </w:footnote>
  <w:footnote w:id="67">
    <w:p w14:paraId="1FFF4544" w14:textId="77777777" w:rsidR="00513FB6" w:rsidRPr="003B7045" w:rsidRDefault="00513FB6" w:rsidP="005B26ED">
      <w:pPr>
        <w:pStyle w:val="FootnoteText"/>
        <w:spacing w:before="0" w:after="0"/>
      </w:pPr>
      <w:r w:rsidRPr="005D11B8">
        <w:rPr>
          <w:rStyle w:val="FootnoteReference"/>
        </w:rPr>
        <w:footnoteRef/>
      </w:r>
      <w:r>
        <w:t xml:space="preserve"> </w:t>
      </w:r>
      <w:r>
        <w:tab/>
      </w:r>
      <w:r>
        <w:fldChar w:fldCharType="begin"/>
      </w:r>
      <w:r>
        <w:instrText xml:space="preserve"> ADDIN ZOTERO_ITEM CSL_CITATION {"citationID":"t349vRsG","properties":{"formattedCitation":"Zachary Bischof, Fabian Bustamante, and Nick Feamster, \\uc0\\u8220{}Characterizing and Improving the Reliability of Broadband Internet Access,\\uc0\\u8221{} SSRN Scholarly Paper (Rochester, NY: Social Science Research Network, February 11, 2018), https://papers.ssrn.com/abstract=3121942.","plainCitation":"Zachary Bischof, Fabian Bustamante, and Nick Feamster, “Characterizing and Improving the Reliability of Broadband Internet Access,” SSRN Scholarly Paper (Rochester, NY: Social Science Research Network, February 11, 2018), https://papers.ssrn.com/abstract=3121942.","noteIndex":67},"citationItems":[{"id":246,"uris":["http://zotero.org/groups/1820930/items/HA7HIYKJ"],"uri":["http://zotero.org/groups/1820930/items/HA7HIYKJ"],"itemData":{"id":246,"type":"report","title":"Characterizing and Improving the Reliability of Broadband Internet Access","publisher":"Social Science Research Network","publisher-place":"Rochester, NY","genre":"SSRN Scholarly Paper","source":"papers.ssrn.com","event-place":"Rochester, NY","abstract":"In this paper, we empirically demonstrate the growing importance of reliability by measuring its effect on user behavior. We present an approach for broadband reliability characterization using data collected by many emerging national initiatives to study broadband and apply it to the data gathered by the Federal Communications Commission’s Measuring Broadband America project. Motivated by our findings, we present the design, implementation, and evaluation of a practical approach for improving the reliability of broadband Internet access with multihoming.","URL":"https://papers.ssrn.com/abstract=3121942","number":"ID 3121942","language":"en","author":[{"family":"Bischof","given":"Zachary"},{"family":"Bustamante","given":"Fabian"},{"family":"Feamster","given":"Nick"}],"issued":{"date-parts":[["2018",2,11]]},"accessed":{"date-parts":[["2019",4,2]]}}}],"schema":"https://github.com/citation-style-language/schema/raw/master/csl-citation.json"} </w:instrText>
      </w:r>
      <w:r>
        <w:fldChar w:fldCharType="separate"/>
      </w:r>
      <w:r w:rsidRPr="003B7045">
        <w:rPr>
          <w:szCs w:val="24"/>
        </w:rPr>
        <w:t>Zachary Bischof, Fabian Bustamante, and Nick Feamster, “Characterizing and Improving the Reliability of Broadband Internet Access,” SSRN Scholarly Paper (Rochester, NY: Social Science Research Network, February 11, 2018), https://papers.ssrn.com/abstract=3121942.</w:t>
      </w:r>
      <w:r>
        <w:fldChar w:fldCharType="end"/>
      </w:r>
    </w:p>
  </w:footnote>
  <w:footnote w:id="68">
    <w:p w14:paraId="1F1117B9" w14:textId="77777777" w:rsidR="00513FB6" w:rsidRPr="003B7045" w:rsidRDefault="00513FB6" w:rsidP="005B26ED">
      <w:pPr>
        <w:pStyle w:val="FootnoteText"/>
        <w:spacing w:before="0" w:after="0"/>
      </w:pPr>
      <w:r w:rsidRPr="005D11B8">
        <w:rPr>
          <w:rStyle w:val="FootnoteReference"/>
        </w:rPr>
        <w:footnoteRef/>
      </w:r>
      <w:r>
        <w:t xml:space="preserve"> </w:t>
      </w:r>
      <w:r>
        <w:tab/>
      </w:r>
      <w:r>
        <w:fldChar w:fldCharType="begin"/>
      </w:r>
      <w:r>
        <w:instrText xml:space="preserve"> ADDIN ZOTERO_ITEM CSL_CITATION {"citationID":"rLIZrTZF","properties":{"formattedCitation":"William Lehr et al., \\uc0\\u8220{}Assessing Broadband Reliability: Measurement and Policy Challenges,\\uc0\\u8221{} SSRN Scholarly Paper (Rochester, NY: Social Science Research Network, September 24, 2011), https://papers.ssrn.com/abstract=1979746.","plainCitation":"William Lehr et al., “Assessing Broadband Reliability: Measurement and Policy Challenges,” SSRN Scholarly Paper (Rochester, NY: Social Science Research Network, September 24, 2011), https://papers.ssrn.com/abstract=1979746.","noteIndex":68},"citationItems":[{"id":248,"uris":["http://zotero.org/groups/1820930/items/PH8LUYAC"],"uri":["http://zotero.org/groups/1820930/items/PH8LUYAC"],"itemData":{"id":248,"type":"report","title":"Assessing Broadband Reliability: Measurement and Policy Challenges","publisher":"Social Science Research Network","publisher-place":"Rochester, NY","genre":"SSRN Scholarly Paper","source":"papers.ssrn.com","event-place":"Rochester, NY","abstract":"With broadband availability now approaching universal service in the United States, the focus on broadband metrics is shifting toward the assessment of broadband  performance. The initial focus has been on the measurement and reporting of the speeds achieved by broadband services. As we develop more comprehensive and, hopefully, more meaningful frameworks for characterizing, measuring, and evaluating broadband performance, one obvious measure of merit will be reliability. In a survey, consumers identified concerns about reliability as second only to speed in importance.  Moreover, as our collective reliance on broadband as critical socio-economic infrastructure increases, and as a growing range of services move into the Internet, it is reasonable to expect that demand for reliable broadband service will increase. At the same time, the growth of streaming and interactive rich multimedia, the convergence of fixed and mobile services, and the evolution of the Internet services industry pose new challenges for developing appropriate reliability metrics. While the measurement of broadband availability or speeds and the appropriate interpretation of measurement data are not simple tasks, evaluating reliability is inherently much more complex and difficult.","URL":"https://papers.ssrn.com/abstract=1979746","number":"ID 1979746","title-short":"Assessing Broadband Reliability","language":"en","author":[{"family":"Lehr","given":"William"},{"family":"Heikkinen","given":"Mikko"},{"family":"Clark","given":"David D."},{"family":"Bauer","given":"Steven"}],"issued":{"date-parts":[["2011",9,24]]},"accessed":{"date-parts":[["2019",4,2]]}}}],"schema":"https://github.com/citation-style-language/schema/raw/master/csl-citation.json"} </w:instrText>
      </w:r>
      <w:r>
        <w:fldChar w:fldCharType="separate"/>
      </w:r>
      <w:r w:rsidRPr="003B7045">
        <w:rPr>
          <w:szCs w:val="24"/>
        </w:rPr>
        <w:t>William Lehr et al., “Assessing Broadband Reliability: Measurement and Policy Challenges,” SSRN Scholarly Paper (Rochester, NY: Social Science Research Network, September 24, 2011), https://papers.ssrn.com/abstract=1979746.</w:t>
      </w:r>
      <w:r>
        <w:fldChar w:fldCharType="end"/>
      </w:r>
    </w:p>
  </w:footnote>
  <w:footnote w:id="69">
    <w:p w14:paraId="6DC7DBC3" w14:textId="77777777" w:rsidR="00513FB6" w:rsidRPr="003B7045" w:rsidRDefault="00513FB6" w:rsidP="005B26ED">
      <w:pPr>
        <w:pStyle w:val="FootnoteText"/>
        <w:spacing w:before="0" w:after="0"/>
      </w:pPr>
      <w:r w:rsidRPr="005D11B8">
        <w:rPr>
          <w:rStyle w:val="FootnoteReference"/>
        </w:rPr>
        <w:footnoteRef/>
      </w:r>
      <w:r>
        <w:t xml:space="preserve"> </w:t>
      </w:r>
      <w:r>
        <w:tab/>
      </w:r>
      <w:r>
        <w:fldChar w:fldCharType="begin"/>
      </w:r>
      <w:r>
        <w:instrText xml:space="preserve"> ADDIN ZOTERO_ITEM CSL_CITATION {"citationID":"q5iEbzC6","properties":{"formattedCitation":"William Lehr, Steven Bauer, and David D. Clark, \\uc0\\u8220{}Measuring Performance When Broadband Is the New PSTN,\\uc0\\u8221{} {\\i{}Journal of Information Policy} 3 (2013): 411\\uc0\\u8211{}41, https://doi.org/10.5325/jinfopoli.3.2013.0411.","plainCitation":"William Lehr, Steven Bauer, and David D. Clark, “Measuring Performance When Broadband Is the New PSTN,” Journal of Information Policy 3 (2013): 411–41, https://doi.org/10.5325/jinfopoli.3.2013.0411.","noteIndex":69},"citationItems":[{"id":247,"uris":["http://zotero.org/groups/1820930/items/FVLEBX97"],"uri":["http://zotero.org/groups/1820930/items/FVLEBX97"],"itemData":{"id":247,"type":"article-journal","title":"Measuring Performance when Broadband is the New PSTN","container-title":"Journal of Information Policy","page":"411-441","volume":"3","source":"JSTOR","abstract":"[The transition of telecommunications services from the old Public Switched Telephone Network (PSTN) to the broadband Internet does not alleviate the needs of consumers for basic services. The Internet universe, however, is mostly unregulated. As broadband becomes the new PSTN, how do we ensure that services are delivered appropriately, and how can this be measured? Doctors Lehr, Bauer, and Clark propose an updated set of measurements and address the policy considerations they raise, in order to ensure that broadband services indeed serve the public interest.]","DOI":"10.5325/jinfopoli.3.2013.0411","ISSN":"2158-3897","author":[{"family":"Lehr","given":"William"},{"family":"Bauer","given":"Steven"},{"family":"Clark","given":"David D."}],"issued":{"date-parts":[["2013"]]}}}],"schema":"https://github.com/citation-style-language/schema/raw/master/csl-citation.json"} </w:instrText>
      </w:r>
      <w:r>
        <w:fldChar w:fldCharType="separate"/>
      </w:r>
      <w:r w:rsidRPr="003B7045">
        <w:rPr>
          <w:szCs w:val="24"/>
        </w:rPr>
        <w:t xml:space="preserve">William Lehr, Steven Bauer, and David D. Clark, “Measuring Performance When Broadband Is the New PSTN,” </w:t>
      </w:r>
      <w:r w:rsidRPr="003B7045">
        <w:rPr>
          <w:i/>
          <w:iCs/>
          <w:szCs w:val="24"/>
        </w:rPr>
        <w:t>Journal of Information Policy</w:t>
      </w:r>
      <w:r w:rsidRPr="003B7045">
        <w:rPr>
          <w:szCs w:val="24"/>
        </w:rPr>
        <w:t xml:space="preserve"> 3 (2013): 411–41, https://doi.org/10.5325/jinfopoli.3.2013.0411.</w:t>
      </w:r>
      <w:r>
        <w:fldChar w:fldCharType="end"/>
      </w:r>
    </w:p>
  </w:footnote>
  <w:footnote w:id="70">
    <w:p w14:paraId="2746B397" w14:textId="0E1868FA" w:rsidR="00513FB6" w:rsidRPr="009739ED" w:rsidRDefault="00513FB6" w:rsidP="005B26ED">
      <w:pPr>
        <w:pStyle w:val="FootnoteText"/>
        <w:spacing w:before="0" w:after="0"/>
      </w:pPr>
      <w:r w:rsidRPr="005D11B8">
        <w:rPr>
          <w:rStyle w:val="FootnoteReference"/>
        </w:rPr>
        <w:footnoteRef/>
      </w:r>
      <w:r>
        <w:t xml:space="preserve"> </w:t>
      </w:r>
      <w:r>
        <w:tab/>
      </w:r>
      <w:r>
        <w:fldChar w:fldCharType="begin"/>
      </w:r>
      <w:r>
        <w:instrText xml:space="preserve"> ADDIN ZOTERO_ITEM CSL_CITATION {"citationID":"rsGkmrp7","properties":{"formattedCitation":"Meddeb, \\uc0\\u8220{}Internet QoS.\\uc0\\u8221{}","plainCitation":"Meddeb, “Internet QoS.”","noteIndex":70},"citationItems":[{"id":252,"uris":["http://zotero.org/groups/1820930/items/WHJ5CT8E"],"uri":["http://zotero.org/groups/1820930/items/WHJ5CT8E"],"itemData":{"id":252,"type":"article-journal","title":"Internet QoS: Pieces of the puzzle","container-title":"IEEE Communications Magazine","page":"86-94","volume":"48","issue":"1","source":"IEEE Xplore","abstract":"One of the biggest challenges faced when dealing with QoS over the Internet is how to deliver QoS over an unregulated, connectionless network that was designed, deployed, operated, managed, and commercialized without any QoS perspectives. This article gives a concise but comprehensive overview of the Internet QoS puzzle. We aim not only at identifying all the pieces of the puzzle, but also at discovering how to join them together. These include terminology, definitions and standards, architectures, traffic engineering, regulation, accounting, pricing, and marketing. We also explain throughout the article how network providers should envision their service offerings in the context of an SLA and QoS-centric Internet.","DOI":"10.1109/MCOM.2010.5394035","ISSN":"0163-6804","title-short":"Internet QoS","author":[{"family":"Meddeb","given":"A."}],"issued":{"date-parts":[["2010",1]]}}}],"schema":"https://github.com/citation-style-language/schema/raw/master/csl-citation.json"} </w:instrText>
      </w:r>
      <w:r>
        <w:fldChar w:fldCharType="separate"/>
      </w:r>
      <w:r w:rsidRPr="00A6488A">
        <w:rPr>
          <w:szCs w:val="24"/>
        </w:rPr>
        <w:t>Meddeb, “Internet QoS.”</w:t>
      </w:r>
      <w:r>
        <w:fldChar w:fldCharType="end"/>
      </w:r>
    </w:p>
  </w:footnote>
  <w:footnote w:id="71">
    <w:p w14:paraId="781F272D" w14:textId="1DDFEF14" w:rsidR="00513FB6" w:rsidRDefault="00513FB6" w:rsidP="00393958">
      <w:pPr>
        <w:pStyle w:val="FootnoteText"/>
        <w:spacing w:before="0" w:after="60"/>
      </w:pPr>
      <w:r w:rsidRPr="005D11B8">
        <w:rPr>
          <w:rStyle w:val="FootnoteReference"/>
        </w:rPr>
        <w:footnoteRef/>
      </w:r>
      <w:r>
        <w:t xml:space="preserve"> </w:t>
      </w:r>
      <w:r>
        <w:tab/>
      </w:r>
      <w:r>
        <w:fldChar w:fldCharType="begin"/>
      </w:r>
      <w:r>
        <w:instrText xml:space="preserve"> ADDIN ZOTERO_ITEM CSL_CITATION {"citationID":"IcL0q7TM","properties":{"formattedCitation":"Oakley Greenwood, \\uc0\\u8220{}Economic Assessment of Electricity Distribution Reliability Standard Packages.\\uc0\\u8221{}","plainCitation":"Oakley Greenwood, “Economic Assessment of Electricity Distribution Reliability Standard Packages.”","noteIndex":71},"citationItems":[{"id":243,"uris":["http://zotero.org/groups/1820930/items/U9JS4VRV"],"uri":["http://zotero.org/groups/1820930/items/U9JS4VRV"],"itemData":{"id":243,"type":"report","title":"Economic assessment of electricity distribution reliability standard packages","URL":"https://www.escosa.sa.gov.au/ArticleDocuments/1186/20180801-Electricity-EconomicAnalysisReliabilityImprovementPackages-SSF20Report-OakleyGreenwood.pdf.aspx","author":[{"literal":"Oakley Greenwood"}],"issued":{"date-parts":[["2018",6,26]]},"accessed":{"date-parts":[["2019",3,4]]}}}],"schema":"https://github.com/citation-style-language/schema/raw/master/csl-citation.json"} </w:instrText>
      </w:r>
      <w:r>
        <w:fldChar w:fldCharType="separate"/>
      </w:r>
      <w:r w:rsidRPr="003E3547">
        <w:rPr>
          <w:szCs w:val="24"/>
        </w:rPr>
        <w:t>Oakley Greenwood, “Economic Assessment of Electricity Distribution Reliability Standard Packages.”</w:t>
      </w:r>
      <w:r>
        <w:fldChar w:fldCharType="end"/>
      </w:r>
    </w:p>
  </w:footnote>
  <w:footnote w:id="72">
    <w:p w14:paraId="1580D387" w14:textId="2234C432" w:rsidR="00513FB6" w:rsidRPr="0090064B" w:rsidRDefault="00513FB6" w:rsidP="00393958">
      <w:pPr>
        <w:pStyle w:val="FootnoteText"/>
        <w:spacing w:before="0" w:after="60"/>
        <w:rPr>
          <w:lang w:val="en-US"/>
        </w:rPr>
      </w:pPr>
      <w:r w:rsidRPr="005D11B8">
        <w:rPr>
          <w:rStyle w:val="FootnoteReference"/>
        </w:rPr>
        <w:footnoteRef/>
      </w:r>
      <w:r>
        <w:t xml:space="preserve"> </w:t>
      </w:r>
      <w:r>
        <w:tab/>
      </w:r>
      <w:r>
        <w:fldChar w:fldCharType="begin"/>
      </w:r>
      <w:r>
        <w:instrText xml:space="preserve"> ADDIN ZOTERO_ITEM CSL_CITATION {"citationID":"khsrhPg9","properties":{"formattedCitation":"Oakley Greenwood, 13.","plainCitation":"Oakley Greenwood, 13.","noteIndex":72},"citationItems":[{"id":243,"uris":["http://zotero.org/groups/1820930/items/U9JS4VRV"],"uri":["http://zotero.org/groups/1820930/items/U9JS4VRV"],"itemData":{"id":243,"type":"report","title":"Economic assessment of electricity distribution reliability standard packages","URL":"https://www.escosa.sa.gov.au/ArticleDocuments/1186/20180801-Electricity-EconomicAnalysisReliabilityImprovementPackages-SSF20Report-OakleyGreenwood.pdf.aspx","author":[{"literal":"Oakley Greenwood"}],"issued":{"date-parts":[["2018",6,26]]},"accessed":{"date-parts":[["2019",3,4]]}},"locator":"13","label":"page"}],"schema":"https://github.com/citation-style-language/schema/raw/master/csl-citation.json"} </w:instrText>
      </w:r>
      <w:r>
        <w:fldChar w:fldCharType="separate"/>
      </w:r>
      <w:r w:rsidRPr="0090064B">
        <w:t>Oakley Greenwood, 13.</w:t>
      </w:r>
      <w:r>
        <w:fldChar w:fldCharType="end"/>
      </w:r>
    </w:p>
  </w:footnote>
  <w:footnote w:id="73">
    <w:p w14:paraId="12A0B8F0" w14:textId="4E165A54" w:rsidR="00513FB6" w:rsidRPr="00502E25" w:rsidRDefault="00513FB6" w:rsidP="00393958">
      <w:pPr>
        <w:pStyle w:val="FootnoteText"/>
        <w:spacing w:before="0" w:after="60"/>
        <w:rPr>
          <w:lang w:val="en-US"/>
        </w:rPr>
      </w:pPr>
      <w:r w:rsidRPr="005D11B8">
        <w:rPr>
          <w:rStyle w:val="FootnoteReference"/>
        </w:rPr>
        <w:footnoteRef/>
      </w:r>
      <w:r>
        <w:t xml:space="preserve"> </w:t>
      </w:r>
      <w:r>
        <w:tab/>
      </w:r>
      <w:r>
        <w:fldChar w:fldCharType="begin"/>
      </w:r>
      <w:r>
        <w:instrText xml:space="preserve"> ADDIN ZOTERO_ITEM CSL_CITATION {"citationID":"gWauO9hY","properties":{"formattedCitation":"Oakley Greenwood, 14.","plainCitation":"Oakley Greenwood, 14.","noteIndex":73},"citationItems":[{"id":243,"uris":["http://zotero.org/groups/1820930/items/U9JS4VRV"],"uri":["http://zotero.org/groups/1820930/items/U9JS4VRV"],"itemData":{"id":243,"type":"report","title":"Economic assessment of electricity distribution reliability standard packages","URL":"https://www.escosa.sa.gov.au/ArticleDocuments/1186/20180801-Electricity-EconomicAnalysisReliabilityImprovementPackages-SSF20Report-OakleyGreenwood.pdf.aspx","author":[{"literal":"Oakley Greenwood"}],"issued":{"date-parts":[["2018",6,26]]},"accessed":{"date-parts":[["2019",3,4]]}},"locator":"14","label":"page"}],"schema":"https://github.com/citation-style-language/schema/raw/master/csl-citation.json"} </w:instrText>
      </w:r>
      <w:r>
        <w:fldChar w:fldCharType="separate"/>
      </w:r>
      <w:r w:rsidRPr="00502E25">
        <w:t>Oakley Greenwood, 14.</w:t>
      </w:r>
      <w:r>
        <w:fldChar w:fldCharType="end"/>
      </w:r>
    </w:p>
  </w:footnote>
  <w:footnote w:id="74">
    <w:p w14:paraId="2B9A5852" w14:textId="2064BF6C" w:rsidR="00513FB6" w:rsidRPr="00B8288B" w:rsidRDefault="00513FB6" w:rsidP="00393958">
      <w:pPr>
        <w:pStyle w:val="FootnoteText"/>
        <w:spacing w:before="0" w:after="60"/>
        <w:rPr>
          <w:lang w:val="en-US"/>
        </w:rPr>
      </w:pPr>
      <w:r w:rsidRPr="005D11B8">
        <w:rPr>
          <w:rStyle w:val="FootnoteReference"/>
        </w:rPr>
        <w:footnoteRef/>
      </w:r>
      <w:r>
        <w:t xml:space="preserve"> </w:t>
      </w:r>
      <w:r>
        <w:rPr>
          <w:lang w:val="en-US"/>
        </w:rPr>
        <w:tab/>
        <w:t>As demonstrated by Oakley Greenwood’s cost benefit analysis</w:t>
      </w:r>
    </w:p>
  </w:footnote>
  <w:footnote w:id="75">
    <w:p w14:paraId="2A07F854" w14:textId="246A9958" w:rsidR="00513FB6" w:rsidRDefault="00513FB6" w:rsidP="00CC6A74">
      <w:pPr>
        <w:pStyle w:val="FootnoteText"/>
      </w:pPr>
      <w:r w:rsidRPr="005D11B8">
        <w:rPr>
          <w:rStyle w:val="FootnoteReference"/>
        </w:rPr>
        <w:footnoteRef/>
      </w:r>
      <w:r>
        <w:t xml:space="preserve"> </w:t>
      </w:r>
      <w:r>
        <w:tab/>
      </w:r>
      <w:r>
        <w:fldChar w:fldCharType="begin"/>
      </w:r>
      <w:r>
        <w:instrText xml:space="preserve"> ADDIN ZOTERO_ITEM CSL_CITATION {"citationID":"WuJVh5j5","properties":{"formattedCitation":"Regional Development and Cities Department of Infrastructure, \\uc0\\u8220{}Infrastructure Australia - Associated Websites,\\uc0\\u8221{} Infrastructure, Regional Development and Cities, accessed April 12, 2019, https://infrastructure.gov.au/utilities/websites.aspx.","plainCitation":"Regional Development and Cities Department of Infrastructure, “Infrastructure Australia - Associated Websites,” Infrastructure, Regional Development and Cities, accessed April 12, 2019, https://infrastructure.gov.au/utilities/websites.aspx.","noteIndex":75},"citationItems":[{"id":218,"uris":["http://zotero.org/groups/1820930/items/FFRD8URD"],"uri":["http://zotero.org/groups/1820930/items/FFRD8URD"],"itemData":{"id":218,"type":"webpage","title":"Infrastructure Australia - Associated Websites","container-title":"Infrastructure, Regional Development and Cities","abstract":"List of websites hosted by the department:","URL":"https://infrastructure.gov.au/utilities/websites.aspx","language":"en-US","author":[{"literal":"Regional Development and Cities Department of Infrastructure"}],"accessed":{"date-parts":[["2019",4,12]]}}}],"schema":"https://github.com/citation-style-language/schema/raw/master/csl-citation.json"} </w:instrText>
      </w:r>
      <w:r>
        <w:fldChar w:fldCharType="separate"/>
      </w:r>
      <w:r w:rsidRPr="001437F2">
        <w:rPr>
          <w:szCs w:val="24"/>
        </w:rPr>
        <w:t>Regional Development and Cities Department of Infrastructure, “Infrastructure Australia - Associated Websites,” Infrastructure, Regional Development and Cities, accessed April 12, 2019, https://infrastructure.gov.au/utilities/websites.aspx.</w:t>
      </w:r>
      <w:r>
        <w:fldChar w:fldCharType="end"/>
      </w:r>
    </w:p>
  </w:footnote>
  <w:footnote w:id="76">
    <w:p w14:paraId="39305E3D" w14:textId="28897CDE" w:rsidR="00513FB6" w:rsidRDefault="00513FB6">
      <w:pPr>
        <w:pStyle w:val="FootnoteText"/>
      </w:pPr>
      <w:r w:rsidRPr="005D11B8">
        <w:rPr>
          <w:rStyle w:val="FootnoteReference"/>
        </w:rPr>
        <w:footnoteRef/>
      </w:r>
      <w:r>
        <w:t xml:space="preserve"> </w:t>
      </w:r>
      <w:r>
        <w:tab/>
      </w:r>
      <w:r w:rsidRPr="00C9796F">
        <w:t xml:space="preserve">The ATAP guidelines also include a penalty for crowded conditions. This represents an adjustment for personal discomfort. It could be argued that once a </w:t>
      </w:r>
      <w:r>
        <w:t>customer</w:t>
      </w:r>
      <w:r w:rsidRPr="00C9796F">
        <w:t xml:space="preserve"> has re-explained their problem several times such discomfort sets in.</w:t>
      </w:r>
    </w:p>
  </w:footnote>
  <w:footnote w:id="77">
    <w:p w14:paraId="6BFA8F75" w14:textId="450F2D69" w:rsidR="00513FB6" w:rsidRPr="00126255" w:rsidRDefault="00513FB6" w:rsidP="00393958">
      <w:pPr>
        <w:pStyle w:val="FootnoteText"/>
        <w:spacing w:before="0" w:after="60"/>
      </w:pPr>
      <w:r w:rsidRPr="005D11B8">
        <w:rPr>
          <w:rStyle w:val="FootnoteReference"/>
        </w:rPr>
        <w:footnoteRef/>
      </w:r>
      <w:r>
        <w:t xml:space="preserve"> </w:t>
      </w:r>
      <w:r>
        <w:tab/>
        <w:t>Transport and Infrastructure Council (2018); Australian Transport Assessment and Planning Guidelines: M1 Public Transport, p. 2</w:t>
      </w:r>
    </w:p>
  </w:footnote>
  <w:footnote w:id="78">
    <w:p w14:paraId="065E5F76" w14:textId="2C655532" w:rsidR="00513FB6" w:rsidRPr="00126255" w:rsidRDefault="00513FB6" w:rsidP="00393958">
      <w:pPr>
        <w:pStyle w:val="FootnoteText"/>
        <w:spacing w:before="0" w:after="60"/>
      </w:pPr>
      <w:r w:rsidRPr="005D11B8">
        <w:rPr>
          <w:rStyle w:val="FootnoteReference"/>
        </w:rPr>
        <w:footnoteRef/>
      </w:r>
      <w:r>
        <w:t xml:space="preserve"> </w:t>
      </w:r>
      <w:r>
        <w:tab/>
        <w:t>Based on ABS catalogue 6401.0 Consumer Price Index, Australia the average CPI in 2014 was 106.1 and that in 2018 113.3.</w:t>
      </w:r>
    </w:p>
  </w:footnote>
  <w:footnote w:id="79">
    <w:p w14:paraId="6D80F154" w14:textId="00090F15" w:rsidR="00513FB6" w:rsidRPr="00457730" w:rsidRDefault="00513FB6" w:rsidP="00393958">
      <w:pPr>
        <w:pStyle w:val="FootnoteText"/>
        <w:spacing w:before="0" w:after="60"/>
      </w:pPr>
      <w:r w:rsidRPr="005D11B8">
        <w:rPr>
          <w:rStyle w:val="FootnoteReference"/>
        </w:rPr>
        <w:footnoteRef/>
      </w:r>
      <w:r>
        <w:t xml:space="preserve"> </w:t>
      </w:r>
      <w:r>
        <w:tab/>
        <w:t>Transport and Infrastructure Council (2018); Australian Transport Assessment and Planning Guidelines: M1 Public Transport, p. 5</w:t>
      </w:r>
    </w:p>
  </w:footnote>
  <w:footnote w:id="80">
    <w:p w14:paraId="4EF84C0D" w14:textId="0B22DE35" w:rsidR="00513FB6" w:rsidRDefault="00513FB6">
      <w:pPr>
        <w:pStyle w:val="FootnoteText"/>
      </w:pPr>
      <w:r w:rsidRPr="005D11B8">
        <w:rPr>
          <w:rStyle w:val="FootnoteReference"/>
        </w:rPr>
        <w:footnoteRef/>
      </w:r>
      <w:r>
        <w:t xml:space="preserve"> </w:t>
      </w:r>
      <w:r>
        <w:tab/>
      </w:r>
      <w:r>
        <w:fldChar w:fldCharType="begin"/>
      </w:r>
      <w:r>
        <w:instrText xml:space="preserve"> ADDIN ZOTERO_ITEM CSL_CITATION {"citationID":"fbPwBcME","properties":{"formattedCitation":"Neil Douglas and Julieta Legaspi, \\uc0\\u8220{}Estimating the Value of Private Car Travel Time and Reliability for NSW,\\uc0\\u8221{} in {\\i{}ARRB International Conference, 28th, 2018, Brisbane, Queensland, Australia}, 2018.","plainCitation":"Neil Douglas and Julieta Legaspi, “Estimating the Value of Private Car Travel Time and Reliability for NSW,” in ARRB International Conference, 28th, 2018, Brisbane, Queensland, Australia, 2018.","noteIndex":80},"citationItems":[{"id":217,"uris":["http://zotero.org/groups/1820930/items/ATDIVJDL"],"uri":["http://zotero.org/groups/1820930/items/ATDIVJDL"],"itemData":{"id":217,"type":"paper-conference","title":"Estimating the value of private car travel time and reliability for NSW","container-title":"ARRB International Conference, 28th, 2018, Brisbane, Queensland, Australia","abstract":"In 2014-15, TfNSW undertook Stated Preference (SP) surveys of car drivers and\npassengers to estimate values of travel time and reliability. The principal aim was to test the\n40% wage rate assumption used to value private car time in NSW since the late 1990s.\nThe survey was developed over a year with three different designs tested. The final\nquestionnaire was kept short and loaded onto computer tablets so interviews could be\nundertaken at activity centres. 613 car users were surveyed in 2015 providing 4,904 SP\nobservations on which models were estimated.\nThe survey was designed so that a ‘threshold’ approach could be used as well as the more\nconventional ‘attributes’ approach. Of the two approaches, the threshold approach\nperformed the best providing the most accurate estimates and also providing a distribution of\nthe value of time which could be of use in toll road demand forecasting.\nThe estimated values of time were adjusted for oversampling of commuting trips and non\nsurveying of under 18s. The car values were then combined with public transport values\nwhich had been estimated by similar SP surveys. The travel time variability measures were\nalso benchmarked against other studies.","author":[{"family":"Douglas","given":"Neil"},{"family":"Legaspi","given":"Julieta"}],"issued":{"date-parts":[["2018"]]}}}],"schema":"https://github.com/citation-style-language/schema/raw/master/csl-citation.json"} </w:instrText>
      </w:r>
      <w:r>
        <w:fldChar w:fldCharType="separate"/>
      </w:r>
      <w:r w:rsidRPr="004E1D33">
        <w:rPr>
          <w:szCs w:val="24"/>
        </w:rPr>
        <w:t xml:space="preserve">Neil Douglas and Julieta Legaspi, “Estimating the Value of Private Car Travel Time and Reliability for NSW,” in </w:t>
      </w:r>
      <w:r w:rsidRPr="004E1D33">
        <w:rPr>
          <w:i/>
          <w:iCs/>
          <w:szCs w:val="24"/>
        </w:rPr>
        <w:t>ARRB International Conference, 28th, 2018, Brisbane, Queensland, Australia</w:t>
      </w:r>
      <w:r w:rsidRPr="004E1D33">
        <w:rPr>
          <w:szCs w:val="24"/>
        </w:rPr>
        <w:t>, 2018.</w:t>
      </w:r>
      <w:r>
        <w:fldChar w:fldCharType="end"/>
      </w:r>
    </w:p>
  </w:footnote>
  <w:footnote w:id="81">
    <w:p w14:paraId="35920355" w14:textId="791D6F47" w:rsidR="00513FB6" w:rsidRDefault="00513FB6" w:rsidP="00393958">
      <w:pPr>
        <w:pStyle w:val="FootnoteText"/>
        <w:spacing w:before="0" w:after="60"/>
      </w:pPr>
      <w:r w:rsidRPr="005D11B8">
        <w:rPr>
          <w:rStyle w:val="FootnoteReference"/>
        </w:rPr>
        <w:footnoteRef/>
      </w:r>
      <w:r>
        <w:t xml:space="preserve"> </w:t>
      </w:r>
      <w:r>
        <w:tab/>
        <w:t>ACCAN Brief – 5 February 2019</w:t>
      </w:r>
    </w:p>
  </w:footnote>
  <w:footnote w:id="82">
    <w:p w14:paraId="02A7E327" w14:textId="1A11A23C" w:rsidR="00513FB6" w:rsidRDefault="00513FB6" w:rsidP="00393958">
      <w:pPr>
        <w:pStyle w:val="FootnoteText"/>
        <w:spacing w:before="0" w:after="60"/>
      </w:pPr>
      <w:r w:rsidRPr="005D11B8">
        <w:rPr>
          <w:rStyle w:val="FootnoteReference"/>
        </w:rPr>
        <w:footnoteRef/>
      </w:r>
      <w:r>
        <w:t xml:space="preserve"> </w:t>
      </w:r>
      <w:r>
        <w:tab/>
        <w:t xml:space="preserve">We are not suggesting that these research questions must be addressed through separate studies or surveys. We simply note that they are distinct types of investigation. </w:t>
      </w:r>
    </w:p>
  </w:footnote>
  <w:footnote w:id="83">
    <w:p w14:paraId="1B996E6A" w14:textId="77777777" w:rsidR="00513FB6" w:rsidRDefault="00513FB6" w:rsidP="00551502">
      <w:pPr>
        <w:pStyle w:val="FootnoteText"/>
      </w:pPr>
      <w:r w:rsidRPr="005D11B8">
        <w:rPr>
          <w:rStyle w:val="FootnoteReference"/>
        </w:rPr>
        <w:footnoteRef/>
      </w:r>
      <w:r>
        <w:t xml:space="preserve"> </w:t>
      </w:r>
      <w:r>
        <w:tab/>
        <w:t xml:space="preserve">Here we refer to a referendum-style survey type, rather than open-ended questionnaires. </w:t>
      </w:r>
    </w:p>
  </w:footnote>
  <w:footnote w:id="84">
    <w:p w14:paraId="49C61E76" w14:textId="1807F56E" w:rsidR="00513FB6" w:rsidRPr="00AD0F5F" w:rsidRDefault="00513FB6">
      <w:pPr>
        <w:pStyle w:val="FootnoteText"/>
        <w:rPr>
          <w:lang w:val="en-US"/>
        </w:rPr>
      </w:pPr>
      <w:r>
        <w:rPr>
          <w:rStyle w:val="FootnoteReference"/>
        </w:rPr>
        <w:footnoteRef/>
      </w:r>
      <w:r>
        <w:t xml:space="preserve"> </w:t>
      </w:r>
      <w:r>
        <w:rPr>
          <w:lang w:val="en-US"/>
        </w:rPr>
        <w:tab/>
        <w:t xml:space="preserve">That is, many different types of households and small businesses, as distinct from a small number of very large enterprises for which it might be feasible to carry out a small number of detailed business process studies that calculate the cost of disruptions to business inputs. </w:t>
      </w:r>
    </w:p>
  </w:footnote>
  <w:footnote w:id="85">
    <w:p w14:paraId="1E44C314" w14:textId="22C8F801" w:rsidR="00513FB6" w:rsidRPr="00ED2502" w:rsidRDefault="00513FB6" w:rsidP="00393958">
      <w:pPr>
        <w:pStyle w:val="FootnoteText"/>
        <w:spacing w:before="0" w:after="60"/>
      </w:pPr>
      <w:r w:rsidRPr="005D11B8">
        <w:rPr>
          <w:rStyle w:val="FootnoteReference"/>
        </w:rPr>
        <w:footnoteRef/>
      </w:r>
      <w:r>
        <w:t xml:space="preserve"> </w:t>
      </w:r>
      <w:r>
        <w:fldChar w:fldCharType="begin"/>
      </w:r>
      <w:r>
        <w:instrText xml:space="preserve"> ADDIN ZOTERO_ITEM CSL_CITATION {"citationID":"C17xZla8","properties":{"formattedCitation":"Rosston, Savage, and Waldman, \\uc0\\u8220{}Household Demand for Broadband Internet in 2010.\\uc0\\u8221{}","plainCitation":"Rosston, Savage, and Waldman, “Household Demand for Broadband Internet in 2010.”","noteIndex":85},"citationItems":[{"id":298,"uris":["http://zotero.org/groups/1820930/items/A8HQVWEP"],"uri":["http://zotero.org/groups/1820930/items/A8HQVWEP"],"itemData":{"id":298,"type":"article-journal","title":"Household Demand for Broadband Internet in 2010","container-title":"The B.E. Journal of Economic Analysis &amp; Policy","volume":"10","issue":"1","source":"DeGruyter","abstract":"This paper uses data from a nationwide survey administered during late 2009 and early 2010 to estimate a random utility model of household preferences for broadband Internet service. Reliability and speed are important service characteristics: the representative household is willing to pay $20 per month for more reliable service; $45 for an improvement in speed from slow to fast; and $48 for an improvement in speed from slow to very fast. A representative household would be willing to pay $79 per month for a fast, reliable Internet service. Internet valuations increase with experience, and there has been an estimated two- to three-fold increase in consumer surplus per household between 2003 and 2010. If experience causes increased valuation, targeted programs that educate households about the benefits from broadband, expose households to the broadband experience and/or directly support the initial take-up of broadband have potential to increase overall penetration in the United States.","URL":"https://www.degruyter.com/view/j/bejeap.2010.10.1/bejeap.2010.10.1.2541/bejeap.2010.10.1.2541.xml","DOI":"10.2202/1935-1682.2541","ISSN":"1935-1682","author":[{"family":"Rosston","given":"Gregory L."},{"family":"Savage","given":"Scott J"},{"family":"Waldman","given":"Donald M"}],"issued":{"date-parts":[["2010"]]},"accessed":{"date-parts":[["2019",3,20]]}}}],"schema":"https://github.com/citation-style-language/schema/raw/master/csl-citation.json"} </w:instrText>
      </w:r>
      <w:r>
        <w:fldChar w:fldCharType="separate"/>
      </w:r>
      <w:r w:rsidRPr="00ED2502">
        <w:rPr>
          <w:szCs w:val="24"/>
        </w:rPr>
        <w:t>Rosston, Savage, and Waldman, “Household Demand for Broadband Internet in 2010.”</w:t>
      </w:r>
      <w:r>
        <w:fldChar w:fldCharType="end"/>
      </w:r>
    </w:p>
  </w:footnote>
  <w:footnote w:id="86">
    <w:p w14:paraId="2722501C" w14:textId="2C0B0BE0" w:rsidR="00513FB6" w:rsidRPr="00EB079F" w:rsidRDefault="00513FB6" w:rsidP="00393958">
      <w:pPr>
        <w:pStyle w:val="FootnoteText"/>
        <w:spacing w:before="0" w:after="60"/>
      </w:pPr>
      <w:r w:rsidRPr="005D11B8">
        <w:rPr>
          <w:rStyle w:val="FootnoteReference"/>
        </w:rPr>
        <w:footnoteRef/>
      </w:r>
      <w:r>
        <w:t xml:space="preserve"> </w:t>
      </w:r>
      <w:r>
        <w:fldChar w:fldCharType="begin"/>
      </w:r>
      <w:r>
        <w:instrText xml:space="preserve"> ADDIN ZOTERO_ITEM CSL_CITATION {"citationID":"yqN5CGOr","properties":{"formattedCitation":"Douglas and Wallis, \\uc0\\u8220{}Predicting the Value of Public Transport In-Vehicle Time.\\uc0\\u8221{}","plainCitation":"Douglas and Wallis, “Predicting the Value of Public Transport In-Vehicle Time.”","noteIndex":86},"citationItems":[{"id":279,"uris":["http://zotero.org/groups/1820930/items/9W9FCNYE"],"uri":["http://zotero.org/groups/1820930/items/9W9FCNYE"],"itemData":{"id":279,"type":"paper-conference","title":"Predicting the value of public transport in-vehicle time","container-title":"Australasian Transport Research Forum 2013 Proceedings","author":[{"family":"Douglas","given":"N"},{"family":"Wallis","given":"I"}],"issued":{"date-parts":[["2013"]]}}}],"schema":"https://github.com/citation-style-language/schema/raw/master/csl-citation.json"} </w:instrText>
      </w:r>
      <w:r>
        <w:fldChar w:fldCharType="separate"/>
      </w:r>
      <w:r w:rsidRPr="00393958">
        <w:rPr>
          <w:szCs w:val="24"/>
        </w:rPr>
        <w:t>Douglas and Wallis, “Predicting the Value of Public Transport In-Vehicle Time.”</w:t>
      </w:r>
      <w:r>
        <w:fldChar w:fldCharType="end"/>
      </w:r>
    </w:p>
  </w:footnote>
  <w:footnote w:id="87">
    <w:p w14:paraId="1359F5C0" w14:textId="61F9EE2E" w:rsidR="00513FB6" w:rsidRDefault="00513FB6" w:rsidP="000D22A5">
      <w:pPr>
        <w:pStyle w:val="FootnoteText"/>
      </w:pPr>
      <w:r w:rsidRPr="005D11B8">
        <w:rPr>
          <w:rStyle w:val="FootnoteReference"/>
        </w:rPr>
        <w:footnoteRef/>
      </w:r>
      <w:r>
        <w:t xml:space="preserve"> </w:t>
      </w:r>
      <w:r>
        <w:tab/>
      </w:r>
      <w:r>
        <w:fldChar w:fldCharType="begin"/>
      </w:r>
      <w:r>
        <w:instrText xml:space="preserve"> ADDIN ZOTERO_ITEM CSL_CITATION {"citationID":"6HKfXhO6","properties":{"formattedCitation":"Alpizar, Carlsson, and Martinsson, \\uc0\\u8220{}Using Choice Experiments for Non-Market Valuation.\\uc0\\u8221{}","plainCitation":"Alpizar, Carlsson, and Martinsson, “Using Choice Experiments for Non-Market Valuation.”","noteIndex":87},"citationItems":[{"id":258,"uris":["http://zotero.org/groups/1820930/items/P8LIZXPA"],"uri":["http://zotero.org/groups/1820930/items/P8LIZXPA"],"itemData":{"id":258,"type":"article-journal","title":"Using Choice Experiments for Non-Market Valuation","page":"37","source":"Zotero","abstract":"This paper provides the latest research developments in the method of choice experiments applied to valuation of non-market goods. Choice experiments, along with the, by now, well-known contingent valuation method, are very important tools for valuing non-market goods and the results are used in both cost-benefit analyses and litigations related to damage assessments. The paper should provide the reader with both the means to carry out a choice experiment and to conduct a detailed critical analysis of its performance in order to give informed advice about the results. A discussion of the underlying economic model of choice experiments is incorporated, as well as a presentation of econometric models consistent with economic theory. Furthermore, a detailed discussion on the development of a choice experiment is provided, which in particular focuses on the design of the experiment and tests of validity. Finally, a discussion on different ways to calculate welfare effects is presented.","language":"en","author":[{"family":"Alpizar","given":"Francisco"},{"family":"Carlsson","given":"Fredrik"},{"family":"Martinsson","given":"Peter"}],"issued":{"date-parts":[["2001",6]]}}}],"schema":"https://github.com/citation-style-language/schema/raw/master/csl-citation.json"} </w:instrText>
      </w:r>
      <w:r>
        <w:fldChar w:fldCharType="separate"/>
      </w:r>
      <w:r w:rsidRPr="00A4325F">
        <w:rPr>
          <w:szCs w:val="24"/>
        </w:rPr>
        <w:t>Alpizar, Carlsson, and Martinsson, “Using Choice Experiments for Non-Market Valuation.”</w:t>
      </w:r>
      <w:r>
        <w:fldChar w:fldCharType="end"/>
      </w:r>
    </w:p>
  </w:footnote>
  <w:footnote w:id="88">
    <w:p w14:paraId="7D358503" w14:textId="4BDE7E84" w:rsidR="00513FB6" w:rsidRDefault="00513FB6" w:rsidP="000D22A5">
      <w:pPr>
        <w:pStyle w:val="FootnoteText"/>
      </w:pPr>
      <w:r w:rsidRPr="005D11B8">
        <w:rPr>
          <w:rStyle w:val="FootnoteReference"/>
        </w:rPr>
        <w:footnoteRef/>
      </w:r>
      <w:r>
        <w:t xml:space="preserve"> </w:t>
      </w:r>
      <w:r>
        <w:tab/>
      </w:r>
      <w:r>
        <w:fldChar w:fldCharType="begin"/>
      </w:r>
      <w:r>
        <w:instrText xml:space="preserve"> ADDIN ZOTERO_ITEM CSL_CITATION {"citationID":"ZsDmHnfM","properties":{"formattedCitation":"Productivity Commission, \\uc0\\u8220{}Public Infrastructure: Inquiry Report,\\uc0\\u8221{} 2014.","plainCitation":"Productivity Commission, “Public Infrastructure: Inquiry Report,” 2014.","noteIndex":88},"citationItems":[{"id":730,"uris":["http://zotero.org/groups/1820930/items/J2VP8QN5"],"uri":["http://zotero.org/groups/1820930/items/J2VP8QN5"],"itemData":{"id":730,"type":"report","title":"Public infrastructure: inquiry report","source":"Open WorldCat","note":"OCLC: 1058244510","title-short":"Public infrastructure","language":"en","author":[{"literal":"Productivity Commission"}],"issued":{"date-parts":[["2014"]]}}}],"schema":"https://github.com/citation-style-language/schema/raw/master/csl-citation.json"} </w:instrText>
      </w:r>
      <w:r>
        <w:fldChar w:fldCharType="separate"/>
      </w:r>
      <w:r w:rsidRPr="00A4325F">
        <w:rPr>
          <w:szCs w:val="24"/>
        </w:rPr>
        <w:t>Productivity Commission, “Public Infrastructure: Inquiry Report,” 2014.</w:t>
      </w:r>
      <w:r>
        <w:fldChar w:fldCharType="end"/>
      </w:r>
    </w:p>
  </w:footnote>
  <w:footnote w:id="89">
    <w:p w14:paraId="093CC21F" w14:textId="0DB0395E" w:rsidR="00513FB6" w:rsidRDefault="00513FB6" w:rsidP="000D22A5">
      <w:pPr>
        <w:pStyle w:val="FootnoteText"/>
      </w:pPr>
      <w:r w:rsidRPr="005D11B8">
        <w:rPr>
          <w:rStyle w:val="FootnoteReference"/>
        </w:rPr>
        <w:footnoteRef/>
      </w:r>
      <w:r>
        <w:t xml:space="preserve"> </w:t>
      </w:r>
      <w:r>
        <w:tab/>
      </w:r>
      <w:r>
        <w:fldChar w:fldCharType="begin"/>
      </w:r>
      <w:r>
        <w:instrText xml:space="preserve"> ADDIN ZOTERO_ITEM CSL_CITATION {"citationID":"BL6gjqtj","properties":{"formattedCitation":"Lindsay J. Mangham, Kara Hanson, and Barbara McPake, \\uc0\\u8220{}How to Do (or Not to Do) \\uc0\\u8230{} Designing a Discrete Choice Experiment for Application in a Low-Income Country,\\uc0\\u8221{} {\\i{}Health Policy and Planning} 24, no. 2 (March 1, 2009): 151\\uc0\\u8211{}58, https://doi.org/10.1093/heapol/czn047.","plainCitation":"Lindsay J. Mangham, Kara Hanson, and Barbara McPake, “How to Do (or Not to Do) … Designing a Discrete Choice Experiment for Application in a Low-Income Country,” Health Policy and Planning 24, no. 2 (March 1, 2009): 151–58, https://doi.org/10.1093/heapol/czn047.","noteIndex":89},"citationItems":[{"id":237,"uris":["http://zotero.org/groups/1820930/items/NJBAJ68Y"],"uri":["http://zotero.org/groups/1820930/items/NJBAJ68Y"],"itemData":{"id":237,"type":"article-journal","title":"How to do (or not to do) … Designing a discrete choice experiment for application in a low-income country","container-title":"Health Policy and Planning","page":"151-158","volume":"24","issue":"2","source":"academic.oup.com","abstract":"Abstract.  Understanding the preferences of patients and health professionals is useful for health policy and planning. Discrete choice experiments (DCEs) are a","DOI":"10.1093/heapol/czn047","ISSN":"0268-1080","journalAbbreviation":"Health Policy Plan","language":"en","author":[{"family":"Mangham","given":"Lindsay J."},{"family":"Hanson","given":"Kara"},{"family":"McPake","given":"Barbara"}],"issued":{"date-parts":[["2009",3,1]]}}}],"schema":"https://github.com/citation-style-language/schema/raw/master/csl-citation.json"} </w:instrText>
      </w:r>
      <w:r>
        <w:fldChar w:fldCharType="separate"/>
      </w:r>
      <w:r w:rsidRPr="001916E1">
        <w:rPr>
          <w:szCs w:val="24"/>
        </w:rPr>
        <w:t xml:space="preserve">Lindsay J. Mangham, Kara Hanson, and Barbara McPake, “How to Do (or Not to Do) … Designing a Discrete Choice Experiment for Application in a Low-Income Country,” </w:t>
      </w:r>
      <w:r w:rsidRPr="001916E1">
        <w:rPr>
          <w:i/>
          <w:iCs/>
          <w:szCs w:val="24"/>
        </w:rPr>
        <w:t>Health Policy and Planning</w:t>
      </w:r>
      <w:r w:rsidRPr="001916E1">
        <w:rPr>
          <w:szCs w:val="24"/>
        </w:rPr>
        <w:t xml:space="preserve"> 24, no. 2 (March 1, 2009): 151–58, https://doi.org/10.1093/heapol/czn047.</w:t>
      </w:r>
      <w:r>
        <w:fldChar w:fldCharType="end"/>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CCF80D" w14:textId="77777777" w:rsidR="00513FB6" w:rsidRDefault="00513FB6" w:rsidP="00EB079F">
    <w:pPr>
      <w:pStyle w:val="Header"/>
      <w:jc w:val="right"/>
    </w:pPr>
    <w:r w:rsidRPr="007973FA">
      <w:rPr>
        <w:noProof/>
        <w:lang w:eastAsia="en-AU"/>
      </w:rPr>
      <w:drawing>
        <wp:inline distT="0" distB="0" distL="0" distR="0" wp14:anchorId="7ED0B1E2" wp14:editId="27451C78">
          <wp:extent cx="1374140" cy="425450"/>
          <wp:effectExtent l="19050" t="0" r="0" b="0"/>
          <wp:docPr id="6" name="Picture 1" descr="Synergies colou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ynergies colour logo"/>
                  <pic:cNvPicPr>
                    <a:picLocks noChangeAspect="1" noChangeArrowheads="1"/>
                  </pic:cNvPicPr>
                </pic:nvPicPr>
                <pic:blipFill>
                  <a:blip r:embed="rId1"/>
                  <a:srcRect/>
                  <a:stretch>
                    <a:fillRect/>
                  </a:stretch>
                </pic:blipFill>
                <pic:spPr bwMode="auto">
                  <a:xfrm>
                    <a:off x="0" y="0"/>
                    <a:ext cx="1374140" cy="425450"/>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F7A841" w14:textId="77777777" w:rsidR="00513FB6" w:rsidRDefault="00513FB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DC2676" w14:textId="77777777" w:rsidR="00513FB6" w:rsidRDefault="00513FB6">
    <w:pPr>
      <w:pStyle w:val="Header"/>
    </w:pPr>
    <w:r>
      <w:tab/>
    </w:r>
    <w:r>
      <w:tab/>
    </w:r>
    <w:r>
      <w:rPr>
        <w:noProof/>
        <w:lang w:eastAsia="en-AU"/>
      </w:rPr>
      <w:drawing>
        <wp:inline distT="0" distB="0" distL="0" distR="0" wp14:anchorId="1489ED6F" wp14:editId="0A6680B6">
          <wp:extent cx="1376045" cy="426085"/>
          <wp:effectExtent l="0" t="0" r="0" b="0"/>
          <wp:docPr id="1" name="Picture 1" descr="Synergies colou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ynergies colour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6045" cy="426085"/>
                  </a:xfrm>
                  <a:prstGeom prst="rect">
                    <a:avLst/>
                  </a:prstGeom>
                  <a:noFill/>
                  <a:ln>
                    <a:noFill/>
                  </a:ln>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11CA99" w14:textId="77777777" w:rsidR="00513FB6" w:rsidRDefault="00513FB6">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28B35C" w14:textId="30B386E6" w:rsidR="00513FB6" w:rsidRDefault="00513FB6">
    <w:pPr>
      <w:pStyle w:val="Header"/>
    </w:pPr>
    <w:r>
      <w:tab/>
    </w:r>
    <w: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9149B3" w14:textId="77777777" w:rsidR="00513FB6" w:rsidRDefault="00513FB6">
    <w:pPr>
      <w:pStyle w:val="Header"/>
    </w:pPr>
    <w:r>
      <w:tab/>
    </w:r>
    <w:r>
      <w:tab/>
    </w:r>
    <w:r>
      <w:rPr>
        <w:noProof/>
        <w:lang w:eastAsia="en-AU"/>
      </w:rPr>
      <w:drawing>
        <wp:inline distT="0" distB="0" distL="0" distR="0" wp14:anchorId="29C547D2" wp14:editId="10611D6E">
          <wp:extent cx="1376045" cy="426085"/>
          <wp:effectExtent l="0" t="0" r="0" b="0"/>
          <wp:docPr id="12" name="Picture 12" descr="Synergies colou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ynergies colour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6045" cy="426085"/>
                  </a:xfrm>
                  <a:prstGeom prst="rect">
                    <a:avLst/>
                  </a:prstGeom>
                  <a:noFill/>
                  <a:ln>
                    <a:noFill/>
                  </a:ln>
                </pic:spPr>
              </pic:pic>
            </a:graphicData>
          </a:graphic>
        </wp:inline>
      </w:drawing>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424075" w14:textId="3900FC90" w:rsidR="00513FB6" w:rsidRDefault="00513FB6">
    <w:pPr>
      <w:pStyle w:val="Header"/>
    </w:pPr>
    <w:r>
      <w:tab/>
    </w:r>
    <w:r>
      <w:tab/>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5D1C9D" w14:textId="77777777" w:rsidR="00513FB6" w:rsidRDefault="00513FB6">
    <w:pPr>
      <w:pStyle w:val="Header"/>
    </w:pPr>
    <w:r>
      <w:tab/>
    </w:r>
    <w:r>
      <w:tab/>
    </w:r>
    <w:r>
      <w:rPr>
        <w:noProof/>
        <w:lang w:eastAsia="en-AU"/>
      </w:rPr>
      <w:drawing>
        <wp:inline distT="0" distB="0" distL="0" distR="0" wp14:anchorId="041FAF58" wp14:editId="4E9683A2">
          <wp:extent cx="1376045" cy="426085"/>
          <wp:effectExtent l="0" t="0" r="0" b="0"/>
          <wp:docPr id="13" name="Picture 13" descr="Synergies colou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ynergies colour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6045" cy="42608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67A55"/>
    <w:multiLevelType w:val="hybridMultilevel"/>
    <w:tmpl w:val="8FBED776"/>
    <w:lvl w:ilvl="0" w:tplc="82461DFC">
      <w:numFmt w:val="bullet"/>
      <w:lvlText w:val="-"/>
      <w:lvlJc w:val="left"/>
      <w:pPr>
        <w:ind w:left="720" w:hanging="360"/>
      </w:pPr>
      <w:rPr>
        <w:rFonts w:ascii="Book Antiqua" w:eastAsia="Times New Roman" w:hAnsi="Book Antiqu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2E1823"/>
    <w:multiLevelType w:val="multilevel"/>
    <w:tmpl w:val="93A6AA7E"/>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737"/>
        </w:tabs>
        <w:ind w:left="737" w:hanging="737"/>
      </w:pPr>
      <w:rPr>
        <w:rFonts w:hint="default"/>
      </w:rPr>
    </w:lvl>
    <w:lvl w:ilvl="2">
      <w:start w:val="1"/>
      <w:numFmt w:val="decimal"/>
      <w:lvlText w:val="%1.%2.%3"/>
      <w:lvlJc w:val="left"/>
      <w:pPr>
        <w:tabs>
          <w:tab w:val="num" w:pos="737"/>
        </w:tabs>
        <w:ind w:left="737" w:hanging="73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284" w:firstLine="0"/>
      </w:pPr>
      <w:rPr>
        <w:rFonts w:hint="default"/>
      </w:rPr>
    </w:lvl>
    <w:lvl w:ilvl="5">
      <w:start w:val="1"/>
      <w:numFmt w:val="none"/>
      <w:lvlText w:val=""/>
      <w:lvlJc w:val="left"/>
      <w:pPr>
        <w:tabs>
          <w:tab w:val="num" w:pos="1436"/>
        </w:tabs>
        <w:ind w:left="1436" w:hanging="1152"/>
      </w:pPr>
      <w:rPr>
        <w:rFonts w:hint="default"/>
      </w:rPr>
    </w:lvl>
    <w:lvl w:ilvl="6">
      <w:start w:val="1"/>
      <w:numFmt w:val="upperLetter"/>
      <w:lvlRestart w:val="3"/>
      <w:lvlText w:val="%7"/>
      <w:lvlJc w:val="left"/>
      <w:pPr>
        <w:tabs>
          <w:tab w:val="num" w:pos="737"/>
        </w:tabs>
        <w:ind w:left="737" w:hanging="737"/>
      </w:pPr>
      <w:rPr>
        <w:rFonts w:hint="default"/>
      </w:rPr>
    </w:lvl>
    <w:lvl w:ilvl="7">
      <w:start w:val="1"/>
      <w:numFmt w:val="decimal"/>
      <w:lvlText w:val="%7.%8"/>
      <w:lvlJc w:val="left"/>
      <w:pPr>
        <w:tabs>
          <w:tab w:val="num" w:pos="737"/>
        </w:tabs>
        <w:ind w:left="737" w:hanging="737"/>
      </w:pPr>
      <w:rPr>
        <w:rFonts w:hint="default"/>
      </w:rPr>
    </w:lvl>
    <w:lvl w:ilvl="8">
      <w:start w:val="1"/>
      <w:numFmt w:val="decimal"/>
      <w:lvlText w:val="%7.%8.%9"/>
      <w:lvlJc w:val="left"/>
      <w:pPr>
        <w:tabs>
          <w:tab w:val="num" w:pos="737"/>
        </w:tabs>
        <w:ind w:left="737" w:hanging="737"/>
      </w:pPr>
      <w:rPr>
        <w:rFonts w:hint="default"/>
      </w:rPr>
    </w:lvl>
  </w:abstractNum>
  <w:abstractNum w:abstractNumId="2">
    <w:nsid w:val="0A2A2625"/>
    <w:multiLevelType w:val="hybridMultilevel"/>
    <w:tmpl w:val="06C639E4"/>
    <w:lvl w:ilvl="0" w:tplc="788AE8B4">
      <w:numFmt w:val="bullet"/>
      <w:lvlText w:val="-"/>
      <w:lvlJc w:val="left"/>
      <w:pPr>
        <w:ind w:left="720" w:hanging="360"/>
      </w:pPr>
      <w:rPr>
        <w:rFonts w:ascii="Book Antiqua" w:eastAsia="Times New Roman" w:hAnsi="Book Antiqu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A545B62"/>
    <w:multiLevelType w:val="multilevel"/>
    <w:tmpl w:val="974CE382"/>
    <w:lvl w:ilvl="0">
      <w:start w:val="1"/>
      <w:numFmt w:val="lowerLetter"/>
      <w:lvlText w:val="(%1)"/>
      <w:lvlJc w:val="left"/>
      <w:pPr>
        <w:tabs>
          <w:tab w:val="num" w:pos="454"/>
        </w:tabs>
        <w:ind w:left="454" w:hanging="454"/>
      </w:pPr>
      <w:rPr>
        <w:rFonts w:ascii="Book Antiqua" w:hAnsi="Book Antiqua" w:hint="default"/>
        <w:sz w:val="22"/>
      </w:rPr>
    </w:lvl>
    <w:lvl w:ilvl="1">
      <w:start w:val="1"/>
      <w:numFmt w:val="lowerRoman"/>
      <w:lvlText w:val="(%2)"/>
      <w:lvlJc w:val="left"/>
      <w:pPr>
        <w:tabs>
          <w:tab w:val="num" w:pos="1534"/>
        </w:tabs>
        <w:ind w:left="454" w:firstLine="0"/>
      </w:pPr>
      <w:rPr>
        <w:rFonts w:ascii="Book Antiqua" w:hAnsi="Book Antiqua" w:hint="default"/>
      </w:rPr>
    </w:lvl>
    <w:lvl w:ilvl="2">
      <w:start w:val="1"/>
      <w:numFmt w:val="upperLetter"/>
      <w:lvlText w:val="(%3)"/>
      <w:lvlJc w:val="left"/>
      <w:pPr>
        <w:tabs>
          <w:tab w:val="num" w:pos="1080"/>
        </w:tabs>
        <w:ind w:left="624" w:firstLine="283"/>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0E1C0584"/>
    <w:multiLevelType w:val="singleLevel"/>
    <w:tmpl w:val="99CCA0BA"/>
    <w:lvl w:ilvl="0">
      <w:start w:val="1"/>
      <w:numFmt w:val="decimal"/>
      <w:pStyle w:val="Tablelistnumber"/>
      <w:lvlText w:val="%1."/>
      <w:lvlJc w:val="left"/>
      <w:pPr>
        <w:tabs>
          <w:tab w:val="num" w:pos="227"/>
        </w:tabs>
        <w:ind w:left="227" w:hanging="227"/>
      </w:pPr>
      <w:rPr>
        <w:rFonts w:hint="default"/>
      </w:rPr>
    </w:lvl>
  </w:abstractNum>
  <w:abstractNum w:abstractNumId="5">
    <w:nsid w:val="0FC52C30"/>
    <w:multiLevelType w:val="multilevel"/>
    <w:tmpl w:val="BFBC1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31D6431"/>
    <w:multiLevelType w:val="hybridMultilevel"/>
    <w:tmpl w:val="25E04420"/>
    <w:lvl w:ilvl="0" w:tplc="BD3C546C">
      <w:start w:val="1"/>
      <w:numFmt w:val="upperLetter"/>
      <w:lvlText w:val="(%1)"/>
      <w:lvlJc w:val="left"/>
      <w:pPr>
        <w:ind w:left="1267" w:hanging="360"/>
      </w:pPr>
      <w:rPr>
        <w:rFonts w:hint="default"/>
      </w:rPr>
    </w:lvl>
    <w:lvl w:ilvl="1" w:tplc="0C090019" w:tentative="1">
      <w:start w:val="1"/>
      <w:numFmt w:val="lowerLetter"/>
      <w:lvlText w:val="%2."/>
      <w:lvlJc w:val="left"/>
      <w:pPr>
        <w:ind w:left="1894" w:hanging="360"/>
      </w:pPr>
    </w:lvl>
    <w:lvl w:ilvl="2" w:tplc="0C09001B" w:tentative="1">
      <w:start w:val="1"/>
      <w:numFmt w:val="lowerRoman"/>
      <w:lvlText w:val="%3."/>
      <w:lvlJc w:val="right"/>
      <w:pPr>
        <w:ind w:left="2614" w:hanging="180"/>
      </w:pPr>
    </w:lvl>
    <w:lvl w:ilvl="3" w:tplc="0C09000F" w:tentative="1">
      <w:start w:val="1"/>
      <w:numFmt w:val="decimal"/>
      <w:lvlText w:val="%4."/>
      <w:lvlJc w:val="left"/>
      <w:pPr>
        <w:ind w:left="3334" w:hanging="360"/>
      </w:pPr>
    </w:lvl>
    <w:lvl w:ilvl="4" w:tplc="0C090019" w:tentative="1">
      <w:start w:val="1"/>
      <w:numFmt w:val="lowerLetter"/>
      <w:lvlText w:val="%5."/>
      <w:lvlJc w:val="left"/>
      <w:pPr>
        <w:ind w:left="4054" w:hanging="360"/>
      </w:pPr>
    </w:lvl>
    <w:lvl w:ilvl="5" w:tplc="0C09001B" w:tentative="1">
      <w:start w:val="1"/>
      <w:numFmt w:val="lowerRoman"/>
      <w:lvlText w:val="%6."/>
      <w:lvlJc w:val="right"/>
      <w:pPr>
        <w:ind w:left="4774" w:hanging="180"/>
      </w:pPr>
    </w:lvl>
    <w:lvl w:ilvl="6" w:tplc="0C09000F" w:tentative="1">
      <w:start w:val="1"/>
      <w:numFmt w:val="decimal"/>
      <w:lvlText w:val="%7."/>
      <w:lvlJc w:val="left"/>
      <w:pPr>
        <w:ind w:left="5494" w:hanging="360"/>
      </w:pPr>
    </w:lvl>
    <w:lvl w:ilvl="7" w:tplc="0C090019" w:tentative="1">
      <w:start w:val="1"/>
      <w:numFmt w:val="lowerLetter"/>
      <w:lvlText w:val="%8."/>
      <w:lvlJc w:val="left"/>
      <w:pPr>
        <w:ind w:left="6214" w:hanging="360"/>
      </w:pPr>
    </w:lvl>
    <w:lvl w:ilvl="8" w:tplc="0C09001B" w:tentative="1">
      <w:start w:val="1"/>
      <w:numFmt w:val="lowerRoman"/>
      <w:lvlText w:val="%9."/>
      <w:lvlJc w:val="right"/>
      <w:pPr>
        <w:ind w:left="6934" w:hanging="180"/>
      </w:pPr>
    </w:lvl>
  </w:abstractNum>
  <w:abstractNum w:abstractNumId="7">
    <w:nsid w:val="1D3957BA"/>
    <w:multiLevelType w:val="multilevel"/>
    <w:tmpl w:val="0A164698"/>
    <w:lvl w:ilvl="0">
      <w:start w:val="1"/>
      <w:numFmt w:val="bullet"/>
      <w:pStyle w:val="bullet"/>
      <w:lvlText w:val=""/>
      <w:lvlJc w:val="left"/>
      <w:pPr>
        <w:tabs>
          <w:tab w:val="num" w:pos="454"/>
        </w:tabs>
        <w:ind w:left="454" w:hanging="454"/>
      </w:pPr>
      <w:rPr>
        <w:rFonts w:ascii="Symbol" w:hAnsi="Symbol" w:hint="default"/>
      </w:rPr>
    </w:lvl>
    <w:lvl w:ilvl="1">
      <w:start w:val="1"/>
      <w:numFmt w:val="bullet"/>
      <w:pStyle w:val="bullet2"/>
      <w:lvlText w:val=""/>
      <w:lvlJc w:val="left"/>
      <w:pPr>
        <w:tabs>
          <w:tab w:val="num" w:pos="907"/>
        </w:tabs>
        <w:ind w:left="907" w:hanging="453"/>
      </w:pPr>
      <w:rPr>
        <w:rFonts w:ascii="Symbol" w:hAnsi="Symbol" w:hint="default"/>
      </w:rPr>
    </w:lvl>
    <w:lvl w:ilvl="2">
      <w:start w:val="1"/>
      <w:numFmt w:val="bullet"/>
      <w:lvlText w:val=""/>
      <w:lvlJc w:val="left"/>
      <w:pPr>
        <w:tabs>
          <w:tab w:val="num" w:pos="1647"/>
        </w:tabs>
        <w:ind w:left="1647" w:hanging="360"/>
      </w:pPr>
      <w:rPr>
        <w:rFonts w:ascii="Wingdings" w:hAnsi="Wingdings"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8">
    <w:nsid w:val="2B953D92"/>
    <w:multiLevelType w:val="singleLevel"/>
    <w:tmpl w:val="485C60EC"/>
    <w:lvl w:ilvl="0">
      <w:start w:val="1"/>
      <w:numFmt w:val="bullet"/>
      <w:pStyle w:val="Tablelistbullet"/>
      <w:lvlText w:val="•"/>
      <w:lvlJc w:val="left"/>
      <w:pPr>
        <w:tabs>
          <w:tab w:val="num" w:pos="227"/>
        </w:tabs>
        <w:ind w:left="227" w:hanging="227"/>
      </w:pPr>
      <w:rPr>
        <w:rFonts w:ascii="Arial" w:hAnsi="Arial" w:hint="default"/>
      </w:rPr>
    </w:lvl>
  </w:abstractNum>
  <w:abstractNum w:abstractNumId="9">
    <w:nsid w:val="2D8502EA"/>
    <w:multiLevelType w:val="singleLevel"/>
    <w:tmpl w:val="ACE0BB36"/>
    <w:lvl w:ilvl="0">
      <w:start w:val="1"/>
      <w:numFmt w:val="decimal"/>
      <w:pStyle w:val="BoxListNumber"/>
      <w:lvlText w:val="%1."/>
      <w:lvlJc w:val="left"/>
      <w:pPr>
        <w:tabs>
          <w:tab w:val="num" w:pos="227"/>
        </w:tabs>
        <w:ind w:left="227" w:hanging="227"/>
      </w:pPr>
      <w:rPr>
        <w:rFonts w:hint="default"/>
      </w:rPr>
    </w:lvl>
  </w:abstractNum>
  <w:abstractNum w:abstractNumId="10">
    <w:nsid w:val="32DE3832"/>
    <w:multiLevelType w:val="hybridMultilevel"/>
    <w:tmpl w:val="E4F40A88"/>
    <w:lvl w:ilvl="0" w:tplc="343C417E">
      <w:numFmt w:val="bullet"/>
      <w:lvlText w:val="-"/>
      <w:lvlJc w:val="left"/>
      <w:pPr>
        <w:ind w:left="720" w:hanging="360"/>
      </w:pPr>
      <w:rPr>
        <w:rFonts w:ascii="Book Antiqua" w:eastAsia="Times New Roman" w:hAnsi="Book Antiqu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42A5010B"/>
    <w:multiLevelType w:val="multilevel"/>
    <w:tmpl w:val="E91693A2"/>
    <w:lvl w:ilvl="0">
      <w:start w:val="1"/>
      <w:numFmt w:val="decimal"/>
      <w:pStyle w:val="numberedbullet"/>
      <w:lvlText w:val="%1."/>
      <w:lvlJc w:val="left"/>
      <w:pPr>
        <w:tabs>
          <w:tab w:val="num" w:pos="454"/>
        </w:tabs>
        <w:ind w:left="454" w:hanging="454"/>
      </w:pPr>
      <w:rPr>
        <w:rFonts w:hint="default"/>
      </w:rPr>
    </w:lvl>
    <w:lvl w:ilvl="1">
      <w:start w:val="1"/>
      <w:numFmt w:val="decimal"/>
      <w:pStyle w:val="numberedlist2"/>
      <w:lvlText w:val="%1.%2."/>
      <w:lvlJc w:val="left"/>
      <w:pPr>
        <w:tabs>
          <w:tab w:val="num" w:pos="1134"/>
        </w:tabs>
        <w:ind w:left="1021" w:hanging="567"/>
      </w:pPr>
      <w:rPr>
        <w:rFonts w:hint="default"/>
      </w:rPr>
    </w:lvl>
    <w:lvl w:ilvl="2">
      <w:start w:val="1"/>
      <w:numFmt w:val="decimal"/>
      <w:pStyle w:val="numberedbullet3"/>
      <w:lvlText w:val="%1.%2.%3."/>
      <w:lvlJc w:val="left"/>
      <w:pPr>
        <w:ind w:left="1701" w:hanging="68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4811070C"/>
    <w:multiLevelType w:val="singleLevel"/>
    <w:tmpl w:val="8CA6607A"/>
    <w:lvl w:ilvl="0">
      <w:start w:val="1"/>
      <w:numFmt w:val="bullet"/>
      <w:pStyle w:val="Tablelistbullet2"/>
      <w:lvlText w:val="–"/>
      <w:lvlJc w:val="left"/>
      <w:pPr>
        <w:tabs>
          <w:tab w:val="num" w:pos="454"/>
        </w:tabs>
        <w:ind w:left="454" w:hanging="227"/>
      </w:pPr>
      <w:rPr>
        <w:rFonts w:ascii="Arial" w:hAnsi="Arial" w:hint="default"/>
      </w:rPr>
    </w:lvl>
  </w:abstractNum>
  <w:abstractNum w:abstractNumId="13">
    <w:nsid w:val="560250B2"/>
    <w:multiLevelType w:val="multilevel"/>
    <w:tmpl w:val="E868601E"/>
    <w:lvl w:ilvl="0">
      <w:start w:val="1"/>
      <w:numFmt w:val="decimal"/>
      <w:lvlText w:val="%1"/>
      <w:lvlJc w:val="left"/>
      <w:pPr>
        <w:tabs>
          <w:tab w:val="num" w:pos="737"/>
        </w:tabs>
        <w:ind w:left="737" w:hanging="737"/>
      </w:pPr>
      <w:rPr>
        <w:rFonts w:hint="default"/>
      </w:rPr>
    </w:lvl>
    <w:lvl w:ilvl="1">
      <w:start w:val="1"/>
      <w:numFmt w:val="decimal"/>
      <w:lvlText w:val="%1.%2"/>
      <w:lvlJc w:val="left"/>
      <w:pPr>
        <w:ind w:left="737" w:hanging="737"/>
      </w:pPr>
      <w:rPr>
        <w:rFonts w:hint="default"/>
      </w:rPr>
    </w:lvl>
    <w:lvl w:ilvl="2">
      <w:start w:val="1"/>
      <w:numFmt w:val="decimal"/>
      <w:lvlText w:val="%1.%2.%3"/>
      <w:lvlJc w:val="left"/>
      <w:pPr>
        <w:tabs>
          <w:tab w:val="num" w:pos="737"/>
        </w:tabs>
        <w:ind w:left="737" w:hanging="737"/>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upperLetter"/>
      <w:lvlText w:val="%7."/>
      <w:lvlJc w:val="left"/>
      <w:pPr>
        <w:tabs>
          <w:tab w:val="num" w:pos="737"/>
        </w:tabs>
        <w:ind w:left="737" w:hanging="737"/>
      </w:pPr>
      <w:rPr>
        <w:rFonts w:hint="default"/>
      </w:rPr>
    </w:lvl>
    <w:lvl w:ilvl="7">
      <w:start w:val="1"/>
      <w:numFmt w:val="decimal"/>
      <w:lvlText w:val="%7.%8"/>
      <w:lvlJc w:val="left"/>
      <w:pPr>
        <w:tabs>
          <w:tab w:val="num" w:pos="737"/>
        </w:tabs>
        <w:ind w:left="737" w:hanging="737"/>
      </w:pPr>
      <w:rPr>
        <w:rFonts w:hint="default"/>
      </w:rPr>
    </w:lvl>
    <w:lvl w:ilvl="8">
      <w:start w:val="1"/>
      <w:numFmt w:val="decimal"/>
      <w:lvlText w:val="%7.%8.%9"/>
      <w:lvlJc w:val="left"/>
      <w:pPr>
        <w:tabs>
          <w:tab w:val="num" w:pos="737"/>
        </w:tabs>
        <w:ind w:left="737" w:hanging="737"/>
      </w:pPr>
      <w:rPr>
        <w:rFonts w:hint="default"/>
      </w:rPr>
    </w:lvl>
  </w:abstractNum>
  <w:abstractNum w:abstractNumId="14">
    <w:nsid w:val="5EDA2111"/>
    <w:multiLevelType w:val="multilevel"/>
    <w:tmpl w:val="E868601E"/>
    <w:lvl w:ilvl="0">
      <w:start w:val="1"/>
      <w:numFmt w:val="decimal"/>
      <w:pStyle w:val="Heading1"/>
      <w:lvlText w:val="%1"/>
      <w:lvlJc w:val="left"/>
      <w:pPr>
        <w:tabs>
          <w:tab w:val="num" w:pos="737"/>
        </w:tabs>
        <w:ind w:left="737" w:hanging="737"/>
      </w:pPr>
      <w:rPr>
        <w:rFonts w:hint="default"/>
      </w:rPr>
    </w:lvl>
    <w:lvl w:ilvl="1">
      <w:start w:val="1"/>
      <w:numFmt w:val="decimal"/>
      <w:pStyle w:val="Heading2"/>
      <w:lvlText w:val="%1.%2"/>
      <w:lvlJc w:val="left"/>
      <w:pPr>
        <w:ind w:left="737" w:hanging="737"/>
      </w:pPr>
      <w:rPr>
        <w:rFonts w:hint="default"/>
      </w:rPr>
    </w:lvl>
    <w:lvl w:ilvl="2">
      <w:start w:val="1"/>
      <w:numFmt w:val="decimal"/>
      <w:pStyle w:val="Heading3"/>
      <w:lvlText w:val="%1.%2.%3"/>
      <w:lvlJc w:val="left"/>
      <w:pPr>
        <w:tabs>
          <w:tab w:val="num" w:pos="1871"/>
        </w:tabs>
        <w:ind w:left="1871" w:hanging="737"/>
      </w:pPr>
      <w:rPr>
        <w:rFonts w:hint="default"/>
      </w:rPr>
    </w:lvl>
    <w:lvl w:ilvl="3">
      <w:start w:val="1"/>
      <w:numFmt w:val="none"/>
      <w:pStyle w:val="Heading4"/>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pStyle w:val="Heading6"/>
      <w:lvlText w:val=""/>
      <w:lvlJc w:val="left"/>
      <w:pPr>
        <w:ind w:left="0" w:firstLine="0"/>
      </w:pPr>
      <w:rPr>
        <w:rFonts w:hint="default"/>
      </w:rPr>
    </w:lvl>
    <w:lvl w:ilvl="6">
      <w:start w:val="1"/>
      <w:numFmt w:val="upperLetter"/>
      <w:pStyle w:val="Heading7"/>
      <w:lvlText w:val="%7."/>
      <w:lvlJc w:val="left"/>
      <w:pPr>
        <w:tabs>
          <w:tab w:val="num" w:pos="737"/>
        </w:tabs>
        <w:ind w:left="737" w:hanging="737"/>
      </w:pPr>
      <w:rPr>
        <w:rFonts w:hint="default"/>
      </w:rPr>
    </w:lvl>
    <w:lvl w:ilvl="7">
      <w:start w:val="1"/>
      <w:numFmt w:val="decimal"/>
      <w:pStyle w:val="Heading8"/>
      <w:lvlText w:val="%7.%8"/>
      <w:lvlJc w:val="left"/>
      <w:pPr>
        <w:tabs>
          <w:tab w:val="num" w:pos="737"/>
        </w:tabs>
        <w:ind w:left="737" w:hanging="737"/>
      </w:pPr>
      <w:rPr>
        <w:rFonts w:hint="default"/>
      </w:rPr>
    </w:lvl>
    <w:lvl w:ilvl="8">
      <w:start w:val="1"/>
      <w:numFmt w:val="decimal"/>
      <w:pStyle w:val="Heading9"/>
      <w:lvlText w:val="%7.%8.%9"/>
      <w:lvlJc w:val="left"/>
      <w:pPr>
        <w:tabs>
          <w:tab w:val="num" w:pos="737"/>
        </w:tabs>
        <w:ind w:left="737" w:hanging="737"/>
      </w:pPr>
      <w:rPr>
        <w:rFonts w:hint="default"/>
      </w:rPr>
    </w:lvl>
  </w:abstractNum>
  <w:abstractNum w:abstractNumId="15">
    <w:nsid w:val="671F6F56"/>
    <w:multiLevelType w:val="singleLevel"/>
    <w:tmpl w:val="79646E4C"/>
    <w:lvl w:ilvl="0">
      <w:start w:val="1"/>
      <w:numFmt w:val="bullet"/>
      <w:pStyle w:val="BoxListBullet"/>
      <w:lvlText w:val="•"/>
      <w:lvlJc w:val="left"/>
      <w:pPr>
        <w:tabs>
          <w:tab w:val="num" w:pos="227"/>
        </w:tabs>
        <w:ind w:left="227" w:hanging="227"/>
      </w:pPr>
      <w:rPr>
        <w:rFonts w:ascii="Arial" w:hAnsi="Arial" w:hint="default"/>
        <w:sz w:val="18"/>
      </w:rPr>
    </w:lvl>
  </w:abstractNum>
  <w:abstractNum w:abstractNumId="16">
    <w:nsid w:val="6C72215E"/>
    <w:multiLevelType w:val="singleLevel"/>
    <w:tmpl w:val="B2F4F280"/>
    <w:lvl w:ilvl="0">
      <w:numFmt w:val="bullet"/>
      <w:pStyle w:val="BoxListBullet2"/>
      <w:lvlText w:val="–"/>
      <w:lvlJc w:val="left"/>
      <w:pPr>
        <w:tabs>
          <w:tab w:val="num" w:pos="454"/>
        </w:tabs>
        <w:ind w:left="454" w:hanging="227"/>
      </w:pPr>
      <w:rPr>
        <w:rFonts w:ascii="Arial" w:hAnsi="Arial" w:hint="default"/>
      </w:rPr>
    </w:lvl>
  </w:abstractNum>
  <w:abstractNum w:abstractNumId="17">
    <w:nsid w:val="73223759"/>
    <w:multiLevelType w:val="multilevel"/>
    <w:tmpl w:val="210AE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77315A13"/>
    <w:multiLevelType w:val="multilevel"/>
    <w:tmpl w:val="9962EE4E"/>
    <w:lvl w:ilvl="0">
      <w:start w:val="1"/>
      <w:numFmt w:val="decimal"/>
      <w:pStyle w:val="ChapterHeading1"/>
      <w:lvlText w:val="Chapter %1"/>
      <w:lvlJc w:val="left"/>
      <w:pPr>
        <w:tabs>
          <w:tab w:val="num" w:pos="2268"/>
        </w:tabs>
        <w:ind w:left="1134" w:hanging="1134"/>
      </w:pPr>
      <w:rPr>
        <w:rFonts w:ascii="Arial Bold" w:hAnsi="Arial Bold" w:hint="default"/>
        <w:b/>
        <w:i w:val="0"/>
        <w:color w:val="008080"/>
        <w:sz w:val="32"/>
        <w:szCs w:val="32"/>
      </w:rPr>
    </w:lvl>
    <w:lvl w:ilvl="1">
      <w:start w:val="1"/>
      <w:numFmt w:val="decimal"/>
      <w:pStyle w:val="ChapterHdg2"/>
      <w:lvlText w:val="%1.%2"/>
      <w:lvlJc w:val="left"/>
      <w:pPr>
        <w:tabs>
          <w:tab w:val="num" w:pos="737"/>
        </w:tabs>
        <w:ind w:left="737" w:hanging="737"/>
      </w:pPr>
      <w:rPr>
        <w:rFonts w:ascii="Arial Bold" w:hAnsi="Arial Bold" w:hint="default"/>
        <w:b/>
        <w:i w:val="0"/>
        <w:sz w:val="24"/>
        <w:szCs w:val="24"/>
      </w:rPr>
    </w:lvl>
    <w:lvl w:ilvl="2">
      <w:start w:val="1"/>
      <w:numFmt w:val="decimal"/>
      <w:pStyle w:val="Chapterhdg3"/>
      <w:lvlText w:val="%1.%2.%3"/>
      <w:lvlJc w:val="left"/>
      <w:pPr>
        <w:tabs>
          <w:tab w:val="num" w:pos="737"/>
        </w:tabs>
        <w:ind w:left="794" w:hanging="794"/>
      </w:pPr>
      <w:rPr>
        <w:rFonts w:ascii="Arial Bold" w:hAnsi="Arial Bold" w:hint="default"/>
        <w:b/>
        <w:i w:val="0"/>
        <w:sz w:val="24"/>
        <w:szCs w:val="24"/>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9">
    <w:nsid w:val="77570EEC"/>
    <w:multiLevelType w:val="multilevel"/>
    <w:tmpl w:val="AE7A2DAC"/>
    <w:lvl w:ilvl="0">
      <w:start w:val="1"/>
      <w:numFmt w:val="lowerLetter"/>
      <w:pStyle w:val="BodyTextNumbered"/>
      <w:lvlText w:val="(%1)"/>
      <w:lvlJc w:val="left"/>
      <w:pPr>
        <w:tabs>
          <w:tab w:val="num" w:pos="454"/>
        </w:tabs>
        <w:ind w:left="454" w:hanging="454"/>
      </w:pPr>
      <w:rPr>
        <w:rFonts w:ascii="Book Antiqua" w:hAnsi="Book Antiqua" w:hint="default"/>
        <w:sz w:val="22"/>
      </w:rPr>
    </w:lvl>
    <w:lvl w:ilvl="1">
      <w:start w:val="1"/>
      <w:numFmt w:val="lowerRoman"/>
      <w:pStyle w:val="BodyTextNumbered2"/>
      <w:lvlText w:val="(%2)"/>
      <w:lvlJc w:val="left"/>
      <w:pPr>
        <w:tabs>
          <w:tab w:val="num" w:pos="1534"/>
        </w:tabs>
        <w:ind w:left="907" w:hanging="453"/>
      </w:pPr>
      <w:rPr>
        <w:rFonts w:ascii="Book Antiqua" w:hAnsi="Book Antiqua" w:hint="default"/>
      </w:rPr>
    </w:lvl>
    <w:lvl w:ilvl="2">
      <w:start w:val="1"/>
      <w:numFmt w:val="upperLetter"/>
      <w:lvlText w:val="(%3)"/>
      <w:lvlJc w:val="left"/>
      <w:pPr>
        <w:tabs>
          <w:tab w:val="num" w:pos="1080"/>
        </w:tabs>
        <w:ind w:left="1474" w:hanging="56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9"/>
  </w:num>
  <w:num w:numId="2">
    <w:abstractNumId w:val="15"/>
  </w:num>
  <w:num w:numId="3">
    <w:abstractNumId w:val="16"/>
  </w:num>
  <w:num w:numId="4">
    <w:abstractNumId w:val="9"/>
  </w:num>
  <w:num w:numId="5">
    <w:abstractNumId w:val="7"/>
  </w:num>
  <w:num w:numId="6">
    <w:abstractNumId w:val="18"/>
  </w:num>
  <w:num w:numId="7">
    <w:abstractNumId w:val="1"/>
  </w:num>
  <w:num w:numId="8">
    <w:abstractNumId w:val="8"/>
  </w:num>
  <w:num w:numId="9">
    <w:abstractNumId w:val="12"/>
  </w:num>
  <w:num w:numId="10">
    <w:abstractNumId w:val="4"/>
  </w:num>
  <w:num w:numId="11">
    <w:abstractNumId w:val="6"/>
  </w:num>
  <w:num w:numId="12">
    <w:abstractNumId w:val="3"/>
  </w:num>
  <w:num w:numId="13">
    <w:abstractNumId w:val="19"/>
    <w:lvlOverride w:ilvl="0">
      <w:lvl w:ilvl="0">
        <w:start w:val="1"/>
        <w:numFmt w:val="lowerLetter"/>
        <w:pStyle w:val="BodyTextNumbered"/>
        <w:lvlText w:val="(%1)"/>
        <w:lvlJc w:val="left"/>
        <w:pPr>
          <w:tabs>
            <w:tab w:val="num" w:pos="454"/>
          </w:tabs>
          <w:ind w:left="454" w:hanging="454"/>
        </w:pPr>
        <w:rPr>
          <w:rFonts w:ascii="Book Antiqua" w:hAnsi="Book Antiqua" w:hint="default"/>
          <w:sz w:val="22"/>
        </w:rPr>
      </w:lvl>
    </w:lvlOverride>
    <w:lvlOverride w:ilvl="1">
      <w:lvl w:ilvl="1">
        <w:start w:val="1"/>
        <w:numFmt w:val="lowerRoman"/>
        <w:pStyle w:val="BodyTextNumbered2"/>
        <w:lvlText w:val="(%2)"/>
        <w:lvlJc w:val="left"/>
        <w:pPr>
          <w:tabs>
            <w:tab w:val="num" w:pos="1534"/>
          </w:tabs>
          <w:ind w:left="454" w:firstLine="0"/>
        </w:pPr>
        <w:rPr>
          <w:rFonts w:ascii="Book Antiqua" w:hAnsi="Book Antiqua" w:hint="default"/>
        </w:rPr>
      </w:lvl>
    </w:lvlOverride>
    <w:lvlOverride w:ilvl="2">
      <w:lvl w:ilvl="2">
        <w:start w:val="1"/>
        <w:numFmt w:val="upperLetter"/>
        <w:lvlText w:val="(%3)"/>
        <w:lvlJc w:val="left"/>
        <w:pPr>
          <w:tabs>
            <w:tab w:val="num" w:pos="1080"/>
          </w:tabs>
          <w:ind w:left="1474" w:hanging="567"/>
        </w:pPr>
        <w:rPr>
          <w:rFonts w:hint="default"/>
        </w:rPr>
      </w:lvl>
    </w:lvlOverride>
    <w:lvlOverride w:ilvl="3">
      <w:lvl w:ilvl="3">
        <w:start w:val="1"/>
        <w:numFmt w:val="decimal"/>
        <w:lvlText w:val="(%4)"/>
        <w:lvlJc w:val="left"/>
        <w:pPr>
          <w:tabs>
            <w:tab w:val="num" w:pos="1440"/>
          </w:tabs>
          <w:ind w:left="1440" w:hanging="360"/>
        </w:pPr>
        <w:rPr>
          <w:rFonts w:hint="default"/>
        </w:rPr>
      </w:lvl>
    </w:lvlOverride>
    <w:lvlOverride w:ilvl="4">
      <w:lvl w:ilvl="4">
        <w:start w:val="1"/>
        <w:numFmt w:val="lowerLetter"/>
        <w:lvlText w:val="(%5)"/>
        <w:lvlJc w:val="left"/>
        <w:pPr>
          <w:tabs>
            <w:tab w:val="num" w:pos="1800"/>
          </w:tabs>
          <w:ind w:left="1800"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14">
    <w:abstractNumId w:val="11"/>
  </w:num>
  <w:num w:numId="15">
    <w:abstractNumId w:val="14"/>
  </w:num>
  <w:num w:numId="16">
    <w:abstractNumId w:val="14"/>
  </w:num>
  <w:num w:numId="17">
    <w:abstractNumId w:val="14"/>
    <w:lvlOverride w:ilvl="0">
      <w:lvl w:ilvl="0">
        <w:start w:val="1"/>
        <w:numFmt w:val="decimal"/>
        <w:pStyle w:val="Heading1"/>
        <w:lvlText w:val="%1"/>
        <w:lvlJc w:val="left"/>
        <w:pPr>
          <w:ind w:left="737" w:hanging="737"/>
        </w:pPr>
        <w:rPr>
          <w:rFonts w:hint="default"/>
        </w:rPr>
      </w:lvl>
    </w:lvlOverride>
    <w:lvlOverride w:ilvl="1">
      <w:lvl w:ilvl="1">
        <w:start w:val="1"/>
        <w:numFmt w:val="decimal"/>
        <w:pStyle w:val="Heading2"/>
        <w:lvlText w:val="%1.%2"/>
        <w:lvlJc w:val="left"/>
        <w:pPr>
          <w:ind w:left="737" w:hanging="737"/>
        </w:pPr>
        <w:rPr>
          <w:rFonts w:hint="default"/>
        </w:rPr>
      </w:lvl>
    </w:lvlOverride>
    <w:lvlOverride w:ilvl="2">
      <w:lvl w:ilvl="2">
        <w:start w:val="1"/>
        <w:numFmt w:val="decimal"/>
        <w:pStyle w:val="Heading3"/>
        <w:lvlText w:val="%1.%2.%3"/>
        <w:lvlJc w:val="left"/>
        <w:pPr>
          <w:ind w:left="737" w:hanging="737"/>
        </w:pPr>
        <w:rPr>
          <w:rFonts w:hint="default"/>
        </w:rPr>
      </w:lvl>
    </w:lvlOverride>
    <w:lvlOverride w:ilvl="3">
      <w:lvl w:ilvl="3">
        <w:start w:val="1"/>
        <w:numFmt w:val="none"/>
        <w:pStyle w:val="Heading4"/>
        <w:lvlText w:val=""/>
        <w:lvlJc w:val="left"/>
        <w:pPr>
          <w:ind w:left="0" w:firstLine="0"/>
        </w:pPr>
        <w:rPr>
          <w:rFonts w:hint="default"/>
        </w:rPr>
      </w:lvl>
    </w:lvlOverride>
    <w:lvlOverride w:ilvl="4">
      <w:lvl w:ilvl="4">
        <w:start w:val="1"/>
        <w:numFmt w:val="none"/>
        <w:lvlText w:val=""/>
        <w:lvlJc w:val="left"/>
        <w:pPr>
          <w:ind w:left="0" w:firstLine="0"/>
        </w:pPr>
        <w:rPr>
          <w:rFonts w:hint="default"/>
        </w:rPr>
      </w:lvl>
    </w:lvlOverride>
    <w:lvlOverride w:ilvl="5">
      <w:lvl w:ilvl="5">
        <w:start w:val="1"/>
        <w:numFmt w:val="none"/>
        <w:pStyle w:val="Heading6"/>
        <w:lvlText w:val=""/>
        <w:lvlJc w:val="left"/>
        <w:pPr>
          <w:ind w:left="0" w:firstLine="0"/>
        </w:pPr>
        <w:rPr>
          <w:rFonts w:hint="default"/>
        </w:rPr>
      </w:lvl>
    </w:lvlOverride>
    <w:lvlOverride w:ilvl="6">
      <w:lvl w:ilvl="6">
        <w:start w:val="1"/>
        <w:numFmt w:val="upperLetter"/>
        <w:pStyle w:val="Heading7"/>
        <w:lvlText w:val="%7."/>
        <w:lvlJc w:val="left"/>
        <w:pPr>
          <w:tabs>
            <w:tab w:val="num" w:pos="737"/>
          </w:tabs>
          <w:ind w:left="737" w:hanging="737"/>
        </w:pPr>
        <w:rPr>
          <w:rFonts w:hint="default"/>
        </w:rPr>
      </w:lvl>
    </w:lvlOverride>
    <w:lvlOverride w:ilvl="7">
      <w:lvl w:ilvl="7">
        <w:start w:val="1"/>
        <w:numFmt w:val="decimal"/>
        <w:pStyle w:val="Heading8"/>
        <w:lvlText w:val="%7.%8"/>
        <w:lvlJc w:val="left"/>
        <w:pPr>
          <w:tabs>
            <w:tab w:val="num" w:pos="737"/>
          </w:tabs>
          <w:ind w:left="737" w:hanging="737"/>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18">
    <w:abstractNumId w:val="14"/>
  </w:num>
  <w:num w:numId="19">
    <w:abstractNumId w:val="13"/>
  </w:num>
  <w:num w:numId="20">
    <w:abstractNumId w:val="2"/>
  </w:num>
  <w:num w:numId="21">
    <w:abstractNumId w:val="17"/>
  </w:num>
  <w:num w:numId="22">
    <w:abstractNumId w:val="5"/>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8"/>
  </w:num>
  <w:num w:numId="26">
    <w:abstractNumId w:val="10"/>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drawingGridHorizontalSpacing w:val="110"/>
  <w:displayHorizontalDrawingGridEvery w:val="2"/>
  <w:displayVerticalDrawingGridEvery w:val="2"/>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A4B"/>
    <w:rsid w:val="00000ABD"/>
    <w:rsid w:val="00001736"/>
    <w:rsid w:val="000021A0"/>
    <w:rsid w:val="00002858"/>
    <w:rsid w:val="00003502"/>
    <w:rsid w:val="00003527"/>
    <w:rsid w:val="0000378C"/>
    <w:rsid w:val="000047D4"/>
    <w:rsid w:val="00004C87"/>
    <w:rsid w:val="000061F2"/>
    <w:rsid w:val="00006A3C"/>
    <w:rsid w:val="00010369"/>
    <w:rsid w:val="000107B6"/>
    <w:rsid w:val="000113CF"/>
    <w:rsid w:val="000117B8"/>
    <w:rsid w:val="000125D2"/>
    <w:rsid w:val="000126AD"/>
    <w:rsid w:val="000136B7"/>
    <w:rsid w:val="00014757"/>
    <w:rsid w:val="00015560"/>
    <w:rsid w:val="00015E3A"/>
    <w:rsid w:val="00016B31"/>
    <w:rsid w:val="00016E28"/>
    <w:rsid w:val="0001781C"/>
    <w:rsid w:val="0002127B"/>
    <w:rsid w:val="00022A5C"/>
    <w:rsid w:val="00022CD0"/>
    <w:rsid w:val="000259A1"/>
    <w:rsid w:val="00025AB8"/>
    <w:rsid w:val="00025F20"/>
    <w:rsid w:val="000260FA"/>
    <w:rsid w:val="000267CD"/>
    <w:rsid w:val="00030AD1"/>
    <w:rsid w:val="00030C04"/>
    <w:rsid w:val="000311B6"/>
    <w:rsid w:val="00031EC5"/>
    <w:rsid w:val="0003248C"/>
    <w:rsid w:val="00034AC4"/>
    <w:rsid w:val="00035872"/>
    <w:rsid w:val="000368A2"/>
    <w:rsid w:val="000406A5"/>
    <w:rsid w:val="00040764"/>
    <w:rsid w:val="0004208D"/>
    <w:rsid w:val="00042F07"/>
    <w:rsid w:val="00042F5D"/>
    <w:rsid w:val="00042FFF"/>
    <w:rsid w:val="00045D64"/>
    <w:rsid w:val="00045E19"/>
    <w:rsid w:val="00045E29"/>
    <w:rsid w:val="00047B19"/>
    <w:rsid w:val="00050812"/>
    <w:rsid w:val="00050ACF"/>
    <w:rsid w:val="0005105C"/>
    <w:rsid w:val="00051690"/>
    <w:rsid w:val="00052A8B"/>
    <w:rsid w:val="0005372D"/>
    <w:rsid w:val="00054A0E"/>
    <w:rsid w:val="00055D4B"/>
    <w:rsid w:val="000562E5"/>
    <w:rsid w:val="00056A95"/>
    <w:rsid w:val="00060F3C"/>
    <w:rsid w:val="000612A5"/>
    <w:rsid w:val="0006141B"/>
    <w:rsid w:val="0006187A"/>
    <w:rsid w:val="00061C12"/>
    <w:rsid w:val="00062A07"/>
    <w:rsid w:val="00062C6F"/>
    <w:rsid w:val="00063337"/>
    <w:rsid w:val="00064349"/>
    <w:rsid w:val="00064B07"/>
    <w:rsid w:val="00065937"/>
    <w:rsid w:val="000660FF"/>
    <w:rsid w:val="00067480"/>
    <w:rsid w:val="0007306D"/>
    <w:rsid w:val="0007420B"/>
    <w:rsid w:val="00075993"/>
    <w:rsid w:val="0007679A"/>
    <w:rsid w:val="000774D8"/>
    <w:rsid w:val="00080D77"/>
    <w:rsid w:val="00081984"/>
    <w:rsid w:val="00082782"/>
    <w:rsid w:val="000832F0"/>
    <w:rsid w:val="0008332A"/>
    <w:rsid w:val="00083706"/>
    <w:rsid w:val="00084568"/>
    <w:rsid w:val="000868BD"/>
    <w:rsid w:val="00087722"/>
    <w:rsid w:val="00087915"/>
    <w:rsid w:val="00087F0D"/>
    <w:rsid w:val="0009060A"/>
    <w:rsid w:val="00090E4A"/>
    <w:rsid w:val="000928B4"/>
    <w:rsid w:val="00092AAB"/>
    <w:rsid w:val="00092BF8"/>
    <w:rsid w:val="00093255"/>
    <w:rsid w:val="00093847"/>
    <w:rsid w:val="00093993"/>
    <w:rsid w:val="00093C2C"/>
    <w:rsid w:val="0009467A"/>
    <w:rsid w:val="00094721"/>
    <w:rsid w:val="00097B41"/>
    <w:rsid w:val="000A00B3"/>
    <w:rsid w:val="000A033E"/>
    <w:rsid w:val="000A1B57"/>
    <w:rsid w:val="000A23D5"/>
    <w:rsid w:val="000A2593"/>
    <w:rsid w:val="000A2ABE"/>
    <w:rsid w:val="000A2DEE"/>
    <w:rsid w:val="000A2F59"/>
    <w:rsid w:val="000A3171"/>
    <w:rsid w:val="000A3D74"/>
    <w:rsid w:val="000A50BB"/>
    <w:rsid w:val="000A53B7"/>
    <w:rsid w:val="000A5741"/>
    <w:rsid w:val="000A6A46"/>
    <w:rsid w:val="000B0424"/>
    <w:rsid w:val="000B11F8"/>
    <w:rsid w:val="000B14B2"/>
    <w:rsid w:val="000B2627"/>
    <w:rsid w:val="000B28B4"/>
    <w:rsid w:val="000B2DDD"/>
    <w:rsid w:val="000B63C0"/>
    <w:rsid w:val="000B7646"/>
    <w:rsid w:val="000B79B4"/>
    <w:rsid w:val="000C0992"/>
    <w:rsid w:val="000C1362"/>
    <w:rsid w:val="000C2431"/>
    <w:rsid w:val="000C4469"/>
    <w:rsid w:val="000C60D7"/>
    <w:rsid w:val="000C7893"/>
    <w:rsid w:val="000D035E"/>
    <w:rsid w:val="000D08C0"/>
    <w:rsid w:val="000D1D27"/>
    <w:rsid w:val="000D2158"/>
    <w:rsid w:val="000D22A5"/>
    <w:rsid w:val="000D22EB"/>
    <w:rsid w:val="000D33C3"/>
    <w:rsid w:val="000D36D7"/>
    <w:rsid w:val="000D59C6"/>
    <w:rsid w:val="000D5D97"/>
    <w:rsid w:val="000D78BB"/>
    <w:rsid w:val="000E04B8"/>
    <w:rsid w:val="000E12B0"/>
    <w:rsid w:val="000E1667"/>
    <w:rsid w:val="000E1754"/>
    <w:rsid w:val="000E227B"/>
    <w:rsid w:val="000E3223"/>
    <w:rsid w:val="000E386C"/>
    <w:rsid w:val="000E4581"/>
    <w:rsid w:val="000E4DEE"/>
    <w:rsid w:val="000E4E6F"/>
    <w:rsid w:val="000E532B"/>
    <w:rsid w:val="000E58D2"/>
    <w:rsid w:val="000E5E56"/>
    <w:rsid w:val="000E7466"/>
    <w:rsid w:val="000F119E"/>
    <w:rsid w:val="000F1235"/>
    <w:rsid w:val="000F1F6F"/>
    <w:rsid w:val="000F23CB"/>
    <w:rsid w:val="000F3780"/>
    <w:rsid w:val="000F4585"/>
    <w:rsid w:val="000F5B8C"/>
    <w:rsid w:val="000F6EAC"/>
    <w:rsid w:val="001009FB"/>
    <w:rsid w:val="00101483"/>
    <w:rsid w:val="001035EF"/>
    <w:rsid w:val="00110122"/>
    <w:rsid w:val="00110746"/>
    <w:rsid w:val="001117ED"/>
    <w:rsid w:val="00111A21"/>
    <w:rsid w:val="00111FCD"/>
    <w:rsid w:val="0011299B"/>
    <w:rsid w:val="00112F2A"/>
    <w:rsid w:val="0011340C"/>
    <w:rsid w:val="00113EB6"/>
    <w:rsid w:val="001145F3"/>
    <w:rsid w:val="001149EB"/>
    <w:rsid w:val="00114F47"/>
    <w:rsid w:val="00115D7E"/>
    <w:rsid w:val="0011650A"/>
    <w:rsid w:val="0011696F"/>
    <w:rsid w:val="00116A0A"/>
    <w:rsid w:val="00117EF6"/>
    <w:rsid w:val="0012041D"/>
    <w:rsid w:val="001222CF"/>
    <w:rsid w:val="0012305F"/>
    <w:rsid w:val="001236B8"/>
    <w:rsid w:val="00123A26"/>
    <w:rsid w:val="00123CA3"/>
    <w:rsid w:val="001245F6"/>
    <w:rsid w:val="00125218"/>
    <w:rsid w:val="00125BBA"/>
    <w:rsid w:val="00126CEA"/>
    <w:rsid w:val="001277E5"/>
    <w:rsid w:val="00130079"/>
    <w:rsid w:val="00130319"/>
    <w:rsid w:val="0013039B"/>
    <w:rsid w:val="001306CE"/>
    <w:rsid w:val="00132576"/>
    <w:rsid w:val="001329EB"/>
    <w:rsid w:val="001338EF"/>
    <w:rsid w:val="00133AFF"/>
    <w:rsid w:val="00133D59"/>
    <w:rsid w:val="00133FB5"/>
    <w:rsid w:val="0013493C"/>
    <w:rsid w:val="001371F3"/>
    <w:rsid w:val="00137241"/>
    <w:rsid w:val="001379C8"/>
    <w:rsid w:val="00137B7B"/>
    <w:rsid w:val="00137F62"/>
    <w:rsid w:val="00141156"/>
    <w:rsid w:val="001411FA"/>
    <w:rsid w:val="001437F2"/>
    <w:rsid w:val="0014418B"/>
    <w:rsid w:val="00144D14"/>
    <w:rsid w:val="0014619F"/>
    <w:rsid w:val="00146964"/>
    <w:rsid w:val="00147604"/>
    <w:rsid w:val="001504E1"/>
    <w:rsid w:val="00150E68"/>
    <w:rsid w:val="001516DA"/>
    <w:rsid w:val="0015198D"/>
    <w:rsid w:val="00151ABE"/>
    <w:rsid w:val="00151C0A"/>
    <w:rsid w:val="00151F6A"/>
    <w:rsid w:val="001525B4"/>
    <w:rsid w:val="00152765"/>
    <w:rsid w:val="00153A73"/>
    <w:rsid w:val="001551F6"/>
    <w:rsid w:val="00156452"/>
    <w:rsid w:val="001566F0"/>
    <w:rsid w:val="00156E71"/>
    <w:rsid w:val="001575F6"/>
    <w:rsid w:val="00162836"/>
    <w:rsid w:val="00162AB0"/>
    <w:rsid w:val="001637B2"/>
    <w:rsid w:val="00163DC7"/>
    <w:rsid w:val="00164627"/>
    <w:rsid w:val="00165043"/>
    <w:rsid w:val="001652E5"/>
    <w:rsid w:val="001668C7"/>
    <w:rsid w:val="00167AF5"/>
    <w:rsid w:val="00167B80"/>
    <w:rsid w:val="00167C46"/>
    <w:rsid w:val="001701D6"/>
    <w:rsid w:val="00171C77"/>
    <w:rsid w:val="00171DD2"/>
    <w:rsid w:val="001723FD"/>
    <w:rsid w:val="0017417E"/>
    <w:rsid w:val="00174AC0"/>
    <w:rsid w:val="00176422"/>
    <w:rsid w:val="00176CD8"/>
    <w:rsid w:val="0018083A"/>
    <w:rsid w:val="0018151B"/>
    <w:rsid w:val="00181F9D"/>
    <w:rsid w:val="00182223"/>
    <w:rsid w:val="00182771"/>
    <w:rsid w:val="00184CFD"/>
    <w:rsid w:val="00184D23"/>
    <w:rsid w:val="001855D2"/>
    <w:rsid w:val="00185B29"/>
    <w:rsid w:val="00185D76"/>
    <w:rsid w:val="00186F77"/>
    <w:rsid w:val="001874FE"/>
    <w:rsid w:val="00187E93"/>
    <w:rsid w:val="00191187"/>
    <w:rsid w:val="001916E1"/>
    <w:rsid w:val="0019342D"/>
    <w:rsid w:val="00193DF0"/>
    <w:rsid w:val="001952A1"/>
    <w:rsid w:val="0019703C"/>
    <w:rsid w:val="001976EC"/>
    <w:rsid w:val="001A0258"/>
    <w:rsid w:val="001A1863"/>
    <w:rsid w:val="001A2C3C"/>
    <w:rsid w:val="001A2D55"/>
    <w:rsid w:val="001A3798"/>
    <w:rsid w:val="001A3EC4"/>
    <w:rsid w:val="001A4760"/>
    <w:rsid w:val="001B0590"/>
    <w:rsid w:val="001B05FB"/>
    <w:rsid w:val="001B0CEE"/>
    <w:rsid w:val="001B195F"/>
    <w:rsid w:val="001B263C"/>
    <w:rsid w:val="001B3328"/>
    <w:rsid w:val="001B3C08"/>
    <w:rsid w:val="001B4010"/>
    <w:rsid w:val="001B71EA"/>
    <w:rsid w:val="001B74A3"/>
    <w:rsid w:val="001B7BF1"/>
    <w:rsid w:val="001C1200"/>
    <w:rsid w:val="001C12B1"/>
    <w:rsid w:val="001C1373"/>
    <w:rsid w:val="001C1F20"/>
    <w:rsid w:val="001C25FE"/>
    <w:rsid w:val="001C4AD5"/>
    <w:rsid w:val="001C6875"/>
    <w:rsid w:val="001C76A2"/>
    <w:rsid w:val="001D1C2B"/>
    <w:rsid w:val="001D2E11"/>
    <w:rsid w:val="001D3CC2"/>
    <w:rsid w:val="001D3ED8"/>
    <w:rsid w:val="001D4A5F"/>
    <w:rsid w:val="001D4ED1"/>
    <w:rsid w:val="001D5010"/>
    <w:rsid w:val="001D6234"/>
    <w:rsid w:val="001D6C0F"/>
    <w:rsid w:val="001D7197"/>
    <w:rsid w:val="001D7319"/>
    <w:rsid w:val="001D79A5"/>
    <w:rsid w:val="001D7A96"/>
    <w:rsid w:val="001D7F03"/>
    <w:rsid w:val="001E0C9C"/>
    <w:rsid w:val="001E15E0"/>
    <w:rsid w:val="001E2390"/>
    <w:rsid w:val="001E2E70"/>
    <w:rsid w:val="001E2FD3"/>
    <w:rsid w:val="001E3F1E"/>
    <w:rsid w:val="001E456C"/>
    <w:rsid w:val="001E4DE2"/>
    <w:rsid w:val="001E4F0F"/>
    <w:rsid w:val="001E542F"/>
    <w:rsid w:val="001E5860"/>
    <w:rsid w:val="001E7D14"/>
    <w:rsid w:val="001F0B93"/>
    <w:rsid w:val="001F1472"/>
    <w:rsid w:val="001F1995"/>
    <w:rsid w:val="001F2874"/>
    <w:rsid w:val="001F2AA0"/>
    <w:rsid w:val="001F2EF7"/>
    <w:rsid w:val="001F478C"/>
    <w:rsid w:val="001F4DD5"/>
    <w:rsid w:val="001F50CA"/>
    <w:rsid w:val="001F5A2A"/>
    <w:rsid w:val="001F5D8E"/>
    <w:rsid w:val="001F68B3"/>
    <w:rsid w:val="001F6A4B"/>
    <w:rsid w:val="001F7144"/>
    <w:rsid w:val="001F78A5"/>
    <w:rsid w:val="0020035B"/>
    <w:rsid w:val="0020183C"/>
    <w:rsid w:val="00201DEE"/>
    <w:rsid w:val="00201F24"/>
    <w:rsid w:val="00203908"/>
    <w:rsid w:val="00204D7F"/>
    <w:rsid w:val="00204FAB"/>
    <w:rsid w:val="00205455"/>
    <w:rsid w:val="00205CE6"/>
    <w:rsid w:val="00205E6A"/>
    <w:rsid w:val="00206E32"/>
    <w:rsid w:val="002106AB"/>
    <w:rsid w:val="00211D8E"/>
    <w:rsid w:val="002130AD"/>
    <w:rsid w:val="00213121"/>
    <w:rsid w:val="002146C4"/>
    <w:rsid w:val="002152FF"/>
    <w:rsid w:val="00216F59"/>
    <w:rsid w:val="00217448"/>
    <w:rsid w:val="0022071B"/>
    <w:rsid w:val="00220A3D"/>
    <w:rsid w:val="0022227E"/>
    <w:rsid w:val="00222EB9"/>
    <w:rsid w:val="0022308E"/>
    <w:rsid w:val="00224805"/>
    <w:rsid w:val="00225667"/>
    <w:rsid w:val="00225F26"/>
    <w:rsid w:val="0022603F"/>
    <w:rsid w:val="00226973"/>
    <w:rsid w:val="002305B0"/>
    <w:rsid w:val="00231314"/>
    <w:rsid w:val="00231FD6"/>
    <w:rsid w:val="00233130"/>
    <w:rsid w:val="00233C3B"/>
    <w:rsid w:val="00233F69"/>
    <w:rsid w:val="002344B5"/>
    <w:rsid w:val="00235BEB"/>
    <w:rsid w:val="002366BA"/>
    <w:rsid w:val="00236D00"/>
    <w:rsid w:val="00237A9A"/>
    <w:rsid w:val="0024186C"/>
    <w:rsid w:val="00242EC8"/>
    <w:rsid w:val="0024385A"/>
    <w:rsid w:val="002438C9"/>
    <w:rsid w:val="00245816"/>
    <w:rsid w:val="002465ED"/>
    <w:rsid w:val="00246F91"/>
    <w:rsid w:val="002506C7"/>
    <w:rsid w:val="00251C5F"/>
    <w:rsid w:val="002528D0"/>
    <w:rsid w:val="00252CAA"/>
    <w:rsid w:val="00252DBA"/>
    <w:rsid w:val="00253EBF"/>
    <w:rsid w:val="00254AEE"/>
    <w:rsid w:val="002555F2"/>
    <w:rsid w:val="002566E7"/>
    <w:rsid w:val="00257592"/>
    <w:rsid w:val="002603FA"/>
    <w:rsid w:val="00261745"/>
    <w:rsid w:val="002627D9"/>
    <w:rsid w:val="00263174"/>
    <w:rsid w:val="00263EDD"/>
    <w:rsid w:val="00264DFB"/>
    <w:rsid w:val="00264E72"/>
    <w:rsid w:val="00265064"/>
    <w:rsid w:val="00266E61"/>
    <w:rsid w:val="002673D9"/>
    <w:rsid w:val="00267DC6"/>
    <w:rsid w:val="00272734"/>
    <w:rsid w:val="002739B4"/>
    <w:rsid w:val="002746AC"/>
    <w:rsid w:val="002746DB"/>
    <w:rsid w:val="002749BC"/>
    <w:rsid w:val="00274AA3"/>
    <w:rsid w:val="00274AE9"/>
    <w:rsid w:val="002751A7"/>
    <w:rsid w:val="00275C06"/>
    <w:rsid w:val="002766A6"/>
    <w:rsid w:val="00277161"/>
    <w:rsid w:val="0028179B"/>
    <w:rsid w:val="0028217C"/>
    <w:rsid w:val="00282386"/>
    <w:rsid w:val="002832A7"/>
    <w:rsid w:val="00283E6A"/>
    <w:rsid w:val="00284668"/>
    <w:rsid w:val="00285296"/>
    <w:rsid w:val="00285785"/>
    <w:rsid w:val="0028688F"/>
    <w:rsid w:val="00290231"/>
    <w:rsid w:val="00294CC3"/>
    <w:rsid w:val="00297306"/>
    <w:rsid w:val="002A073D"/>
    <w:rsid w:val="002A0AFA"/>
    <w:rsid w:val="002A29AD"/>
    <w:rsid w:val="002A2A23"/>
    <w:rsid w:val="002A34A5"/>
    <w:rsid w:val="002A366A"/>
    <w:rsid w:val="002A3918"/>
    <w:rsid w:val="002A3C88"/>
    <w:rsid w:val="002A470E"/>
    <w:rsid w:val="002A4BCE"/>
    <w:rsid w:val="002A524F"/>
    <w:rsid w:val="002B019B"/>
    <w:rsid w:val="002B1009"/>
    <w:rsid w:val="002B3432"/>
    <w:rsid w:val="002B3688"/>
    <w:rsid w:val="002B511A"/>
    <w:rsid w:val="002B6BFF"/>
    <w:rsid w:val="002B76AC"/>
    <w:rsid w:val="002B7A31"/>
    <w:rsid w:val="002B7EE7"/>
    <w:rsid w:val="002C4406"/>
    <w:rsid w:val="002C4646"/>
    <w:rsid w:val="002C4B00"/>
    <w:rsid w:val="002C5E3C"/>
    <w:rsid w:val="002C60D4"/>
    <w:rsid w:val="002C6582"/>
    <w:rsid w:val="002C65F5"/>
    <w:rsid w:val="002C7183"/>
    <w:rsid w:val="002D0E74"/>
    <w:rsid w:val="002D1A82"/>
    <w:rsid w:val="002D2B24"/>
    <w:rsid w:val="002D32E9"/>
    <w:rsid w:val="002D3C47"/>
    <w:rsid w:val="002D41F2"/>
    <w:rsid w:val="002D4A7E"/>
    <w:rsid w:val="002D4B57"/>
    <w:rsid w:val="002D608A"/>
    <w:rsid w:val="002D7E7F"/>
    <w:rsid w:val="002E189B"/>
    <w:rsid w:val="002E277B"/>
    <w:rsid w:val="002E78AC"/>
    <w:rsid w:val="002E7A97"/>
    <w:rsid w:val="002F1FBB"/>
    <w:rsid w:val="002F36BA"/>
    <w:rsid w:val="002F45A8"/>
    <w:rsid w:val="002F4D08"/>
    <w:rsid w:val="002F4D62"/>
    <w:rsid w:val="002F56B2"/>
    <w:rsid w:val="002F63F7"/>
    <w:rsid w:val="002F6970"/>
    <w:rsid w:val="002F72A5"/>
    <w:rsid w:val="002F75C8"/>
    <w:rsid w:val="002F784F"/>
    <w:rsid w:val="00301235"/>
    <w:rsid w:val="00301E61"/>
    <w:rsid w:val="0030298C"/>
    <w:rsid w:val="003030BB"/>
    <w:rsid w:val="003033AA"/>
    <w:rsid w:val="00303465"/>
    <w:rsid w:val="00303A33"/>
    <w:rsid w:val="00303FCE"/>
    <w:rsid w:val="00304387"/>
    <w:rsid w:val="00304E2C"/>
    <w:rsid w:val="00306188"/>
    <w:rsid w:val="0030666B"/>
    <w:rsid w:val="003071D4"/>
    <w:rsid w:val="00307645"/>
    <w:rsid w:val="003077A1"/>
    <w:rsid w:val="003103E0"/>
    <w:rsid w:val="00311168"/>
    <w:rsid w:val="00313313"/>
    <w:rsid w:val="003133CE"/>
    <w:rsid w:val="00313F7D"/>
    <w:rsid w:val="00316B47"/>
    <w:rsid w:val="003170F8"/>
    <w:rsid w:val="003206C7"/>
    <w:rsid w:val="00320F86"/>
    <w:rsid w:val="003216A2"/>
    <w:rsid w:val="00321F92"/>
    <w:rsid w:val="003220E1"/>
    <w:rsid w:val="00323812"/>
    <w:rsid w:val="0032390D"/>
    <w:rsid w:val="00323E38"/>
    <w:rsid w:val="00323EB1"/>
    <w:rsid w:val="00325B1B"/>
    <w:rsid w:val="00327FC0"/>
    <w:rsid w:val="00332BD8"/>
    <w:rsid w:val="003334B5"/>
    <w:rsid w:val="00333E10"/>
    <w:rsid w:val="003343D2"/>
    <w:rsid w:val="003354B9"/>
    <w:rsid w:val="00335747"/>
    <w:rsid w:val="00335D56"/>
    <w:rsid w:val="00335DAA"/>
    <w:rsid w:val="00336B6F"/>
    <w:rsid w:val="00336FB5"/>
    <w:rsid w:val="00337353"/>
    <w:rsid w:val="00340990"/>
    <w:rsid w:val="003419B9"/>
    <w:rsid w:val="00341AC0"/>
    <w:rsid w:val="003428D0"/>
    <w:rsid w:val="00343D77"/>
    <w:rsid w:val="00344769"/>
    <w:rsid w:val="003450FA"/>
    <w:rsid w:val="003451EB"/>
    <w:rsid w:val="003453E2"/>
    <w:rsid w:val="0034561F"/>
    <w:rsid w:val="003467D2"/>
    <w:rsid w:val="00346973"/>
    <w:rsid w:val="00346FFB"/>
    <w:rsid w:val="003500C0"/>
    <w:rsid w:val="00350D51"/>
    <w:rsid w:val="003515DF"/>
    <w:rsid w:val="003515FE"/>
    <w:rsid w:val="00352EA9"/>
    <w:rsid w:val="003551FC"/>
    <w:rsid w:val="00355DF5"/>
    <w:rsid w:val="00361035"/>
    <w:rsid w:val="00361043"/>
    <w:rsid w:val="00361931"/>
    <w:rsid w:val="003626D1"/>
    <w:rsid w:val="00364402"/>
    <w:rsid w:val="00364835"/>
    <w:rsid w:val="003661ED"/>
    <w:rsid w:val="003667D0"/>
    <w:rsid w:val="0036722E"/>
    <w:rsid w:val="00367C69"/>
    <w:rsid w:val="00367E2F"/>
    <w:rsid w:val="00370577"/>
    <w:rsid w:val="003706CB"/>
    <w:rsid w:val="0037245D"/>
    <w:rsid w:val="00373B01"/>
    <w:rsid w:val="0037475A"/>
    <w:rsid w:val="00374D33"/>
    <w:rsid w:val="003750C4"/>
    <w:rsid w:val="00375579"/>
    <w:rsid w:val="00376036"/>
    <w:rsid w:val="003770D4"/>
    <w:rsid w:val="00377616"/>
    <w:rsid w:val="00377DCD"/>
    <w:rsid w:val="00377E8E"/>
    <w:rsid w:val="003818AF"/>
    <w:rsid w:val="0038222A"/>
    <w:rsid w:val="00382A6A"/>
    <w:rsid w:val="00382C59"/>
    <w:rsid w:val="0038340D"/>
    <w:rsid w:val="00383935"/>
    <w:rsid w:val="00384C46"/>
    <w:rsid w:val="00384F5B"/>
    <w:rsid w:val="00386260"/>
    <w:rsid w:val="00386FB6"/>
    <w:rsid w:val="00387D50"/>
    <w:rsid w:val="00387E6D"/>
    <w:rsid w:val="00390ABC"/>
    <w:rsid w:val="0039251F"/>
    <w:rsid w:val="00393958"/>
    <w:rsid w:val="00393AD3"/>
    <w:rsid w:val="003944E4"/>
    <w:rsid w:val="00394518"/>
    <w:rsid w:val="00394A62"/>
    <w:rsid w:val="003965AC"/>
    <w:rsid w:val="00396BED"/>
    <w:rsid w:val="003979A5"/>
    <w:rsid w:val="00397BAF"/>
    <w:rsid w:val="00397FBA"/>
    <w:rsid w:val="003A0350"/>
    <w:rsid w:val="003A0C9E"/>
    <w:rsid w:val="003A1054"/>
    <w:rsid w:val="003A2DBF"/>
    <w:rsid w:val="003A372A"/>
    <w:rsid w:val="003A3EF6"/>
    <w:rsid w:val="003A6156"/>
    <w:rsid w:val="003A61B7"/>
    <w:rsid w:val="003A66F6"/>
    <w:rsid w:val="003A6C68"/>
    <w:rsid w:val="003A76D8"/>
    <w:rsid w:val="003A7CBD"/>
    <w:rsid w:val="003B0197"/>
    <w:rsid w:val="003B1FC9"/>
    <w:rsid w:val="003B32A2"/>
    <w:rsid w:val="003B3BE0"/>
    <w:rsid w:val="003B5969"/>
    <w:rsid w:val="003B5DAB"/>
    <w:rsid w:val="003B6053"/>
    <w:rsid w:val="003B7045"/>
    <w:rsid w:val="003B7068"/>
    <w:rsid w:val="003C0350"/>
    <w:rsid w:val="003C0850"/>
    <w:rsid w:val="003C1205"/>
    <w:rsid w:val="003C1ABC"/>
    <w:rsid w:val="003C7265"/>
    <w:rsid w:val="003C7917"/>
    <w:rsid w:val="003D0333"/>
    <w:rsid w:val="003D0999"/>
    <w:rsid w:val="003D1D11"/>
    <w:rsid w:val="003D2467"/>
    <w:rsid w:val="003D2C18"/>
    <w:rsid w:val="003D4415"/>
    <w:rsid w:val="003D4623"/>
    <w:rsid w:val="003D52BD"/>
    <w:rsid w:val="003D535F"/>
    <w:rsid w:val="003D5BBE"/>
    <w:rsid w:val="003D5EEB"/>
    <w:rsid w:val="003D6DD9"/>
    <w:rsid w:val="003D727D"/>
    <w:rsid w:val="003D7761"/>
    <w:rsid w:val="003D7F35"/>
    <w:rsid w:val="003E020A"/>
    <w:rsid w:val="003E06EA"/>
    <w:rsid w:val="003E0EBD"/>
    <w:rsid w:val="003E1FFF"/>
    <w:rsid w:val="003E2220"/>
    <w:rsid w:val="003E222F"/>
    <w:rsid w:val="003E342F"/>
    <w:rsid w:val="003E3547"/>
    <w:rsid w:val="003E3C6B"/>
    <w:rsid w:val="003E43BE"/>
    <w:rsid w:val="003E48FC"/>
    <w:rsid w:val="003E7496"/>
    <w:rsid w:val="003E7FBA"/>
    <w:rsid w:val="003F0612"/>
    <w:rsid w:val="003F19DA"/>
    <w:rsid w:val="003F2606"/>
    <w:rsid w:val="003F3022"/>
    <w:rsid w:val="003F38BB"/>
    <w:rsid w:val="003F4ED1"/>
    <w:rsid w:val="003F72AD"/>
    <w:rsid w:val="003F7A3B"/>
    <w:rsid w:val="003F7F1C"/>
    <w:rsid w:val="004000C6"/>
    <w:rsid w:val="00400924"/>
    <w:rsid w:val="004017EB"/>
    <w:rsid w:val="00402403"/>
    <w:rsid w:val="00407DB7"/>
    <w:rsid w:val="004102B3"/>
    <w:rsid w:val="0041192F"/>
    <w:rsid w:val="00411C09"/>
    <w:rsid w:val="00412E93"/>
    <w:rsid w:val="004137B0"/>
    <w:rsid w:val="00413C45"/>
    <w:rsid w:val="004144F9"/>
    <w:rsid w:val="00414536"/>
    <w:rsid w:val="004158B7"/>
    <w:rsid w:val="0041605B"/>
    <w:rsid w:val="0041686E"/>
    <w:rsid w:val="00417AAD"/>
    <w:rsid w:val="00417E90"/>
    <w:rsid w:val="00420257"/>
    <w:rsid w:val="00420A01"/>
    <w:rsid w:val="00420B06"/>
    <w:rsid w:val="004211D6"/>
    <w:rsid w:val="0042169B"/>
    <w:rsid w:val="0042210F"/>
    <w:rsid w:val="004227EA"/>
    <w:rsid w:val="00422F39"/>
    <w:rsid w:val="004233B7"/>
    <w:rsid w:val="004256A8"/>
    <w:rsid w:val="00427B14"/>
    <w:rsid w:val="0043003F"/>
    <w:rsid w:val="0043014A"/>
    <w:rsid w:val="004302EB"/>
    <w:rsid w:val="004302FF"/>
    <w:rsid w:val="00430394"/>
    <w:rsid w:val="00430902"/>
    <w:rsid w:val="00431008"/>
    <w:rsid w:val="00431DD0"/>
    <w:rsid w:val="004321A7"/>
    <w:rsid w:val="004337F6"/>
    <w:rsid w:val="004340EB"/>
    <w:rsid w:val="00435AAE"/>
    <w:rsid w:val="00437138"/>
    <w:rsid w:val="00437933"/>
    <w:rsid w:val="00440391"/>
    <w:rsid w:val="0044162A"/>
    <w:rsid w:val="0044242F"/>
    <w:rsid w:val="00442BA9"/>
    <w:rsid w:val="00443041"/>
    <w:rsid w:val="00443EE9"/>
    <w:rsid w:val="00443F86"/>
    <w:rsid w:val="00444C9F"/>
    <w:rsid w:val="0044504B"/>
    <w:rsid w:val="0044519D"/>
    <w:rsid w:val="00445D5C"/>
    <w:rsid w:val="00450543"/>
    <w:rsid w:val="00451CEF"/>
    <w:rsid w:val="00451E42"/>
    <w:rsid w:val="00453365"/>
    <w:rsid w:val="0045347F"/>
    <w:rsid w:val="00454065"/>
    <w:rsid w:val="004549B8"/>
    <w:rsid w:val="00454E7F"/>
    <w:rsid w:val="00455345"/>
    <w:rsid w:val="00455D7B"/>
    <w:rsid w:val="00455EC4"/>
    <w:rsid w:val="00456671"/>
    <w:rsid w:val="00456C22"/>
    <w:rsid w:val="004570F3"/>
    <w:rsid w:val="00457B58"/>
    <w:rsid w:val="00460D1F"/>
    <w:rsid w:val="00461104"/>
    <w:rsid w:val="00462A05"/>
    <w:rsid w:val="0046442A"/>
    <w:rsid w:val="00464853"/>
    <w:rsid w:val="004651DD"/>
    <w:rsid w:val="0046566D"/>
    <w:rsid w:val="004659F7"/>
    <w:rsid w:val="00465CF5"/>
    <w:rsid w:val="0046605B"/>
    <w:rsid w:val="00466CA1"/>
    <w:rsid w:val="00467038"/>
    <w:rsid w:val="00470516"/>
    <w:rsid w:val="00470B4A"/>
    <w:rsid w:val="00472D1C"/>
    <w:rsid w:val="00475451"/>
    <w:rsid w:val="00475CA1"/>
    <w:rsid w:val="00475D13"/>
    <w:rsid w:val="00475FD8"/>
    <w:rsid w:val="004767FC"/>
    <w:rsid w:val="00476865"/>
    <w:rsid w:val="00476AA8"/>
    <w:rsid w:val="004770A5"/>
    <w:rsid w:val="00477296"/>
    <w:rsid w:val="004779AF"/>
    <w:rsid w:val="00482151"/>
    <w:rsid w:val="00483374"/>
    <w:rsid w:val="00484440"/>
    <w:rsid w:val="00484ED9"/>
    <w:rsid w:val="00493052"/>
    <w:rsid w:val="00493CFA"/>
    <w:rsid w:val="004950DA"/>
    <w:rsid w:val="004976AA"/>
    <w:rsid w:val="00497DD7"/>
    <w:rsid w:val="004A007F"/>
    <w:rsid w:val="004A0879"/>
    <w:rsid w:val="004A118B"/>
    <w:rsid w:val="004A187B"/>
    <w:rsid w:val="004A1D7F"/>
    <w:rsid w:val="004A22C7"/>
    <w:rsid w:val="004A2E52"/>
    <w:rsid w:val="004A331D"/>
    <w:rsid w:val="004A3F2E"/>
    <w:rsid w:val="004A46D5"/>
    <w:rsid w:val="004A5675"/>
    <w:rsid w:val="004A5F2F"/>
    <w:rsid w:val="004A65FB"/>
    <w:rsid w:val="004A6BA8"/>
    <w:rsid w:val="004B2907"/>
    <w:rsid w:val="004B35C2"/>
    <w:rsid w:val="004B3A19"/>
    <w:rsid w:val="004B404C"/>
    <w:rsid w:val="004B4A23"/>
    <w:rsid w:val="004B7FC0"/>
    <w:rsid w:val="004C35C0"/>
    <w:rsid w:val="004C52CF"/>
    <w:rsid w:val="004C5E0E"/>
    <w:rsid w:val="004C62AA"/>
    <w:rsid w:val="004C648C"/>
    <w:rsid w:val="004C6C05"/>
    <w:rsid w:val="004D0815"/>
    <w:rsid w:val="004D0F8A"/>
    <w:rsid w:val="004D12CB"/>
    <w:rsid w:val="004D1DD2"/>
    <w:rsid w:val="004D3062"/>
    <w:rsid w:val="004D37C6"/>
    <w:rsid w:val="004D411E"/>
    <w:rsid w:val="004D43F6"/>
    <w:rsid w:val="004D4983"/>
    <w:rsid w:val="004D561C"/>
    <w:rsid w:val="004D59EB"/>
    <w:rsid w:val="004D5B54"/>
    <w:rsid w:val="004D7727"/>
    <w:rsid w:val="004E09F9"/>
    <w:rsid w:val="004E1D33"/>
    <w:rsid w:val="004E2791"/>
    <w:rsid w:val="004E28D2"/>
    <w:rsid w:val="004E3601"/>
    <w:rsid w:val="004E3649"/>
    <w:rsid w:val="004E4512"/>
    <w:rsid w:val="004E47D4"/>
    <w:rsid w:val="004E4CD2"/>
    <w:rsid w:val="004E5740"/>
    <w:rsid w:val="004E5CEC"/>
    <w:rsid w:val="004E7500"/>
    <w:rsid w:val="004E7D4E"/>
    <w:rsid w:val="004F04E6"/>
    <w:rsid w:val="004F1CBC"/>
    <w:rsid w:val="004F2108"/>
    <w:rsid w:val="004F2118"/>
    <w:rsid w:val="004F2E3D"/>
    <w:rsid w:val="004F3BB8"/>
    <w:rsid w:val="004F44D0"/>
    <w:rsid w:val="004F53EB"/>
    <w:rsid w:val="004F5CF8"/>
    <w:rsid w:val="004F65CB"/>
    <w:rsid w:val="004F696A"/>
    <w:rsid w:val="004F6C8E"/>
    <w:rsid w:val="00500E69"/>
    <w:rsid w:val="00502E25"/>
    <w:rsid w:val="005053A2"/>
    <w:rsid w:val="00507310"/>
    <w:rsid w:val="005076F2"/>
    <w:rsid w:val="00511BF2"/>
    <w:rsid w:val="00511D3F"/>
    <w:rsid w:val="00512592"/>
    <w:rsid w:val="0051267C"/>
    <w:rsid w:val="005131DE"/>
    <w:rsid w:val="0051383B"/>
    <w:rsid w:val="00513FB6"/>
    <w:rsid w:val="00514083"/>
    <w:rsid w:val="005141DE"/>
    <w:rsid w:val="005146F6"/>
    <w:rsid w:val="005149C4"/>
    <w:rsid w:val="00516390"/>
    <w:rsid w:val="00516A37"/>
    <w:rsid w:val="00516DCE"/>
    <w:rsid w:val="0052110D"/>
    <w:rsid w:val="005214CA"/>
    <w:rsid w:val="005239C2"/>
    <w:rsid w:val="00523DC7"/>
    <w:rsid w:val="00524016"/>
    <w:rsid w:val="005242BD"/>
    <w:rsid w:val="005268A0"/>
    <w:rsid w:val="005279D7"/>
    <w:rsid w:val="00527E78"/>
    <w:rsid w:val="00527EC5"/>
    <w:rsid w:val="005301BE"/>
    <w:rsid w:val="00530582"/>
    <w:rsid w:val="005308B6"/>
    <w:rsid w:val="00530B87"/>
    <w:rsid w:val="00531F9D"/>
    <w:rsid w:val="00533AA1"/>
    <w:rsid w:val="00533D2F"/>
    <w:rsid w:val="00534DEB"/>
    <w:rsid w:val="005367E3"/>
    <w:rsid w:val="0054035C"/>
    <w:rsid w:val="00541287"/>
    <w:rsid w:val="0054183F"/>
    <w:rsid w:val="00541B24"/>
    <w:rsid w:val="00541B6F"/>
    <w:rsid w:val="00544B8D"/>
    <w:rsid w:val="005458AD"/>
    <w:rsid w:val="00545B82"/>
    <w:rsid w:val="00546005"/>
    <w:rsid w:val="005470CC"/>
    <w:rsid w:val="00551502"/>
    <w:rsid w:val="005526F6"/>
    <w:rsid w:val="00554FD0"/>
    <w:rsid w:val="0055592D"/>
    <w:rsid w:val="0056105F"/>
    <w:rsid w:val="0056297A"/>
    <w:rsid w:val="00563679"/>
    <w:rsid w:val="005642E8"/>
    <w:rsid w:val="00565C6D"/>
    <w:rsid w:val="0056607F"/>
    <w:rsid w:val="00566E49"/>
    <w:rsid w:val="00567100"/>
    <w:rsid w:val="00570383"/>
    <w:rsid w:val="00570CD0"/>
    <w:rsid w:val="00571FED"/>
    <w:rsid w:val="00572B97"/>
    <w:rsid w:val="00573A22"/>
    <w:rsid w:val="00573D65"/>
    <w:rsid w:val="00574F0C"/>
    <w:rsid w:val="00575ADA"/>
    <w:rsid w:val="005840E1"/>
    <w:rsid w:val="005846DD"/>
    <w:rsid w:val="00586053"/>
    <w:rsid w:val="00586B83"/>
    <w:rsid w:val="00590547"/>
    <w:rsid w:val="00591232"/>
    <w:rsid w:val="005912D3"/>
    <w:rsid w:val="005918D5"/>
    <w:rsid w:val="00593B11"/>
    <w:rsid w:val="00594842"/>
    <w:rsid w:val="005948AF"/>
    <w:rsid w:val="00596446"/>
    <w:rsid w:val="00596AEF"/>
    <w:rsid w:val="00596ECA"/>
    <w:rsid w:val="005A1319"/>
    <w:rsid w:val="005A39F2"/>
    <w:rsid w:val="005A441C"/>
    <w:rsid w:val="005A5D86"/>
    <w:rsid w:val="005A7342"/>
    <w:rsid w:val="005A7591"/>
    <w:rsid w:val="005A7C5B"/>
    <w:rsid w:val="005B0578"/>
    <w:rsid w:val="005B0D0E"/>
    <w:rsid w:val="005B117F"/>
    <w:rsid w:val="005B2142"/>
    <w:rsid w:val="005B26ED"/>
    <w:rsid w:val="005B4F8A"/>
    <w:rsid w:val="005B52C1"/>
    <w:rsid w:val="005B5D2F"/>
    <w:rsid w:val="005B6E14"/>
    <w:rsid w:val="005C092F"/>
    <w:rsid w:val="005C113E"/>
    <w:rsid w:val="005C18B7"/>
    <w:rsid w:val="005C1F27"/>
    <w:rsid w:val="005C242B"/>
    <w:rsid w:val="005C34DD"/>
    <w:rsid w:val="005C400E"/>
    <w:rsid w:val="005C4B70"/>
    <w:rsid w:val="005C53C4"/>
    <w:rsid w:val="005C5CB6"/>
    <w:rsid w:val="005C6AAA"/>
    <w:rsid w:val="005C735A"/>
    <w:rsid w:val="005C7D43"/>
    <w:rsid w:val="005C7F25"/>
    <w:rsid w:val="005D1125"/>
    <w:rsid w:val="005D11B8"/>
    <w:rsid w:val="005D36F3"/>
    <w:rsid w:val="005D3A91"/>
    <w:rsid w:val="005D3E59"/>
    <w:rsid w:val="005D3EBA"/>
    <w:rsid w:val="005D5039"/>
    <w:rsid w:val="005D5538"/>
    <w:rsid w:val="005D63D8"/>
    <w:rsid w:val="005D7B5E"/>
    <w:rsid w:val="005D7F8E"/>
    <w:rsid w:val="005E01C1"/>
    <w:rsid w:val="005E05BE"/>
    <w:rsid w:val="005E47BD"/>
    <w:rsid w:val="005E49EB"/>
    <w:rsid w:val="005E5DD7"/>
    <w:rsid w:val="005E638E"/>
    <w:rsid w:val="005E6532"/>
    <w:rsid w:val="005E6D2A"/>
    <w:rsid w:val="005E7018"/>
    <w:rsid w:val="005E76B6"/>
    <w:rsid w:val="005E7CD8"/>
    <w:rsid w:val="005F0074"/>
    <w:rsid w:val="005F00AC"/>
    <w:rsid w:val="005F1593"/>
    <w:rsid w:val="005F4FD5"/>
    <w:rsid w:val="005F59DC"/>
    <w:rsid w:val="005F609B"/>
    <w:rsid w:val="005F70EA"/>
    <w:rsid w:val="005F7997"/>
    <w:rsid w:val="00600EEC"/>
    <w:rsid w:val="00603304"/>
    <w:rsid w:val="006035C8"/>
    <w:rsid w:val="00603685"/>
    <w:rsid w:val="006047A7"/>
    <w:rsid w:val="006048E2"/>
    <w:rsid w:val="00607CDB"/>
    <w:rsid w:val="0061162A"/>
    <w:rsid w:val="00612AB1"/>
    <w:rsid w:val="00612CF0"/>
    <w:rsid w:val="00613282"/>
    <w:rsid w:val="00613A4A"/>
    <w:rsid w:val="00613D17"/>
    <w:rsid w:val="00615343"/>
    <w:rsid w:val="00616924"/>
    <w:rsid w:val="00616B60"/>
    <w:rsid w:val="00616EE3"/>
    <w:rsid w:val="00617F81"/>
    <w:rsid w:val="00617F98"/>
    <w:rsid w:val="00620840"/>
    <w:rsid w:val="00620D6E"/>
    <w:rsid w:val="00621954"/>
    <w:rsid w:val="00621A78"/>
    <w:rsid w:val="006224AC"/>
    <w:rsid w:val="0062308B"/>
    <w:rsid w:val="00623B08"/>
    <w:rsid w:val="00623B5A"/>
    <w:rsid w:val="00624C19"/>
    <w:rsid w:val="00626100"/>
    <w:rsid w:val="006261F7"/>
    <w:rsid w:val="006276DE"/>
    <w:rsid w:val="00627A5B"/>
    <w:rsid w:val="006302C1"/>
    <w:rsid w:val="0063099D"/>
    <w:rsid w:val="006324B3"/>
    <w:rsid w:val="00632886"/>
    <w:rsid w:val="00632BB1"/>
    <w:rsid w:val="00633017"/>
    <w:rsid w:val="0063343C"/>
    <w:rsid w:val="006351C3"/>
    <w:rsid w:val="00637D73"/>
    <w:rsid w:val="00641781"/>
    <w:rsid w:val="00643903"/>
    <w:rsid w:val="00643F35"/>
    <w:rsid w:val="00644B9E"/>
    <w:rsid w:val="00645FD3"/>
    <w:rsid w:val="006461E9"/>
    <w:rsid w:val="006513C0"/>
    <w:rsid w:val="00651D18"/>
    <w:rsid w:val="00651F4C"/>
    <w:rsid w:val="006520F1"/>
    <w:rsid w:val="006522FD"/>
    <w:rsid w:val="00652BEF"/>
    <w:rsid w:val="0065354E"/>
    <w:rsid w:val="006537AA"/>
    <w:rsid w:val="00653C08"/>
    <w:rsid w:val="006543FC"/>
    <w:rsid w:val="00654953"/>
    <w:rsid w:val="006557C0"/>
    <w:rsid w:val="006560FC"/>
    <w:rsid w:val="00657670"/>
    <w:rsid w:val="0066075E"/>
    <w:rsid w:val="006611E7"/>
    <w:rsid w:val="00661354"/>
    <w:rsid w:val="006615A8"/>
    <w:rsid w:val="006623BC"/>
    <w:rsid w:val="00662458"/>
    <w:rsid w:val="006634D8"/>
    <w:rsid w:val="00664623"/>
    <w:rsid w:val="00664F7C"/>
    <w:rsid w:val="00665872"/>
    <w:rsid w:val="006658DF"/>
    <w:rsid w:val="00666484"/>
    <w:rsid w:val="00666644"/>
    <w:rsid w:val="00670282"/>
    <w:rsid w:val="00671258"/>
    <w:rsid w:val="00672B9B"/>
    <w:rsid w:val="006733BB"/>
    <w:rsid w:val="00673D2B"/>
    <w:rsid w:val="00673D58"/>
    <w:rsid w:val="00673ECC"/>
    <w:rsid w:val="0067593B"/>
    <w:rsid w:val="00677451"/>
    <w:rsid w:val="00682ECF"/>
    <w:rsid w:val="00683490"/>
    <w:rsid w:val="00683959"/>
    <w:rsid w:val="00683CFC"/>
    <w:rsid w:val="0068531F"/>
    <w:rsid w:val="00685600"/>
    <w:rsid w:val="006858B0"/>
    <w:rsid w:val="00685E2B"/>
    <w:rsid w:val="006874EF"/>
    <w:rsid w:val="006875B1"/>
    <w:rsid w:val="00687E46"/>
    <w:rsid w:val="00690A03"/>
    <w:rsid w:val="00691253"/>
    <w:rsid w:val="00691DBC"/>
    <w:rsid w:val="006929DB"/>
    <w:rsid w:val="00692DA2"/>
    <w:rsid w:val="006971B7"/>
    <w:rsid w:val="006A2A4B"/>
    <w:rsid w:val="006A30EB"/>
    <w:rsid w:val="006A3BA4"/>
    <w:rsid w:val="006A3DA2"/>
    <w:rsid w:val="006A41A2"/>
    <w:rsid w:val="006A567D"/>
    <w:rsid w:val="006B1512"/>
    <w:rsid w:val="006B1AEE"/>
    <w:rsid w:val="006B1BE6"/>
    <w:rsid w:val="006B1C2C"/>
    <w:rsid w:val="006B2E62"/>
    <w:rsid w:val="006B38B1"/>
    <w:rsid w:val="006B3E27"/>
    <w:rsid w:val="006B4F07"/>
    <w:rsid w:val="006B54A3"/>
    <w:rsid w:val="006B661E"/>
    <w:rsid w:val="006B6EA9"/>
    <w:rsid w:val="006C019A"/>
    <w:rsid w:val="006C0825"/>
    <w:rsid w:val="006C0CB0"/>
    <w:rsid w:val="006C1FEC"/>
    <w:rsid w:val="006C241A"/>
    <w:rsid w:val="006C3902"/>
    <w:rsid w:val="006C4415"/>
    <w:rsid w:val="006C4CFA"/>
    <w:rsid w:val="006C4D03"/>
    <w:rsid w:val="006C5747"/>
    <w:rsid w:val="006C5934"/>
    <w:rsid w:val="006C5BB7"/>
    <w:rsid w:val="006C792C"/>
    <w:rsid w:val="006D0393"/>
    <w:rsid w:val="006D048D"/>
    <w:rsid w:val="006D1046"/>
    <w:rsid w:val="006D11BD"/>
    <w:rsid w:val="006D23EA"/>
    <w:rsid w:val="006D24BD"/>
    <w:rsid w:val="006D2D14"/>
    <w:rsid w:val="006D2D33"/>
    <w:rsid w:val="006D3486"/>
    <w:rsid w:val="006D39FE"/>
    <w:rsid w:val="006D52ED"/>
    <w:rsid w:val="006D5B03"/>
    <w:rsid w:val="006E02C5"/>
    <w:rsid w:val="006E18D1"/>
    <w:rsid w:val="006E1996"/>
    <w:rsid w:val="006E1EA5"/>
    <w:rsid w:val="006E3F8D"/>
    <w:rsid w:val="006E5131"/>
    <w:rsid w:val="006E565E"/>
    <w:rsid w:val="006E7DE7"/>
    <w:rsid w:val="006F12D4"/>
    <w:rsid w:val="006F1314"/>
    <w:rsid w:val="006F1BB1"/>
    <w:rsid w:val="006F1BFB"/>
    <w:rsid w:val="006F268F"/>
    <w:rsid w:val="006F30CD"/>
    <w:rsid w:val="006F3814"/>
    <w:rsid w:val="006F3F07"/>
    <w:rsid w:val="006F4E34"/>
    <w:rsid w:val="006F5773"/>
    <w:rsid w:val="006F5A17"/>
    <w:rsid w:val="006F7F25"/>
    <w:rsid w:val="007009E6"/>
    <w:rsid w:val="00700D5B"/>
    <w:rsid w:val="00703EB1"/>
    <w:rsid w:val="0070500E"/>
    <w:rsid w:val="0070506B"/>
    <w:rsid w:val="00706B6C"/>
    <w:rsid w:val="007072C7"/>
    <w:rsid w:val="007123EA"/>
    <w:rsid w:val="0071253D"/>
    <w:rsid w:val="00714A1E"/>
    <w:rsid w:val="00715D7E"/>
    <w:rsid w:val="00715F7C"/>
    <w:rsid w:val="007165B8"/>
    <w:rsid w:val="00717610"/>
    <w:rsid w:val="007207BB"/>
    <w:rsid w:val="0072090C"/>
    <w:rsid w:val="00720FE6"/>
    <w:rsid w:val="00721270"/>
    <w:rsid w:val="00721982"/>
    <w:rsid w:val="00721CB2"/>
    <w:rsid w:val="00721F00"/>
    <w:rsid w:val="00722B5C"/>
    <w:rsid w:val="0072355B"/>
    <w:rsid w:val="007236F1"/>
    <w:rsid w:val="00723B19"/>
    <w:rsid w:val="00724033"/>
    <w:rsid w:val="00724BFA"/>
    <w:rsid w:val="0073085D"/>
    <w:rsid w:val="00732983"/>
    <w:rsid w:val="00734124"/>
    <w:rsid w:val="007349EA"/>
    <w:rsid w:val="00734E20"/>
    <w:rsid w:val="007373B4"/>
    <w:rsid w:val="00737A96"/>
    <w:rsid w:val="007413FD"/>
    <w:rsid w:val="00742AB7"/>
    <w:rsid w:val="00743350"/>
    <w:rsid w:val="007444FF"/>
    <w:rsid w:val="007445D2"/>
    <w:rsid w:val="007452E6"/>
    <w:rsid w:val="00745EFD"/>
    <w:rsid w:val="007468AB"/>
    <w:rsid w:val="007470F0"/>
    <w:rsid w:val="00747775"/>
    <w:rsid w:val="007525FE"/>
    <w:rsid w:val="00752F54"/>
    <w:rsid w:val="00753039"/>
    <w:rsid w:val="00753268"/>
    <w:rsid w:val="00754148"/>
    <w:rsid w:val="00754370"/>
    <w:rsid w:val="0075502D"/>
    <w:rsid w:val="007558F6"/>
    <w:rsid w:val="00755FCF"/>
    <w:rsid w:val="00756B51"/>
    <w:rsid w:val="00760690"/>
    <w:rsid w:val="007606B4"/>
    <w:rsid w:val="00760B58"/>
    <w:rsid w:val="00761045"/>
    <w:rsid w:val="007620E8"/>
    <w:rsid w:val="0076431D"/>
    <w:rsid w:val="00765482"/>
    <w:rsid w:val="00765A1D"/>
    <w:rsid w:val="00765E14"/>
    <w:rsid w:val="007673C1"/>
    <w:rsid w:val="00771194"/>
    <w:rsid w:val="007711D2"/>
    <w:rsid w:val="007718C7"/>
    <w:rsid w:val="007723E0"/>
    <w:rsid w:val="00772B0B"/>
    <w:rsid w:val="00774E99"/>
    <w:rsid w:val="00780524"/>
    <w:rsid w:val="007816F1"/>
    <w:rsid w:val="00781BAB"/>
    <w:rsid w:val="00781CBB"/>
    <w:rsid w:val="00782683"/>
    <w:rsid w:val="00783E46"/>
    <w:rsid w:val="007855D2"/>
    <w:rsid w:val="007856CF"/>
    <w:rsid w:val="00786FE3"/>
    <w:rsid w:val="00787BAF"/>
    <w:rsid w:val="00790404"/>
    <w:rsid w:val="007917C0"/>
    <w:rsid w:val="00792953"/>
    <w:rsid w:val="00793744"/>
    <w:rsid w:val="00793FF5"/>
    <w:rsid w:val="00795261"/>
    <w:rsid w:val="007956E9"/>
    <w:rsid w:val="007962EC"/>
    <w:rsid w:val="00796AC1"/>
    <w:rsid w:val="007973FA"/>
    <w:rsid w:val="00797428"/>
    <w:rsid w:val="00797AB5"/>
    <w:rsid w:val="00797D1B"/>
    <w:rsid w:val="007A15F6"/>
    <w:rsid w:val="007A1A6F"/>
    <w:rsid w:val="007A2331"/>
    <w:rsid w:val="007A24CF"/>
    <w:rsid w:val="007A2A89"/>
    <w:rsid w:val="007A353D"/>
    <w:rsid w:val="007A3BBA"/>
    <w:rsid w:val="007A49CE"/>
    <w:rsid w:val="007A5041"/>
    <w:rsid w:val="007B018B"/>
    <w:rsid w:val="007B091C"/>
    <w:rsid w:val="007B13C5"/>
    <w:rsid w:val="007B2470"/>
    <w:rsid w:val="007B29A2"/>
    <w:rsid w:val="007B34E0"/>
    <w:rsid w:val="007B5DD4"/>
    <w:rsid w:val="007B6998"/>
    <w:rsid w:val="007C4262"/>
    <w:rsid w:val="007C4830"/>
    <w:rsid w:val="007C6917"/>
    <w:rsid w:val="007C76AC"/>
    <w:rsid w:val="007D0EF2"/>
    <w:rsid w:val="007D1566"/>
    <w:rsid w:val="007D19DE"/>
    <w:rsid w:val="007D1E3A"/>
    <w:rsid w:val="007D63FD"/>
    <w:rsid w:val="007D6957"/>
    <w:rsid w:val="007D7BF3"/>
    <w:rsid w:val="007E0E95"/>
    <w:rsid w:val="007E11CF"/>
    <w:rsid w:val="007E2714"/>
    <w:rsid w:val="007E2904"/>
    <w:rsid w:val="007E45C5"/>
    <w:rsid w:val="007E4AC8"/>
    <w:rsid w:val="007E71F5"/>
    <w:rsid w:val="007E7CB8"/>
    <w:rsid w:val="007F0DDF"/>
    <w:rsid w:val="007F130C"/>
    <w:rsid w:val="007F1E04"/>
    <w:rsid w:val="007F1E72"/>
    <w:rsid w:val="007F2EF2"/>
    <w:rsid w:val="007F576D"/>
    <w:rsid w:val="007F5F17"/>
    <w:rsid w:val="007F66CF"/>
    <w:rsid w:val="007F771E"/>
    <w:rsid w:val="007F7876"/>
    <w:rsid w:val="007F7C0A"/>
    <w:rsid w:val="00801712"/>
    <w:rsid w:val="00802819"/>
    <w:rsid w:val="008031CD"/>
    <w:rsid w:val="00804118"/>
    <w:rsid w:val="00805D56"/>
    <w:rsid w:val="00805E25"/>
    <w:rsid w:val="00806A4C"/>
    <w:rsid w:val="0080769D"/>
    <w:rsid w:val="008076DE"/>
    <w:rsid w:val="008107B4"/>
    <w:rsid w:val="008112C6"/>
    <w:rsid w:val="008123B0"/>
    <w:rsid w:val="00812647"/>
    <w:rsid w:val="00812F10"/>
    <w:rsid w:val="00813B75"/>
    <w:rsid w:val="0081513A"/>
    <w:rsid w:val="008162C2"/>
    <w:rsid w:val="00817B69"/>
    <w:rsid w:val="00817CF4"/>
    <w:rsid w:val="00821B78"/>
    <w:rsid w:val="00821D5A"/>
    <w:rsid w:val="0082397B"/>
    <w:rsid w:val="008266A0"/>
    <w:rsid w:val="00826B32"/>
    <w:rsid w:val="0082733F"/>
    <w:rsid w:val="00830648"/>
    <w:rsid w:val="00832936"/>
    <w:rsid w:val="008334CA"/>
    <w:rsid w:val="00834B17"/>
    <w:rsid w:val="008355BA"/>
    <w:rsid w:val="008378D6"/>
    <w:rsid w:val="008412EE"/>
    <w:rsid w:val="00841D06"/>
    <w:rsid w:val="00841D76"/>
    <w:rsid w:val="00843678"/>
    <w:rsid w:val="0084451E"/>
    <w:rsid w:val="00846270"/>
    <w:rsid w:val="008464E5"/>
    <w:rsid w:val="00850AA1"/>
    <w:rsid w:val="00850D09"/>
    <w:rsid w:val="0085189A"/>
    <w:rsid w:val="00852B61"/>
    <w:rsid w:val="00852BB6"/>
    <w:rsid w:val="0085437E"/>
    <w:rsid w:val="00854EB0"/>
    <w:rsid w:val="008564F1"/>
    <w:rsid w:val="00857088"/>
    <w:rsid w:val="0086078C"/>
    <w:rsid w:val="00861413"/>
    <w:rsid w:val="00861917"/>
    <w:rsid w:val="00862559"/>
    <w:rsid w:val="00862850"/>
    <w:rsid w:val="00863B20"/>
    <w:rsid w:val="0086545A"/>
    <w:rsid w:val="00866B0C"/>
    <w:rsid w:val="0086748F"/>
    <w:rsid w:val="00867B4A"/>
    <w:rsid w:val="00870DA7"/>
    <w:rsid w:val="00871835"/>
    <w:rsid w:val="008718BA"/>
    <w:rsid w:val="0087287E"/>
    <w:rsid w:val="0087309E"/>
    <w:rsid w:val="0087590C"/>
    <w:rsid w:val="00880B0D"/>
    <w:rsid w:val="00882CFD"/>
    <w:rsid w:val="00882F79"/>
    <w:rsid w:val="008832D2"/>
    <w:rsid w:val="00885E3E"/>
    <w:rsid w:val="00885F67"/>
    <w:rsid w:val="00886A4E"/>
    <w:rsid w:val="00886E13"/>
    <w:rsid w:val="00887BBC"/>
    <w:rsid w:val="0089091D"/>
    <w:rsid w:val="0089102A"/>
    <w:rsid w:val="00891134"/>
    <w:rsid w:val="00891CB4"/>
    <w:rsid w:val="00896458"/>
    <w:rsid w:val="008A06FF"/>
    <w:rsid w:val="008A0C0B"/>
    <w:rsid w:val="008A2877"/>
    <w:rsid w:val="008A38CF"/>
    <w:rsid w:val="008A3A47"/>
    <w:rsid w:val="008A5A31"/>
    <w:rsid w:val="008A5F3F"/>
    <w:rsid w:val="008A7CC6"/>
    <w:rsid w:val="008B05F5"/>
    <w:rsid w:val="008B0E92"/>
    <w:rsid w:val="008B1EE6"/>
    <w:rsid w:val="008B20E8"/>
    <w:rsid w:val="008B2B0D"/>
    <w:rsid w:val="008B2E46"/>
    <w:rsid w:val="008B2EEC"/>
    <w:rsid w:val="008B3121"/>
    <w:rsid w:val="008B34A6"/>
    <w:rsid w:val="008B363B"/>
    <w:rsid w:val="008B3675"/>
    <w:rsid w:val="008B3AC7"/>
    <w:rsid w:val="008B4168"/>
    <w:rsid w:val="008B4E21"/>
    <w:rsid w:val="008B614C"/>
    <w:rsid w:val="008B63D6"/>
    <w:rsid w:val="008B678B"/>
    <w:rsid w:val="008B725C"/>
    <w:rsid w:val="008C1669"/>
    <w:rsid w:val="008C1AE8"/>
    <w:rsid w:val="008C294E"/>
    <w:rsid w:val="008C3371"/>
    <w:rsid w:val="008C3638"/>
    <w:rsid w:val="008C5AA6"/>
    <w:rsid w:val="008C5E8A"/>
    <w:rsid w:val="008D05F7"/>
    <w:rsid w:val="008D06DF"/>
    <w:rsid w:val="008D07B3"/>
    <w:rsid w:val="008D0D1F"/>
    <w:rsid w:val="008D1F14"/>
    <w:rsid w:val="008D203D"/>
    <w:rsid w:val="008D2CD1"/>
    <w:rsid w:val="008D3075"/>
    <w:rsid w:val="008D3E81"/>
    <w:rsid w:val="008D4B16"/>
    <w:rsid w:val="008D539F"/>
    <w:rsid w:val="008D5434"/>
    <w:rsid w:val="008D55CB"/>
    <w:rsid w:val="008D5CEF"/>
    <w:rsid w:val="008D611D"/>
    <w:rsid w:val="008D61E7"/>
    <w:rsid w:val="008D74EF"/>
    <w:rsid w:val="008D7705"/>
    <w:rsid w:val="008E0BFA"/>
    <w:rsid w:val="008E187C"/>
    <w:rsid w:val="008E1F7A"/>
    <w:rsid w:val="008E27B5"/>
    <w:rsid w:val="008E4982"/>
    <w:rsid w:val="008E5552"/>
    <w:rsid w:val="008F02A7"/>
    <w:rsid w:val="008F0796"/>
    <w:rsid w:val="008F0AAB"/>
    <w:rsid w:val="008F13BB"/>
    <w:rsid w:val="008F14A6"/>
    <w:rsid w:val="008F172E"/>
    <w:rsid w:val="008F1B22"/>
    <w:rsid w:val="008F25DA"/>
    <w:rsid w:val="008F3738"/>
    <w:rsid w:val="008F5587"/>
    <w:rsid w:val="008F5EC6"/>
    <w:rsid w:val="008F60D8"/>
    <w:rsid w:val="0090064B"/>
    <w:rsid w:val="009013F5"/>
    <w:rsid w:val="009026B1"/>
    <w:rsid w:val="00903553"/>
    <w:rsid w:val="00903B35"/>
    <w:rsid w:val="00903D28"/>
    <w:rsid w:val="00903DAF"/>
    <w:rsid w:val="009048CD"/>
    <w:rsid w:val="00905D62"/>
    <w:rsid w:val="00911305"/>
    <w:rsid w:val="00911513"/>
    <w:rsid w:val="00911F14"/>
    <w:rsid w:val="00911F75"/>
    <w:rsid w:val="0091262A"/>
    <w:rsid w:val="00912656"/>
    <w:rsid w:val="009129D3"/>
    <w:rsid w:val="00912CD2"/>
    <w:rsid w:val="009132CD"/>
    <w:rsid w:val="00913496"/>
    <w:rsid w:val="00913F17"/>
    <w:rsid w:val="0091645C"/>
    <w:rsid w:val="009167CC"/>
    <w:rsid w:val="00917421"/>
    <w:rsid w:val="00917DAA"/>
    <w:rsid w:val="00920B34"/>
    <w:rsid w:val="0092241B"/>
    <w:rsid w:val="009227AB"/>
    <w:rsid w:val="0092360F"/>
    <w:rsid w:val="00924946"/>
    <w:rsid w:val="00927975"/>
    <w:rsid w:val="00927CF8"/>
    <w:rsid w:val="009308C2"/>
    <w:rsid w:val="00930F97"/>
    <w:rsid w:val="00931530"/>
    <w:rsid w:val="009319F9"/>
    <w:rsid w:val="00931B7B"/>
    <w:rsid w:val="009327D9"/>
    <w:rsid w:val="009350A9"/>
    <w:rsid w:val="009355DC"/>
    <w:rsid w:val="00935A0C"/>
    <w:rsid w:val="00936D8D"/>
    <w:rsid w:val="00936DCC"/>
    <w:rsid w:val="00936FA8"/>
    <w:rsid w:val="00937985"/>
    <w:rsid w:val="00937B25"/>
    <w:rsid w:val="009415C2"/>
    <w:rsid w:val="00941AB4"/>
    <w:rsid w:val="0094206F"/>
    <w:rsid w:val="00942215"/>
    <w:rsid w:val="00942FA6"/>
    <w:rsid w:val="009430CD"/>
    <w:rsid w:val="0094488E"/>
    <w:rsid w:val="00944FC3"/>
    <w:rsid w:val="00946195"/>
    <w:rsid w:val="00946E32"/>
    <w:rsid w:val="009504F7"/>
    <w:rsid w:val="00951A59"/>
    <w:rsid w:val="00952322"/>
    <w:rsid w:val="00952FF8"/>
    <w:rsid w:val="00953735"/>
    <w:rsid w:val="00954684"/>
    <w:rsid w:val="00954977"/>
    <w:rsid w:val="00955E43"/>
    <w:rsid w:val="00956659"/>
    <w:rsid w:val="009605DA"/>
    <w:rsid w:val="00960D06"/>
    <w:rsid w:val="00960E27"/>
    <w:rsid w:val="0096139B"/>
    <w:rsid w:val="00961EC3"/>
    <w:rsid w:val="0096255F"/>
    <w:rsid w:val="0096284B"/>
    <w:rsid w:val="00963966"/>
    <w:rsid w:val="00964164"/>
    <w:rsid w:val="009650FF"/>
    <w:rsid w:val="009667C4"/>
    <w:rsid w:val="00971C05"/>
    <w:rsid w:val="0097264F"/>
    <w:rsid w:val="009726E5"/>
    <w:rsid w:val="00972A37"/>
    <w:rsid w:val="009739ED"/>
    <w:rsid w:val="00973C57"/>
    <w:rsid w:val="009755E4"/>
    <w:rsid w:val="00975687"/>
    <w:rsid w:val="00976400"/>
    <w:rsid w:val="009768E9"/>
    <w:rsid w:val="00977B82"/>
    <w:rsid w:val="0098007A"/>
    <w:rsid w:val="009805DD"/>
    <w:rsid w:val="00980AB4"/>
    <w:rsid w:val="00982CD1"/>
    <w:rsid w:val="00984246"/>
    <w:rsid w:val="009846E0"/>
    <w:rsid w:val="009847D4"/>
    <w:rsid w:val="00984FA8"/>
    <w:rsid w:val="009851FC"/>
    <w:rsid w:val="0098541C"/>
    <w:rsid w:val="0098547F"/>
    <w:rsid w:val="00986535"/>
    <w:rsid w:val="00986E8C"/>
    <w:rsid w:val="00987355"/>
    <w:rsid w:val="009915CA"/>
    <w:rsid w:val="00992B5B"/>
    <w:rsid w:val="00996986"/>
    <w:rsid w:val="009971B1"/>
    <w:rsid w:val="00997A08"/>
    <w:rsid w:val="009A0A18"/>
    <w:rsid w:val="009A137D"/>
    <w:rsid w:val="009A1CA7"/>
    <w:rsid w:val="009A32E7"/>
    <w:rsid w:val="009A40E3"/>
    <w:rsid w:val="009A5492"/>
    <w:rsid w:val="009A61A6"/>
    <w:rsid w:val="009A761C"/>
    <w:rsid w:val="009A7F37"/>
    <w:rsid w:val="009B19A7"/>
    <w:rsid w:val="009B1BA9"/>
    <w:rsid w:val="009B208D"/>
    <w:rsid w:val="009B24E3"/>
    <w:rsid w:val="009B38D1"/>
    <w:rsid w:val="009B4060"/>
    <w:rsid w:val="009B43EE"/>
    <w:rsid w:val="009B4555"/>
    <w:rsid w:val="009B69BE"/>
    <w:rsid w:val="009B7BD8"/>
    <w:rsid w:val="009C175A"/>
    <w:rsid w:val="009C1A06"/>
    <w:rsid w:val="009C1FFE"/>
    <w:rsid w:val="009C30DC"/>
    <w:rsid w:val="009C3A57"/>
    <w:rsid w:val="009C47E1"/>
    <w:rsid w:val="009C4AC7"/>
    <w:rsid w:val="009C4CB6"/>
    <w:rsid w:val="009C4E63"/>
    <w:rsid w:val="009C66F4"/>
    <w:rsid w:val="009C6A40"/>
    <w:rsid w:val="009C6B3A"/>
    <w:rsid w:val="009C6D52"/>
    <w:rsid w:val="009D12C0"/>
    <w:rsid w:val="009D1E4B"/>
    <w:rsid w:val="009D2C44"/>
    <w:rsid w:val="009D3402"/>
    <w:rsid w:val="009D3534"/>
    <w:rsid w:val="009D421B"/>
    <w:rsid w:val="009D4BB7"/>
    <w:rsid w:val="009D5553"/>
    <w:rsid w:val="009D58A4"/>
    <w:rsid w:val="009D6745"/>
    <w:rsid w:val="009D78CD"/>
    <w:rsid w:val="009D7A86"/>
    <w:rsid w:val="009E02D8"/>
    <w:rsid w:val="009E083F"/>
    <w:rsid w:val="009E1841"/>
    <w:rsid w:val="009E1EF4"/>
    <w:rsid w:val="009E1F20"/>
    <w:rsid w:val="009E3F6B"/>
    <w:rsid w:val="009E40F2"/>
    <w:rsid w:val="009E56B1"/>
    <w:rsid w:val="009E57CB"/>
    <w:rsid w:val="009F0292"/>
    <w:rsid w:val="009F07F6"/>
    <w:rsid w:val="009F3191"/>
    <w:rsid w:val="009F3216"/>
    <w:rsid w:val="009F3991"/>
    <w:rsid w:val="009F3B9E"/>
    <w:rsid w:val="009F54F7"/>
    <w:rsid w:val="009F5BF4"/>
    <w:rsid w:val="009F669A"/>
    <w:rsid w:val="00A01126"/>
    <w:rsid w:val="00A01ED7"/>
    <w:rsid w:val="00A0237D"/>
    <w:rsid w:val="00A035C1"/>
    <w:rsid w:val="00A03B55"/>
    <w:rsid w:val="00A0437B"/>
    <w:rsid w:val="00A04778"/>
    <w:rsid w:val="00A06381"/>
    <w:rsid w:val="00A12C52"/>
    <w:rsid w:val="00A1358D"/>
    <w:rsid w:val="00A1360E"/>
    <w:rsid w:val="00A143D9"/>
    <w:rsid w:val="00A143FD"/>
    <w:rsid w:val="00A1587F"/>
    <w:rsid w:val="00A1650D"/>
    <w:rsid w:val="00A16542"/>
    <w:rsid w:val="00A16B7C"/>
    <w:rsid w:val="00A176FA"/>
    <w:rsid w:val="00A1770F"/>
    <w:rsid w:val="00A207C8"/>
    <w:rsid w:val="00A209BA"/>
    <w:rsid w:val="00A22146"/>
    <w:rsid w:val="00A22261"/>
    <w:rsid w:val="00A223D0"/>
    <w:rsid w:val="00A230F2"/>
    <w:rsid w:val="00A2325B"/>
    <w:rsid w:val="00A235BD"/>
    <w:rsid w:val="00A24381"/>
    <w:rsid w:val="00A2497C"/>
    <w:rsid w:val="00A303DB"/>
    <w:rsid w:val="00A30DC7"/>
    <w:rsid w:val="00A3277B"/>
    <w:rsid w:val="00A330AB"/>
    <w:rsid w:val="00A33698"/>
    <w:rsid w:val="00A340FC"/>
    <w:rsid w:val="00A34F81"/>
    <w:rsid w:val="00A34FE8"/>
    <w:rsid w:val="00A35EF1"/>
    <w:rsid w:val="00A36119"/>
    <w:rsid w:val="00A36FAE"/>
    <w:rsid w:val="00A40800"/>
    <w:rsid w:val="00A41ECB"/>
    <w:rsid w:val="00A427C5"/>
    <w:rsid w:val="00A42DAA"/>
    <w:rsid w:val="00A4325F"/>
    <w:rsid w:val="00A46678"/>
    <w:rsid w:val="00A46B43"/>
    <w:rsid w:val="00A47C65"/>
    <w:rsid w:val="00A51629"/>
    <w:rsid w:val="00A517EA"/>
    <w:rsid w:val="00A531D4"/>
    <w:rsid w:val="00A549A0"/>
    <w:rsid w:val="00A54E84"/>
    <w:rsid w:val="00A553CE"/>
    <w:rsid w:val="00A55AA6"/>
    <w:rsid w:val="00A565CE"/>
    <w:rsid w:val="00A56BFA"/>
    <w:rsid w:val="00A57D68"/>
    <w:rsid w:val="00A603E7"/>
    <w:rsid w:val="00A607EE"/>
    <w:rsid w:val="00A635ED"/>
    <w:rsid w:val="00A6488A"/>
    <w:rsid w:val="00A6521A"/>
    <w:rsid w:val="00A65324"/>
    <w:rsid w:val="00A65328"/>
    <w:rsid w:val="00A655E4"/>
    <w:rsid w:val="00A662C9"/>
    <w:rsid w:val="00A66D56"/>
    <w:rsid w:val="00A67122"/>
    <w:rsid w:val="00A67417"/>
    <w:rsid w:val="00A70247"/>
    <w:rsid w:val="00A70598"/>
    <w:rsid w:val="00A71A8F"/>
    <w:rsid w:val="00A75033"/>
    <w:rsid w:val="00A764A8"/>
    <w:rsid w:val="00A767FA"/>
    <w:rsid w:val="00A808C9"/>
    <w:rsid w:val="00A8106E"/>
    <w:rsid w:val="00A83E2D"/>
    <w:rsid w:val="00A83FAD"/>
    <w:rsid w:val="00A8589D"/>
    <w:rsid w:val="00A861CF"/>
    <w:rsid w:val="00A874BB"/>
    <w:rsid w:val="00A91680"/>
    <w:rsid w:val="00A918EB"/>
    <w:rsid w:val="00A92137"/>
    <w:rsid w:val="00A921EE"/>
    <w:rsid w:val="00A956C3"/>
    <w:rsid w:val="00A962C4"/>
    <w:rsid w:val="00A96676"/>
    <w:rsid w:val="00A9719E"/>
    <w:rsid w:val="00A973C1"/>
    <w:rsid w:val="00AA00A8"/>
    <w:rsid w:val="00AA09AA"/>
    <w:rsid w:val="00AA0AA8"/>
    <w:rsid w:val="00AA12B7"/>
    <w:rsid w:val="00AA1705"/>
    <w:rsid w:val="00AA1DB4"/>
    <w:rsid w:val="00AA201A"/>
    <w:rsid w:val="00AA2AF0"/>
    <w:rsid w:val="00AA36AA"/>
    <w:rsid w:val="00AA453C"/>
    <w:rsid w:val="00AA4990"/>
    <w:rsid w:val="00AA5DB2"/>
    <w:rsid w:val="00AA64B1"/>
    <w:rsid w:val="00AA64EE"/>
    <w:rsid w:val="00AA7945"/>
    <w:rsid w:val="00AA795A"/>
    <w:rsid w:val="00AB0F6E"/>
    <w:rsid w:val="00AB140C"/>
    <w:rsid w:val="00AB1A84"/>
    <w:rsid w:val="00AB1CA9"/>
    <w:rsid w:val="00AB2AA6"/>
    <w:rsid w:val="00AB2AAB"/>
    <w:rsid w:val="00AB37ED"/>
    <w:rsid w:val="00AB44A9"/>
    <w:rsid w:val="00AB513D"/>
    <w:rsid w:val="00AB6B33"/>
    <w:rsid w:val="00AB7AB7"/>
    <w:rsid w:val="00AC0224"/>
    <w:rsid w:val="00AC113B"/>
    <w:rsid w:val="00AC17C4"/>
    <w:rsid w:val="00AC1D9C"/>
    <w:rsid w:val="00AC389E"/>
    <w:rsid w:val="00AC5352"/>
    <w:rsid w:val="00AC5F0E"/>
    <w:rsid w:val="00AD0F5F"/>
    <w:rsid w:val="00AD23B5"/>
    <w:rsid w:val="00AD2B9D"/>
    <w:rsid w:val="00AD2E21"/>
    <w:rsid w:val="00AD41BC"/>
    <w:rsid w:val="00AD425A"/>
    <w:rsid w:val="00AD46CD"/>
    <w:rsid w:val="00AD5137"/>
    <w:rsid w:val="00AD5AA7"/>
    <w:rsid w:val="00AD76E6"/>
    <w:rsid w:val="00AE0BC0"/>
    <w:rsid w:val="00AE127A"/>
    <w:rsid w:val="00AE13D5"/>
    <w:rsid w:val="00AE212E"/>
    <w:rsid w:val="00AE244C"/>
    <w:rsid w:val="00AE4C85"/>
    <w:rsid w:val="00AE4D8E"/>
    <w:rsid w:val="00AE67BC"/>
    <w:rsid w:val="00AF0E39"/>
    <w:rsid w:val="00AF132C"/>
    <w:rsid w:val="00AF16B9"/>
    <w:rsid w:val="00AF176D"/>
    <w:rsid w:val="00AF1E77"/>
    <w:rsid w:val="00AF2173"/>
    <w:rsid w:val="00AF2D0C"/>
    <w:rsid w:val="00AF2E7D"/>
    <w:rsid w:val="00AF3F7B"/>
    <w:rsid w:val="00AF4790"/>
    <w:rsid w:val="00AF597E"/>
    <w:rsid w:val="00AF6AF0"/>
    <w:rsid w:val="00AF77D1"/>
    <w:rsid w:val="00B000ED"/>
    <w:rsid w:val="00B0034A"/>
    <w:rsid w:val="00B004C8"/>
    <w:rsid w:val="00B006AF"/>
    <w:rsid w:val="00B00D6D"/>
    <w:rsid w:val="00B01B84"/>
    <w:rsid w:val="00B02028"/>
    <w:rsid w:val="00B023A8"/>
    <w:rsid w:val="00B0257B"/>
    <w:rsid w:val="00B032D7"/>
    <w:rsid w:val="00B032F6"/>
    <w:rsid w:val="00B0433D"/>
    <w:rsid w:val="00B063DE"/>
    <w:rsid w:val="00B06457"/>
    <w:rsid w:val="00B06638"/>
    <w:rsid w:val="00B069A2"/>
    <w:rsid w:val="00B07267"/>
    <w:rsid w:val="00B10B45"/>
    <w:rsid w:val="00B11270"/>
    <w:rsid w:val="00B11D20"/>
    <w:rsid w:val="00B11EA3"/>
    <w:rsid w:val="00B13A96"/>
    <w:rsid w:val="00B13DF4"/>
    <w:rsid w:val="00B16B69"/>
    <w:rsid w:val="00B17559"/>
    <w:rsid w:val="00B2068C"/>
    <w:rsid w:val="00B21503"/>
    <w:rsid w:val="00B21EC8"/>
    <w:rsid w:val="00B21EFF"/>
    <w:rsid w:val="00B23607"/>
    <w:rsid w:val="00B25673"/>
    <w:rsid w:val="00B256D8"/>
    <w:rsid w:val="00B259BC"/>
    <w:rsid w:val="00B25CC6"/>
    <w:rsid w:val="00B262A1"/>
    <w:rsid w:val="00B26587"/>
    <w:rsid w:val="00B2785A"/>
    <w:rsid w:val="00B27C38"/>
    <w:rsid w:val="00B3114B"/>
    <w:rsid w:val="00B32F61"/>
    <w:rsid w:val="00B35228"/>
    <w:rsid w:val="00B36A08"/>
    <w:rsid w:val="00B36B31"/>
    <w:rsid w:val="00B372B5"/>
    <w:rsid w:val="00B37441"/>
    <w:rsid w:val="00B377F6"/>
    <w:rsid w:val="00B37DDC"/>
    <w:rsid w:val="00B40136"/>
    <w:rsid w:val="00B41889"/>
    <w:rsid w:val="00B431A8"/>
    <w:rsid w:val="00B4361D"/>
    <w:rsid w:val="00B44150"/>
    <w:rsid w:val="00B44A95"/>
    <w:rsid w:val="00B44AB8"/>
    <w:rsid w:val="00B45B1A"/>
    <w:rsid w:val="00B4611E"/>
    <w:rsid w:val="00B465B7"/>
    <w:rsid w:val="00B46D0A"/>
    <w:rsid w:val="00B478FB"/>
    <w:rsid w:val="00B47943"/>
    <w:rsid w:val="00B52E94"/>
    <w:rsid w:val="00B5400D"/>
    <w:rsid w:val="00B54108"/>
    <w:rsid w:val="00B54DD4"/>
    <w:rsid w:val="00B54E5C"/>
    <w:rsid w:val="00B5524F"/>
    <w:rsid w:val="00B552A7"/>
    <w:rsid w:val="00B57065"/>
    <w:rsid w:val="00B572B4"/>
    <w:rsid w:val="00B60D7D"/>
    <w:rsid w:val="00B62D6A"/>
    <w:rsid w:val="00B65F67"/>
    <w:rsid w:val="00B668FD"/>
    <w:rsid w:val="00B67906"/>
    <w:rsid w:val="00B67EA8"/>
    <w:rsid w:val="00B70C04"/>
    <w:rsid w:val="00B70CF2"/>
    <w:rsid w:val="00B7304B"/>
    <w:rsid w:val="00B734F3"/>
    <w:rsid w:val="00B739C6"/>
    <w:rsid w:val="00B752F7"/>
    <w:rsid w:val="00B7675F"/>
    <w:rsid w:val="00B76E08"/>
    <w:rsid w:val="00B80A18"/>
    <w:rsid w:val="00B81E04"/>
    <w:rsid w:val="00B81E90"/>
    <w:rsid w:val="00B82254"/>
    <w:rsid w:val="00B8288B"/>
    <w:rsid w:val="00B836C9"/>
    <w:rsid w:val="00B840CB"/>
    <w:rsid w:val="00B84B43"/>
    <w:rsid w:val="00B868B4"/>
    <w:rsid w:val="00B9048B"/>
    <w:rsid w:val="00B90992"/>
    <w:rsid w:val="00B911B5"/>
    <w:rsid w:val="00B912A3"/>
    <w:rsid w:val="00B917BF"/>
    <w:rsid w:val="00B93569"/>
    <w:rsid w:val="00B9490D"/>
    <w:rsid w:val="00B94E0A"/>
    <w:rsid w:val="00B95CC9"/>
    <w:rsid w:val="00B9623F"/>
    <w:rsid w:val="00B96A56"/>
    <w:rsid w:val="00B96BEE"/>
    <w:rsid w:val="00B97C87"/>
    <w:rsid w:val="00BA08FB"/>
    <w:rsid w:val="00BA1456"/>
    <w:rsid w:val="00BA2028"/>
    <w:rsid w:val="00BA2073"/>
    <w:rsid w:val="00BA2519"/>
    <w:rsid w:val="00BA2A65"/>
    <w:rsid w:val="00BA2D0D"/>
    <w:rsid w:val="00BA3475"/>
    <w:rsid w:val="00BA380D"/>
    <w:rsid w:val="00BA3850"/>
    <w:rsid w:val="00BA4473"/>
    <w:rsid w:val="00BA5C35"/>
    <w:rsid w:val="00BA6229"/>
    <w:rsid w:val="00BA6765"/>
    <w:rsid w:val="00BA6B0F"/>
    <w:rsid w:val="00BA6BD3"/>
    <w:rsid w:val="00BA6E4D"/>
    <w:rsid w:val="00BA74B9"/>
    <w:rsid w:val="00BA77C9"/>
    <w:rsid w:val="00BB0489"/>
    <w:rsid w:val="00BB077B"/>
    <w:rsid w:val="00BB111E"/>
    <w:rsid w:val="00BB1603"/>
    <w:rsid w:val="00BB1ABB"/>
    <w:rsid w:val="00BB3768"/>
    <w:rsid w:val="00BB4193"/>
    <w:rsid w:val="00BB4ABA"/>
    <w:rsid w:val="00BB4F08"/>
    <w:rsid w:val="00BB5B26"/>
    <w:rsid w:val="00BB66FC"/>
    <w:rsid w:val="00BB6E64"/>
    <w:rsid w:val="00BB74CD"/>
    <w:rsid w:val="00BC0483"/>
    <w:rsid w:val="00BC0A93"/>
    <w:rsid w:val="00BC1094"/>
    <w:rsid w:val="00BC12A2"/>
    <w:rsid w:val="00BC2445"/>
    <w:rsid w:val="00BC348E"/>
    <w:rsid w:val="00BC3500"/>
    <w:rsid w:val="00BC3A5B"/>
    <w:rsid w:val="00BC42E2"/>
    <w:rsid w:val="00BC4608"/>
    <w:rsid w:val="00BC482D"/>
    <w:rsid w:val="00BC4AAD"/>
    <w:rsid w:val="00BC50FF"/>
    <w:rsid w:val="00BC54E5"/>
    <w:rsid w:val="00BC7254"/>
    <w:rsid w:val="00BC7330"/>
    <w:rsid w:val="00BC7710"/>
    <w:rsid w:val="00BC7B5A"/>
    <w:rsid w:val="00BD11C6"/>
    <w:rsid w:val="00BD2B44"/>
    <w:rsid w:val="00BD406B"/>
    <w:rsid w:val="00BD56A2"/>
    <w:rsid w:val="00BD58AD"/>
    <w:rsid w:val="00BD60FE"/>
    <w:rsid w:val="00BD7B89"/>
    <w:rsid w:val="00BE016F"/>
    <w:rsid w:val="00BE04B4"/>
    <w:rsid w:val="00BE2ADB"/>
    <w:rsid w:val="00BE5504"/>
    <w:rsid w:val="00BE7F17"/>
    <w:rsid w:val="00BF1FFD"/>
    <w:rsid w:val="00BF29EA"/>
    <w:rsid w:val="00BF2BAC"/>
    <w:rsid w:val="00BF35A8"/>
    <w:rsid w:val="00BF387D"/>
    <w:rsid w:val="00BF6A24"/>
    <w:rsid w:val="00BF6E5A"/>
    <w:rsid w:val="00C0057B"/>
    <w:rsid w:val="00C01460"/>
    <w:rsid w:val="00C01D30"/>
    <w:rsid w:val="00C035CD"/>
    <w:rsid w:val="00C03ED7"/>
    <w:rsid w:val="00C04176"/>
    <w:rsid w:val="00C0485C"/>
    <w:rsid w:val="00C05DC1"/>
    <w:rsid w:val="00C065EB"/>
    <w:rsid w:val="00C06AC4"/>
    <w:rsid w:val="00C076C4"/>
    <w:rsid w:val="00C10822"/>
    <w:rsid w:val="00C11B66"/>
    <w:rsid w:val="00C12173"/>
    <w:rsid w:val="00C14268"/>
    <w:rsid w:val="00C143C6"/>
    <w:rsid w:val="00C1461D"/>
    <w:rsid w:val="00C14B0F"/>
    <w:rsid w:val="00C15DB2"/>
    <w:rsid w:val="00C15E70"/>
    <w:rsid w:val="00C16B4E"/>
    <w:rsid w:val="00C203F9"/>
    <w:rsid w:val="00C207E2"/>
    <w:rsid w:val="00C214CC"/>
    <w:rsid w:val="00C23012"/>
    <w:rsid w:val="00C25386"/>
    <w:rsid w:val="00C27334"/>
    <w:rsid w:val="00C27A17"/>
    <w:rsid w:val="00C30724"/>
    <w:rsid w:val="00C3095C"/>
    <w:rsid w:val="00C30CAB"/>
    <w:rsid w:val="00C31481"/>
    <w:rsid w:val="00C3247C"/>
    <w:rsid w:val="00C32E5F"/>
    <w:rsid w:val="00C33252"/>
    <w:rsid w:val="00C33CED"/>
    <w:rsid w:val="00C3415C"/>
    <w:rsid w:val="00C3594C"/>
    <w:rsid w:val="00C364DD"/>
    <w:rsid w:val="00C3694D"/>
    <w:rsid w:val="00C37B8B"/>
    <w:rsid w:val="00C40B6B"/>
    <w:rsid w:val="00C4210A"/>
    <w:rsid w:val="00C42232"/>
    <w:rsid w:val="00C43A4C"/>
    <w:rsid w:val="00C45570"/>
    <w:rsid w:val="00C46B62"/>
    <w:rsid w:val="00C47657"/>
    <w:rsid w:val="00C478CE"/>
    <w:rsid w:val="00C47E16"/>
    <w:rsid w:val="00C47F01"/>
    <w:rsid w:val="00C50E79"/>
    <w:rsid w:val="00C52846"/>
    <w:rsid w:val="00C53709"/>
    <w:rsid w:val="00C53786"/>
    <w:rsid w:val="00C53887"/>
    <w:rsid w:val="00C53CC1"/>
    <w:rsid w:val="00C54069"/>
    <w:rsid w:val="00C5410C"/>
    <w:rsid w:val="00C5443B"/>
    <w:rsid w:val="00C54DFC"/>
    <w:rsid w:val="00C5583C"/>
    <w:rsid w:val="00C55FCD"/>
    <w:rsid w:val="00C5644A"/>
    <w:rsid w:val="00C56A24"/>
    <w:rsid w:val="00C57AE5"/>
    <w:rsid w:val="00C57BD6"/>
    <w:rsid w:val="00C600F6"/>
    <w:rsid w:val="00C6090A"/>
    <w:rsid w:val="00C6092B"/>
    <w:rsid w:val="00C61498"/>
    <w:rsid w:val="00C61B35"/>
    <w:rsid w:val="00C61FAE"/>
    <w:rsid w:val="00C62FA7"/>
    <w:rsid w:val="00C636F8"/>
    <w:rsid w:val="00C63834"/>
    <w:rsid w:val="00C65EDD"/>
    <w:rsid w:val="00C66027"/>
    <w:rsid w:val="00C70431"/>
    <w:rsid w:val="00C70728"/>
    <w:rsid w:val="00C7190C"/>
    <w:rsid w:val="00C72210"/>
    <w:rsid w:val="00C724E3"/>
    <w:rsid w:val="00C73A7C"/>
    <w:rsid w:val="00C73F81"/>
    <w:rsid w:val="00C7644F"/>
    <w:rsid w:val="00C766AB"/>
    <w:rsid w:val="00C7737E"/>
    <w:rsid w:val="00C81144"/>
    <w:rsid w:val="00C816B8"/>
    <w:rsid w:val="00C81BA7"/>
    <w:rsid w:val="00C828E3"/>
    <w:rsid w:val="00C85EDC"/>
    <w:rsid w:val="00C86833"/>
    <w:rsid w:val="00C87B30"/>
    <w:rsid w:val="00C90C58"/>
    <w:rsid w:val="00C90CB8"/>
    <w:rsid w:val="00C94615"/>
    <w:rsid w:val="00C9531F"/>
    <w:rsid w:val="00C96ACF"/>
    <w:rsid w:val="00C9796F"/>
    <w:rsid w:val="00CA0564"/>
    <w:rsid w:val="00CA0C80"/>
    <w:rsid w:val="00CA21F7"/>
    <w:rsid w:val="00CA2983"/>
    <w:rsid w:val="00CA3E15"/>
    <w:rsid w:val="00CA42A8"/>
    <w:rsid w:val="00CA527D"/>
    <w:rsid w:val="00CA61B3"/>
    <w:rsid w:val="00CA72BD"/>
    <w:rsid w:val="00CA759B"/>
    <w:rsid w:val="00CA7640"/>
    <w:rsid w:val="00CA797F"/>
    <w:rsid w:val="00CB067F"/>
    <w:rsid w:val="00CB2699"/>
    <w:rsid w:val="00CB3728"/>
    <w:rsid w:val="00CB69D7"/>
    <w:rsid w:val="00CB6E43"/>
    <w:rsid w:val="00CB7428"/>
    <w:rsid w:val="00CB7D4A"/>
    <w:rsid w:val="00CC226C"/>
    <w:rsid w:val="00CC25D7"/>
    <w:rsid w:val="00CC2A20"/>
    <w:rsid w:val="00CC2A6F"/>
    <w:rsid w:val="00CC3254"/>
    <w:rsid w:val="00CC6031"/>
    <w:rsid w:val="00CC6A74"/>
    <w:rsid w:val="00CC6B2D"/>
    <w:rsid w:val="00CD142B"/>
    <w:rsid w:val="00CD27F7"/>
    <w:rsid w:val="00CD55A6"/>
    <w:rsid w:val="00CD6A6E"/>
    <w:rsid w:val="00CD7B2C"/>
    <w:rsid w:val="00CE220D"/>
    <w:rsid w:val="00CE35C2"/>
    <w:rsid w:val="00CE3BEB"/>
    <w:rsid w:val="00CE4578"/>
    <w:rsid w:val="00CE4DAD"/>
    <w:rsid w:val="00CE5002"/>
    <w:rsid w:val="00CE5A49"/>
    <w:rsid w:val="00CE5D33"/>
    <w:rsid w:val="00CE5E8F"/>
    <w:rsid w:val="00CE63C6"/>
    <w:rsid w:val="00CE710C"/>
    <w:rsid w:val="00CE7260"/>
    <w:rsid w:val="00CE77C6"/>
    <w:rsid w:val="00CF2971"/>
    <w:rsid w:val="00CF3763"/>
    <w:rsid w:val="00CF4558"/>
    <w:rsid w:val="00CF4D18"/>
    <w:rsid w:val="00CF6B4E"/>
    <w:rsid w:val="00CF7106"/>
    <w:rsid w:val="00D00997"/>
    <w:rsid w:val="00D0109A"/>
    <w:rsid w:val="00D021DB"/>
    <w:rsid w:val="00D026E3"/>
    <w:rsid w:val="00D07566"/>
    <w:rsid w:val="00D07918"/>
    <w:rsid w:val="00D07ABA"/>
    <w:rsid w:val="00D07FBA"/>
    <w:rsid w:val="00D07FD5"/>
    <w:rsid w:val="00D11A69"/>
    <w:rsid w:val="00D120EE"/>
    <w:rsid w:val="00D124B6"/>
    <w:rsid w:val="00D13254"/>
    <w:rsid w:val="00D13ABD"/>
    <w:rsid w:val="00D15C98"/>
    <w:rsid w:val="00D15D2F"/>
    <w:rsid w:val="00D176EE"/>
    <w:rsid w:val="00D17971"/>
    <w:rsid w:val="00D239D3"/>
    <w:rsid w:val="00D23D1E"/>
    <w:rsid w:val="00D23F11"/>
    <w:rsid w:val="00D24792"/>
    <w:rsid w:val="00D24ABE"/>
    <w:rsid w:val="00D250A1"/>
    <w:rsid w:val="00D257AC"/>
    <w:rsid w:val="00D25F35"/>
    <w:rsid w:val="00D2772F"/>
    <w:rsid w:val="00D279E0"/>
    <w:rsid w:val="00D30087"/>
    <w:rsid w:val="00D309E9"/>
    <w:rsid w:val="00D30E59"/>
    <w:rsid w:val="00D3195C"/>
    <w:rsid w:val="00D31C9E"/>
    <w:rsid w:val="00D3202A"/>
    <w:rsid w:val="00D331BD"/>
    <w:rsid w:val="00D33FD3"/>
    <w:rsid w:val="00D35B41"/>
    <w:rsid w:val="00D36D65"/>
    <w:rsid w:val="00D432CC"/>
    <w:rsid w:val="00D43675"/>
    <w:rsid w:val="00D45D17"/>
    <w:rsid w:val="00D45DCB"/>
    <w:rsid w:val="00D50521"/>
    <w:rsid w:val="00D5106D"/>
    <w:rsid w:val="00D51351"/>
    <w:rsid w:val="00D52E23"/>
    <w:rsid w:val="00D5315E"/>
    <w:rsid w:val="00D540AA"/>
    <w:rsid w:val="00D541FC"/>
    <w:rsid w:val="00D54E83"/>
    <w:rsid w:val="00D56424"/>
    <w:rsid w:val="00D56B6B"/>
    <w:rsid w:val="00D57470"/>
    <w:rsid w:val="00D60C4F"/>
    <w:rsid w:val="00D61601"/>
    <w:rsid w:val="00D617C4"/>
    <w:rsid w:val="00D634CD"/>
    <w:rsid w:val="00D65C05"/>
    <w:rsid w:val="00D66215"/>
    <w:rsid w:val="00D66739"/>
    <w:rsid w:val="00D70070"/>
    <w:rsid w:val="00D7024F"/>
    <w:rsid w:val="00D70DB8"/>
    <w:rsid w:val="00D719D9"/>
    <w:rsid w:val="00D7238C"/>
    <w:rsid w:val="00D723B9"/>
    <w:rsid w:val="00D7329C"/>
    <w:rsid w:val="00D73EE8"/>
    <w:rsid w:val="00D740F2"/>
    <w:rsid w:val="00D746CD"/>
    <w:rsid w:val="00D7599F"/>
    <w:rsid w:val="00D77846"/>
    <w:rsid w:val="00D817DE"/>
    <w:rsid w:val="00D83EBD"/>
    <w:rsid w:val="00D859F1"/>
    <w:rsid w:val="00D86493"/>
    <w:rsid w:val="00D87707"/>
    <w:rsid w:val="00D878F3"/>
    <w:rsid w:val="00D879D6"/>
    <w:rsid w:val="00D87DB6"/>
    <w:rsid w:val="00D918C0"/>
    <w:rsid w:val="00D92678"/>
    <w:rsid w:val="00D9299D"/>
    <w:rsid w:val="00D92B70"/>
    <w:rsid w:val="00D95B99"/>
    <w:rsid w:val="00D96009"/>
    <w:rsid w:val="00D96AC1"/>
    <w:rsid w:val="00D9786C"/>
    <w:rsid w:val="00D979A6"/>
    <w:rsid w:val="00DA00B6"/>
    <w:rsid w:val="00DA0E17"/>
    <w:rsid w:val="00DA1B6F"/>
    <w:rsid w:val="00DA1FEF"/>
    <w:rsid w:val="00DA219B"/>
    <w:rsid w:val="00DA3152"/>
    <w:rsid w:val="00DA3279"/>
    <w:rsid w:val="00DA37E4"/>
    <w:rsid w:val="00DA39F2"/>
    <w:rsid w:val="00DA5BA7"/>
    <w:rsid w:val="00DA7183"/>
    <w:rsid w:val="00DB08C1"/>
    <w:rsid w:val="00DB0C41"/>
    <w:rsid w:val="00DB0C9E"/>
    <w:rsid w:val="00DB10FA"/>
    <w:rsid w:val="00DB1F05"/>
    <w:rsid w:val="00DB2275"/>
    <w:rsid w:val="00DB2C2A"/>
    <w:rsid w:val="00DB3882"/>
    <w:rsid w:val="00DB48C6"/>
    <w:rsid w:val="00DB6FE1"/>
    <w:rsid w:val="00DB7A9D"/>
    <w:rsid w:val="00DC0790"/>
    <w:rsid w:val="00DC1837"/>
    <w:rsid w:val="00DC1F95"/>
    <w:rsid w:val="00DC24BD"/>
    <w:rsid w:val="00DC749E"/>
    <w:rsid w:val="00DC7ADA"/>
    <w:rsid w:val="00DC7CB9"/>
    <w:rsid w:val="00DD051C"/>
    <w:rsid w:val="00DD1F14"/>
    <w:rsid w:val="00DD2A2F"/>
    <w:rsid w:val="00DD335B"/>
    <w:rsid w:val="00DD3901"/>
    <w:rsid w:val="00DD5430"/>
    <w:rsid w:val="00DD5DC3"/>
    <w:rsid w:val="00DD5FE0"/>
    <w:rsid w:val="00DD7A76"/>
    <w:rsid w:val="00DE45B3"/>
    <w:rsid w:val="00DE6478"/>
    <w:rsid w:val="00DE6CE8"/>
    <w:rsid w:val="00DF1192"/>
    <w:rsid w:val="00DF2AA7"/>
    <w:rsid w:val="00DF3C42"/>
    <w:rsid w:val="00DF3EF1"/>
    <w:rsid w:val="00DF4081"/>
    <w:rsid w:val="00DF5C6A"/>
    <w:rsid w:val="00DF6358"/>
    <w:rsid w:val="00E00B80"/>
    <w:rsid w:val="00E00C71"/>
    <w:rsid w:val="00E00DFB"/>
    <w:rsid w:val="00E01857"/>
    <w:rsid w:val="00E01A79"/>
    <w:rsid w:val="00E02005"/>
    <w:rsid w:val="00E0315B"/>
    <w:rsid w:val="00E047AB"/>
    <w:rsid w:val="00E05130"/>
    <w:rsid w:val="00E05A92"/>
    <w:rsid w:val="00E0654F"/>
    <w:rsid w:val="00E06B5F"/>
    <w:rsid w:val="00E06C03"/>
    <w:rsid w:val="00E10678"/>
    <w:rsid w:val="00E1093D"/>
    <w:rsid w:val="00E11A03"/>
    <w:rsid w:val="00E121C6"/>
    <w:rsid w:val="00E12795"/>
    <w:rsid w:val="00E13CC9"/>
    <w:rsid w:val="00E13D77"/>
    <w:rsid w:val="00E14005"/>
    <w:rsid w:val="00E14AEE"/>
    <w:rsid w:val="00E15D35"/>
    <w:rsid w:val="00E167B6"/>
    <w:rsid w:val="00E16A82"/>
    <w:rsid w:val="00E17C2A"/>
    <w:rsid w:val="00E22AA6"/>
    <w:rsid w:val="00E242E6"/>
    <w:rsid w:val="00E247A0"/>
    <w:rsid w:val="00E25032"/>
    <w:rsid w:val="00E255AE"/>
    <w:rsid w:val="00E25795"/>
    <w:rsid w:val="00E25E29"/>
    <w:rsid w:val="00E262A6"/>
    <w:rsid w:val="00E2715D"/>
    <w:rsid w:val="00E27631"/>
    <w:rsid w:val="00E31E8D"/>
    <w:rsid w:val="00E320C9"/>
    <w:rsid w:val="00E34D25"/>
    <w:rsid w:val="00E3516A"/>
    <w:rsid w:val="00E35FD4"/>
    <w:rsid w:val="00E36550"/>
    <w:rsid w:val="00E374E1"/>
    <w:rsid w:val="00E401B5"/>
    <w:rsid w:val="00E401D2"/>
    <w:rsid w:val="00E41AFD"/>
    <w:rsid w:val="00E436CE"/>
    <w:rsid w:val="00E43FA3"/>
    <w:rsid w:val="00E44B8A"/>
    <w:rsid w:val="00E44E4B"/>
    <w:rsid w:val="00E503E5"/>
    <w:rsid w:val="00E508C0"/>
    <w:rsid w:val="00E50F91"/>
    <w:rsid w:val="00E516E6"/>
    <w:rsid w:val="00E51A56"/>
    <w:rsid w:val="00E525C8"/>
    <w:rsid w:val="00E52C42"/>
    <w:rsid w:val="00E5300D"/>
    <w:rsid w:val="00E53465"/>
    <w:rsid w:val="00E534DB"/>
    <w:rsid w:val="00E53A8A"/>
    <w:rsid w:val="00E53E00"/>
    <w:rsid w:val="00E547D0"/>
    <w:rsid w:val="00E54DE2"/>
    <w:rsid w:val="00E556A3"/>
    <w:rsid w:val="00E556C2"/>
    <w:rsid w:val="00E557D9"/>
    <w:rsid w:val="00E5599B"/>
    <w:rsid w:val="00E55BB8"/>
    <w:rsid w:val="00E56146"/>
    <w:rsid w:val="00E56A1E"/>
    <w:rsid w:val="00E56CDF"/>
    <w:rsid w:val="00E56F4A"/>
    <w:rsid w:val="00E574B3"/>
    <w:rsid w:val="00E600B5"/>
    <w:rsid w:val="00E61B6D"/>
    <w:rsid w:val="00E62588"/>
    <w:rsid w:val="00E635EE"/>
    <w:rsid w:val="00E6583C"/>
    <w:rsid w:val="00E66E9D"/>
    <w:rsid w:val="00E67D10"/>
    <w:rsid w:val="00E70AD3"/>
    <w:rsid w:val="00E70D86"/>
    <w:rsid w:val="00E72155"/>
    <w:rsid w:val="00E739E6"/>
    <w:rsid w:val="00E764FA"/>
    <w:rsid w:val="00E77DA9"/>
    <w:rsid w:val="00E80E7D"/>
    <w:rsid w:val="00E8196F"/>
    <w:rsid w:val="00E82326"/>
    <w:rsid w:val="00E825E3"/>
    <w:rsid w:val="00E826E6"/>
    <w:rsid w:val="00E8306F"/>
    <w:rsid w:val="00E83520"/>
    <w:rsid w:val="00E84A76"/>
    <w:rsid w:val="00E859E0"/>
    <w:rsid w:val="00E85BE5"/>
    <w:rsid w:val="00E91028"/>
    <w:rsid w:val="00E92D00"/>
    <w:rsid w:val="00E9352D"/>
    <w:rsid w:val="00E94267"/>
    <w:rsid w:val="00E94346"/>
    <w:rsid w:val="00E96268"/>
    <w:rsid w:val="00E963CD"/>
    <w:rsid w:val="00E964AD"/>
    <w:rsid w:val="00E96D80"/>
    <w:rsid w:val="00E971E7"/>
    <w:rsid w:val="00EA1D55"/>
    <w:rsid w:val="00EA1EC3"/>
    <w:rsid w:val="00EA3E5F"/>
    <w:rsid w:val="00EA421E"/>
    <w:rsid w:val="00EA48F2"/>
    <w:rsid w:val="00EA4B19"/>
    <w:rsid w:val="00EA5B56"/>
    <w:rsid w:val="00EA5D9D"/>
    <w:rsid w:val="00EA6BA5"/>
    <w:rsid w:val="00EB013E"/>
    <w:rsid w:val="00EB079F"/>
    <w:rsid w:val="00EB14B0"/>
    <w:rsid w:val="00EB2E19"/>
    <w:rsid w:val="00EB3A3A"/>
    <w:rsid w:val="00EB3B28"/>
    <w:rsid w:val="00EB3FA6"/>
    <w:rsid w:val="00EB4307"/>
    <w:rsid w:val="00EB50E0"/>
    <w:rsid w:val="00EB72E8"/>
    <w:rsid w:val="00EC03B2"/>
    <w:rsid w:val="00EC2C57"/>
    <w:rsid w:val="00EC4971"/>
    <w:rsid w:val="00EC7CFD"/>
    <w:rsid w:val="00ED0CBC"/>
    <w:rsid w:val="00ED0FA9"/>
    <w:rsid w:val="00ED1C5C"/>
    <w:rsid w:val="00ED22CD"/>
    <w:rsid w:val="00ED22F9"/>
    <w:rsid w:val="00ED2502"/>
    <w:rsid w:val="00ED2CD0"/>
    <w:rsid w:val="00ED33F6"/>
    <w:rsid w:val="00ED4280"/>
    <w:rsid w:val="00ED4386"/>
    <w:rsid w:val="00ED5685"/>
    <w:rsid w:val="00ED59D5"/>
    <w:rsid w:val="00ED6F69"/>
    <w:rsid w:val="00ED773A"/>
    <w:rsid w:val="00EE074C"/>
    <w:rsid w:val="00EE15EF"/>
    <w:rsid w:val="00EE1717"/>
    <w:rsid w:val="00EE1891"/>
    <w:rsid w:val="00EE1F32"/>
    <w:rsid w:val="00EE1F69"/>
    <w:rsid w:val="00EE281F"/>
    <w:rsid w:val="00EE2B47"/>
    <w:rsid w:val="00EE2EBD"/>
    <w:rsid w:val="00EE3FA3"/>
    <w:rsid w:val="00EE4399"/>
    <w:rsid w:val="00EE4C77"/>
    <w:rsid w:val="00EE5D59"/>
    <w:rsid w:val="00EE5E32"/>
    <w:rsid w:val="00EE6AA7"/>
    <w:rsid w:val="00EF0794"/>
    <w:rsid w:val="00EF08F4"/>
    <w:rsid w:val="00EF1EF1"/>
    <w:rsid w:val="00EF2018"/>
    <w:rsid w:val="00EF2094"/>
    <w:rsid w:val="00EF27D5"/>
    <w:rsid w:val="00EF2C82"/>
    <w:rsid w:val="00EF33F2"/>
    <w:rsid w:val="00EF51E6"/>
    <w:rsid w:val="00EF5566"/>
    <w:rsid w:val="00EF61AD"/>
    <w:rsid w:val="00EF63E2"/>
    <w:rsid w:val="00EF6ED4"/>
    <w:rsid w:val="00F01ABA"/>
    <w:rsid w:val="00F0484A"/>
    <w:rsid w:val="00F065DA"/>
    <w:rsid w:val="00F06AA0"/>
    <w:rsid w:val="00F0759D"/>
    <w:rsid w:val="00F07BFF"/>
    <w:rsid w:val="00F1060C"/>
    <w:rsid w:val="00F10764"/>
    <w:rsid w:val="00F10965"/>
    <w:rsid w:val="00F10DB8"/>
    <w:rsid w:val="00F12B06"/>
    <w:rsid w:val="00F13C39"/>
    <w:rsid w:val="00F14825"/>
    <w:rsid w:val="00F162D7"/>
    <w:rsid w:val="00F16D6D"/>
    <w:rsid w:val="00F17E63"/>
    <w:rsid w:val="00F17F95"/>
    <w:rsid w:val="00F20E16"/>
    <w:rsid w:val="00F21CA4"/>
    <w:rsid w:val="00F21CE1"/>
    <w:rsid w:val="00F21D86"/>
    <w:rsid w:val="00F22950"/>
    <w:rsid w:val="00F22D8C"/>
    <w:rsid w:val="00F23446"/>
    <w:rsid w:val="00F248F8"/>
    <w:rsid w:val="00F25FC6"/>
    <w:rsid w:val="00F264BC"/>
    <w:rsid w:val="00F27D35"/>
    <w:rsid w:val="00F3008D"/>
    <w:rsid w:val="00F3028E"/>
    <w:rsid w:val="00F306F5"/>
    <w:rsid w:val="00F313A5"/>
    <w:rsid w:val="00F31413"/>
    <w:rsid w:val="00F323F7"/>
    <w:rsid w:val="00F33E4A"/>
    <w:rsid w:val="00F34701"/>
    <w:rsid w:val="00F35738"/>
    <w:rsid w:val="00F36D4F"/>
    <w:rsid w:val="00F3714D"/>
    <w:rsid w:val="00F40395"/>
    <w:rsid w:val="00F41E74"/>
    <w:rsid w:val="00F43AF5"/>
    <w:rsid w:val="00F44BB3"/>
    <w:rsid w:val="00F44CCA"/>
    <w:rsid w:val="00F45A21"/>
    <w:rsid w:val="00F46385"/>
    <w:rsid w:val="00F471BD"/>
    <w:rsid w:val="00F51786"/>
    <w:rsid w:val="00F51BA4"/>
    <w:rsid w:val="00F51CC3"/>
    <w:rsid w:val="00F548E2"/>
    <w:rsid w:val="00F55201"/>
    <w:rsid w:val="00F5576B"/>
    <w:rsid w:val="00F5690D"/>
    <w:rsid w:val="00F60C5D"/>
    <w:rsid w:val="00F61851"/>
    <w:rsid w:val="00F62276"/>
    <w:rsid w:val="00F64DA0"/>
    <w:rsid w:val="00F64E7D"/>
    <w:rsid w:val="00F6510B"/>
    <w:rsid w:val="00F6595C"/>
    <w:rsid w:val="00F6667F"/>
    <w:rsid w:val="00F668E9"/>
    <w:rsid w:val="00F67249"/>
    <w:rsid w:val="00F67A94"/>
    <w:rsid w:val="00F70617"/>
    <w:rsid w:val="00F70703"/>
    <w:rsid w:val="00F708AE"/>
    <w:rsid w:val="00F7142F"/>
    <w:rsid w:val="00F730C9"/>
    <w:rsid w:val="00F74F4B"/>
    <w:rsid w:val="00F758E3"/>
    <w:rsid w:val="00F7609B"/>
    <w:rsid w:val="00F76BFE"/>
    <w:rsid w:val="00F77042"/>
    <w:rsid w:val="00F80C48"/>
    <w:rsid w:val="00F812F8"/>
    <w:rsid w:val="00F826E6"/>
    <w:rsid w:val="00F83FD1"/>
    <w:rsid w:val="00F85040"/>
    <w:rsid w:val="00F8532D"/>
    <w:rsid w:val="00F8554A"/>
    <w:rsid w:val="00F85725"/>
    <w:rsid w:val="00F85B4E"/>
    <w:rsid w:val="00F85DA3"/>
    <w:rsid w:val="00F87C71"/>
    <w:rsid w:val="00F91677"/>
    <w:rsid w:val="00F9175A"/>
    <w:rsid w:val="00F919AB"/>
    <w:rsid w:val="00F9229F"/>
    <w:rsid w:val="00F92690"/>
    <w:rsid w:val="00F936E9"/>
    <w:rsid w:val="00F93816"/>
    <w:rsid w:val="00F94DE2"/>
    <w:rsid w:val="00F95352"/>
    <w:rsid w:val="00F9596D"/>
    <w:rsid w:val="00F975D1"/>
    <w:rsid w:val="00FA0103"/>
    <w:rsid w:val="00FA02AC"/>
    <w:rsid w:val="00FA058D"/>
    <w:rsid w:val="00FA3CA3"/>
    <w:rsid w:val="00FA4556"/>
    <w:rsid w:val="00FA4BB2"/>
    <w:rsid w:val="00FA4CD7"/>
    <w:rsid w:val="00FA63B8"/>
    <w:rsid w:val="00FA6B25"/>
    <w:rsid w:val="00FB0DB1"/>
    <w:rsid w:val="00FB1AB5"/>
    <w:rsid w:val="00FB2AEF"/>
    <w:rsid w:val="00FB37B9"/>
    <w:rsid w:val="00FB4CA7"/>
    <w:rsid w:val="00FB52AF"/>
    <w:rsid w:val="00FB603F"/>
    <w:rsid w:val="00FB72A9"/>
    <w:rsid w:val="00FB7BFF"/>
    <w:rsid w:val="00FC08C9"/>
    <w:rsid w:val="00FC097A"/>
    <w:rsid w:val="00FC0A27"/>
    <w:rsid w:val="00FC1D6A"/>
    <w:rsid w:val="00FC39D8"/>
    <w:rsid w:val="00FC3E63"/>
    <w:rsid w:val="00FC464D"/>
    <w:rsid w:val="00FC5815"/>
    <w:rsid w:val="00FC776D"/>
    <w:rsid w:val="00FD0E1D"/>
    <w:rsid w:val="00FD1168"/>
    <w:rsid w:val="00FD25C6"/>
    <w:rsid w:val="00FD6906"/>
    <w:rsid w:val="00FD6ECF"/>
    <w:rsid w:val="00FD7140"/>
    <w:rsid w:val="00FE001E"/>
    <w:rsid w:val="00FE0C92"/>
    <w:rsid w:val="00FE1CA4"/>
    <w:rsid w:val="00FE1F2C"/>
    <w:rsid w:val="00FE227B"/>
    <w:rsid w:val="00FE2A7E"/>
    <w:rsid w:val="00FE3F98"/>
    <w:rsid w:val="00FE5BE7"/>
    <w:rsid w:val="00FE7F40"/>
    <w:rsid w:val="00FF0085"/>
    <w:rsid w:val="00FF1AC4"/>
    <w:rsid w:val="00FF24A8"/>
    <w:rsid w:val="00FF2DAF"/>
    <w:rsid w:val="00FF3F52"/>
    <w:rsid w:val="00FF50CA"/>
    <w:rsid w:val="00FF5330"/>
    <w:rsid w:val="00FF5406"/>
    <w:rsid w:val="00FF5AA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FBEC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0" w:unhideWhenUsed="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lsdException w:name="Emphasis" w:semiHidden="0" w:uiPriority="20" w:unhideWhenUsed="0"/>
    <w:lsdException w:name="Balloon Text" w:uiPriority="0"/>
    <w:lsdException w:name="Table Grid" w:uiPriority="59"/>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5F7"/>
    <w:pPr>
      <w:spacing w:before="180" w:line="320" w:lineRule="exact"/>
      <w:jc w:val="both"/>
    </w:pPr>
    <w:rPr>
      <w:rFonts w:ascii="Book Antiqua" w:hAnsi="Book Antiqua"/>
      <w:sz w:val="22"/>
      <w:szCs w:val="24"/>
      <w:lang w:eastAsia="en-US"/>
    </w:rPr>
  </w:style>
  <w:style w:type="paragraph" w:styleId="Heading1">
    <w:name w:val="heading 1"/>
    <w:basedOn w:val="Normal"/>
    <w:next w:val="BodyText"/>
    <w:qFormat/>
    <w:rsid w:val="00714A1E"/>
    <w:pPr>
      <w:keepNext/>
      <w:pageBreakBefore/>
      <w:numPr>
        <w:numId w:val="18"/>
      </w:numPr>
      <w:spacing w:before="0" w:after="180"/>
      <w:outlineLvl w:val="0"/>
    </w:pPr>
    <w:rPr>
      <w:rFonts w:ascii="Arial Bold" w:hAnsi="Arial Bold" w:cs="Arial"/>
      <w:b/>
      <w:bCs/>
      <w:color w:val="003C30"/>
      <w:kern w:val="32"/>
      <w:sz w:val="32"/>
      <w:szCs w:val="32"/>
    </w:rPr>
  </w:style>
  <w:style w:type="paragraph" w:styleId="Heading2">
    <w:name w:val="heading 2"/>
    <w:basedOn w:val="Normal"/>
    <w:next w:val="BodyText"/>
    <w:qFormat/>
    <w:rsid w:val="00714A1E"/>
    <w:pPr>
      <w:keepNext/>
      <w:numPr>
        <w:ilvl w:val="1"/>
        <w:numId w:val="18"/>
      </w:numPr>
      <w:spacing w:before="360" w:after="60"/>
      <w:outlineLvl w:val="1"/>
    </w:pPr>
    <w:rPr>
      <w:rFonts w:ascii="Arial Bold" w:hAnsi="Arial Bold" w:cs="Arial"/>
      <w:b/>
      <w:bCs/>
      <w:iCs/>
      <w:sz w:val="28"/>
      <w:szCs w:val="28"/>
    </w:rPr>
  </w:style>
  <w:style w:type="paragraph" w:styleId="Heading3">
    <w:name w:val="heading 3"/>
    <w:basedOn w:val="Normal"/>
    <w:next w:val="BodyText"/>
    <w:qFormat/>
    <w:rsid w:val="00327FC0"/>
    <w:pPr>
      <w:keepNext/>
      <w:numPr>
        <w:ilvl w:val="2"/>
        <w:numId w:val="15"/>
      </w:numPr>
      <w:tabs>
        <w:tab w:val="clear" w:pos="1871"/>
        <w:tab w:val="left" w:pos="794"/>
      </w:tabs>
      <w:spacing w:before="360"/>
      <w:ind w:left="794" w:hanging="794"/>
      <w:outlineLvl w:val="2"/>
    </w:pPr>
    <w:rPr>
      <w:rFonts w:ascii="Arial Bold" w:hAnsi="Arial Bold" w:cs="Arial"/>
      <w:b/>
      <w:bCs/>
      <w:szCs w:val="26"/>
      <w:lang w:val="en-US"/>
    </w:rPr>
  </w:style>
  <w:style w:type="paragraph" w:styleId="Heading4">
    <w:name w:val="heading 4"/>
    <w:aliases w:val="(Numbered)"/>
    <w:basedOn w:val="Normal"/>
    <w:next w:val="BodyText"/>
    <w:qFormat/>
    <w:rsid w:val="00832936"/>
    <w:pPr>
      <w:keepNext/>
      <w:numPr>
        <w:ilvl w:val="3"/>
        <w:numId w:val="18"/>
      </w:numPr>
      <w:spacing w:before="240"/>
      <w:outlineLvl w:val="3"/>
    </w:pPr>
    <w:rPr>
      <w:bCs/>
      <w:i/>
      <w:sz w:val="24"/>
      <w:szCs w:val="28"/>
    </w:rPr>
  </w:style>
  <w:style w:type="paragraph" w:styleId="Heading5">
    <w:name w:val="heading 5"/>
    <w:basedOn w:val="BodyText"/>
    <w:next w:val="BodyText"/>
    <w:unhideWhenUsed/>
    <w:qFormat/>
    <w:rsid w:val="008C5AA6"/>
    <w:pPr>
      <w:outlineLvl w:val="4"/>
    </w:pPr>
    <w:rPr>
      <w:lang w:val="en-GB" w:eastAsia="en-US"/>
    </w:rPr>
  </w:style>
  <w:style w:type="paragraph" w:styleId="Heading6">
    <w:name w:val="heading 6"/>
    <w:basedOn w:val="Normal"/>
    <w:next w:val="Normal"/>
    <w:link w:val="Heading6Char"/>
    <w:uiPriority w:val="9"/>
    <w:semiHidden/>
    <w:unhideWhenUsed/>
    <w:qFormat/>
    <w:rsid w:val="00F7142F"/>
    <w:pPr>
      <w:keepNext/>
      <w:keepLines/>
      <w:numPr>
        <w:ilvl w:val="5"/>
        <w:numId w:val="18"/>
      </w:numPr>
      <w:spacing w:before="40"/>
      <w:outlineLvl w:val="5"/>
    </w:pPr>
    <w:rPr>
      <w:rFonts w:asciiTheme="majorHAnsi" w:eastAsiaTheme="majorEastAsia" w:hAnsiTheme="majorHAnsi" w:cstheme="majorBidi"/>
      <w:color w:val="001D17" w:themeColor="accent1" w:themeShade="7F"/>
    </w:rPr>
  </w:style>
  <w:style w:type="paragraph" w:styleId="Heading7">
    <w:name w:val="heading 7"/>
    <w:basedOn w:val="Normal"/>
    <w:next w:val="BodyText"/>
    <w:qFormat/>
    <w:rsid w:val="008C5AA6"/>
    <w:pPr>
      <w:pageBreakBefore/>
      <w:numPr>
        <w:ilvl w:val="6"/>
        <w:numId w:val="18"/>
      </w:numPr>
      <w:spacing w:before="0" w:after="180"/>
      <w:outlineLvl w:val="6"/>
    </w:pPr>
    <w:rPr>
      <w:rFonts w:ascii="Arial Bold" w:hAnsi="Arial Bold"/>
      <w:b/>
      <w:color w:val="003C30"/>
      <w:sz w:val="32"/>
    </w:rPr>
  </w:style>
  <w:style w:type="paragraph" w:styleId="Heading8">
    <w:name w:val="heading 8"/>
    <w:basedOn w:val="Normal"/>
    <w:next w:val="BodyText"/>
    <w:qFormat/>
    <w:rsid w:val="008C5AA6"/>
    <w:pPr>
      <w:numPr>
        <w:ilvl w:val="7"/>
        <w:numId w:val="18"/>
      </w:numPr>
      <w:spacing w:before="360" w:after="60"/>
      <w:outlineLvl w:val="7"/>
    </w:pPr>
    <w:rPr>
      <w:rFonts w:ascii="Arial Bold" w:hAnsi="Arial Bold"/>
      <w:b/>
      <w:iCs/>
      <w:sz w:val="28"/>
    </w:rPr>
  </w:style>
  <w:style w:type="paragraph" w:styleId="Heading9">
    <w:name w:val="heading 9"/>
    <w:basedOn w:val="Normal"/>
    <w:next w:val="BodyText"/>
    <w:qFormat/>
    <w:rsid w:val="008C5AA6"/>
    <w:pPr>
      <w:numPr>
        <w:ilvl w:val="8"/>
        <w:numId w:val="18"/>
      </w:numPr>
      <w:spacing w:before="360"/>
      <w:outlineLvl w:val="8"/>
    </w:pPr>
    <w:rPr>
      <w:rFonts w:ascii="Arial Bold" w:hAnsi="Arial Bold" w:cs="Arial"/>
      <w:b/>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Char Char Char Char Char Char Char,Body Text Char Char Char Char Char"/>
    <w:basedOn w:val="Normal"/>
    <w:link w:val="BodyTextChar"/>
    <w:qFormat/>
    <w:rsid w:val="00832936"/>
    <w:pPr>
      <w:spacing w:line="320" w:lineRule="atLeast"/>
    </w:pPr>
    <w:rPr>
      <w:szCs w:val="20"/>
      <w:lang w:eastAsia="en-AU"/>
    </w:rPr>
  </w:style>
  <w:style w:type="paragraph" w:styleId="Header">
    <w:name w:val="header"/>
    <w:basedOn w:val="Normal"/>
    <w:semiHidden/>
    <w:rsid w:val="00832936"/>
    <w:pPr>
      <w:tabs>
        <w:tab w:val="center" w:pos="4253"/>
        <w:tab w:val="right" w:pos="8505"/>
      </w:tabs>
      <w:spacing w:before="120" w:line="240" w:lineRule="auto"/>
    </w:pPr>
    <w:rPr>
      <w:rFonts w:ascii="Arial" w:hAnsi="Arial"/>
      <w:caps/>
      <w:sz w:val="14"/>
    </w:rPr>
  </w:style>
  <w:style w:type="paragraph" w:styleId="Footer">
    <w:name w:val="footer"/>
    <w:basedOn w:val="Normal"/>
    <w:link w:val="FooterChar"/>
    <w:uiPriority w:val="99"/>
    <w:rsid w:val="00832936"/>
    <w:pPr>
      <w:tabs>
        <w:tab w:val="right" w:pos="8505"/>
      </w:tabs>
    </w:pPr>
    <w:rPr>
      <w:rFonts w:ascii="Arial" w:hAnsi="Arial"/>
      <w:caps/>
      <w:sz w:val="14"/>
    </w:rPr>
  </w:style>
  <w:style w:type="character" w:styleId="PageNumber">
    <w:name w:val="page number"/>
    <w:basedOn w:val="DefaultParagraphFont"/>
    <w:semiHidden/>
    <w:rsid w:val="00832936"/>
    <w:rPr>
      <w:rFonts w:ascii="Arial" w:hAnsi="Arial"/>
      <w:sz w:val="14"/>
    </w:rPr>
  </w:style>
  <w:style w:type="paragraph" w:customStyle="1" w:styleId="MainTitle">
    <w:name w:val="Main Title"/>
    <w:basedOn w:val="Normal"/>
    <w:rsid w:val="000A1B57"/>
    <w:pPr>
      <w:spacing w:line="240" w:lineRule="auto"/>
      <w:jc w:val="center"/>
    </w:pPr>
    <w:rPr>
      <w:rFonts w:ascii="Arial Bold" w:hAnsi="Arial Bold"/>
      <w:b/>
      <w:sz w:val="40"/>
    </w:rPr>
  </w:style>
  <w:style w:type="paragraph" w:customStyle="1" w:styleId="SubTitle">
    <w:name w:val="Sub Title"/>
    <w:basedOn w:val="Normal"/>
    <w:rsid w:val="0028217C"/>
    <w:pPr>
      <w:spacing w:line="240" w:lineRule="auto"/>
      <w:jc w:val="center"/>
    </w:pPr>
    <w:rPr>
      <w:rFonts w:ascii="Arial" w:hAnsi="Arial"/>
      <w:sz w:val="28"/>
    </w:rPr>
  </w:style>
  <w:style w:type="paragraph" w:customStyle="1" w:styleId="Dated">
    <w:name w:val="Dated"/>
    <w:basedOn w:val="Normal"/>
    <w:rsid w:val="000A1B57"/>
    <w:pPr>
      <w:spacing w:before="0" w:line="240" w:lineRule="auto"/>
      <w:jc w:val="center"/>
    </w:pPr>
    <w:rPr>
      <w:rFonts w:ascii="Arial" w:hAnsi="Arial"/>
      <w:szCs w:val="18"/>
    </w:rPr>
  </w:style>
  <w:style w:type="paragraph" w:customStyle="1" w:styleId="Contents">
    <w:name w:val="Contents"/>
    <w:basedOn w:val="Normal"/>
    <w:rsid w:val="00832936"/>
    <w:pPr>
      <w:spacing w:after="240"/>
    </w:pPr>
    <w:rPr>
      <w:rFonts w:ascii="Arial Bold" w:hAnsi="Arial Bold"/>
      <w:b/>
      <w:sz w:val="32"/>
    </w:rPr>
  </w:style>
  <w:style w:type="paragraph" w:styleId="TOC1">
    <w:name w:val="toc 1"/>
    <w:basedOn w:val="Normal"/>
    <w:next w:val="Normal"/>
    <w:autoRedefine/>
    <w:uiPriority w:val="39"/>
    <w:rsid w:val="00832936"/>
    <w:pPr>
      <w:tabs>
        <w:tab w:val="left" w:pos="567"/>
        <w:tab w:val="right" w:pos="8505"/>
      </w:tabs>
      <w:spacing w:after="120"/>
      <w:ind w:left="567" w:hanging="567"/>
    </w:pPr>
    <w:rPr>
      <w:b/>
      <w:bCs/>
      <w:noProof/>
      <w:lang w:val="en-US"/>
    </w:rPr>
  </w:style>
  <w:style w:type="paragraph" w:customStyle="1" w:styleId="BodyTextNumbered">
    <w:name w:val="Body Text Numbered"/>
    <w:basedOn w:val="Normal"/>
    <w:qFormat/>
    <w:rsid w:val="00832936"/>
    <w:pPr>
      <w:numPr>
        <w:numId w:val="1"/>
      </w:numPr>
    </w:pPr>
  </w:style>
  <w:style w:type="paragraph" w:customStyle="1" w:styleId="bullet">
    <w:name w:val="bullet"/>
    <w:basedOn w:val="Normal"/>
    <w:qFormat/>
    <w:rsid w:val="00832936"/>
    <w:pPr>
      <w:numPr>
        <w:numId w:val="5"/>
      </w:numPr>
    </w:pPr>
  </w:style>
  <w:style w:type="paragraph" w:customStyle="1" w:styleId="bullet2">
    <w:name w:val="bullet 2"/>
    <w:basedOn w:val="Normal"/>
    <w:qFormat/>
    <w:rsid w:val="00832936"/>
    <w:pPr>
      <w:numPr>
        <w:ilvl w:val="1"/>
        <w:numId w:val="5"/>
      </w:numPr>
      <w:spacing w:before="80"/>
    </w:pPr>
  </w:style>
  <w:style w:type="paragraph" w:customStyle="1" w:styleId="Heading1nonumber">
    <w:name w:val="Heading 1 (no number)"/>
    <w:basedOn w:val="BodyText"/>
    <w:next w:val="BodyText"/>
    <w:rsid w:val="00832936"/>
    <w:pPr>
      <w:pageBreakBefore/>
      <w:spacing w:before="0" w:after="180"/>
    </w:pPr>
    <w:rPr>
      <w:rFonts w:ascii="Arial Bold" w:hAnsi="Arial Bold"/>
      <w:b/>
      <w:color w:val="003C30"/>
      <w:sz w:val="32"/>
    </w:rPr>
  </w:style>
  <w:style w:type="paragraph" w:customStyle="1" w:styleId="Heading2nonumber">
    <w:name w:val="Heading 2 (no number)"/>
    <w:basedOn w:val="BodyText"/>
    <w:next w:val="BodyText"/>
    <w:rsid w:val="00832936"/>
    <w:pPr>
      <w:spacing w:before="360" w:after="60"/>
    </w:pPr>
    <w:rPr>
      <w:rFonts w:ascii="Arial Bold" w:hAnsi="Arial Bold"/>
      <w:b/>
      <w:sz w:val="28"/>
    </w:rPr>
  </w:style>
  <w:style w:type="paragraph" w:customStyle="1" w:styleId="Heading3nonumber">
    <w:name w:val="Heading 3 (no number)"/>
    <w:basedOn w:val="BodyText"/>
    <w:next w:val="BodyText"/>
    <w:rsid w:val="00DD5FE0"/>
    <w:pPr>
      <w:keepNext/>
      <w:spacing w:before="360"/>
    </w:pPr>
    <w:rPr>
      <w:rFonts w:ascii="Arial Bold" w:hAnsi="Arial Bold"/>
      <w:b/>
    </w:rPr>
  </w:style>
  <w:style w:type="paragraph" w:styleId="TOC2">
    <w:name w:val="toc 2"/>
    <w:basedOn w:val="Normal"/>
    <w:next w:val="Normal"/>
    <w:autoRedefine/>
    <w:uiPriority w:val="39"/>
    <w:rsid w:val="00832936"/>
    <w:pPr>
      <w:tabs>
        <w:tab w:val="left" w:pos="1418"/>
        <w:tab w:val="right" w:pos="8505"/>
      </w:tabs>
      <w:spacing w:before="0" w:after="120"/>
      <w:ind w:left="1933" w:hanging="1366"/>
    </w:pPr>
    <w:rPr>
      <w:noProof/>
      <w:lang w:val="en-US"/>
    </w:rPr>
  </w:style>
  <w:style w:type="paragraph" w:styleId="TOC3">
    <w:name w:val="toc 3"/>
    <w:basedOn w:val="Normal"/>
    <w:next w:val="Normal"/>
    <w:autoRedefine/>
    <w:semiHidden/>
    <w:rsid w:val="00832936"/>
    <w:pPr>
      <w:tabs>
        <w:tab w:val="left" w:pos="1418"/>
        <w:tab w:val="right" w:pos="8505"/>
      </w:tabs>
      <w:spacing w:before="0"/>
      <w:ind w:left="1985" w:hanging="1418"/>
    </w:pPr>
    <w:rPr>
      <w:i/>
      <w:noProof/>
      <w:sz w:val="20"/>
      <w:szCs w:val="22"/>
      <w:lang w:val="en-US"/>
    </w:rPr>
  </w:style>
  <w:style w:type="paragraph" w:customStyle="1" w:styleId="BodyTextNumbered2">
    <w:name w:val="Body Text Numbered 2"/>
    <w:basedOn w:val="Normal"/>
    <w:qFormat/>
    <w:rsid w:val="005D5538"/>
    <w:pPr>
      <w:numPr>
        <w:ilvl w:val="1"/>
        <w:numId w:val="1"/>
      </w:numPr>
      <w:tabs>
        <w:tab w:val="left" w:pos="907"/>
      </w:tabs>
      <w:spacing w:before="80"/>
    </w:pPr>
    <w:rPr>
      <w:lang w:val="en-US"/>
    </w:rPr>
  </w:style>
  <w:style w:type="paragraph" w:styleId="TableofFigures">
    <w:name w:val="table of figures"/>
    <w:basedOn w:val="BodyText"/>
    <w:next w:val="BodyText"/>
    <w:uiPriority w:val="99"/>
    <w:rsid w:val="00832936"/>
    <w:pPr>
      <w:tabs>
        <w:tab w:val="left" w:pos="1418"/>
        <w:tab w:val="right" w:pos="8505"/>
      </w:tabs>
      <w:spacing w:before="120" w:after="120"/>
      <w:ind w:left="1418" w:hanging="1418"/>
      <w:jc w:val="left"/>
    </w:pPr>
    <w:rPr>
      <w:noProof/>
      <w:szCs w:val="19"/>
    </w:rPr>
  </w:style>
  <w:style w:type="paragraph" w:customStyle="1" w:styleId="BoxText">
    <w:name w:val="Box Text"/>
    <w:basedOn w:val="BodyText"/>
    <w:rsid w:val="00832936"/>
    <w:pPr>
      <w:spacing w:before="120" w:line="260" w:lineRule="exact"/>
    </w:pPr>
    <w:rPr>
      <w:rFonts w:ascii="Arial" w:hAnsi="Arial"/>
      <w:sz w:val="16"/>
    </w:rPr>
  </w:style>
  <w:style w:type="paragraph" w:styleId="Caption">
    <w:name w:val="caption"/>
    <w:basedOn w:val="Normal"/>
    <w:next w:val="BodyText"/>
    <w:qFormat/>
    <w:rsid w:val="00832936"/>
    <w:pPr>
      <w:keepNext/>
      <w:tabs>
        <w:tab w:val="left" w:pos="851"/>
      </w:tabs>
      <w:spacing w:before="360" w:after="40" w:line="240" w:lineRule="exact"/>
    </w:pPr>
    <w:rPr>
      <w:rFonts w:ascii="Arial Bold" w:hAnsi="Arial Bold"/>
      <w:b/>
      <w:bCs/>
      <w:sz w:val="18"/>
      <w:szCs w:val="20"/>
      <w:lang w:eastAsia="en-AU"/>
    </w:rPr>
  </w:style>
  <w:style w:type="paragraph" w:customStyle="1" w:styleId="Tablelistbullet">
    <w:name w:val="Table list bullet"/>
    <w:basedOn w:val="Tablebody"/>
    <w:rsid w:val="00832936"/>
    <w:pPr>
      <w:numPr>
        <w:numId w:val="8"/>
      </w:numPr>
    </w:pPr>
  </w:style>
  <w:style w:type="paragraph" w:customStyle="1" w:styleId="Tablebody">
    <w:name w:val="Table body"/>
    <w:basedOn w:val="Normal"/>
    <w:rsid w:val="00EE5E32"/>
    <w:pPr>
      <w:spacing w:before="60" w:after="60" w:line="240" w:lineRule="auto"/>
      <w:jc w:val="left"/>
    </w:pPr>
    <w:rPr>
      <w:rFonts w:ascii="Arial" w:hAnsi="Arial"/>
      <w:sz w:val="16"/>
      <w:szCs w:val="17"/>
      <w:lang w:eastAsia="en-AU"/>
    </w:rPr>
  </w:style>
  <w:style w:type="paragraph" w:customStyle="1" w:styleId="Note">
    <w:name w:val="Note"/>
    <w:basedOn w:val="Normal"/>
    <w:next w:val="Normal"/>
    <w:rsid w:val="00832936"/>
    <w:pPr>
      <w:keepNext/>
      <w:spacing w:before="40" w:line="180" w:lineRule="exact"/>
    </w:pPr>
    <w:rPr>
      <w:rFonts w:ascii="Arial" w:hAnsi="Arial"/>
      <w:sz w:val="14"/>
      <w:szCs w:val="20"/>
      <w:lang w:eastAsia="en-AU"/>
    </w:rPr>
  </w:style>
  <w:style w:type="paragraph" w:customStyle="1" w:styleId="Source">
    <w:name w:val="Source"/>
    <w:basedOn w:val="Note"/>
    <w:next w:val="BodyText"/>
    <w:rsid w:val="00832936"/>
    <w:pPr>
      <w:keepNext w:val="0"/>
    </w:pPr>
  </w:style>
  <w:style w:type="paragraph" w:customStyle="1" w:styleId="Tablecolumnheadings">
    <w:name w:val="Table column headings"/>
    <w:basedOn w:val="Tablebody"/>
    <w:rsid w:val="00EE5E32"/>
    <w:rPr>
      <w:rFonts w:ascii="Arial Bold" w:hAnsi="Arial Bold"/>
      <w:b/>
    </w:rPr>
  </w:style>
  <w:style w:type="paragraph" w:customStyle="1" w:styleId="Tableheading1">
    <w:name w:val="Table heading 1"/>
    <w:basedOn w:val="Tablebody"/>
    <w:next w:val="Tablebody"/>
    <w:rsid w:val="00832936"/>
    <w:rPr>
      <w:rFonts w:ascii="Arial Bold" w:hAnsi="Arial Bold"/>
      <w:b/>
    </w:rPr>
  </w:style>
  <w:style w:type="paragraph" w:customStyle="1" w:styleId="Tableheading2">
    <w:name w:val="Table heading 2"/>
    <w:basedOn w:val="Tableheading1"/>
    <w:next w:val="Tablebody"/>
    <w:rsid w:val="00832936"/>
    <w:rPr>
      <w:b w:val="0"/>
      <w:i/>
    </w:rPr>
  </w:style>
  <w:style w:type="paragraph" w:customStyle="1" w:styleId="Tablelistbullet2">
    <w:name w:val="Table list bullet 2"/>
    <w:basedOn w:val="Tablebody"/>
    <w:rsid w:val="00832936"/>
    <w:pPr>
      <w:numPr>
        <w:numId w:val="9"/>
      </w:numPr>
      <w:tabs>
        <w:tab w:val="clear" w:pos="454"/>
        <w:tab w:val="num" w:pos="360"/>
      </w:tabs>
      <w:ind w:left="0" w:firstLine="0"/>
    </w:pPr>
  </w:style>
  <w:style w:type="paragraph" w:customStyle="1" w:styleId="Tablelistnumber">
    <w:name w:val="Table list number"/>
    <w:basedOn w:val="Tablebody"/>
    <w:rsid w:val="00832936"/>
    <w:pPr>
      <w:numPr>
        <w:numId w:val="10"/>
      </w:numPr>
      <w:tabs>
        <w:tab w:val="clear" w:pos="227"/>
        <w:tab w:val="num" w:pos="360"/>
      </w:tabs>
      <w:ind w:left="0" w:firstLine="0"/>
    </w:pPr>
  </w:style>
  <w:style w:type="paragraph" w:customStyle="1" w:styleId="Tableunitsrow">
    <w:name w:val="Table units row"/>
    <w:basedOn w:val="Tablecolumnheadings"/>
    <w:rsid w:val="00832936"/>
    <w:rPr>
      <w:rFonts w:ascii="Arial" w:hAnsi="Arial"/>
      <w:b w:val="0"/>
    </w:rPr>
  </w:style>
  <w:style w:type="paragraph" w:customStyle="1" w:styleId="BoxSource">
    <w:name w:val="Box Source"/>
    <w:basedOn w:val="BoxText"/>
    <w:next w:val="BodyText"/>
    <w:rsid w:val="00832936"/>
    <w:pPr>
      <w:spacing w:after="20" w:line="240" w:lineRule="exact"/>
    </w:pPr>
    <w:rPr>
      <w:sz w:val="14"/>
    </w:rPr>
  </w:style>
  <w:style w:type="paragraph" w:customStyle="1" w:styleId="BoxHeading1">
    <w:name w:val="Box Heading 1"/>
    <w:basedOn w:val="BoxText"/>
    <w:next w:val="BoxText"/>
    <w:rsid w:val="00832936"/>
    <w:pPr>
      <w:spacing w:before="240"/>
      <w:jc w:val="left"/>
    </w:pPr>
    <w:rPr>
      <w:rFonts w:ascii="Arial Bold" w:hAnsi="Arial Bold"/>
      <w:b/>
      <w:szCs w:val="18"/>
    </w:rPr>
  </w:style>
  <w:style w:type="paragraph" w:customStyle="1" w:styleId="BoxHeading2">
    <w:name w:val="Box Heading 2"/>
    <w:basedOn w:val="BoxText"/>
    <w:next w:val="BoxText"/>
    <w:rsid w:val="00832936"/>
    <w:pPr>
      <w:spacing w:before="200"/>
      <w:jc w:val="left"/>
    </w:pPr>
    <w:rPr>
      <w:i/>
      <w:szCs w:val="18"/>
    </w:rPr>
  </w:style>
  <w:style w:type="paragraph" w:customStyle="1" w:styleId="BoxListBullet">
    <w:name w:val="Box List Bullet"/>
    <w:basedOn w:val="BoxText"/>
    <w:rsid w:val="00832936"/>
    <w:pPr>
      <w:numPr>
        <w:numId w:val="2"/>
      </w:numPr>
      <w:tabs>
        <w:tab w:val="clear" w:pos="227"/>
        <w:tab w:val="num" w:pos="0"/>
      </w:tabs>
      <w:spacing w:before="60"/>
      <w:ind w:left="0" w:hanging="284"/>
    </w:pPr>
  </w:style>
  <w:style w:type="paragraph" w:customStyle="1" w:styleId="BoxListBullet2">
    <w:name w:val="Box List Bullet 2"/>
    <w:basedOn w:val="BoxListBullet"/>
    <w:rsid w:val="00832936"/>
    <w:pPr>
      <w:numPr>
        <w:numId w:val="3"/>
      </w:numPr>
      <w:tabs>
        <w:tab w:val="clear" w:pos="454"/>
        <w:tab w:val="num" w:pos="737"/>
      </w:tabs>
      <w:spacing w:before="20"/>
      <w:ind w:left="737" w:hanging="737"/>
    </w:pPr>
  </w:style>
  <w:style w:type="paragraph" w:customStyle="1" w:styleId="BoxListNumber">
    <w:name w:val="Box List Number"/>
    <w:basedOn w:val="BoxListBullet"/>
    <w:rsid w:val="00832936"/>
    <w:pPr>
      <w:numPr>
        <w:numId w:val="4"/>
      </w:numPr>
    </w:pPr>
  </w:style>
  <w:style w:type="paragraph" w:customStyle="1" w:styleId="address">
    <w:name w:val="address"/>
    <w:basedOn w:val="Footer"/>
    <w:semiHidden/>
    <w:unhideWhenUsed/>
    <w:rsid w:val="00832936"/>
    <w:pPr>
      <w:spacing w:before="0" w:line="240" w:lineRule="auto"/>
      <w:jc w:val="center"/>
    </w:pPr>
    <w:rPr>
      <w:caps w:val="0"/>
      <w:lang w:val="en-US"/>
    </w:rPr>
  </w:style>
  <w:style w:type="paragraph" w:customStyle="1" w:styleId="AppNoteLabel">
    <w:name w:val="AppNote Label"/>
    <w:basedOn w:val="Note"/>
    <w:rsid w:val="00832936"/>
  </w:style>
  <w:style w:type="paragraph" w:customStyle="1" w:styleId="DOCID">
    <w:name w:val="DOC ID"/>
    <w:basedOn w:val="Footer"/>
    <w:rsid w:val="00832936"/>
    <w:rPr>
      <w:caps w:val="0"/>
      <w:sz w:val="12"/>
      <w:lang w:val="en-US"/>
    </w:rPr>
  </w:style>
  <w:style w:type="paragraph" w:customStyle="1" w:styleId="addressr">
    <w:name w:val="addressr"/>
    <w:basedOn w:val="address"/>
    <w:semiHidden/>
    <w:unhideWhenUsed/>
    <w:rsid w:val="00832936"/>
    <w:pPr>
      <w:jc w:val="right"/>
    </w:pPr>
  </w:style>
  <w:style w:type="paragraph" w:customStyle="1" w:styleId="Heading4nonumber">
    <w:name w:val="Heading 4 (no number)"/>
    <w:basedOn w:val="Heading4"/>
    <w:next w:val="BodyText"/>
    <w:qFormat/>
    <w:rsid w:val="008C5AA6"/>
    <w:pPr>
      <w:numPr>
        <w:ilvl w:val="0"/>
        <w:numId w:val="0"/>
      </w:numPr>
    </w:pPr>
  </w:style>
  <w:style w:type="paragraph" w:customStyle="1" w:styleId="footerls">
    <w:name w:val="footer ls"/>
    <w:basedOn w:val="Footer"/>
    <w:rsid w:val="00832936"/>
    <w:pPr>
      <w:tabs>
        <w:tab w:val="right" w:pos="8222"/>
      </w:tabs>
    </w:pPr>
  </w:style>
  <w:style w:type="paragraph" w:styleId="Quote">
    <w:name w:val="Quote"/>
    <w:basedOn w:val="BodyText"/>
    <w:qFormat/>
    <w:rsid w:val="00832936"/>
    <w:pPr>
      <w:ind w:left="459" w:right="567"/>
    </w:pPr>
    <w:rPr>
      <w:sz w:val="20"/>
      <w:lang w:val="en-US"/>
    </w:rPr>
  </w:style>
  <w:style w:type="paragraph" w:styleId="FootnoteText">
    <w:name w:val="footnote text"/>
    <w:basedOn w:val="Normal"/>
    <w:link w:val="FootnoteTextChar"/>
    <w:semiHidden/>
    <w:rsid w:val="00832936"/>
    <w:pPr>
      <w:tabs>
        <w:tab w:val="left" w:pos="284"/>
      </w:tabs>
      <w:spacing w:before="120" w:after="120" w:line="240" w:lineRule="auto"/>
      <w:ind w:left="284" w:hanging="284"/>
    </w:pPr>
    <w:rPr>
      <w:sz w:val="16"/>
      <w:szCs w:val="20"/>
    </w:rPr>
  </w:style>
  <w:style w:type="character" w:styleId="FootnoteReference">
    <w:name w:val="footnote reference"/>
    <w:basedOn w:val="DefaultParagraphFont"/>
    <w:semiHidden/>
    <w:rsid w:val="00832936"/>
    <w:rPr>
      <w:vertAlign w:val="superscript"/>
    </w:rPr>
  </w:style>
  <w:style w:type="paragraph" w:customStyle="1" w:styleId="logo">
    <w:name w:val="logo"/>
    <w:basedOn w:val="Dated"/>
    <w:autoRedefine/>
    <w:rsid w:val="000A1B57"/>
  </w:style>
  <w:style w:type="paragraph" w:customStyle="1" w:styleId="Chart">
    <w:name w:val="Chart"/>
    <w:basedOn w:val="BodyText"/>
    <w:rsid w:val="00832936"/>
    <w:pPr>
      <w:keepNext/>
      <w:spacing w:before="0" w:line="240" w:lineRule="auto"/>
    </w:pPr>
  </w:style>
  <w:style w:type="paragraph" w:customStyle="1" w:styleId="Equation">
    <w:name w:val="Equation"/>
    <w:basedOn w:val="BodyText"/>
    <w:rsid w:val="00832936"/>
    <w:pPr>
      <w:spacing w:before="0" w:line="240" w:lineRule="auto"/>
    </w:pPr>
  </w:style>
  <w:style w:type="paragraph" w:customStyle="1" w:styleId="Chapterhdg3">
    <w:name w:val="Chapter hdg 3"/>
    <w:basedOn w:val="BodyText"/>
    <w:next w:val="BodyText"/>
    <w:rsid w:val="00832936"/>
    <w:pPr>
      <w:numPr>
        <w:ilvl w:val="2"/>
        <w:numId w:val="6"/>
      </w:numPr>
      <w:spacing w:before="480" w:after="240" w:line="240" w:lineRule="auto"/>
    </w:pPr>
    <w:rPr>
      <w:rFonts w:ascii="Arial Bold" w:hAnsi="Arial Bold"/>
      <w:b/>
      <w:sz w:val="24"/>
      <w:szCs w:val="24"/>
      <w:lang w:val="en-US"/>
    </w:rPr>
  </w:style>
  <w:style w:type="paragraph" w:customStyle="1" w:styleId="Chapterhdg">
    <w:name w:val="Chapter hdg"/>
    <w:basedOn w:val="BodyText"/>
    <w:next w:val="ChapterHdg2"/>
    <w:rsid w:val="00832936"/>
    <w:pPr>
      <w:pBdr>
        <w:bottom w:val="single" w:sz="4" w:space="24" w:color="008080"/>
      </w:pBdr>
      <w:spacing w:after="480" w:line="240" w:lineRule="auto"/>
    </w:pPr>
    <w:rPr>
      <w:rFonts w:ascii="Arial Bold" w:hAnsi="Arial Bold"/>
      <w:b/>
      <w:sz w:val="40"/>
      <w:lang w:val="en-US"/>
    </w:rPr>
  </w:style>
  <w:style w:type="paragraph" w:customStyle="1" w:styleId="ChapterHdg2">
    <w:name w:val="Chapter Hdg 2"/>
    <w:basedOn w:val="Chapterhdg"/>
    <w:next w:val="BodyText"/>
    <w:rsid w:val="00832936"/>
    <w:pPr>
      <w:numPr>
        <w:ilvl w:val="1"/>
        <w:numId w:val="6"/>
      </w:numPr>
      <w:pBdr>
        <w:bottom w:val="none" w:sz="0" w:space="0" w:color="auto"/>
      </w:pBdr>
      <w:spacing w:before="480" w:after="240"/>
    </w:pPr>
    <w:rPr>
      <w:sz w:val="28"/>
      <w:szCs w:val="28"/>
      <w:lang w:val="en-AU"/>
    </w:rPr>
  </w:style>
  <w:style w:type="paragraph" w:customStyle="1" w:styleId="ChapterHeading1">
    <w:name w:val="Chapter Heading 1"/>
    <w:basedOn w:val="BodyText"/>
    <w:next w:val="Chapterhdg"/>
    <w:rsid w:val="00832936"/>
    <w:pPr>
      <w:pageBreakBefore/>
      <w:numPr>
        <w:numId w:val="6"/>
      </w:numPr>
    </w:pPr>
  </w:style>
  <w:style w:type="paragraph" w:customStyle="1" w:styleId="Bodytextnumbered0">
    <w:name w:val="Body text numbered"/>
    <w:basedOn w:val="BodyText"/>
    <w:semiHidden/>
    <w:rsid w:val="00832936"/>
    <w:pPr>
      <w:tabs>
        <w:tab w:val="num" w:pos="454"/>
      </w:tabs>
      <w:ind w:left="454" w:hanging="454"/>
    </w:pPr>
  </w:style>
  <w:style w:type="paragraph" w:customStyle="1" w:styleId="Bodytextnumbered20">
    <w:name w:val="Body text numbered 2"/>
    <w:basedOn w:val="Bodytextnumbered0"/>
    <w:semiHidden/>
    <w:rsid w:val="00832936"/>
    <w:pPr>
      <w:tabs>
        <w:tab w:val="clear" w:pos="454"/>
        <w:tab w:val="num" w:pos="360"/>
        <w:tab w:val="num" w:pos="907"/>
        <w:tab w:val="num" w:pos="1440"/>
      </w:tabs>
      <w:ind w:left="908"/>
    </w:pPr>
  </w:style>
  <w:style w:type="paragraph" w:styleId="BalloonText">
    <w:name w:val="Balloon Text"/>
    <w:basedOn w:val="Normal"/>
    <w:semiHidden/>
    <w:locked/>
    <w:rsid w:val="00832936"/>
    <w:rPr>
      <w:rFonts w:ascii="Tahoma" w:hAnsi="Tahoma" w:cs="Tahoma"/>
      <w:sz w:val="16"/>
      <w:szCs w:val="16"/>
    </w:rPr>
  </w:style>
  <w:style w:type="paragraph" w:customStyle="1" w:styleId="Coname">
    <w:name w:val="Co. name"/>
    <w:basedOn w:val="Dated"/>
    <w:rsid w:val="0028217C"/>
    <w:rPr>
      <w:sz w:val="18"/>
    </w:rPr>
  </w:style>
  <w:style w:type="character" w:styleId="Hyperlink">
    <w:name w:val="Hyperlink"/>
    <w:basedOn w:val="DefaultParagraphFont"/>
    <w:uiPriority w:val="99"/>
    <w:locked/>
    <w:rsid w:val="00832936"/>
    <w:rPr>
      <w:color w:val="0000FF"/>
      <w:u w:val="single"/>
    </w:rPr>
  </w:style>
  <w:style w:type="character" w:customStyle="1" w:styleId="Notelabel">
    <w:name w:val="Note label"/>
    <w:basedOn w:val="DefaultParagraphFont"/>
    <w:rsid w:val="00294CC3"/>
    <w:rPr>
      <w:rFonts w:ascii="Arial Bold" w:hAnsi="Arial Bold"/>
      <w:b/>
      <w:color w:val="auto"/>
      <w:position w:val="0"/>
      <w:sz w:val="14"/>
      <w:szCs w:val="14"/>
    </w:rPr>
  </w:style>
  <w:style w:type="paragraph" w:customStyle="1" w:styleId="numberedlist2">
    <w:name w:val="numbered list 2"/>
    <w:basedOn w:val="Normal"/>
    <w:rsid w:val="0063099D"/>
    <w:pPr>
      <w:numPr>
        <w:ilvl w:val="1"/>
        <w:numId w:val="14"/>
      </w:numPr>
      <w:spacing w:before="80"/>
    </w:pPr>
  </w:style>
  <w:style w:type="paragraph" w:customStyle="1" w:styleId="StyleNoteArialBoldBold3">
    <w:name w:val="Style Note + Arial Bold Bold3"/>
    <w:basedOn w:val="Note"/>
    <w:rsid w:val="00BC7B5A"/>
    <w:pPr>
      <w:keepNext w:val="0"/>
    </w:pPr>
    <w:rPr>
      <w:rFonts w:ascii="Arial Bold" w:hAnsi="Arial Bold"/>
      <w:b/>
      <w:bCs/>
    </w:rPr>
  </w:style>
  <w:style w:type="paragraph" w:customStyle="1" w:styleId="numberedbullet">
    <w:name w:val="numbered bullet"/>
    <w:basedOn w:val="bullet"/>
    <w:qFormat/>
    <w:rsid w:val="00EA48F2"/>
    <w:pPr>
      <w:numPr>
        <w:numId w:val="14"/>
      </w:numPr>
    </w:pPr>
  </w:style>
  <w:style w:type="paragraph" w:customStyle="1" w:styleId="located">
    <w:name w:val="located"/>
    <w:basedOn w:val="Normal"/>
    <w:qFormat/>
    <w:rsid w:val="005076F2"/>
    <w:pPr>
      <w:spacing w:before="0" w:line="240" w:lineRule="auto"/>
      <w:jc w:val="left"/>
    </w:pPr>
    <w:rPr>
      <w:rFonts w:ascii="Arial Bold" w:hAnsi="Arial Bold" w:cs="Arial"/>
      <w:b/>
      <w:noProof/>
      <w:color w:val="FF8000"/>
      <w:sz w:val="10"/>
      <w:szCs w:val="10"/>
      <w:lang w:eastAsia="en-AU"/>
    </w:rPr>
  </w:style>
  <w:style w:type="paragraph" w:customStyle="1" w:styleId="numberedbullet3">
    <w:name w:val="numbered bullet 3"/>
    <w:basedOn w:val="numberedlist2"/>
    <w:qFormat/>
    <w:rsid w:val="006B6EA9"/>
    <w:pPr>
      <w:numPr>
        <w:ilvl w:val="2"/>
      </w:numPr>
    </w:pPr>
  </w:style>
  <w:style w:type="character" w:customStyle="1" w:styleId="FooterChar">
    <w:name w:val="Footer Char"/>
    <w:basedOn w:val="DefaultParagraphFont"/>
    <w:link w:val="Footer"/>
    <w:uiPriority w:val="99"/>
    <w:rsid w:val="009B4555"/>
    <w:rPr>
      <w:rFonts w:ascii="Arial" w:hAnsi="Arial"/>
      <w:caps/>
      <w:sz w:val="14"/>
      <w:szCs w:val="24"/>
      <w:lang w:val="en-GB" w:eastAsia="en-US"/>
    </w:rPr>
  </w:style>
  <w:style w:type="paragraph" w:customStyle="1" w:styleId="Logo0">
    <w:name w:val="Logo"/>
    <w:basedOn w:val="Normal"/>
    <w:rsid w:val="00D23F11"/>
    <w:pPr>
      <w:spacing w:before="0" w:line="240" w:lineRule="auto"/>
      <w:jc w:val="center"/>
    </w:pPr>
  </w:style>
  <w:style w:type="character" w:customStyle="1" w:styleId="BodyTextChar">
    <w:name w:val="Body Text Char"/>
    <w:aliases w:val="Body Text Char Char Char Char Char Char Char Char,Body Text Char Char Char Char Char Char"/>
    <w:basedOn w:val="DefaultParagraphFont"/>
    <w:link w:val="BodyText"/>
    <w:rsid w:val="00D23F11"/>
    <w:rPr>
      <w:rFonts w:ascii="Book Antiqua" w:hAnsi="Book Antiqua"/>
      <w:sz w:val="22"/>
    </w:rPr>
  </w:style>
  <w:style w:type="character" w:customStyle="1" w:styleId="Heading6Char">
    <w:name w:val="Heading 6 Char"/>
    <w:basedOn w:val="DefaultParagraphFont"/>
    <w:link w:val="Heading6"/>
    <w:uiPriority w:val="9"/>
    <w:semiHidden/>
    <w:rsid w:val="00F7142F"/>
    <w:rPr>
      <w:rFonts w:asciiTheme="majorHAnsi" w:eastAsiaTheme="majorEastAsia" w:hAnsiTheme="majorHAnsi" w:cstheme="majorBidi"/>
      <w:color w:val="001D17" w:themeColor="accent1" w:themeShade="7F"/>
      <w:sz w:val="22"/>
      <w:szCs w:val="24"/>
      <w:lang w:val="en-GB" w:eastAsia="en-US"/>
    </w:rPr>
  </w:style>
  <w:style w:type="paragraph" w:customStyle="1" w:styleId="address2">
    <w:name w:val="address2"/>
    <w:basedOn w:val="Normal"/>
    <w:qFormat/>
    <w:rsid w:val="009355DC"/>
    <w:pPr>
      <w:spacing w:before="120" w:line="240" w:lineRule="auto"/>
      <w:jc w:val="left"/>
    </w:pPr>
    <w:rPr>
      <w:rFonts w:ascii="Arial Bold" w:hAnsi="Arial Bold" w:cs="Arial"/>
      <w:b/>
      <w:noProof/>
      <w:color w:val="FF7A00"/>
      <w:sz w:val="10"/>
      <w:szCs w:val="10"/>
      <w:lang w:eastAsia="en-AU"/>
    </w:rPr>
  </w:style>
  <w:style w:type="character" w:customStyle="1" w:styleId="normaltextrun">
    <w:name w:val="normaltextrun"/>
    <w:basedOn w:val="DefaultParagraphFont"/>
    <w:rsid w:val="001222CF"/>
  </w:style>
  <w:style w:type="character" w:customStyle="1" w:styleId="UnresolvedMention1">
    <w:name w:val="Unresolved Mention1"/>
    <w:basedOn w:val="DefaultParagraphFont"/>
    <w:uiPriority w:val="99"/>
    <w:semiHidden/>
    <w:unhideWhenUsed/>
    <w:rsid w:val="005F7997"/>
    <w:rPr>
      <w:color w:val="605E5C"/>
      <w:shd w:val="clear" w:color="auto" w:fill="E1DFDD"/>
    </w:rPr>
  </w:style>
  <w:style w:type="character" w:styleId="FollowedHyperlink">
    <w:name w:val="FollowedHyperlink"/>
    <w:basedOn w:val="DefaultParagraphFont"/>
    <w:uiPriority w:val="99"/>
    <w:semiHidden/>
    <w:unhideWhenUsed/>
    <w:rsid w:val="00E50F91"/>
    <w:rPr>
      <w:color w:val="800080" w:themeColor="followedHyperlink"/>
      <w:u w:val="single"/>
    </w:rPr>
  </w:style>
  <w:style w:type="paragraph" w:styleId="Bibliography">
    <w:name w:val="Bibliography"/>
    <w:basedOn w:val="Normal"/>
    <w:next w:val="Normal"/>
    <w:uiPriority w:val="37"/>
    <w:unhideWhenUsed/>
    <w:rsid w:val="00FC464D"/>
    <w:pPr>
      <w:spacing w:line="240" w:lineRule="exact"/>
      <w:ind w:left="720" w:hanging="720"/>
    </w:pPr>
  </w:style>
  <w:style w:type="character" w:styleId="CommentReference">
    <w:name w:val="annotation reference"/>
    <w:basedOn w:val="DefaultParagraphFont"/>
    <w:uiPriority w:val="99"/>
    <w:semiHidden/>
    <w:unhideWhenUsed/>
    <w:rsid w:val="003C0350"/>
    <w:rPr>
      <w:sz w:val="16"/>
      <w:szCs w:val="16"/>
    </w:rPr>
  </w:style>
  <w:style w:type="paragraph" w:styleId="CommentText">
    <w:name w:val="annotation text"/>
    <w:basedOn w:val="Normal"/>
    <w:link w:val="CommentTextChar"/>
    <w:uiPriority w:val="99"/>
    <w:unhideWhenUsed/>
    <w:rsid w:val="003C0350"/>
    <w:pPr>
      <w:spacing w:line="240" w:lineRule="auto"/>
    </w:pPr>
    <w:rPr>
      <w:sz w:val="20"/>
      <w:szCs w:val="20"/>
    </w:rPr>
  </w:style>
  <w:style w:type="character" w:customStyle="1" w:styleId="CommentTextChar">
    <w:name w:val="Comment Text Char"/>
    <w:basedOn w:val="DefaultParagraphFont"/>
    <w:link w:val="CommentText"/>
    <w:uiPriority w:val="99"/>
    <w:rsid w:val="003C0350"/>
    <w:rPr>
      <w:rFonts w:ascii="Book Antiqua" w:hAnsi="Book Antiqua"/>
      <w:lang w:val="en-GB" w:eastAsia="en-US"/>
    </w:rPr>
  </w:style>
  <w:style w:type="paragraph" w:styleId="CommentSubject">
    <w:name w:val="annotation subject"/>
    <w:basedOn w:val="CommentText"/>
    <w:next w:val="CommentText"/>
    <w:link w:val="CommentSubjectChar"/>
    <w:uiPriority w:val="99"/>
    <w:semiHidden/>
    <w:unhideWhenUsed/>
    <w:rsid w:val="003C0350"/>
    <w:rPr>
      <w:b/>
      <w:bCs/>
    </w:rPr>
  </w:style>
  <w:style w:type="character" w:customStyle="1" w:styleId="CommentSubjectChar">
    <w:name w:val="Comment Subject Char"/>
    <w:basedOn w:val="CommentTextChar"/>
    <w:link w:val="CommentSubject"/>
    <w:uiPriority w:val="99"/>
    <w:semiHidden/>
    <w:rsid w:val="003C0350"/>
    <w:rPr>
      <w:rFonts w:ascii="Book Antiqua" w:hAnsi="Book Antiqua"/>
      <w:b/>
      <w:bCs/>
      <w:lang w:val="en-GB" w:eastAsia="en-US"/>
    </w:rPr>
  </w:style>
  <w:style w:type="paragraph" w:customStyle="1" w:styleId="paragraph">
    <w:name w:val="paragraph"/>
    <w:basedOn w:val="Normal"/>
    <w:rsid w:val="00E516E6"/>
    <w:pPr>
      <w:spacing w:before="100" w:beforeAutospacing="1" w:after="100" w:afterAutospacing="1" w:line="240" w:lineRule="auto"/>
      <w:jc w:val="left"/>
    </w:pPr>
    <w:rPr>
      <w:rFonts w:ascii="Times New Roman" w:hAnsi="Times New Roman"/>
      <w:sz w:val="24"/>
      <w:lang w:eastAsia="en-GB"/>
    </w:rPr>
  </w:style>
  <w:style w:type="character" w:customStyle="1" w:styleId="eop">
    <w:name w:val="eop"/>
    <w:basedOn w:val="DefaultParagraphFont"/>
    <w:rsid w:val="00E516E6"/>
  </w:style>
  <w:style w:type="character" w:customStyle="1" w:styleId="FootnoteTextChar">
    <w:name w:val="Footnote Text Char"/>
    <w:basedOn w:val="DefaultParagraphFont"/>
    <w:link w:val="FootnoteText"/>
    <w:semiHidden/>
    <w:rsid w:val="00E825E3"/>
    <w:rPr>
      <w:rFonts w:ascii="Book Antiqua" w:hAnsi="Book Antiqua"/>
      <w:sz w:val="16"/>
      <w:lang w:val="en-GB" w:eastAsia="en-US"/>
    </w:rPr>
  </w:style>
  <w:style w:type="paragraph" w:styleId="Revision">
    <w:name w:val="Revision"/>
    <w:hidden/>
    <w:uiPriority w:val="99"/>
    <w:semiHidden/>
    <w:rsid w:val="00B96A56"/>
    <w:rPr>
      <w:rFonts w:ascii="Book Antiqua" w:hAnsi="Book Antiqua"/>
      <w:sz w:val="22"/>
      <w:szCs w:val="24"/>
      <w:lang w:eastAsia="en-US"/>
    </w:rPr>
  </w:style>
  <w:style w:type="paragraph" w:customStyle="1" w:styleId="BulletTrailingParagraph">
    <w:name w:val="Bullet_Trailing Paragraph"/>
    <w:basedOn w:val="BodyText"/>
    <w:link w:val="BulletTrailingParagraphChar"/>
    <w:qFormat/>
    <w:rsid w:val="000061F2"/>
    <w:pPr>
      <w:spacing w:before="0"/>
      <w:ind w:left="426"/>
    </w:pPr>
  </w:style>
  <w:style w:type="character" w:customStyle="1" w:styleId="BulletTrailingParagraphChar">
    <w:name w:val="Bullet_Trailing Paragraph Char"/>
    <w:basedOn w:val="BodyTextChar"/>
    <w:link w:val="BulletTrailingParagraph"/>
    <w:rsid w:val="000061F2"/>
    <w:rPr>
      <w:rFonts w:ascii="Book Antiqua" w:hAnsi="Book Antiqua"/>
      <w:sz w:val="22"/>
    </w:rPr>
  </w:style>
  <w:style w:type="character" w:styleId="EndnoteReference">
    <w:name w:val="endnote reference"/>
    <w:basedOn w:val="DefaultParagraphFont"/>
    <w:uiPriority w:val="99"/>
    <w:semiHidden/>
    <w:unhideWhenUsed/>
    <w:rsid w:val="005D11B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0" w:unhideWhenUsed="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lsdException w:name="Emphasis" w:semiHidden="0" w:uiPriority="20" w:unhideWhenUsed="0"/>
    <w:lsdException w:name="Balloon Text" w:uiPriority="0"/>
    <w:lsdException w:name="Table Grid" w:uiPriority="59"/>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5F7"/>
    <w:pPr>
      <w:spacing w:before="180" w:line="320" w:lineRule="exact"/>
      <w:jc w:val="both"/>
    </w:pPr>
    <w:rPr>
      <w:rFonts w:ascii="Book Antiqua" w:hAnsi="Book Antiqua"/>
      <w:sz w:val="22"/>
      <w:szCs w:val="24"/>
      <w:lang w:eastAsia="en-US"/>
    </w:rPr>
  </w:style>
  <w:style w:type="paragraph" w:styleId="Heading1">
    <w:name w:val="heading 1"/>
    <w:basedOn w:val="Normal"/>
    <w:next w:val="BodyText"/>
    <w:qFormat/>
    <w:rsid w:val="00714A1E"/>
    <w:pPr>
      <w:keepNext/>
      <w:pageBreakBefore/>
      <w:numPr>
        <w:numId w:val="18"/>
      </w:numPr>
      <w:spacing w:before="0" w:after="180"/>
      <w:outlineLvl w:val="0"/>
    </w:pPr>
    <w:rPr>
      <w:rFonts w:ascii="Arial Bold" w:hAnsi="Arial Bold" w:cs="Arial"/>
      <w:b/>
      <w:bCs/>
      <w:color w:val="003C30"/>
      <w:kern w:val="32"/>
      <w:sz w:val="32"/>
      <w:szCs w:val="32"/>
    </w:rPr>
  </w:style>
  <w:style w:type="paragraph" w:styleId="Heading2">
    <w:name w:val="heading 2"/>
    <w:basedOn w:val="Normal"/>
    <w:next w:val="BodyText"/>
    <w:qFormat/>
    <w:rsid w:val="00714A1E"/>
    <w:pPr>
      <w:keepNext/>
      <w:numPr>
        <w:ilvl w:val="1"/>
        <w:numId w:val="18"/>
      </w:numPr>
      <w:spacing w:before="360" w:after="60"/>
      <w:outlineLvl w:val="1"/>
    </w:pPr>
    <w:rPr>
      <w:rFonts w:ascii="Arial Bold" w:hAnsi="Arial Bold" w:cs="Arial"/>
      <w:b/>
      <w:bCs/>
      <w:iCs/>
      <w:sz w:val="28"/>
      <w:szCs w:val="28"/>
    </w:rPr>
  </w:style>
  <w:style w:type="paragraph" w:styleId="Heading3">
    <w:name w:val="heading 3"/>
    <w:basedOn w:val="Normal"/>
    <w:next w:val="BodyText"/>
    <w:qFormat/>
    <w:rsid w:val="00327FC0"/>
    <w:pPr>
      <w:keepNext/>
      <w:numPr>
        <w:ilvl w:val="2"/>
        <w:numId w:val="15"/>
      </w:numPr>
      <w:tabs>
        <w:tab w:val="clear" w:pos="1871"/>
        <w:tab w:val="left" w:pos="794"/>
      </w:tabs>
      <w:spacing w:before="360"/>
      <w:ind w:left="794" w:hanging="794"/>
      <w:outlineLvl w:val="2"/>
    </w:pPr>
    <w:rPr>
      <w:rFonts w:ascii="Arial Bold" w:hAnsi="Arial Bold" w:cs="Arial"/>
      <w:b/>
      <w:bCs/>
      <w:szCs w:val="26"/>
      <w:lang w:val="en-US"/>
    </w:rPr>
  </w:style>
  <w:style w:type="paragraph" w:styleId="Heading4">
    <w:name w:val="heading 4"/>
    <w:aliases w:val="(Numbered)"/>
    <w:basedOn w:val="Normal"/>
    <w:next w:val="BodyText"/>
    <w:qFormat/>
    <w:rsid w:val="00832936"/>
    <w:pPr>
      <w:keepNext/>
      <w:numPr>
        <w:ilvl w:val="3"/>
        <w:numId w:val="18"/>
      </w:numPr>
      <w:spacing w:before="240"/>
      <w:outlineLvl w:val="3"/>
    </w:pPr>
    <w:rPr>
      <w:bCs/>
      <w:i/>
      <w:sz w:val="24"/>
      <w:szCs w:val="28"/>
    </w:rPr>
  </w:style>
  <w:style w:type="paragraph" w:styleId="Heading5">
    <w:name w:val="heading 5"/>
    <w:basedOn w:val="BodyText"/>
    <w:next w:val="BodyText"/>
    <w:unhideWhenUsed/>
    <w:qFormat/>
    <w:rsid w:val="008C5AA6"/>
    <w:pPr>
      <w:outlineLvl w:val="4"/>
    </w:pPr>
    <w:rPr>
      <w:lang w:val="en-GB" w:eastAsia="en-US"/>
    </w:rPr>
  </w:style>
  <w:style w:type="paragraph" w:styleId="Heading6">
    <w:name w:val="heading 6"/>
    <w:basedOn w:val="Normal"/>
    <w:next w:val="Normal"/>
    <w:link w:val="Heading6Char"/>
    <w:uiPriority w:val="9"/>
    <w:semiHidden/>
    <w:unhideWhenUsed/>
    <w:qFormat/>
    <w:rsid w:val="00F7142F"/>
    <w:pPr>
      <w:keepNext/>
      <w:keepLines/>
      <w:numPr>
        <w:ilvl w:val="5"/>
        <w:numId w:val="18"/>
      </w:numPr>
      <w:spacing w:before="40"/>
      <w:outlineLvl w:val="5"/>
    </w:pPr>
    <w:rPr>
      <w:rFonts w:asciiTheme="majorHAnsi" w:eastAsiaTheme="majorEastAsia" w:hAnsiTheme="majorHAnsi" w:cstheme="majorBidi"/>
      <w:color w:val="001D17" w:themeColor="accent1" w:themeShade="7F"/>
    </w:rPr>
  </w:style>
  <w:style w:type="paragraph" w:styleId="Heading7">
    <w:name w:val="heading 7"/>
    <w:basedOn w:val="Normal"/>
    <w:next w:val="BodyText"/>
    <w:qFormat/>
    <w:rsid w:val="008C5AA6"/>
    <w:pPr>
      <w:pageBreakBefore/>
      <w:numPr>
        <w:ilvl w:val="6"/>
        <w:numId w:val="18"/>
      </w:numPr>
      <w:spacing w:before="0" w:after="180"/>
      <w:outlineLvl w:val="6"/>
    </w:pPr>
    <w:rPr>
      <w:rFonts w:ascii="Arial Bold" w:hAnsi="Arial Bold"/>
      <w:b/>
      <w:color w:val="003C30"/>
      <w:sz w:val="32"/>
    </w:rPr>
  </w:style>
  <w:style w:type="paragraph" w:styleId="Heading8">
    <w:name w:val="heading 8"/>
    <w:basedOn w:val="Normal"/>
    <w:next w:val="BodyText"/>
    <w:qFormat/>
    <w:rsid w:val="008C5AA6"/>
    <w:pPr>
      <w:numPr>
        <w:ilvl w:val="7"/>
        <w:numId w:val="18"/>
      </w:numPr>
      <w:spacing w:before="360" w:after="60"/>
      <w:outlineLvl w:val="7"/>
    </w:pPr>
    <w:rPr>
      <w:rFonts w:ascii="Arial Bold" w:hAnsi="Arial Bold"/>
      <w:b/>
      <w:iCs/>
      <w:sz w:val="28"/>
    </w:rPr>
  </w:style>
  <w:style w:type="paragraph" w:styleId="Heading9">
    <w:name w:val="heading 9"/>
    <w:basedOn w:val="Normal"/>
    <w:next w:val="BodyText"/>
    <w:qFormat/>
    <w:rsid w:val="008C5AA6"/>
    <w:pPr>
      <w:numPr>
        <w:ilvl w:val="8"/>
        <w:numId w:val="18"/>
      </w:numPr>
      <w:spacing w:before="360"/>
      <w:outlineLvl w:val="8"/>
    </w:pPr>
    <w:rPr>
      <w:rFonts w:ascii="Arial Bold" w:hAnsi="Arial Bold" w:cs="Arial"/>
      <w:b/>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Char Char Char Char Char Char Char,Body Text Char Char Char Char Char"/>
    <w:basedOn w:val="Normal"/>
    <w:link w:val="BodyTextChar"/>
    <w:qFormat/>
    <w:rsid w:val="00832936"/>
    <w:pPr>
      <w:spacing w:line="320" w:lineRule="atLeast"/>
    </w:pPr>
    <w:rPr>
      <w:szCs w:val="20"/>
      <w:lang w:eastAsia="en-AU"/>
    </w:rPr>
  </w:style>
  <w:style w:type="paragraph" w:styleId="Header">
    <w:name w:val="header"/>
    <w:basedOn w:val="Normal"/>
    <w:semiHidden/>
    <w:rsid w:val="00832936"/>
    <w:pPr>
      <w:tabs>
        <w:tab w:val="center" w:pos="4253"/>
        <w:tab w:val="right" w:pos="8505"/>
      </w:tabs>
      <w:spacing w:before="120" w:line="240" w:lineRule="auto"/>
    </w:pPr>
    <w:rPr>
      <w:rFonts w:ascii="Arial" w:hAnsi="Arial"/>
      <w:caps/>
      <w:sz w:val="14"/>
    </w:rPr>
  </w:style>
  <w:style w:type="paragraph" w:styleId="Footer">
    <w:name w:val="footer"/>
    <w:basedOn w:val="Normal"/>
    <w:link w:val="FooterChar"/>
    <w:uiPriority w:val="99"/>
    <w:rsid w:val="00832936"/>
    <w:pPr>
      <w:tabs>
        <w:tab w:val="right" w:pos="8505"/>
      </w:tabs>
    </w:pPr>
    <w:rPr>
      <w:rFonts w:ascii="Arial" w:hAnsi="Arial"/>
      <w:caps/>
      <w:sz w:val="14"/>
    </w:rPr>
  </w:style>
  <w:style w:type="character" w:styleId="PageNumber">
    <w:name w:val="page number"/>
    <w:basedOn w:val="DefaultParagraphFont"/>
    <w:semiHidden/>
    <w:rsid w:val="00832936"/>
    <w:rPr>
      <w:rFonts w:ascii="Arial" w:hAnsi="Arial"/>
      <w:sz w:val="14"/>
    </w:rPr>
  </w:style>
  <w:style w:type="paragraph" w:customStyle="1" w:styleId="MainTitle">
    <w:name w:val="Main Title"/>
    <w:basedOn w:val="Normal"/>
    <w:rsid w:val="000A1B57"/>
    <w:pPr>
      <w:spacing w:line="240" w:lineRule="auto"/>
      <w:jc w:val="center"/>
    </w:pPr>
    <w:rPr>
      <w:rFonts w:ascii="Arial Bold" w:hAnsi="Arial Bold"/>
      <w:b/>
      <w:sz w:val="40"/>
    </w:rPr>
  </w:style>
  <w:style w:type="paragraph" w:customStyle="1" w:styleId="SubTitle">
    <w:name w:val="Sub Title"/>
    <w:basedOn w:val="Normal"/>
    <w:rsid w:val="0028217C"/>
    <w:pPr>
      <w:spacing w:line="240" w:lineRule="auto"/>
      <w:jc w:val="center"/>
    </w:pPr>
    <w:rPr>
      <w:rFonts w:ascii="Arial" w:hAnsi="Arial"/>
      <w:sz w:val="28"/>
    </w:rPr>
  </w:style>
  <w:style w:type="paragraph" w:customStyle="1" w:styleId="Dated">
    <w:name w:val="Dated"/>
    <w:basedOn w:val="Normal"/>
    <w:rsid w:val="000A1B57"/>
    <w:pPr>
      <w:spacing w:before="0" w:line="240" w:lineRule="auto"/>
      <w:jc w:val="center"/>
    </w:pPr>
    <w:rPr>
      <w:rFonts w:ascii="Arial" w:hAnsi="Arial"/>
      <w:szCs w:val="18"/>
    </w:rPr>
  </w:style>
  <w:style w:type="paragraph" w:customStyle="1" w:styleId="Contents">
    <w:name w:val="Contents"/>
    <w:basedOn w:val="Normal"/>
    <w:rsid w:val="00832936"/>
    <w:pPr>
      <w:spacing w:after="240"/>
    </w:pPr>
    <w:rPr>
      <w:rFonts w:ascii="Arial Bold" w:hAnsi="Arial Bold"/>
      <w:b/>
      <w:sz w:val="32"/>
    </w:rPr>
  </w:style>
  <w:style w:type="paragraph" w:styleId="TOC1">
    <w:name w:val="toc 1"/>
    <w:basedOn w:val="Normal"/>
    <w:next w:val="Normal"/>
    <w:autoRedefine/>
    <w:uiPriority w:val="39"/>
    <w:rsid w:val="00832936"/>
    <w:pPr>
      <w:tabs>
        <w:tab w:val="left" w:pos="567"/>
        <w:tab w:val="right" w:pos="8505"/>
      </w:tabs>
      <w:spacing w:after="120"/>
      <w:ind w:left="567" w:hanging="567"/>
    </w:pPr>
    <w:rPr>
      <w:b/>
      <w:bCs/>
      <w:noProof/>
      <w:lang w:val="en-US"/>
    </w:rPr>
  </w:style>
  <w:style w:type="paragraph" w:customStyle="1" w:styleId="BodyTextNumbered">
    <w:name w:val="Body Text Numbered"/>
    <w:basedOn w:val="Normal"/>
    <w:qFormat/>
    <w:rsid w:val="00832936"/>
    <w:pPr>
      <w:numPr>
        <w:numId w:val="1"/>
      </w:numPr>
    </w:pPr>
  </w:style>
  <w:style w:type="paragraph" w:customStyle="1" w:styleId="bullet">
    <w:name w:val="bullet"/>
    <w:basedOn w:val="Normal"/>
    <w:qFormat/>
    <w:rsid w:val="00832936"/>
    <w:pPr>
      <w:numPr>
        <w:numId w:val="5"/>
      </w:numPr>
    </w:pPr>
  </w:style>
  <w:style w:type="paragraph" w:customStyle="1" w:styleId="bullet2">
    <w:name w:val="bullet 2"/>
    <w:basedOn w:val="Normal"/>
    <w:qFormat/>
    <w:rsid w:val="00832936"/>
    <w:pPr>
      <w:numPr>
        <w:ilvl w:val="1"/>
        <w:numId w:val="5"/>
      </w:numPr>
      <w:spacing w:before="80"/>
    </w:pPr>
  </w:style>
  <w:style w:type="paragraph" w:customStyle="1" w:styleId="Heading1nonumber">
    <w:name w:val="Heading 1 (no number)"/>
    <w:basedOn w:val="BodyText"/>
    <w:next w:val="BodyText"/>
    <w:rsid w:val="00832936"/>
    <w:pPr>
      <w:pageBreakBefore/>
      <w:spacing w:before="0" w:after="180"/>
    </w:pPr>
    <w:rPr>
      <w:rFonts w:ascii="Arial Bold" w:hAnsi="Arial Bold"/>
      <w:b/>
      <w:color w:val="003C30"/>
      <w:sz w:val="32"/>
    </w:rPr>
  </w:style>
  <w:style w:type="paragraph" w:customStyle="1" w:styleId="Heading2nonumber">
    <w:name w:val="Heading 2 (no number)"/>
    <w:basedOn w:val="BodyText"/>
    <w:next w:val="BodyText"/>
    <w:rsid w:val="00832936"/>
    <w:pPr>
      <w:spacing w:before="360" w:after="60"/>
    </w:pPr>
    <w:rPr>
      <w:rFonts w:ascii="Arial Bold" w:hAnsi="Arial Bold"/>
      <w:b/>
      <w:sz w:val="28"/>
    </w:rPr>
  </w:style>
  <w:style w:type="paragraph" w:customStyle="1" w:styleId="Heading3nonumber">
    <w:name w:val="Heading 3 (no number)"/>
    <w:basedOn w:val="BodyText"/>
    <w:next w:val="BodyText"/>
    <w:rsid w:val="00DD5FE0"/>
    <w:pPr>
      <w:keepNext/>
      <w:spacing w:before="360"/>
    </w:pPr>
    <w:rPr>
      <w:rFonts w:ascii="Arial Bold" w:hAnsi="Arial Bold"/>
      <w:b/>
    </w:rPr>
  </w:style>
  <w:style w:type="paragraph" w:styleId="TOC2">
    <w:name w:val="toc 2"/>
    <w:basedOn w:val="Normal"/>
    <w:next w:val="Normal"/>
    <w:autoRedefine/>
    <w:uiPriority w:val="39"/>
    <w:rsid w:val="00832936"/>
    <w:pPr>
      <w:tabs>
        <w:tab w:val="left" w:pos="1418"/>
        <w:tab w:val="right" w:pos="8505"/>
      </w:tabs>
      <w:spacing w:before="0" w:after="120"/>
      <w:ind w:left="1933" w:hanging="1366"/>
    </w:pPr>
    <w:rPr>
      <w:noProof/>
      <w:lang w:val="en-US"/>
    </w:rPr>
  </w:style>
  <w:style w:type="paragraph" w:styleId="TOC3">
    <w:name w:val="toc 3"/>
    <w:basedOn w:val="Normal"/>
    <w:next w:val="Normal"/>
    <w:autoRedefine/>
    <w:semiHidden/>
    <w:rsid w:val="00832936"/>
    <w:pPr>
      <w:tabs>
        <w:tab w:val="left" w:pos="1418"/>
        <w:tab w:val="right" w:pos="8505"/>
      </w:tabs>
      <w:spacing w:before="0"/>
      <w:ind w:left="1985" w:hanging="1418"/>
    </w:pPr>
    <w:rPr>
      <w:i/>
      <w:noProof/>
      <w:sz w:val="20"/>
      <w:szCs w:val="22"/>
      <w:lang w:val="en-US"/>
    </w:rPr>
  </w:style>
  <w:style w:type="paragraph" w:customStyle="1" w:styleId="BodyTextNumbered2">
    <w:name w:val="Body Text Numbered 2"/>
    <w:basedOn w:val="Normal"/>
    <w:qFormat/>
    <w:rsid w:val="005D5538"/>
    <w:pPr>
      <w:numPr>
        <w:ilvl w:val="1"/>
        <w:numId w:val="1"/>
      </w:numPr>
      <w:tabs>
        <w:tab w:val="left" w:pos="907"/>
      </w:tabs>
      <w:spacing w:before="80"/>
    </w:pPr>
    <w:rPr>
      <w:lang w:val="en-US"/>
    </w:rPr>
  </w:style>
  <w:style w:type="paragraph" w:styleId="TableofFigures">
    <w:name w:val="table of figures"/>
    <w:basedOn w:val="BodyText"/>
    <w:next w:val="BodyText"/>
    <w:uiPriority w:val="99"/>
    <w:rsid w:val="00832936"/>
    <w:pPr>
      <w:tabs>
        <w:tab w:val="left" w:pos="1418"/>
        <w:tab w:val="right" w:pos="8505"/>
      </w:tabs>
      <w:spacing w:before="120" w:after="120"/>
      <w:ind w:left="1418" w:hanging="1418"/>
      <w:jc w:val="left"/>
    </w:pPr>
    <w:rPr>
      <w:noProof/>
      <w:szCs w:val="19"/>
    </w:rPr>
  </w:style>
  <w:style w:type="paragraph" w:customStyle="1" w:styleId="BoxText">
    <w:name w:val="Box Text"/>
    <w:basedOn w:val="BodyText"/>
    <w:rsid w:val="00832936"/>
    <w:pPr>
      <w:spacing w:before="120" w:line="260" w:lineRule="exact"/>
    </w:pPr>
    <w:rPr>
      <w:rFonts w:ascii="Arial" w:hAnsi="Arial"/>
      <w:sz w:val="16"/>
    </w:rPr>
  </w:style>
  <w:style w:type="paragraph" w:styleId="Caption">
    <w:name w:val="caption"/>
    <w:basedOn w:val="Normal"/>
    <w:next w:val="BodyText"/>
    <w:qFormat/>
    <w:rsid w:val="00832936"/>
    <w:pPr>
      <w:keepNext/>
      <w:tabs>
        <w:tab w:val="left" w:pos="851"/>
      </w:tabs>
      <w:spacing w:before="360" w:after="40" w:line="240" w:lineRule="exact"/>
    </w:pPr>
    <w:rPr>
      <w:rFonts w:ascii="Arial Bold" w:hAnsi="Arial Bold"/>
      <w:b/>
      <w:bCs/>
      <w:sz w:val="18"/>
      <w:szCs w:val="20"/>
      <w:lang w:eastAsia="en-AU"/>
    </w:rPr>
  </w:style>
  <w:style w:type="paragraph" w:customStyle="1" w:styleId="Tablelistbullet">
    <w:name w:val="Table list bullet"/>
    <w:basedOn w:val="Tablebody"/>
    <w:rsid w:val="00832936"/>
    <w:pPr>
      <w:numPr>
        <w:numId w:val="8"/>
      </w:numPr>
    </w:pPr>
  </w:style>
  <w:style w:type="paragraph" w:customStyle="1" w:styleId="Tablebody">
    <w:name w:val="Table body"/>
    <w:basedOn w:val="Normal"/>
    <w:rsid w:val="00EE5E32"/>
    <w:pPr>
      <w:spacing w:before="60" w:after="60" w:line="240" w:lineRule="auto"/>
      <w:jc w:val="left"/>
    </w:pPr>
    <w:rPr>
      <w:rFonts w:ascii="Arial" w:hAnsi="Arial"/>
      <w:sz w:val="16"/>
      <w:szCs w:val="17"/>
      <w:lang w:eastAsia="en-AU"/>
    </w:rPr>
  </w:style>
  <w:style w:type="paragraph" w:customStyle="1" w:styleId="Note">
    <w:name w:val="Note"/>
    <w:basedOn w:val="Normal"/>
    <w:next w:val="Normal"/>
    <w:rsid w:val="00832936"/>
    <w:pPr>
      <w:keepNext/>
      <w:spacing w:before="40" w:line="180" w:lineRule="exact"/>
    </w:pPr>
    <w:rPr>
      <w:rFonts w:ascii="Arial" w:hAnsi="Arial"/>
      <w:sz w:val="14"/>
      <w:szCs w:val="20"/>
      <w:lang w:eastAsia="en-AU"/>
    </w:rPr>
  </w:style>
  <w:style w:type="paragraph" w:customStyle="1" w:styleId="Source">
    <w:name w:val="Source"/>
    <w:basedOn w:val="Note"/>
    <w:next w:val="BodyText"/>
    <w:rsid w:val="00832936"/>
    <w:pPr>
      <w:keepNext w:val="0"/>
    </w:pPr>
  </w:style>
  <w:style w:type="paragraph" w:customStyle="1" w:styleId="Tablecolumnheadings">
    <w:name w:val="Table column headings"/>
    <w:basedOn w:val="Tablebody"/>
    <w:rsid w:val="00EE5E32"/>
    <w:rPr>
      <w:rFonts w:ascii="Arial Bold" w:hAnsi="Arial Bold"/>
      <w:b/>
    </w:rPr>
  </w:style>
  <w:style w:type="paragraph" w:customStyle="1" w:styleId="Tableheading1">
    <w:name w:val="Table heading 1"/>
    <w:basedOn w:val="Tablebody"/>
    <w:next w:val="Tablebody"/>
    <w:rsid w:val="00832936"/>
    <w:rPr>
      <w:rFonts w:ascii="Arial Bold" w:hAnsi="Arial Bold"/>
      <w:b/>
    </w:rPr>
  </w:style>
  <w:style w:type="paragraph" w:customStyle="1" w:styleId="Tableheading2">
    <w:name w:val="Table heading 2"/>
    <w:basedOn w:val="Tableheading1"/>
    <w:next w:val="Tablebody"/>
    <w:rsid w:val="00832936"/>
    <w:rPr>
      <w:b w:val="0"/>
      <w:i/>
    </w:rPr>
  </w:style>
  <w:style w:type="paragraph" w:customStyle="1" w:styleId="Tablelistbullet2">
    <w:name w:val="Table list bullet 2"/>
    <w:basedOn w:val="Tablebody"/>
    <w:rsid w:val="00832936"/>
    <w:pPr>
      <w:numPr>
        <w:numId w:val="9"/>
      </w:numPr>
      <w:tabs>
        <w:tab w:val="clear" w:pos="454"/>
        <w:tab w:val="num" w:pos="360"/>
      </w:tabs>
      <w:ind w:left="0" w:firstLine="0"/>
    </w:pPr>
  </w:style>
  <w:style w:type="paragraph" w:customStyle="1" w:styleId="Tablelistnumber">
    <w:name w:val="Table list number"/>
    <w:basedOn w:val="Tablebody"/>
    <w:rsid w:val="00832936"/>
    <w:pPr>
      <w:numPr>
        <w:numId w:val="10"/>
      </w:numPr>
      <w:tabs>
        <w:tab w:val="clear" w:pos="227"/>
        <w:tab w:val="num" w:pos="360"/>
      </w:tabs>
      <w:ind w:left="0" w:firstLine="0"/>
    </w:pPr>
  </w:style>
  <w:style w:type="paragraph" w:customStyle="1" w:styleId="Tableunitsrow">
    <w:name w:val="Table units row"/>
    <w:basedOn w:val="Tablecolumnheadings"/>
    <w:rsid w:val="00832936"/>
    <w:rPr>
      <w:rFonts w:ascii="Arial" w:hAnsi="Arial"/>
      <w:b w:val="0"/>
    </w:rPr>
  </w:style>
  <w:style w:type="paragraph" w:customStyle="1" w:styleId="BoxSource">
    <w:name w:val="Box Source"/>
    <w:basedOn w:val="BoxText"/>
    <w:next w:val="BodyText"/>
    <w:rsid w:val="00832936"/>
    <w:pPr>
      <w:spacing w:after="20" w:line="240" w:lineRule="exact"/>
    </w:pPr>
    <w:rPr>
      <w:sz w:val="14"/>
    </w:rPr>
  </w:style>
  <w:style w:type="paragraph" w:customStyle="1" w:styleId="BoxHeading1">
    <w:name w:val="Box Heading 1"/>
    <w:basedOn w:val="BoxText"/>
    <w:next w:val="BoxText"/>
    <w:rsid w:val="00832936"/>
    <w:pPr>
      <w:spacing w:before="240"/>
      <w:jc w:val="left"/>
    </w:pPr>
    <w:rPr>
      <w:rFonts w:ascii="Arial Bold" w:hAnsi="Arial Bold"/>
      <w:b/>
      <w:szCs w:val="18"/>
    </w:rPr>
  </w:style>
  <w:style w:type="paragraph" w:customStyle="1" w:styleId="BoxHeading2">
    <w:name w:val="Box Heading 2"/>
    <w:basedOn w:val="BoxText"/>
    <w:next w:val="BoxText"/>
    <w:rsid w:val="00832936"/>
    <w:pPr>
      <w:spacing w:before="200"/>
      <w:jc w:val="left"/>
    </w:pPr>
    <w:rPr>
      <w:i/>
      <w:szCs w:val="18"/>
    </w:rPr>
  </w:style>
  <w:style w:type="paragraph" w:customStyle="1" w:styleId="BoxListBullet">
    <w:name w:val="Box List Bullet"/>
    <w:basedOn w:val="BoxText"/>
    <w:rsid w:val="00832936"/>
    <w:pPr>
      <w:numPr>
        <w:numId w:val="2"/>
      </w:numPr>
      <w:tabs>
        <w:tab w:val="clear" w:pos="227"/>
        <w:tab w:val="num" w:pos="0"/>
      </w:tabs>
      <w:spacing w:before="60"/>
      <w:ind w:left="0" w:hanging="284"/>
    </w:pPr>
  </w:style>
  <w:style w:type="paragraph" w:customStyle="1" w:styleId="BoxListBullet2">
    <w:name w:val="Box List Bullet 2"/>
    <w:basedOn w:val="BoxListBullet"/>
    <w:rsid w:val="00832936"/>
    <w:pPr>
      <w:numPr>
        <w:numId w:val="3"/>
      </w:numPr>
      <w:tabs>
        <w:tab w:val="clear" w:pos="454"/>
        <w:tab w:val="num" w:pos="737"/>
      </w:tabs>
      <w:spacing w:before="20"/>
      <w:ind w:left="737" w:hanging="737"/>
    </w:pPr>
  </w:style>
  <w:style w:type="paragraph" w:customStyle="1" w:styleId="BoxListNumber">
    <w:name w:val="Box List Number"/>
    <w:basedOn w:val="BoxListBullet"/>
    <w:rsid w:val="00832936"/>
    <w:pPr>
      <w:numPr>
        <w:numId w:val="4"/>
      </w:numPr>
    </w:pPr>
  </w:style>
  <w:style w:type="paragraph" w:customStyle="1" w:styleId="address">
    <w:name w:val="address"/>
    <w:basedOn w:val="Footer"/>
    <w:semiHidden/>
    <w:unhideWhenUsed/>
    <w:rsid w:val="00832936"/>
    <w:pPr>
      <w:spacing w:before="0" w:line="240" w:lineRule="auto"/>
      <w:jc w:val="center"/>
    </w:pPr>
    <w:rPr>
      <w:caps w:val="0"/>
      <w:lang w:val="en-US"/>
    </w:rPr>
  </w:style>
  <w:style w:type="paragraph" w:customStyle="1" w:styleId="AppNoteLabel">
    <w:name w:val="AppNote Label"/>
    <w:basedOn w:val="Note"/>
    <w:rsid w:val="00832936"/>
  </w:style>
  <w:style w:type="paragraph" w:customStyle="1" w:styleId="DOCID">
    <w:name w:val="DOC ID"/>
    <w:basedOn w:val="Footer"/>
    <w:rsid w:val="00832936"/>
    <w:rPr>
      <w:caps w:val="0"/>
      <w:sz w:val="12"/>
      <w:lang w:val="en-US"/>
    </w:rPr>
  </w:style>
  <w:style w:type="paragraph" w:customStyle="1" w:styleId="addressr">
    <w:name w:val="addressr"/>
    <w:basedOn w:val="address"/>
    <w:semiHidden/>
    <w:unhideWhenUsed/>
    <w:rsid w:val="00832936"/>
    <w:pPr>
      <w:jc w:val="right"/>
    </w:pPr>
  </w:style>
  <w:style w:type="paragraph" w:customStyle="1" w:styleId="Heading4nonumber">
    <w:name w:val="Heading 4 (no number)"/>
    <w:basedOn w:val="Heading4"/>
    <w:next w:val="BodyText"/>
    <w:qFormat/>
    <w:rsid w:val="008C5AA6"/>
    <w:pPr>
      <w:numPr>
        <w:ilvl w:val="0"/>
        <w:numId w:val="0"/>
      </w:numPr>
    </w:pPr>
  </w:style>
  <w:style w:type="paragraph" w:customStyle="1" w:styleId="footerls">
    <w:name w:val="footer ls"/>
    <w:basedOn w:val="Footer"/>
    <w:rsid w:val="00832936"/>
    <w:pPr>
      <w:tabs>
        <w:tab w:val="right" w:pos="8222"/>
      </w:tabs>
    </w:pPr>
  </w:style>
  <w:style w:type="paragraph" w:styleId="Quote">
    <w:name w:val="Quote"/>
    <w:basedOn w:val="BodyText"/>
    <w:qFormat/>
    <w:rsid w:val="00832936"/>
    <w:pPr>
      <w:ind w:left="459" w:right="567"/>
    </w:pPr>
    <w:rPr>
      <w:sz w:val="20"/>
      <w:lang w:val="en-US"/>
    </w:rPr>
  </w:style>
  <w:style w:type="paragraph" w:styleId="FootnoteText">
    <w:name w:val="footnote text"/>
    <w:basedOn w:val="Normal"/>
    <w:link w:val="FootnoteTextChar"/>
    <w:semiHidden/>
    <w:rsid w:val="00832936"/>
    <w:pPr>
      <w:tabs>
        <w:tab w:val="left" w:pos="284"/>
      </w:tabs>
      <w:spacing w:before="120" w:after="120" w:line="240" w:lineRule="auto"/>
      <w:ind w:left="284" w:hanging="284"/>
    </w:pPr>
    <w:rPr>
      <w:sz w:val="16"/>
      <w:szCs w:val="20"/>
    </w:rPr>
  </w:style>
  <w:style w:type="character" w:styleId="FootnoteReference">
    <w:name w:val="footnote reference"/>
    <w:basedOn w:val="DefaultParagraphFont"/>
    <w:semiHidden/>
    <w:rsid w:val="00832936"/>
    <w:rPr>
      <w:vertAlign w:val="superscript"/>
    </w:rPr>
  </w:style>
  <w:style w:type="paragraph" w:customStyle="1" w:styleId="logo">
    <w:name w:val="logo"/>
    <w:basedOn w:val="Dated"/>
    <w:autoRedefine/>
    <w:rsid w:val="000A1B57"/>
  </w:style>
  <w:style w:type="paragraph" w:customStyle="1" w:styleId="Chart">
    <w:name w:val="Chart"/>
    <w:basedOn w:val="BodyText"/>
    <w:rsid w:val="00832936"/>
    <w:pPr>
      <w:keepNext/>
      <w:spacing w:before="0" w:line="240" w:lineRule="auto"/>
    </w:pPr>
  </w:style>
  <w:style w:type="paragraph" w:customStyle="1" w:styleId="Equation">
    <w:name w:val="Equation"/>
    <w:basedOn w:val="BodyText"/>
    <w:rsid w:val="00832936"/>
    <w:pPr>
      <w:spacing w:before="0" w:line="240" w:lineRule="auto"/>
    </w:pPr>
  </w:style>
  <w:style w:type="paragraph" w:customStyle="1" w:styleId="Chapterhdg3">
    <w:name w:val="Chapter hdg 3"/>
    <w:basedOn w:val="BodyText"/>
    <w:next w:val="BodyText"/>
    <w:rsid w:val="00832936"/>
    <w:pPr>
      <w:numPr>
        <w:ilvl w:val="2"/>
        <w:numId w:val="6"/>
      </w:numPr>
      <w:spacing w:before="480" w:after="240" w:line="240" w:lineRule="auto"/>
    </w:pPr>
    <w:rPr>
      <w:rFonts w:ascii="Arial Bold" w:hAnsi="Arial Bold"/>
      <w:b/>
      <w:sz w:val="24"/>
      <w:szCs w:val="24"/>
      <w:lang w:val="en-US"/>
    </w:rPr>
  </w:style>
  <w:style w:type="paragraph" w:customStyle="1" w:styleId="Chapterhdg">
    <w:name w:val="Chapter hdg"/>
    <w:basedOn w:val="BodyText"/>
    <w:next w:val="ChapterHdg2"/>
    <w:rsid w:val="00832936"/>
    <w:pPr>
      <w:pBdr>
        <w:bottom w:val="single" w:sz="4" w:space="24" w:color="008080"/>
      </w:pBdr>
      <w:spacing w:after="480" w:line="240" w:lineRule="auto"/>
    </w:pPr>
    <w:rPr>
      <w:rFonts w:ascii="Arial Bold" w:hAnsi="Arial Bold"/>
      <w:b/>
      <w:sz w:val="40"/>
      <w:lang w:val="en-US"/>
    </w:rPr>
  </w:style>
  <w:style w:type="paragraph" w:customStyle="1" w:styleId="ChapterHdg2">
    <w:name w:val="Chapter Hdg 2"/>
    <w:basedOn w:val="Chapterhdg"/>
    <w:next w:val="BodyText"/>
    <w:rsid w:val="00832936"/>
    <w:pPr>
      <w:numPr>
        <w:ilvl w:val="1"/>
        <w:numId w:val="6"/>
      </w:numPr>
      <w:pBdr>
        <w:bottom w:val="none" w:sz="0" w:space="0" w:color="auto"/>
      </w:pBdr>
      <w:spacing w:before="480" w:after="240"/>
    </w:pPr>
    <w:rPr>
      <w:sz w:val="28"/>
      <w:szCs w:val="28"/>
      <w:lang w:val="en-AU"/>
    </w:rPr>
  </w:style>
  <w:style w:type="paragraph" w:customStyle="1" w:styleId="ChapterHeading1">
    <w:name w:val="Chapter Heading 1"/>
    <w:basedOn w:val="BodyText"/>
    <w:next w:val="Chapterhdg"/>
    <w:rsid w:val="00832936"/>
    <w:pPr>
      <w:pageBreakBefore/>
      <w:numPr>
        <w:numId w:val="6"/>
      </w:numPr>
    </w:pPr>
  </w:style>
  <w:style w:type="paragraph" w:customStyle="1" w:styleId="Bodytextnumbered0">
    <w:name w:val="Body text numbered"/>
    <w:basedOn w:val="BodyText"/>
    <w:semiHidden/>
    <w:rsid w:val="00832936"/>
    <w:pPr>
      <w:tabs>
        <w:tab w:val="num" w:pos="454"/>
      </w:tabs>
      <w:ind w:left="454" w:hanging="454"/>
    </w:pPr>
  </w:style>
  <w:style w:type="paragraph" w:customStyle="1" w:styleId="Bodytextnumbered20">
    <w:name w:val="Body text numbered 2"/>
    <w:basedOn w:val="Bodytextnumbered0"/>
    <w:semiHidden/>
    <w:rsid w:val="00832936"/>
    <w:pPr>
      <w:tabs>
        <w:tab w:val="clear" w:pos="454"/>
        <w:tab w:val="num" w:pos="360"/>
        <w:tab w:val="num" w:pos="907"/>
        <w:tab w:val="num" w:pos="1440"/>
      </w:tabs>
      <w:ind w:left="908"/>
    </w:pPr>
  </w:style>
  <w:style w:type="paragraph" w:styleId="BalloonText">
    <w:name w:val="Balloon Text"/>
    <w:basedOn w:val="Normal"/>
    <w:semiHidden/>
    <w:locked/>
    <w:rsid w:val="00832936"/>
    <w:rPr>
      <w:rFonts w:ascii="Tahoma" w:hAnsi="Tahoma" w:cs="Tahoma"/>
      <w:sz w:val="16"/>
      <w:szCs w:val="16"/>
    </w:rPr>
  </w:style>
  <w:style w:type="paragraph" w:customStyle="1" w:styleId="Coname">
    <w:name w:val="Co. name"/>
    <w:basedOn w:val="Dated"/>
    <w:rsid w:val="0028217C"/>
    <w:rPr>
      <w:sz w:val="18"/>
    </w:rPr>
  </w:style>
  <w:style w:type="character" w:styleId="Hyperlink">
    <w:name w:val="Hyperlink"/>
    <w:basedOn w:val="DefaultParagraphFont"/>
    <w:uiPriority w:val="99"/>
    <w:locked/>
    <w:rsid w:val="00832936"/>
    <w:rPr>
      <w:color w:val="0000FF"/>
      <w:u w:val="single"/>
    </w:rPr>
  </w:style>
  <w:style w:type="character" w:customStyle="1" w:styleId="Notelabel">
    <w:name w:val="Note label"/>
    <w:basedOn w:val="DefaultParagraphFont"/>
    <w:rsid w:val="00294CC3"/>
    <w:rPr>
      <w:rFonts w:ascii="Arial Bold" w:hAnsi="Arial Bold"/>
      <w:b/>
      <w:color w:val="auto"/>
      <w:position w:val="0"/>
      <w:sz w:val="14"/>
      <w:szCs w:val="14"/>
    </w:rPr>
  </w:style>
  <w:style w:type="paragraph" w:customStyle="1" w:styleId="numberedlist2">
    <w:name w:val="numbered list 2"/>
    <w:basedOn w:val="Normal"/>
    <w:rsid w:val="0063099D"/>
    <w:pPr>
      <w:numPr>
        <w:ilvl w:val="1"/>
        <w:numId w:val="14"/>
      </w:numPr>
      <w:spacing w:before="80"/>
    </w:pPr>
  </w:style>
  <w:style w:type="paragraph" w:customStyle="1" w:styleId="StyleNoteArialBoldBold3">
    <w:name w:val="Style Note + Arial Bold Bold3"/>
    <w:basedOn w:val="Note"/>
    <w:rsid w:val="00BC7B5A"/>
    <w:pPr>
      <w:keepNext w:val="0"/>
    </w:pPr>
    <w:rPr>
      <w:rFonts w:ascii="Arial Bold" w:hAnsi="Arial Bold"/>
      <w:b/>
      <w:bCs/>
    </w:rPr>
  </w:style>
  <w:style w:type="paragraph" w:customStyle="1" w:styleId="numberedbullet">
    <w:name w:val="numbered bullet"/>
    <w:basedOn w:val="bullet"/>
    <w:qFormat/>
    <w:rsid w:val="00EA48F2"/>
    <w:pPr>
      <w:numPr>
        <w:numId w:val="14"/>
      </w:numPr>
    </w:pPr>
  </w:style>
  <w:style w:type="paragraph" w:customStyle="1" w:styleId="located">
    <w:name w:val="located"/>
    <w:basedOn w:val="Normal"/>
    <w:qFormat/>
    <w:rsid w:val="005076F2"/>
    <w:pPr>
      <w:spacing w:before="0" w:line="240" w:lineRule="auto"/>
      <w:jc w:val="left"/>
    </w:pPr>
    <w:rPr>
      <w:rFonts w:ascii="Arial Bold" w:hAnsi="Arial Bold" w:cs="Arial"/>
      <w:b/>
      <w:noProof/>
      <w:color w:val="FF8000"/>
      <w:sz w:val="10"/>
      <w:szCs w:val="10"/>
      <w:lang w:eastAsia="en-AU"/>
    </w:rPr>
  </w:style>
  <w:style w:type="paragraph" w:customStyle="1" w:styleId="numberedbullet3">
    <w:name w:val="numbered bullet 3"/>
    <w:basedOn w:val="numberedlist2"/>
    <w:qFormat/>
    <w:rsid w:val="006B6EA9"/>
    <w:pPr>
      <w:numPr>
        <w:ilvl w:val="2"/>
      </w:numPr>
    </w:pPr>
  </w:style>
  <w:style w:type="character" w:customStyle="1" w:styleId="FooterChar">
    <w:name w:val="Footer Char"/>
    <w:basedOn w:val="DefaultParagraphFont"/>
    <w:link w:val="Footer"/>
    <w:uiPriority w:val="99"/>
    <w:rsid w:val="009B4555"/>
    <w:rPr>
      <w:rFonts w:ascii="Arial" w:hAnsi="Arial"/>
      <w:caps/>
      <w:sz w:val="14"/>
      <w:szCs w:val="24"/>
      <w:lang w:val="en-GB" w:eastAsia="en-US"/>
    </w:rPr>
  </w:style>
  <w:style w:type="paragraph" w:customStyle="1" w:styleId="Logo0">
    <w:name w:val="Logo"/>
    <w:basedOn w:val="Normal"/>
    <w:rsid w:val="00D23F11"/>
    <w:pPr>
      <w:spacing w:before="0" w:line="240" w:lineRule="auto"/>
      <w:jc w:val="center"/>
    </w:pPr>
  </w:style>
  <w:style w:type="character" w:customStyle="1" w:styleId="BodyTextChar">
    <w:name w:val="Body Text Char"/>
    <w:aliases w:val="Body Text Char Char Char Char Char Char Char Char,Body Text Char Char Char Char Char Char"/>
    <w:basedOn w:val="DefaultParagraphFont"/>
    <w:link w:val="BodyText"/>
    <w:rsid w:val="00D23F11"/>
    <w:rPr>
      <w:rFonts w:ascii="Book Antiqua" w:hAnsi="Book Antiqua"/>
      <w:sz w:val="22"/>
    </w:rPr>
  </w:style>
  <w:style w:type="character" w:customStyle="1" w:styleId="Heading6Char">
    <w:name w:val="Heading 6 Char"/>
    <w:basedOn w:val="DefaultParagraphFont"/>
    <w:link w:val="Heading6"/>
    <w:uiPriority w:val="9"/>
    <w:semiHidden/>
    <w:rsid w:val="00F7142F"/>
    <w:rPr>
      <w:rFonts w:asciiTheme="majorHAnsi" w:eastAsiaTheme="majorEastAsia" w:hAnsiTheme="majorHAnsi" w:cstheme="majorBidi"/>
      <w:color w:val="001D17" w:themeColor="accent1" w:themeShade="7F"/>
      <w:sz w:val="22"/>
      <w:szCs w:val="24"/>
      <w:lang w:val="en-GB" w:eastAsia="en-US"/>
    </w:rPr>
  </w:style>
  <w:style w:type="paragraph" w:customStyle="1" w:styleId="address2">
    <w:name w:val="address2"/>
    <w:basedOn w:val="Normal"/>
    <w:qFormat/>
    <w:rsid w:val="009355DC"/>
    <w:pPr>
      <w:spacing w:before="120" w:line="240" w:lineRule="auto"/>
      <w:jc w:val="left"/>
    </w:pPr>
    <w:rPr>
      <w:rFonts w:ascii="Arial Bold" w:hAnsi="Arial Bold" w:cs="Arial"/>
      <w:b/>
      <w:noProof/>
      <w:color w:val="FF7A00"/>
      <w:sz w:val="10"/>
      <w:szCs w:val="10"/>
      <w:lang w:eastAsia="en-AU"/>
    </w:rPr>
  </w:style>
  <w:style w:type="character" w:customStyle="1" w:styleId="normaltextrun">
    <w:name w:val="normaltextrun"/>
    <w:basedOn w:val="DefaultParagraphFont"/>
    <w:rsid w:val="001222CF"/>
  </w:style>
  <w:style w:type="character" w:customStyle="1" w:styleId="UnresolvedMention1">
    <w:name w:val="Unresolved Mention1"/>
    <w:basedOn w:val="DefaultParagraphFont"/>
    <w:uiPriority w:val="99"/>
    <w:semiHidden/>
    <w:unhideWhenUsed/>
    <w:rsid w:val="005F7997"/>
    <w:rPr>
      <w:color w:val="605E5C"/>
      <w:shd w:val="clear" w:color="auto" w:fill="E1DFDD"/>
    </w:rPr>
  </w:style>
  <w:style w:type="character" w:styleId="FollowedHyperlink">
    <w:name w:val="FollowedHyperlink"/>
    <w:basedOn w:val="DefaultParagraphFont"/>
    <w:uiPriority w:val="99"/>
    <w:semiHidden/>
    <w:unhideWhenUsed/>
    <w:rsid w:val="00E50F91"/>
    <w:rPr>
      <w:color w:val="800080" w:themeColor="followedHyperlink"/>
      <w:u w:val="single"/>
    </w:rPr>
  </w:style>
  <w:style w:type="paragraph" w:styleId="Bibliography">
    <w:name w:val="Bibliography"/>
    <w:basedOn w:val="Normal"/>
    <w:next w:val="Normal"/>
    <w:uiPriority w:val="37"/>
    <w:unhideWhenUsed/>
    <w:rsid w:val="00FC464D"/>
    <w:pPr>
      <w:spacing w:line="240" w:lineRule="exact"/>
      <w:ind w:left="720" w:hanging="720"/>
    </w:pPr>
  </w:style>
  <w:style w:type="character" w:styleId="CommentReference">
    <w:name w:val="annotation reference"/>
    <w:basedOn w:val="DefaultParagraphFont"/>
    <w:uiPriority w:val="99"/>
    <w:semiHidden/>
    <w:unhideWhenUsed/>
    <w:rsid w:val="003C0350"/>
    <w:rPr>
      <w:sz w:val="16"/>
      <w:szCs w:val="16"/>
    </w:rPr>
  </w:style>
  <w:style w:type="paragraph" w:styleId="CommentText">
    <w:name w:val="annotation text"/>
    <w:basedOn w:val="Normal"/>
    <w:link w:val="CommentTextChar"/>
    <w:uiPriority w:val="99"/>
    <w:unhideWhenUsed/>
    <w:rsid w:val="003C0350"/>
    <w:pPr>
      <w:spacing w:line="240" w:lineRule="auto"/>
    </w:pPr>
    <w:rPr>
      <w:sz w:val="20"/>
      <w:szCs w:val="20"/>
    </w:rPr>
  </w:style>
  <w:style w:type="character" w:customStyle="1" w:styleId="CommentTextChar">
    <w:name w:val="Comment Text Char"/>
    <w:basedOn w:val="DefaultParagraphFont"/>
    <w:link w:val="CommentText"/>
    <w:uiPriority w:val="99"/>
    <w:rsid w:val="003C0350"/>
    <w:rPr>
      <w:rFonts w:ascii="Book Antiqua" w:hAnsi="Book Antiqua"/>
      <w:lang w:val="en-GB" w:eastAsia="en-US"/>
    </w:rPr>
  </w:style>
  <w:style w:type="paragraph" w:styleId="CommentSubject">
    <w:name w:val="annotation subject"/>
    <w:basedOn w:val="CommentText"/>
    <w:next w:val="CommentText"/>
    <w:link w:val="CommentSubjectChar"/>
    <w:uiPriority w:val="99"/>
    <w:semiHidden/>
    <w:unhideWhenUsed/>
    <w:rsid w:val="003C0350"/>
    <w:rPr>
      <w:b/>
      <w:bCs/>
    </w:rPr>
  </w:style>
  <w:style w:type="character" w:customStyle="1" w:styleId="CommentSubjectChar">
    <w:name w:val="Comment Subject Char"/>
    <w:basedOn w:val="CommentTextChar"/>
    <w:link w:val="CommentSubject"/>
    <w:uiPriority w:val="99"/>
    <w:semiHidden/>
    <w:rsid w:val="003C0350"/>
    <w:rPr>
      <w:rFonts w:ascii="Book Antiqua" w:hAnsi="Book Antiqua"/>
      <w:b/>
      <w:bCs/>
      <w:lang w:val="en-GB" w:eastAsia="en-US"/>
    </w:rPr>
  </w:style>
  <w:style w:type="paragraph" w:customStyle="1" w:styleId="paragraph">
    <w:name w:val="paragraph"/>
    <w:basedOn w:val="Normal"/>
    <w:rsid w:val="00E516E6"/>
    <w:pPr>
      <w:spacing w:before="100" w:beforeAutospacing="1" w:after="100" w:afterAutospacing="1" w:line="240" w:lineRule="auto"/>
      <w:jc w:val="left"/>
    </w:pPr>
    <w:rPr>
      <w:rFonts w:ascii="Times New Roman" w:hAnsi="Times New Roman"/>
      <w:sz w:val="24"/>
      <w:lang w:eastAsia="en-GB"/>
    </w:rPr>
  </w:style>
  <w:style w:type="character" w:customStyle="1" w:styleId="eop">
    <w:name w:val="eop"/>
    <w:basedOn w:val="DefaultParagraphFont"/>
    <w:rsid w:val="00E516E6"/>
  </w:style>
  <w:style w:type="character" w:customStyle="1" w:styleId="FootnoteTextChar">
    <w:name w:val="Footnote Text Char"/>
    <w:basedOn w:val="DefaultParagraphFont"/>
    <w:link w:val="FootnoteText"/>
    <w:semiHidden/>
    <w:rsid w:val="00E825E3"/>
    <w:rPr>
      <w:rFonts w:ascii="Book Antiqua" w:hAnsi="Book Antiqua"/>
      <w:sz w:val="16"/>
      <w:lang w:val="en-GB" w:eastAsia="en-US"/>
    </w:rPr>
  </w:style>
  <w:style w:type="paragraph" w:styleId="Revision">
    <w:name w:val="Revision"/>
    <w:hidden/>
    <w:uiPriority w:val="99"/>
    <w:semiHidden/>
    <w:rsid w:val="00B96A56"/>
    <w:rPr>
      <w:rFonts w:ascii="Book Antiqua" w:hAnsi="Book Antiqua"/>
      <w:sz w:val="22"/>
      <w:szCs w:val="24"/>
      <w:lang w:eastAsia="en-US"/>
    </w:rPr>
  </w:style>
  <w:style w:type="paragraph" w:customStyle="1" w:styleId="BulletTrailingParagraph">
    <w:name w:val="Bullet_Trailing Paragraph"/>
    <w:basedOn w:val="BodyText"/>
    <w:link w:val="BulletTrailingParagraphChar"/>
    <w:qFormat/>
    <w:rsid w:val="000061F2"/>
    <w:pPr>
      <w:spacing w:before="0"/>
      <w:ind w:left="426"/>
    </w:pPr>
  </w:style>
  <w:style w:type="character" w:customStyle="1" w:styleId="BulletTrailingParagraphChar">
    <w:name w:val="Bullet_Trailing Paragraph Char"/>
    <w:basedOn w:val="BodyTextChar"/>
    <w:link w:val="BulletTrailingParagraph"/>
    <w:rsid w:val="000061F2"/>
    <w:rPr>
      <w:rFonts w:ascii="Book Antiqua" w:hAnsi="Book Antiqua"/>
      <w:sz w:val="22"/>
    </w:rPr>
  </w:style>
  <w:style w:type="character" w:styleId="EndnoteReference">
    <w:name w:val="endnote reference"/>
    <w:basedOn w:val="DefaultParagraphFont"/>
    <w:uiPriority w:val="99"/>
    <w:semiHidden/>
    <w:unhideWhenUsed/>
    <w:rsid w:val="005D11B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869495">
      <w:bodyDiv w:val="1"/>
      <w:marLeft w:val="0"/>
      <w:marRight w:val="0"/>
      <w:marTop w:val="0"/>
      <w:marBottom w:val="0"/>
      <w:divBdr>
        <w:top w:val="none" w:sz="0" w:space="0" w:color="auto"/>
        <w:left w:val="none" w:sz="0" w:space="0" w:color="auto"/>
        <w:bottom w:val="none" w:sz="0" w:space="0" w:color="auto"/>
        <w:right w:val="none" w:sz="0" w:space="0" w:color="auto"/>
      </w:divBdr>
    </w:div>
    <w:div w:id="366420146">
      <w:bodyDiv w:val="1"/>
      <w:marLeft w:val="0"/>
      <w:marRight w:val="0"/>
      <w:marTop w:val="0"/>
      <w:marBottom w:val="0"/>
      <w:divBdr>
        <w:top w:val="none" w:sz="0" w:space="0" w:color="auto"/>
        <w:left w:val="none" w:sz="0" w:space="0" w:color="auto"/>
        <w:bottom w:val="none" w:sz="0" w:space="0" w:color="auto"/>
        <w:right w:val="none" w:sz="0" w:space="0" w:color="auto"/>
      </w:divBdr>
    </w:div>
    <w:div w:id="390930290">
      <w:bodyDiv w:val="1"/>
      <w:marLeft w:val="0"/>
      <w:marRight w:val="0"/>
      <w:marTop w:val="0"/>
      <w:marBottom w:val="0"/>
      <w:divBdr>
        <w:top w:val="none" w:sz="0" w:space="0" w:color="auto"/>
        <w:left w:val="none" w:sz="0" w:space="0" w:color="auto"/>
        <w:bottom w:val="none" w:sz="0" w:space="0" w:color="auto"/>
        <w:right w:val="none" w:sz="0" w:space="0" w:color="auto"/>
      </w:divBdr>
    </w:div>
    <w:div w:id="514342150">
      <w:bodyDiv w:val="1"/>
      <w:marLeft w:val="0"/>
      <w:marRight w:val="0"/>
      <w:marTop w:val="0"/>
      <w:marBottom w:val="0"/>
      <w:divBdr>
        <w:top w:val="none" w:sz="0" w:space="0" w:color="auto"/>
        <w:left w:val="none" w:sz="0" w:space="0" w:color="auto"/>
        <w:bottom w:val="none" w:sz="0" w:space="0" w:color="auto"/>
        <w:right w:val="none" w:sz="0" w:space="0" w:color="auto"/>
      </w:divBdr>
      <w:divsChild>
        <w:div w:id="481435050">
          <w:marLeft w:val="0"/>
          <w:marRight w:val="0"/>
          <w:marTop w:val="0"/>
          <w:marBottom w:val="0"/>
          <w:divBdr>
            <w:top w:val="none" w:sz="0" w:space="0" w:color="auto"/>
            <w:left w:val="none" w:sz="0" w:space="0" w:color="auto"/>
            <w:bottom w:val="none" w:sz="0" w:space="0" w:color="auto"/>
            <w:right w:val="none" w:sz="0" w:space="0" w:color="auto"/>
          </w:divBdr>
        </w:div>
        <w:div w:id="71657463">
          <w:marLeft w:val="0"/>
          <w:marRight w:val="0"/>
          <w:marTop w:val="0"/>
          <w:marBottom w:val="0"/>
          <w:divBdr>
            <w:top w:val="none" w:sz="0" w:space="0" w:color="auto"/>
            <w:left w:val="none" w:sz="0" w:space="0" w:color="auto"/>
            <w:bottom w:val="none" w:sz="0" w:space="0" w:color="auto"/>
            <w:right w:val="none" w:sz="0" w:space="0" w:color="auto"/>
          </w:divBdr>
        </w:div>
        <w:div w:id="461464113">
          <w:marLeft w:val="0"/>
          <w:marRight w:val="0"/>
          <w:marTop w:val="0"/>
          <w:marBottom w:val="0"/>
          <w:divBdr>
            <w:top w:val="none" w:sz="0" w:space="0" w:color="auto"/>
            <w:left w:val="none" w:sz="0" w:space="0" w:color="auto"/>
            <w:bottom w:val="none" w:sz="0" w:space="0" w:color="auto"/>
            <w:right w:val="none" w:sz="0" w:space="0" w:color="auto"/>
          </w:divBdr>
        </w:div>
        <w:div w:id="415057630">
          <w:marLeft w:val="0"/>
          <w:marRight w:val="0"/>
          <w:marTop w:val="0"/>
          <w:marBottom w:val="0"/>
          <w:divBdr>
            <w:top w:val="none" w:sz="0" w:space="0" w:color="auto"/>
            <w:left w:val="none" w:sz="0" w:space="0" w:color="auto"/>
            <w:bottom w:val="none" w:sz="0" w:space="0" w:color="auto"/>
            <w:right w:val="none" w:sz="0" w:space="0" w:color="auto"/>
          </w:divBdr>
        </w:div>
        <w:div w:id="1169978388">
          <w:marLeft w:val="0"/>
          <w:marRight w:val="0"/>
          <w:marTop w:val="0"/>
          <w:marBottom w:val="0"/>
          <w:divBdr>
            <w:top w:val="none" w:sz="0" w:space="0" w:color="auto"/>
            <w:left w:val="none" w:sz="0" w:space="0" w:color="auto"/>
            <w:bottom w:val="none" w:sz="0" w:space="0" w:color="auto"/>
            <w:right w:val="none" w:sz="0" w:space="0" w:color="auto"/>
          </w:divBdr>
        </w:div>
        <w:div w:id="1235121237">
          <w:marLeft w:val="0"/>
          <w:marRight w:val="0"/>
          <w:marTop w:val="0"/>
          <w:marBottom w:val="0"/>
          <w:divBdr>
            <w:top w:val="none" w:sz="0" w:space="0" w:color="auto"/>
            <w:left w:val="none" w:sz="0" w:space="0" w:color="auto"/>
            <w:bottom w:val="none" w:sz="0" w:space="0" w:color="auto"/>
            <w:right w:val="none" w:sz="0" w:space="0" w:color="auto"/>
          </w:divBdr>
        </w:div>
        <w:div w:id="2036691656">
          <w:marLeft w:val="0"/>
          <w:marRight w:val="0"/>
          <w:marTop w:val="0"/>
          <w:marBottom w:val="0"/>
          <w:divBdr>
            <w:top w:val="none" w:sz="0" w:space="0" w:color="auto"/>
            <w:left w:val="none" w:sz="0" w:space="0" w:color="auto"/>
            <w:bottom w:val="none" w:sz="0" w:space="0" w:color="auto"/>
            <w:right w:val="none" w:sz="0" w:space="0" w:color="auto"/>
          </w:divBdr>
        </w:div>
        <w:div w:id="2127117656">
          <w:marLeft w:val="0"/>
          <w:marRight w:val="0"/>
          <w:marTop w:val="0"/>
          <w:marBottom w:val="0"/>
          <w:divBdr>
            <w:top w:val="none" w:sz="0" w:space="0" w:color="auto"/>
            <w:left w:val="none" w:sz="0" w:space="0" w:color="auto"/>
            <w:bottom w:val="none" w:sz="0" w:space="0" w:color="auto"/>
            <w:right w:val="none" w:sz="0" w:space="0" w:color="auto"/>
          </w:divBdr>
        </w:div>
        <w:div w:id="1934630822">
          <w:marLeft w:val="0"/>
          <w:marRight w:val="0"/>
          <w:marTop w:val="0"/>
          <w:marBottom w:val="0"/>
          <w:divBdr>
            <w:top w:val="none" w:sz="0" w:space="0" w:color="auto"/>
            <w:left w:val="none" w:sz="0" w:space="0" w:color="auto"/>
            <w:bottom w:val="none" w:sz="0" w:space="0" w:color="auto"/>
            <w:right w:val="none" w:sz="0" w:space="0" w:color="auto"/>
          </w:divBdr>
        </w:div>
        <w:div w:id="798038043">
          <w:marLeft w:val="0"/>
          <w:marRight w:val="0"/>
          <w:marTop w:val="0"/>
          <w:marBottom w:val="0"/>
          <w:divBdr>
            <w:top w:val="none" w:sz="0" w:space="0" w:color="auto"/>
            <w:left w:val="none" w:sz="0" w:space="0" w:color="auto"/>
            <w:bottom w:val="none" w:sz="0" w:space="0" w:color="auto"/>
            <w:right w:val="none" w:sz="0" w:space="0" w:color="auto"/>
          </w:divBdr>
        </w:div>
        <w:div w:id="1655452643">
          <w:marLeft w:val="0"/>
          <w:marRight w:val="0"/>
          <w:marTop w:val="0"/>
          <w:marBottom w:val="0"/>
          <w:divBdr>
            <w:top w:val="none" w:sz="0" w:space="0" w:color="auto"/>
            <w:left w:val="none" w:sz="0" w:space="0" w:color="auto"/>
            <w:bottom w:val="none" w:sz="0" w:space="0" w:color="auto"/>
            <w:right w:val="none" w:sz="0" w:space="0" w:color="auto"/>
          </w:divBdr>
        </w:div>
        <w:div w:id="810951066">
          <w:marLeft w:val="0"/>
          <w:marRight w:val="0"/>
          <w:marTop w:val="0"/>
          <w:marBottom w:val="0"/>
          <w:divBdr>
            <w:top w:val="none" w:sz="0" w:space="0" w:color="auto"/>
            <w:left w:val="none" w:sz="0" w:space="0" w:color="auto"/>
            <w:bottom w:val="none" w:sz="0" w:space="0" w:color="auto"/>
            <w:right w:val="none" w:sz="0" w:space="0" w:color="auto"/>
          </w:divBdr>
        </w:div>
      </w:divsChild>
    </w:div>
    <w:div w:id="762264030">
      <w:bodyDiv w:val="1"/>
      <w:marLeft w:val="0"/>
      <w:marRight w:val="0"/>
      <w:marTop w:val="0"/>
      <w:marBottom w:val="0"/>
      <w:divBdr>
        <w:top w:val="none" w:sz="0" w:space="0" w:color="auto"/>
        <w:left w:val="none" w:sz="0" w:space="0" w:color="auto"/>
        <w:bottom w:val="none" w:sz="0" w:space="0" w:color="auto"/>
        <w:right w:val="none" w:sz="0" w:space="0" w:color="auto"/>
      </w:divBdr>
    </w:div>
    <w:div w:id="1953322915">
      <w:bodyDiv w:val="1"/>
      <w:marLeft w:val="0"/>
      <w:marRight w:val="0"/>
      <w:marTop w:val="0"/>
      <w:marBottom w:val="0"/>
      <w:divBdr>
        <w:top w:val="none" w:sz="0" w:space="0" w:color="auto"/>
        <w:left w:val="none" w:sz="0" w:space="0" w:color="auto"/>
        <w:bottom w:val="none" w:sz="0" w:space="0" w:color="auto"/>
        <w:right w:val="none" w:sz="0" w:space="0" w:color="auto"/>
      </w:divBdr>
      <w:divsChild>
        <w:div w:id="1626346121">
          <w:marLeft w:val="0"/>
          <w:marRight w:val="0"/>
          <w:marTop w:val="0"/>
          <w:marBottom w:val="0"/>
          <w:divBdr>
            <w:top w:val="none" w:sz="0" w:space="0" w:color="auto"/>
            <w:left w:val="none" w:sz="0" w:space="0" w:color="auto"/>
            <w:bottom w:val="none" w:sz="0" w:space="0" w:color="auto"/>
            <w:right w:val="none" w:sz="0" w:space="0" w:color="auto"/>
          </w:divBdr>
        </w:div>
        <w:div w:id="15180367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eader" Target="header3.xml"/><Relationship Id="rId26"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header" Target="header4.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eader" Target="header2.xml"/><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footer" Target="footer3.xml"/><Relationship Id="rId29"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5.xm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header" Target="header5.xml"/><Relationship Id="rId28" Type="http://schemas.openxmlformats.org/officeDocument/2006/relationships/image" Target="media/image6.png"/><Relationship Id="rId10" Type="http://schemas.openxmlformats.org/officeDocument/2006/relationships/footnotes" Target="footnotes.xml"/><Relationship Id="rId19" Type="http://schemas.openxmlformats.org/officeDocument/2006/relationships/footer" Target="footer2.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oter" Target="footer4.xml"/><Relationship Id="rId27" Type="http://schemas.openxmlformats.org/officeDocument/2006/relationships/header" Target="header7.xml"/><Relationship Id="rId30" Type="http://schemas.openxmlformats.org/officeDocument/2006/relationships/header" Target="header8.xml"/></Relationships>
</file>

<file path=word/_rels/footer1.xml.rels><?xml version="1.0" encoding="UTF-8" standalone="yes"?>
<Relationships xmlns="http://schemas.openxmlformats.org/package/2006/relationships"><Relationship Id="rId2" Type="http://schemas.openxmlformats.org/officeDocument/2006/relationships/hyperlink" Target="http://www.synergies.com.au/" TargetMode="External"/><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1" Type="http://schemas.openxmlformats.org/officeDocument/2006/relationships/image" Target="media/image2.jpeg"/></Relationships>
</file>

<file path=word/_rels/header8.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eid\AppData\Roaming\Microsoft\Templates\Report%20v5.0.dotm" TargetMode="External"/></Relationships>
</file>

<file path=word/theme/theme1.xml><?xml version="1.0" encoding="utf-8"?>
<a:theme xmlns:a="http://schemas.openxmlformats.org/drawingml/2006/main" name="Office Theme">
  <a:themeElements>
    <a:clrScheme name="Synergies">
      <a:dk1>
        <a:sysClr val="windowText" lastClr="000000"/>
      </a:dk1>
      <a:lt1>
        <a:sysClr val="window" lastClr="FFFFFF"/>
      </a:lt1>
      <a:dk2>
        <a:srgbClr val="003C30"/>
      </a:dk2>
      <a:lt2>
        <a:srgbClr val="FFFFFF"/>
      </a:lt2>
      <a:accent1>
        <a:srgbClr val="003C30"/>
      </a:accent1>
      <a:accent2>
        <a:srgbClr val="FF7A0A"/>
      </a:accent2>
      <a:accent3>
        <a:srgbClr val="98A605"/>
      </a:accent3>
      <a:accent4>
        <a:srgbClr val="336699"/>
      </a:accent4>
      <a:accent5>
        <a:srgbClr val="F8C900"/>
      </a:accent5>
      <a:accent6>
        <a:srgbClr val="A87000"/>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Report v5" ma:contentTypeID="0x010100E139BD39144E154B8CDB54BEE52F3B9D003E055241286E134DAF52D32F70B8264E" ma:contentTypeVersion="7" ma:contentTypeDescription="" ma:contentTypeScope="" ma:versionID="35f8c62f676afff0036d51c92b5b7c6c">
  <xsd:schema xmlns:xsd="http://www.w3.org/2001/XMLSchema" xmlns:xs="http://www.w3.org/2001/XMLSchema" xmlns:p="http://schemas.microsoft.com/office/2006/metadata/properties" targetNamespace="http://schemas.microsoft.com/office/2006/metadata/properties" ma:root="true" ma:fieldsID="2d50bf8a1b7750e2f283409312e5e39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47C5EC-24EA-4E87-B46A-478DFF23A7B5}">
  <ds:schemaRefs>
    <ds:schemaRef ds:uri="http://schemas.microsoft.com/sharepoint/v3/contenttype/forms"/>
  </ds:schemaRefs>
</ds:datastoreItem>
</file>

<file path=customXml/itemProps2.xml><?xml version="1.0" encoding="utf-8"?>
<ds:datastoreItem xmlns:ds="http://schemas.openxmlformats.org/officeDocument/2006/customXml" ds:itemID="{6B92D70A-1DF6-4DD1-84D7-68D1418731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CAA181F-3953-470D-9B3B-8342CA123745}">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87078D33-0130-4BF4-81D2-9A34A7E3E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 v5.0</Template>
  <TotalTime>14</TotalTime>
  <Pages>59</Pages>
  <Words>17215</Words>
  <Characters>98127</Characters>
  <Application>Microsoft Office Word</Application>
  <DocSecurity>0</DocSecurity>
  <Lines>817</Lines>
  <Paragraphs>230</Paragraphs>
  <ScaleCrop>false</ScaleCrop>
  <HeadingPairs>
    <vt:vector size="2" baseType="variant">
      <vt:variant>
        <vt:lpstr>Title</vt:lpstr>
      </vt:variant>
      <vt:variant>
        <vt:i4>1</vt:i4>
      </vt:variant>
    </vt:vector>
  </HeadingPairs>
  <TitlesOfParts>
    <vt:vector size="1" baseType="lpstr">
      <vt:lpstr>1</vt:lpstr>
    </vt:vector>
  </TitlesOfParts>
  <Company>home</Company>
  <LinksUpToDate>false</LinksUpToDate>
  <CharactersWithSpaces>115112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Leona Osinga</dc:creator>
  <cp:lastModifiedBy>Tara D'Souza</cp:lastModifiedBy>
  <cp:revision>4</cp:revision>
  <cp:lastPrinted>2019-06-27T02:13:00Z</cp:lastPrinted>
  <dcterms:created xsi:type="dcterms:W3CDTF">2019-06-27T01:38:00Z</dcterms:created>
  <dcterms:modified xsi:type="dcterms:W3CDTF">2019-06-27T02:14:00Z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0x010100E139BD39144E154B8CDB54BEE52F3B9D003E055241286E134DAF52D32F70B8264E</vt:lpwstr>
  </property>
  <property fmtid="{D5CDD505-2E9C-101B-9397-08002B2CF9AE}" pid="3" name="ZOTERO_PREF_2">
    <vt:lpwstr>&lt;pref name="noteType" value="1"/&gt;&lt;/prefs&gt;&lt;/data&gt;</vt:lpwstr>
  </property>
  <property fmtid="{D5CDD505-2E9C-101B-9397-08002B2CF9AE}" pid="4" name="Related Job">
    <vt:lpwstr>727</vt:lpwstr>
  </property>
  <property fmtid="{D5CDD505-2E9C-101B-9397-08002B2CF9AE}" pid="5" name="Client Account">
    <vt:lpwstr>375</vt:lpwstr>
  </property>
  <property fmtid="{D5CDD505-2E9C-101B-9397-08002B2CF9AE}" pid="6" name="Document Type">
    <vt:lpwstr>6</vt:lpwstr>
  </property>
  <property fmtid="{D5CDD505-2E9C-101B-9397-08002B2CF9AE}" pid="7" name="WorkflowChangePath">
    <vt:lpwstr>5e5148c6-6119-4905-959a-5b6c0a8230dc,211;</vt:lpwstr>
  </property>
  <property fmtid="{D5CDD505-2E9C-101B-9397-08002B2CF9AE}" pid="8" name="AuthorIds_UIVersion_26624">
    <vt:lpwstr>1721</vt:lpwstr>
  </property>
  <property fmtid="{D5CDD505-2E9C-101B-9397-08002B2CF9AE}" pid="9" name="SharedWithUsers">
    <vt:lpwstr>503;#Mike Reid;#1182;#Simon Sagerer;#1721;#Leona Osinga</vt:lpwstr>
  </property>
  <property fmtid="{D5CDD505-2E9C-101B-9397-08002B2CF9AE}" pid="10" name="AuthorIds_UIVersion_5120">
    <vt:lpwstr>503</vt:lpwstr>
  </property>
  <property fmtid="{D5CDD505-2E9C-101B-9397-08002B2CF9AE}" pid="11" name="AuthorIds_UIVersion_5632">
    <vt:lpwstr>1721</vt:lpwstr>
  </property>
  <property fmtid="{D5CDD505-2E9C-101B-9397-08002B2CF9AE}" pid="12" name="AuthorIds_UIVersion_6144">
    <vt:lpwstr>503</vt:lpwstr>
  </property>
  <property fmtid="{D5CDD505-2E9C-101B-9397-08002B2CF9AE}" pid="13" name="AuthorIds_UIVersion_7680">
    <vt:lpwstr>1721</vt:lpwstr>
  </property>
  <property fmtid="{D5CDD505-2E9C-101B-9397-08002B2CF9AE}" pid="14" name="AuthorIds_UIVersion_8192">
    <vt:lpwstr>1721</vt:lpwstr>
  </property>
  <property fmtid="{D5CDD505-2E9C-101B-9397-08002B2CF9AE}" pid="15" name="AuthorIds_UIVersion_9216">
    <vt:lpwstr>1721</vt:lpwstr>
  </property>
  <property fmtid="{D5CDD505-2E9C-101B-9397-08002B2CF9AE}" pid="16" name="AuthorIds_UIVersion_11264">
    <vt:lpwstr>1721</vt:lpwstr>
  </property>
  <property fmtid="{D5CDD505-2E9C-101B-9397-08002B2CF9AE}" pid="17" name="AuthorIds_UIVersion_12800">
    <vt:lpwstr>503</vt:lpwstr>
  </property>
  <property fmtid="{D5CDD505-2E9C-101B-9397-08002B2CF9AE}" pid="18" name="AuthorIds_UIVersion_15872">
    <vt:lpwstr>1721</vt:lpwstr>
  </property>
  <property fmtid="{D5CDD505-2E9C-101B-9397-08002B2CF9AE}" pid="19" name="AuthorIds_UIVersion_35840">
    <vt:lpwstr>503</vt:lpwstr>
  </property>
  <property fmtid="{D5CDD505-2E9C-101B-9397-08002B2CF9AE}" pid="20" name="ZOTERO_PREF_1">
    <vt:lpwstr>&lt;data data-version="3" zotero-version="5.0.66"&gt;&lt;session id="jyoBG8px"/&gt;&lt;style id="http://www.zotero.org/styles/chicago-fullnote-bibliography" locale="en-US" hasBibliography="1" bibliographyStyleHasBeenSet="1"/&gt;&lt;prefs&gt;&lt;pref name="fieldType" value="Field"/&gt;</vt:lpwstr>
  </property>
  <property fmtid="{D5CDD505-2E9C-101B-9397-08002B2CF9AE}" pid="21" name="AuthorIds_UIVersion_40960">
    <vt:lpwstr>503</vt:lpwstr>
  </property>
  <property fmtid="{D5CDD505-2E9C-101B-9397-08002B2CF9AE}" pid="22" name="AuthorIds_UIVersion_41472">
    <vt:lpwstr>503</vt:lpwstr>
  </property>
  <property fmtid="{D5CDD505-2E9C-101B-9397-08002B2CF9AE}" pid="23" name="AuthorIds_UIVersion_44544">
    <vt:lpwstr>1721</vt:lpwstr>
  </property>
  <property fmtid="{D5CDD505-2E9C-101B-9397-08002B2CF9AE}" pid="24" name="AuthorIds_UIVersion_45056">
    <vt:lpwstr>1721</vt:lpwstr>
  </property>
  <property fmtid="{D5CDD505-2E9C-101B-9397-08002B2CF9AE}" pid="25" name="AuthorIds_UIVersion_56320">
    <vt:lpwstr>503</vt:lpwstr>
  </property>
  <property fmtid="{D5CDD505-2E9C-101B-9397-08002B2CF9AE}" pid="26" name="AuthorIds_UIVersion_60928">
    <vt:lpwstr>503</vt:lpwstr>
  </property>
  <property fmtid="{D5CDD505-2E9C-101B-9397-08002B2CF9AE}" pid="27" name="AuthorIds_UIVersion_61952">
    <vt:lpwstr>503</vt:lpwstr>
  </property>
  <property fmtid="{D5CDD505-2E9C-101B-9397-08002B2CF9AE}" pid="28" name="AuthorIds_UIVersion_65536">
    <vt:lpwstr>503</vt:lpwstr>
  </property>
  <property fmtid="{D5CDD505-2E9C-101B-9397-08002B2CF9AE}" pid="29" name="AuthorIds_UIVersion_73216">
    <vt:lpwstr>1721</vt:lpwstr>
  </property>
  <property fmtid="{D5CDD505-2E9C-101B-9397-08002B2CF9AE}" pid="30" name="AuthorIds_UIVersion_77824">
    <vt:lpwstr>503</vt:lpwstr>
  </property>
  <property fmtid="{D5CDD505-2E9C-101B-9397-08002B2CF9AE}" pid="31" name="AuthorIds_UIVersion_82944">
    <vt:lpwstr>503</vt:lpwstr>
  </property>
  <property fmtid="{D5CDD505-2E9C-101B-9397-08002B2CF9AE}" pid="32" name="AuthorIds_UIVersion_85504">
    <vt:lpwstr>1182</vt:lpwstr>
  </property>
  <property fmtid="{D5CDD505-2E9C-101B-9397-08002B2CF9AE}" pid="33" name="AuthorIds_UIVersion_86016">
    <vt:lpwstr>1182</vt:lpwstr>
  </property>
  <property fmtid="{D5CDD505-2E9C-101B-9397-08002B2CF9AE}" pid="34" name="AuthorIds_UIVersion_87040">
    <vt:lpwstr>1182</vt:lpwstr>
  </property>
  <property fmtid="{D5CDD505-2E9C-101B-9397-08002B2CF9AE}" pid="35" name="AuthorIds_UIVersion_88064">
    <vt:lpwstr>1182</vt:lpwstr>
  </property>
  <property fmtid="{D5CDD505-2E9C-101B-9397-08002B2CF9AE}" pid="36" name="AuthorIds_UIVersion_88576">
    <vt:lpwstr>1182</vt:lpwstr>
  </property>
  <property fmtid="{D5CDD505-2E9C-101B-9397-08002B2CF9AE}" pid="37" name="AuthorIds_UIVersion_89600">
    <vt:lpwstr>1182</vt:lpwstr>
  </property>
  <property fmtid="{D5CDD505-2E9C-101B-9397-08002B2CF9AE}" pid="38" name="AuthorIds_UIVersion_90112">
    <vt:lpwstr>1182</vt:lpwstr>
  </property>
  <property fmtid="{D5CDD505-2E9C-101B-9397-08002B2CF9AE}" pid="39" name="AuthorIds_UIVersion_90624">
    <vt:lpwstr>1182</vt:lpwstr>
  </property>
  <property fmtid="{D5CDD505-2E9C-101B-9397-08002B2CF9AE}" pid="40" name="AuthorIds_UIVersion_96768">
    <vt:lpwstr>40</vt:lpwstr>
  </property>
  <property fmtid="{D5CDD505-2E9C-101B-9397-08002B2CF9AE}" pid="41" name="AuthorIds_UIVersion_97792">
    <vt:lpwstr>40</vt:lpwstr>
  </property>
  <property fmtid="{D5CDD505-2E9C-101B-9397-08002B2CF9AE}" pid="42" name="AuthorIds_UIVersion_102912">
    <vt:lpwstr>503</vt:lpwstr>
  </property>
  <property fmtid="{D5CDD505-2E9C-101B-9397-08002B2CF9AE}" pid="43" name="AuthorIds_UIVersion_1024">
    <vt:lpwstr>503</vt:lpwstr>
  </property>
</Properties>
</file>