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73320" w14:textId="77777777" w:rsidR="00275B28" w:rsidRDefault="00275B28"/>
    <w:tbl>
      <w:tblPr>
        <w:tblW w:w="5000" w:type="pct"/>
        <w:jc w:val="center"/>
        <w:tblLook w:val="04A0" w:firstRow="1" w:lastRow="0" w:firstColumn="1" w:lastColumn="0" w:noHBand="0" w:noVBand="1"/>
      </w:tblPr>
      <w:tblGrid>
        <w:gridCol w:w="9242"/>
      </w:tblGrid>
      <w:tr w:rsidR="00C775B6" w14:paraId="689F7CA9" w14:textId="77777777" w:rsidTr="00D333C8">
        <w:trPr>
          <w:trHeight w:val="2157"/>
          <w:jc w:val="center"/>
        </w:trPr>
        <w:tc>
          <w:tcPr>
            <w:tcW w:w="5000" w:type="pct"/>
          </w:tcPr>
          <w:p w14:paraId="096134DC" w14:textId="77777777" w:rsidR="00C775B6" w:rsidRDefault="00C775B6">
            <w:pPr>
              <w:pStyle w:val="NoSpacing"/>
              <w:jc w:val="center"/>
              <w:rPr>
                <w:rFonts w:ascii="Cambria" w:eastAsia="Times New Roman" w:hAnsi="Cambria" w:cs="Times New Roman"/>
                <w:caps/>
              </w:rPr>
            </w:pPr>
          </w:p>
          <w:p w14:paraId="7135946A" w14:textId="77777777" w:rsidR="00275B28" w:rsidRDefault="00275B28">
            <w:pPr>
              <w:pStyle w:val="NoSpacing"/>
              <w:jc w:val="center"/>
              <w:rPr>
                <w:rFonts w:ascii="Cambria" w:eastAsia="Times New Roman" w:hAnsi="Cambria" w:cs="Times New Roman"/>
                <w:caps/>
              </w:rPr>
            </w:pPr>
          </w:p>
          <w:p w14:paraId="2F8BA510" w14:textId="77777777" w:rsidR="00275B28" w:rsidRDefault="00275B28">
            <w:pPr>
              <w:pStyle w:val="NoSpacing"/>
              <w:jc w:val="center"/>
              <w:rPr>
                <w:rFonts w:ascii="Cambria" w:eastAsia="Times New Roman" w:hAnsi="Cambria" w:cs="Times New Roman"/>
                <w:caps/>
              </w:rPr>
            </w:pPr>
          </w:p>
          <w:p w14:paraId="1B4828B6" w14:textId="77777777" w:rsidR="00275B28" w:rsidRDefault="00275B28">
            <w:pPr>
              <w:pStyle w:val="NoSpacing"/>
              <w:jc w:val="center"/>
              <w:rPr>
                <w:rFonts w:ascii="Cambria" w:eastAsia="Times New Roman" w:hAnsi="Cambria" w:cs="Times New Roman"/>
                <w:caps/>
              </w:rPr>
            </w:pPr>
          </w:p>
          <w:p w14:paraId="3A4E960D" w14:textId="77777777" w:rsidR="00275B28" w:rsidRDefault="00275B28">
            <w:pPr>
              <w:pStyle w:val="NoSpacing"/>
              <w:jc w:val="center"/>
              <w:rPr>
                <w:rFonts w:ascii="Cambria" w:eastAsia="Times New Roman" w:hAnsi="Cambria" w:cs="Times New Roman"/>
                <w:caps/>
              </w:rPr>
            </w:pPr>
          </w:p>
          <w:p w14:paraId="73DF3295" w14:textId="77777777" w:rsidR="00275B28" w:rsidRDefault="00275B28">
            <w:pPr>
              <w:pStyle w:val="NoSpacing"/>
              <w:jc w:val="center"/>
              <w:rPr>
                <w:rFonts w:ascii="Cambria" w:eastAsia="Times New Roman" w:hAnsi="Cambria" w:cs="Times New Roman"/>
                <w:caps/>
              </w:rPr>
            </w:pPr>
          </w:p>
          <w:p w14:paraId="54A4715E" w14:textId="77777777" w:rsidR="00275B28" w:rsidRDefault="00275B28">
            <w:pPr>
              <w:pStyle w:val="NoSpacing"/>
              <w:jc w:val="center"/>
              <w:rPr>
                <w:rFonts w:ascii="Cambria" w:eastAsia="Times New Roman" w:hAnsi="Cambria" w:cs="Times New Roman"/>
                <w:caps/>
              </w:rPr>
            </w:pPr>
          </w:p>
          <w:p w14:paraId="439E0B13" w14:textId="77777777" w:rsidR="00275B28" w:rsidRDefault="00275B28">
            <w:pPr>
              <w:pStyle w:val="NoSpacing"/>
              <w:jc w:val="center"/>
              <w:rPr>
                <w:rFonts w:ascii="Cambria" w:eastAsia="Times New Roman" w:hAnsi="Cambria" w:cs="Times New Roman"/>
                <w:caps/>
              </w:rPr>
            </w:pPr>
          </w:p>
          <w:p w14:paraId="2743A1B6" w14:textId="77777777" w:rsidR="00275B28" w:rsidRDefault="00275B28">
            <w:pPr>
              <w:pStyle w:val="NoSpacing"/>
              <w:jc w:val="center"/>
              <w:rPr>
                <w:rFonts w:ascii="Cambria" w:eastAsia="Times New Roman" w:hAnsi="Cambria" w:cs="Times New Roman"/>
                <w:caps/>
              </w:rPr>
            </w:pPr>
          </w:p>
        </w:tc>
      </w:tr>
      <w:tr w:rsidR="00C775B6" w14:paraId="0D46635D" w14:textId="77777777" w:rsidTr="00C775B6">
        <w:trPr>
          <w:trHeight w:val="1440"/>
          <w:jc w:val="center"/>
        </w:trPr>
        <w:tc>
          <w:tcPr>
            <w:tcW w:w="5000" w:type="pct"/>
            <w:tcBorders>
              <w:top w:val="nil"/>
              <w:left w:val="nil"/>
              <w:bottom w:val="single" w:sz="4" w:space="0" w:color="4F81BD"/>
              <w:right w:val="nil"/>
            </w:tcBorders>
            <w:vAlign w:val="center"/>
            <w:hideMark/>
          </w:tcPr>
          <w:p w14:paraId="497E4C6A" w14:textId="31835EC7" w:rsidR="00C775B6" w:rsidRDefault="008F52B7" w:rsidP="005C4BA0">
            <w:pPr>
              <w:pStyle w:val="NoSpacing"/>
              <w:jc w:val="center"/>
              <w:rPr>
                <w:rFonts w:ascii="Cambria" w:eastAsia="Times New Roman" w:hAnsi="Cambria" w:cs="Times New Roman"/>
                <w:sz w:val="80"/>
                <w:szCs w:val="80"/>
              </w:rPr>
            </w:pPr>
            <w:r>
              <w:rPr>
                <w:rFonts w:ascii="Cambria" w:eastAsia="Times New Roman" w:hAnsi="Cambria" w:cs="Times New Roman"/>
                <w:sz w:val="80"/>
                <w:szCs w:val="80"/>
              </w:rPr>
              <w:t xml:space="preserve">Hardship </w:t>
            </w:r>
            <w:r w:rsidR="005C4BA0">
              <w:rPr>
                <w:rFonts w:ascii="Cambria" w:eastAsia="Times New Roman" w:hAnsi="Cambria" w:cs="Times New Roman"/>
                <w:sz w:val="80"/>
                <w:szCs w:val="80"/>
              </w:rPr>
              <w:t xml:space="preserve">Policies in </w:t>
            </w:r>
            <w:r>
              <w:rPr>
                <w:rFonts w:ascii="Cambria" w:eastAsia="Times New Roman" w:hAnsi="Cambria" w:cs="Times New Roman"/>
                <w:sz w:val="80"/>
                <w:szCs w:val="80"/>
              </w:rPr>
              <w:t>Practice</w:t>
            </w:r>
            <w:r w:rsidR="00E5387C">
              <w:rPr>
                <w:rFonts w:ascii="Cambria" w:eastAsia="Times New Roman" w:hAnsi="Cambria" w:cs="Times New Roman"/>
                <w:sz w:val="80"/>
                <w:szCs w:val="80"/>
              </w:rPr>
              <w:t xml:space="preserve"> </w:t>
            </w:r>
          </w:p>
        </w:tc>
      </w:tr>
      <w:tr w:rsidR="00C775B6" w14:paraId="2B1F6DAF" w14:textId="77777777" w:rsidTr="00C775B6">
        <w:trPr>
          <w:trHeight w:val="720"/>
          <w:jc w:val="center"/>
        </w:trPr>
        <w:tc>
          <w:tcPr>
            <w:tcW w:w="5000" w:type="pct"/>
            <w:tcBorders>
              <w:top w:val="single" w:sz="4" w:space="0" w:color="4F81BD"/>
              <w:left w:val="nil"/>
              <w:bottom w:val="nil"/>
              <w:right w:val="nil"/>
            </w:tcBorders>
            <w:vAlign w:val="center"/>
            <w:hideMark/>
          </w:tcPr>
          <w:p w14:paraId="605EACFE" w14:textId="5014F760" w:rsidR="00C775B6" w:rsidRDefault="005C4BA0" w:rsidP="005C4BA0">
            <w:pPr>
              <w:pStyle w:val="NoSpacing"/>
              <w:jc w:val="center"/>
              <w:rPr>
                <w:rFonts w:ascii="Cambria" w:eastAsia="Times New Roman" w:hAnsi="Cambria" w:cs="Times New Roman"/>
                <w:sz w:val="44"/>
                <w:szCs w:val="44"/>
              </w:rPr>
            </w:pPr>
            <w:r>
              <w:rPr>
                <w:rFonts w:ascii="Cambria" w:eastAsia="Times New Roman" w:hAnsi="Cambria" w:cs="Times New Roman"/>
                <w:sz w:val="44"/>
                <w:szCs w:val="44"/>
              </w:rPr>
              <w:t>A comparative study</w:t>
            </w:r>
          </w:p>
        </w:tc>
      </w:tr>
      <w:tr w:rsidR="00C775B6" w14:paraId="2249E99A" w14:textId="77777777" w:rsidTr="00C775B6">
        <w:trPr>
          <w:trHeight w:val="360"/>
          <w:jc w:val="center"/>
        </w:trPr>
        <w:tc>
          <w:tcPr>
            <w:tcW w:w="5000" w:type="pct"/>
            <w:vAlign w:val="center"/>
          </w:tcPr>
          <w:p w14:paraId="6FBF8B24" w14:textId="77777777" w:rsidR="00C775B6" w:rsidRDefault="00C775B6">
            <w:pPr>
              <w:pStyle w:val="NoSpacing"/>
              <w:jc w:val="center"/>
            </w:pPr>
          </w:p>
        </w:tc>
      </w:tr>
      <w:tr w:rsidR="00C775B6" w14:paraId="1EA70F63" w14:textId="77777777" w:rsidTr="00C775B6">
        <w:trPr>
          <w:trHeight w:val="360"/>
          <w:jc w:val="center"/>
        </w:trPr>
        <w:tc>
          <w:tcPr>
            <w:tcW w:w="5000" w:type="pct"/>
            <w:vAlign w:val="center"/>
            <w:hideMark/>
          </w:tcPr>
          <w:p w14:paraId="089386CD" w14:textId="77777777" w:rsidR="00C775B6" w:rsidRPr="00E54442" w:rsidRDefault="00C652F2">
            <w:pPr>
              <w:pStyle w:val="NoSpacing"/>
              <w:jc w:val="center"/>
              <w:rPr>
                <w:rFonts w:asciiTheme="minorHAnsi" w:hAnsiTheme="minorHAnsi" w:cstheme="minorHAnsi"/>
                <w:b/>
                <w:bCs/>
                <w:sz w:val="24"/>
                <w:szCs w:val="24"/>
              </w:rPr>
            </w:pPr>
            <w:r w:rsidRPr="00E54442">
              <w:rPr>
                <w:rFonts w:asciiTheme="minorHAnsi" w:hAnsiTheme="minorHAnsi" w:cstheme="minorHAnsi"/>
                <w:b/>
                <w:bCs/>
                <w:sz w:val="24"/>
                <w:szCs w:val="24"/>
                <w:lang w:val="en-AU"/>
              </w:rPr>
              <w:t>Lauren Levin</w:t>
            </w:r>
            <w:r w:rsidR="00F345BB" w:rsidRPr="00E54442">
              <w:rPr>
                <w:rFonts w:asciiTheme="minorHAnsi" w:hAnsiTheme="minorHAnsi" w:cstheme="minorHAnsi"/>
                <w:b/>
                <w:bCs/>
                <w:sz w:val="24"/>
                <w:szCs w:val="24"/>
                <w:lang w:val="en-AU"/>
              </w:rPr>
              <w:t xml:space="preserve"> and Fiona Guthrie</w:t>
            </w:r>
          </w:p>
        </w:tc>
      </w:tr>
      <w:tr w:rsidR="00C775B6" w14:paraId="23B50116" w14:textId="77777777" w:rsidTr="00C775B6">
        <w:trPr>
          <w:trHeight w:val="360"/>
          <w:jc w:val="center"/>
        </w:trPr>
        <w:tc>
          <w:tcPr>
            <w:tcW w:w="5000" w:type="pct"/>
            <w:vAlign w:val="center"/>
            <w:hideMark/>
          </w:tcPr>
          <w:p w14:paraId="599D0911" w14:textId="3FEE1400" w:rsidR="00C775B6" w:rsidRPr="00E54442" w:rsidRDefault="00654F99">
            <w:pPr>
              <w:pStyle w:val="NoSpacing"/>
              <w:jc w:val="center"/>
              <w:rPr>
                <w:rFonts w:asciiTheme="minorHAnsi" w:hAnsiTheme="minorHAnsi" w:cstheme="minorHAnsi"/>
                <w:b/>
                <w:bCs/>
                <w:sz w:val="24"/>
                <w:szCs w:val="24"/>
              </w:rPr>
            </w:pPr>
            <w:r>
              <w:rPr>
                <w:rFonts w:asciiTheme="minorHAnsi" w:hAnsiTheme="minorHAnsi" w:cstheme="minorHAnsi"/>
                <w:b/>
                <w:bCs/>
                <w:sz w:val="24"/>
                <w:szCs w:val="24"/>
              </w:rPr>
              <w:t>May</w:t>
            </w:r>
            <w:r w:rsidR="00C7452D" w:rsidRPr="00E54442">
              <w:rPr>
                <w:rFonts w:asciiTheme="minorHAnsi" w:hAnsiTheme="minorHAnsi" w:cstheme="minorHAnsi"/>
                <w:b/>
                <w:bCs/>
                <w:sz w:val="24"/>
                <w:szCs w:val="24"/>
              </w:rPr>
              <w:t xml:space="preserve"> 2014</w:t>
            </w:r>
          </w:p>
          <w:p w14:paraId="50539C98" w14:textId="77777777" w:rsidR="00C7452D" w:rsidRDefault="00C7452D" w:rsidP="00A844B3">
            <w:pPr>
              <w:pStyle w:val="NoSpacing"/>
              <w:rPr>
                <w:b/>
                <w:bCs/>
                <w:sz w:val="24"/>
                <w:szCs w:val="24"/>
              </w:rPr>
            </w:pPr>
          </w:p>
          <w:p w14:paraId="0A060330" w14:textId="2EADF987" w:rsidR="00C7452D" w:rsidRDefault="00C7452D">
            <w:pPr>
              <w:pStyle w:val="NoSpacing"/>
              <w:jc w:val="center"/>
              <w:rPr>
                <w:b/>
                <w:bCs/>
                <w:sz w:val="24"/>
                <w:szCs w:val="24"/>
              </w:rPr>
            </w:pPr>
          </w:p>
        </w:tc>
      </w:tr>
    </w:tbl>
    <w:p w14:paraId="76E7757C" w14:textId="315452F1" w:rsidR="00A844B3" w:rsidRDefault="00A844B3">
      <w:pPr>
        <w:rPr>
          <w:b/>
        </w:rPr>
      </w:pPr>
    </w:p>
    <w:p w14:paraId="29E6D3BF" w14:textId="09DDC966" w:rsidR="00A844B3" w:rsidRDefault="00A844B3">
      <w:pPr>
        <w:rPr>
          <w:b/>
        </w:rPr>
      </w:pPr>
    </w:p>
    <w:p w14:paraId="175606D4" w14:textId="77777777" w:rsidR="00A844B3" w:rsidRDefault="00A844B3">
      <w:pPr>
        <w:rPr>
          <w:b/>
        </w:rPr>
      </w:pPr>
    </w:p>
    <w:p w14:paraId="5A50AE95" w14:textId="73FEE071" w:rsidR="00A844B3" w:rsidRDefault="00A844B3">
      <w:pPr>
        <w:rPr>
          <w:b/>
        </w:rPr>
      </w:pPr>
    </w:p>
    <w:p w14:paraId="26600595" w14:textId="77777777" w:rsidR="00AA5126" w:rsidRDefault="00AA5126">
      <w:pPr>
        <w:rPr>
          <w:b/>
        </w:rPr>
      </w:pPr>
    </w:p>
    <w:p w14:paraId="4CC2E86A" w14:textId="77777777" w:rsidR="00AA5126" w:rsidRDefault="00AA5126">
      <w:pPr>
        <w:rPr>
          <w:b/>
        </w:rPr>
      </w:pPr>
    </w:p>
    <w:p w14:paraId="7DC8F7FE" w14:textId="77777777" w:rsidR="00A844B3" w:rsidRDefault="0024077C" w:rsidP="0024077C">
      <w:pPr>
        <w:rPr>
          <w:b/>
        </w:rPr>
      </w:pPr>
      <w:r>
        <w:rPr>
          <w:noProof/>
          <w:lang w:val="en-AU" w:eastAsia="en-AU"/>
        </w:rPr>
        <w:drawing>
          <wp:anchor distT="0" distB="0" distL="114300" distR="114300" simplePos="0" relativeHeight="251658240" behindDoc="0" locked="0" layoutInCell="1" allowOverlap="1" wp14:anchorId="1748A70E" wp14:editId="32787B11">
            <wp:simplePos x="0" y="0"/>
            <wp:positionH relativeFrom="margin">
              <wp:align>right</wp:align>
            </wp:positionH>
            <wp:positionV relativeFrom="paragraph">
              <wp:posOffset>1020859</wp:posOffset>
            </wp:positionV>
            <wp:extent cx="1638300" cy="847725"/>
            <wp:effectExtent l="0" t="0" r="0" b="9525"/>
            <wp:wrapNone/>
            <wp:docPr id="1" name="Picture 1"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A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anchor>
        </w:drawing>
      </w:r>
      <w:r w:rsidR="00A844B3">
        <w:rPr>
          <w:rFonts w:ascii="Garamond Premr Pro Smbd Disp" w:hAnsi="Garamond Premr Pro Smbd Disp" w:cs="Arial"/>
          <w:caps/>
          <w:noProof/>
          <w:color w:val="244061"/>
          <w:sz w:val="36"/>
          <w:lang w:val="en-AU" w:eastAsia="en-AU"/>
        </w:rPr>
        <w:drawing>
          <wp:inline distT="0" distB="0" distL="0" distR="0" wp14:anchorId="593D9ADE" wp14:editId="0EA32343">
            <wp:extent cx="1115959" cy="1937137"/>
            <wp:effectExtent l="0" t="0" r="8255" b="6350"/>
            <wp:docPr id="3" name="Picture 3" descr="Financial counselling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826" cy="1976831"/>
                    </a:xfrm>
                    <a:prstGeom prst="rect">
                      <a:avLst/>
                    </a:prstGeom>
                    <a:noFill/>
                    <a:ln>
                      <a:noFill/>
                    </a:ln>
                  </pic:spPr>
                </pic:pic>
              </a:graphicData>
            </a:graphic>
          </wp:inline>
        </w:drawing>
      </w:r>
    </w:p>
    <w:p w14:paraId="32D8C7D4" w14:textId="2892FC53" w:rsidR="00A844B3" w:rsidRDefault="00A844B3">
      <w:pPr>
        <w:rPr>
          <w:b/>
        </w:rPr>
      </w:pPr>
      <w:r>
        <w:rPr>
          <w:b/>
        </w:rPr>
        <w:br w:type="page"/>
      </w:r>
    </w:p>
    <w:p w14:paraId="40F5ECE7" w14:textId="72AE1A2E" w:rsidR="00C652F2" w:rsidRPr="00E54442" w:rsidRDefault="00AB57E1" w:rsidP="00C652F2">
      <w:r>
        <w:lastRenderedPageBreak/>
        <w:t>Hardship Policies in Practice</w:t>
      </w:r>
      <w:r w:rsidR="006F0109" w:rsidRPr="00E54442">
        <w:t>: A comparative study</w:t>
      </w:r>
    </w:p>
    <w:p w14:paraId="358E2BD1" w14:textId="77777777" w:rsidR="00C652F2" w:rsidRDefault="00C652F2" w:rsidP="00C652F2">
      <w:r>
        <w:t xml:space="preserve">Authored by </w:t>
      </w:r>
      <w:r w:rsidRPr="00E54442">
        <w:t xml:space="preserve">Lauren Levin </w:t>
      </w:r>
      <w:r w:rsidR="00F345BB" w:rsidRPr="00E54442">
        <w:t>and Fiona Guthrie</w:t>
      </w:r>
    </w:p>
    <w:p w14:paraId="2A33B8DC" w14:textId="6AB3A9A4" w:rsidR="00C652F2" w:rsidRDefault="00C652F2" w:rsidP="00C652F2">
      <w:r>
        <w:t xml:space="preserve">Published in </w:t>
      </w:r>
      <w:r w:rsidR="00B7673F" w:rsidRPr="00E54442">
        <w:t>2014</w:t>
      </w:r>
    </w:p>
    <w:p w14:paraId="1D4791C9" w14:textId="77777777" w:rsidR="00C652F2" w:rsidRDefault="00C652F2" w:rsidP="00C652F2">
      <w:r>
        <w:t xml:space="preserve">The operation of the Australian Communications Consumer Action Network is made possible by funding provided by the Commonwealth of Australia under section 593 of the </w:t>
      </w:r>
      <w:r>
        <w:rPr>
          <w:i/>
        </w:rPr>
        <w:t>Telecommunications Act 1997</w:t>
      </w:r>
      <w:r>
        <w:t>. This funding is recovered from charges on telecommunications carriers.</w:t>
      </w:r>
    </w:p>
    <w:p w14:paraId="6AFFA9C3" w14:textId="77777777" w:rsidR="00A844B3" w:rsidRDefault="00A844B3" w:rsidP="00A844B3">
      <w:pPr>
        <w:widowControl w:val="0"/>
        <w:tabs>
          <w:tab w:val="left" w:pos="6804"/>
        </w:tabs>
        <w:autoSpaceDE w:val="0"/>
        <w:autoSpaceDN w:val="0"/>
        <w:adjustRightInd w:val="0"/>
        <w:ind w:right="95"/>
      </w:pPr>
      <w:r w:rsidRPr="00E54442">
        <w:t>Financial Counselling Australia</w:t>
      </w:r>
      <w:r w:rsidRPr="00567557">
        <w:t xml:space="preserve"> (</w:t>
      </w:r>
      <w:proofErr w:type="spellStart"/>
      <w:r w:rsidRPr="00567557">
        <w:t>FCA</w:t>
      </w:r>
      <w:proofErr w:type="spellEnd"/>
      <w:r w:rsidRPr="00567557">
        <w:t>)</w:t>
      </w:r>
      <w:r>
        <w:t xml:space="preserve"> is the peak body for financial </w:t>
      </w:r>
      <w:r w:rsidRPr="00567557">
        <w:t>counsellors in Australia.</w:t>
      </w:r>
    </w:p>
    <w:p w14:paraId="5DB098E5" w14:textId="6D208204" w:rsidR="00C652F2" w:rsidRDefault="00C652F2" w:rsidP="00A844B3">
      <w:pPr>
        <w:widowControl w:val="0"/>
        <w:tabs>
          <w:tab w:val="left" w:pos="6804"/>
        </w:tabs>
        <w:autoSpaceDE w:val="0"/>
        <w:autoSpaceDN w:val="0"/>
        <w:adjustRightInd w:val="0"/>
        <w:ind w:right="95"/>
      </w:pPr>
      <w:r>
        <w:t xml:space="preserve">Website: </w:t>
      </w:r>
      <w:r w:rsidRPr="00E54442">
        <w:t>www.financialcounsellingaustralia.org.au</w:t>
      </w:r>
      <w:r w:rsidRPr="00E54442">
        <w:br/>
        <w:t>Email: info@financialcounsellingaustralia.org.au</w:t>
      </w:r>
      <w:r w:rsidRPr="00E54442">
        <w:br/>
        <w:t>Telephone: 07 3004 6911</w:t>
      </w:r>
    </w:p>
    <w:p w14:paraId="5AE670F7" w14:textId="77777777" w:rsidR="00C652F2" w:rsidRDefault="00C652F2" w:rsidP="00C652F2">
      <w:r>
        <w:t>Australian Communications Consumer Action Network</w:t>
      </w:r>
      <w:r>
        <w:br/>
        <w:t>Website: www.accan.org.au</w:t>
      </w:r>
      <w:r>
        <w:br/>
        <w:t>Email: grants@accan.org.au</w:t>
      </w:r>
      <w:r>
        <w:br/>
        <w:t>Telephone: 02 9288 4000</w:t>
      </w:r>
      <w:r>
        <w:br/>
        <w:t>TTY: 02 9281 5322</w:t>
      </w:r>
    </w:p>
    <w:p w14:paraId="5588A386" w14:textId="733BD658" w:rsidR="00C652F2" w:rsidRDefault="00654F99" w:rsidP="00C652F2">
      <w:r>
        <w:t xml:space="preserve">ISBN: </w:t>
      </w:r>
      <w:r w:rsidRPr="00654F99">
        <w:t>978-1-921974-21-2 </w:t>
      </w:r>
      <w:r w:rsidR="00C652F2">
        <w:br/>
        <w:t xml:space="preserve">Cover image: </w:t>
      </w:r>
      <w:proofErr w:type="spellStart"/>
      <w:r w:rsidR="00C0317D">
        <w:t>Stockfresh</w:t>
      </w:r>
      <w:proofErr w:type="spellEnd"/>
      <w:r w:rsidR="00C0317D">
        <w:t xml:space="preserve"> 2013</w:t>
      </w:r>
    </w:p>
    <w:p w14:paraId="75F625D1" w14:textId="77777777" w:rsidR="00C652F2" w:rsidRDefault="00C652F2" w:rsidP="00C652F2">
      <w:pPr>
        <w:autoSpaceDE w:val="0"/>
        <w:autoSpaceDN w:val="0"/>
        <w:adjustRightInd w:val="0"/>
      </w:pPr>
      <w:r>
        <w:rPr>
          <w:noProof/>
          <w:lang w:val="en-AU" w:eastAsia="en-AU"/>
        </w:rPr>
        <w:drawing>
          <wp:inline distT="0" distB="0" distL="0" distR="0" wp14:anchorId="3E465DC0" wp14:editId="2C87721B">
            <wp:extent cx="1122423" cy="397486"/>
            <wp:effectExtent l="0" t="0" r="1905" b="3175"/>
            <wp:docPr id="464"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1" cstate="print"/>
                    <a:srcRect/>
                    <a:stretch>
                      <a:fillRect/>
                    </a:stretch>
                  </pic:blipFill>
                  <pic:spPr bwMode="auto">
                    <a:xfrm>
                      <a:off x="0" y="0"/>
                      <a:ext cx="1122045" cy="396875"/>
                    </a:xfrm>
                    <a:prstGeom prst="rect">
                      <a:avLst/>
                    </a:prstGeom>
                    <a:noFill/>
                    <a:ln w="9525">
                      <a:noFill/>
                      <a:miter lim="800000"/>
                      <a:headEnd/>
                      <a:tailEnd/>
                    </a:ln>
                  </pic:spPr>
                </pic:pic>
              </a:graphicData>
            </a:graphic>
          </wp:inline>
        </w:drawing>
      </w:r>
    </w:p>
    <w:p w14:paraId="7F15B078" w14:textId="6EA461AB" w:rsidR="00C652F2" w:rsidRDefault="00C652F2" w:rsidP="00C652F2">
      <w:pPr>
        <w:autoSpaceDE w:val="0"/>
        <w:autoSpaceDN w:val="0"/>
        <w:adjustRightInd w:val="0"/>
      </w:pPr>
      <w:r>
        <w:t xml:space="preserve">This work is copyright, licensed under the Creative Commons Attribution 3.0 Australia Licence. You are free to </w:t>
      </w:r>
      <w:proofErr w:type="gramStart"/>
      <w:r>
        <w:t>cite,</w:t>
      </w:r>
      <w:proofErr w:type="gramEnd"/>
      <w:r>
        <w:t xml:space="preserve"> copy, communicate and adapt this work, so long as you attribute the authors and </w:t>
      </w:r>
      <w:r w:rsidR="00DA0C85">
        <w:t>‘</w:t>
      </w:r>
      <w:r w:rsidR="00E54442">
        <w:t xml:space="preserve">Financial Counselling Australia, </w:t>
      </w:r>
      <w:r>
        <w:t>supported by a grant from the Australian Communications Consumer Action Network</w:t>
      </w:r>
      <w:r w:rsidR="00DA0C85">
        <w:t>’</w:t>
      </w:r>
      <w:r>
        <w:t>. To view a copy of this license, visit http://creativecommons.org/licenses/by/3.0/au/</w:t>
      </w:r>
    </w:p>
    <w:p w14:paraId="7E1FDB02" w14:textId="6CB0F877" w:rsidR="00C652F2" w:rsidRPr="00A844B3" w:rsidRDefault="00C652F2" w:rsidP="00A844B3">
      <w:pPr>
        <w:autoSpaceDE w:val="0"/>
        <w:autoSpaceDN w:val="0"/>
        <w:adjustRightInd w:val="0"/>
        <w:spacing w:after="0" w:line="240" w:lineRule="auto"/>
        <w:rPr>
          <w:rFonts w:cs="Calibri"/>
          <w:lang w:val="en-AU"/>
        </w:rPr>
      </w:pPr>
      <w:r w:rsidRPr="0046121D">
        <w:rPr>
          <w:color w:val="000000"/>
          <w:szCs w:val="21"/>
        </w:rPr>
        <w:t xml:space="preserve">This work can be cited as: </w:t>
      </w:r>
      <w:r w:rsidR="00A844B3" w:rsidRPr="0046121D">
        <w:rPr>
          <w:color w:val="000000"/>
          <w:szCs w:val="21"/>
        </w:rPr>
        <w:t>Financ</w:t>
      </w:r>
      <w:r w:rsidR="006639E5">
        <w:rPr>
          <w:color w:val="000000"/>
          <w:szCs w:val="21"/>
        </w:rPr>
        <w:t>ial Counselling Australia</w:t>
      </w:r>
      <w:r w:rsidR="003035D8">
        <w:rPr>
          <w:color w:val="000000"/>
          <w:szCs w:val="21"/>
        </w:rPr>
        <w:t xml:space="preserve"> 2014,</w:t>
      </w:r>
      <w:r w:rsidR="00A844B3" w:rsidRPr="0046121D">
        <w:rPr>
          <w:color w:val="000000"/>
          <w:szCs w:val="21"/>
        </w:rPr>
        <w:t xml:space="preserve"> </w:t>
      </w:r>
      <w:r w:rsidR="00A844B3" w:rsidRPr="0046121D">
        <w:rPr>
          <w:i/>
          <w:color w:val="000000"/>
          <w:szCs w:val="21"/>
        </w:rPr>
        <w:t>Hardship Policies in Practice: A Comparative Study</w:t>
      </w:r>
      <w:r w:rsidR="00A844B3" w:rsidRPr="0046121D">
        <w:rPr>
          <w:color w:val="000000"/>
          <w:szCs w:val="21"/>
        </w:rPr>
        <w:t xml:space="preserve">, </w:t>
      </w:r>
      <w:r w:rsidR="00A844B3" w:rsidRPr="0046121D">
        <w:rPr>
          <w:rFonts w:cs="Calibri"/>
          <w:lang w:val="en-AU"/>
        </w:rPr>
        <w:t>Australian Communications Consumer Action Network, Sydney.</w:t>
      </w:r>
      <w:r w:rsidR="00A844B3">
        <w:rPr>
          <w:color w:val="000000"/>
          <w:szCs w:val="21"/>
        </w:rPr>
        <w:t xml:space="preserve"> </w:t>
      </w:r>
    </w:p>
    <w:p w14:paraId="2721DFD4" w14:textId="77777777" w:rsidR="00C652F2" w:rsidRDefault="00C652F2" w:rsidP="00C652F2">
      <w:pPr>
        <w:spacing w:after="0"/>
        <w:rPr>
          <w:rFonts w:ascii="Cambria" w:eastAsia="Times New Roman" w:hAnsi="Cambria"/>
          <w:bCs/>
          <w:color w:val="17365D"/>
          <w:kern w:val="32"/>
          <w:sz w:val="52"/>
          <w:szCs w:val="52"/>
        </w:rPr>
      </w:pPr>
    </w:p>
    <w:p w14:paraId="351C8D00" w14:textId="77777777" w:rsidR="00A844B3" w:rsidRDefault="00A844B3" w:rsidP="00C652F2">
      <w:pPr>
        <w:spacing w:after="0"/>
        <w:rPr>
          <w:rFonts w:ascii="Cambria" w:eastAsia="Times New Roman" w:hAnsi="Cambria"/>
          <w:bCs/>
          <w:color w:val="17365D"/>
          <w:kern w:val="32"/>
          <w:sz w:val="52"/>
          <w:szCs w:val="52"/>
        </w:rPr>
        <w:sectPr w:rsidR="00A844B3">
          <w:pgSz w:w="11906" w:h="16838"/>
          <w:pgMar w:top="1440" w:right="1440" w:bottom="1440" w:left="1440" w:header="708" w:footer="708" w:gutter="0"/>
          <w:pgNumType w:start="0"/>
          <w:cols w:space="720"/>
        </w:sectPr>
      </w:pPr>
    </w:p>
    <w:p w14:paraId="5994847B" w14:textId="77777777" w:rsidR="00BF3015" w:rsidRDefault="00BF3015" w:rsidP="00BF3015">
      <w:pPr>
        <w:pStyle w:val="Heading1"/>
      </w:pPr>
      <w:bookmarkStart w:id="0" w:name="_Toc387144716"/>
      <w:r>
        <w:lastRenderedPageBreak/>
        <w:t>Acknowledgements</w:t>
      </w:r>
      <w:bookmarkEnd w:id="0"/>
    </w:p>
    <w:p w14:paraId="31AB52ED" w14:textId="77777777" w:rsidR="00BF3015" w:rsidRDefault="00BF3015" w:rsidP="00BF3015"/>
    <w:p w14:paraId="532DAD64" w14:textId="2402FCFE" w:rsidR="00E23513" w:rsidRDefault="00D1580C" w:rsidP="004C771B">
      <w:r>
        <w:t>Thank you to the many</w:t>
      </w:r>
      <w:r w:rsidR="008A4291" w:rsidRPr="00B7001D">
        <w:t xml:space="preserve"> people</w:t>
      </w:r>
      <w:r w:rsidR="005372C8">
        <w:t xml:space="preserve"> </w:t>
      </w:r>
      <w:r w:rsidR="00E150AD">
        <w:t xml:space="preserve">who generously agreed to be interviewed for this research. </w:t>
      </w:r>
      <w:r w:rsidR="005372C8">
        <w:t>We spoke to financial counsellors, consumer advocates and staff from</w:t>
      </w:r>
      <w:r w:rsidR="00E23513">
        <w:t xml:space="preserve"> </w:t>
      </w:r>
      <w:r w:rsidR="005372C8">
        <w:t>industry, regulators</w:t>
      </w:r>
      <w:r w:rsidR="00E23513">
        <w:t xml:space="preserve">, </w:t>
      </w:r>
      <w:r w:rsidR="005372C8">
        <w:t>go</w:t>
      </w:r>
      <w:r w:rsidR="00E23513">
        <w:t xml:space="preserve">vernment and external dispute resolution schemes. </w:t>
      </w:r>
    </w:p>
    <w:p w14:paraId="34162D6D" w14:textId="492A2F93" w:rsidR="00E150AD" w:rsidRDefault="00E23513" w:rsidP="004C771B">
      <w:r>
        <w:t xml:space="preserve">A special thanks </w:t>
      </w:r>
      <w:r w:rsidRPr="006A42B0">
        <w:t>to the 60 people who participated in the Comparative Hardship Forum</w:t>
      </w:r>
      <w:r>
        <w:t xml:space="preserve"> in September 2013 at which we shared the early findings from this research</w:t>
      </w:r>
      <w:r w:rsidR="009451E6">
        <w:t xml:space="preserve"> study</w:t>
      </w:r>
      <w:r w:rsidRPr="006A42B0">
        <w:t xml:space="preserve">. Many of you </w:t>
      </w:r>
      <w:r>
        <w:t xml:space="preserve">had already been interviewed </w:t>
      </w:r>
      <w:r w:rsidR="00243506">
        <w:t>for</w:t>
      </w:r>
      <w:r>
        <w:t xml:space="preserve"> the research and some </w:t>
      </w:r>
      <w:r w:rsidRPr="006A42B0">
        <w:t xml:space="preserve">travelled a long way to be a part of this productive day. </w:t>
      </w:r>
      <w:r>
        <w:t>The</w:t>
      </w:r>
      <w:r w:rsidRPr="006A42B0">
        <w:t xml:space="preserve"> collective wisdom </w:t>
      </w:r>
      <w:r>
        <w:t>of interviewees and workshop participants</w:t>
      </w:r>
      <w:r w:rsidR="00243506">
        <w:t xml:space="preserve"> forms a large part of this report.</w:t>
      </w:r>
      <w:r w:rsidR="0024077C">
        <w:t xml:space="preserve"> </w:t>
      </w:r>
    </w:p>
    <w:p w14:paraId="21933F84" w14:textId="1A34F883" w:rsidR="008A4291" w:rsidRPr="00B7001D" w:rsidRDefault="007B2DC9" w:rsidP="004C771B">
      <w:r w:rsidRPr="00B7001D">
        <w:t>S</w:t>
      </w:r>
      <w:r w:rsidR="00DB4B52">
        <w:t xml:space="preserve">ue Fraser from </w:t>
      </w:r>
      <w:proofErr w:type="spellStart"/>
      <w:r w:rsidR="00DB4B52">
        <w:t>Kildonan</w:t>
      </w:r>
      <w:proofErr w:type="spellEnd"/>
      <w:r w:rsidR="00DB4B52">
        <w:t xml:space="preserve"> </w:t>
      </w:r>
      <w:proofErr w:type="spellStart"/>
      <w:r w:rsidR="00DB4B52">
        <w:t>Uniting</w:t>
      </w:r>
      <w:r w:rsidRPr="00B7001D">
        <w:t>Care</w:t>
      </w:r>
      <w:proofErr w:type="spellEnd"/>
      <w:r w:rsidRPr="00B7001D">
        <w:t xml:space="preserve"> </w:t>
      </w:r>
      <w:r w:rsidR="00E74583">
        <w:t xml:space="preserve">deserves </w:t>
      </w:r>
      <w:r w:rsidR="00243506">
        <w:t>special acknowledgement</w:t>
      </w:r>
      <w:r w:rsidR="00EB197A">
        <w:t xml:space="preserve">. Sue not only helped to </w:t>
      </w:r>
      <w:r w:rsidR="00E74583">
        <w:t>organise the th</w:t>
      </w:r>
      <w:r w:rsidR="00EB197A">
        <w:t>r</w:t>
      </w:r>
      <w:r w:rsidR="00E74583">
        <w:t xml:space="preserve">ee focus groups but </w:t>
      </w:r>
      <w:r w:rsidR="00EB197A">
        <w:t>also facilitated</w:t>
      </w:r>
      <w:r w:rsidR="00E74583">
        <w:t xml:space="preserve"> </w:t>
      </w:r>
      <w:r w:rsidR="002F5AFA">
        <w:t>them</w:t>
      </w:r>
      <w:r w:rsidR="00E74583">
        <w:t xml:space="preserve">. Sue was also </w:t>
      </w:r>
      <w:r w:rsidR="008A4291" w:rsidRPr="00B7001D">
        <w:t xml:space="preserve">generous </w:t>
      </w:r>
      <w:r w:rsidR="00E74583">
        <w:t xml:space="preserve">in providing advice and information </w:t>
      </w:r>
      <w:r w:rsidR="00EB197A">
        <w:t>throughout the course of this</w:t>
      </w:r>
      <w:r w:rsidR="00E74583">
        <w:t xml:space="preserve"> research</w:t>
      </w:r>
      <w:r w:rsidR="009451E6">
        <w:t xml:space="preserve"> study</w:t>
      </w:r>
      <w:r w:rsidR="00E74583">
        <w:t xml:space="preserve">. </w:t>
      </w:r>
    </w:p>
    <w:p w14:paraId="5EE34A3F" w14:textId="1C2F3F3D" w:rsidR="00EB197A" w:rsidRDefault="00F549AE" w:rsidP="004C771B">
      <w:r w:rsidRPr="006A42B0">
        <w:t xml:space="preserve">Rita </w:t>
      </w:r>
      <w:proofErr w:type="spellStart"/>
      <w:r w:rsidRPr="006A42B0">
        <w:t>Battaglin</w:t>
      </w:r>
      <w:proofErr w:type="spellEnd"/>
      <w:r w:rsidRPr="006A42B0">
        <w:t xml:space="preserve"> and staff at Springvale Community Aid </w:t>
      </w:r>
      <w:r w:rsidR="004805A7">
        <w:t>and</w:t>
      </w:r>
      <w:r w:rsidRPr="006A42B0">
        <w:t xml:space="preserve"> Advice </w:t>
      </w:r>
      <w:r w:rsidR="004805A7">
        <w:t>Bureau</w:t>
      </w:r>
      <w:r w:rsidRPr="006A42B0">
        <w:t xml:space="preserve"> </w:t>
      </w:r>
      <w:r w:rsidR="00A41F3D">
        <w:t xml:space="preserve">assisted in </w:t>
      </w:r>
      <w:r w:rsidR="00AB57E1">
        <w:t xml:space="preserve">the </w:t>
      </w:r>
      <w:r w:rsidR="00A41F3D">
        <w:t xml:space="preserve">recruitment of participants for the new </w:t>
      </w:r>
      <w:r w:rsidRPr="006A42B0">
        <w:t>migrant focus group</w:t>
      </w:r>
      <w:r w:rsidR="00A41F3D">
        <w:t xml:space="preserve"> while Andrew Arnold from</w:t>
      </w:r>
      <w:r w:rsidRPr="006A42B0">
        <w:t xml:space="preserve"> </w:t>
      </w:r>
      <w:proofErr w:type="spellStart"/>
      <w:r w:rsidRPr="006A42B0">
        <w:t>Kildonan</w:t>
      </w:r>
      <w:proofErr w:type="spellEnd"/>
      <w:r w:rsidRPr="006A42B0">
        <w:t xml:space="preserve"> </w:t>
      </w:r>
      <w:proofErr w:type="spellStart"/>
      <w:r w:rsidR="00DB4B52">
        <w:t>UnitingCare</w:t>
      </w:r>
      <w:proofErr w:type="spellEnd"/>
      <w:r w:rsidR="00A41F3D">
        <w:t xml:space="preserve"> coordinated recruitment for </w:t>
      </w:r>
      <w:r w:rsidR="004805A7">
        <w:t>the other</w:t>
      </w:r>
      <w:r w:rsidR="00A41F3D">
        <w:t xml:space="preserve"> groups. </w:t>
      </w:r>
    </w:p>
    <w:p w14:paraId="50A44441" w14:textId="0548EDD1" w:rsidR="00EB197A" w:rsidRPr="00B7001D" w:rsidRDefault="00EB197A" w:rsidP="004C771B">
      <w:r>
        <w:t>Finally</w:t>
      </w:r>
      <w:r w:rsidR="00B7673F">
        <w:t>,</w:t>
      </w:r>
      <w:r>
        <w:t xml:space="preserve"> thank you to </w:t>
      </w:r>
      <w:r w:rsidRPr="00B7001D">
        <w:t xml:space="preserve">ACCAN for its generous support in funding this </w:t>
      </w:r>
      <w:r>
        <w:t>research</w:t>
      </w:r>
      <w:r w:rsidR="009451E6">
        <w:t xml:space="preserve"> study</w:t>
      </w:r>
      <w:r>
        <w:t>.</w:t>
      </w:r>
    </w:p>
    <w:p w14:paraId="48DB44A2" w14:textId="77777777" w:rsidR="00EB197A" w:rsidRDefault="00EB197A" w:rsidP="00E74583">
      <w:pPr>
        <w:tabs>
          <w:tab w:val="left" w:pos="9026"/>
          <w:tab w:val="left" w:pos="9072"/>
        </w:tabs>
        <w:spacing w:after="0" w:line="240" w:lineRule="auto"/>
        <w:ind w:right="-46"/>
        <w:rPr>
          <w:position w:val="-2"/>
        </w:rPr>
      </w:pPr>
    </w:p>
    <w:p w14:paraId="1EE4DE95" w14:textId="77777777" w:rsidR="00F549AE" w:rsidRDefault="00F549AE" w:rsidP="00B2574A">
      <w:pPr>
        <w:tabs>
          <w:tab w:val="left" w:pos="9026"/>
          <w:tab w:val="left" w:pos="9072"/>
        </w:tabs>
        <w:spacing w:after="48"/>
        <w:ind w:right="-46"/>
      </w:pPr>
    </w:p>
    <w:p w14:paraId="4D3BCAE7" w14:textId="77777777" w:rsidR="00BF3015" w:rsidRDefault="00BF3015">
      <w:pPr>
        <w:rPr>
          <w:b/>
          <w:caps/>
          <w:color w:val="265176"/>
          <w:sz w:val="28"/>
          <w:szCs w:val="28"/>
        </w:rPr>
      </w:pPr>
      <w:r>
        <w:rPr>
          <w:b/>
          <w:caps/>
          <w:color w:val="265176"/>
          <w:sz w:val="28"/>
          <w:szCs w:val="28"/>
        </w:rPr>
        <w:br w:type="page"/>
      </w:r>
    </w:p>
    <w:p w14:paraId="09E3D26B" w14:textId="68E86337" w:rsidR="00BF3015" w:rsidRDefault="0061502A" w:rsidP="00BF3015">
      <w:pPr>
        <w:pStyle w:val="Heading1"/>
      </w:pPr>
      <w:bookmarkStart w:id="1" w:name="_Toc387144717"/>
      <w:r>
        <w:lastRenderedPageBreak/>
        <w:t>Overview</w:t>
      </w:r>
      <w:bookmarkEnd w:id="1"/>
    </w:p>
    <w:p w14:paraId="6C256CF3" w14:textId="77777777" w:rsidR="00566366" w:rsidRDefault="00566366" w:rsidP="00BF3015">
      <w:pPr>
        <w:rPr>
          <w:lang w:val="en-US" w:eastAsia="ja-JP"/>
        </w:rPr>
      </w:pPr>
    </w:p>
    <w:p w14:paraId="5C4836E8" w14:textId="7D622592" w:rsidR="001D52AF" w:rsidRPr="004C771B" w:rsidRDefault="001D52AF" w:rsidP="00F145F4">
      <w:pPr>
        <w:pStyle w:val="Heading2"/>
        <w:rPr>
          <w:lang w:val="en-US" w:eastAsia="ja-JP"/>
        </w:rPr>
      </w:pPr>
      <w:bookmarkStart w:id="2" w:name="_Toc387144718"/>
      <w:r w:rsidRPr="004C771B">
        <w:rPr>
          <w:lang w:val="en-US" w:eastAsia="ja-JP"/>
        </w:rPr>
        <w:t>Introduction and methodology</w:t>
      </w:r>
      <w:bookmarkEnd w:id="2"/>
    </w:p>
    <w:p w14:paraId="1FA3B1EC" w14:textId="26E3E222" w:rsidR="00665317" w:rsidRDefault="00665317" w:rsidP="004C771B">
      <w:r w:rsidRPr="00665317">
        <w:t>In 2012, Financial Counselling Australia (</w:t>
      </w:r>
      <w:proofErr w:type="spellStart"/>
      <w:r w:rsidRPr="00665317">
        <w:t>FCA</w:t>
      </w:r>
      <w:proofErr w:type="spellEnd"/>
      <w:r w:rsidRPr="00665317">
        <w:t xml:space="preserve">) received a grant from the Australian Communications Consumer Action Network to conduct research comparing hardship practices in the banking, energy, water and </w:t>
      </w:r>
      <w:r w:rsidR="00C4176A">
        <w:t>telecommunications</w:t>
      </w:r>
      <w:r w:rsidR="00C4176A" w:rsidRPr="00665317">
        <w:t xml:space="preserve"> </w:t>
      </w:r>
      <w:r w:rsidR="005C4BA0">
        <w:t xml:space="preserve">(telco) </w:t>
      </w:r>
      <w:r w:rsidRPr="00665317">
        <w:t xml:space="preserve">sectors. </w:t>
      </w:r>
    </w:p>
    <w:p w14:paraId="5FD95D0D" w14:textId="726FF882" w:rsidR="00665317" w:rsidRPr="00394836" w:rsidRDefault="009C0C43" w:rsidP="004C771B">
      <w:r>
        <w:t xml:space="preserve">The </w:t>
      </w:r>
      <w:r w:rsidR="005C4BA0">
        <w:t>overarching</w:t>
      </w:r>
      <w:r w:rsidR="005C4BA0" w:rsidRPr="00665317">
        <w:t xml:space="preserve"> </w:t>
      </w:r>
      <w:r w:rsidR="00665317" w:rsidRPr="00665317">
        <w:t xml:space="preserve">aim of the research was to </w:t>
      </w:r>
      <w:r w:rsidR="005C4BA0">
        <w:t xml:space="preserve">elucidate </w:t>
      </w:r>
      <w:r w:rsidR="00B7673F">
        <w:t>effective practices –</w:t>
      </w:r>
      <w:r w:rsidR="00665317" w:rsidRPr="00665317">
        <w:t xml:space="preserve"> </w:t>
      </w:r>
      <w:r w:rsidR="00DA0C85">
        <w:t>‘</w:t>
      </w:r>
      <w:r w:rsidR="00665317" w:rsidRPr="00665317">
        <w:t>what works</w:t>
      </w:r>
      <w:r w:rsidR="00DA0C85">
        <w:t>’</w:t>
      </w:r>
      <w:r w:rsidR="00665317" w:rsidRPr="00665317">
        <w:t xml:space="preserve"> </w:t>
      </w:r>
      <w:r w:rsidR="00B7673F">
        <w:t>–</w:t>
      </w:r>
      <w:r w:rsidR="00B7673F" w:rsidRPr="00665317">
        <w:t xml:space="preserve"> </w:t>
      </w:r>
      <w:r w:rsidR="00665317" w:rsidRPr="00665317">
        <w:t xml:space="preserve">for consumers, as </w:t>
      </w:r>
      <w:r w:rsidR="005C4BA0">
        <w:t>observed</w:t>
      </w:r>
      <w:r w:rsidR="005C4BA0" w:rsidRPr="00665317">
        <w:t xml:space="preserve"> </w:t>
      </w:r>
      <w:r w:rsidR="00665317" w:rsidRPr="00665317">
        <w:t>from the vantage point of financial counsellors</w:t>
      </w:r>
      <w:r w:rsidR="00A47512">
        <w:t xml:space="preserve">, </w:t>
      </w:r>
      <w:r w:rsidR="009A039B">
        <w:t>and then expanded to include the perspectives</w:t>
      </w:r>
      <w:r>
        <w:t xml:space="preserve"> of </w:t>
      </w:r>
      <w:r w:rsidR="00A47512">
        <w:t>other stakeholders</w:t>
      </w:r>
      <w:r w:rsidR="00665317" w:rsidRPr="00665317">
        <w:t xml:space="preserve">. More specifically, the research </w:t>
      </w:r>
      <w:r w:rsidR="00B7673F">
        <w:t>aim</w:t>
      </w:r>
      <w:r w:rsidR="009451E6">
        <w:t>ed</w:t>
      </w:r>
      <w:r w:rsidR="00B7673F">
        <w:t xml:space="preserve"> to</w:t>
      </w:r>
      <w:r w:rsidR="00665317" w:rsidRPr="00665317">
        <w:t xml:space="preserve"> </w:t>
      </w:r>
      <w:r w:rsidR="009451E6">
        <w:t>facilitate an</w:t>
      </w:r>
      <w:r w:rsidR="00665317" w:rsidRPr="00665317">
        <w:t xml:space="preserve"> </w:t>
      </w:r>
      <w:proofErr w:type="spellStart"/>
      <w:r w:rsidR="00665317" w:rsidRPr="00665317">
        <w:t>ongoing</w:t>
      </w:r>
      <w:proofErr w:type="spellEnd"/>
      <w:r w:rsidR="00665317" w:rsidRPr="00665317">
        <w:t xml:space="preserve"> dialogue between </w:t>
      </w:r>
      <w:proofErr w:type="spellStart"/>
      <w:r w:rsidR="00665317" w:rsidRPr="00665317">
        <w:t>FCA</w:t>
      </w:r>
      <w:proofErr w:type="spellEnd"/>
      <w:r w:rsidR="00665317" w:rsidRPr="00665317">
        <w:t xml:space="preserve">, </w:t>
      </w:r>
      <w:r w:rsidR="009451E6">
        <w:t xml:space="preserve">relevant </w:t>
      </w:r>
      <w:r w:rsidR="00665317" w:rsidRPr="00665317">
        <w:t xml:space="preserve">consumer organisations and the telecommunications industry </w:t>
      </w:r>
      <w:r w:rsidR="00B7673F">
        <w:t>when</w:t>
      </w:r>
      <w:r w:rsidR="00B7673F" w:rsidRPr="00665317">
        <w:t xml:space="preserve"> </w:t>
      </w:r>
      <w:r w:rsidR="00665317" w:rsidRPr="00665317">
        <w:t xml:space="preserve">assisting customers in hardship. </w:t>
      </w:r>
    </w:p>
    <w:p w14:paraId="44F46F3F" w14:textId="4E523D70" w:rsidR="001D52AF" w:rsidRPr="00F750BE" w:rsidRDefault="00665317" w:rsidP="004C771B">
      <w:r w:rsidRPr="009C0C43">
        <w:t xml:space="preserve">The research </w:t>
      </w:r>
      <w:r w:rsidR="009C0C43">
        <w:t xml:space="preserve">methodology </w:t>
      </w:r>
      <w:r w:rsidR="00B7673F">
        <w:t>comprised</w:t>
      </w:r>
      <w:r w:rsidR="00B7673F" w:rsidRPr="009C0C43">
        <w:t xml:space="preserve"> </w:t>
      </w:r>
      <w:r w:rsidR="00A47512" w:rsidRPr="009C0C43">
        <w:t xml:space="preserve">semi-structured interviews with </w:t>
      </w:r>
      <w:r w:rsidR="005C4BA0">
        <w:t>experts</w:t>
      </w:r>
      <w:r w:rsidR="005C4BA0" w:rsidRPr="009C0C43">
        <w:t xml:space="preserve"> </w:t>
      </w:r>
      <w:r w:rsidR="00F93E9A" w:rsidRPr="009C0C43">
        <w:t xml:space="preserve">in </w:t>
      </w:r>
      <w:r w:rsidR="005C4BA0">
        <w:t xml:space="preserve">the </w:t>
      </w:r>
      <w:r w:rsidR="00F93E9A" w:rsidRPr="009C0C43">
        <w:t xml:space="preserve">financial </w:t>
      </w:r>
      <w:r w:rsidR="009C0C43" w:rsidRPr="009C0C43">
        <w:t>hardship</w:t>
      </w:r>
      <w:r w:rsidR="005C4BA0">
        <w:t xml:space="preserve"> sector</w:t>
      </w:r>
      <w:r w:rsidR="009C0C43" w:rsidRPr="009C0C43">
        <w:t xml:space="preserve">: </w:t>
      </w:r>
      <w:r w:rsidR="00104541" w:rsidRPr="009C0C43">
        <w:t>fi</w:t>
      </w:r>
      <w:r w:rsidR="00F93E9A" w:rsidRPr="009C0C43">
        <w:t>nancial counsellors</w:t>
      </w:r>
      <w:r w:rsidR="00104541" w:rsidRPr="009C0C43">
        <w:t xml:space="preserve">, </w:t>
      </w:r>
      <w:r w:rsidR="00F93E9A" w:rsidRPr="009C0C43">
        <w:t>consumer advocates</w:t>
      </w:r>
      <w:r w:rsidR="00104541" w:rsidRPr="009C0C43">
        <w:t>, staff from t</w:t>
      </w:r>
      <w:r w:rsidR="0024077C">
        <w:t>he hardship teams in tel</w:t>
      </w:r>
      <w:r w:rsidRPr="009C0C43">
        <w:t>co, banking and finance</w:t>
      </w:r>
      <w:r w:rsidR="005C4BA0">
        <w:t>,</w:t>
      </w:r>
      <w:r w:rsidRPr="009C0C43">
        <w:t xml:space="preserve"> and the utility sectors</w:t>
      </w:r>
      <w:r w:rsidR="00104541" w:rsidRPr="009C0C43">
        <w:t xml:space="preserve">, </w:t>
      </w:r>
      <w:r w:rsidRPr="009C0C43">
        <w:t>regulators,</w:t>
      </w:r>
      <w:r w:rsidR="001008C9">
        <w:t xml:space="preserve"> external dispute resolution</w:t>
      </w:r>
      <w:r w:rsidRPr="009C0C43">
        <w:t xml:space="preserve"> </w:t>
      </w:r>
      <w:r w:rsidR="001008C9">
        <w:t>(</w:t>
      </w:r>
      <w:proofErr w:type="spellStart"/>
      <w:r w:rsidRPr="009C0C43">
        <w:t>EDR</w:t>
      </w:r>
      <w:proofErr w:type="spellEnd"/>
      <w:r w:rsidR="001008C9">
        <w:t>)</w:t>
      </w:r>
      <w:r w:rsidRPr="009C0C43">
        <w:t xml:space="preserve"> schemes</w:t>
      </w:r>
      <w:r w:rsidR="00104541" w:rsidRPr="009C0C43">
        <w:t xml:space="preserve"> </w:t>
      </w:r>
      <w:r w:rsidRPr="009C0C43">
        <w:t xml:space="preserve">and government. </w:t>
      </w:r>
      <w:r w:rsidR="001008C9">
        <w:t>T</w:t>
      </w:r>
      <w:r w:rsidR="001008C9" w:rsidRPr="009C0C43">
        <w:t xml:space="preserve">hree </w:t>
      </w:r>
      <w:r w:rsidR="00032058" w:rsidRPr="009C0C43">
        <w:t xml:space="preserve">focus groups </w:t>
      </w:r>
      <w:r w:rsidR="00234F60">
        <w:t xml:space="preserve">were held </w:t>
      </w:r>
      <w:r w:rsidR="00032058" w:rsidRPr="009C0C43">
        <w:t xml:space="preserve">with consumers </w:t>
      </w:r>
      <w:r w:rsidR="005C4BA0">
        <w:t xml:space="preserve">who </w:t>
      </w:r>
      <w:r w:rsidR="001008C9">
        <w:t>hav</w:t>
      </w:r>
      <w:r w:rsidR="005C4BA0">
        <w:t>e</w:t>
      </w:r>
      <w:r w:rsidR="001008C9" w:rsidRPr="009C0C43">
        <w:t xml:space="preserve"> </w:t>
      </w:r>
      <w:r w:rsidR="00032058" w:rsidRPr="009C0C43">
        <w:t>telco debts</w:t>
      </w:r>
      <w:r w:rsidR="00F93E9A" w:rsidRPr="009C0C43">
        <w:t xml:space="preserve">, a literature review </w:t>
      </w:r>
      <w:r w:rsidR="005C4BA0">
        <w:t>was generated</w:t>
      </w:r>
      <w:r w:rsidR="00234F60">
        <w:t xml:space="preserve"> </w:t>
      </w:r>
      <w:r w:rsidR="00F93E9A" w:rsidRPr="009C0C43">
        <w:t xml:space="preserve">and a </w:t>
      </w:r>
      <w:r w:rsidRPr="009C0C43">
        <w:t>workshop</w:t>
      </w:r>
      <w:r w:rsidR="001008C9">
        <w:t xml:space="preserve"> </w:t>
      </w:r>
      <w:r w:rsidR="00234F60">
        <w:t>was held to review</w:t>
      </w:r>
      <w:r w:rsidR="001008C9">
        <w:t xml:space="preserve"> the </w:t>
      </w:r>
      <w:r w:rsidR="005C4BA0">
        <w:t xml:space="preserve">overall </w:t>
      </w:r>
      <w:r w:rsidR="001008C9">
        <w:t>findings</w:t>
      </w:r>
      <w:r w:rsidR="005C4BA0">
        <w:t xml:space="preserve"> of the study</w:t>
      </w:r>
      <w:r w:rsidR="00F93E9A" w:rsidRPr="009C0C43">
        <w:t>.</w:t>
      </w:r>
    </w:p>
    <w:p w14:paraId="2A52AECE" w14:textId="7E135366" w:rsidR="00F93E9A" w:rsidRPr="00F93E9A" w:rsidRDefault="001D52AF" w:rsidP="00F750BE">
      <w:pPr>
        <w:pStyle w:val="Heading2"/>
      </w:pPr>
      <w:bookmarkStart w:id="3" w:name="_Toc387144719"/>
      <w:r w:rsidRPr="004C771B">
        <w:rPr>
          <w:lang w:val="en-AU"/>
        </w:rPr>
        <w:t xml:space="preserve">Why </w:t>
      </w:r>
      <w:r w:rsidR="00F750BE">
        <w:rPr>
          <w:lang w:val="en-AU"/>
        </w:rPr>
        <w:t xml:space="preserve">is </w:t>
      </w:r>
      <w:r w:rsidRPr="004C771B">
        <w:rPr>
          <w:lang w:val="en-AU"/>
        </w:rPr>
        <w:t>this research important</w:t>
      </w:r>
      <w:r w:rsidR="00566366">
        <w:rPr>
          <w:lang w:val="en-AU"/>
        </w:rPr>
        <w:t>?</w:t>
      </w:r>
      <w:bookmarkEnd w:id="3"/>
      <w:r w:rsidRPr="004C771B">
        <w:rPr>
          <w:lang w:val="en-AU"/>
        </w:rPr>
        <w:t xml:space="preserve"> </w:t>
      </w:r>
    </w:p>
    <w:p w14:paraId="0F20AFDE" w14:textId="48387D51" w:rsidR="002E51CF" w:rsidRDefault="00CE5F25" w:rsidP="004C771B">
      <w:r>
        <w:t>Financial difficulty is often the resul</w:t>
      </w:r>
      <w:r w:rsidR="006639E5">
        <w:t xml:space="preserve">t of a change of circumstances, such as </w:t>
      </w:r>
      <w:r>
        <w:t>unemployment, illness or relationship breakdown</w:t>
      </w:r>
      <w:r w:rsidR="001D52AF">
        <w:t xml:space="preserve"> – events that </w:t>
      </w:r>
      <w:r w:rsidR="00C4176A">
        <w:t xml:space="preserve">can </w:t>
      </w:r>
      <w:r w:rsidR="001D52AF">
        <w:t>happen to any</w:t>
      </w:r>
      <w:r w:rsidR="001008C9">
        <w:t>one</w:t>
      </w:r>
      <w:r>
        <w:t xml:space="preserve">.  </w:t>
      </w:r>
    </w:p>
    <w:p w14:paraId="61235447" w14:textId="3A2C6943" w:rsidR="001D52AF" w:rsidRDefault="009C0C43" w:rsidP="004C771B">
      <w:r>
        <w:t xml:space="preserve">Poverty is also </w:t>
      </w:r>
      <w:r w:rsidR="002E51CF">
        <w:t xml:space="preserve">a major cause </w:t>
      </w:r>
      <w:r w:rsidR="002F5AFA">
        <w:t xml:space="preserve">of financial hardship </w:t>
      </w:r>
      <w:r w:rsidR="002E51CF">
        <w:t>and</w:t>
      </w:r>
      <w:r w:rsidR="006639E5">
        <w:t>,</w:t>
      </w:r>
      <w:r w:rsidR="002E51CF">
        <w:t xml:space="preserve"> n</w:t>
      </w:r>
      <w:r w:rsidR="00E66CEE">
        <w:t xml:space="preserve">ot surprisingly, </w:t>
      </w:r>
      <w:r>
        <w:t xml:space="preserve">data from the Australian Bureau of Statistics shows </w:t>
      </w:r>
      <w:r w:rsidR="002E51CF">
        <w:t xml:space="preserve">that </w:t>
      </w:r>
      <w:r w:rsidR="007A3DCE">
        <w:t>the people</w:t>
      </w:r>
      <w:r w:rsidR="00E66CEE">
        <w:t xml:space="preserve"> at </w:t>
      </w:r>
      <w:r w:rsidR="005C4BA0">
        <w:t xml:space="preserve">greatest </w:t>
      </w:r>
      <w:r w:rsidR="00E66CEE">
        <w:t xml:space="preserve">risk of experiencing financial stress are </w:t>
      </w:r>
      <w:r w:rsidR="007A3DCE">
        <w:t>those</w:t>
      </w:r>
      <w:r w:rsidR="00E66CEE">
        <w:t xml:space="preserve"> on low incomes</w:t>
      </w:r>
      <w:r w:rsidR="002E51CF">
        <w:t xml:space="preserve">. This group includes </w:t>
      </w:r>
      <w:r w:rsidR="00E66CEE">
        <w:t>people whose main income source is social security benefits</w:t>
      </w:r>
      <w:r w:rsidR="00D236F7">
        <w:t xml:space="preserve"> and </w:t>
      </w:r>
      <w:r w:rsidR="00047E61">
        <w:t xml:space="preserve">single </w:t>
      </w:r>
      <w:r w:rsidR="00D236F7">
        <w:t>parent families with children. However, there are also relatively large numbers of higher income families with assets</w:t>
      </w:r>
      <w:r w:rsidR="002E51CF">
        <w:t>,</w:t>
      </w:r>
      <w:r w:rsidR="00D236F7">
        <w:t xml:space="preserve"> who are also struggling with high levels of debt.</w:t>
      </w:r>
    </w:p>
    <w:p w14:paraId="76DF5FCB" w14:textId="7E6FD916" w:rsidR="007A3DCE" w:rsidRDefault="00A67DE3" w:rsidP="004C771B">
      <w:r>
        <w:t xml:space="preserve">Financial difficulty is also </w:t>
      </w:r>
      <w:r w:rsidR="004859A9">
        <w:t>correlated</w:t>
      </w:r>
      <w:r w:rsidR="00F149F5">
        <w:t xml:space="preserve"> with</w:t>
      </w:r>
      <w:r w:rsidR="00F24F50">
        <w:t xml:space="preserve"> (or may cause) other problems</w:t>
      </w:r>
      <w:r w:rsidR="00F149F5">
        <w:t>. It can</w:t>
      </w:r>
      <w:r w:rsidR="00F24F50">
        <w:t xml:space="preserve"> affect</w:t>
      </w:r>
      <w:r>
        <w:t xml:space="preserve"> physical and mental health, relationships and children. To our knowledge the costs of these associated problems have not been documented, </w:t>
      </w:r>
      <w:r w:rsidR="009451E6">
        <w:t>however,</w:t>
      </w:r>
      <w:r>
        <w:t xml:space="preserve"> they are </w:t>
      </w:r>
      <w:r w:rsidR="00262B01">
        <w:t xml:space="preserve">likely to be </w:t>
      </w:r>
      <w:r>
        <w:t xml:space="preserve">significant. </w:t>
      </w:r>
    </w:p>
    <w:p w14:paraId="0B0775E8" w14:textId="7A5BC322" w:rsidR="00B91C58" w:rsidRDefault="006C0864" w:rsidP="004C771B">
      <w:r w:rsidRPr="007A3DCE">
        <w:t>Whatever the reason for financial difficulty,</w:t>
      </w:r>
      <w:r w:rsidR="002E51CF" w:rsidRPr="007A3DCE">
        <w:t xml:space="preserve"> appropriate </w:t>
      </w:r>
      <w:r w:rsidR="0028085B">
        <w:t>action</w:t>
      </w:r>
      <w:r w:rsidR="0028085B" w:rsidRPr="007A3DCE">
        <w:t xml:space="preserve"> </w:t>
      </w:r>
      <w:r w:rsidR="0028085B">
        <w:t>could</w:t>
      </w:r>
      <w:r w:rsidR="002E51CF" w:rsidRPr="007A3DCE">
        <w:t xml:space="preserve"> mean the difference between financial recovery and financial oblivion</w:t>
      </w:r>
      <w:r w:rsidR="007A3DCE">
        <w:t xml:space="preserve">. If financial problems can be </w:t>
      </w:r>
      <w:r w:rsidR="007A3DCE" w:rsidRPr="004C771B">
        <w:rPr>
          <w:lang w:val="en-AU"/>
        </w:rPr>
        <w:t>minimi</w:t>
      </w:r>
      <w:r w:rsidR="00F273AB" w:rsidRPr="004C771B">
        <w:rPr>
          <w:lang w:val="en-AU"/>
        </w:rPr>
        <w:t>s</w:t>
      </w:r>
      <w:r w:rsidR="007A3DCE" w:rsidRPr="004C771B">
        <w:rPr>
          <w:lang w:val="en-AU"/>
        </w:rPr>
        <w:t>ed</w:t>
      </w:r>
      <w:r w:rsidR="007A3DCE">
        <w:t xml:space="preserve"> or </w:t>
      </w:r>
      <w:r w:rsidR="0028085B">
        <w:t>rectified</w:t>
      </w:r>
      <w:r w:rsidR="007A3DCE">
        <w:t xml:space="preserve">, there are obvious benefits for individuals and families, </w:t>
      </w:r>
      <w:r w:rsidR="00262B01">
        <w:t>as well as</w:t>
      </w:r>
      <w:r w:rsidR="007A3DCE">
        <w:t xml:space="preserve"> industry and the wider community. </w:t>
      </w:r>
    </w:p>
    <w:p w14:paraId="384307E5" w14:textId="77777777" w:rsidR="006C0864" w:rsidRDefault="006C0864" w:rsidP="004C771B">
      <w:pPr>
        <w:pStyle w:val="Body"/>
        <w:tabs>
          <w:tab w:val="left" w:pos="9356"/>
        </w:tabs>
        <w:ind w:right="4"/>
        <w:rPr>
          <w:rFonts w:ascii="Calibri" w:hAnsi="Calibri"/>
        </w:rPr>
      </w:pPr>
    </w:p>
    <w:p w14:paraId="7E92A205" w14:textId="77777777" w:rsidR="00FA1C27" w:rsidRDefault="00FA1C27">
      <w:pPr>
        <w:rPr>
          <w:b/>
        </w:rPr>
      </w:pPr>
      <w:r>
        <w:rPr>
          <w:b/>
        </w:rPr>
        <w:br w:type="page"/>
      </w:r>
    </w:p>
    <w:p w14:paraId="7BF0F06B" w14:textId="6C53C2D5" w:rsidR="006C0864" w:rsidRDefault="006C0864" w:rsidP="00490E01">
      <w:pPr>
        <w:pStyle w:val="Heading2"/>
      </w:pPr>
      <w:bookmarkStart w:id="4" w:name="_Toc387144720"/>
      <w:r w:rsidRPr="004C771B">
        <w:rPr>
          <w:lang w:val="en-AU"/>
        </w:rPr>
        <w:lastRenderedPageBreak/>
        <w:t xml:space="preserve">Six factors that </w:t>
      </w:r>
      <w:r w:rsidR="004E3BA8" w:rsidRPr="004C771B">
        <w:rPr>
          <w:lang w:val="en-AU"/>
        </w:rPr>
        <w:t>make the greatest impact on</w:t>
      </w:r>
      <w:r w:rsidR="0028085B" w:rsidRPr="004C771B">
        <w:rPr>
          <w:lang w:val="en-AU"/>
        </w:rPr>
        <w:t xml:space="preserve"> hardship policy and practice</w:t>
      </w:r>
      <w:bookmarkEnd w:id="4"/>
      <w:r w:rsidRPr="004C771B">
        <w:rPr>
          <w:lang w:val="en-AU"/>
        </w:rPr>
        <w:t xml:space="preserve"> </w:t>
      </w:r>
    </w:p>
    <w:p w14:paraId="06DDEDC0" w14:textId="05D68818" w:rsidR="009C7F12" w:rsidRPr="004C771B" w:rsidRDefault="008A4BAA" w:rsidP="004C771B">
      <w:r>
        <w:t>On review of the interview data, w</w:t>
      </w:r>
      <w:r w:rsidR="007D3ED4" w:rsidRPr="009C7F12">
        <w:t xml:space="preserve">orkshop participants identified six </w:t>
      </w:r>
      <w:r w:rsidR="0028085B">
        <w:t xml:space="preserve">key </w:t>
      </w:r>
      <w:r w:rsidR="00ED6973" w:rsidRPr="009C7F12">
        <w:t>factors</w:t>
      </w:r>
      <w:r w:rsidR="007D3ED4" w:rsidRPr="009C7F12">
        <w:t xml:space="preserve"> </w:t>
      </w:r>
      <w:r w:rsidR="006C0864" w:rsidRPr="009C7F12">
        <w:t xml:space="preserve">that </w:t>
      </w:r>
      <w:r w:rsidR="0028085B">
        <w:t xml:space="preserve">contribute to effective </w:t>
      </w:r>
      <w:r w:rsidR="006C0864" w:rsidRPr="009C7F12">
        <w:t>hardship policy and practice.</w:t>
      </w:r>
      <w:r w:rsidR="00DE0E98" w:rsidRPr="009C7F12">
        <w:t xml:space="preserve"> </w:t>
      </w:r>
      <w:r w:rsidR="006C0864" w:rsidRPr="009C7F12">
        <w:t>These areas are: access, early identification, sustaining good performance, attitudes and culture, the business case</w:t>
      </w:r>
      <w:r w:rsidR="00F95638">
        <w:t>,</w:t>
      </w:r>
      <w:r w:rsidR="006C0864" w:rsidRPr="009C7F12">
        <w:t xml:space="preserve"> and concession and grant frameworks.</w:t>
      </w:r>
      <w:r w:rsidR="00DE0E98" w:rsidRPr="009C7F12">
        <w:t xml:space="preserve"> </w:t>
      </w:r>
    </w:p>
    <w:p w14:paraId="32BE90F0" w14:textId="65F3177E" w:rsidR="009C7F12" w:rsidRDefault="009C7F12" w:rsidP="004C771B">
      <w:r w:rsidRPr="004C771B">
        <w:rPr>
          <w:b/>
        </w:rPr>
        <w:t>Access</w:t>
      </w:r>
      <w:r>
        <w:t xml:space="preserve"> </w:t>
      </w:r>
      <w:r w:rsidR="008C1369">
        <w:t>– access to a hardship team is of benefit to consumers</w:t>
      </w:r>
      <w:r w:rsidR="00F95638">
        <w:t xml:space="preserve">. However, </w:t>
      </w:r>
      <w:r w:rsidR="005A34D9">
        <w:t>many people in financial difficulty</w:t>
      </w:r>
      <w:r w:rsidR="008C1369">
        <w:t xml:space="preserve"> are either unaware of </w:t>
      </w:r>
      <w:r w:rsidR="005A34D9">
        <w:t>hardship assistance</w:t>
      </w:r>
      <w:r w:rsidR="008C1369">
        <w:t xml:space="preserve"> or sometimes </w:t>
      </w:r>
      <w:r w:rsidR="00275014">
        <w:t xml:space="preserve">find that access is blocked by </w:t>
      </w:r>
      <w:r w:rsidR="00F95638">
        <w:t>‘</w:t>
      </w:r>
      <w:r w:rsidR="00275014">
        <w:t>gatekeepers</w:t>
      </w:r>
      <w:r w:rsidR="00DA0C85">
        <w:t>’</w:t>
      </w:r>
      <w:r w:rsidR="005A34D9">
        <w:t>. The banking industry has</w:t>
      </w:r>
      <w:r w:rsidR="00275014">
        <w:t xml:space="preserve"> </w:t>
      </w:r>
      <w:r w:rsidR="005A34D9">
        <w:t xml:space="preserve">recently </w:t>
      </w:r>
      <w:r w:rsidR="00275014">
        <w:t>tackled this issue</w:t>
      </w:r>
      <w:r w:rsidR="00E629EA">
        <w:t>;</w:t>
      </w:r>
      <w:r w:rsidR="00275014">
        <w:t xml:space="preserve"> </w:t>
      </w:r>
      <w:r w:rsidR="00E629EA">
        <w:t>a</w:t>
      </w:r>
      <w:r w:rsidR="005A34D9">
        <w:t>s part of an industry-wide voluntary initiative, the</w:t>
      </w:r>
      <w:r w:rsidR="00275014">
        <w:t xml:space="preserve"> home page of every bank website has information about what </w:t>
      </w:r>
      <w:r w:rsidR="00F95638">
        <w:t>action to take</w:t>
      </w:r>
      <w:r w:rsidR="00E629EA">
        <w:t xml:space="preserve"> when</w:t>
      </w:r>
      <w:r w:rsidR="00275014">
        <w:t xml:space="preserve"> experiencing financial difficulty.</w:t>
      </w:r>
      <w:r w:rsidR="005A34D9">
        <w:t xml:space="preserve"> There is also a </w:t>
      </w:r>
      <w:r w:rsidR="00E629EA">
        <w:t xml:space="preserve">dedicated </w:t>
      </w:r>
      <w:r w:rsidR="005A34D9">
        <w:t>website</w:t>
      </w:r>
      <w:r w:rsidR="00E629EA">
        <w:t xml:space="preserve">, as well as </w:t>
      </w:r>
      <w:r w:rsidR="005A34D9">
        <w:t xml:space="preserve">information </w:t>
      </w:r>
      <w:r w:rsidR="008A4BAA">
        <w:t xml:space="preserve">in </w:t>
      </w:r>
      <w:r w:rsidR="005A34D9">
        <w:t xml:space="preserve">bank branches </w:t>
      </w:r>
      <w:r w:rsidR="00E629EA">
        <w:t xml:space="preserve">that advise </w:t>
      </w:r>
      <w:r w:rsidR="005A34D9">
        <w:t>on hardship</w:t>
      </w:r>
      <w:r w:rsidR="00DC3E47">
        <w:t xml:space="preserve"> practices</w:t>
      </w:r>
      <w:r w:rsidR="005A34D9">
        <w:t>.</w:t>
      </w:r>
    </w:p>
    <w:p w14:paraId="3220C254" w14:textId="5AB23AC5" w:rsidR="009C7F12" w:rsidRDefault="009C7F12" w:rsidP="004C771B">
      <w:r w:rsidRPr="004C771B">
        <w:rPr>
          <w:b/>
        </w:rPr>
        <w:t>Early identification</w:t>
      </w:r>
      <w:r>
        <w:t xml:space="preserve"> </w:t>
      </w:r>
      <w:r w:rsidR="00275014">
        <w:t xml:space="preserve">– the water industry has had success in proactively identifying customers who may be in hardship, but there has been mixed success in other industries. To be successful, early identification </w:t>
      </w:r>
      <w:r w:rsidR="008978D9">
        <w:t xml:space="preserve">has to be </w:t>
      </w:r>
      <w:r w:rsidR="00DC3E47">
        <w:t xml:space="preserve">approached </w:t>
      </w:r>
      <w:r w:rsidR="008978D9">
        <w:t>sensitively.</w:t>
      </w:r>
    </w:p>
    <w:p w14:paraId="02521D97" w14:textId="58E00077" w:rsidR="009C7F12" w:rsidRDefault="009C7F12" w:rsidP="004C771B">
      <w:r w:rsidRPr="004C771B">
        <w:rPr>
          <w:b/>
        </w:rPr>
        <w:t>Sustaining good performance</w:t>
      </w:r>
      <w:r w:rsidRPr="000F6891">
        <w:t xml:space="preserve"> </w:t>
      </w:r>
      <w:r w:rsidR="008978D9">
        <w:t xml:space="preserve">– </w:t>
      </w:r>
      <w:r w:rsidR="006903A5">
        <w:t xml:space="preserve">all interviewees said that sustaining good performance is hard. A key factor </w:t>
      </w:r>
      <w:r w:rsidR="0061288A">
        <w:t>is the commitment of the</w:t>
      </w:r>
      <w:r w:rsidR="006903A5">
        <w:t xml:space="preserve"> </w:t>
      </w:r>
      <w:r w:rsidR="0061288A">
        <w:t>people in</w:t>
      </w:r>
      <w:r w:rsidR="006903A5">
        <w:t xml:space="preserve"> the hardship team and the leadership from the </w:t>
      </w:r>
      <w:proofErr w:type="spellStart"/>
      <w:r w:rsidR="006903A5">
        <w:t>CEO</w:t>
      </w:r>
      <w:proofErr w:type="spellEnd"/>
      <w:r w:rsidR="006903A5">
        <w:t xml:space="preserve"> and senior staff. The effectiveness of the regu</w:t>
      </w:r>
      <w:r w:rsidR="0061288A">
        <w:t>latory framework also influences</w:t>
      </w:r>
      <w:r w:rsidR="006903A5">
        <w:t xml:space="preserve"> the extent to which companie</w:t>
      </w:r>
      <w:r w:rsidR="0061288A">
        <w:t>s focus</w:t>
      </w:r>
      <w:r w:rsidR="006903A5">
        <w:t xml:space="preserve"> on assisting customers in hardship in a meaningful way.</w:t>
      </w:r>
      <w:r w:rsidR="008978D9">
        <w:t xml:space="preserve"> </w:t>
      </w:r>
    </w:p>
    <w:p w14:paraId="48744CA2" w14:textId="0B2477C4" w:rsidR="009C7F12" w:rsidRDefault="009C7F12" w:rsidP="004C771B">
      <w:r w:rsidRPr="004C771B">
        <w:rPr>
          <w:b/>
        </w:rPr>
        <w:t>Attitudes and culture</w:t>
      </w:r>
      <w:r w:rsidRPr="000F6891">
        <w:t xml:space="preserve"> </w:t>
      </w:r>
      <w:r w:rsidR="006903A5">
        <w:t xml:space="preserve">– </w:t>
      </w:r>
      <w:r w:rsidR="008A4BAA">
        <w:t>critical for</w:t>
      </w:r>
      <w:r w:rsidR="006903A5">
        <w:t xml:space="preserve"> sustaining good performance are the attitudes and culture o</w:t>
      </w:r>
      <w:r w:rsidR="006D743C">
        <w:t xml:space="preserve">f the people in an </w:t>
      </w:r>
      <w:r w:rsidR="006D743C" w:rsidRPr="004C771B">
        <w:rPr>
          <w:lang w:val="en-AU"/>
        </w:rPr>
        <w:t>organisation</w:t>
      </w:r>
      <w:r w:rsidR="006D743C">
        <w:t xml:space="preserve">. Training is one mechanism to ensure appropriate attitudes. Cultural change at an industry level </w:t>
      </w:r>
      <w:r w:rsidR="008A4BAA">
        <w:t>through the development of specific hardship frameworks</w:t>
      </w:r>
      <w:r w:rsidR="008A4BAA" w:rsidDel="008A4BAA">
        <w:t xml:space="preserve"> </w:t>
      </w:r>
      <w:r w:rsidR="008A4BAA">
        <w:t>has been</w:t>
      </w:r>
      <w:r w:rsidR="006D743C">
        <w:t xml:space="preserve"> </w:t>
      </w:r>
      <w:r w:rsidR="004859A9">
        <w:t>initiated</w:t>
      </w:r>
      <w:r w:rsidR="008A4BAA">
        <w:t xml:space="preserve"> </w:t>
      </w:r>
      <w:r w:rsidR="006D743C">
        <w:t xml:space="preserve">by the banking industry and </w:t>
      </w:r>
      <w:r w:rsidR="008A4BAA">
        <w:t xml:space="preserve">is expected similarly in the </w:t>
      </w:r>
      <w:r w:rsidR="006D743C">
        <w:t>tel</w:t>
      </w:r>
      <w:r w:rsidR="008A4BAA">
        <w:t>e</w:t>
      </w:r>
      <w:r w:rsidR="006D743C">
        <w:t>co</w:t>
      </w:r>
      <w:r w:rsidR="008A4BAA">
        <w:t>mmunication</w:t>
      </w:r>
      <w:r w:rsidR="006D743C">
        <w:t>s</w:t>
      </w:r>
      <w:r w:rsidR="008A4BAA">
        <w:t xml:space="preserve"> industry</w:t>
      </w:r>
      <w:r w:rsidR="006D743C">
        <w:t>.</w:t>
      </w:r>
    </w:p>
    <w:p w14:paraId="6E5F5D81" w14:textId="45AD6B7A" w:rsidR="009C7F12" w:rsidRDefault="009C7F12" w:rsidP="004C771B">
      <w:r w:rsidRPr="004C771B">
        <w:rPr>
          <w:b/>
        </w:rPr>
        <w:t>Business case</w:t>
      </w:r>
      <w:r w:rsidR="006D743C" w:rsidRPr="000F6891">
        <w:t xml:space="preserve"> </w:t>
      </w:r>
      <w:r w:rsidR="00F24F50">
        <w:t>–</w:t>
      </w:r>
      <w:r w:rsidR="006D743C">
        <w:t xml:space="preserve"> </w:t>
      </w:r>
      <w:r w:rsidR="00F24F50">
        <w:t>it is</w:t>
      </w:r>
      <w:r w:rsidR="008A4BAA">
        <w:t xml:space="preserve"> </w:t>
      </w:r>
      <w:r w:rsidR="00DC3E47">
        <w:t xml:space="preserve">a </w:t>
      </w:r>
      <w:r w:rsidR="008A4BAA">
        <w:t xml:space="preserve">widely held view that the </w:t>
      </w:r>
      <w:r w:rsidR="00F24F50">
        <w:t>business case for a hardship function</w:t>
      </w:r>
      <w:r w:rsidR="008A4BAA">
        <w:t xml:space="preserve"> within an </w:t>
      </w:r>
      <w:r w:rsidR="008A4BAA" w:rsidRPr="004C771B">
        <w:rPr>
          <w:lang w:val="en-AU"/>
        </w:rPr>
        <w:t>organisation</w:t>
      </w:r>
      <w:r w:rsidR="00DC3E47">
        <w:t xml:space="preserve"> is cash positive</w:t>
      </w:r>
      <w:r w:rsidR="00F24F50">
        <w:t xml:space="preserve">, but </w:t>
      </w:r>
      <w:r w:rsidR="00FA1C27">
        <w:t xml:space="preserve">this </w:t>
      </w:r>
      <w:r w:rsidR="00F24F50">
        <w:t xml:space="preserve">research only unearthed one example </w:t>
      </w:r>
      <w:r w:rsidR="008A4BAA">
        <w:t xml:space="preserve">where </w:t>
      </w:r>
      <w:r w:rsidR="00FA1C27">
        <w:t>one</w:t>
      </w:r>
      <w:r w:rsidR="008A4BAA">
        <w:t xml:space="preserve"> had been </w:t>
      </w:r>
      <w:r w:rsidR="00FA1C27">
        <w:t>undertaken</w:t>
      </w:r>
      <w:r w:rsidR="008A4BAA">
        <w:t xml:space="preserve"> </w:t>
      </w:r>
      <w:r w:rsidR="00F24F50">
        <w:t>(</w:t>
      </w:r>
      <w:proofErr w:type="spellStart"/>
      <w:r w:rsidR="00F24F50">
        <w:t>Yarra</w:t>
      </w:r>
      <w:proofErr w:type="spellEnd"/>
      <w:r w:rsidR="00F24F50">
        <w:t xml:space="preserve"> Valley Water). This is an area where significantly more work could </w:t>
      </w:r>
      <w:r w:rsidR="00F74E6D">
        <w:t>occur</w:t>
      </w:r>
      <w:r w:rsidR="00F24F50">
        <w:t>.</w:t>
      </w:r>
    </w:p>
    <w:p w14:paraId="5B930F61" w14:textId="6D14ACE0" w:rsidR="009C7F12" w:rsidRDefault="009C7F12" w:rsidP="004C771B">
      <w:r w:rsidRPr="004C771B">
        <w:rPr>
          <w:b/>
        </w:rPr>
        <w:t>Concession and grant framework</w:t>
      </w:r>
      <w:r w:rsidR="00F74E6D" w:rsidRPr="004C771B">
        <w:rPr>
          <w:b/>
        </w:rPr>
        <w:t>s</w:t>
      </w:r>
      <w:r w:rsidRPr="000F6891">
        <w:t xml:space="preserve"> </w:t>
      </w:r>
      <w:r>
        <w:t xml:space="preserve">– </w:t>
      </w:r>
      <w:r w:rsidR="00FA1C27">
        <w:t xml:space="preserve">participants reported that </w:t>
      </w:r>
      <w:r>
        <w:t xml:space="preserve">many Australians are missing out on concessions or grants that could </w:t>
      </w:r>
      <w:r w:rsidR="008C1369">
        <w:t>assist them</w:t>
      </w:r>
      <w:r w:rsidR="00FA1C27">
        <w:t xml:space="preserve"> and that </w:t>
      </w:r>
      <w:r w:rsidR="00262B01">
        <w:t>Australia’s concessions framework is ad hoc, inconsistent, complex, confusing and</w:t>
      </w:r>
      <w:r w:rsidR="003E1A1C">
        <w:t>,</w:t>
      </w:r>
      <w:r w:rsidR="00262B01">
        <w:t xml:space="preserve"> in many cases, inadequate. </w:t>
      </w:r>
      <w:r w:rsidR="0055034D">
        <w:t>A</w:t>
      </w:r>
      <w:r w:rsidR="00262B01">
        <w:t xml:space="preserve"> national framework with consistent eligibility, </w:t>
      </w:r>
      <w:r w:rsidR="0055034D">
        <w:t xml:space="preserve">appropriate </w:t>
      </w:r>
      <w:r w:rsidR="00262B01">
        <w:t>fund</w:t>
      </w:r>
      <w:r w:rsidR="0055034D">
        <w:t xml:space="preserve">ing </w:t>
      </w:r>
      <w:r w:rsidR="00262B01">
        <w:t>and online</w:t>
      </w:r>
      <w:r w:rsidR="0055034D" w:rsidRPr="0055034D">
        <w:t xml:space="preserve"> </w:t>
      </w:r>
      <w:r w:rsidR="0055034D">
        <w:t>accessibility</w:t>
      </w:r>
      <w:r w:rsidR="0055034D" w:rsidRPr="0055034D">
        <w:t xml:space="preserve"> </w:t>
      </w:r>
      <w:r w:rsidR="0055034D">
        <w:t>is necessary</w:t>
      </w:r>
      <w:r w:rsidR="00262B01">
        <w:t>.</w:t>
      </w:r>
    </w:p>
    <w:p w14:paraId="33C1DD46" w14:textId="77777777" w:rsidR="008C1369" w:rsidRDefault="008C1369" w:rsidP="004C771B">
      <w:pPr>
        <w:pStyle w:val="Body"/>
        <w:tabs>
          <w:tab w:val="left" w:pos="9356"/>
        </w:tabs>
        <w:ind w:right="4"/>
        <w:rPr>
          <w:rFonts w:ascii="Calibri" w:hAnsi="Calibri"/>
        </w:rPr>
      </w:pPr>
    </w:p>
    <w:p w14:paraId="2F528286" w14:textId="77777777" w:rsidR="00804AF2" w:rsidRDefault="00804AF2">
      <w:pPr>
        <w:rPr>
          <w:rFonts w:eastAsia="ヒラギノ角ゴ Pro W3" w:cs="Times New Roman"/>
          <w:b/>
          <w:color w:val="000000"/>
          <w:sz w:val="24"/>
          <w:szCs w:val="20"/>
          <w:lang w:val="en-US" w:eastAsia="en-AU"/>
        </w:rPr>
      </w:pPr>
      <w:r>
        <w:rPr>
          <w:b/>
        </w:rPr>
        <w:br w:type="page"/>
      </w:r>
    </w:p>
    <w:p w14:paraId="67501D74" w14:textId="2C004616" w:rsidR="008C1369" w:rsidRDefault="008C1369" w:rsidP="003E1A1C">
      <w:pPr>
        <w:pStyle w:val="Heading2"/>
      </w:pPr>
      <w:bookmarkStart w:id="5" w:name="_Toc387144721"/>
      <w:r w:rsidRPr="004C771B">
        <w:lastRenderedPageBreak/>
        <w:t>Other research findings</w:t>
      </w:r>
      <w:bookmarkEnd w:id="5"/>
    </w:p>
    <w:p w14:paraId="5CF6EC8A" w14:textId="3B164ACC" w:rsidR="00110AB3" w:rsidRDefault="0055034D" w:rsidP="004C771B">
      <w:r>
        <w:t>‘</w:t>
      </w:r>
      <w:r w:rsidR="00B06303">
        <w:t>Hardship</w:t>
      </w:r>
      <w:r w:rsidR="00DA0C85">
        <w:t>’</w:t>
      </w:r>
      <w:r w:rsidR="003C3B61">
        <w:t xml:space="preserve"> </w:t>
      </w:r>
      <w:r>
        <w:t>w</w:t>
      </w:r>
      <w:r w:rsidR="003C3B61">
        <w:t xml:space="preserve">as a term </w:t>
      </w:r>
      <w:r w:rsidR="00AB2379">
        <w:t>commonly</w:t>
      </w:r>
      <w:r w:rsidR="003C3B61">
        <w:t xml:space="preserve"> used by </w:t>
      </w:r>
      <w:r>
        <w:t xml:space="preserve">interviewees. It was </w:t>
      </w:r>
      <w:r w:rsidR="00AB2379">
        <w:t>also referred to in some legislative frameworks. However</w:t>
      </w:r>
      <w:r w:rsidR="00110AB3">
        <w:t>, interviewees also noted that</w:t>
      </w:r>
      <w:r w:rsidR="00AB2379">
        <w:t xml:space="preserve"> it is not a term </w:t>
      </w:r>
      <w:r w:rsidR="00110AB3">
        <w:t xml:space="preserve">commonly </w:t>
      </w:r>
      <w:r w:rsidR="00AB2379">
        <w:t xml:space="preserve">used by customers. This is important to remember </w:t>
      </w:r>
      <w:r>
        <w:t>when</w:t>
      </w:r>
      <w:r w:rsidR="00110AB3">
        <w:t xml:space="preserve"> interacting with customers. </w:t>
      </w:r>
      <w:r>
        <w:t>For example, individuals</w:t>
      </w:r>
      <w:r w:rsidR="00110AB3">
        <w:t xml:space="preserve"> should not have to use the term </w:t>
      </w:r>
      <w:r>
        <w:t>‘</w:t>
      </w:r>
      <w:r w:rsidR="00110AB3">
        <w:t>hardship</w:t>
      </w:r>
      <w:r w:rsidR="00DA0C85">
        <w:t>’</w:t>
      </w:r>
      <w:r w:rsidR="00110AB3">
        <w:t xml:space="preserve"> to access a specific hardship team.</w:t>
      </w:r>
    </w:p>
    <w:p w14:paraId="4DC7C1AA" w14:textId="06724C73" w:rsidR="002D078A" w:rsidRDefault="00EA6650" w:rsidP="004C771B">
      <w:r w:rsidRPr="00EA6650">
        <w:t xml:space="preserve">In essence, two competing value judgments </w:t>
      </w:r>
      <w:r>
        <w:t>shape the way hardship programs operate in differe</w:t>
      </w:r>
      <w:r w:rsidR="00CF2722">
        <w:t xml:space="preserve">nt businesses. These are: </w:t>
      </w:r>
      <w:r w:rsidR="00DA0C85">
        <w:t>‘</w:t>
      </w:r>
      <w:r w:rsidR="00CF2722">
        <w:t>people want to pay</w:t>
      </w:r>
      <w:r w:rsidR="00DA0C85">
        <w:t>’</w:t>
      </w:r>
      <w:r w:rsidR="00CF2722">
        <w:t xml:space="preserve"> versus </w:t>
      </w:r>
      <w:r w:rsidR="00DA0C85">
        <w:t>‘</w:t>
      </w:r>
      <w:r w:rsidR="00CF2722">
        <w:t>people are out to avoid their obligations (or they’re paying everyone else but us)</w:t>
      </w:r>
      <w:r w:rsidR="00DA0C85">
        <w:t>’</w:t>
      </w:r>
      <w:r w:rsidR="00CF2722">
        <w:t>. These value judgm</w:t>
      </w:r>
      <w:r w:rsidR="002D078A">
        <w:t>ents flow through in many ways</w:t>
      </w:r>
      <w:r w:rsidR="00F74E6D">
        <w:t>,</w:t>
      </w:r>
      <w:r w:rsidR="002D078A">
        <w:t xml:space="preserve"> for example in the use of language (</w:t>
      </w:r>
      <w:r w:rsidR="00FA1C27">
        <w:t xml:space="preserve">whether </w:t>
      </w:r>
      <w:r w:rsidR="002D078A">
        <w:t xml:space="preserve">people </w:t>
      </w:r>
      <w:r w:rsidR="00FA1C27">
        <w:t xml:space="preserve">experiencing </w:t>
      </w:r>
      <w:r w:rsidR="002D078A">
        <w:t xml:space="preserve">hardship </w:t>
      </w:r>
      <w:r w:rsidR="00FA1C27">
        <w:t xml:space="preserve">are </w:t>
      </w:r>
      <w:r w:rsidR="00DA0C85">
        <w:t>‘</w:t>
      </w:r>
      <w:r w:rsidR="002D078A">
        <w:t>customers</w:t>
      </w:r>
      <w:r w:rsidR="00DA0C85">
        <w:t>’</w:t>
      </w:r>
      <w:r w:rsidR="002D078A">
        <w:t xml:space="preserve"> or </w:t>
      </w:r>
      <w:r w:rsidR="00DA0C85">
        <w:t>‘</w:t>
      </w:r>
      <w:r w:rsidR="002D078A">
        <w:t>debtors</w:t>
      </w:r>
      <w:r w:rsidR="00DA0C85">
        <w:t>’</w:t>
      </w:r>
      <w:r w:rsidR="002D078A">
        <w:t xml:space="preserve">) and in requirements for </w:t>
      </w:r>
      <w:r w:rsidR="00DA0C85">
        <w:t>‘</w:t>
      </w:r>
      <w:r w:rsidR="002D078A">
        <w:t>proof</w:t>
      </w:r>
      <w:r w:rsidR="00DA0C85">
        <w:t>’</w:t>
      </w:r>
      <w:r w:rsidR="002D078A">
        <w:t xml:space="preserve"> of financial hardship.</w:t>
      </w:r>
    </w:p>
    <w:p w14:paraId="33286A15" w14:textId="0C0AD122" w:rsidR="00A60469" w:rsidRPr="004C771B" w:rsidRDefault="002D078A" w:rsidP="004C771B">
      <w:r w:rsidRPr="000F6891">
        <w:t xml:space="preserve">Financial counsellors, as well as a number of the telco focus group participants, </w:t>
      </w:r>
      <w:r w:rsidR="00F149F5">
        <w:t>reported</w:t>
      </w:r>
      <w:r w:rsidR="00F149F5" w:rsidRPr="000F6891">
        <w:t xml:space="preserve"> </w:t>
      </w:r>
      <w:r w:rsidRPr="004C771B">
        <w:t>that affordable payment arrangements were difficult to arrange.</w:t>
      </w:r>
      <w:r w:rsidR="001F0915" w:rsidRPr="004C771B">
        <w:t xml:space="preserve"> Some of the industry interviewees were also aware of this problem, noting that sometimes customers could be too optimistic about what they could afford. They </w:t>
      </w:r>
      <w:r w:rsidR="001F0915" w:rsidRPr="004C771B">
        <w:rPr>
          <w:lang w:val="en-AU"/>
        </w:rPr>
        <w:t>recognised</w:t>
      </w:r>
      <w:r w:rsidR="001F0915" w:rsidRPr="000F6891">
        <w:t xml:space="preserve"> that customers may agree to an arrangement simpl</w:t>
      </w:r>
      <w:r w:rsidR="001F0915" w:rsidRPr="004C771B">
        <w:t>y to terminate the call.</w:t>
      </w:r>
    </w:p>
    <w:p w14:paraId="64FF7EB2" w14:textId="75F7CE23" w:rsidR="00DC2119" w:rsidRPr="004C771B" w:rsidRDefault="00A60469" w:rsidP="004C771B">
      <w:r w:rsidRPr="004C771B">
        <w:t xml:space="preserve">Incentive arrangements, </w:t>
      </w:r>
      <w:r w:rsidR="00F149F5">
        <w:t>which involves the business crediting</w:t>
      </w:r>
      <w:r w:rsidR="00F149F5" w:rsidRPr="0005386A">
        <w:t xml:space="preserve"> a payment</w:t>
      </w:r>
      <w:r w:rsidRPr="004C771B">
        <w:t xml:space="preserve"> after a number of payments to an outstanding debt</w:t>
      </w:r>
      <w:r w:rsidR="00F149F5">
        <w:t xml:space="preserve"> has been made</w:t>
      </w:r>
      <w:r w:rsidR="006629F6" w:rsidRPr="004C771B">
        <w:t xml:space="preserve">, were very effective. Some energy and water retailers offer these to their hardship customers. </w:t>
      </w:r>
      <w:r w:rsidR="00DC2119" w:rsidRPr="004C771B">
        <w:t>Customers feel like their efforts are being rewarded.</w:t>
      </w:r>
      <w:r w:rsidR="00F74E6D" w:rsidRPr="004C771B">
        <w:t xml:space="preserve"> </w:t>
      </w:r>
    </w:p>
    <w:p w14:paraId="4A8602E8" w14:textId="3EAC1631" w:rsidR="0042298F" w:rsidRPr="004C771B" w:rsidRDefault="00DC2119" w:rsidP="004C771B">
      <w:r w:rsidRPr="004C771B">
        <w:t>Not surprisingly, interviewees said that staff training and skills were critically</w:t>
      </w:r>
      <w:r w:rsidR="0042298F" w:rsidRPr="004C771B">
        <w:t xml:space="preserve"> important. Training needs to be across a business and not just for the hardship team. Training that provides real life examples of what it means to be in financial difficulty is the most successful.</w:t>
      </w:r>
    </w:p>
    <w:p w14:paraId="7E4CA5E1" w14:textId="14E4DCD2" w:rsidR="00C80E70" w:rsidRPr="004C771B" w:rsidRDefault="0042298F" w:rsidP="004C771B">
      <w:r w:rsidRPr="004C771B">
        <w:t xml:space="preserve">Financial counsellors said that the collections and hardship </w:t>
      </w:r>
      <w:r w:rsidR="00F149F5">
        <w:t>teams</w:t>
      </w:r>
      <w:r w:rsidRPr="004C771B">
        <w:t xml:space="preserve"> </w:t>
      </w:r>
      <w:r w:rsidR="00152DF0" w:rsidRPr="004C771B">
        <w:t>are</w:t>
      </w:r>
      <w:r w:rsidRPr="004C771B">
        <w:t xml:space="preserve"> </w:t>
      </w:r>
      <w:r w:rsidR="009F34CB">
        <w:t>typically</w:t>
      </w:r>
      <w:r w:rsidR="009F34CB" w:rsidRPr="000F6891">
        <w:t xml:space="preserve"> </w:t>
      </w:r>
      <w:r w:rsidR="00DA0C85">
        <w:t>‘</w:t>
      </w:r>
      <w:r w:rsidRPr="000F6891">
        <w:t>world</w:t>
      </w:r>
      <w:r w:rsidRPr="004C771B">
        <w:t>s apart</w:t>
      </w:r>
      <w:r w:rsidR="00DA0C85">
        <w:t>’</w:t>
      </w:r>
      <w:r w:rsidRPr="000F6891">
        <w:t xml:space="preserve"> in their approach</w:t>
      </w:r>
      <w:r w:rsidRPr="004C771B">
        <w:t xml:space="preserve"> to dealing with customers in financial difficulty. </w:t>
      </w:r>
      <w:r w:rsidR="00152DF0" w:rsidRPr="004C771B">
        <w:t xml:space="preserve">The </w:t>
      </w:r>
      <w:r w:rsidR="00F149F5">
        <w:t xml:space="preserve">general theme in </w:t>
      </w:r>
      <w:r w:rsidR="00152DF0" w:rsidRPr="000F6891">
        <w:t>collections</w:t>
      </w:r>
      <w:r w:rsidR="00152DF0" w:rsidRPr="004C771B">
        <w:t xml:space="preserve"> is </w:t>
      </w:r>
      <w:r w:rsidR="00DA0C85">
        <w:t>‘</w:t>
      </w:r>
      <w:r w:rsidR="00152DF0" w:rsidRPr="000F6891">
        <w:t>what can you pay and when</w:t>
      </w:r>
      <w:r w:rsidR="00F149F5">
        <w:t>?</w:t>
      </w:r>
      <w:r w:rsidR="00DA0C85">
        <w:t>’</w:t>
      </w:r>
      <w:r w:rsidR="00152DF0" w:rsidRPr="000F6891">
        <w:t>, whereas hardship arrangements are more flexible.</w:t>
      </w:r>
      <w:r w:rsidR="00152DF0" w:rsidRPr="004C771B">
        <w:t xml:space="preserve"> </w:t>
      </w:r>
      <w:r w:rsidR="00C80E70" w:rsidRPr="004C771B">
        <w:t xml:space="preserve">All interviewees </w:t>
      </w:r>
      <w:r w:rsidR="00152DF0" w:rsidRPr="004C771B">
        <w:t xml:space="preserve">said it was vital that the collections and hardship teams worked together. Some collection departments </w:t>
      </w:r>
      <w:r w:rsidR="00C80E70" w:rsidRPr="004C771B">
        <w:t xml:space="preserve">have the tools to identify people in financial hardship and respond, for example, by linking them with </w:t>
      </w:r>
      <w:proofErr w:type="spellStart"/>
      <w:r w:rsidR="00C80E70" w:rsidRPr="004C771B">
        <w:t>Centrepay</w:t>
      </w:r>
      <w:proofErr w:type="spellEnd"/>
      <w:r w:rsidR="00C80E70" w:rsidRPr="004C771B">
        <w:t xml:space="preserve"> on the spot.</w:t>
      </w:r>
    </w:p>
    <w:p w14:paraId="42441A79" w14:textId="57B02118" w:rsidR="00C80E70" w:rsidRPr="004C771B" w:rsidRDefault="00C80E70" w:rsidP="004C771B">
      <w:r w:rsidRPr="004C771B">
        <w:t xml:space="preserve">There is a growing consensus about the treatment of </w:t>
      </w:r>
      <w:r w:rsidR="00DA0C85">
        <w:t>‘</w:t>
      </w:r>
      <w:r w:rsidRPr="000F6891">
        <w:t>bulk debt</w:t>
      </w:r>
      <w:r w:rsidR="00DA0C85">
        <w:t>’</w:t>
      </w:r>
      <w:r w:rsidRPr="000F6891">
        <w:t xml:space="preserve"> clients – those </w:t>
      </w:r>
      <w:r w:rsidRPr="004C771B">
        <w:t>with very low incomes, no significant assets and where neither of these factors is likely to change. Interviewees recognised that from a commercial and social perspective, a debt waiver or at least</w:t>
      </w:r>
      <w:r w:rsidR="004D0F8D">
        <w:t xml:space="preserve"> a</w:t>
      </w:r>
      <w:r w:rsidRPr="004C771B">
        <w:t xml:space="preserve"> cessation of debt collection activity, is an appropriate response.</w:t>
      </w:r>
    </w:p>
    <w:p w14:paraId="49B87CB5" w14:textId="4BF38E86" w:rsidR="00C80E70" w:rsidRPr="004C771B" w:rsidRDefault="00911F8C" w:rsidP="004C771B">
      <w:r w:rsidRPr="004C771B">
        <w:t xml:space="preserve">Financial counsellors </w:t>
      </w:r>
      <w:r w:rsidR="00F149F5">
        <w:t>noted</w:t>
      </w:r>
      <w:r w:rsidR="00F149F5" w:rsidRPr="000F6891">
        <w:t xml:space="preserve"> </w:t>
      </w:r>
      <w:r w:rsidRPr="004C771B">
        <w:t xml:space="preserve">that </w:t>
      </w:r>
      <w:r w:rsidR="00C4176A">
        <w:t xml:space="preserve">in their experience </w:t>
      </w:r>
      <w:r w:rsidRPr="000F6891">
        <w:t xml:space="preserve">it is easier to get </w:t>
      </w:r>
      <w:r w:rsidR="00F149F5">
        <w:t>positive</w:t>
      </w:r>
      <w:r w:rsidR="00F149F5" w:rsidRPr="000F6891">
        <w:t xml:space="preserve"> </w:t>
      </w:r>
      <w:r w:rsidRPr="004C771B">
        <w:t>outcomes with some debt collectors than the original creditor. The arrangements are affordable, can be over a longer term and are generally more flexible.</w:t>
      </w:r>
    </w:p>
    <w:p w14:paraId="4595030C" w14:textId="77777777" w:rsidR="00911F8C" w:rsidRDefault="00911F8C" w:rsidP="004C771B"/>
    <w:p w14:paraId="41EA3048" w14:textId="77777777" w:rsidR="00B40BFB" w:rsidRDefault="00B40BFB" w:rsidP="004C771B"/>
    <w:p w14:paraId="504B0A8E" w14:textId="77777777" w:rsidR="00B40BFB" w:rsidRPr="000F6891" w:rsidRDefault="00B40BFB" w:rsidP="004C771B"/>
    <w:p w14:paraId="07BEA9B9" w14:textId="46DEA78C" w:rsidR="008C1369" w:rsidRDefault="008C767D" w:rsidP="00AB5798">
      <w:pPr>
        <w:pStyle w:val="Heading3"/>
      </w:pPr>
      <w:r>
        <w:lastRenderedPageBreak/>
        <w:t>Telco focus g</w:t>
      </w:r>
      <w:r w:rsidR="009F5DDC" w:rsidRPr="004C771B">
        <w:t>roups</w:t>
      </w:r>
    </w:p>
    <w:p w14:paraId="696CA030" w14:textId="2D22E435" w:rsidR="009F5DDC" w:rsidRPr="00AB5798" w:rsidRDefault="00911F8C" w:rsidP="004C771B">
      <w:r w:rsidRPr="000F6891">
        <w:t xml:space="preserve">The research included three focus groups with consumers who had difficulty in paying telco bills. </w:t>
      </w:r>
      <w:r w:rsidR="00F30771" w:rsidRPr="004C771B">
        <w:t xml:space="preserve">The overall theme from the focus groups could be </w:t>
      </w:r>
      <w:r w:rsidR="00F30771" w:rsidRPr="000F6891">
        <w:t xml:space="preserve">summarised </w:t>
      </w:r>
      <w:r w:rsidR="009F5DDC" w:rsidRPr="004C771B">
        <w:t>in</w:t>
      </w:r>
      <w:r w:rsidR="00F30771" w:rsidRPr="004C771B">
        <w:t xml:space="preserve"> just one line: </w:t>
      </w:r>
      <w:r w:rsidR="00DA0C85">
        <w:t>‘</w:t>
      </w:r>
      <w:r w:rsidRPr="000F6891">
        <w:t>please help us</w:t>
      </w:r>
      <w:r w:rsidR="00DA0C85">
        <w:t>’</w:t>
      </w:r>
      <w:r w:rsidRPr="000F6891">
        <w:t xml:space="preserve">. </w:t>
      </w:r>
      <w:r w:rsidR="00DD7D2E" w:rsidRPr="004C771B">
        <w:t>Participants overwhelmingly found the experience of dealing with a telco about their debt exhausting and stressful. Many participants found it difficult to negotiate affordable repayment arrangements and said that collections staff did not listen. Participants also raised issues related to service and sales problems</w:t>
      </w:r>
      <w:r w:rsidR="001D3C52" w:rsidRPr="004C771B">
        <w:t xml:space="preserve"> and overseas call </w:t>
      </w:r>
      <w:r w:rsidR="001D3C52" w:rsidRPr="000F6891">
        <w:t>centres</w:t>
      </w:r>
      <w:r w:rsidR="00DD7D2E" w:rsidRPr="000F6891">
        <w:t xml:space="preserve">. One focus group </w:t>
      </w:r>
      <w:r w:rsidR="00F149F5">
        <w:t xml:space="preserve">was </w:t>
      </w:r>
      <w:r w:rsidR="00DD7D2E" w:rsidRPr="000F6891">
        <w:t>comp</w:t>
      </w:r>
      <w:r w:rsidR="001D3C52" w:rsidRPr="004C771B">
        <w:t xml:space="preserve">rised </w:t>
      </w:r>
      <w:r w:rsidR="00F149F5">
        <w:t xml:space="preserve">of </w:t>
      </w:r>
      <w:r w:rsidR="001D3C52" w:rsidRPr="000F6891">
        <w:t>new arrivals to Australia. C</w:t>
      </w:r>
      <w:r w:rsidR="00DD7D2E" w:rsidRPr="004C771B">
        <w:t xml:space="preserve">omparatively this group found the </w:t>
      </w:r>
      <w:r w:rsidR="001D3C52" w:rsidRPr="004C771B">
        <w:t>process of financial difficulty much harder to navigate.</w:t>
      </w:r>
    </w:p>
    <w:p w14:paraId="493651BC" w14:textId="4D608680" w:rsidR="009F5DDC" w:rsidRPr="004C771B" w:rsidRDefault="008C767D" w:rsidP="00AB5798">
      <w:pPr>
        <w:pStyle w:val="Heading3"/>
        <w:rPr>
          <w:color w:val="000000"/>
          <w:sz w:val="24"/>
          <w:szCs w:val="20"/>
        </w:rPr>
      </w:pPr>
      <w:r>
        <w:t>Comparing i</w:t>
      </w:r>
      <w:r w:rsidR="009F5DDC" w:rsidRPr="004C771B">
        <w:t xml:space="preserve">ndustries </w:t>
      </w:r>
    </w:p>
    <w:p w14:paraId="11C6349E" w14:textId="2F8C8FDC" w:rsidR="00895BA1" w:rsidRPr="004C771B" w:rsidRDefault="00895BA1" w:rsidP="004C771B">
      <w:r w:rsidRPr="000F6891">
        <w:t xml:space="preserve">The research shows </w:t>
      </w:r>
      <w:r w:rsidRPr="004C771B">
        <w:t>that that there are different approaches to hardship between the banking, utility and telco sectors.</w:t>
      </w:r>
    </w:p>
    <w:p w14:paraId="742F0575" w14:textId="12658E4B" w:rsidR="00895BA1" w:rsidRPr="004C771B" w:rsidRDefault="00895BA1" w:rsidP="004C771B">
      <w:r w:rsidRPr="004C771B">
        <w:t>Water companies were generally seen as being the most progressive by interviewees – however we note that these comments were about Victorian and New South Wales businesses and may not apply generally. A couple of the large debt collection companies were also singled out as dealing effectively with customers in financial hardship.</w:t>
      </w:r>
      <w:r w:rsidR="009A5EBA" w:rsidRPr="004C771B">
        <w:t xml:space="preserve"> </w:t>
      </w:r>
      <w:r w:rsidRPr="004C771B">
        <w:t xml:space="preserve">The banking sector stands out as having made a conscious decision, at </w:t>
      </w:r>
      <w:proofErr w:type="spellStart"/>
      <w:r w:rsidRPr="004C771B">
        <w:t>CEO</w:t>
      </w:r>
      <w:proofErr w:type="spellEnd"/>
      <w:r w:rsidRPr="004C771B">
        <w:t xml:space="preserve"> and industry level, to engage with consumer organisations. This has resulted in a number of positive initiatives as outlined </w:t>
      </w:r>
      <w:r w:rsidR="009A5EBA" w:rsidRPr="004C771B">
        <w:t>above.</w:t>
      </w:r>
      <w:r w:rsidRPr="004C771B">
        <w:t xml:space="preserve"> </w:t>
      </w:r>
    </w:p>
    <w:p w14:paraId="247EEF5F" w14:textId="2E999428" w:rsidR="009A5EBA" w:rsidRPr="004C771B" w:rsidRDefault="00895BA1" w:rsidP="004C771B">
      <w:r w:rsidRPr="004C771B">
        <w:t xml:space="preserve">None of the financial counsellors interviewed considered any of the telecommunication companies to demonstrate good practice. </w:t>
      </w:r>
      <w:r w:rsidR="009A5EBA" w:rsidRPr="004C771B">
        <w:t>Instead</w:t>
      </w:r>
      <w:r w:rsidRPr="004C771B">
        <w:t xml:space="preserve">, they were </w:t>
      </w:r>
      <w:r w:rsidR="00F149F5">
        <w:t xml:space="preserve">viewed </w:t>
      </w:r>
      <w:r w:rsidRPr="000F6891">
        <w:t xml:space="preserve">by the majority of financial counsellors and consumer advocates as the </w:t>
      </w:r>
      <w:r w:rsidR="00F149F5">
        <w:t>least effective</w:t>
      </w:r>
      <w:r w:rsidRPr="004C771B">
        <w:t xml:space="preserve"> sector</w:t>
      </w:r>
      <w:r w:rsidR="00F149F5">
        <w:t xml:space="preserve"> for offering hardship assistance</w:t>
      </w:r>
      <w:r w:rsidRPr="000F6891">
        <w:t>.</w:t>
      </w:r>
    </w:p>
    <w:p w14:paraId="13192E82" w14:textId="1D7897BF" w:rsidR="00341E3A" w:rsidRPr="004C771B" w:rsidRDefault="008C767D" w:rsidP="00AB5798">
      <w:pPr>
        <w:pStyle w:val="Heading3"/>
      </w:pPr>
      <w:r>
        <w:t>A final w</w:t>
      </w:r>
      <w:r w:rsidR="00341E3A" w:rsidRPr="004C771B">
        <w:t>ord</w:t>
      </w:r>
      <w:r>
        <w:t xml:space="preserve"> and next s</w:t>
      </w:r>
      <w:r w:rsidR="009A5EBA" w:rsidRPr="004C771B">
        <w:t>teps</w:t>
      </w:r>
    </w:p>
    <w:p w14:paraId="4819ED05" w14:textId="4B993923" w:rsidR="00234F60" w:rsidRPr="006D1FFD" w:rsidRDefault="00341E3A" w:rsidP="004C771B">
      <w:r w:rsidRPr="004C771B">
        <w:t xml:space="preserve">As the peak body for financial counsellors, </w:t>
      </w:r>
      <w:proofErr w:type="spellStart"/>
      <w:r w:rsidRPr="004C771B">
        <w:t>FCA</w:t>
      </w:r>
      <w:proofErr w:type="spellEnd"/>
      <w:r w:rsidRPr="004C771B">
        <w:t xml:space="preserve"> will</w:t>
      </w:r>
      <w:r w:rsidR="00234F60">
        <w:t>,</w:t>
      </w:r>
      <w:r w:rsidRPr="000F6891">
        <w:t xml:space="preserve"> of course</w:t>
      </w:r>
      <w:r w:rsidR="00234F60">
        <w:t>,</w:t>
      </w:r>
      <w:r w:rsidRPr="000F6891">
        <w:t xml:space="preserve"> continue its work in this area. In the immediate future, we look forward to the finalisation of the </w:t>
      </w:r>
      <w:r w:rsidR="00234F60">
        <w:t>telecommunications</w:t>
      </w:r>
      <w:r w:rsidR="00234F60" w:rsidRPr="000F6891">
        <w:t xml:space="preserve"> </w:t>
      </w:r>
      <w:r w:rsidRPr="004C771B">
        <w:t xml:space="preserve">industry hardship framework and to working with that industry as </w:t>
      </w:r>
      <w:r w:rsidR="00E30B81">
        <w:t>the</w:t>
      </w:r>
      <w:r w:rsidR="00E30B81" w:rsidRPr="000F6891">
        <w:t xml:space="preserve"> </w:t>
      </w:r>
      <w:r w:rsidRPr="004C771B">
        <w:t xml:space="preserve">framework is implemented. We are also very keen to continue to work on the areas identified by workshop participants, and outlined in Section 3 of this </w:t>
      </w:r>
      <w:r w:rsidR="00E30B81">
        <w:t>report</w:t>
      </w:r>
      <w:r w:rsidRPr="000F6891">
        <w:t>.</w:t>
      </w:r>
      <w:r w:rsidR="00FA7BAF" w:rsidRPr="004C771B">
        <w:t xml:space="preserve"> </w:t>
      </w:r>
      <w:r w:rsidR="00234F60" w:rsidRPr="006D1FFD">
        <w:t>Overall, we hope that the research will prompt some new approaches as well as greater cross-industry collaboration.</w:t>
      </w:r>
    </w:p>
    <w:p w14:paraId="06D5EC12" w14:textId="5031CC94" w:rsidR="009A5EBA" w:rsidRPr="004C771B" w:rsidRDefault="00341E3A" w:rsidP="000F6891">
      <w:pPr>
        <w:rPr>
          <w:color w:val="000000"/>
          <w:sz w:val="24"/>
          <w:szCs w:val="20"/>
        </w:rPr>
      </w:pPr>
      <w:r w:rsidRPr="000F6891">
        <w:t xml:space="preserve">We look forward to pursuing these </w:t>
      </w:r>
      <w:r w:rsidR="00FA7BAF" w:rsidRPr="004C771B">
        <w:t>issues</w:t>
      </w:r>
      <w:r w:rsidRPr="004C771B">
        <w:t>, individually and collectively.</w:t>
      </w:r>
    </w:p>
    <w:p w14:paraId="57CE199F" w14:textId="77777777" w:rsidR="008978D9" w:rsidRPr="004C771B" w:rsidRDefault="008978D9" w:rsidP="004C771B">
      <w:pPr>
        <w:pStyle w:val="Body"/>
        <w:tabs>
          <w:tab w:val="left" w:pos="9356"/>
        </w:tabs>
        <w:ind w:right="4"/>
        <w:rPr>
          <w:rFonts w:ascii="Calibri" w:hAnsi="Calibri"/>
        </w:rPr>
      </w:pPr>
    </w:p>
    <w:p w14:paraId="18B9D39D" w14:textId="77777777" w:rsidR="00FA1C27" w:rsidRDefault="00FA1C27">
      <w:pPr>
        <w:rPr>
          <w:b/>
          <w:caps/>
          <w:color w:val="265176"/>
          <w:sz w:val="28"/>
          <w:szCs w:val="28"/>
        </w:rPr>
      </w:pPr>
      <w:r>
        <w:rPr>
          <w:b/>
          <w:caps/>
          <w:color w:val="265176"/>
          <w:sz w:val="28"/>
          <w:szCs w:val="28"/>
        </w:rPr>
        <w:br w:type="page"/>
      </w:r>
    </w:p>
    <w:p w14:paraId="2BF7E243" w14:textId="77777777" w:rsidR="00913FFE" w:rsidRDefault="00097A2B" w:rsidP="004C771B">
      <w:pPr>
        <w:pStyle w:val="Heading1"/>
      </w:pPr>
      <w:bookmarkStart w:id="6" w:name="_Toc387144722"/>
      <w:r w:rsidRPr="00B85ABD">
        <w:lastRenderedPageBreak/>
        <w:t>Table of Contents</w:t>
      </w:r>
      <w:bookmarkEnd w:id="6"/>
    </w:p>
    <w:bookmarkStart w:id="7" w:name="_Toc370047446"/>
    <w:bookmarkStart w:id="8" w:name="_Toc370048388"/>
    <w:p w14:paraId="1D1EB65D" w14:textId="77777777" w:rsidR="00EB42E6" w:rsidRDefault="00565E3B" w:rsidP="00E93973">
      <w:pPr>
        <w:pStyle w:val="TOC1"/>
        <w:rPr>
          <w:rFonts w:asciiTheme="minorHAnsi" w:eastAsiaTheme="minorEastAsia" w:hAnsiTheme="minorHAnsi"/>
          <w:noProof/>
          <w:szCs w:val="22"/>
          <w:lang w:val="en-AU" w:eastAsia="en-AU"/>
        </w:rPr>
      </w:pPr>
      <w:r>
        <w:rPr>
          <w:lang w:eastAsia="ja-JP"/>
        </w:rPr>
        <w:fldChar w:fldCharType="begin"/>
      </w:r>
      <w:r>
        <w:rPr>
          <w:lang w:eastAsia="ja-JP"/>
        </w:rPr>
        <w:instrText xml:space="preserve"> TOC \o "1-2" \u </w:instrText>
      </w:r>
      <w:r>
        <w:rPr>
          <w:lang w:eastAsia="ja-JP"/>
        </w:rPr>
        <w:fldChar w:fldCharType="separate"/>
      </w:r>
      <w:r w:rsidR="00EB42E6">
        <w:rPr>
          <w:noProof/>
        </w:rPr>
        <w:t>Acknowledgements</w:t>
      </w:r>
      <w:r w:rsidR="00EB42E6">
        <w:rPr>
          <w:noProof/>
        </w:rPr>
        <w:tab/>
      </w:r>
      <w:r w:rsidR="00EB42E6">
        <w:rPr>
          <w:noProof/>
        </w:rPr>
        <w:fldChar w:fldCharType="begin"/>
      </w:r>
      <w:r w:rsidR="00EB42E6">
        <w:rPr>
          <w:noProof/>
        </w:rPr>
        <w:instrText xml:space="preserve"> PAGEREF _Toc387144716 \h </w:instrText>
      </w:r>
      <w:r w:rsidR="00EB42E6">
        <w:rPr>
          <w:noProof/>
        </w:rPr>
      </w:r>
      <w:r w:rsidR="00EB42E6">
        <w:rPr>
          <w:noProof/>
        </w:rPr>
        <w:fldChar w:fldCharType="separate"/>
      </w:r>
      <w:r w:rsidR="00CF0B01">
        <w:rPr>
          <w:noProof/>
        </w:rPr>
        <w:t>1</w:t>
      </w:r>
      <w:r w:rsidR="00EB42E6">
        <w:rPr>
          <w:noProof/>
        </w:rPr>
        <w:fldChar w:fldCharType="end"/>
      </w:r>
    </w:p>
    <w:p w14:paraId="3E46E00F" w14:textId="5367497C" w:rsidR="00EB42E6" w:rsidRDefault="00EB42E6" w:rsidP="00E93973">
      <w:pPr>
        <w:pStyle w:val="TOC1"/>
        <w:rPr>
          <w:rFonts w:asciiTheme="minorHAnsi" w:eastAsiaTheme="minorEastAsia" w:hAnsiTheme="minorHAnsi"/>
          <w:noProof/>
          <w:szCs w:val="22"/>
          <w:lang w:val="en-AU" w:eastAsia="en-AU"/>
        </w:rPr>
      </w:pPr>
      <w:r>
        <w:rPr>
          <w:noProof/>
        </w:rPr>
        <w:t>Overview</w:t>
      </w:r>
      <w:r>
        <w:rPr>
          <w:noProof/>
        </w:rPr>
        <w:tab/>
      </w:r>
      <w:r>
        <w:rPr>
          <w:noProof/>
        </w:rPr>
        <w:fldChar w:fldCharType="begin"/>
      </w:r>
      <w:r>
        <w:rPr>
          <w:noProof/>
        </w:rPr>
        <w:instrText xml:space="preserve"> PAGEREF _Toc387144717 \h </w:instrText>
      </w:r>
      <w:r>
        <w:rPr>
          <w:noProof/>
        </w:rPr>
      </w:r>
      <w:r>
        <w:rPr>
          <w:noProof/>
        </w:rPr>
        <w:fldChar w:fldCharType="separate"/>
      </w:r>
      <w:r w:rsidR="00CF0B01">
        <w:rPr>
          <w:noProof/>
        </w:rPr>
        <w:t>2</w:t>
      </w:r>
      <w:r>
        <w:rPr>
          <w:noProof/>
        </w:rPr>
        <w:fldChar w:fldCharType="end"/>
      </w:r>
    </w:p>
    <w:p w14:paraId="400E63DC"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sidRPr="008D356F">
        <w:rPr>
          <w:noProof/>
          <w:lang w:val="en-US" w:eastAsia="ja-JP"/>
        </w:rPr>
        <w:t>Introduction and methodology</w:t>
      </w:r>
      <w:r>
        <w:rPr>
          <w:noProof/>
        </w:rPr>
        <w:tab/>
      </w:r>
      <w:r>
        <w:rPr>
          <w:noProof/>
        </w:rPr>
        <w:fldChar w:fldCharType="begin"/>
      </w:r>
      <w:r>
        <w:rPr>
          <w:noProof/>
        </w:rPr>
        <w:instrText xml:space="preserve"> PAGEREF _Toc387144718 \h </w:instrText>
      </w:r>
      <w:r>
        <w:rPr>
          <w:noProof/>
        </w:rPr>
      </w:r>
      <w:r>
        <w:rPr>
          <w:noProof/>
        </w:rPr>
        <w:fldChar w:fldCharType="separate"/>
      </w:r>
      <w:r w:rsidR="00CF0B01">
        <w:rPr>
          <w:noProof/>
        </w:rPr>
        <w:t>2</w:t>
      </w:r>
      <w:r>
        <w:rPr>
          <w:noProof/>
        </w:rPr>
        <w:fldChar w:fldCharType="end"/>
      </w:r>
    </w:p>
    <w:p w14:paraId="0319C28C"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sidRPr="008D356F">
        <w:rPr>
          <w:noProof/>
          <w:lang w:val="en-AU"/>
        </w:rPr>
        <w:t>Why is this research important?</w:t>
      </w:r>
      <w:r>
        <w:rPr>
          <w:noProof/>
        </w:rPr>
        <w:tab/>
      </w:r>
      <w:r>
        <w:rPr>
          <w:noProof/>
        </w:rPr>
        <w:fldChar w:fldCharType="begin"/>
      </w:r>
      <w:r>
        <w:rPr>
          <w:noProof/>
        </w:rPr>
        <w:instrText xml:space="preserve"> PAGEREF _Toc387144719 \h </w:instrText>
      </w:r>
      <w:r>
        <w:rPr>
          <w:noProof/>
        </w:rPr>
      </w:r>
      <w:r>
        <w:rPr>
          <w:noProof/>
        </w:rPr>
        <w:fldChar w:fldCharType="separate"/>
      </w:r>
      <w:r w:rsidR="00CF0B01">
        <w:rPr>
          <w:noProof/>
        </w:rPr>
        <w:t>2</w:t>
      </w:r>
      <w:r>
        <w:rPr>
          <w:noProof/>
        </w:rPr>
        <w:fldChar w:fldCharType="end"/>
      </w:r>
    </w:p>
    <w:p w14:paraId="0E491D40"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sidRPr="008D356F">
        <w:rPr>
          <w:noProof/>
          <w:lang w:val="en-AU"/>
        </w:rPr>
        <w:t>Six factors that make the greatest impact on hardship policy and practice</w:t>
      </w:r>
      <w:r>
        <w:rPr>
          <w:noProof/>
        </w:rPr>
        <w:tab/>
      </w:r>
      <w:r>
        <w:rPr>
          <w:noProof/>
        </w:rPr>
        <w:fldChar w:fldCharType="begin"/>
      </w:r>
      <w:r>
        <w:rPr>
          <w:noProof/>
        </w:rPr>
        <w:instrText xml:space="preserve"> PAGEREF _Toc387144720 \h </w:instrText>
      </w:r>
      <w:r>
        <w:rPr>
          <w:noProof/>
        </w:rPr>
      </w:r>
      <w:r>
        <w:rPr>
          <w:noProof/>
        </w:rPr>
        <w:fldChar w:fldCharType="separate"/>
      </w:r>
      <w:r w:rsidR="00CF0B01">
        <w:rPr>
          <w:noProof/>
        </w:rPr>
        <w:t>3</w:t>
      </w:r>
      <w:r>
        <w:rPr>
          <w:noProof/>
        </w:rPr>
        <w:fldChar w:fldCharType="end"/>
      </w:r>
    </w:p>
    <w:p w14:paraId="25F3D00F"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Other research findings</w:t>
      </w:r>
      <w:r>
        <w:rPr>
          <w:noProof/>
        </w:rPr>
        <w:tab/>
      </w:r>
      <w:r>
        <w:rPr>
          <w:noProof/>
        </w:rPr>
        <w:fldChar w:fldCharType="begin"/>
      </w:r>
      <w:r>
        <w:rPr>
          <w:noProof/>
        </w:rPr>
        <w:instrText xml:space="preserve"> PAGEREF _Toc387144721 \h </w:instrText>
      </w:r>
      <w:r>
        <w:rPr>
          <w:noProof/>
        </w:rPr>
      </w:r>
      <w:r>
        <w:rPr>
          <w:noProof/>
        </w:rPr>
        <w:fldChar w:fldCharType="separate"/>
      </w:r>
      <w:r w:rsidR="00CF0B01">
        <w:rPr>
          <w:noProof/>
        </w:rPr>
        <w:t>4</w:t>
      </w:r>
      <w:r>
        <w:rPr>
          <w:noProof/>
        </w:rPr>
        <w:fldChar w:fldCharType="end"/>
      </w:r>
    </w:p>
    <w:p w14:paraId="15819596" w14:textId="77777777" w:rsidR="00EB42E6" w:rsidRDefault="00EB42E6" w:rsidP="00E93973">
      <w:pPr>
        <w:pStyle w:val="TOC1"/>
        <w:rPr>
          <w:rFonts w:asciiTheme="minorHAnsi" w:eastAsiaTheme="minorEastAsia" w:hAnsiTheme="minorHAnsi"/>
          <w:noProof/>
          <w:szCs w:val="22"/>
          <w:lang w:val="en-AU" w:eastAsia="en-AU"/>
        </w:rPr>
      </w:pPr>
      <w:r>
        <w:rPr>
          <w:noProof/>
        </w:rPr>
        <w:t>Table of Contents</w:t>
      </w:r>
      <w:r>
        <w:rPr>
          <w:noProof/>
        </w:rPr>
        <w:tab/>
      </w:r>
      <w:r>
        <w:rPr>
          <w:noProof/>
        </w:rPr>
        <w:fldChar w:fldCharType="begin"/>
      </w:r>
      <w:r>
        <w:rPr>
          <w:noProof/>
        </w:rPr>
        <w:instrText xml:space="preserve"> PAGEREF _Toc387144722 \h </w:instrText>
      </w:r>
      <w:r>
        <w:rPr>
          <w:noProof/>
        </w:rPr>
      </w:r>
      <w:r>
        <w:rPr>
          <w:noProof/>
        </w:rPr>
        <w:fldChar w:fldCharType="separate"/>
      </w:r>
      <w:r w:rsidR="00CF0B01">
        <w:rPr>
          <w:noProof/>
        </w:rPr>
        <w:t>6</w:t>
      </w:r>
      <w:r>
        <w:rPr>
          <w:noProof/>
        </w:rPr>
        <w:fldChar w:fldCharType="end"/>
      </w:r>
    </w:p>
    <w:p w14:paraId="27544F92" w14:textId="77777777" w:rsidR="00EB42E6" w:rsidRDefault="00EB42E6" w:rsidP="00E93973">
      <w:pPr>
        <w:pStyle w:val="TOC1"/>
        <w:rPr>
          <w:rFonts w:asciiTheme="minorHAnsi" w:eastAsiaTheme="minorEastAsia" w:hAnsiTheme="minorHAnsi"/>
          <w:noProof/>
          <w:szCs w:val="22"/>
          <w:lang w:val="en-AU" w:eastAsia="en-AU"/>
        </w:rPr>
      </w:pPr>
      <w:r>
        <w:rPr>
          <w:noProof/>
        </w:rPr>
        <w:t>Section 1 – Background to the research</w:t>
      </w:r>
      <w:r>
        <w:rPr>
          <w:noProof/>
        </w:rPr>
        <w:tab/>
      </w:r>
      <w:r>
        <w:rPr>
          <w:noProof/>
        </w:rPr>
        <w:fldChar w:fldCharType="begin"/>
      </w:r>
      <w:r>
        <w:rPr>
          <w:noProof/>
        </w:rPr>
        <w:instrText xml:space="preserve"> PAGEREF _Toc387144723 \h </w:instrText>
      </w:r>
      <w:r>
        <w:rPr>
          <w:noProof/>
        </w:rPr>
      </w:r>
      <w:r>
        <w:rPr>
          <w:noProof/>
        </w:rPr>
        <w:fldChar w:fldCharType="separate"/>
      </w:r>
      <w:r w:rsidR="00CF0B01">
        <w:rPr>
          <w:noProof/>
        </w:rPr>
        <w:t>9</w:t>
      </w:r>
      <w:r>
        <w:rPr>
          <w:noProof/>
        </w:rPr>
        <w:fldChar w:fldCharType="end"/>
      </w:r>
    </w:p>
    <w:p w14:paraId="687D50BB" w14:textId="77777777"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1.1</w:t>
      </w:r>
      <w:r>
        <w:rPr>
          <w:rFonts w:asciiTheme="minorHAnsi" w:eastAsiaTheme="minorEastAsia" w:hAnsiTheme="minorHAnsi"/>
          <w:noProof/>
          <w:szCs w:val="22"/>
          <w:lang w:val="en-AU" w:eastAsia="en-AU"/>
        </w:rPr>
        <w:tab/>
      </w:r>
      <w:r w:rsidRPr="008D356F">
        <w:rPr>
          <w:noProof/>
          <w:lang w:val="en-US" w:eastAsia="ja-JP"/>
        </w:rPr>
        <w:t>Introduction</w:t>
      </w:r>
      <w:r>
        <w:rPr>
          <w:noProof/>
        </w:rPr>
        <w:tab/>
      </w:r>
      <w:r>
        <w:rPr>
          <w:noProof/>
        </w:rPr>
        <w:fldChar w:fldCharType="begin"/>
      </w:r>
      <w:r>
        <w:rPr>
          <w:noProof/>
        </w:rPr>
        <w:instrText xml:space="preserve"> PAGEREF _Toc387144724 \h </w:instrText>
      </w:r>
      <w:r>
        <w:rPr>
          <w:noProof/>
        </w:rPr>
      </w:r>
      <w:r>
        <w:rPr>
          <w:noProof/>
        </w:rPr>
        <w:fldChar w:fldCharType="separate"/>
      </w:r>
      <w:r w:rsidR="00CF0B01">
        <w:rPr>
          <w:noProof/>
        </w:rPr>
        <w:t>9</w:t>
      </w:r>
      <w:r>
        <w:rPr>
          <w:noProof/>
        </w:rPr>
        <w:fldChar w:fldCharType="end"/>
      </w:r>
    </w:p>
    <w:p w14:paraId="2A8EF4B8"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1.1.1 Purpose of the research</w:t>
      </w:r>
      <w:r>
        <w:rPr>
          <w:noProof/>
        </w:rPr>
        <w:tab/>
      </w:r>
      <w:r>
        <w:rPr>
          <w:noProof/>
        </w:rPr>
        <w:fldChar w:fldCharType="begin"/>
      </w:r>
      <w:r>
        <w:rPr>
          <w:noProof/>
        </w:rPr>
        <w:instrText xml:space="preserve"> PAGEREF _Toc387144725 \h </w:instrText>
      </w:r>
      <w:r>
        <w:rPr>
          <w:noProof/>
        </w:rPr>
      </w:r>
      <w:r>
        <w:rPr>
          <w:noProof/>
        </w:rPr>
        <w:fldChar w:fldCharType="separate"/>
      </w:r>
      <w:r w:rsidR="00CF0B01">
        <w:rPr>
          <w:noProof/>
        </w:rPr>
        <w:t>9</w:t>
      </w:r>
      <w:r>
        <w:rPr>
          <w:noProof/>
        </w:rPr>
        <w:fldChar w:fldCharType="end"/>
      </w:r>
    </w:p>
    <w:p w14:paraId="494F0811" w14:textId="1F452ED3"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1.1.2</w:t>
      </w:r>
      <w:r>
        <w:rPr>
          <w:rFonts w:asciiTheme="minorHAnsi" w:eastAsiaTheme="minorEastAsia" w:hAnsiTheme="minorHAnsi"/>
          <w:noProof/>
          <w:sz w:val="22"/>
          <w:szCs w:val="22"/>
          <w:lang w:val="en-AU" w:eastAsia="en-AU"/>
        </w:rPr>
        <w:t xml:space="preserve"> </w:t>
      </w:r>
      <w:r>
        <w:rPr>
          <w:noProof/>
        </w:rPr>
        <w:t>Methodology</w:t>
      </w:r>
      <w:r>
        <w:rPr>
          <w:noProof/>
        </w:rPr>
        <w:tab/>
      </w:r>
      <w:r>
        <w:rPr>
          <w:noProof/>
        </w:rPr>
        <w:fldChar w:fldCharType="begin"/>
      </w:r>
      <w:r>
        <w:rPr>
          <w:noProof/>
        </w:rPr>
        <w:instrText xml:space="preserve"> PAGEREF _Toc387144726 \h </w:instrText>
      </w:r>
      <w:r>
        <w:rPr>
          <w:noProof/>
        </w:rPr>
      </w:r>
      <w:r>
        <w:rPr>
          <w:noProof/>
        </w:rPr>
        <w:fldChar w:fldCharType="separate"/>
      </w:r>
      <w:r w:rsidR="00CF0B01">
        <w:rPr>
          <w:noProof/>
        </w:rPr>
        <w:t>10</w:t>
      </w:r>
      <w:r>
        <w:rPr>
          <w:noProof/>
        </w:rPr>
        <w:fldChar w:fldCharType="end"/>
      </w:r>
    </w:p>
    <w:p w14:paraId="77F54A1E" w14:textId="2E69F918"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1.1.3</w:t>
      </w:r>
      <w:r>
        <w:rPr>
          <w:rFonts w:asciiTheme="minorHAnsi" w:eastAsiaTheme="minorEastAsia" w:hAnsiTheme="minorHAnsi"/>
          <w:noProof/>
          <w:sz w:val="22"/>
          <w:szCs w:val="22"/>
          <w:lang w:val="en-AU" w:eastAsia="en-AU"/>
        </w:rPr>
        <w:t xml:space="preserve"> </w:t>
      </w:r>
      <w:r>
        <w:rPr>
          <w:noProof/>
        </w:rPr>
        <w:t>Strengths and limitations</w:t>
      </w:r>
      <w:r>
        <w:rPr>
          <w:noProof/>
        </w:rPr>
        <w:tab/>
      </w:r>
      <w:r>
        <w:rPr>
          <w:noProof/>
        </w:rPr>
        <w:fldChar w:fldCharType="begin"/>
      </w:r>
      <w:r>
        <w:rPr>
          <w:noProof/>
        </w:rPr>
        <w:instrText xml:space="preserve"> PAGEREF _Toc387144727 \h </w:instrText>
      </w:r>
      <w:r>
        <w:rPr>
          <w:noProof/>
        </w:rPr>
      </w:r>
      <w:r>
        <w:rPr>
          <w:noProof/>
        </w:rPr>
        <w:fldChar w:fldCharType="separate"/>
      </w:r>
      <w:r w:rsidR="00CF0B01">
        <w:rPr>
          <w:noProof/>
        </w:rPr>
        <w:t>12</w:t>
      </w:r>
      <w:r>
        <w:rPr>
          <w:noProof/>
        </w:rPr>
        <w:fldChar w:fldCharType="end"/>
      </w:r>
    </w:p>
    <w:p w14:paraId="182947DA" w14:textId="7DB3DC94"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1.1.4</w:t>
      </w:r>
      <w:r>
        <w:rPr>
          <w:rFonts w:asciiTheme="minorHAnsi" w:eastAsiaTheme="minorEastAsia" w:hAnsiTheme="minorHAnsi"/>
          <w:noProof/>
          <w:sz w:val="22"/>
          <w:szCs w:val="22"/>
          <w:lang w:val="en-AU" w:eastAsia="en-AU"/>
        </w:rPr>
        <w:t xml:space="preserve"> </w:t>
      </w:r>
      <w:r>
        <w:rPr>
          <w:noProof/>
        </w:rPr>
        <w:t>Structure of the report</w:t>
      </w:r>
      <w:r>
        <w:rPr>
          <w:noProof/>
        </w:rPr>
        <w:tab/>
      </w:r>
      <w:r>
        <w:rPr>
          <w:noProof/>
        </w:rPr>
        <w:fldChar w:fldCharType="begin"/>
      </w:r>
      <w:r>
        <w:rPr>
          <w:noProof/>
        </w:rPr>
        <w:instrText xml:space="preserve"> PAGEREF _Toc387144728 \h </w:instrText>
      </w:r>
      <w:r>
        <w:rPr>
          <w:noProof/>
        </w:rPr>
      </w:r>
      <w:r>
        <w:rPr>
          <w:noProof/>
        </w:rPr>
        <w:fldChar w:fldCharType="separate"/>
      </w:r>
      <w:r w:rsidR="00CF0B01">
        <w:rPr>
          <w:noProof/>
        </w:rPr>
        <w:t>12</w:t>
      </w:r>
      <w:r>
        <w:rPr>
          <w:noProof/>
        </w:rPr>
        <w:fldChar w:fldCharType="end"/>
      </w:r>
    </w:p>
    <w:p w14:paraId="02B63FDB" w14:textId="3D471ECE"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1.1.5</w:t>
      </w:r>
      <w:r>
        <w:rPr>
          <w:rFonts w:asciiTheme="minorHAnsi" w:eastAsiaTheme="minorEastAsia" w:hAnsiTheme="minorHAnsi"/>
          <w:noProof/>
          <w:sz w:val="22"/>
          <w:szCs w:val="22"/>
          <w:lang w:val="en-AU" w:eastAsia="en-AU"/>
        </w:rPr>
        <w:t xml:space="preserve"> </w:t>
      </w:r>
      <w:r>
        <w:rPr>
          <w:noProof/>
        </w:rPr>
        <w:t>How the report can be used</w:t>
      </w:r>
      <w:r>
        <w:rPr>
          <w:noProof/>
        </w:rPr>
        <w:tab/>
      </w:r>
      <w:r>
        <w:rPr>
          <w:noProof/>
        </w:rPr>
        <w:fldChar w:fldCharType="begin"/>
      </w:r>
      <w:r>
        <w:rPr>
          <w:noProof/>
        </w:rPr>
        <w:instrText xml:space="preserve"> PAGEREF _Toc387144729 \h </w:instrText>
      </w:r>
      <w:r>
        <w:rPr>
          <w:noProof/>
        </w:rPr>
      </w:r>
      <w:r>
        <w:rPr>
          <w:noProof/>
        </w:rPr>
        <w:fldChar w:fldCharType="separate"/>
      </w:r>
      <w:r w:rsidR="00CF0B01">
        <w:rPr>
          <w:noProof/>
        </w:rPr>
        <w:t>12</w:t>
      </w:r>
      <w:r>
        <w:rPr>
          <w:noProof/>
        </w:rPr>
        <w:fldChar w:fldCharType="end"/>
      </w:r>
    </w:p>
    <w:p w14:paraId="24BC56E1" w14:textId="77777777"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1.2</w:t>
      </w:r>
      <w:r>
        <w:rPr>
          <w:rFonts w:asciiTheme="minorHAnsi" w:eastAsiaTheme="minorEastAsia" w:hAnsiTheme="minorHAnsi"/>
          <w:noProof/>
          <w:szCs w:val="22"/>
          <w:lang w:val="en-AU" w:eastAsia="en-AU"/>
        </w:rPr>
        <w:tab/>
      </w:r>
      <w:r w:rsidRPr="008D356F">
        <w:rPr>
          <w:noProof/>
          <w:lang w:val="en-US" w:eastAsia="ja-JP"/>
        </w:rPr>
        <w:t>Why this research is relevant: Financial stress in the community</w:t>
      </w:r>
      <w:r>
        <w:rPr>
          <w:noProof/>
        </w:rPr>
        <w:tab/>
      </w:r>
      <w:r>
        <w:rPr>
          <w:noProof/>
        </w:rPr>
        <w:fldChar w:fldCharType="begin"/>
      </w:r>
      <w:r>
        <w:rPr>
          <w:noProof/>
        </w:rPr>
        <w:instrText xml:space="preserve"> PAGEREF _Toc387144730 \h </w:instrText>
      </w:r>
      <w:r>
        <w:rPr>
          <w:noProof/>
        </w:rPr>
      </w:r>
      <w:r>
        <w:rPr>
          <w:noProof/>
        </w:rPr>
        <w:fldChar w:fldCharType="separate"/>
      </w:r>
      <w:r w:rsidR="00CF0B01">
        <w:rPr>
          <w:noProof/>
        </w:rPr>
        <w:t>14</w:t>
      </w:r>
      <w:r>
        <w:rPr>
          <w:noProof/>
        </w:rPr>
        <w:fldChar w:fldCharType="end"/>
      </w:r>
    </w:p>
    <w:p w14:paraId="685DB08F"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1.2.1 Causes of financial difficulty</w:t>
      </w:r>
      <w:r>
        <w:rPr>
          <w:noProof/>
        </w:rPr>
        <w:tab/>
      </w:r>
      <w:r>
        <w:rPr>
          <w:noProof/>
        </w:rPr>
        <w:fldChar w:fldCharType="begin"/>
      </w:r>
      <w:r>
        <w:rPr>
          <w:noProof/>
        </w:rPr>
        <w:instrText xml:space="preserve"> PAGEREF _Toc387144731 \h </w:instrText>
      </w:r>
      <w:r>
        <w:rPr>
          <w:noProof/>
        </w:rPr>
      </w:r>
      <w:r>
        <w:rPr>
          <w:noProof/>
        </w:rPr>
        <w:fldChar w:fldCharType="separate"/>
      </w:r>
      <w:r w:rsidR="00CF0B01">
        <w:rPr>
          <w:noProof/>
        </w:rPr>
        <w:t>14</w:t>
      </w:r>
      <w:r>
        <w:rPr>
          <w:noProof/>
        </w:rPr>
        <w:fldChar w:fldCharType="end"/>
      </w:r>
    </w:p>
    <w:p w14:paraId="6D4B3EFB"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1.2.2 Who is doing it tough? ABS data</w:t>
      </w:r>
      <w:r>
        <w:rPr>
          <w:noProof/>
        </w:rPr>
        <w:tab/>
      </w:r>
      <w:r>
        <w:rPr>
          <w:noProof/>
        </w:rPr>
        <w:fldChar w:fldCharType="begin"/>
      </w:r>
      <w:r>
        <w:rPr>
          <w:noProof/>
        </w:rPr>
        <w:instrText xml:space="preserve"> PAGEREF _Toc387144732 \h </w:instrText>
      </w:r>
      <w:r>
        <w:rPr>
          <w:noProof/>
        </w:rPr>
      </w:r>
      <w:r>
        <w:rPr>
          <w:noProof/>
        </w:rPr>
        <w:fldChar w:fldCharType="separate"/>
      </w:r>
      <w:r w:rsidR="00CF0B01">
        <w:rPr>
          <w:noProof/>
        </w:rPr>
        <w:t>14</w:t>
      </w:r>
      <w:r>
        <w:rPr>
          <w:noProof/>
        </w:rPr>
        <w:fldChar w:fldCharType="end"/>
      </w:r>
    </w:p>
    <w:p w14:paraId="7ABC05A3"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1.2.3 Other relevant data</w:t>
      </w:r>
      <w:r>
        <w:rPr>
          <w:noProof/>
        </w:rPr>
        <w:tab/>
      </w:r>
      <w:r>
        <w:rPr>
          <w:noProof/>
        </w:rPr>
        <w:fldChar w:fldCharType="begin"/>
      </w:r>
      <w:r>
        <w:rPr>
          <w:noProof/>
        </w:rPr>
        <w:instrText xml:space="preserve"> PAGEREF _Toc387144733 \h </w:instrText>
      </w:r>
      <w:r>
        <w:rPr>
          <w:noProof/>
        </w:rPr>
      </w:r>
      <w:r>
        <w:rPr>
          <w:noProof/>
        </w:rPr>
        <w:fldChar w:fldCharType="separate"/>
      </w:r>
      <w:r w:rsidR="00CF0B01">
        <w:rPr>
          <w:noProof/>
        </w:rPr>
        <w:t>15</w:t>
      </w:r>
      <w:r>
        <w:rPr>
          <w:noProof/>
        </w:rPr>
        <w:fldChar w:fldCharType="end"/>
      </w:r>
    </w:p>
    <w:p w14:paraId="1A313222" w14:textId="4F9D3289"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1.2.4 Conclusion</w:t>
      </w:r>
      <w:r>
        <w:rPr>
          <w:noProof/>
        </w:rPr>
        <w:tab/>
      </w:r>
      <w:r>
        <w:rPr>
          <w:noProof/>
        </w:rPr>
        <w:fldChar w:fldCharType="begin"/>
      </w:r>
      <w:r>
        <w:rPr>
          <w:noProof/>
        </w:rPr>
        <w:instrText xml:space="preserve"> PAGEREF _Toc387144734 \h </w:instrText>
      </w:r>
      <w:r>
        <w:rPr>
          <w:noProof/>
        </w:rPr>
      </w:r>
      <w:r>
        <w:rPr>
          <w:noProof/>
        </w:rPr>
        <w:fldChar w:fldCharType="separate"/>
      </w:r>
      <w:r w:rsidR="00CF0B01">
        <w:rPr>
          <w:noProof/>
        </w:rPr>
        <w:t>16</w:t>
      </w:r>
      <w:r>
        <w:rPr>
          <w:noProof/>
        </w:rPr>
        <w:fldChar w:fldCharType="end"/>
      </w:r>
    </w:p>
    <w:p w14:paraId="6C5CF5D3" w14:textId="2CFE3015" w:rsidR="00EB42E6" w:rsidRDefault="00EB42E6" w:rsidP="00E93973">
      <w:pPr>
        <w:pStyle w:val="TOC1"/>
        <w:rPr>
          <w:rFonts w:asciiTheme="minorHAnsi" w:eastAsiaTheme="minorEastAsia" w:hAnsiTheme="minorHAnsi"/>
          <w:noProof/>
          <w:szCs w:val="22"/>
          <w:lang w:val="en-AU" w:eastAsia="en-AU"/>
        </w:rPr>
      </w:pPr>
      <w:r>
        <w:rPr>
          <w:noProof/>
        </w:rPr>
        <w:t>Section 2 – Six areas that can make a difference</w:t>
      </w:r>
      <w:r>
        <w:rPr>
          <w:noProof/>
        </w:rPr>
        <w:tab/>
      </w:r>
      <w:r>
        <w:rPr>
          <w:noProof/>
        </w:rPr>
        <w:fldChar w:fldCharType="begin"/>
      </w:r>
      <w:r>
        <w:rPr>
          <w:noProof/>
        </w:rPr>
        <w:instrText xml:space="preserve"> PAGEREF _Toc387144735 \h </w:instrText>
      </w:r>
      <w:r>
        <w:rPr>
          <w:noProof/>
        </w:rPr>
      </w:r>
      <w:r>
        <w:rPr>
          <w:noProof/>
        </w:rPr>
        <w:fldChar w:fldCharType="separate"/>
      </w:r>
      <w:r w:rsidR="00CF0B01">
        <w:rPr>
          <w:noProof/>
        </w:rPr>
        <w:t>17</w:t>
      </w:r>
      <w:r>
        <w:rPr>
          <w:noProof/>
        </w:rPr>
        <w:fldChar w:fldCharType="end"/>
      </w:r>
    </w:p>
    <w:p w14:paraId="454F97B0" w14:textId="77777777"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2.1</w:t>
      </w:r>
      <w:r>
        <w:rPr>
          <w:rFonts w:asciiTheme="minorHAnsi" w:eastAsiaTheme="minorEastAsia" w:hAnsiTheme="minorHAnsi"/>
          <w:noProof/>
          <w:szCs w:val="22"/>
          <w:lang w:val="en-AU" w:eastAsia="en-AU"/>
        </w:rPr>
        <w:tab/>
      </w:r>
      <w:r w:rsidRPr="008D356F">
        <w:rPr>
          <w:noProof/>
          <w:lang w:val="en-US" w:eastAsia="ja-JP"/>
        </w:rPr>
        <w:t>Access</w:t>
      </w:r>
      <w:r>
        <w:rPr>
          <w:noProof/>
        </w:rPr>
        <w:tab/>
      </w:r>
      <w:r>
        <w:rPr>
          <w:noProof/>
        </w:rPr>
        <w:fldChar w:fldCharType="begin"/>
      </w:r>
      <w:r>
        <w:rPr>
          <w:noProof/>
        </w:rPr>
        <w:instrText xml:space="preserve"> PAGEREF _Toc387144736 \h </w:instrText>
      </w:r>
      <w:r>
        <w:rPr>
          <w:noProof/>
        </w:rPr>
      </w:r>
      <w:r>
        <w:rPr>
          <w:noProof/>
        </w:rPr>
        <w:fldChar w:fldCharType="separate"/>
      </w:r>
      <w:r w:rsidR="00CF0B01">
        <w:rPr>
          <w:noProof/>
        </w:rPr>
        <w:t>18</w:t>
      </w:r>
      <w:r>
        <w:rPr>
          <w:noProof/>
        </w:rPr>
        <w:fldChar w:fldCharType="end"/>
      </w:r>
    </w:p>
    <w:p w14:paraId="197B147B"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2.1.1 Why this topic?</w:t>
      </w:r>
      <w:r>
        <w:rPr>
          <w:noProof/>
        </w:rPr>
        <w:tab/>
      </w:r>
      <w:r>
        <w:rPr>
          <w:noProof/>
        </w:rPr>
        <w:fldChar w:fldCharType="begin"/>
      </w:r>
      <w:r>
        <w:rPr>
          <w:noProof/>
        </w:rPr>
        <w:instrText xml:space="preserve"> PAGEREF _Toc387144737 \h </w:instrText>
      </w:r>
      <w:r>
        <w:rPr>
          <w:noProof/>
        </w:rPr>
      </w:r>
      <w:r>
        <w:rPr>
          <w:noProof/>
        </w:rPr>
        <w:fldChar w:fldCharType="separate"/>
      </w:r>
      <w:r w:rsidR="00CF0B01">
        <w:rPr>
          <w:noProof/>
        </w:rPr>
        <w:t>18</w:t>
      </w:r>
      <w:r>
        <w:rPr>
          <w:noProof/>
        </w:rPr>
        <w:fldChar w:fldCharType="end"/>
      </w:r>
    </w:p>
    <w:p w14:paraId="21CD687C" w14:textId="5D856D42"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2.1.2</w:t>
      </w:r>
      <w:r>
        <w:rPr>
          <w:rFonts w:asciiTheme="minorHAnsi" w:eastAsiaTheme="minorEastAsia" w:hAnsiTheme="minorHAnsi"/>
          <w:noProof/>
          <w:sz w:val="22"/>
          <w:szCs w:val="22"/>
          <w:lang w:val="en-AU" w:eastAsia="en-AU"/>
        </w:rPr>
        <w:t xml:space="preserve"> </w:t>
      </w:r>
      <w:r>
        <w:rPr>
          <w:noProof/>
        </w:rPr>
        <w:t>Research findings</w:t>
      </w:r>
      <w:r>
        <w:rPr>
          <w:noProof/>
        </w:rPr>
        <w:tab/>
      </w:r>
      <w:r>
        <w:rPr>
          <w:noProof/>
        </w:rPr>
        <w:fldChar w:fldCharType="begin"/>
      </w:r>
      <w:r>
        <w:rPr>
          <w:noProof/>
        </w:rPr>
        <w:instrText xml:space="preserve"> PAGEREF _Toc387144738 \h </w:instrText>
      </w:r>
      <w:r>
        <w:rPr>
          <w:noProof/>
        </w:rPr>
      </w:r>
      <w:r>
        <w:rPr>
          <w:noProof/>
        </w:rPr>
        <w:fldChar w:fldCharType="separate"/>
      </w:r>
      <w:r w:rsidR="00CF0B01">
        <w:rPr>
          <w:noProof/>
        </w:rPr>
        <w:t>18</w:t>
      </w:r>
      <w:r>
        <w:rPr>
          <w:noProof/>
        </w:rPr>
        <w:fldChar w:fldCharType="end"/>
      </w:r>
    </w:p>
    <w:p w14:paraId="602E208E"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2.1.3 Good ideas</w:t>
      </w:r>
      <w:r>
        <w:rPr>
          <w:noProof/>
        </w:rPr>
        <w:tab/>
      </w:r>
      <w:r>
        <w:rPr>
          <w:noProof/>
        </w:rPr>
        <w:fldChar w:fldCharType="begin"/>
      </w:r>
      <w:r>
        <w:rPr>
          <w:noProof/>
        </w:rPr>
        <w:instrText xml:space="preserve"> PAGEREF _Toc387144739 \h </w:instrText>
      </w:r>
      <w:r>
        <w:rPr>
          <w:noProof/>
        </w:rPr>
      </w:r>
      <w:r>
        <w:rPr>
          <w:noProof/>
        </w:rPr>
        <w:fldChar w:fldCharType="separate"/>
      </w:r>
      <w:r w:rsidR="00CF0B01">
        <w:rPr>
          <w:noProof/>
        </w:rPr>
        <w:t>19</w:t>
      </w:r>
      <w:r>
        <w:rPr>
          <w:noProof/>
        </w:rPr>
        <w:fldChar w:fldCharType="end"/>
      </w:r>
    </w:p>
    <w:p w14:paraId="64A3DAAD"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2.1.4 Summary and implications</w:t>
      </w:r>
      <w:r>
        <w:rPr>
          <w:noProof/>
        </w:rPr>
        <w:tab/>
      </w:r>
      <w:r>
        <w:rPr>
          <w:noProof/>
        </w:rPr>
        <w:fldChar w:fldCharType="begin"/>
      </w:r>
      <w:r>
        <w:rPr>
          <w:noProof/>
        </w:rPr>
        <w:instrText xml:space="preserve"> PAGEREF _Toc387144740 \h </w:instrText>
      </w:r>
      <w:r>
        <w:rPr>
          <w:noProof/>
        </w:rPr>
      </w:r>
      <w:r>
        <w:rPr>
          <w:noProof/>
        </w:rPr>
        <w:fldChar w:fldCharType="separate"/>
      </w:r>
      <w:r w:rsidR="00CF0B01">
        <w:rPr>
          <w:noProof/>
        </w:rPr>
        <w:t>21</w:t>
      </w:r>
      <w:r>
        <w:rPr>
          <w:noProof/>
        </w:rPr>
        <w:fldChar w:fldCharType="end"/>
      </w:r>
    </w:p>
    <w:p w14:paraId="7D08F8AF" w14:textId="77777777"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2.2</w:t>
      </w:r>
      <w:r>
        <w:rPr>
          <w:rFonts w:asciiTheme="minorHAnsi" w:eastAsiaTheme="minorEastAsia" w:hAnsiTheme="minorHAnsi"/>
          <w:noProof/>
          <w:szCs w:val="22"/>
          <w:lang w:val="en-AU" w:eastAsia="en-AU"/>
        </w:rPr>
        <w:tab/>
      </w:r>
      <w:r w:rsidRPr="008D356F">
        <w:rPr>
          <w:noProof/>
          <w:lang w:val="en-US" w:eastAsia="ja-JP"/>
        </w:rPr>
        <w:t>Early identification</w:t>
      </w:r>
      <w:r>
        <w:rPr>
          <w:noProof/>
        </w:rPr>
        <w:tab/>
      </w:r>
      <w:r>
        <w:rPr>
          <w:noProof/>
        </w:rPr>
        <w:fldChar w:fldCharType="begin"/>
      </w:r>
      <w:r>
        <w:rPr>
          <w:noProof/>
        </w:rPr>
        <w:instrText xml:space="preserve"> PAGEREF _Toc387144741 \h </w:instrText>
      </w:r>
      <w:r>
        <w:rPr>
          <w:noProof/>
        </w:rPr>
      </w:r>
      <w:r>
        <w:rPr>
          <w:noProof/>
        </w:rPr>
        <w:fldChar w:fldCharType="separate"/>
      </w:r>
      <w:r w:rsidR="00CF0B01">
        <w:rPr>
          <w:noProof/>
        </w:rPr>
        <w:t>22</w:t>
      </w:r>
      <w:r>
        <w:rPr>
          <w:noProof/>
        </w:rPr>
        <w:fldChar w:fldCharType="end"/>
      </w:r>
    </w:p>
    <w:p w14:paraId="5C39499C" w14:textId="1CA6C1F3"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2.2.1</w:t>
      </w:r>
      <w:r>
        <w:rPr>
          <w:rFonts w:asciiTheme="minorHAnsi" w:eastAsiaTheme="minorEastAsia" w:hAnsiTheme="minorHAnsi"/>
          <w:noProof/>
          <w:sz w:val="22"/>
          <w:szCs w:val="22"/>
          <w:lang w:val="en-AU" w:eastAsia="en-AU"/>
        </w:rPr>
        <w:t xml:space="preserve"> </w:t>
      </w:r>
      <w:r>
        <w:rPr>
          <w:noProof/>
        </w:rPr>
        <w:t>Why this topic?</w:t>
      </w:r>
      <w:r>
        <w:rPr>
          <w:noProof/>
        </w:rPr>
        <w:tab/>
      </w:r>
      <w:r>
        <w:rPr>
          <w:noProof/>
        </w:rPr>
        <w:fldChar w:fldCharType="begin"/>
      </w:r>
      <w:r>
        <w:rPr>
          <w:noProof/>
        </w:rPr>
        <w:instrText xml:space="preserve"> PAGEREF _Toc387144742 \h </w:instrText>
      </w:r>
      <w:r>
        <w:rPr>
          <w:noProof/>
        </w:rPr>
      </w:r>
      <w:r>
        <w:rPr>
          <w:noProof/>
        </w:rPr>
        <w:fldChar w:fldCharType="separate"/>
      </w:r>
      <w:r w:rsidR="00CF0B01">
        <w:rPr>
          <w:noProof/>
        </w:rPr>
        <w:t>22</w:t>
      </w:r>
      <w:r>
        <w:rPr>
          <w:noProof/>
        </w:rPr>
        <w:fldChar w:fldCharType="end"/>
      </w:r>
    </w:p>
    <w:p w14:paraId="1CC9BF37" w14:textId="62F0164E"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2.2.2</w:t>
      </w:r>
      <w:r>
        <w:rPr>
          <w:rFonts w:asciiTheme="minorHAnsi" w:eastAsiaTheme="minorEastAsia" w:hAnsiTheme="minorHAnsi"/>
          <w:noProof/>
          <w:sz w:val="22"/>
          <w:szCs w:val="22"/>
          <w:lang w:val="en-AU" w:eastAsia="en-AU"/>
        </w:rPr>
        <w:t xml:space="preserve"> </w:t>
      </w:r>
      <w:r>
        <w:rPr>
          <w:noProof/>
        </w:rPr>
        <w:t>Research findings</w:t>
      </w:r>
      <w:r>
        <w:rPr>
          <w:noProof/>
        </w:rPr>
        <w:tab/>
      </w:r>
      <w:r>
        <w:rPr>
          <w:noProof/>
        </w:rPr>
        <w:fldChar w:fldCharType="begin"/>
      </w:r>
      <w:r>
        <w:rPr>
          <w:noProof/>
        </w:rPr>
        <w:instrText xml:space="preserve"> PAGEREF _Toc387144743 \h </w:instrText>
      </w:r>
      <w:r>
        <w:rPr>
          <w:noProof/>
        </w:rPr>
      </w:r>
      <w:r>
        <w:rPr>
          <w:noProof/>
        </w:rPr>
        <w:fldChar w:fldCharType="separate"/>
      </w:r>
      <w:r w:rsidR="00CF0B01">
        <w:rPr>
          <w:noProof/>
        </w:rPr>
        <w:t>22</w:t>
      </w:r>
      <w:r>
        <w:rPr>
          <w:noProof/>
        </w:rPr>
        <w:fldChar w:fldCharType="end"/>
      </w:r>
    </w:p>
    <w:p w14:paraId="02B956C8" w14:textId="139691E9"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2.2.2</w:t>
      </w:r>
      <w:r>
        <w:rPr>
          <w:rFonts w:asciiTheme="minorHAnsi" w:eastAsiaTheme="minorEastAsia" w:hAnsiTheme="minorHAnsi"/>
          <w:noProof/>
          <w:sz w:val="22"/>
          <w:szCs w:val="22"/>
          <w:lang w:val="en-AU" w:eastAsia="en-AU"/>
        </w:rPr>
        <w:t xml:space="preserve"> </w:t>
      </w:r>
      <w:r w:rsidR="00E84F5A">
        <w:rPr>
          <w:noProof/>
        </w:rPr>
        <w:t>Good i</w:t>
      </w:r>
      <w:r>
        <w:rPr>
          <w:noProof/>
        </w:rPr>
        <w:t>deas</w:t>
      </w:r>
      <w:r>
        <w:rPr>
          <w:noProof/>
        </w:rPr>
        <w:tab/>
      </w:r>
      <w:r>
        <w:rPr>
          <w:noProof/>
        </w:rPr>
        <w:fldChar w:fldCharType="begin"/>
      </w:r>
      <w:r>
        <w:rPr>
          <w:noProof/>
        </w:rPr>
        <w:instrText xml:space="preserve"> PAGEREF _Toc387144744 \h </w:instrText>
      </w:r>
      <w:r>
        <w:rPr>
          <w:noProof/>
        </w:rPr>
      </w:r>
      <w:r>
        <w:rPr>
          <w:noProof/>
        </w:rPr>
        <w:fldChar w:fldCharType="separate"/>
      </w:r>
      <w:r w:rsidR="00CF0B01">
        <w:rPr>
          <w:noProof/>
        </w:rPr>
        <w:t>24</w:t>
      </w:r>
      <w:r>
        <w:rPr>
          <w:noProof/>
        </w:rPr>
        <w:fldChar w:fldCharType="end"/>
      </w:r>
    </w:p>
    <w:p w14:paraId="1B42FA2B"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2.2.4 Summary and implications</w:t>
      </w:r>
      <w:r>
        <w:rPr>
          <w:noProof/>
        </w:rPr>
        <w:tab/>
      </w:r>
      <w:r>
        <w:rPr>
          <w:noProof/>
        </w:rPr>
        <w:fldChar w:fldCharType="begin"/>
      </w:r>
      <w:r>
        <w:rPr>
          <w:noProof/>
        </w:rPr>
        <w:instrText xml:space="preserve"> PAGEREF _Toc387144745 \h </w:instrText>
      </w:r>
      <w:r>
        <w:rPr>
          <w:noProof/>
        </w:rPr>
      </w:r>
      <w:r>
        <w:rPr>
          <w:noProof/>
        </w:rPr>
        <w:fldChar w:fldCharType="separate"/>
      </w:r>
      <w:r w:rsidR="00CF0B01">
        <w:rPr>
          <w:noProof/>
        </w:rPr>
        <w:t>25</w:t>
      </w:r>
      <w:r>
        <w:rPr>
          <w:noProof/>
        </w:rPr>
        <w:fldChar w:fldCharType="end"/>
      </w:r>
    </w:p>
    <w:p w14:paraId="73841059" w14:textId="77777777"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2.3</w:t>
      </w:r>
      <w:r>
        <w:rPr>
          <w:rFonts w:asciiTheme="minorHAnsi" w:eastAsiaTheme="minorEastAsia" w:hAnsiTheme="minorHAnsi"/>
          <w:noProof/>
          <w:szCs w:val="22"/>
          <w:lang w:val="en-AU" w:eastAsia="en-AU"/>
        </w:rPr>
        <w:tab/>
      </w:r>
      <w:r w:rsidRPr="008D356F">
        <w:rPr>
          <w:noProof/>
          <w:lang w:val="en-US" w:eastAsia="ja-JP"/>
        </w:rPr>
        <w:t>Sustaining good performance</w:t>
      </w:r>
      <w:r>
        <w:rPr>
          <w:noProof/>
        </w:rPr>
        <w:tab/>
      </w:r>
      <w:r>
        <w:rPr>
          <w:noProof/>
        </w:rPr>
        <w:fldChar w:fldCharType="begin"/>
      </w:r>
      <w:r>
        <w:rPr>
          <w:noProof/>
        </w:rPr>
        <w:instrText xml:space="preserve"> PAGEREF _Toc387144746 \h </w:instrText>
      </w:r>
      <w:r>
        <w:rPr>
          <w:noProof/>
        </w:rPr>
      </w:r>
      <w:r>
        <w:rPr>
          <w:noProof/>
        </w:rPr>
        <w:fldChar w:fldCharType="separate"/>
      </w:r>
      <w:r w:rsidR="00CF0B01">
        <w:rPr>
          <w:noProof/>
        </w:rPr>
        <w:t>26</w:t>
      </w:r>
      <w:r>
        <w:rPr>
          <w:noProof/>
        </w:rPr>
        <w:fldChar w:fldCharType="end"/>
      </w:r>
    </w:p>
    <w:p w14:paraId="2C74172D"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2.3.1 Why this topic?</w:t>
      </w:r>
      <w:r>
        <w:rPr>
          <w:noProof/>
        </w:rPr>
        <w:tab/>
      </w:r>
      <w:r>
        <w:rPr>
          <w:noProof/>
        </w:rPr>
        <w:fldChar w:fldCharType="begin"/>
      </w:r>
      <w:r>
        <w:rPr>
          <w:noProof/>
        </w:rPr>
        <w:instrText xml:space="preserve"> PAGEREF _Toc387144747 \h </w:instrText>
      </w:r>
      <w:r>
        <w:rPr>
          <w:noProof/>
        </w:rPr>
      </w:r>
      <w:r>
        <w:rPr>
          <w:noProof/>
        </w:rPr>
        <w:fldChar w:fldCharType="separate"/>
      </w:r>
      <w:r w:rsidR="00CF0B01">
        <w:rPr>
          <w:noProof/>
        </w:rPr>
        <w:t>26</w:t>
      </w:r>
      <w:r>
        <w:rPr>
          <w:noProof/>
        </w:rPr>
        <w:fldChar w:fldCharType="end"/>
      </w:r>
    </w:p>
    <w:p w14:paraId="7CA9E21A" w14:textId="03457386"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2.3.2</w:t>
      </w:r>
      <w:r>
        <w:rPr>
          <w:rFonts w:asciiTheme="minorHAnsi" w:eastAsiaTheme="minorEastAsia" w:hAnsiTheme="minorHAnsi"/>
          <w:noProof/>
          <w:sz w:val="22"/>
          <w:szCs w:val="22"/>
          <w:lang w:val="en-AU" w:eastAsia="en-AU"/>
        </w:rPr>
        <w:t xml:space="preserve"> </w:t>
      </w:r>
      <w:r>
        <w:rPr>
          <w:noProof/>
        </w:rPr>
        <w:t>Research findings</w:t>
      </w:r>
      <w:r>
        <w:rPr>
          <w:noProof/>
        </w:rPr>
        <w:tab/>
      </w:r>
      <w:r>
        <w:rPr>
          <w:noProof/>
        </w:rPr>
        <w:fldChar w:fldCharType="begin"/>
      </w:r>
      <w:r>
        <w:rPr>
          <w:noProof/>
        </w:rPr>
        <w:instrText xml:space="preserve"> PAGEREF _Toc387144748 \h </w:instrText>
      </w:r>
      <w:r>
        <w:rPr>
          <w:noProof/>
        </w:rPr>
      </w:r>
      <w:r>
        <w:rPr>
          <w:noProof/>
        </w:rPr>
        <w:fldChar w:fldCharType="separate"/>
      </w:r>
      <w:r w:rsidR="00CF0B01">
        <w:rPr>
          <w:noProof/>
        </w:rPr>
        <w:t>26</w:t>
      </w:r>
      <w:r>
        <w:rPr>
          <w:noProof/>
        </w:rPr>
        <w:fldChar w:fldCharType="end"/>
      </w:r>
    </w:p>
    <w:p w14:paraId="1C53E799" w14:textId="698C0D92"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2.3.3</w:t>
      </w:r>
      <w:r>
        <w:rPr>
          <w:rFonts w:asciiTheme="minorHAnsi" w:eastAsiaTheme="minorEastAsia" w:hAnsiTheme="minorHAnsi"/>
          <w:noProof/>
          <w:sz w:val="22"/>
          <w:szCs w:val="22"/>
          <w:lang w:val="en-AU" w:eastAsia="en-AU"/>
        </w:rPr>
        <w:t xml:space="preserve"> </w:t>
      </w:r>
      <w:r>
        <w:rPr>
          <w:noProof/>
        </w:rPr>
        <w:t>Good ideas</w:t>
      </w:r>
      <w:r>
        <w:rPr>
          <w:noProof/>
        </w:rPr>
        <w:tab/>
      </w:r>
      <w:r>
        <w:rPr>
          <w:noProof/>
        </w:rPr>
        <w:fldChar w:fldCharType="begin"/>
      </w:r>
      <w:r>
        <w:rPr>
          <w:noProof/>
        </w:rPr>
        <w:instrText xml:space="preserve"> PAGEREF _Toc387144749 \h </w:instrText>
      </w:r>
      <w:r>
        <w:rPr>
          <w:noProof/>
        </w:rPr>
      </w:r>
      <w:r>
        <w:rPr>
          <w:noProof/>
        </w:rPr>
        <w:fldChar w:fldCharType="separate"/>
      </w:r>
      <w:r w:rsidR="00CF0B01">
        <w:rPr>
          <w:noProof/>
        </w:rPr>
        <w:t>29</w:t>
      </w:r>
      <w:r>
        <w:rPr>
          <w:noProof/>
        </w:rPr>
        <w:fldChar w:fldCharType="end"/>
      </w:r>
    </w:p>
    <w:p w14:paraId="59E89EA4" w14:textId="7A72EFEB"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2.3.4</w:t>
      </w:r>
      <w:r>
        <w:rPr>
          <w:rFonts w:asciiTheme="minorHAnsi" w:eastAsiaTheme="minorEastAsia" w:hAnsiTheme="minorHAnsi"/>
          <w:noProof/>
          <w:sz w:val="22"/>
          <w:szCs w:val="22"/>
          <w:lang w:val="en-AU" w:eastAsia="en-AU"/>
        </w:rPr>
        <w:t xml:space="preserve"> </w:t>
      </w:r>
      <w:r>
        <w:rPr>
          <w:noProof/>
        </w:rPr>
        <w:t>Summary and implications</w:t>
      </w:r>
      <w:r>
        <w:rPr>
          <w:noProof/>
        </w:rPr>
        <w:tab/>
      </w:r>
      <w:r>
        <w:rPr>
          <w:noProof/>
        </w:rPr>
        <w:fldChar w:fldCharType="begin"/>
      </w:r>
      <w:r>
        <w:rPr>
          <w:noProof/>
        </w:rPr>
        <w:instrText xml:space="preserve"> PAGEREF _Toc387144750 \h </w:instrText>
      </w:r>
      <w:r>
        <w:rPr>
          <w:noProof/>
        </w:rPr>
      </w:r>
      <w:r>
        <w:rPr>
          <w:noProof/>
        </w:rPr>
        <w:fldChar w:fldCharType="separate"/>
      </w:r>
      <w:r w:rsidR="00CF0B01">
        <w:rPr>
          <w:noProof/>
        </w:rPr>
        <w:t>30</w:t>
      </w:r>
      <w:r>
        <w:rPr>
          <w:noProof/>
        </w:rPr>
        <w:fldChar w:fldCharType="end"/>
      </w:r>
    </w:p>
    <w:p w14:paraId="4C1ACD0C" w14:textId="77777777"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2.4</w:t>
      </w:r>
      <w:r>
        <w:rPr>
          <w:rFonts w:asciiTheme="minorHAnsi" w:eastAsiaTheme="minorEastAsia" w:hAnsiTheme="minorHAnsi"/>
          <w:noProof/>
          <w:szCs w:val="22"/>
          <w:lang w:val="en-AU" w:eastAsia="en-AU"/>
        </w:rPr>
        <w:tab/>
      </w:r>
      <w:r w:rsidRPr="008D356F">
        <w:rPr>
          <w:noProof/>
          <w:lang w:val="en-US" w:eastAsia="ja-JP"/>
        </w:rPr>
        <w:t>Attitudes and culture</w:t>
      </w:r>
      <w:r>
        <w:rPr>
          <w:noProof/>
        </w:rPr>
        <w:tab/>
      </w:r>
      <w:r>
        <w:rPr>
          <w:noProof/>
        </w:rPr>
        <w:fldChar w:fldCharType="begin"/>
      </w:r>
      <w:r>
        <w:rPr>
          <w:noProof/>
        </w:rPr>
        <w:instrText xml:space="preserve"> PAGEREF _Toc387144751 \h </w:instrText>
      </w:r>
      <w:r>
        <w:rPr>
          <w:noProof/>
        </w:rPr>
      </w:r>
      <w:r>
        <w:rPr>
          <w:noProof/>
        </w:rPr>
        <w:fldChar w:fldCharType="separate"/>
      </w:r>
      <w:r w:rsidR="00CF0B01">
        <w:rPr>
          <w:noProof/>
        </w:rPr>
        <w:t>31</w:t>
      </w:r>
      <w:r>
        <w:rPr>
          <w:noProof/>
        </w:rPr>
        <w:fldChar w:fldCharType="end"/>
      </w:r>
    </w:p>
    <w:p w14:paraId="3B392C89"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2.4.1 Why this topic?</w:t>
      </w:r>
      <w:r>
        <w:rPr>
          <w:noProof/>
        </w:rPr>
        <w:tab/>
      </w:r>
      <w:r>
        <w:rPr>
          <w:noProof/>
        </w:rPr>
        <w:fldChar w:fldCharType="begin"/>
      </w:r>
      <w:r>
        <w:rPr>
          <w:noProof/>
        </w:rPr>
        <w:instrText xml:space="preserve"> PAGEREF _Toc387144752 \h </w:instrText>
      </w:r>
      <w:r>
        <w:rPr>
          <w:noProof/>
        </w:rPr>
      </w:r>
      <w:r>
        <w:rPr>
          <w:noProof/>
        </w:rPr>
        <w:fldChar w:fldCharType="separate"/>
      </w:r>
      <w:r w:rsidR="00CF0B01">
        <w:rPr>
          <w:noProof/>
        </w:rPr>
        <w:t>31</w:t>
      </w:r>
      <w:r>
        <w:rPr>
          <w:noProof/>
        </w:rPr>
        <w:fldChar w:fldCharType="end"/>
      </w:r>
    </w:p>
    <w:p w14:paraId="1B6E622F"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2.4.2 Research findings</w:t>
      </w:r>
      <w:r>
        <w:rPr>
          <w:noProof/>
        </w:rPr>
        <w:tab/>
      </w:r>
      <w:r>
        <w:rPr>
          <w:noProof/>
        </w:rPr>
        <w:fldChar w:fldCharType="begin"/>
      </w:r>
      <w:r>
        <w:rPr>
          <w:noProof/>
        </w:rPr>
        <w:instrText xml:space="preserve"> PAGEREF _Toc387144753 \h </w:instrText>
      </w:r>
      <w:r>
        <w:rPr>
          <w:noProof/>
        </w:rPr>
      </w:r>
      <w:r>
        <w:rPr>
          <w:noProof/>
        </w:rPr>
        <w:fldChar w:fldCharType="separate"/>
      </w:r>
      <w:r w:rsidR="00CF0B01">
        <w:rPr>
          <w:noProof/>
        </w:rPr>
        <w:t>31</w:t>
      </w:r>
      <w:r>
        <w:rPr>
          <w:noProof/>
        </w:rPr>
        <w:fldChar w:fldCharType="end"/>
      </w:r>
    </w:p>
    <w:p w14:paraId="74B95374" w14:textId="4755601F"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lastRenderedPageBreak/>
        <w:t>2.4.3</w:t>
      </w:r>
      <w:r>
        <w:rPr>
          <w:rFonts w:asciiTheme="minorHAnsi" w:eastAsiaTheme="minorEastAsia" w:hAnsiTheme="minorHAnsi"/>
          <w:noProof/>
          <w:sz w:val="22"/>
          <w:szCs w:val="22"/>
          <w:lang w:val="en-AU" w:eastAsia="en-AU"/>
        </w:rPr>
        <w:t xml:space="preserve"> </w:t>
      </w:r>
      <w:r>
        <w:rPr>
          <w:noProof/>
        </w:rPr>
        <w:t>Good ideas</w:t>
      </w:r>
      <w:r>
        <w:rPr>
          <w:noProof/>
        </w:rPr>
        <w:tab/>
      </w:r>
      <w:r>
        <w:rPr>
          <w:noProof/>
        </w:rPr>
        <w:fldChar w:fldCharType="begin"/>
      </w:r>
      <w:r>
        <w:rPr>
          <w:noProof/>
        </w:rPr>
        <w:instrText xml:space="preserve"> PAGEREF _Toc387144754 \h </w:instrText>
      </w:r>
      <w:r>
        <w:rPr>
          <w:noProof/>
        </w:rPr>
      </w:r>
      <w:r>
        <w:rPr>
          <w:noProof/>
        </w:rPr>
        <w:fldChar w:fldCharType="separate"/>
      </w:r>
      <w:r w:rsidR="00CF0B01">
        <w:rPr>
          <w:noProof/>
        </w:rPr>
        <w:t>32</w:t>
      </w:r>
      <w:r>
        <w:rPr>
          <w:noProof/>
        </w:rPr>
        <w:fldChar w:fldCharType="end"/>
      </w:r>
    </w:p>
    <w:p w14:paraId="04C373B1" w14:textId="1D451B2A"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2.3.4</w:t>
      </w:r>
      <w:r>
        <w:rPr>
          <w:rFonts w:asciiTheme="minorHAnsi" w:eastAsiaTheme="minorEastAsia" w:hAnsiTheme="minorHAnsi"/>
          <w:noProof/>
          <w:sz w:val="22"/>
          <w:szCs w:val="22"/>
          <w:lang w:val="en-AU" w:eastAsia="en-AU"/>
        </w:rPr>
        <w:t xml:space="preserve"> </w:t>
      </w:r>
      <w:r>
        <w:rPr>
          <w:noProof/>
        </w:rPr>
        <w:t>Summary and implications</w:t>
      </w:r>
      <w:r>
        <w:rPr>
          <w:noProof/>
        </w:rPr>
        <w:tab/>
      </w:r>
      <w:r>
        <w:rPr>
          <w:noProof/>
        </w:rPr>
        <w:fldChar w:fldCharType="begin"/>
      </w:r>
      <w:r>
        <w:rPr>
          <w:noProof/>
        </w:rPr>
        <w:instrText xml:space="preserve"> PAGEREF _Toc387144755 \h </w:instrText>
      </w:r>
      <w:r>
        <w:rPr>
          <w:noProof/>
        </w:rPr>
      </w:r>
      <w:r>
        <w:rPr>
          <w:noProof/>
        </w:rPr>
        <w:fldChar w:fldCharType="separate"/>
      </w:r>
      <w:r w:rsidR="00CF0B01">
        <w:rPr>
          <w:noProof/>
        </w:rPr>
        <w:t>33</w:t>
      </w:r>
      <w:r>
        <w:rPr>
          <w:noProof/>
        </w:rPr>
        <w:fldChar w:fldCharType="end"/>
      </w:r>
    </w:p>
    <w:p w14:paraId="593A0C2A" w14:textId="77777777"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2.5</w:t>
      </w:r>
      <w:r>
        <w:rPr>
          <w:rFonts w:asciiTheme="minorHAnsi" w:eastAsiaTheme="minorEastAsia" w:hAnsiTheme="minorHAnsi"/>
          <w:noProof/>
          <w:szCs w:val="22"/>
          <w:lang w:val="en-AU" w:eastAsia="en-AU"/>
        </w:rPr>
        <w:tab/>
      </w:r>
      <w:r w:rsidRPr="008D356F">
        <w:rPr>
          <w:noProof/>
          <w:lang w:val="en-US" w:eastAsia="ja-JP"/>
        </w:rPr>
        <w:t>The Business case</w:t>
      </w:r>
      <w:r>
        <w:rPr>
          <w:noProof/>
        </w:rPr>
        <w:tab/>
      </w:r>
      <w:r>
        <w:rPr>
          <w:noProof/>
        </w:rPr>
        <w:fldChar w:fldCharType="begin"/>
      </w:r>
      <w:r>
        <w:rPr>
          <w:noProof/>
        </w:rPr>
        <w:instrText xml:space="preserve"> PAGEREF _Toc387144756 \h </w:instrText>
      </w:r>
      <w:r>
        <w:rPr>
          <w:noProof/>
        </w:rPr>
      </w:r>
      <w:r>
        <w:rPr>
          <w:noProof/>
        </w:rPr>
        <w:fldChar w:fldCharType="separate"/>
      </w:r>
      <w:r w:rsidR="00CF0B01">
        <w:rPr>
          <w:noProof/>
        </w:rPr>
        <w:t>34</w:t>
      </w:r>
      <w:r>
        <w:rPr>
          <w:noProof/>
        </w:rPr>
        <w:fldChar w:fldCharType="end"/>
      </w:r>
    </w:p>
    <w:p w14:paraId="22F1904F" w14:textId="6B83ADF8"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2.5.1</w:t>
      </w:r>
      <w:r>
        <w:rPr>
          <w:rFonts w:asciiTheme="minorHAnsi" w:eastAsiaTheme="minorEastAsia" w:hAnsiTheme="minorHAnsi"/>
          <w:noProof/>
          <w:sz w:val="22"/>
          <w:szCs w:val="22"/>
          <w:lang w:val="en-AU" w:eastAsia="en-AU"/>
        </w:rPr>
        <w:t xml:space="preserve"> </w:t>
      </w:r>
      <w:r>
        <w:rPr>
          <w:noProof/>
        </w:rPr>
        <w:t>Why this topic?</w:t>
      </w:r>
      <w:r>
        <w:rPr>
          <w:noProof/>
        </w:rPr>
        <w:tab/>
      </w:r>
      <w:r>
        <w:rPr>
          <w:noProof/>
        </w:rPr>
        <w:fldChar w:fldCharType="begin"/>
      </w:r>
      <w:r>
        <w:rPr>
          <w:noProof/>
        </w:rPr>
        <w:instrText xml:space="preserve"> PAGEREF _Toc387144757 \h </w:instrText>
      </w:r>
      <w:r>
        <w:rPr>
          <w:noProof/>
        </w:rPr>
      </w:r>
      <w:r>
        <w:rPr>
          <w:noProof/>
        </w:rPr>
        <w:fldChar w:fldCharType="separate"/>
      </w:r>
      <w:r w:rsidR="00CF0B01">
        <w:rPr>
          <w:noProof/>
        </w:rPr>
        <w:t>34</w:t>
      </w:r>
      <w:r>
        <w:rPr>
          <w:noProof/>
        </w:rPr>
        <w:fldChar w:fldCharType="end"/>
      </w:r>
    </w:p>
    <w:p w14:paraId="2839F381" w14:textId="224D507F"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2.5.2</w:t>
      </w:r>
      <w:r>
        <w:rPr>
          <w:rFonts w:asciiTheme="minorHAnsi" w:eastAsiaTheme="minorEastAsia" w:hAnsiTheme="minorHAnsi"/>
          <w:noProof/>
          <w:sz w:val="22"/>
          <w:szCs w:val="22"/>
          <w:lang w:val="en-AU" w:eastAsia="en-AU"/>
        </w:rPr>
        <w:t xml:space="preserve"> </w:t>
      </w:r>
      <w:r>
        <w:rPr>
          <w:noProof/>
        </w:rPr>
        <w:t>Research findings</w:t>
      </w:r>
      <w:r>
        <w:rPr>
          <w:noProof/>
        </w:rPr>
        <w:tab/>
      </w:r>
      <w:r>
        <w:rPr>
          <w:noProof/>
        </w:rPr>
        <w:fldChar w:fldCharType="begin"/>
      </w:r>
      <w:r>
        <w:rPr>
          <w:noProof/>
        </w:rPr>
        <w:instrText xml:space="preserve"> PAGEREF _Toc387144758 \h </w:instrText>
      </w:r>
      <w:r>
        <w:rPr>
          <w:noProof/>
        </w:rPr>
      </w:r>
      <w:r>
        <w:rPr>
          <w:noProof/>
        </w:rPr>
        <w:fldChar w:fldCharType="separate"/>
      </w:r>
      <w:r w:rsidR="00CF0B01">
        <w:rPr>
          <w:noProof/>
        </w:rPr>
        <w:t>34</w:t>
      </w:r>
      <w:r>
        <w:rPr>
          <w:noProof/>
        </w:rPr>
        <w:fldChar w:fldCharType="end"/>
      </w:r>
    </w:p>
    <w:p w14:paraId="523F564E"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2.5.3 Good ideas</w:t>
      </w:r>
      <w:r>
        <w:rPr>
          <w:noProof/>
        </w:rPr>
        <w:tab/>
      </w:r>
      <w:r>
        <w:rPr>
          <w:noProof/>
        </w:rPr>
        <w:fldChar w:fldCharType="begin"/>
      </w:r>
      <w:r>
        <w:rPr>
          <w:noProof/>
        </w:rPr>
        <w:instrText xml:space="preserve"> PAGEREF _Toc387144759 \h </w:instrText>
      </w:r>
      <w:r>
        <w:rPr>
          <w:noProof/>
        </w:rPr>
      </w:r>
      <w:r>
        <w:rPr>
          <w:noProof/>
        </w:rPr>
        <w:fldChar w:fldCharType="separate"/>
      </w:r>
      <w:r w:rsidR="00CF0B01">
        <w:rPr>
          <w:noProof/>
        </w:rPr>
        <w:t>36</w:t>
      </w:r>
      <w:r>
        <w:rPr>
          <w:noProof/>
        </w:rPr>
        <w:fldChar w:fldCharType="end"/>
      </w:r>
    </w:p>
    <w:p w14:paraId="62DEE240" w14:textId="77777777"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2.6</w:t>
      </w:r>
      <w:r>
        <w:rPr>
          <w:rFonts w:asciiTheme="minorHAnsi" w:eastAsiaTheme="minorEastAsia" w:hAnsiTheme="minorHAnsi"/>
          <w:noProof/>
          <w:szCs w:val="22"/>
          <w:lang w:val="en-AU" w:eastAsia="en-AU"/>
        </w:rPr>
        <w:tab/>
      </w:r>
      <w:r w:rsidRPr="008D356F">
        <w:rPr>
          <w:noProof/>
          <w:lang w:val="en-US" w:eastAsia="ja-JP"/>
        </w:rPr>
        <w:t>Concessions and grants</w:t>
      </w:r>
      <w:r>
        <w:rPr>
          <w:noProof/>
        </w:rPr>
        <w:tab/>
      </w:r>
      <w:r>
        <w:rPr>
          <w:noProof/>
        </w:rPr>
        <w:fldChar w:fldCharType="begin"/>
      </w:r>
      <w:r>
        <w:rPr>
          <w:noProof/>
        </w:rPr>
        <w:instrText xml:space="preserve"> PAGEREF _Toc387144760 \h </w:instrText>
      </w:r>
      <w:r>
        <w:rPr>
          <w:noProof/>
        </w:rPr>
      </w:r>
      <w:r>
        <w:rPr>
          <w:noProof/>
        </w:rPr>
        <w:fldChar w:fldCharType="separate"/>
      </w:r>
      <w:r w:rsidR="00CF0B01">
        <w:rPr>
          <w:noProof/>
        </w:rPr>
        <w:t>38</w:t>
      </w:r>
      <w:r>
        <w:rPr>
          <w:noProof/>
        </w:rPr>
        <w:fldChar w:fldCharType="end"/>
      </w:r>
    </w:p>
    <w:p w14:paraId="1B9A8B04" w14:textId="61AF0F7C"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2.6.1</w:t>
      </w:r>
      <w:r>
        <w:rPr>
          <w:rFonts w:asciiTheme="minorHAnsi" w:eastAsiaTheme="minorEastAsia" w:hAnsiTheme="minorHAnsi"/>
          <w:noProof/>
          <w:sz w:val="22"/>
          <w:szCs w:val="22"/>
          <w:lang w:val="en-AU" w:eastAsia="en-AU"/>
        </w:rPr>
        <w:t xml:space="preserve"> </w:t>
      </w:r>
      <w:r>
        <w:rPr>
          <w:noProof/>
        </w:rPr>
        <w:t>Why this topic?</w:t>
      </w:r>
      <w:r>
        <w:rPr>
          <w:noProof/>
        </w:rPr>
        <w:tab/>
      </w:r>
      <w:r>
        <w:rPr>
          <w:noProof/>
        </w:rPr>
        <w:fldChar w:fldCharType="begin"/>
      </w:r>
      <w:r>
        <w:rPr>
          <w:noProof/>
        </w:rPr>
        <w:instrText xml:space="preserve"> PAGEREF _Toc387144761 \h </w:instrText>
      </w:r>
      <w:r>
        <w:rPr>
          <w:noProof/>
        </w:rPr>
      </w:r>
      <w:r>
        <w:rPr>
          <w:noProof/>
        </w:rPr>
        <w:fldChar w:fldCharType="separate"/>
      </w:r>
      <w:r w:rsidR="00CF0B01">
        <w:rPr>
          <w:noProof/>
        </w:rPr>
        <w:t>38</w:t>
      </w:r>
      <w:r>
        <w:rPr>
          <w:noProof/>
        </w:rPr>
        <w:fldChar w:fldCharType="end"/>
      </w:r>
    </w:p>
    <w:p w14:paraId="12D3E329"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2.6.2 Research findings</w:t>
      </w:r>
      <w:r>
        <w:rPr>
          <w:noProof/>
        </w:rPr>
        <w:tab/>
      </w:r>
      <w:r>
        <w:rPr>
          <w:noProof/>
        </w:rPr>
        <w:fldChar w:fldCharType="begin"/>
      </w:r>
      <w:r>
        <w:rPr>
          <w:noProof/>
        </w:rPr>
        <w:instrText xml:space="preserve"> PAGEREF _Toc387144762 \h </w:instrText>
      </w:r>
      <w:r>
        <w:rPr>
          <w:noProof/>
        </w:rPr>
      </w:r>
      <w:r>
        <w:rPr>
          <w:noProof/>
        </w:rPr>
        <w:fldChar w:fldCharType="separate"/>
      </w:r>
      <w:r w:rsidR="00CF0B01">
        <w:rPr>
          <w:noProof/>
        </w:rPr>
        <w:t>38</w:t>
      </w:r>
      <w:r>
        <w:rPr>
          <w:noProof/>
        </w:rPr>
        <w:fldChar w:fldCharType="end"/>
      </w:r>
    </w:p>
    <w:p w14:paraId="65BE530A" w14:textId="44C94CBA"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2.6.2</w:t>
      </w:r>
      <w:r>
        <w:rPr>
          <w:rFonts w:asciiTheme="minorHAnsi" w:eastAsiaTheme="minorEastAsia" w:hAnsiTheme="minorHAnsi"/>
          <w:noProof/>
          <w:sz w:val="22"/>
          <w:szCs w:val="22"/>
          <w:lang w:val="en-AU" w:eastAsia="en-AU"/>
        </w:rPr>
        <w:t xml:space="preserve"> </w:t>
      </w:r>
      <w:r>
        <w:rPr>
          <w:noProof/>
        </w:rPr>
        <w:t>Good ideas</w:t>
      </w:r>
      <w:r>
        <w:rPr>
          <w:noProof/>
        </w:rPr>
        <w:tab/>
      </w:r>
      <w:r>
        <w:rPr>
          <w:noProof/>
        </w:rPr>
        <w:fldChar w:fldCharType="begin"/>
      </w:r>
      <w:r>
        <w:rPr>
          <w:noProof/>
        </w:rPr>
        <w:instrText xml:space="preserve"> PAGEREF _Toc387144763 \h </w:instrText>
      </w:r>
      <w:r>
        <w:rPr>
          <w:noProof/>
        </w:rPr>
      </w:r>
      <w:r>
        <w:rPr>
          <w:noProof/>
        </w:rPr>
        <w:fldChar w:fldCharType="separate"/>
      </w:r>
      <w:r w:rsidR="00CF0B01">
        <w:rPr>
          <w:noProof/>
        </w:rPr>
        <w:t>40</w:t>
      </w:r>
      <w:r>
        <w:rPr>
          <w:noProof/>
        </w:rPr>
        <w:fldChar w:fldCharType="end"/>
      </w:r>
    </w:p>
    <w:p w14:paraId="51849AD9" w14:textId="6129EAB0" w:rsidR="00EB42E6" w:rsidRDefault="00EB42E6" w:rsidP="00E93973">
      <w:pPr>
        <w:pStyle w:val="TOC1"/>
        <w:rPr>
          <w:rFonts w:asciiTheme="minorHAnsi" w:eastAsiaTheme="minorEastAsia" w:hAnsiTheme="minorHAnsi"/>
          <w:noProof/>
          <w:szCs w:val="22"/>
          <w:lang w:val="en-AU" w:eastAsia="en-AU"/>
        </w:rPr>
      </w:pPr>
      <w:r>
        <w:rPr>
          <w:noProof/>
        </w:rPr>
        <w:t>Section 3 – Other findings from the research study</w:t>
      </w:r>
      <w:r>
        <w:rPr>
          <w:noProof/>
        </w:rPr>
        <w:tab/>
      </w:r>
      <w:r>
        <w:rPr>
          <w:noProof/>
        </w:rPr>
        <w:fldChar w:fldCharType="begin"/>
      </w:r>
      <w:r>
        <w:rPr>
          <w:noProof/>
        </w:rPr>
        <w:instrText xml:space="preserve"> PAGEREF _Toc387144764 \h </w:instrText>
      </w:r>
      <w:r>
        <w:rPr>
          <w:noProof/>
        </w:rPr>
      </w:r>
      <w:r>
        <w:rPr>
          <w:noProof/>
        </w:rPr>
        <w:fldChar w:fldCharType="separate"/>
      </w:r>
      <w:r w:rsidR="00CF0B01">
        <w:rPr>
          <w:noProof/>
        </w:rPr>
        <w:t>42</w:t>
      </w:r>
      <w:r>
        <w:rPr>
          <w:noProof/>
        </w:rPr>
        <w:fldChar w:fldCharType="end"/>
      </w:r>
    </w:p>
    <w:p w14:paraId="6735461B" w14:textId="0F437BB5"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3</w:t>
      </w:r>
      <w:r w:rsidRPr="00E93973">
        <w:rPr>
          <w:bCs w:val="0"/>
          <w:noProof/>
          <w:sz w:val="20"/>
        </w:rPr>
        <w:t>.1 ‘Hardship’ is not a term used by customers</w:t>
      </w:r>
      <w:r>
        <w:rPr>
          <w:noProof/>
        </w:rPr>
        <w:tab/>
      </w:r>
      <w:r>
        <w:rPr>
          <w:noProof/>
        </w:rPr>
        <w:fldChar w:fldCharType="begin"/>
      </w:r>
      <w:r>
        <w:rPr>
          <w:noProof/>
        </w:rPr>
        <w:instrText xml:space="preserve"> PAGEREF _Toc387144765 \h </w:instrText>
      </w:r>
      <w:r>
        <w:rPr>
          <w:noProof/>
        </w:rPr>
      </w:r>
      <w:r>
        <w:rPr>
          <w:noProof/>
        </w:rPr>
        <w:fldChar w:fldCharType="separate"/>
      </w:r>
      <w:r w:rsidR="00CF0B01">
        <w:rPr>
          <w:noProof/>
        </w:rPr>
        <w:t>42</w:t>
      </w:r>
      <w:r>
        <w:rPr>
          <w:noProof/>
        </w:rPr>
        <w:fldChar w:fldCharType="end"/>
      </w:r>
    </w:p>
    <w:p w14:paraId="01CF5A65" w14:textId="5F13CD82"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3.2</w:t>
      </w:r>
      <w:r>
        <w:rPr>
          <w:rFonts w:asciiTheme="minorHAnsi" w:eastAsiaTheme="minorEastAsia" w:hAnsiTheme="minorHAnsi"/>
          <w:noProof/>
          <w:szCs w:val="22"/>
          <w:lang w:val="en-AU" w:eastAsia="en-AU"/>
        </w:rPr>
        <w:t xml:space="preserve"> </w:t>
      </w:r>
      <w:r w:rsidRPr="008D356F">
        <w:rPr>
          <w:noProof/>
          <w:lang w:val="en-US" w:eastAsia="ja-JP"/>
        </w:rPr>
        <w:t>Different value judgments underpin approaches</w:t>
      </w:r>
      <w:r>
        <w:rPr>
          <w:noProof/>
        </w:rPr>
        <w:tab/>
      </w:r>
      <w:r>
        <w:rPr>
          <w:noProof/>
        </w:rPr>
        <w:fldChar w:fldCharType="begin"/>
      </w:r>
      <w:r>
        <w:rPr>
          <w:noProof/>
        </w:rPr>
        <w:instrText xml:space="preserve"> PAGEREF _Toc387144766 \h </w:instrText>
      </w:r>
      <w:r>
        <w:rPr>
          <w:noProof/>
        </w:rPr>
      </w:r>
      <w:r>
        <w:rPr>
          <w:noProof/>
        </w:rPr>
        <w:fldChar w:fldCharType="separate"/>
      </w:r>
      <w:r w:rsidR="00CF0B01">
        <w:rPr>
          <w:noProof/>
        </w:rPr>
        <w:t>43</w:t>
      </w:r>
      <w:r>
        <w:rPr>
          <w:noProof/>
        </w:rPr>
        <w:fldChar w:fldCharType="end"/>
      </w:r>
    </w:p>
    <w:p w14:paraId="0ACB8D57" w14:textId="7DB26CEB"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3.3</w:t>
      </w:r>
      <w:r>
        <w:rPr>
          <w:rFonts w:asciiTheme="minorHAnsi" w:eastAsiaTheme="minorEastAsia" w:hAnsiTheme="minorHAnsi"/>
          <w:noProof/>
          <w:szCs w:val="22"/>
          <w:lang w:val="en-AU" w:eastAsia="en-AU"/>
        </w:rPr>
        <w:t xml:space="preserve"> </w:t>
      </w:r>
      <w:r w:rsidRPr="008D356F">
        <w:rPr>
          <w:noProof/>
          <w:lang w:val="en-US" w:eastAsia="ja-JP"/>
        </w:rPr>
        <w:t>Affordable payment arrangements are difficult to arrange</w:t>
      </w:r>
      <w:r>
        <w:rPr>
          <w:noProof/>
        </w:rPr>
        <w:tab/>
      </w:r>
      <w:r>
        <w:rPr>
          <w:noProof/>
        </w:rPr>
        <w:fldChar w:fldCharType="begin"/>
      </w:r>
      <w:r>
        <w:rPr>
          <w:noProof/>
        </w:rPr>
        <w:instrText xml:space="preserve"> PAGEREF _Toc387144767 \h </w:instrText>
      </w:r>
      <w:r>
        <w:rPr>
          <w:noProof/>
        </w:rPr>
      </w:r>
      <w:r>
        <w:rPr>
          <w:noProof/>
        </w:rPr>
        <w:fldChar w:fldCharType="separate"/>
      </w:r>
      <w:r w:rsidR="00CF0B01">
        <w:rPr>
          <w:noProof/>
        </w:rPr>
        <w:t>45</w:t>
      </w:r>
      <w:r>
        <w:rPr>
          <w:noProof/>
        </w:rPr>
        <w:fldChar w:fldCharType="end"/>
      </w:r>
    </w:p>
    <w:p w14:paraId="3DFA025F" w14:textId="6A5B014E"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3.4</w:t>
      </w:r>
      <w:r w:rsidR="00963899">
        <w:rPr>
          <w:rFonts w:asciiTheme="minorHAnsi" w:eastAsiaTheme="minorEastAsia" w:hAnsiTheme="minorHAnsi"/>
          <w:noProof/>
          <w:szCs w:val="22"/>
          <w:lang w:val="en-AU" w:eastAsia="en-AU"/>
        </w:rPr>
        <w:t xml:space="preserve"> </w:t>
      </w:r>
      <w:r w:rsidRPr="008D356F">
        <w:rPr>
          <w:noProof/>
          <w:lang w:val="en-US" w:eastAsia="ja-JP"/>
        </w:rPr>
        <w:t>Incentive arrangements work</w:t>
      </w:r>
      <w:r>
        <w:rPr>
          <w:noProof/>
        </w:rPr>
        <w:tab/>
      </w:r>
      <w:r>
        <w:rPr>
          <w:noProof/>
        </w:rPr>
        <w:fldChar w:fldCharType="begin"/>
      </w:r>
      <w:r>
        <w:rPr>
          <w:noProof/>
        </w:rPr>
        <w:instrText xml:space="preserve"> PAGEREF _Toc387144768 \h </w:instrText>
      </w:r>
      <w:r>
        <w:rPr>
          <w:noProof/>
        </w:rPr>
      </w:r>
      <w:r>
        <w:rPr>
          <w:noProof/>
        </w:rPr>
        <w:fldChar w:fldCharType="separate"/>
      </w:r>
      <w:r w:rsidR="00CF0B01">
        <w:rPr>
          <w:noProof/>
        </w:rPr>
        <w:t>48</w:t>
      </w:r>
      <w:r>
        <w:rPr>
          <w:noProof/>
        </w:rPr>
        <w:fldChar w:fldCharType="end"/>
      </w:r>
    </w:p>
    <w:p w14:paraId="3B39D716" w14:textId="0C4DA59D"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3.5</w:t>
      </w:r>
      <w:r w:rsidR="00963899">
        <w:rPr>
          <w:rFonts w:asciiTheme="minorHAnsi" w:eastAsiaTheme="minorEastAsia" w:hAnsiTheme="minorHAnsi"/>
          <w:noProof/>
          <w:szCs w:val="22"/>
          <w:lang w:val="en-AU" w:eastAsia="en-AU"/>
        </w:rPr>
        <w:t xml:space="preserve"> </w:t>
      </w:r>
      <w:r w:rsidRPr="008D356F">
        <w:rPr>
          <w:noProof/>
          <w:lang w:val="en-US" w:eastAsia="ja-JP"/>
        </w:rPr>
        <w:t>Staff training and skills are critical</w:t>
      </w:r>
      <w:r>
        <w:rPr>
          <w:noProof/>
        </w:rPr>
        <w:tab/>
      </w:r>
      <w:r>
        <w:rPr>
          <w:noProof/>
        </w:rPr>
        <w:fldChar w:fldCharType="begin"/>
      </w:r>
      <w:r>
        <w:rPr>
          <w:noProof/>
        </w:rPr>
        <w:instrText xml:space="preserve"> PAGEREF _Toc387144769 \h </w:instrText>
      </w:r>
      <w:r>
        <w:rPr>
          <w:noProof/>
        </w:rPr>
      </w:r>
      <w:r>
        <w:rPr>
          <w:noProof/>
        </w:rPr>
        <w:fldChar w:fldCharType="separate"/>
      </w:r>
      <w:r w:rsidR="00CF0B01">
        <w:rPr>
          <w:noProof/>
        </w:rPr>
        <w:t>50</w:t>
      </w:r>
      <w:r>
        <w:rPr>
          <w:noProof/>
        </w:rPr>
        <w:fldChar w:fldCharType="end"/>
      </w:r>
    </w:p>
    <w:p w14:paraId="34FD36B8" w14:textId="6C824B38"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3.6</w:t>
      </w:r>
      <w:r w:rsidR="00963899">
        <w:rPr>
          <w:rFonts w:asciiTheme="minorHAnsi" w:eastAsiaTheme="minorEastAsia" w:hAnsiTheme="minorHAnsi"/>
          <w:noProof/>
          <w:szCs w:val="22"/>
          <w:lang w:val="en-AU" w:eastAsia="en-AU"/>
        </w:rPr>
        <w:t xml:space="preserve"> </w:t>
      </w:r>
      <w:r w:rsidRPr="008D356F">
        <w:rPr>
          <w:noProof/>
          <w:lang w:val="en-US" w:eastAsia="ja-JP"/>
        </w:rPr>
        <w:t>The collections and hardship functions are worlds apart</w:t>
      </w:r>
      <w:r>
        <w:rPr>
          <w:noProof/>
        </w:rPr>
        <w:tab/>
      </w:r>
      <w:r>
        <w:rPr>
          <w:noProof/>
        </w:rPr>
        <w:fldChar w:fldCharType="begin"/>
      </w:r>
      <w:r>
        <w:rPr>
          <w:noProof/>
        </w:rPr>
        <w:instrText xml:space="preserve"> PAGEREF _Toc387144770 \h </w:instrText>
      </w:r>
      <w:r>
        <w:rPr>
          <w:noProof/>
        </w:rPr>
      </w:r>
      <w:r>
        <w:rPr>
          <w:noProof/>
        </w:rPr>
        <w:fldChar w:fldCharType="separate"/>
      </w:r>
      <w:r w:rsidR="00CF0B01">
        <w:rPr>
          <w:noProof/>
        </w:rPr>
        <w:t>52</w:t>
      </w:r>
      <w:r>
        <w:rPr>
          <w:noProof/>
        </w:rPr>
        <w:fldChar w:fldCharType="end"/>
      </w:r>
    </w:p>
    <w:p w14:paraId="7128EE82" w14:textId="75CFF606"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3.7</w:t>
      </w:r>
      <w:r w:rsidR="00963899">
        <w:rPr>
          <w:rFonts w:asciiTheme="minorHAnsi" w:eastAsiaTheme="minorEastAsia" w:hAnsiTheme="minorHAnsi"/>
          <w:noProof/>
          <w:szCs w:val="22"/>
          <w:lang w:val="en-AU" w:eastAsia="en-AU"/>
        </w:rPr>
        <w:t xml:space="preserve"> </w:t>
      </w:r>
      <w:r w:rsidRPr="008D356F">
        <w:rPr>
          <w:noProof/>
          <w:lang w:val="en-US" w:eastAsia="ja-JP"/>
        </w:rPr>
        <w:t>A growing consensus about ‘bulk debt’ clients</w:t>
      </w:r>
      <w:r>
        <w:rPr>
          <w:noProof/>
        </w:rPr>
        <w:tab/>
      </w:r>
      <w:r>
        <w:rPr>
          <w:noProof/>
        </w:rPr>
        <w:fldChar w:fldCharType="begin"/>
      </w:r>
      <w:r>
        <w:rPr>
          <w:noProof/>
        </w:rPr>
        <w:instrText xml:space="preserve"> PAGEREF _Toc387144771 \h </w:instrText>
      </w:r>
      <w:r>
        <w:rPr>
          <w:noProof/>
        </w:rPr>
      </w:r>
      <w:r>
        <w:rPr>
          <w:noProof/>
        </w:rPr>
        <w:fldChar w:fldCharType="separate"/>
      </w:r>
      <w:r w:rsidR="00CF0B01">
        <w:rPr>
          <w:noProof/>
        </w:rPr>
        <w:t>54</w:t>
      </w:r>
      <w:r>
        <w:rPr>
          <w:noProof/>
        </w:rPr>
        <w:fldChar w:fldCharType="end"/>
      </w:r>
    </w:p>
    <w:p w14:paraId="4A52DDDF" w14:textId="0E75007E"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3.8</w:t>
      </w:r>
      <w:r w:rsidR="00963899">
        <w:rPr>
          <w:rFonts w:asciiTheme="minorHAnsi" w:eastAsiaTheme="minorEastAsia" w:hAnsiTheme="minorHAnsi"/>
          <w:noProof/>
          <w:szCs w:val="22"/>
          <w:lang w:val="en-AU" w:eastAsia="en-AU"/>
        </w:rPr>
        <w:t xml:space="preserve"> </w:t>
      </w:r>
      <w:r w:rsidRPr="008D356F">
        <w:rPr>
          <w:noProof/>
          <w:lang w:val="en-US" w:eastAsia="ja-JP"/>
        </w:rPr>
        <w:t>Better outcomes with debt collectors</w:t>
      </w:r>
      <w:r>
        <w:rPr>
          <w:noProof/>
        </w:rPr>
        <w:tab/>
      </w:r>
      <w:r>
        <w:rPr>
          <w:noProof/>
        </w:rPr>
        <w:fldChar w:fldCharType="begin"/>
      </w:r>
      <w:r>
        <w:rPr>
          <w:noProof/>
        </w:rPr>
        <w:instrText xml:space="preserve"> PAGEREF _Toc387144772 \h </w:instrText>
      </w:r>
      <w:r>
        <w:rPr>
          <w:noProof/>
        </w:rPr>
      </w:r>
      <w:r>
        <w:rPr>
          <w:noProof/>
        </w:rPr>
        <w:fldChar w:fldCharType="separate"/>
      </w:r>
      <w:r w:rsidR="00CF0B01">
        <w:rPr>
          <w:noProof/>
        </w:rPr>
        <w:t>55</w:t>
      </w:r>
      <w:r>
        <w:rPr>
          <w:noProof/>
        </w:rPr>
        <w:fldChar w:fldCharType="end"/>
      </w:r>
    </w:p>
    <w:p w14:paraId="68169C89" w14:textId="613FA1C6"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3.9</w:t>
      </w:r>
      <w:r w:rsidR="00963899">
        <w:rPr>
          <w:rFonts w:asciiTheme="minorHAnsi" w:eastAsiaTheme="minorEastAsia" w:hAnsiTheme="minorHAnsi"/>
          <w:noProof/>
          <w:szCs w:val="22"/>
          <w:lang w:val="en-AU" w:eastAsia="en-AU"/>
        </w:rPr>
        <w:t xml:space="preserve"> </w:t>
      </w:r>
      <w:r w:rsidRPr="008D356F">
        <w:rPr>
          <w:noProof/>
          <w:lang w:val="en-US" w:eastAsia="ja-JP"/>
        </w:rPr>
        <w:t>Some more good ideas</w:t>
      </w:r>
      <w:r>
        <w:rPr>
          <w:noProof/>
        </w:rPr>
        <w:tab/>
      </w:r>
      <w:r>
        <w:rPr>
          <w:noProof/>
        </w:rPr>
        <w:fldChar w:fldCharType="begin"/>
      </w:r>
      <w:r>
        <w:rPr>
          <w:noProof/>
        </w:rPr>
        <w:instrText xml:space="preserve"> PAGEREF _Toc387144773 \h </w:instrText>
      </w:r>
      <w:r>
        <w:rPr>
          <w:noProof/>
        </w:rPr>
      </w:r>
      <w:r>
        <w:rPr>
          <w:noProof/>
        </w:rPr>
        <w:fldChar w:fldCharType="separate"/>
      </w:r>
      <w:r w:rsidR="00CF0B01">
        <w:rPr>
          <w:noProof/>
        </w:rPr>
        <w:t>56</w:t>
      </w:r>
      <w:r>
        <w:rPr>
          <w:noProof/>
        </w:rPr>
        <w:fldChar w:fldCharType="end"/>
      </w:r>
    </w:p>
    <w:p w14:paraId="46801C85" w14:textId="43330297" w:rsidR="00EB42E6" w:rsidRDefault="00963899" w:rsidP="00E93973">
      <w:pPr>
        <w:pStyle w:val="TOC1"/>
        <w:rPr>
          <w:rFonts w:asciiTheme="minorHAnsi" w:eastAsiaTheme="minorEastAsia" w:hAnsiTheme="minorHAnsi"/>
          <w:noProof/>
          <w:szCs w:val="22"/>
          <w:lang w:val="en-AU" w:eastAsia="en-AU"/>
        </w:rPr>
      </w:pPr>
      <w:r>
        <w:rPr>
          <w:noProof/>
        </w:rPr>
        <w:t>Section 4 – Comp</w:t>
      </w:r>
      <w:r w:rsidR="00EB42E6">
        <w:rPr>
          <w:noProof/>
        </w:rPr>
        <w:t xml:space="preserve">aring hardship </w:t>
      </w:r>
      <w:r>
        <w:rPr>
          <w:noProof/>
        </w:rPr>
        <w:t>practices</w:t>
      </w:r>
      <w:r w:rsidR="00EB42E6">
        <w:rPr>
          <w:noProof/>
        </w:rPr>
        <w:tab/>
      </w:r>
      <w:r w:rsidR="00EB42E6">
        <w:rPr>
          <w:noProof/>
        </w:rPr>
        <w:fldChar w:fldCharType="begin"/>
      </w:r>
      <w:r w:rsidR="00EB42E6">
        <w:rPr>
          <w:noProof/>
        </w:rPr>
        <w:instrText xml:space="preserve"> PAGEREF _Toc387144774 \h </w:instrText>
      </w:r>
      <w:r w:rsidR="00EB42E6">
        <w:rPr>
          <w:noProof/>
        </w:rPr>
      </w:r>
      <w:r w:rsidR="00EB42E6">
        <w:rPr>
          <w:noProof/>
        </w:rPr>
        <w:fldChar w:fldCharType="separate"/>
      </w:r>
      <w:r w:rsidR="00CF0B01">
        <w:rPr>
          <w:noProof/>
        </w:rPr>
        <w:t>58</w:t>
      </w:r>
      <w:r w:rsidR="00EB42E6">
        <w:rPr>
          <w:noProof/>
        </w:rPr>
        <w:fldChar w:fldCharType="end"/>
      </w:r>
    </w:p>
    <w:p w14:paraId="3BD2F19C" w14:textId="77777777"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4.1 Telco focus groups</w:t>
      </w:r>
      <w:r>
        <w:rPr>
          <w:noProof/>
        </w:rPr>
        <w:tab/>
      </w:r>
      <w:r>
        <w:rPr>
          <w:noProof/>
        </w:rPr>
        <w:fldChar w:fldCharType="begin"/>
      </w:r>
      <w:r>
        <w:rPr>
          <w:noProof/>
        </w:rPr>
        <w:instrText xml:space="preserve"> PAGEREF _Toc387144775 \h </w:instrText>
      </w:r>
      <w:r>
        <w:rPr>
          <w:noProof/>
        </w:rPr>
      </w:r>
      <w:r>
        <w:rPr>
          <w:noProof/>
        </w:rPr>
        <w:fldChar w:fldCharType="separate"/>
      </w:r>
      <w:r w:rsidR="00CF0B01">
        <w:rPr>
          <w:noProof/>
        </w:rPr>
        <w:t>58</w:t>
      </w:r>
      <w:r>
        <w:rPr>
          <w:noProof/>
        </w:rPr>
        <w:fldChar w:fldCharType="end"/>
      </w:r>
    </w:p>
    <w:p w14:paraId="268BB89A" w14:textId="63BBFE31"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4.1.1</w:t>
      </w:r>
      <w:r w:rsidR="00963899">
        <w:rPr>
          <w:rFonts w:asciiTheme="minorHAnsi" w:eastAsiaTheme="minorEastAsia" w:hAnsiTheme="minorHAnsi"/>
          <w:noProof/>
          <w:sz w:val="22"/>
          <w:szCs w:val="22"/>
          <w:lang w:val="en-AU" w:eastAsia="en-AU"/>
        </w:rPr>
        <w:t xml:space="preserve"> </w:t>
      </w:r>
      <w:r>
        <w:rPr>
          <w:noProof/>
        </w:rPr>
        <w:t>Introduction</w:t>
      </w:r>
      <w:r>
        <w:rPr>
          <w:noProof/>
        </w:rPr>
        <w:tab/>
      </w:r>
      <w:r>
        <w:rPr>
          <w:noProof/>
        </w:rPr>
        <w:fldChar w:fldCharType="begin"/>
      </w:r>
      <w:r>
        <w:rPr>
          <w:noProof/>
        </w:rPr>
        <w:instrText xml:space="preserve"> PAGEREF _Toc387144776 \h </w:instrText>
      </w:r>
      <w:r>
        <w:rPr>
          <w:noProof/>
        </w:rPr>
      </w:r>
      <w:r>
        <w:rPr>
          <w:noProof/>
        </w:rPr>
        <w:fldChar w:fldCharType="separate"/>
      </w:r>
      <w:r w:rsidR="00CF0B01">
        <w:rPr>
          <w:noProof/>
        </w:rPr>
        <w:t>58</w:t>
      </w:r>
      <w:r>
        <w:rPr>
          <w:noProof/>
        </w:rPr>
        <w:fldChar w:fldCharType="end"/>
      </w:r>
    </w:p>
    <w:p w14:paraId="5935B7FF" w14:textId="4F7F816B"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sidRPr="008D356F">
        <w:rPr>
          <w:noProof/>
        </w:rPr>
        <w:t>4.</w:t>
      </w:r>
      <w:r>
        <w:rPr>
          <w:noProof/>
        </w:rPr>
        <w:t>1.2</w:t>
      </w:r>
      <w:r w:rsidR="00963899">
        <w:rPr>
          <w:rFonts w:asciiTheme="minorHAnsi" w:eastAsiaTheme="minorEastAsia" w:hAnsiTheme="minorHAnsi"/>
          <w:noProof/>
          <w:sz w:val="22"/>
          <w:szCs w:val="22"/>
          <w:lang w:val="en-AU" w:eastAsia="en-AU"/>
        </w:rPr>
        <w:t xml:space="preserve"> </w:t>
      </w:r>
      <w:r>
        <w:rPr>
          <w:noProof/>
        </w:rPr>
        <w:t>Main finding: Please help us</w:t>
      </w:r>
      <w:r>
        <w:rPr>
          <w:noProof/>
        </w:rPr>
        <w:tab/>
      </w:r>
      <w:r>
        <w:rPr>
          <w:noProof/>
        </w:rPr>
        <w:fldChar w:fldCharType="begin"/>
      </w:r>
      <w:r>
        <w:rPr>
          <w:noProof/>
        </w:rPr>
        <w:instrText xml:space="preserve"> PAGEREF _Toc387144777 \h </w:instrText>
      </w:r>
      <w:r>
        <w:rPr>
          <w:noProof/>
        </w:rPr>
      </w:r>
      <w:r>
        <w:rPr>
          <w:noProof/>
        </w:rPr>
        <w:fldChar w:fldCharType="separate"/>
      </w:r>
      <w:r w:rsidR="00CF0B01">
        <w:rPr>
          <w:noProof/>
        </w:rPr>
        <w:t>58</w:t>
      </w:r>
      <w:r>
        <w:rPr>
          <w:noProof/>
        </w:rPr>
        <w:fldChar w:fldCharType="end"/>
      </w:r>
    </w:p>
    <w:p w14:paraId="7CE0997C" w14:textId="354EAF90"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4.1.3</w:t>
      </w:r>
      <w:r w:rsidR="00963899">
        <w:rPr>
          <w:rFonts w:asciiTheme="minorHAnsi" w:eastAsiaTheme="minorEastAsia" w:hAnsiTheme="minorHAnsi"/>
          <w:noProof/>
          <w:sz w:val="22"/>
          <w:szCs w:val="22"/>
          <w:lang w:val="en-AU" w:eastAsia="en-AU"/>
        </w:rPr>
        <w:t xml:space="preserve"> </w:t>
      </w:r>
      <w:r>
        <w:rPr>
          <w:noProof/>
        </w:rPr>
        <w:t>Hardship arrangements</w:t>
      </w:r>
      <w:r>
        <w:rPr>
          <w:noProof/>
        </w:rPr>
        <w:tab/>
      </w:r>
      <w:r>
        <w:rPr>
          <w:noProof/>
        </w:rPr>
        <w:fldChar w:fldCharType="begin"/>
      </w:r>
      <w:r>
        <w:rPr>
          <w:noProof/>
        </w:rPr>
        <w:instrText xml:space="preserve"> PAGEREF _Toc387144778 \h </w:instrText>
      </w:r>
      <w:r>
        <w:rPr>
          <w:noProof/>
        </w:rPr>
      </w:r>
      <w:r>
        <w:rPr>
          <w:noProof/>
        </w:rPr>
        <w:fldChar w:fldCharType="separate"/>
      </w:r>
      <w:r w:rsidR="00CF0B01">
        <w:rPr>
          <w:noProof/>
        </w:rPr>
        <w:t>58</w:t>
      </w:r>
      <w:r>
        <w:rPr>
          <w:noProof/>
        </w:rPr>
        <w:fldChar w:fldCharType="end"/>
      </w:r>
    </w:p>
    <w:p w14:paraId="4F6D20CF" w14:textId="3A0DCC59"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4.1.4</w:t>
      </w:r>
      <w:r w:rsidR="00963899">
        <w:rPr>
          <w:rFonts w:asciiTheme="minorHAnsi" w:eastAsiaTheme="minorEastAsia" w:hAnsiTheme="minorHAnsi"/>
          <w:noProof/>
          <w:sz w:val="22"/>
          <w:szCs w:val="22"/>
          <w:lang w:val="en-AU" w:eastAsia="en-AU"/>
        </w:rPr>
        <w:t xml:space="preserve"> </w:t>
      </w:r>
      <w:r>
        <w:rPr>
          <w:noProof/>
        </w:rPr>
        <w:t>Collections staff are not listening</w:t>
      </w:r>
      <w:r>
        <w:rPr>
          <w:noProof/>
        </w:rPr>
        <w:tab/>
      </w:r>
      <w:r>
        <w:rPr>
          <w:noProof/>
        </w:rPr>
        <w:fldChar w:fldCharType="begin"/>
      </w:r>
      <w:r>
        <w:rPr>
          <w:noProof/>
        </w:rPr>
        <w:instrText xml:space="preserve"> PAGEREF _Toc387144779 \h </w:instrText>
      </w:r>
      <w:r>
        <w:rPr>
          <w:noProof/>
        </w:rPr>
      </w:r>
      <w:r>
        <w:rPr>
          <w:noProof/>
        </w:rPr>
        <w:fldChar w:fldCharType="separate"/>
      </w:r>
      <w:r w:rsidR="00CF0B01">
        <w:rPr>
          <w:noProof/>
        </w:rPr>
        <w:t>59</w:t>
      </w:r>
      <w:r>
        <w:rPr>
          <w:noProof/>
        </w:rPr>
        <w:fldChar w:fldCharType="end"/>
      </w:r>
    </w:p>
    <w:p w14:paraId="28907B4B"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4.1.5 Service and sales problems</w:t>
      </w:r>
      <w:r>
        <w:rPr>
          <w:noProof/>
        </w:rPr>
        <w:tab/>
      </w:r>
      <w:r>
        <w:rPr>
          <w:noProof/>
        </w:rPr>
        <w:fldChar w:fldCharType="begin"/>
      </w:r>
      <w:r>
        <w:rPr>
          <w:noProof/>
        </w:rPr>
        <w:instrText xml:space="preserve"> PAGEREF _Toc387144780 \h </w:instrText>
      </w:r>
      <w:r>
        <w:rPr>
          <w:noProof/>
        </w:rPr>
      </w:r>
      <w:r>
        <w:rPr>
          <w:noProof/>
        </w:rPr>
        <w:fldChar w:fldCharType="separate"/>
      </w:r>
      <w:r w:rsidR="00CF0B01">
        <w:rPr>
          <w:noProof/>
        </w:rPr>
        <w:t>59</w:t>
      </w:r>
      <w:r>
        <w:rPr>
          <w:noProof/>
        </w:rPr>
        <w:fldChar w:fldCharType="end"/>
      </w:r>
    </w:p>
    <w:p w14:paraId="49D6BAC5" w14:textId="3E653EFC"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 xml:space="preserve">4.1.6 </w:t>
      </w:r>
      <w:r w:rsidR="00963899">
        <w:rPr>
          <w:noProof/>
        </w:rPr>
        <w:t xml:space="preserve"> </w:t>
      </w:r>
      <w:r>
        <w:rPr>
          <w:noProof/>
        </w:rPr>
        <w:t>Access to telecommunications is important</w:t>
      </w:r>
      <w:r>
        <w:rPr>
          <w:noProof/>
        </w:rPr>
        <w:tab/>
      </w:r>
      <w:r>
        <w:rPr>
          <w:noProof/>
        </w:rPr>
        <w:fldChar w:fldCharType="begin"/>
      </w:r>
      <w:r>
        <w:rPr>
          <w:noProof/>
        </w:rPr>
        <w:instrText xml:space="preserve"> PAGEREF _Toc387144781 \h </w:instrText>
      </w:r>
      <w:r>
        <w:rPr>
          <w:noProof/>
        </w:rPr>
      </w:r>
      <w:r>
        <w:rPr>
          <w:noProof/>
        </w:rPr>
        <w:fldChar w:fldCharType="separate"/>
      </w:r>
      <w:r w:rsidR="00CF0B01">
        <w:rPr>
          <w:noProof/>
        </w:rPr>
        <w:t>60</w:t>
      </w:r>
      <w:r>
        <w:rPr>
          <w:noProof/>
        </w:rPr>
        <w:fldChar w:fldCharType="end"/>
      </w:r>
    </w:p>
    <w:p w14:paraId="4DC7FF31" w14:textId="4576F4C6"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4.1.7</w:t>
      </w:r>
      <w:r w:rsidR="00963899">
        <w:rPr>
          <w:rFonts w:asciiTheme="minorHAnsi" w:eastAsiaTheme="minorEastAsia" w:hAnsiTheme="minorHAnsi"/>
          <w:noProof/>
          <w:sz w:val="22"/>
          <w:szCs w:val="22"/>
          <w:lang w:val="en-AU" w:eastAsia="en-AU"/>
        </w:rPr>
        <w:t xml:space="preserve"> </w:t>
      </w:r>
      <w:r>
        <w:rPr>
          <w:noProof/>
        </w:rPr>
        <w:t>Low awareness of EDR</w:t>
      </w:r>
      <w:r>
        <w:rPr>
          <w:noProof/>
        </w:rPr>
        <w:tab/>
      </w:r>
      <w:r>
        <w:rPr>
          <w:noProof/>
        </w:rPr>
        <w:fldChar w:fldCharType="begin"/>
      </w:r>
      <w:r>
        <w:rPr>
          <w:noProof/>
        </w:rPr>
        <w:instrText xml:space="preserve"> PAGEREF _Toc387144782 \h </w:instrText>
      </w:r>
      <w:r>
        <w:rPr>
          <w:noProof/>
        </w:rPr>
      </w:r>
      <w:r>
        <w:rPr>
          <w:noProof/>
        </w:rPr>
        <w:fldChar w:fldCharType="separate"/>
      </w:r>
      <w:r w:rsidR="00CF0B01">
        <w:rPr>
          <w:noProof/>
        </w:rPr>
        <w:t>60</w:t>
      </w:r>
      <w:r>
        <w:rPr>
          <w:noProof/>
        </w:rPr>
        <w:fldChar w:fldCharType="end"/>
      </w:r>
    </w:p>
    <w:p w14:paraId="0C95DCA9"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4.1.8 Overseas call centres</w:t>
      </w:r>
      <w:r>
        <w:rPr>
          <w:noProof/>
        </w:rPr>
        <w:tab/>
      </w:r>
      <w:r>
        <w:rPr>
          <w:noProof/>
        </w:rPr>
        <w:fldChar w:fldCharType="begin"/>
      </w:r>
      <w:r>
        <w:rPr>
          <w:noProof/>
        </w:rPr>
        <w:instrText xml:space="preserve"> PAGEREF _Toc387144783 \h </w:instrText>
      </w:r>
      <w:r>
        <w:rPr>
          <w:noProof/>
        </w:rPr>
      </w:r>
      <w:r>
        <w:rPr>
          <w:noProof/>
        </w:rPr>
        <w:fldChar w:fldCharType="separate"/>
      </w:r>
      <w:r w:rsidR="00CF0B01">
        <w:rPr>
          <w:noProof/>
        </w:rPr>
        <w:t>60</w:t>
      </w:r>
      <w:r>
        <w:rPr>
          <w:noProof/>
        </w:rPr>
        <w:fldChar w:fldCharType="end"/>
      </w:r>
    </w:p>
    <w:p w14:paraId="6C3EFB69" w14:textId="16331D83" w:rsidR="00EB42E6" w:rsidRDefault="00EB42E6">
      <w:pPr>
        <w:pStyle w:val="TOC2"/>
        <w:tabs>
          <w:tab w:val="left" w:pos="880"/>
          <w:tab w:val="right" w:leader="dot" w:pos="9016"/>
        </w:tabs>
        <w:rPr>
          <w:rFonts w:asciiTheme="minorHAnsi" w:eastAsiaTheme="minorEastAsia" w:hAnsiTheme="minorHAnsi"/>
          <w:noProof/>
          <w:sz w:val="22"/>
          <w:szCs w:val="22"/>
          <w:lang w:val="en-AU" w:eastAsia="en-AU"/>
        </w:rPr>
      </w:pPr>
      <w:r>
        <w:rPr>
          <w:noProof/>
        </w:rPr>
        <w:t>4.1.9</w:t>
      </w:r>
      <w:r w:rsidR="00963899">
        <w:rPr>
          <w:rFonts w:asciiTheme="minorHAnsi" w:eastAsiaTheme="minorEastAsia" w:hAnsiTheme="minorHAnsi"/>
          <w:noProof/>
          <w:sz w:val="22"/>
          <w:szCs w:val="22"/>
          <w:lang w:val="en-AU" w:eastAsia="en-AU"/>
        </w:rPr>
        <w:t xml:space="preserve"> </w:t>
      </w:r>
      <w:r>
        <w:rPr>
          <w:noProof/>
        </w:rPr>
        <w:t>Implications</w:t>
      </w:r>
      <w:r>
        <w:rPr>
          <w:noProof/>
        </w:rPr>
        <w:tab/>
      </w:r>
      <w:r>
        <w:rPr>
          <w:noProof/>
        </w:rPr>
        <w:fldChar w:fldCharType="begin"/>
      </w:r>
      <w:r>
        <w:rPr>
          <w:noProof/>
        </w:rPr>
        <w:instrText xml:space="preserve"> PAGEREF _Toc387144784 \h </w:instrText>
      </w:r>
      <w:r>
        <w:rPr>
          <w:noProof/>
        </w:rPr>
      </w:r>
      <w:r>
        <w:rPr>
          <w:noProof/>
        </w:rPr>
        <w:fldChar w:fldCharType="separate"/>
      </w:r>
      <w:r w:rsidR="00CF0B01">
        <w:rPr>
          <w:noProof/>
        </w:rPr>
        <w:t>60</w:t>
      </w:r>
      <w:r>
        <w:rPr>
          <w:noProof/>
        </w:rPr>
        <w:fldChar w:fldCharType="end"/>
      </w:r>
    </w:p>
    <w:p w14:paraId="473FD7F1" w14:textId="5BEAB061"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4.2</w:t>
      </w:r>
      <w:r w:rsidR="00137810">
        <w:rPr>
          <w:rFonts w:asciiTheme="minorHAnsi" w:eastAsiaTheme="minorEastAsia" w:hAnsiTheme="minorHAnsi"/>
          <w:noProof/>
          <w:szCs w:val="22"/>
          <w:lang w:val="en-AU" w:eastAsia="en-AU"/>
        </w:rPr>
        <w:t xml:space="preserve"> </w:t>
      </w:r>
      <w:r w:rsidRPr="008D356F">
        <w:rPr>
          <w:noProof/>
          <w:lang w:val="en-US" w:eastAsia="ja-JP"/>
        </w:rPr>
        <w:t>Comparing industries</w:t>
      </w:r>
      <w:r>
        <w:rPr>
          <w:noProof/>
        </w:rPr>
        <w:tab/>
      </w:r>
      <w:r>
        <w:rPr>
          <w:noProof/>
        </w:rPr>
        <w:fldChar w:fldCharType="begin"/>
      </w:r>
      <w:r>
        <w:rPr>
          <w:noProof/>
        </w:rPr>
        <w:instrText xml:space="preserve"> PAGEREF _Toc387144785 \h </w:instrText>
      </w:r>
      <w:r>
        <w:rPr>
          <w:noProof/>
        </w:rPr>
      </w:r>
      <w:r>
        <w:rPr>
          <w:noProof/>
        </w:rPr>
        <w:fldChar w:fldCharType="separate"/>
      </w:r>
      <w:r w:rsidR="00CF0B01">
        <w:rPr>
          <w:noProof/>
        </w:rPr>
        <w:t>61</w:t>
      </w:r>
      <w:r>
        <w:rPr>
          <w:noProof/>
        </w:rPr>
        <w:fldChar w:fldCharType="end"/>
      </w:r>
    </w:p>
    <w:p w14:paraId="774C087F" w14:textId="43987B8F"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4.3</w:t>
      </w:r>
      <w:r w:rsidR="008E5BA4">
        <w:rPr>
          <w:rFonts w:asciiTheme="minorHAnsi" w:eastAsiaTheme="minorEastAsia" w:hAnsiTheme="minorHAnsi"/>
          <w:noProof/>
          <w:szCs w:val="22"/>
          <w:lang w:val="en-AU" w:eastAsia="en-AU"/>
        </w:rPr>
        <w:t xml:space="preserve"> </w:t>
      </w:r>
      <w:r w:rsidRPr="008D356F">
        <w:rPr>
          <w:noProof/>
          <w:lang w:val="en-US" w:eastAsia="ja-JP"/>
        </w:rPr>
        <w:t>Drawing the research together</w:t>
      </w:r>
      <w:r>
        <w:rPr>
          <w:noProof/>
        </w:rPr>
        <w:tab/>
      </w:r>
      <w:r>
        <w:rPr>
          <w:noProof/>
        </w:rPr>
        <w:fldChar w:fldCharType="begin"/>
      </w:r>
      <w:r>
        <w:rPr>
          <w:noProof/>
        </w:rPr>
        <w:instrText xml:space="preserve"> PAGEREF _Toc387144786 \h </w:instrText>
      </w:r>
      <w:r>
        <w:rPr>
          <w:noProof/>
        </w:rPr>
      </w:r>
      <w:r>
        <w:rPr>
          <w:noProof/>
        </w:rPr>
        <w:fldChar w:fldCharType="separate"/>
      </w:r>
      <w:r w:rsidR="00CF0B01">
        <w:rPr>
          <w:noProof/>
        </w:rPr>
        <w:t>62</w:t>
      </w:r>
      <w:r>
        <w:rPr>
          <w:noProof/>
        </w:rPr>
        <w:fldChar w:fldCharType="end"/>
      </w:r>
    </w:p>
    <w:p w14:paraId="3AEEE912" w14:textId="6AFA9FB1"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4.4</w:t>
      </w:r>
      <w:r w:rsidR="008E5BA4">
        <w:rPr>
          <w:rFonts w:asciiTheme="minorHAnsi" w:eastAsiaTheme="minorEastAsia" w:hAnsiTheme="minorHAnsi"/>
          <w:noProof/>
          <w:szCs w:val="22"/>
          <w:lang w:val="en-AU" w:eastAsia="en-AU"/>
        </w:rPr>
        <w:t xml:space="preserve"> </w:t>
      </w:r>
      <w:r w:rsidRPr="008D356F">
        <w:rPr>
          <w:noProof/>
          <w:lang w:val="en-US" w:eastAsia="ja-JP"/>
        </w:rPr>
        <w:t>A final word and what happens next</w:t>
      </w:r>
      <w:r>
        <w:rPr>
          <w:noProof/>
        </w:rPr>
        <w:tab/>
      </w:r>
      <w:r>
        <w:rPr>
          <w:noProof/>
        </w:rPr>
        <w:fldChar w:fldCharType="begin"/>
      </w:r>
      <w:r>
        <w:rPr>
          <w:noProof/>
        </w:rPr>
        <w:instrText xml:space="preserve"> PAGEREF _Toc387144787 \h </w:instrText>
      </w:r>
      <w:r>
        <w:rPr>
          <w:noProof/>
        </w:rPr>
      </w:r>
      <w:r>
        <w:rPr>
          <w:noProof/>
        </w:rPr>
        <w:fldChar w:fldCharType="separate"/>
      </w:r>
      <w:r w:rsidR="00CF0B01">
        <w:rPr>
          <w:noProof/>
        </w:rPr>
        <w:t>64</w:t>
      </w:r>
      <w:r>
        <w:rPr>
          <w:noProof/>
        </w:rPr>
        <w:fldChar w:fldCharType="end"/>
      </w:r>
    </w:p>
    <w:p w14:paraId="7A7037F8" w14:textId="77777777" w:rsidR="00EB42E6" w:rsidRDefault="00EB42E6" w:rsidP="00E93973">
      <w:pPr>
        <w:pStyle w:val="TOC1"/>
        <w:rPr>
          <w:rFonts w:asciiTheme="minorHAnsi" w:eastAsiaTheme="minorEastAsia" w:hAnsiTheme="minorHAnsi"/>
          <w:noProof/>
          <w:szCs w:val="22"/>
          <w:lang w:val="en-AU" w:eastAsia="en-AU"/>
        </w:rPr>
      </w:pPr>
      <w:r>
        <w:rPr>
          <w:noProof/>
        </w:rPr>
        <w:t>Appendix 1 – People Interviewed</w:t>
      </w:r>
      <w:r>
        <w:rPr>
          <w:noProof/>
        </w:rPr>
        <w:tab/>
      </w:r>
      <w:r>
        <w:rPr>
          <w:noProof/>
        </w:rPr>
        <w:fldChar w:fldCharType="begin"/>
      </w:r>
      <w:r>
        <w:rPr>
          <w:noProof/>
        </w:rPr>
        <w:instrText xml:space="preserve"> PAGEREF _Toc387144788 \h </w:instrText>
      </w:r>
      <w:r>
        <w:rPr>
          <w:noProof/>
        </w:rPr>
      </w:r>
      <w:r>
        <w:rPr>
          <w:noProof/>
        </w:rPr>
        <w:fldChar w:fldCharType="separate"/>
      </w:r>
      <w:r w:rsidR="00CF0B01">
        <w:rPr>
          <w:noProof/>
        </w:rPr>
        <w:t>67</w:t>
      </w:r>
      <w:r>
        <w:rPr>
          <w:noProof/>
        </w:rPr>
        <w:fldChar w:fldCharType="end"/>
      </w:r>
    </w:p>
    <w:p w14:paraId="3E201C88" w14:textId="77777777" w:rsidR="00EB42E6" w:rsidRDefault="00EB42E6" w:rsidP="00E93973">
      <w:pPr>
        <w:pStyle w:val="TOC1"/>
        <w:rPr>
          <w:rFonts w:asciiTheme="minorHAnsi" w:eastAsiaTheme="minorEastAsia" w:hAnsiTheme="minorHAnsi"/>
          <w:noProof/>
          <w:szCs w:val="22"/>
          <w:lang w:val="en-AU" w:eastAsia="en-AU"/>
        </w:rPr>
      </w:pPr>
      <w:r>
        <w:rPr>
          <w:noProof/>
        </w:rPr>
        <w:t>Appendix 2 – Excerpts from the ESC Business Case Template</w:t>
      </w:r>
      <w:r>
        <w:rPr>
          <w:noProof/>
        </w:rPr>
        <w:tab/>
      </w:r>
      <w:r>
        <w:rPr>
          <w:noProof/>
        </w:rPr>
        <w:fldChar w:fldCharType="begin"/>
      </w:r>
      <w:r>
        <w:rPr>
          <w:noProof/>
        </w:rPr>
        <w:instrText xml:space="preserve"> PAGEREF _Toc387144789 \h </w:instrText>
      </w:r>
      <w:r>
        <w:rPr>
          <w:noProof/>
        </w:rPr>
      </w:r>
      <w:r>
        <w:rPr>
          <w:noProof/>
        </w:rPr>
        <w:fldChar w:fldCharType="separate"/>
      </w:r>
      <w:r w:rsidR="00CF0B01">
        <w:rPr>
          <w:noProof/>
        </w:rPr>
        <w:t>69</w:t>
      </w:r>
      <w:r>
        <w:rPr>
          <w:noProof/>
        </w:rPr>
        <w:fldChar w:fldCharType="end"/>
      </w:r>
    </w:p>
    <w:p w14:paraId="70F3558F" w14:textId="77777777" w:rsidR="00EB42E6" w:rsidRDefault="00EB42E6" w:rsidP="00E93973">
      <w:pPr>
        <w:pStyle w:val="TOC1"/>
        <w:rPr>
          <w:rFonts w:asciiTheme="minorHAnsi" w:eastAsiaTheme="minorEastAsia" w:hAnsiTheme="minorHAnsi"/>
          <w:noProof/>
          <w:szCs w:val="22"/>
          <w:lang w:val="en-AU" w:eastAsia="en-AU"/>
        </w:rPr>
      </w:pPr>
      <w:r>
        <w:rPr>
          <w:noProof/>
        </w:rPr>
        <w:t>Appendix 3 – Summary of the Literature Review</w:t>
      </w:r>
      <w:r>
        <w:rPr>
          <w:noProof/>
        </w:rPr>
        <w:tab/>
      </w:r>
      <w:r>
        <w:rPr>
          <w:noProof/>
        </w:rPr>
        <w:fldChar w:fldCharType="begin"/>
      </w:r>
      <w:r>
        <w:rPr>
          <w:noProof/>
        </w:rPr>
        <w:instrText xml:space="preserve"> PAGEREF _Toc387144790 \h </w:instrText>
      </w:r>
      <w:r>
        <w:rPr>
          <w:noProof/>
        </w:rPr>
      </w:r>
      <w:r>
        <w:rPr>
          <w:noProof/>
        </w:rPr>
        <w:fldChar w:fldCharType="separate"/>
      </w:r>
      <w:r w:rsidR="00CF0B01">
        <w:rPr>
          <w:noProof/>
        </w:rPr>
        <w:t>70</w:t>
      </w:r>
      <w:r>
        <w:rPr>
          <w:noProof/>
        </w:rPr>
        <w:fldChar w:fldCharType="end"/>
      </w:r>
    </w:p>
    <w:p w14:paraId="42264C14"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lastRenderedPageBreak/>
        <w:t>Reports and articles</w:t>
      </w:r>
      <w:r>
        <w:rPr>
          <w:noProof/>
        </w:rPr>
        <w:tab/>
      </w:r>
      <w:r>
        <w:rPr>
          <w:noProof/>
        </w:rPr>
        <w:fldChar w:fldCharType="begin"/>
      </w:r>
      <w:r>
        <w:rPr>
          <w:noProof/>
        </w:rPr>
        <w:instrText xml:space="preserve"> PAGEREF _Toc387144791 \h </w:instrText>
      </w:r>
      <w:r>
        <w:rPr>
          <w:noProof/>
        </w:rPr>
      </w:r>
      <w:r>
        <w:rPr>
          <w:noProof/>
        </w:rPr>
        <w:fldChar w:fldCharType="separate"/>
      </w:r>
      <w:r w:rsidR="00CF0B01">
        <w:rPr>
          <w:noProof/>
        </w:rPr>
        <w:t>70</w:t>
      </w:r>
      <w:r>
        <w:rPr>
          <w:noProof/>
        </w:rPr>
        <w:fldChar w:fldCharType="end"/>
      </w:r>
    </w:p>
    <w:p w14:paraId="5241824B"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Websites</w:t>
      </w:r>
      <w:r>
        <w:rPr>
          <w:noProof/>
        </w:rPr>
        <w:tab/>
      </w:r>
      <w:r>
        <w:rPr>
          <w:noProof/>
        </w:rPr>
        <w:fldChar w:fldCharType="begin"/>
      </w:r>
      <w:r>
        <w:rPr>
          <w:noProof/>
        </w:rPr>
        <w:instrText xml:space="preserve"> PAGEREF _Toc387144792 \h </w:instrText>
      </w:r>
      <w:r>
        <w:rPr>
          <w:noProof/>
        </w:rPr>
      </w:r>
      <w:r>
        <w:rPr>
          <w:noProof/>
        </w:rPr>
        <w:fldChar w:fldCharType="separate"/>
      </w:r>
      <w:r w:rsidR="00CF0B01">
        <w:rPr>
          <w:noProof/>
        </w:rPr>
        <w:t>80</w:t>
      </w:r>
      <w:r>
        <w:rPr>
          <w:noProof/>
        </w:rPr>
        <w:fldChar w:fldCharType="end"/>
      </w:r>
    </w:p>
    <w:p w14:paraId="363047B8" w14:textId="77777777"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Glossary</w:t>
      </w:r>
      <w:r>
        <w:rPr>
          <w:noProof/>
        </w:rPr>
        <w:tab/>
      </w:r>
      <w:r>
        <w:rPr>
          <w:noProof/>
        </w:rPr>
        <w:fldChar w:fldCharType="begin"/>
      </w:r>
      <w:r>
        <w:rPr>
          <w:noProof/>
        </w:rPr>
        <w:instrText xml:space="preserve"> PAGEREF _Toc387144793 \h </w:instrText>
      </w:r>
      <w:r>
        <w:rPr>
          <w:noProof/>
        </w:rPr>
      </w:r>
      <w:r>
        <w:rPr>
          <w:noProof/>
        </w:rPr>
        <w:fldChar w:fldCharType="separate"/>
      </w:r>
      <w:r w:rsidR="00CF0B01">
        <w:rPr>
          <w:noProof/>
        </w:rPr>
        <w:t>81</w:t>
      </w:r>
      <w:r>
        <w:rPr>
          <w:noProof/>
        </w:rPr>
        <w:fldChar w:fldCharType="end"/>
      </w:r>
    </w:p>
    <w:p w14:paraId="753C3AD4" w14:textId="77777777" w:rsidR="00EB42E6" w:rsidRDefault="00EB42E6" w:rsidP="00E93973">
      <w:pPr>
        <w:pStyle w:val="TOC1"/>
        <w:rPr>
          <w:rFonts w:asciiTheme="minorHAnsi" w:eastAsiaTheme="minorEastAsia" w:hAnsiTheme="minorHAnsi"/>
          <w:noProof/>
          <w:szCs w:val="22"/>
          <w:lang w:val="en-AU" w:eastAsia="en-AU"/>
        </w:rPr>
      </w:pPr>
      <w:r w:rsidRPr="008D356F">
        <w:rPr>
          <w:noProof/>
          <w:lang w:val="en-US" w:eastAsia="ja-JP"/>
        </w:rPr>
        <w:t>References</w:t>
      </w:r>
      <w:r>
        <w:rPr>
          <w:noProof/>
        </w:rPr>
        <w:tab/>
      </w:r>
      <w:r>
        <w:rPr>
          <w:noProof/>
        </w:rPr>
        <w:fldChar w:fldCharType="begin"/>
      </w:r>
      <w:r>
        <w:rPr>
          <w:noProof/>
        </w:rPr>
        <w:instrText xml:space="preserve"> PAGEREF _Toc387144794 \h </w:instrText>
      </w:r>
      <w:r>
        <w:rPr>
          <w:noProof/>
        </w:rPr>
      </w:r>
      <w:r>
        <w:rPr>
          <w:noProof/>
        </w:rPr>
        <w:fldChar w:fldCharType="separate"/>
      </w:r>
      <w:r w:rsidR="00CF0B01">
        <w:rPr>
          <w:noProof/>
        </w:rPr>
        <w:t>82</w:t>
      </w:r>
      <w:r>
        <w:rPr>
          <w:noProof/>
        </w:rPr>
        <w:fldChar w:fldCharType="end"/>
      </w:r>
    </w:p>
    <w:p w14:paraId="22A9C0D1" w14:textId="2E4A1CFD" w:rsidR="00EB42E6" w:rsidRDefault="0004539A">
      <w:pPr>
        <w:pStyle w:val="TOC2"/>
        <w:tabs>
          <w:tab w:val="right" w:leader="dot" w:pos="9016"/>
        </w:tabs>
        <w:rPr>
          <w:rFonts w:asciiTheme="minorHAnsi" w:eastAsiaTheme="minorEastAsia" w:hAnsiTheme="minorHAnsi"/>
          <w:noProof/>
          <w:sz w:val="22"/>
          <w:szCs w:val="22"/>
          <w:lang w:val="en-AU" w:eastAsia="en-AU"/>
        </w:rPr>
      </w:pPr>
      <w:r>
        <w:rPr>
          <w:noProof/>
        </w:rPr>
        <w:t>Reports and a</w:t>
      </w:r>
      <w:r w:rsidR="00EB42E6">
        <w:rPr>
          <w:noProof/>
        </w:rPr>
        <w:t>rticles</w:t>
      </w:r>
      <w:r w:rsidR="00EB42E6">
        <w:rPr>
          <w:noProof/>
        </w:rPr>
        <w:tab/>
      </w:r>
      <w:r w:rsidR="00EB42E6">
        <w:rPr>
          <w:noProof/>
        </w:rPr>
        <w:fldChar w:fldCharType="begin"/>
      </w:r>
      <w:r w:rsidR="00EB42E6">
        <w:rPr>
          <w:noProof/>
        </w:rPr>
        <w:instrText xml:space="preserve"> PAGEREF _Toc387144795 \h </w:instrText>
      </w:r>
      <w:r w:rsidR="00EB42E6">
        <w:rPr>
          <w:noProof/>
        </w:rPr>
      </w:r>
      <w:r w:rsidR="00EB42E6">
        <w:rPr>
          <w:noProof/>
        </w:rPr>
        <w:fldChar w:fldCharType="separate"/>
      </w:r>
      <w:r w:rsidR="00CF0B01">
        <w:rPr>
          <w:noProof/>
        </w:rPr>
        <w:t>82</w:t>
      </w:r>
      <w:r w:rsidR="00EB42E6">
        <w:rPr>
          <w:noProof/>
        </w:rPr>
        <w:fldChar w:fldCharType="end"/>
      </w:r>
    </w:p>
    <w:p w14:paraId="6556D7AF" w14:textId="77777777" w:rsidR="00EB42E6" w:rsidRDefault="00EB42E6">
      <w:pPr>
        <w:pStyle w:val="TOC2"/>
        <w:tabs>
          <w:tab w:val="right" w:leader="dot" w:pos="9016"/>
        </w:tabs>
        <w:rPr>
          <w:rFonts w:asciiTheme="minorHAnsi" w:eastAsiaTheme="minorEastAsia" w:hAnsiTheme="minorHAnsi"/>
          <w:noProof/>
          <w:sz w:val="22"/>
          <w:szCs w:val="22"/>
          <w:lang w:val="en-AU" w:eastAsia="en-AU"/>
        </w:rPr>
      </w:pPr>
      <w:r>
        <w:rPr>
          <w:noProof/>
        </w:rPr>
        <w:t>Websites</w:t>
      </w:r>
      <w:r>
        <w:rPr>
          <w:noProof/>
        </w:rPr>
        <w:tab/>
      </w:r>
      <w:r>
        <w:rPr>
          <w:noProof/>
        </w:rPr>
        <w:fldChar w:fldCharType="begin"/>
      </w:r>
      <w:r>
        <w:rPr>
          <w:noProof/>
        </w:rPr>
        <w:instrText xml:space="preserve"> PAGEREF _Toc387144796 \h </w:instrText>
      </w:r>
      <w:r>
        <w:rPr>
          <w:noProof/>
        </w:rPr>
      </w:r>
      <w:r>
        <w:rPr>
          <w:noProof/>
        </w:rPr>
        <w:fldChar w:fldCharType="separate"/>
      </w:r>
      <w:r w:rsidR="00CF0B01">
        <w:rPr>
          <w:noProof/>
        </w:rPr>
        <w:t>84</w:t>
      </w:r>
      <w:r>
        <w:rPr>
          <w:noProof/>
        </w:rPr>
        <w:fldChar w:fldCharType="end"/>
      </w:r>
    </w:p>
    <w:p w14:paraId="2EC51EB1" w14:textId="77777777" w:rsidR="00BF487B" w:rsidRDefault="00565E3B" w:rsidP="00BA6206">
      <w:pPr>
        <w:pStyle w:val="Heading11"/>
        <w:rPr>
          <w:lang w:eastAsia="ja-JP"/>
        </w:rPr>
      </w:pPr>
      <w:r>
        <w:rPr>
          <w:lang w:eastAsia="ja-JP"/>
        </w:rPr>
        <w:fldChar w:fldCharType="end"/>
      </w:r>
      <w:bookmarkEnd w:id="7"/>
      <w:bookmarkEnd w:id="8"/>
    </w:p>
    <w:p w14:paraId="6E1B37D5" w14:textId="77777777" w:rsidR="00BF487B" w:rsidRDefault="00BF487B">
      <w:pPr>
        <w:rPr>
          <w:rFonts w:eastAsia="Times New Roman" w:cs="Times New Roman"/>
          <w:b/>
          <w:bCs/>
          <w:caps/>
          <w:color w:val="265176"/>
          <w:kern w:val="32"/>
          <w:sz w:val="28"/>
          <w:szCs w:val="28"/>
          <w:lang w:val="en-US" w:eastAsia="ja-JP"/>
        </w:rPr>
      </w:pPr>
      <w:r>
        <w:rPr>
          <w:lang w:eastAsia="ja-JP"/>
        </w:rPr>
        <w:br w:type="page"/>
      </w:r>
    </w:p>
    <w:p w14:paraId="35017DE8" w14:textId="60635E6E" w:rsidR="0096446D" w:rsidRPr="00BA6206" w:rsidRDefault="0096446D" w:rsidP="00BA6206">
      <w:pPr>
        <w:pStyle w:val="Heading11"/>
      </w:pPr>
      <w:bookmarkStart w:id="9" w:name="_Toc387144723"/>
      <w:r>
        <w:lastRenderedPageBreak/>
        <w:t>Section</w:t>
      </w:r>
      <w:r w:rsidR="008C767D">
        <w:t xml:space="preserve"> 1 – B</w:t>
      </w:r>
      <w:r w:rsidRPr="001849FF">
        <w:t>ackground to the research</w:t>
      </w:r>
      <w:bookmarkEnd w:id="9"/>
      <w:r w:rsidRPr="001849FF">
        <w:t xml:space="preserve"> </w:t>
      </w:r>
    </w:p>
    <w:p w14:paraId="335578C8" w14:textId="33C2B34B" w:rsidR="00277C64" w:rsidRDefault="003B1883" w:rsidP="00BA6206">
      <w:pPr>
        <w:pStyle w:val="Heading1"/>
        <w:keepNext w:val="0"/>
        <w:pageBreakBefore w:val="0"/>
        <w:rPr>
          <w:lang w:val="en-US" w:eastAsia="ja-JP"/>
        </w:rPr>
      </w:pPr>
      <w:bookmarkStart w:id="10" w:name="_Toc387144724"/>
      <w:r>
        <w:rPr>
          <w:lang w:val="en-US" w:eastAsia="ja-JP"/>
        </w:rPr>
        <w:t>1.1</w:t>
      </w:r>
      <w:r>
        <w:rPr>
          <w:lang w:val="en-US" w:eastAsia="ja-JP"/>
        </w:rPr>
        <w:tab/>
      </w:r>
      <w:r w:rsidR="007B2DC9">
        <w:rPr>
          <w:lang w:val="en-US" w:eastAsia="ja-JP"/>
        </w:rPr>
        <w:t>I</w:t>
      </w:r>
      <w:r w:rsidR="007D0AED">
        <w:rPr>
          <w:lang w:val="en-US" w:eastAsia="ja-JP"/>
        </w:rPr>
        <w:t>ntroduction</w:t>
      </w:r>
      <w:bookmarkEnd w:id="10"/>
    </w:p>
    <w:p w14:paraId="71076D1D" w14:textId="2D90D9B6" w:rsidR="00272818" w:rsidRPr="00A548AE" w:rsidRDefault="00272818" w:rsidP="008C767D">
      <w:pPr>
        <w:pStyle w:val="Heading2"/>
      </w:pPr>
      <w:bookmarkStart w:id="11" w:name="_Toc387144725"/>
      <w:r>
        <w:t>1.1</w:t>
      </w:r>
      <w:r w:rsidR="00AB0F1E">
        <w:t xml:space="preserve">.1 </w:t>
      </w:r>
      <w:r w:rsidR="00C143D0">
        <w:t>Purpose of the r</w:t>
      </w:r>
      <w:r w:rsidR="003C45A9">
        <w:t>esearch</w:t>
      </w:r>
      <w:bookmarkEnd w:id="11"/>
      <w:r>
        <w:t xml:space="preserve"> </w:t>
      </w:r>
    </w:p>
    <w:p w14:paraId="44F1F748" w14:textId="77777777" w:rsidR="00272818" w:rsidRDefault="00272818" w:rsidP="00BA6206">
      <w:pPr>
        <w:pStyle w:val="Body"/>
        <w:tabs>
          <w:tab w:val="left" w:pos="9356"/>
        </w:tabs>
        <w:ind w:left="720" w:right="4"/>
        <w:rPr>
          <w:rFonts w:ascii="Calibri" w:hAnsi="Calibri"/>
        </w:rPr>
      </w:pPr>
    </w:p>
    <w:p w14:paraId="04A45F0D" w14:textId="5A9EFA34" w:rsidR="003C45A9" w:rsidRDefault="003C45A9" w:rsidP="00BA6206">
      <w:r>
        <w:t xml:space="preserve">In 2012, </w:t>
      </w:r>
      <w:r w:rsidRPr="000C7E82">
        <w:t>Financial Counselling Australia (</w:t>
      </w:r>
      <w:proofErr w:type="spellStart"/>
      <w:r w:rsidRPr="000C7E82">
        <w:t>FCA</w:t>
      </w:r>
      <w:proofErr w:type="spellEnd"/>
      <w:r w:rsidRPr="000C7E82">
        <w:t>) received a grant from the Australian Communications Consumer Action Network to conduct research</w:t>
      </w:r>
      <w:r>
        <w:t xml:space="preserve"> comparing hardship practices in the banking, energy, water and </w:t>
      </w:r>
      <w:r w:rsidR="00E30B81">
        <w:t xml:space="preserve">telecommunications </w:t>
      </w:r>
      <w:r>
        <w:t xml:space="preserve">sectors. </w:t>
      </w:r>
    </w:p>
    <w:p w14:paraId="7E084681" w14:textId="6D75CDCA" w:rsidR="00250413" w:rsidRDefault="00AB670C" w:rsidP="004C771B">
      <w:r>
        <w:t xml:space="preserve">The purpose of this research was </w:t>
      </w:r>
      <w:r w:rsidR="007E7DCD">
        <w:t>two-</w:t>
      </w:r>
      <w:r w:rsidR="008234D5">
        <w:t>fold. First, a</w:t>
      </w:r>
      <w:r w:rsidR="00F149F5">
        <w:t>s</w:t>
      </w:r>
      <w:r w:rsidR="008234D5">
        <w:t xml:space="preserve"> a broad </w:t>
      </w:r>
      <w:r w:rsidR="00F149F5">
        <w:t>analysis</w:t>
      </w:r>
      <w:r w:rsidR="008234D5">
        <w:t xml:space="preserve">, we wanted </w:t>
      </w:r>
      <w:r>
        <w:t xml:space="preserve">to find out </w:t>
      </w:r>
      <w:r w:rsidR="00E24E5B">
        <w:t xml:space="preserve">from financial counsellors and other stakeholders </w:t>
      </w:r>
      <w:r w:rsidR="00E30B81">
        <w:t xml:space="preserve">what systems and processes were most effective – </w:t>
      </w:r>
      <w:r w:rsidR="00DA0C85">
        <w:t>‘</w:t>
      </w:r>
      <w:r>
        <w:t xml:space="preserve">what </w:t>
      </w:r>
      <w:r w:rsidR="001638CF">
        <w:t>works</w:t>
      </w:r>
      <w:r w:rsidR="00DA0C85">
        <w:t>’</w:t>
      </w:r>
      <w:r w:rsidR="00E30B81">
        <w:t xml:space="preserve"> –</w:t>
      </w:r>
      <w:r w:rsidR="001638CF">
        <w:t xml:space="preserve"> when it comes to assisting customers </w:t>
      </w:r>
      <w:r w:rsidR="007E7DCD">
        <w:t>experiencing financial</w:t>
      </w:r>
      <w:r w:rsidR="001638CF">
        <w:t xml:space="preserve"> hardship. This topic is particularly relevant to </w:t>
      </w:r>
      <w:proofErr w:type="spellStart"/>
      <w:r w:rsidR="00BF787B">
        <w:t>FCA</w:t>
      </w:r>
      <w:proofErr w:type="spellEnd"/>
      <w:r w:rsidR="001638CF">
        <w:t xml:space="preserve"> and to financial counsellors. </w:t>
      </w:r>
      <w:r w:rsidR="008234D5">
        <w:t>Financial counsellors assist people in fina</w:t>
      </w:r>
      <w:r w:rsidR="003A2FE1">
        <w:t>ncial difficulty and have first-</w:t>
      </w:r>
      <w:r w:rsidR="008234D5">
        <w:t>hand experience when it comes to hardship programs in the banks, utilities and telcos</w:t>
      </w:r>
      <w:r w:rsidR="00CE43EC">
        <w:t xml:space="preserve"> (see box for a more detailed explanation of the role</w:t>
      </w:r>
      <w:r w:rsidR="00517DB7">
        <w:t xml:space="preserve"> of a financial counsellor</w:t>
      </w:r>
      <w:r w:rsidR="00CE43EC">
        <w:t>)</w:t>
      </w:r>
      <w:r w:rsidR="008234D5">
        <w:t>.</w:t>
      </w:r>
      <w:r w:rsidR="00250413">
        <w:t xml:space="preserve"> By documenting good practices</w:t>
      </w:r>
      <w:r w:rsidR="00CE43EC">
        <w:t xml:space="preserve"> in </w:t>
      </w:r>
      <w:r w:rsidR="00E30B81">
        <w:t xml:space="preserve">place for assisting consumers experiencing </w:t>
      </w:r>
      <w:r w:rsidR="00CE43EC">
        <w:t>hardship</w:t>
      </w:r>
      <w:r w:rsidR="00250413">
        <w:t>, we can share this information</w:t>
      </w:r>
      <w:r w:rsidR="00083B6A">
        <w:t xml:space="preserve"> </w:t>
      </w:r>
      <w:r w:rsidR="000E0BEE">
        <w:t>with</w:t>
      </w:r>
      <w:r w:rsidR="00517DB7">
        <w:t xml:space="preserve"> </w:t>
      </w:r>
      <w:r w:rsidR="000E0BEE">
        <w:t xml:space="preserve">our colleagues in </w:t>
      </w:r>
      <w:r w:rsidR="00517DB7">
        <w:t xml:space="preserve">industry, </w:t>
      </w:r>
      <w:r w:rsidR="000E0BEE">
        <w:t xml:space="preserve">the community sector, </w:t>
      </w:r>
      <w:r w:rsidR="00E30B81">
        <w:t>external dispute resolution (</w:t>
      </w:r>
      <w:proofErr w:type="spellStart"/>
      <w:r w:rsidR="000E0BEE">
        <w:t>EDR</w:t>
      </w:r>
      <w:proofErr w:type="spellEnd"/>
      <w:r w:rsidR="00E30B81">
        <w:t>)</w:t>
      </w:r>
      <w:r w:rsidR="000E0BEE">
        <w:t xml:space="preserve"> schemes, </w:t>
      </w:r>
      <w:r w:rsidR="00517DB7">
        <w:t xml:space="preserve">regulators and government </w:t>
      </w:r>
      <w:r w:rsidR="000E0BEE">
        <w:t xml:space="preserve">who can apply it in their own </w:t>
      </w:r>
      <w:r w:rsidR="00E30B81">
        <w:t>sectors</w:t>
      </w:r>
      <w:r w:rsidR="00517DB7">
        <w:t>.</w:t>
      </w:r>
      <w:r w:rsidR="00EA016C">
        <w:t xml:space="preserve"> </w:t>
      </w:r>
    </w:p>
    <w:p w14:paraId="0B74021E" w14:textId="14FEDBD3" w:rsidR="008D35FB" w:rsidRDefault="00250413" w:rsidP="00914EE5">
      <w:r>
        <w:t xml:space="preserve">The second purpose of the research </w:t>
      </w:r>
      <w:r w:rsidR="00081FA7">
        <w:t xml:space="preserve">was to apply the broad findings about </w:t>
      </w:r>
      <w:r w:rsidR="00DA0C85">
        <w:t>‘</w:t>
      </w:r>
      <w:r w:rsidR="00081FA7">
        <w:t>what works</w:t>
      </w:r>
      <w:r w:rsidR="00DA0C85">
        <w:t>’</w:t>
      </w:r>
      <w:r w:rsidR="00081FA7">
        <w:t xml:space="preserve"> to the</w:t>
      </w:r>
      <w:r w:rsidR="00083B6A">
        <w:t xml:space="preserve"> telecommunications industry.</w:t>
      </w:r>
      <w:r w:rsidR="008D35FB">
        <w:t xml:space="preserve"> In recent years, f</w:t>
      </w:r>
      <w:r w:rsidR="003A2FE1">
        <w:t xml:space="preserve">inancial counsellors have worked closely with the banking industry </w:t>
      </w:r>
      <w:r w:rsidR="00083B6A">
        <w:t>to</w:t>
      </w:r>
      <w:r w:rsidR="00B327D5">
        <w:t xml:space="preserve"> </w:t>
      </w:r>
      <w:r w:rsidR="00E30B81">
        <w:t xml:space="preserve">review </w:t>
      </w:r>
      <w:r w:rsidR="00B327D5">
        <w:t>hardship policies</w:t>
      </w:r>
      <w:r w:rsidR="00081FA7">
        <w:t xml:space="preserve"> and practices</w:t>
      </w:r>
      <w:r w:rsidR="00083B6A">
        <w:t xml:space="preserve">, resulting in </w:t>
      </w:r>
      <w:r w:rsidR="00B327D5">
        <w:t>a number of changes</w:t>
      </w:r>
      <w:r w:rsidR="008D35FB">
        <w:t xml:space="preserve">. The </w:t>
      </w:r>
      <w:r w:rsidR="00B327D5">
        <w:t xml:space="preserve">financial counselling </w:t>
      </w:r>
      <w:r w:rsidR="008D35FB">
        <w:t xml:space="preserve">sector is now engaged in a similar dialogue with the </w:t>
      </w:r>
      <w:r w:rsidR="00EF4F9A">
        <w:t>telecommunications industry</w:t>
      </w:r>
      <w:r w:rsidR="00E30B81">
        <w:t xml:space="preserve"> and</w:t>
      </w:r>
      <w:r w:rsidR="00B327D5">
        <w:t xml:space="preserve"> </w:t>
      </w:r>
      <w:r w:rsidR="00E30B81">
        <w:t>t</w:t>
      </w:r>
      <w:r w:rsidR="00B327D5">
        <w:t xml:space="preserve">his research will inform </w:t>
      </w:r>
      <w:r w:rsidR="00E30B81">
        <w:t xml:space="preserve">those </w:t>
      </w:r>
      <w:r w:rsidR="00B327D5">
        <w:t>discussions.</w:t>
      </w:r>
    </w:p>
    <w:p w14:paraId="7C81F13E" w14:textId="77777777" w:rsidR="007E7DCD" w:rsidRDefault="007E7DCD" w:rsidP="004C771B">
      <w:pPr>
        <w:pStyle w:val="Body"/>
        <w:tabs>
          <w:tab w:val="left" w:pos="9356"/>
        </w:tabs>
        <w:ind w:left="720" w:right="4"/>
        <w:rPr>
          <w:rFonts w:ascii="Calibri" w:hAnsi="Calibri"/>
        </w:rPr>
      </w:pPr>
    </w:p>
    <w:tbl>
      <w:tblPr>
        <w:tblStyle w:val="TableGrid"/>
        <w:tblW w:w="5000" w:type="pct"/>
        <w:tblLook w:val="04A0" w:firstRow="1" w:lastRow="0" w:firstColumn="1" w:lastColumn="0" w:noHBand="0" w:noVBand="1"/>
        <w:tblDescription w:val="Financial counsellors help consumers in financial difficulty. They provide information, support and advocacy to help consumers deal with their immediate financial situation and minimise the risk of future financial problems. The majority of financial counsellors work in community organisations, although some are employed by government. Their services are free, confidential and independent.&#10;&#10;A financial counsellor:&#10;• Undertakes a thorough assessment of an individual’s or family’s situation, including which debts should take priority and whether debts are legally owed, if the amount owing is correct or whether the contract was fair. &#10;&#10;• Gains an understanding of the other factors affecting the client’s situation such as their health, any abuse, stability of employment, relationship circumstances.&#10;• Identifies what options the client has in relation to their debts as well as the advantages and disadvantages of those options. Options explored will vary. Examples include: advocacy with creditors such as banks, telcos or utilities to reduce or waive debts, accessing Ombudsman schemes, negotiation of affordable repayment arrangements, information about bankruptcy and its consequences, accessing Centrelink entitlements or industry concession schemes.&#10;• Helps people understand the credit marketplace, such as their rights under the National Credit Code to hardship variations, how the credit reporting system works, and what behaviour is acceptable from debt collectors.&#10;• Identifies when clients may need legal advice or referrals to other services &#10;• Provides emotional support and counselling to clients&#10;&#10;Financial counsellors have extensive knowledge in a range of areas: consumer credit law, debt enforcement practices, the bankruptcy regime, industry hardship policies and government concession frameworks. &#10;"/>
      </w:tblPr>
      <w:tblGrid>
        <w:gridCol w:w="9242"/>
      </w:tblGrid>
      <w:tr w:rsidR="007E7DCD" w14:paraId="2BBA009A" w14:textId="77777777" w:rsidTr="00C12B24">
        <w:tc>
          <w:tcPr>
            <w:tcW w:w="5000" w:type="pct"/>
          </w:tcPr>
          <w:p w14:paraId="3EDAE738" w14:textId="62C3C61A" w:rsidR="007E7DCD" w:rsidRPr="00D54931" w:rsidRDefault="007E7DCD" w:rsidP="00D54931">
            <w:pPr>
              <w:pStyle w:val="Heading4"/>
              <w:outlineLvl w:val="3"/>
            </w:pPr>
            <w:r w:rsidRPr="007E7DCD">
              <w:lastRenderedPageBreak/>
              <w:t xml:space="preserve">What </w:t>
            </w:r>
            <w:r w:rsidR="00C143D0">
              <w:t>does a Financial Counsellor d</w:t>
            </w:r>
            <w:r w:rsidR="00D54931">
              <w:t>o?</w:t>
            </w:r>
          </w:p>
          <w:p w14:paraId="6EE51686" w14:textId="77777777" w:rsidR="00BB77F6" w:rsidRDefault="00BB77F6" w:rsidP="004C771B">
            <w:r w:rsidRPr="000F6891">
              <w:t xml:space="preserve">Financial counsellors </w:t>
            </w:r>
            <w:r w:rsidR="006C322D" w:rsidRPr="000F6891">
              <w:t>help</w:t>
            </w:r>
            <w:r w:rsidRPr="004C771B">
              <w:t xml:space="preserve"> consumers in financial difficulty. They provide information, support and advocacy to help consumers deal with their immediate financial situation and minimise the risk of future financial problems. The majority of financial counsellors work in community organisations, although some are employed by government. Their services are free, confidential and independent.</w:t>
            </w:r>
          </w:p>
          <w:p w14:paraId="56EA29C5" w14:textId="77777777" w:rsidR="00B40BFB" w:rsidRPr="000F6891" w:rsidRDefault="00B40BFB" w:rsidP="004C771B"/>
          <w:p w14:paraId="659E01F2" w14:textId="77777777" w:rsidR="00083B6A" w:rsidRPr="004C771B" w:rsidRDefault="00083B6A" w:rsidP="004C771B">
            <w:r w:rsidRPr="004C771B">
              <w:t>A financial counsellor:</w:t>
            </w:r>
          </w:p>
          <w:p w14:paraId="3E762EB2" w14:textId="401B370E" w:rsidR="00B40BFB" w:rsidRDefault="008421B5" w:rsidP="004C771B">
            <w:pPr>
              <w:pStyle w:val="ListParagraph"/>
              <w:numPr>
                <w:ilvl w:val="0"/>
                <w:numId w:val="25"/>
              </w:numPr>
              <w:rPr>
                <w:rFonts w:eastAsia="Calibri" w:cs="Times New Roman"/>
                <w:lang w:eastAsia="en-AU"/>
              </w:rPr>
            </w:pPr>
            <w:r w:rsidRPr="004C771B">
              <w:rPr>
                <w:rFonts w:eastAsia="Calibri" w:cs="Times New Roman"/>
                <w:lang w:eastAsia="en-AU"/>
              </w:rPr>
              <w:t>Undertakes a thorough assessment of an individual</w:t>
            </w:r>
            <w:r w:rsidR="00914EE5">
              <w:rPr>
                <w:rFonts w:eastAsia="Calibri" w:cs="Times New Roman"/>
                <w:lang w:eastAsia="en-AU"/>
              </w:rPr>
              <w:t>’s</w:t>
            </w:r>
            <w:r w:rsidRPr="004C771B">
              <w:rPr>
                <w:rFonts w:eastAsia="Calibri" w:cs="Times New Roman"/>
                <w:lang w:eastAsia="en-AU"/>
              </w:rPr>
              <w:t xml:space="preserve"> or family’s situation, including </w:t>
            </w:r>
            <w:r w:rsidR="00A92C2C" w:rsidRPr="004C771B">
              <w:rPr>
                <w:rFonts w:eastAsia="Calibri" w:cs="Times New Roman"/>
                <w:lang w:eastAsia="en-AU"/>
              </w:rPr>
              <w:t xml:space="preserve">which debts </w:t>
            </w:r>
            <w:r w:rsidR="00E30B81" w:rsidRPr="004C771B">
              <w:rPr>
                <w:rFonts w:eastAsia="Calibri" w:cs="Times New Roman"/>
                <w:lang w:eastAsia="en-AU"/>
              </w:rPr>
              <w:t xml:space="preserve">should take </w:t>
            </w:r>
            <w:r w:rsidR="00A92C2C" w:rsidRPr="004C771B">
              <w:rPr>
                <w:rFonts w:eastAsia="Calibri" w:cs="Times New Roman"/>
                <w:lang w:eastAsia="en-AU"/>
              </w:rPr>
              <w:t>priorit</w:t>
            </w:r>
            <w:r w:rsidR="00E30B81" w:rsidRPr="004C771B">
              <w:rPr>
                <w:rFonts w:eastAsia="Calibri" w:cs="Times New Roman"/>
                <w:lang w:eastAsia="en-AU"/>
              </w:rPr>
              <w:t>y</w:t>
            </w:r>
            <w:r w:rsidR="00A92C2C" w:rsidRPr="004C771B">
              <w:rPr>
                <w:rFonts w:eastAsia="Calibri" w:cs="Times New Roman"/>
                <w:lang w:eastAsia="en-AU"/>
              </w:rPr>
              <w:t xml:space="preserve"> and </w:t>
            </w:r>
            <w:r w:rsidRPr="004C771B">
              <w:rPr>
                <w:rFonts w:eastAsia="Calibri" w:cs="Times New Roman"/>
                <w:lang w:eastAsia="en-AU"/>
              </w:rPr>
              <w:t>whether debts are legally owed, if the amount owing is correct or whether the contract was fair</w:t>
            </w:r>
            <w:r w:rsidR="008A2EA9" w:rsidRPr="004C771B">
              <w:rPr>
                <w:rFonts w:eastAsia="Calibri" w:cs="Times New Roman"/>
                <w:lang w:eastAsia="en-AU"/>
              </w:rPr>
              <w:t xml:space="preserve">. </w:t>
            </w:r>
          </w:p>
          <w:p w14:paraId="3E7A409C" w14:textId="77777777" w:rsidR="006B6402" w:rsidRPr="006B6402" w:rsidRDefault="006B6402" w:rsidP="006B6402">
            <w:pPr>
              <w:pStyle w:val="ListParagraph"/>
              <w:rPr>
                <w:rFonts w:eastAsia="Calibri" w:cs="Times New Roman"/>
                <w:lang w:eastAsia="en-AU"/>
              </w:rPr>
            </w:pPr>
          </w:p>
          <w:p w14:paraId="7E2354DB" w14:textId="0945A6C8" w:rsidR="006B6402" w:rsidRDefault="008D38BD" w:rsidP="00882975">
            <w:pPr>
              <w:pStyle w:val="Pa3"/>
              <w:numPr>
                <w:ilvl w:val="0"/>
                <w:numId w:val="1"/>
              </w:numPr>
              <w:spacing w:after="160"/>
              <w:rPr>
                <w:rFonts w:ascii="Calibri" w:eastAsia="Calibri" w:hAnsi="Calibri" w:cs="Times New Roman"/>
                <w:sz w:val="22"/>
                <w:szCs w:val="22"/>
                <w:lang w:eastAsia="en-AU"/>
              </w:rPr>
            </w:pPr>
            <w:r w:rsidRPr="006B6402">
              <w:rPr>
                <w:rFonts w:ascii="Calibri" w:eastAsia="Calibri" w:hAnsi="Calibri" w:cs="Times New Roman"/>
                <w:sz w:val="22"/>
                <w:szCs w:val="22"/>
                <w:lang w:eastAsia="en-AU"/>
              </w:rPr>
              <w:t>G</w:t>
            </w:r>
            <w:r w:rsidR="008A2EA9" w:rsidRPr="006B6402">
              <w:rPr>
                <w:rFonts w:ascii="Calibri" w:eastAsia="Calibri" w:hAnsi="Calibri" w:cs="Times New Roman"/>
                <w:sz w:val="22"/>
                <w:szCs w:val="22"/>
                <w:lang w:eastAsia="en-AU"/>
              </w:rPr>
              <w:t>ain</w:t>
            </w:r>
            <w:r w:rsidRPr="006B6402">
              <w:rPr>
                <w:rFonts w:ascii="Calibri" w:eastAsia="Calibri" w:hAnsi="Calibri" w:cs="Times New Roman"/>
                <w:sz w:val="22"/>
                <w:szCs w:val="22"/>
                <w:lang w:eastAsia="en-AU"/>
              </w:rPr>
              <w:t>s</w:t>
            </w:r>
            <w:r w:rsidR="008A2EA9" w:rsidRPr="006B6402">
              <w:rPr>
                <w:rFonts w:ascii="Calibri" w:eastAsia="Calibri" w:hAnsi="Calibri" w:cs="Times New Roman"/>
                <w:sz w:val="22"/>
                <w:szCs w:val="22"/>
                <w:lang w:eastAsia="en-AU"/>
              </w:rPr>
              <w:t xml:space="preserve"> an</w:t>
            </w:r>
            <w:r w:rsidR="00A10811" w:rsidRPr="006B6402">
              <w:rPr>
                <w:rFonts w:ascii="Calibri" w:eastAsia="Calibri" w:hAnsi="Calibri" w:cs="Times New Roman"/>
                <w:sz w:val="22"/>
                <w:szCs w:val="22"/>
                <w:lang w:eastAsia="en-AU"/>
              </w:rPr>
              <w:t xml:space="preserve"> understanding </w:t>
            </w:r>
            <w:r w:rsidR="008A2EA9" w:rsidRPr="006B6402">
              <w:rPr>
                <w:rFonts w:ascii="Calibri" w:eastAsia="Calibri" w:hAnsi="Calibri" w:cs="Times New Roman"/>
                <w:sz w:val="22"/>
                <w:szCs w:val="22"/>
                <w:lang w:eastAsia="en-AU"/>
              </w:rPr>
              <w:t>of the other factors affecting the client’s situation</w:t>
            </w:r>
            <w:r w:rsidR="00A10811" w:rsidRPr="006B6402">
              <w:rPr>
                <w:rFonts w:ascii="Calibri" w:eastAsia="Calibri" w:hAnsi="Calibri" w:cs="Times New Roman"/>
                <w:sz w:val="22"/>
                <w:szCs w:val="22"/>
                <w:lang w:eastAsia="en-AU"/>
              </w:rPr>
              <w:t xml:space="preserve"> such as </w:t>
            </w:r>
            <w:r w:rsidR="008A2EA9" w:rsidRPr="006B6402">
              <w:rPr>
                <w:rFonts w:ascii="Calibri" w:eastAsia="Calibri" w:hAnsi="Calibri" w:cs="Times New Roman"/>
                <w:sz w:val="22"/>
                <w:szCs w:val="22"/>
                <w:lang w:eastAsia="en-AU"/>
              </w:rPr>
              <w:t xml:space="preserve">their </w:t>
            </w:r>
            <w:r w:rsidR="00A10811" w:rsidRPr="006B6402">
              <w:rPr>
                <w:rFonts w:ascii="Calibri" w:eastAsia="Calibri" w:hAnsi="Calibri" w:cs="Times New Roman"/>
                <w:sz w:val="22"/>
                <w:szCs w:val="22"/>
                <w:lang w:eastAsia="en-AU"/>
              </w:rPr>
              <w:t xml:space="preserve">health, </w:t>
            </w:r>
            <w:r w:rsidR="00A92C2C" w:rsidRPr="006B6402">
              <w:rPr>
                <w:rFonts w:ascii="Calibri" w:eastAsia="Calibri" w:hAnsi="Calibri" w:cs="Times New Roman"/>
                <w:sz w:val="22"/>
                <w:szCs w:val="22"/>
                <w:lang w:eastAsia="en-AU"/>
              </w:rPr>
              <w:t xml:space="preserve">any </w:t>
            </w:r>
            <w:r w:rsidR="00A10811" w:rsidRPr="006B6402">
              <w:rPr>
                <w:rFonts w:ascii="Calibri" w:eastAsia="Calibri" w:hAnsi="Calibri" w:cs="Times New Roman"/>
                <w:sz w:val="22"/>
                <w:szCs w:val="22"/>
                <w:lang w:eastAsia="en-AU"/>
              </w:rPr>
              <w:t>abuse, stability of employment</w:t>
            </w:r>
            <w:r w:rsidR="008A2EA9" w:rsidRPr="006B6402">
              <w:rPr>
                <w:rFonts w:ascii="Calibri" w:eastAsia="Calibri" w:hAnsi="Calibri" w:cs="Times New Roman"/>
                <w:sz w:val="22"/>
                <w:szCs w:val="22"/>
                <w:lang w:eastAsia="en-AU"/>
              </w:rPr>
              <w:t>, relationship</w:t>
            </w:r>
            <w:r w:rsidR="00E30B81" w:rsidRPr="006B6402">
              <w:rPr>
                <w:rFonts w:ascii="Calibri" w:eastAsia="Calibri" w:hAnsi="Calibri" w:cs="Times New Roman"/>
                <w:sz w:val="22"/>
                <w:szCs w:val="22"/>
                <w:lang w:eastAsia="en-AU"/>
              </w:rPr>
              <w:t xml:space="preserve"> circumstance</w:t>
            </w:r>
            <w:r w:rsidR="008A2EA9" w:rsidRPr="006B6402">
              <w:rPr>
                <w:rFonts w:ascii="Calibri" w:eastAsia="Calibri" w:hAnsi="Calibri" w:cs="Times New Roman"/>
                <w:sz w:val="22"/>
                <w:szCs w:val="22"/>
                <w:lang w:eastAsia="en-AU"/>
              </w:rPr>
              <w:t>s.</w:t>
            </w:r>
          </w:p>
          <w:p w14:paraId="5688D617" w14:textId="21F658D4" w:rsidR="008421B5" w:rsidRPr="006B6402" w:rsidRDefault="008421B5" w:rsidP="00882975">
            <w:pPr>
              <w:pStyle w:val="Pa3"/>
              <w:numPr>
                <w:ilvl w:val="0"/>
                <w:numId w:val="1"/>
              </w:numPr>
              <w:spacing w:after="160"/>
              <w:rPr>
                <w:rFonts w:ascii="Calibri" w:eastAsia="Calibri" w:hAnsi="Calibri" w:cs="Times New Roman"/>
                <w:sz w:val="22"/>
                <w:szCs w:val="22"/>
                <w:lang w:eastAsia="en-AU"/>
              </w:rPr>
            </w:pPr>
            <w:r w:rsidRPr="006B6402">
              <w:rPr>
                <w:rFonts w:ascii="Calibri" w:eastAsia="Calibri" w:hAnsi="Calibri" w:cs="Times New Roman"/>
                <w:sz w:val="22"/>
                <w:szCs w:val="22"/>
                <w:lang w:eastAsia="en-AU"/>
              </w:rPr>
              <w:t xml:space="preserve">Identifies what options </w:t>
            </w:r>
            <w:r w:rsidR="007D0AED" w:rsidRPr="006B6402">
              <w:rPr>
                <w:rFonts w:ascii="Calibri" w:eastAsia="Calibri" w:hAnsi="Calibri" w:cs="Times New Roman"/>
                <w:sz w:val="22"/>
                <w:szCs w:val="22"/>
                <w:lang w:eastAsia="en-AU"/>
              </w:rPr>
              <w:t xml:space="preserve">the client has </w:t>
            </w:r>
            <w:r w:rsidR="00A92C2C" w:rsidRPr="006B6402">
              <w:rPr>
                <w:rFonts w:ascii="Calibri" w:eastAsia="Calibri" w:hAnsi="Calibri" w:cs="Times New Roman"/>
                <w:sz w:val="22"/>
                <w:szCs w:val="22"/>
                <w:lang w:eastAsia="en-AU"/>
              </w:rPr>
              <w:t xml:space="preserve">in relation to their debts </w:t>
            </w:r>
            <w:r w:rsidR="007D0AED" w:rsidRPr="006B6402">
              <w:rPr>
                <w:rFonts w:ascii="Calibri" w:eastAsia="Calibri" w:hAnsi="Calibri" w:cs="Times New Roman"/>
                <w:sz w:val="22"/>
                <w:szCs w:val="22"/>
                <w:lang w:eastAsia="en-AU"/>
              </w:rPr>
              <w:t>as well as</w:t>
            </w:r>
            <w:r w:rsidRPr="006B6402">
              <w:rPr>
                <w:rFonts w:ascii="Calibri" w:eastAsia="Calibri" w:hAnsi="Calibri" w:cs="Times New Roman"/>
                <w:sz w:val="22"/>
                <w:szCs w:val="22"/>
                <w:lang w:eastAsia="en-AU"/>
              </w:rPr>
              <w:t xml:space="preserve"> the advantages and disadvantages of those options</w:t>
            </w:r>
            <w:r w:rsidR="00E30B81" w:rsidRPr="006B6402">
              <w:rPr>
                <w:rFonts w:ascii="Calibri" w:eastAsia="Calibri" w:hAnsi="Calibri" w:cs="Times New Roman"/>
                <w:sz w:val="22"/>
                <w:szCs w:val="22"/>
                <w:lang w:eastAsia="en-AU"/>
              </w:rPr>
              <w:t xml:space="preserve">. </w:t>
            </w:r>
            <w:r w:rsidRPr="006B6402">
              <w:rPr>
                <w:rFonts w:ascii="Calibri" w:eastAsia="Calibri" w:hAnsi="Calibri" w:cs="Times New Roman"/>
                <w:sz w:val="22"/>
                <w:szCs w:val="22"/>
                <w:lang w:eastAsia="en-AU"/>
              </w:rPr>
              <w:t>Options explored will vary. Examples include: advocacy with creditors such as banks, telcos or uti</w:t>
            </w:r>
            <w:r w:rsidR="006C439E">
              <w:rPr>
                <w:rFonts w:ascii="Calibri" w:eastAsia="Calibri" w:hAnsi="Calibri" w:cs="Times New Roman"/>
                <w:sz w:val="22"/>
                <w:szCs w:val="22"/>
                <w:lang w:eastAsia="en-AU"/>
              </w:rPr>
              <w:t>lities to reduce or waive debts, accessing Ombudsman schemes,</w:t>
            </w:r>
            <w:r w:rsidRPr="006B6402">
              <w:rPr>
                <w:rFonts w:ascii="Calibri" w:eastAsia="Calibri" w:hAnsi="Calibri" w:cs="Times New Roman"/>
                <w:sz w:val="22"/>
                <w:szCs w:val="22"/>
                <w:lang w:eastAsia="en-AU"/>
              </w:rPr>
              <w:t xml:space="preserve"> negotiation of aff</w:t>
            </w:r>
            <w:r w:rsidR="006C439E">
              <w:rPr>
                <w:rFonts w:ascii="Calibri" w:eastAsia="Calibri" w:hAnsi="Calibri" w:cs="Times New Roman"/>
                <w:sz w:val="22"/>
                <w:szCs w:val="22"/>
                <w:lang w:eastAsia="en-AU"/>
              </w:rPr>
              <w:t xml:space="preserve">ordable repayment arrangements, </w:t>
            </w:r>
            <w:r w:rsidRPr="006B6402">
              <w:rPr>
                <w:rFonts w:ascii="Calibri" w:eastAsia="Calibri" w:hAnsi="Calibri" w:cs="Times New Roman"/>
                <w:sz w:val="22"/>
                <w:szCs w:val="22"/>
                <w:lang w:eastAsia="en-AU"/>
              </w:rPr>
              <w:t>information about bankruptcy and its consequences, accessing Centrelink entitlements or industry concession schemes</w:t>
            </w:r>
            <w:r w:rsidR="00E30B81" w:rsidRPr="006B6402">
              <w:rPr>
                <w:rFonts w:ascii="Calibri" w:eastAsia="Calibri" w:hAnsi="Calibri" w:cs="Times New Roman"/>
                <w:sz w:val="22"/>
                <w:szCs w:val="22"/>
                <w:lang w:eastAsia="en-AU"/>
              </w:rPr>
              <w:t>.</w:t>
            </w:r>
          </w:p>
          <w:p w14:paraId="5A8A0EB0" w14:textId="565DD016" w:rsidR="008421B5" w:rsidRPr="004C771B" w:rsidRDefault="008421B5" w:rsidP="00231A16">
            <w:pPr>
              <w:pStyle w:val="Pa3"/>
              <w:numPr>
                <w:ilvl w:val="0"/>
                <w:numId w:val="1"/>
              </w:numPr>
              <w:spacing w:after="160"/>
              <w:rPr>
                <w:rFonts w:ascii="Calibri" w:eastAsia="Calibri" w:hAnsi="Calibri" w:cs="Times New Roman"/>
                <w:sz w:val="22"/>
                <w:szCs w:val="22"/>
                <w:lang w:eastAsia="en-AU"/>
              </w:rPr>
            </w:pPr>
            <w:r w:rsidRPr="004C771B">
              <w:rPr>
                <w:rFonts w:ascii="Calibri" w:eastAsia="Calibri" w:hAnsi="Calibri" w:cs="Times New Roman"/>
                <w:sz w:val="22"/>
                <w:szCs w:val="22"/>
                <w:lang w:eastAsia="en-AU"/>
              </w:rPr>
              <w:t>Help</w:t>
            </w:r>
            <w:r w:rsidR="008D38BD" w:rsidRPr="004C771B">
              <w:rPr>
                <w:rFonts w:ascii="Calibri" w:eastAsia="Calibri" w:hAnsi="Calibri" w:cs="Times New Roman"/>
                <w:sz w:val="22"/>
                <w:szCs w:val="22"/>
                <w:lang w:eastAsia="en-AU"/>
              </w:rPr>
              <w:t>s</w:t>
            </w:r>
            <w:r w:rsidRPr="004C771B">
              <w:rPr>
                <w:rFonts w:ascii="Calibri" w:eastAsia="Calibri" w:hAnsi="Calibri" w:cs="Times New Roman"/>
                <w:sz w:val="22"/>
                <w:szCs w:val="22"/>
                <w:lang w:eastAsia="en-AU"/>
              </w:rPr>
              <w:t xml:space="preserve"> people understand the credit marketplace, </w:t>
            </w:r>
            <w:r w:rsidR="005C7E35" w:rsidRPr="004C771B">
              <w:rPr>
                <w:rFonts w:ascii="Calibri" w:eastAsia="Calibri" w:hAnsi="Calibri" w:cs="Times New Roman"/>
                <w:sz w:val="22"/>
                <w:szCs w:val="22"/>
                <w:lang w:eastAsia="en-AU"/>
              </w:rPr>
              <w:t>such as their</w:t>
            </w:r>
            <w:r w:rsidRPr="004C771B">
              <w:rPr>
                <w:rFonts w:ascii="Calibri" w:eastAsia="Calibri" w:hAnsi="Calibri" w:cs="Times New Roman"/>
                <w:sz w:val="22"/>
                <w:szCs w:val="22"/>
                <w:lang w:eastAsia="en-AU"/>
              </w:rPr>
              <w:t xml:space="preserve"> rights under the National Credit Code to hardship variations, how the credit reporting system works, </w:t>
            </w:r>
            <w:r w:rsidR="005C7E35" w:rsidRPr="004C771B">
              <w:rPr>
                <w:rFonts w:ascii="Calibri" w:eastAsia="Calibri" w:hAnsi="Calibri" w:cs="Times New Roman"/>
                <w:sz w:val="22"/>
                <w:szCs w:val="22"/>
                <w:lang w:eastAsia="en-AU"/>
              </w:rPr>
              <w:t xml:space="preserve">and </w:t>
            </w:r>
            <w:r w:rsidRPr="004C771B">
              <w:rPr>
                <w:rFonts w:ascii="Calibri" w:eastAsia="Calibri" w:hAnsi="Calibri" w:cs="Times New Roman"/>
                <w:sz w:val="22"/>
                <w:szCs w:val="22"/>
                <w:lang w:eastAsia="en-AU"/>
              </w:rPr>
              <w:t xml:space="preserve">what </w:t>
            </w:r>
            <w:r w:rsidR="005C7E35" w:rsidRPr="004C771B">
              <w:rPr>
                <w:rFonts w:ascii="Calibri" w:eastAsia="Calibri" w:hAnsi="Calibri" w:cs="Times New Roman"/>
                <w:sz w:val="22"/>
                <w:szCs w:val="22"/>
                <w:lang w:eastAsia="en-AU"/>
              </w:rPr>
              <w:t xml:space="preserve">behaviour </w:t>
            </w:r>
            <w:r w:rsidRPr="004C771B">
              <w:rPr>
                <w:rFonts w:ascii="Calibri" w:eastAsia="Calibri" w:hAnsi="Calibri" w:cs="Times New Roman"/>
                <w:sz w:val="22"/>
                <w:szCs w:val="22"/>
                <w:lang w:eastAsia="en-AU"/>
              </w:rPr>
              <w:t>is acceptable from debt collectors</w:t>
            </w:r>
            <w:r w:rsidR="005C7E35" w:rsidRPr="004C771B">
              <w:rPr>
                <w:rFonts w:ascii="Calibri" w:eastAsia="Calibri" w:hAnsi="Calibri" w:cs="Times New Roman"/>
                <w:sz w:val="22"/>
                <w:szCs w:val="22"/>
                <w:lang w:eastAsia="en-AU"/>
              </w:rPr>
              <w:t>.</w:t>
            </w:r>
          </w:p>
          <w:p w14:paraId="7D626A13" w14:textId="77777777" w:rsidR="008421B5" w:rsidRPr="004C771B" w:rsidRDefault="008421B5" w:rsidP="00231A16">
            <w:pPr>
              <w:pStyle w:val="Pa3"/>
              <w:numPr>
                <w:ilvl w:val="0"/>
                <w:numId w:val="1"/>
              </w:numPr>
              <w:spacing w:after="160"/>
              <w:rPr>
                <w:rFonts w:ascii="Calibri" w:eastAsia="Calibri" w:hAnsi="Calibri" w:cs="Times New Roman"/>
                <w:sz w:val="22"/>
                <w:szCs w:val="22"/>
                <w:lang w:eastAsia="en-AU"/>
              </w:rPr>
            </w:pPr>
            <w:r w:rsidRPr="004C771B">
              <w:rPr>
                <w:rFonts w:ascii="Calibri" w:eastAsia="Calibri" w:hAnsi="Calibri" w:cs="Times New Roman"/>
                <w:sz w:val="22"/>
                <w:szCs w:val="22"/>
                <w:lang w:eastAsia="en-AU"/>
              </w:rPr>
              <w:t xml:space="preserve">Identifies when clients may need legal advice or referrals to other services </w:t>
            </w:r>
          </w:p>
          <w:p w14:paraId="438C4992" w14:textId="77777777" w:rsidR="008421B5" w:rsidRPr="000F6891" w:rsidRDefault="008421B5" w:rsidP="00231A16">
            <w:pPr>
              <w:pStyle w:val="ListParagraph"/>
              <w:numPr>
                <w:ilvl w:val="0"/>
                <w:numId w:val="1"/>
              </w:numPr>
              <w:autoSpaceDE w:val="0"/>
              <w:autoSpaceDN w:val="0"/>
              <w:adjustRightInd w:val="0"/>
            </w:pPr>
            <w:r w:rsidRPr="004C771B">
              <w:rPr>
                <w:rFonts w:eastAsia="Calibri" w:cs="Times New Roman"/>
                <w:lang w:eastAsia="en-AU"/>
              </w:rPr>
              <w:t>Provide</w:t>
            </w:r>
            <w:r w:rsidR="007D0AED" w:rsidRPr="004C771B">
              <w:rPr>
                <w:rFonts w:eastAsia="Calibri" w:cs="Times New Roman"/>
                <w:lang w:eastAsia="en-AU"/>
              </w:rPr>
              <w:t>s</w:t>
            </w:r>
            <w:r w:rsidRPr="004C771B">
              <w:rPr>
                <w:rFonts w:eastAsia="Calibri" w:cs="Times New Roman"/>
                <w:lang w:eastAsia="en-AU"/>
              </w:rPr>
              <w:t xml:space="preserve"> emotional support and</w:t>
            </w:r>
            <w:r w:rsidRPr="000F6891">
              <w:t xml:space="preserve"> counselling to clients</w:t>
            </w:r>
          </w:p>
          <w:p w14:paraId="77EF4AD1" w14:textId="77777777" w:rsidR="007E7DCD" w:rsidRPr="004C771B" w:rsidRDefault="007E7DCD" w:rsidP="007E7DCD">
            <w:pPr>
              <w:pStyle w:val="Body"/>
              <w:tabs>
                <w:tab w:val="left" w:pos="9356"/>
              </w:tabs>
              <w:ind w:right="4"/>
              <w:rPr>
                <w:rFonts w:ascii="Calibri" w:hAnsi="Calibri"/>
                <w:sz w:val="22"/>
                <w:szCs w:val="22"/>
              </w:rPr>
            </w:pPr>
          </w:p>
          <w:p w14:paraId="14DE3593" w14:textId="7270CABD" w:rsidR="0069755D" w:rsidRDefault="008421B5" w:rsidP="00C260C7">
            <w:pPr>
              <w:autoSpaceDE w:val="0"/>
              <w:autoSpaceDN w:val="0"/>
              <w:adjustRightInd w:val="0"/>
              <w:spacing w:after="200" w:line="276" w:lineRule="auto"/>
              <w:ind w:left="283"/>
            </w:pPr>
            <w:r w:rsidRPr="000F6891">
              <w:t>Financial counsellors have extensive knowledge in a range of areas: consumer credit law, debt enforcement practices, the bankruptcy reg</w:t>
            </w:r>
            <w:r w:rsidR="00DC47EE" w:rsidRPr="004C771B">
              <w:t>ime, industry hardship policies</w:t>
            </w:r>
            <w:r w:rsidRPr="004C771B">
              <w:t xml:space="preserve"> and government concession frameworks. </w:t>
            </w:r>
          </w:p>
        </w:tc>
      </w:tr>
    </w:tbl>
    <w:p w14:paraId="19B5D044" w14:textId="77777777" w:rsidR="007E7DCD" w:rsidRDefault="007E7DCD" w:rsidP="00BB694F">
      <w:pPr>
        <w:pStyle w:val="Body"/>
        <w:tabs>
          <w:tab w:val="left" w:pos="9356"/>
        </w:tabs>
        <w:ind w:left="851" w:right="4"/>
        <w:rPr>
          <w:rFonts w:ascii="Calibri" w:hAnsi="Calibri"/>
        </w:rPr>
      </w:pPr>
    </w:p>
    <w:p w14:paraId="6F037CA5" w14:textId="77777777" w:rsidR="00AB670C" w:rsidRDefault="00AB670C" w:rsidP="00BB694F">
      <w:pPr>
        <w:pStyle w:val="Body"/>
        <w:tabs>
          <w:tab w:val="left" w:pos="9356"/>
        </w:tabs>
        <w:ind w:left="851" w:right="4"/>
        <w:rPr>
          <w:rFonts w:ascii="Calibri" w:hAnsi="Calibri"/>
        </w:rPr>
      </w:pPr>
    </w:p>
    <w:p w14:paraId="73D1ABC4" w14:textId="5BCADB02" w:rsidR="00552225" w:rsidRPr="00A548AE" w:rsidRDefault="00272818" w:rsidP="004C771B">
      <w:pPr>
        <w:pStyle w:val="Heading2"/>
      </w:pPr>
      <w:bookmarkStart w:id="12" w:name="_Toc370048390"/>
      <w:bookmarkStart w:id="13" w:name="_Toc387144726"/>
      <w:r>
        <w:t>1.</w:t>
      </w:r>
      <w:r w:rsidR="00577D16">
        <w:t>1.2</w:t>
      </w:r>
      <w:r w:rsidR="00A548AE">
        <w:tab/>
      </w:r>
      <w:r w:rsidR="00AB0F1E">
        <w:t xml:space="preserve"> </w:t>
      </w:r>
      <w:r w:rsidR="00552225" w:rsidRPr="00A548AE">
        <w:t>Methodology</w:t>
      </w:r>
      <w:bookmarkEnd w:id="12"/>
      <w:bookmarkEnd w:id="13"/>
    </w:p>
    <w:p w14:paraId="129EB75C" w14:textId="6804C710" w:rsidR="00552225" w:rsidRPr="004C771B" w:rsidRDefault="009D4EC5" w:rsidP="004C771B">
      <w:r w:rsidRPr="000F6891">
        <w:t xml:space="preserve">The research involved </w:t>
      </w:r>
      <w:r w:rsidR="00347AAD" w:rsidRPr="004C771B">
        <w:t>a number of</w:t>
      </w:r>
      <w:r w:rsidRPr="004C771B">
        <w:t xml:space="preserve"> components.</w:t>
      </w:r>
    </w:p>
    <w:p w14:paraId="6DED04B5" w14:textId="6C1EB1CA" w:rsidR="00884D16" w:rsidRPr="004C771B" w:rsidRDefault="00347AAD" w:rsidP="00231A16">
      <w:pPr>
        <w:pStyle w:val="ListParagraph"/>
        <w:numPr>
          <w:ilvl w:val="0"/>
          <w:numId w:val="3"/>
        </w:numPr>
        <w:ind w:left="1418"/>
      </w:pPr>
      <w:r w:rsidRPr="004C771B">
        <w:t xml:space="preserve">We conducted </w:t>
      </w:r>
      <w:r w:rsidR="00E44BBD" w:rsidRPr="004C771B">
        <w:t>13</w:t>
      </w:r>
      <w:r w:rsidR="00D95BC3" w:rsidRPr="004C771B">
        <w:t xml:space="preserve"> </w:t>
      </w:r>
      <w:r w:rsidRPr="004C771B">
        <w:t>s</w:t>
      </w:r>
      <w:r w:rsidR="009D4EC5" w:rsidRPr="004C771B">
        <w:t xml:space="preserve">emi-structured interviews with </w:t>
      </w:r>
      <w:r w:rsidR="00E24E5B" w:rsidRPr="004C771B">
        <w:t xml:space="preserve">financial counsellors and </w:t>
      </w:r>
      <w:r w:rsidR="00DC47EE" w:rsidRPr="004C771B">
        <w:t>three</w:t>
      </w:r>
      <w:r w:rsidR="00974AD1" w:rsidRPr="004C771B">
        <w:t xml:space="preserve"> </w:t>
      </w:r>
      <w:r w:rsidR="00E24E5B" w:rsidRPr="004C771B">
        <w:t>consumer advocates.</w:t>
      </w:r>
      <w:r w:rsidR="00E44BBD" w:rsidRPr="004C771B">
        <w:rPr>
          <w:rStyle w:val="FootnoteReference"/>
        </w:rPr>
        <w:footnoteReference w:id="1"/>
      </w:r>
      <w:r w:rsidR="00F6219C" w:rsidRPr="004C771B">
        <w:t xml:space="preserve"> This group of people have direct, day-to-day </w:t>
      </w:r>
      <w:r w:rsidR="00884D16" w:rsidRPr="004C771B">
        <w:t>knowledge</w:t>
      </w:r>
      <w:r w:rsidR="00F6219C" w:rsidRPr="004C771B">
        <w:t xml:space="preserve"> of </w:t>
      </w:r>
      <w:r w:rsidR="00974AD1" w:rsidRPr="004C771B">
        <w:t>the consumer experience</w:t>
      </w:r>
      <w:r w:rsidR="00F6219C" w:rsidRPr="004C771B">
        <w:t xml:space="preserve"> in relationship to financial hardship</w:t>
      </w:r>
      <w:r w:rsidR="00A70FFF" w:rsidRPr="004C771B">
        <w:t>.</w:t>
      </w:r>
      <w:r w:rsidR="00E53EFC" w:rsidRPr="004C771B">
        <w:t xml:space="preserve"> This reflected the emphasis in the research of </w:t>
      </w:r>
      <w:r w:rsidR="008D38BD" w:rsidRPr="004C771B">
        <w:t>elucidating</w:t>
      </w:r>
      <w:r w:rsidR="00E53EFC" w:rsidRPr="000F6891">
        <w:t xml:space="preserve"> what works in practice – and not just on paper. </w:t>
      </w:r>
    </w:p>
    <w:p w14:paraId="38DA8E1D" w14:textId="02F6F377" w:rsidR="00884D16" w:rsidRPr="004C771B" w:rsidRDefault="00884D16" w:rsidP="00884D16">
      <w:pPr>
        <w:ind w:left="1418"/>
      </w:pPr>
      <w:r w:rsidRPr="004C771B">
        <w:t xml:space="preserve">In conducting these primary interviews, we asked the interviewees to identify organisations that they considered </w:t>
      </w:r>
      <w:proofErr w:type="gramStart"/>
      <w:r w:rsidRPr="004C771B">
        <w:t>to be</w:t>
      </w:r>
      <w:proofErr w:type="gramEnd"/>
      <w:r w:rsidRPr="004C771B">
        <w:t xml:space="preserve"> leaders or doing </w:t>
      </w:r>
      <w:r w:rsidR="00DA0C85" w:rsidRPr="004C771B">
        <w:t>‘</w:t>
      </w:r>
      <w:r w:rsidRPr="004C771B">
        <w:t>things that worked</w:t>
      </w:r>
      <w:r w:rsidR="00DA0C85" w:rsidRPr="004C771B">
        <w:t>’</w:t>
      </w:r>
      <w:r w:rsidRPr="004C771B">
        <w:t xml:space="preserve">. Interviews were then conducted with staff from a selection of those organisations. This secondary group of interviewees comprised: </w:t>
      </w:r>
    </w:p>
    <w:p w14:paraId="6C0835A2" w14:textId="77777777" w:rsidR="00760D5A" w:rsidRPr="004C771B" w:rsidRDefault="009338BB" w:rsidP="00231A16">
      <w:pPr>
        <w:pStyle w:val="ListParagraph"/>
        <w:numPr>
          <w:ilvl w:val="0"/>
          <w:numId w:val="4"/>
        </w:numPr>
        <w:spacing w:after="0"/>
        <w:ind w:left="2137" w:hanging="357"/>
        <w:contextualSpacing w:val="0"/>
      </w:pPr>
      <w:r w:rsidRPr="004C771B">
        <w:lastRenderedPageBreak/>
        <w:t>14</w:t>
      </w:r>
      <w:r w:rsidR="00974AD1" w:rsidRPr="004C771B">
        <w:t xml:space="preserve"> </w:t>
      </w:r>
      <w:r w:rsidR="00760D5A" w:rsidRPr="004C771B">
        <w:t>staff from the hardship/collection teams in telecommunications, banking</w:t>
      </w:r>
      <w:r w:rsidRPr="004C771B">
        <w:t xml:space="preserve"> and finance</w:t>
      </w:r>
      <w:r w:rsidR="00760D5A" w:rsidRPr="004C771B">
        <w:t xml:space="preserve">, </w:t>
      </w:r>
      <w:r w:rsidR="00974AD1" w:rsidRPr="004C771B">
        <w:t>and utilities</w:t>
      </w:r>
      <w:r w:rsidR="00760D5A" w:rsidRPr="004C771B">
        <w:t xml:space="preserve"> sectors</w:t>
      </w:r>
      <w:r w:rsidR="00DF541C" w:rsidRPr="004C771B">
        <w:t>;</w:t>
      </w:r>
      <w:r w:rsidR="00067428" w:rsidRPr="004C771B">
        <w:rPr>
          <w:rStyle w:val="FootnoteReference"/>
        </w:rPr>
        <w:footnoteReference w:id="2"/>
      </w:r>
    </w:p>
    <w:p w14:paraId="11FE8177" w14:textId="77777777" w:rsidR="00760D5A" w:rsidRPr="004C771B" w:rsidRDefault="00DF541C" w:rsidP="00231A16">
      <w:pPr>
        <w:pStyle w:val="ListParagraph"/>
        <w:numPr>
          <w:ilvl w:val="0"/>
          <w:numId w:val="4"/>
        </w:numPr>
        <w:spacing w:after="0"/>
        <w:ind w:left="2137" w:hanging="357"/>
        <w:contextualSpacing w:val="0"/>
      </w:pPr>
      <w:r w:rsidRPr="004C771B">
        <w:t>Staff from two</w:t>
      </w:r>
      <w:r w:rsidR="00DC47EE" w:rsidRPr="004C771B">
        <w:t xml:space="preserve"> </w:t>
      </w:r>
      <w:r w:rsidR="0014690E" w:rsidRPr="004C771B">
        <w:t xml:space="preserve">energy industry </w:t>
      </w:r>
      <w:r w:rsidR="00181B48" w:rsidRPr="004C771B">
        <w:t>regulators</w:t>
      </w:r>
      <w:r w:rsidR="0014690E" w:rsidRPr="004C771B">
        <w:t>: the Australian Energy Regulator and the Essential Services Commission;</w:t>
      </w:r>
      <w:r w:rsidRPr="004C771B">
        <w:rPr>
          <w:rStyle w:val="FootnoteReference"/>
        </w:rPr>
        <w:footnoteReference w:id="3"/>
      </w:r>
    </w:p>
    <w:p w14:paraId="6BB95E36" w14:textId="56E6D3AD" w:rsidR="00760D5A" w:rsidRPr="004C771B" w:rsidRDefault="008D38BD" w:rsidP="00231A16">
      <w:pPr>
        <w:pStyle w:val="ListParagraph"/>
        <w:numPr>
          <w:ilvl w:val="0"/>
          <w:numId w:val="4"/>
        </w:numPr>
        <w:spacing w:after="0"/>
        <w:ind w:left="2137" w:hanging="357"/>
        <w:contextualSpacing w:val="0"/>
      </w:pPr>
      <w:r w:rsidRPr="004C771B">
        <w:t>F</w:t>
      </w:r>
      <w:r w:rsidR="00DC47EE" w:rsidRPr="000F6891">
        <w:t>our</w:t>
      </w:r>
      <w:r w:rsidR="00974AD1" w:rsidRPr="004C771B">
        <w:t xml:space="preserve"> </w:t>
      </w:r>
      <w:r w:rsidR="00760D5A" w:rsidRPr="004C771B">
        <w:t xml:space="preserve">staff </w:t>
      </w:r>
      <w:r w:rsidR="0014690E" w:rsidRPr="004C771B">
        <w:t>in total from energy and water External Dispute Resolution Schemes: the Energy and Water Ombudsman NSW and the Energy and Water Ombudsman Victoria.</w:t>
      </w:r>
    </w:p>
    <w:p w14:paraId="41602F5C" w14:textId="77777777" w:rsidR="00760D5A" w:rsidRPr="004C771B" w:rsidRDefault="00760D5A" w:rsidP="00760D5A">
      <w:pPr>
        <w:pStyle w:val="ListParagraph"/>
        <w:spacing w:after="0"/>
        <w:ind w:left="2137"/>
        <w:contextualSpacing w:val="0"/>
        <w:rPr>
          <w:sz w:val="24"/>
          <w:szCs w:val="24"/>
        </w:rPr>
      </w:pPr>
    </w:p>
    <w:p w14:paraId="2205AC13" w14:textId="77777777" w:rsidR="00E9360C" w:rsidRPr="004C771B" w:rsidRDefault="00E9360C" w:rsidP="00AD4E9E">
      <w:r w:rsidRPr="000F6891">
        <w:t>A list of the people interviewed is included in Appendix 1.</w:t>
      </w:r>
      <w:r w:rsidR="001E2522" w:rsidRPr="000F6891">
        <w:t xml:space="preserve"> </w:t>
      </w:r>
    </w:p>
    <w:p w14:paraId="4EA70B99" w14:textId="70537D92" w:rsidR="001E2522" w:rsidRPr="004C771B" w:rsidRDefault="00E9360C" w:rsidP="00231A16">
      <w:pPr>
        <w:pStyle w:val="ListParagraph"/>
        <w:numPr>
          <w:ilvl w:val="0"/>
          <w:numId w:val="3"/>
        </w:numPr>
        <w:spacing w:after="0" w:line="240" w:lineRule="auto"/>
        <w:ind w:left="1069"/>
        <w:contextualSpacing w:val="0"/>
      </w:pPr>
      <w:r w:rsidRPr="004C771B">
        <w:t>Thr</w:t>
      </w:r>
      <w:r w:rsidR="00B43DDC" w:rsidRPr="004C771B">
        <w:t xml:space="preserve">ee focus groups were conducted with </w:t>
      </w:r>
      <w:r w:rsidR="005C7E35" w:rsidRPr="004C771B">
        <w:t xml:space="preserve">telecommunications </w:t>
      </w:r>
      <w:r w:rsidR="00B43DDC" w:rsidRPr="004C771B">
        <w:t xml:space="preserve">consumers. </w:t>
      </w:r>
    </w:p>
    <w:p w14:paraId="7974DD59" w14:textId="77777777" w:rsidR="00BA6740" w:rsidRPr="004C771B" w:rsidRDefault="00BA6740" w:rsidP="00BA6740">
      <w:pPr>
        <w:pStyle w:val="ListParagraph"/>
        <w:spacing w:after="0" w:line="240" w:lineRule="auto"/>
        <w:ind w:left="1069"/>
        <w:contextualSpacing w:val="0"/>
      </w:pPr>
    </w:p>
    <w:p w14:paraId="135C8756" w14:textId="4E054632" w:rsidR="00E9360C" w:rsidRPr="004C771B" w:rsidRDefault="00E9360C" w:rsidP="00231A16">
      <w:pPr>
        <w:pStyle w:val="ListParagraph"/>
        <w:numPr>
          <w:ilvl w:val="0"/>
          <w:numId w:val="6"/>
        </w:numPr>
        <w:spacing w:after="0" w:line="240" w:lineRule="auto"/>
        <w:contextualSpacing w:val="0"/>
      </w:pPr>
      <w:r w:rsidRPr="004C771B">
        <w:t xml:space="preserve">Group 1 </w:t>
      </w:r>
      <w:r w:rsidR="001E2522" w:rsidRPr="004C771B">
        <w:t xml:space="preserve">was predominantly </w:t>
      </w:r>
      <w:r w:rsidR="005C7E35" w:rsidRPr="004C771B">
        <w:t xml:space="preserve">comprised of </w:t>
      </w:r>
      <w:r w:rsidR="001E2522" w:rsidRPr="004C771B">
        <w:t>new migrants</w:t>
      </w:r>
      <w:r w:rsidR="00565EDC" w:rsidRPr="004C771B">
        <w:t xml:space="preserve">, but also included two older </w:t>
      </w:r>
      <w:r w:rsidR="008D38BD" w:rsidRPr="004C771B">
        <w:t>participants</w:t>
      </w:r>
      <w:r w:rsidR="008D38BD" w:rsidRPr="000F6891">
        <w:t xml:space="preserve"> </w:t>
      </w:r>
      <w:r w:rsidR="00565EDC" w:rsidRPr="000F6891">
        <w:t xml:space="preserve">in receipt of government pensions. </w:t>
      </w:r>
      <w:proofErr w:type="gramStart"/>
      <w:r w:rsidR="00565EDC" w:rsidRPr="000F6891">
        <w:t>All of this</w:t>
      </w:r>
      <w:proofErr w:type="gramEnd"/>
      <w:r w:rsidR="00565EDC" w:rsidRPr="000F6891">
        <w:t xml:space="preserve"> group had experienced difficu</w:t>
      </w:r>
      <w:r w:rsidR="00565EDC" w:rsidRPr="004C771B">
        <w:t>lty in paying a telco bill.</w:t>
      </w:r>
    </w:p>
    <w:p w14:paraId="5FC0A636" w14:textId="77777777" w:rsidR="00565EDC" w:rsidRPr="004C771B" w:rsidRDefault="00565EDC" w:rsidP="00565EDC">
      <w:pPr>
        <w:pStyle w:val="ListParagraph"/>
        <w:spacing w:after="0" w:line="240" w:lineRule="auto"/>
        <w:ind w:left="1789"/>
        <w:contextualSpacing w:val="0"/>
      </w:pPr>
    </w:p>
    <w:p w14:paraId="7CB559C1" w14:textId="48BF6F8D" w:rsidR="001E2522" w:rsidRPr="004C771B" w:rsidRDefault="001E2522" w:rsidP="00231A16">
      <w:pPr>
        <w:pStyle w:val="ListParagraph"/>
        <w:numPr>
          <w:ilvl w:val="0"/>
          <w:numId w:val="6"/>
        </w:numPr>
        <w:spacing w:after="0" w:line="240" w:lineRule="auto"/>
        <w:contextualSpacing w:val="0"/>
      </w:pPr>
      <w:r w:rsidRPr="004C771B">
        <w:t xml:space="preserve">Group 2 </w:t>
      </w:r>
      <w:r w:rsidR="005C7E35" w:rsidRPr="004C771B">
        <w:t xml:space="preserve">comprised </w:t>
      </w:r>
      <w:r w:rsidR="00906769">
        <w:t xml:space="preserve">of </w:t>
      </w:r>
      <w:r w:rsidRPr="004C771B">
        <w:t>low income consumers</w:t>
      </w:r>
      <w:r w:rsidR="00565EDC" w:rsidRPr="004C771B">
        <w:t>. All of this group had sought the assistance of a financial counsellor and had experienced difficulty in paying a telco bill.</w:t>
      </w:r>
    </w:p>
    <w:p w14:paraId="54412FC8" w14:textId="77777777" w:rsidR="00565EDC" w:rsidRPr="004C771B" w:rsidRDefault="00565EDC" w:rsidP="00565EDC">
      <w:pPr>
        <w:spacing w:after="0" w:line="240" w:lineRule="auto"/>
      </w:pPr>
    </w:p>
    <w:p w14:paraId="63D2F06F" w14:textId="47A3BF98" w:rsidR="00E727CD" w:rsidRPr="004C771B" w:rsidRDefault="00BE688C" w:rsidP="00231A16">
      <w:pPr>
        <w:pStyle w:val="ListParagraph"/>
        <w:numPr>
          <w:ilvl w:val="0"/>
          <w:numId w:val="6"/>
        </w:numPr>
        <w:spacing w:after="0" w:line="240" w:lineRule="auto"/>
        <w:contextualSpacing w:val="0"/>
      </w:pPr>
      <w:r w:rsidRPr="004C771B">
        <w:t xml:space="preserve">Group 3 included staff working in </w:t>
      </w:r>
      <w:proofErr w:type="spellStart"/>
      <w:r w:rsidRPr="004C771B">
        <w:t>Kildonan</w:t>
      </w:r>
      <w:proofErr w:type="spellEnd"/>
      <w:r w:rsidRPr="004C771B">
        <w:t xml:space="preserve"> Uniting Care, a community-based welfare agency in Melbourne as well as </w:t>
      </w:r>
      <w:r w:rsidR="005C7E35" w:rsidRPr="004C771B">
        <w:t>u</w:t>
      </w:r>
      <w:r w:rsidRPr="004C771B">
        <w:t xml:space="preserve">niversity-educated volunteers in the agency. </w:t>
      </w:r>
      <w:r w:rsidR="008D38BD" w:rsidRPr="004C771B">
        <w:t>Participants in this group</w:t>
      </w:r>
      <w:r w:rsidR="009338BB" w:rsidRPr="000F6891">
        <w:t xml:space="preserve"> all had </w:t>
      </w:r>
      <w:r w:rsidR="008D38BD" w:rsidRPr="004C771B">
        <w:t xml:space="preserve">past </w:t>
      </w:r>
      <w:r w:rsidR="009338BB" w:rsidRPr="000F6891">
        <w:t>difficulties paying or resolving telco bill issues although they possessed good communication skills and ha</w:t>
      </w:r>
      <w:r w:rsidR="009338BB" w:rsidRPr="004C771B">
        <w:t>d some knowledge of consumer rights</w:t>
      </w:r>
      <w:r w:rsidR="00DF541C" w:rsidRPr="004C771B">
        <w:t>.</w:t>
      </w:r>
    </w:p>
    <w:p w14:paraId="2E5EB7EE" w14:textId="77777777" w:rsidR="00E727CD" w:rsidRPr="004C771B" w:rsidRDefault="00E727CD" w:rsidP="00E727CD">
      <w:pPr>
        <w:spacing w:after="0" w:line="240" w:lineRule="auto"/>
      </w:pPr>
    </w:p>
    <w:p w14:paraId="02C2E4A1" w14:textId="6F07F941" w:rsidR="00F52F45" w:rsidRPr="004C771B" w:rsidRDefault="00690EA9" w:rsidP="00E727CD">
      <w:pPr>
        <w:ind w:left="1418"/>
      </w:pPr>
      <w:r w:rsidRPr="004C771B">
        <w:t>As noted above,</w:t>
      </w:r>
      <w:r w:rsidR="00744F89" w:rsidRPr="004C771B">
        <w:t xml:space="preserve"> </w:t>
      </w:r>
      <w:r w:rsidRPr="004C771B">
        <w:t xml:space="preserve">the </w:t>
      </w:r>
      <w:r w:rsidR="00744F89" w:rsidRPr="004C771B">
        <w:t xml:space="preserve">research </w:t>
      </w:r>
      <w:r w:rsidR="005C7E35" w:rsidRPr="004C771B">
        <w:t xml:space="preserve">looked </w:t>
      </w:r>
      <w:r w:rsidRPr="004C771B">
        <w:t xml:space="preserve">broadly at hardship practices across industry sectors with the aim of assessing what can be adapted for the </w:t>
      </w:r>
      <w:r w:rsidR="00744F89" w:rsidRPr="004C771B">
        <w:t xml:space="preserve">telecommunications </w:t>
      </w:r>
      <w:r w:rsidRPr="004C771B">
        <w:t>industry. The inclusion of telco</w:t>
      </w:r>
      <w:r w:rsidR="00744F89" w:rsidRPr="004C771B">
        <w:t xml:space="preserve"> focus groups </w:t>
      </w:r>
      <w:r w:rsidRPr="004C771B">
        <w:t xml:space="preserve">in the methodology </w:t>
      </w:r>
      <w:r w:rsidR="00744F89" w:rsidRPr="004C771B">
        <w:t>pro</w:t>
      </w:r>
      <w:r w:rsidRPr="004C771B">
        <w:t>vide</w:t>
      </w:r>
      <w:r w:rsidR="005C7E35" w:rsidRPr="004C771B">
        <w:t>d</w:t>
      </w:r>
      <w:r w:rsidRPr="004C771B">
        <w:t xml:space="preserve"> </w:t>
      </w:r>
      <w:r w:rsidR="008D38BD" w:rsidRPr="004C771B">
        <w:t>an</w:t>
      </w:r>
      <w:r w:rsidRPr="000F6891">
        <w:t xml:space="preserve"> insight into current practices (albeit within the limitations of the focus group methodology).</w:t>
      </w:r>
    </w:p>
    <w:p w14:paraId="09C9ACB0" w14:textId="14EA8E74" w:rsidR="00E9360C" w:rsidRPr="004C771B" w:rsidRDefault="00E9360C" w:rsidP="00231A16">
      <w:pPr>
        <w:pStyle w:val="ListParagraph"/>
        <w:numPr>
          <w:ilvl w:val="0"/>
          <w:numId w:val="3"/>
        </w:numPr>
      </w:pPr>
      <w:r w:rsidRPr="004C771B">
        <w:t>An invitation-only workshop</w:t>
      </w:r>
      <w:r w:rsidR="006B6494" w:rsidRPr="004C771B">
        <w:t xml:space="preserve"> was held</w:t>
      </w:r>
      <w:r w:rsidR="00362110" w:rsidRPr="004C771B">
        <w:t xml:space="preserve"> in September 2013,</w:t>
      </w:r>
      <w:r w:rsidRPr="004C771B">
        <w:t xml:space="preserve"> to</w:t>
      </w:r>
      <w:r w:rsidR="00362110" w:rsidRPr="004C771B">
        <w:t xml:space="preserve"> discuss research findings</w:t>
      </w:r>
      <w:r w:rsidR="0055321D" w:rsidRPr="004C771B">
        <w:t xml:space="preserve"> to date</w:t>
      </w:r>
      <w:r w:rsidR="00DB3044" w:rsidRPr="004C771B">
        <w:t xml:space="preserve">. </w:t>
      </w:r>
      <w:r w:rsidR="00A13DC3" w:rsidRPr="004C771B">
        <w:t>Of the attendees (a</w:t>
      </w:r>
      <w:r w:rsidRPr="004C771B">
        <w:t>round 60 people</w:t>
      </w:r>
      <w:r w:rsidR="00A13DC3" w:rsidRPr="004C771B">
        <w:t>)</w:t>
      </w:r>
      <w:r w:rsidR="008223C2" w:rsidRPr="004C771B">
        <w:t xml:space="preserve"> </w:t>
      </w:r>
      <w:r w:rsidR="00A13DC3" w:rsidRPr="004C771B">
        <w:t>m</w:t>
      </w:r>
      <w:r w:rsidR="00DB3044" w:rsidRPr="004C771B">
        <w:t xml:space="preserve">any had </w:t>
      </w:r>
      <w:r w:rsidR="00362110" w:rsidRPr="004C771B">
        <w:t xml:space="preserve">participated in the research interviews. A summary of the workshop discussion was distributed to </w:t>
      </w:r>
      <w:r w:rsidR="00A13DC3" w:rsidRPr="004C771B">
        <w:t>attendees</w:t>
      </w:r>
      <w:r w:rsidR="00362110" w:rsidRPr="004C771B">
        <w:t xml:space="preserve">. </w:t>
      </w:r>
      <w:r w:rsidR="0055321D" w:rsidRPr="004C771B">
        <w:t>The workshop discussion w</w:t>
      </w:r>
      <w:r w:rsidR="00A13DC3" w:rsidRPr="004C771B">
        <w:t>as</w:t>
      </w:r>
      <w:r w:rsidR="0055321D" w:rsidRPr="004C771B">
        <w:t xml:space="preserve"> </w:t>
      </w:r>
      <w:r w:rsidR="0069755D" w:rsidRPr="004C771B">
        <w:t xml:space="preserve">used </w:t>
      </w:r>
      <w:r w:rsidR="00A13DC3" w:rsidRPr="004C771B">
        <w:t>as a</w:t>
      </w:r>
      <w:r w:rsidR="0069755D" w:rsidRPr="004C771B">
        <w:t xml:space="preserve"> frame</w:t>
      </w:r>
      <w:r w:rsidR="00A13DC3" w:rsidRPr="004C771B">
        <w:t>work</w:t>
      </w:r>
      <w:r w:rsidR="00D956E3" w:rsidRPr="004C771B">
        <w:t xml:space="preserve"> </w:t>
      </w:r>
      <w:r w:rsidR="00A13DC3" w:rsidRPr="004C771B">
        <w:t xml:space="preserve">for </w:t>
      </w:r>
      <w:r w:rsidR="00D956E3" w:rsidRPr="004C771B">
        <w:t xml:space="preserve">this </w:t>
      </w:r>
      <w:r w:rsidR="009338BB" w:rsidRPr="004C771B">
        <w:t>report;</w:t>
      </w:r>
      <w:r w:rsidR="00D956E3" w:rsidRPr="004C771B">
        <w:t xml:space="preserve"> the topics in </w:t>
      </w:r>
      <w:r w:rsidR="003C2451" w:rsidRPr="004C771B">
        <w:t>Section</w:t>
      </w:r>
      <w:r w:rsidR="00D956E3" w:rsidRPr="004C771B">
        <w:t xml:space="preserve"> </w:t>
      </w:r>
      <w:r w:rsidR="003C2451" w:rsidRPr="004C771B">
        <w:t>2</w:t>
      </w:r>
      <w:r w:rsidR="00D956E3" w:rsidRPr="004C771B">
        <w:t xml:space="preserve"> are key </w:t>
      </w:r>
      <w:r w:rsidR="0069755D" w:rsidRPr="004C771B">
        <w:t>iss</w:t>
      </w:r>
      <w:r w:rsidR="00D956E3" w:rsidRPr="004C771B">
        <w:t xml:space="preserve">ues identified by </w:t>
      </w:r>
      <w:r w:rsidR="00A13DC3" w:rsidRPr="004C771B">
        <w:t xml:space="preserve">workshop </w:t>
      </w:r>
      <w:r w:rsidR="00D956E3" w:rsidRPr="004C771B">
        <w:t>participants.</w:t>
      </w:r>
    </w:p>
    <w:p w14:paraId="18F29843" w14:textId="77777777" w:rsidR="00D956E3" w:rsidRPr="004C771B" w:rsidRDefault="00D956E3" w:rsidP="00D956E3">
      <w:pPr>
        <w:pStyle w:val="ListParagraph"/>
        <w:ind w:left="1429"/>
      </w:pPr>
    </w:p>
    <w:p w14:paraId="2DC7EEEA" w14:textId="2227D9CA" w:rsidR="00D956E3" w:rsidRPr="004C771B" w:rsidRDefault="00A13DC3" w:rsidP="00231A16">
      <w:pPr>
        <w:pStyle w:val="ListParagraph"/>
        <w:numPr>
          <w:ilvl w:val="0"/>
          <w:numId w:val="3"/>
        </w:numPr>
      </w:pPr>
      <w:r w:rsidRPr="004C771B">
        <w:t xml:space="preserve">A literature review of global hardship practices was generated in order to capture and critically analyse good practises resulting from previous research. </w:t>
      </w:r>
      <w:r w:rsidR="00FC4A02" w:rsidRPr="004C771B">
        <w:t>The</w:t>
      </w:r>
      <w:r w:rsidR="008223C2" w:rsidRPr="004C771B">
        <w:t xml:space="preserve"> review</w:t>
      </w:r>
      <w:r w:rsidR="00FC4A02" w:rsidRPr="004C771B">
        <w:t xml:space="preserve"> also provided an insight into how hardship practices and research have evolved over time. </w:t>
      </w:r>
      <w:r w:rsidR="00C30F8F" w:rsidRPr="004C771B">
        <w:t>Short summaries of each paper are included in Appendix 3.</w:t>
      </w:r>
    </w:p>
    <w:p w14:paraId="6A255485" w14:textId="77777777" w:rsidR="00FC4A02" w:rsidRDefault="00FC4A02" w:rsidP="00FC4A02">
      <w:pPr>
        <w:pStyle w:val="ListParagraph"/>
      </w:pPr>
    </w:p>
    <w:p w14:paraId="35285BC7" w14:textId="3DCDFA5D" w:rsidR="00272818" w:rsidRPr="00A548AE" w:rsidRDefault="00F03479" w:rsidP="004C771B">
      <w:pPr>
        <w:pStyle w:val="Heading2"/>
      </w:pPr>
      <w:bookmarkStart w:id="14" w:name="_Toc387144727"/>
      <w:r>
        <w:lastRenderedPageBreak/>
        <w:t>1.</w:t>
      </w:r>
      <w:r w:rsidR="00577D16">
        <w:t>1.3</w:t>
      </w:r>
      <w:r>
        <w:tab/>
      </w:r>
      <w:r w:rsidR="006D4889">
        <w:t xml:space="preserve"> </w:t>
      </w:r>
      <w:r>
        <w:t>Strengths and</w:t>
      </w:r>
      <w:r w:rsidR="00C143D0">
        <w:t xml:space="preserve"> l</w:t>
      </w:r>
      <w:r w:rsidR="00272818">
        <w:t>imitations</w:t>
      </w:r>
      <w:bookmarkEnd w:id="14"/>
      <w:r w:rsidR="00272818">
        <w:t xml:space="preserve"> </w:t>
      </w:r>
    </w:p>
    <w:p w14:paraId="6855C133" w14:textId="77777777" w:rsidR="00272818" w:rsidRDefault="00272818" w:rsidP="00F455FE">
      <w:pPr>
        <w:spacing w:after="0" w:line="240" w:lineRule="auto"/>
      </w:pPr>
    </w:p>
    <w:p w14:paraId="38F215B7" w14:textId="1EFBA025" w:rsidR="00CF5D42" w:rsidRPr="004C771B" w:rsidRDefault="008223C2" w:rsidP="004C771B">
      <w:r>
        <w:t>Results arising from t</w:t>
      </w:r>
      <w:r w:rsidR="00FB794B" w:rsidRPr="000F6891">
        <w:t xml:space="preserve">his </w:t>
      </w:r>
      <w:r>
        <w:t>study</w:t>
      </w:r>
      <w:r w:rsidRPr="000F6891">
        <w:t xml:space="preserve"> </w:t>
      </w:r>
      <w:r>
        <w:t>are</w:t>
      </w:r>
      <w:r w:rsidR="00FB794B" w:rsidRPr="000F6891">
        <w:t xml:space="preserve"> primarily qualitative</w:t>
      </w:r>
      <w:r w:rsidR="00FB794B" w:rsidRPr="004C771B">
        <w:t xml:space="preserve">. The strength of the research is </w:t>
      </w:r>
      <w:r w:rsidR="0084798C" w:rsidRPr="004C771B">
        <w:t>the comparative industry focus</w:t>
      </w:r>
      <w:r>
        <w:t xml:space="preserve"> – </w:t>
      </w:r>
      <w:r w:rsidR="00FB794B" w:rsidRPr="004C771B">
        <w:t>the interviews</w:t>
      </w:r>
      <w:r w:rsidR="006D0B06" w:rsidRPr="004C771B">
        <w:t xml:space="preserve"> and workshop</w:t>
      </w:r>
      <w:r w:rsidR="00FB794B" w:rsidRPr="004C771B">
        <w:t xml:space="preserve"> tapped into the expertise of </w:t>
      </w:r>
      <w:r w:rsidR="006D0B06" w:rsidRPr="004C771B">
        <w:t xml:space="preserve">a wide range of stakeholders, including </w:t>
      </w:r>
      <w:r>
        <w:t>various</w:t>
      </w:r>
      <w:r w:rsidRPr="000F6891">
        <w:t xml:space="preserve"> </w:t>
      </w:r>
      <w:r w:rsidR="006D0B06" w:rsidRPr="004C771B">
        <w:t xml:space="preserve">industry sectors, community </w:t>
      </w:r>
      <w:r w:rsidR="00A849D0" w:rsidRPr="004C771B">
        <w:t>workers</w:t>
      </w:r>
      <w:r w:rsidR="006D0B06" w:rsidRPr="004C771B">
        <w:t xml:space="preserve">, regulators, government and </w:t>
      </w:r>
      <w:proofErr w:type="spellStart"/>
      <w:r w:rsidR="006D0B06" w:rsidRPr="004C771B">
        <w:t>EDR</w:t>
      </w:r>
      <w:proofErr w:type="spellEnd"/>
      <w:r w:rsidR="006D0B06" w:rsidRPr="004C771B">
        <w:t xml:space="preserve"> schemes. This </w:t>
      </w:r>
      <w:r>
        <w:t xml:space="preserve">facilitated a comparison of </w:t>
      </w:r>
      <w:r w:rsidR="006D0B06" w:rsidRPr="004C771B">
        <w:t>views</w:t>
      </w:r>
      <w:r w:rsidR="004349C3" w:rsidRPr="004C771B">
        <w:t xml:space="preserve"> and experiences</w:t>
      </w:r>
      <w:r>
        <w:t xml:space="preserve"> between stakeholders</w:t>
      </w:r>
      <w:r w:rsidR="006D0B06" w:rsidRPr="000F6891">
        <w:t xml:space="preserve">. Similarly, the focus groups </w:t>
      </w:r>
      <w:r w:rsidR="004349C3" w:rsidRPr="000F6891">
        <w:t xml:space="preserve">allowed us to </w:t>
      </w:r>
      <w:r>
        <w:t xml:space="preserve">understand </w:t>
      </w:r>
      <w:r w:rsidR="004349C3" w:rsidRPr="000F6891">
        <w:t xml:space="preserve">the consumer </w:t>
      </w:r>
      <w:r>
        <w:t>perspective</w:t>
      </w:r>
      <w:r w:rsidR="004349C3" w:rsidRPr="000F6891">
        <w:t xml:space="preserve"> in rel</w:t>
      </w:r>
      <w:r w:rsidR="004349C3" w:rsidRPr="004C771B">
        <w:t>ation to experience</w:t>
      </w:r>
      <w:r w:rsidR="00C5274E" w:rsidRPr="004C771B">
        <w:t>s</w:t>
      </w:r>
      <w:r w:rsidR="004349C3" w:rsidRPr="004C771B">
        <w:t xml:space="preserve"> with telcos.</w:t>
      </w:r>
      <w:r w:rsidR="00CF5D42" w:rsidRPr="004C771B">
        <w:t xml:space="preserve"> </w:t>
      </w:r>
    </w:p>
    <w:p w14:paraId="0AC0E859" w14:textId="7849B835" w:rsidR="00CF5D42" w:rsidRPr="004C771B" w:rsidRDefault="00266031" w:rsidP="004C771B">
      <w:r>
        <w:t xml:space="preserve">There is a </w:t>
      </w:r>
      <w:r w:rsidR="00E2335B">
        <w:t>limitation</w:t>
      </w:r>
      <w:r>
        <w:t xml:space="preserve"> of </w:t>
      </w:r>
      <w:r w:rsidR="004349C3" w:rsidRPr="000F6891">
        <w:t>qualitative research</w:t>
      </w:r>
      <w:r>
        <w:t xml:space="preserve"> – it</w:t>
      </w:r>
      <w:r w:rsidR="004349C3" w:rsidRPr="000F6891">
        <w:t xml:space="preserve"> </w:t>
      </w:r>
      <w:r w:rsidR="00A849D0" w:rsidRPr="000F6891">
        <w:t xml:space="preserve">does not </w:t>
      </w:r>
      <w:r w:rsidR="00B460A3" w:rsidRPr="004C771B">
        <w:t xml:space="preserve">allow rigorous comparisons </w:t>
      </w:r>
      <w:r>
        <w:t>between data sets</w:t>
      </w:r>
      <w:r w:rsidR="00AE072E">
        <w:t xml:space="preserve">. In addition, it </w:t>
      </w:r>
      <w:r w:rsidR="00B460A3" w:rsidRPr="000F6891">
        <w:t xml:space="preserve">is subject to the </w:t>
      </w:r>
      <w:r w:rsidR="002E1AFE" w:rsidRPr="002E1AFE">
        <w:t>judgment</w:t>
      </w:r>
      <w:r w:rsidR="00B460A3" w:rsidRPr="00E2335B">
        <w:t xml:space="preserve"> </w:t>
      </w:r>
      <w:r w:rsidR="00B460A3" w:rsidRPr="004C771B">
        <w:rPr>
          <w:rFonts w:asciiTheme="minorHAnsi" w:hAnsiTheme="minorHAnsi"/>
        </w:rPr>
        <w:t>of the interviewer. The research</w:t>
      </w:r>
      <w:r w:rsidR="00B460A3" w:rsidRPr="00E2335B">
        <w:t xml:space="preserve"> </w:t>
      </w:r>
      <w:r w:rsidR="00AE072E">
        <w:t xml:space="preserve">is specific and </w:t>
      </w:r>
      <w:r w:rsidR="00B460A3" w:rsidRPr="000F6891">
        <w:t>does not attempt to cover the</w:t>
      </w:r>
      <w:r w:rsidR="00AE072E">
        <w:t xml:space="preserve"> entire</w:t>
      </w:r>
      <w:r w:rsidR="00B460A3" w:rsidRPr="000F6891">
        <w:t xml:space="preserve"> field, for example, by </w:t>
      </w:r>
      <w:r w:rsidR="00E2335B">
        <w:t>analysing</w:t>
      </w:r>
      <w:r w:rsidR="00E2335B" w:rsidRPr="000F6891">
        <w:t xml:space="preserve"> </w:t>
      </w:r>
      <w:r w:rsidR="00B460A3" w:rsidRPr="000F6891">
        <w:t xml:space="preserve">all </w:t>
      </w:r>
      <w:r w:rsidR="00B460A3" w:rsidRPr="004C771B">
        <w:t xml:space="preserve">banks or all energy companies. </w:t>
      </w:r>
      <w:r w:rsidR="00BE2D53" w:rsidRPr="004C771B">
        <w:t xml:space="preserve">The industry, </w:t>
      </w:r>
      <w:proofErr w:type="spellStart"/>
      <w:r w:rsidR="00BE2D53" w:rsidRPr="004C771B">
        <w:t>EDR</w:t>
      </w:r>
      <w:proofErr w:type="spellEnd"/>
      <w:r w:rsidR="00BE2D53" w:rsidRPr="004C771B">
        <w:t xml:space="preserve"> and regulator interviewees</w:t>
      </w:r>
      <w:r w:rsidR="00C5274E" w:rsidRPr="004C771B">
        <w:t xml:space="preserve"> were selected on the basis of </w:t>
      </w:r>
      <w:r w:rsidR="00E2335B">
        <w:t>‘</w:t>
      </w:r>
      <w:r w:rsidR="00C5274E" w:rsidRPr="000F6891">
        <w:t>leads</w:t>
      </w:r>
      <w:r w:rsidR="00DA0C85">
        <w:t>’</w:t>
      </w:r>
      <w:r w:rsidR="00C5274E" w:rsidRPr="000F6891">
        <w:t xml:space="preserve"> </w:t>
      </w:r>
      <w:r w:rsidR="00BE2D53" w:rsidRPr="000F6891">
        <w:t>generated by the fi</w:t>
      </w:r>
      <w:r w:rsidR="00BE2D53" w:rsidRPr="004C771B">
        <w:t>nancial counsellor interviews</w:t>
      </w:r>
      <w:r w:rsidR="00E2335B">
        <w:t>.</w:t>
      </w:r>
      <w:r w:rsidR="004859A9">
        <w:t xml:space="preserve"> </w:t>
      </w:r>
      <w:r w:rsidR="00E2335B">
        <w:t>F</w:t>
      </w:r>
      <w:r w:rsidR="000A67E4" w:rsidRPr="000F6891">
        <w:t xml:space="preserve">inancial counsellors gave examples of </w:t>
      </w:r>
      <w:r w:rsidR="00E2335B">
        <w:t>chosen</w:t>
      </w:r>
      <w:r w:rsidR="00E2335B" w:rsidRPr="000F6891">
        <w:t xml:space="preserve"> </w:t>
      </w:r>
      <w:r w:rsidR="000A67E4" w:rsidRPr="000F6891">
        <w:t xml:space="preserve">organisations </w:t>
      </w:r>
      <w:r w:rsidR="00E2335B">
        <w:t>as using</w:t>
      </w:r>
      <w:r w:rsidR="00E2335B" w:rsidRPr="000F6891">
        <w:t xml:space="preserve"> </w:t>
      </w:r>
      <w:r w:rsidR="000A67E4" w:rsidRPr="000F6891">
        <w:t xml:space="preserve">practices that led to positive client experiences. </w:t>
      </w:r>
    </w:p>
    <w:p w14:paraId="20ADBBF8" w14:textId="2B756DEC" w:rsidR="00F455FE" w:rsidRPr="004C771B" w:rsidRDefault="00E2335B" w:rsidP="00AB0F1E">
      <w:r>
        <w:t>T</w:t>
      </w:r>
      <w:r w:rsidR="00CF5D42" w:rsidRPr="000F6891">
        <w:t>he majority of interviewees were based in Sydney and Melbourne</w:t>
      </w:r>
      <w:r w:rsidR="0084798C" w:rsidRPr="004C771B">
        <w:t>, although we interviewed financial counsellors from Tasmania, ACT and Queensland</w:t>
      </w:r>
      <w:r w:rsidR="00CF5D42" w:rsidRPr="004C771B">
        <w:t xml:space="preserve">. </w:t>
      </w:r>
      <w:r>
        <w:t>A</w:t>
      </w:r>
      <w:r w:rsidR="00CF5D42" w:rsidRPr="000F6891">
        <w:t xml:space="preserve">ll focus groups involved participants in Melbourne. </w:t>
      </w:r>
      <w:r>
        <w:t>Distribution of participants</w:t>
      </w:r>
      <w:r w:rsidRPr="000F6891">
        <w:t xml:space="preserve"> </w:t>
      </w:r>
      <w:r w:rsidR="00CF5D42" w:rsidRPr="000F6891">
        <w:t xml:space="preserve">partly reflected where industry, </w:t>
      </w:r>
      <w:proofErr w:type="spellStart"/>
      <w:r w:rsidR="00CF5D42" w:rsidRPr="000F6891">
        <w:t>EDR</w:t>
      </w:r>
      <w:proofErr w:type="spellEnd"/>
      <w:r w:rsidR="00CF5D42" w:rsidRPr="000F6891">
        <w:t xml:space="preserve"> schemes and regulators are b</w:t>
      </w:r>
      <w:r w:rsidR="00CF5D42" w:rsidRPr="004C771B">
        <w:t>ased</w:t>
      </w:r>
      <w:r>
        <w:t>. However</w:t>
      </w:r>
      <w:r w:rsidR="00CF5D42" w:rsidRPr="000F6891">
        <w:t>,</w:t>
      </w:r>
      <w:r>
        <w:t xml:space="preserve"> this</w:t>
      </w:r>
      <w:r w:rsidR="00CF5D42" w:rsidRPr="000F6891">
        <w:t xml:space="preserve"> was also a function of resource constraints</w:t>
      </w:r>
      <w:r w:rsidR="006A1B9E" w:rsidRPr="004C771B">
        <w:t>.</w:t>
      </w:r>
    </w:p>
    <w:p w14:paraId="4410DA6E" w14:textId="3EEE2350" w:rsidR="004C18D7" w:rsidRPr="00A548AE" w:rsidRDefault="00577D16" w:rsidP="004C771B">
      <w:pPr>
        <w:pStyle w:val="Heading2"/>
      </w:pPr>
      <w:bookmarkStart w:id="15" w:name="_Toc370048391"/>
      <w:bookmarkStart w:id="16" w:name="_Toc387144728"/>
      <w:r>
        <w:t>1.1.4</w:t>
      </w:r>
      <w:r w:rsidR="004C18D7">
        <w:tab/>
      </w:r>
      <w:r w:rsidR="00AB0F1E">
        <w:t xml:space="preserve"> </w:t>
      </w:r>
      <w:r w:rsidR="00F612E4">
        <w:t>Structure</w:t>
      </w:r>
      <w:r w:rsidR="00C143D0">
        <w:t xml:space="preserve"> of the r</w:t>
      </w:r>
      <w:r w:rsidR="004C18D7" w:rsidRPr="00A548AE">
        <w:t>eport</w:t>
      </w:r>
      <w:bookmarkEnd w:id="15"/>
      <w:bookmarkEnd w:id="16"/>
    </w:p>
    <w:p w14:paraId="20CF3FF7" w14:textId="465C0D37" w:rsidR="00F455FE" w:rsidRPr="004C771B" w:rsidRDefault="00F455FE" w:rsidP="004C771B">
      <w:pPr>
        <w:pStyle w:val="Body"/>
        <w:tabs>
          <w:tab w:val="left" w:pos="9356"/>
        </w:tabs>
        <w:ind w:left="720" w:right="4"/>
        <w:rPr>
          <w:rFonts w:ascii="Calibri" w:hAnsi="Calibri"/>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10;Section 1 Research background, and an analysis of the prevalence and causes of financial difficulty in the Australian population.&#10;Section 2 An analysis of the six topics identified by workshop participants as those that make the greatest impact on hardship policy and practice.&#10;Section 3 An outline of additional research findings.&#10;Section 4 A discussion of the research implications, specifically for the telecommunications industry. &#10;&#10;"/>
      </w:tblPr>
      <w:tblGrid>
        <w:gridCol w:w="1898"/>
        <w:gridCol w:w="7344"/>
      </w:tblGrid>
      <w:tr w:rsidR="00CE3603" w:rsidRPr="008D38BD" w14:paraId="07C5FA29" w14:textId="77777777" w:rsidTr="00686F19">
        <w:tc>
          <w:tcPr>
            <w:tcW w:w="1027" w:type="pct"/>
          </w:tcPr>
          <w:p w14:paraId="49D5B328" w14:textId="77777777" w:rsidR="00CE3603" w:rsidRPr="000F6891" w:rsidRDefault="003C2451" w:rsidP="004C18D7">
            <w:pPr>
              <w:spacing w:after="200" w:line="276" w:lineRule="auto"/>
            </w:pPr>
            <w:r w:rsidRPr="000F6891">
              <w:t>Section</w:t>
            </w:r>
            <w:r w:rsidR="00CE3603" w:rsidRPr="000F6891">
              <w:t xml:space="preserve"> 1</w:t>
            </w:r>
          </w:p>
        </w:tc>
        <w:tc>
          <w:tcPr>
            <w:tcW w:w="3973" w:type="pct"/>
          </w:tcPr>
          <w:p w14:paraId="09867F15" w14:textId="50B5DE1B" w:rsidR="00CE3603" w:rsidRPr="004C771B" w:rsidRDefault="004E3BA8" w:rsidP="004C18D7">
            <w:pPr>
              <w:spacing w:after="200" w:line="276" w:lineRule="auto"/>
            </w:pPr>
            <w:r w:rsidRPr="004C771B">
              <w:t>R</w:t>
            </w:r>
            <w:r w:rsidR="00E07E05" w:rsidRPr="004C771B">
              <w:t>esearch</w:t>
            </w:r>
            <w:r w:rsidRPr="004C771B">
              <w:t xml:space="preserve"> </w:t>
            </w:r>
            <w:proofErr w:type="gramStart"/>
            <w:r w:rsidRPr="004C771B">
              <w:t>background</w:t>
            </w:r>
            <w:r w:rsidR="00E07E05" w:rsidRPr="004C771B">
              <w:t>,</w:t>
            </w:r>
            <w:proofErr w:type="gramEnd"/>
            <w:r w:rsidR="00E07E05" w:rsidRPr="004C771B">
              <w:t xml:space="preserve"> </w:t>
            </w:r>
            <w:r w:rsidRPr="004C771B">
              <w:t xml:space="preserve">and </w:t>
            </w:r>
            <w:r w:rsidR="00E07E05" w:rsidRPr="004C771B">
              <w:t>an analysis of the prevalence and causes of financial difficulty in the Australian population.</w:t>
            </w:r>
          </w:p>
        </w:tc>
      </w:tr>
      <w:tr w:rsidR="00A858AE" w:rsidRPr="008D38BD" w14:paraId="0DF01E26" w14:textId="77777777" w:rsidTr="00686F19">
        <w:tc>
          <w:tcPr>
            <w:tcW w:w="1027" w:type="pct"/>
          </w:tcPr>
          <w:p w14:paraId="511AACD8" w14:textId="77777777" w:rsidR="00A858AE" w:rsidRPr="004C771B" w:rsidRDefault="003C2451" w:rsidP="004C18D7">
            <w:pPr>
              <w:spacing w:after="200" w:line="276" w:lineRule="auto"/>
            </w:pPr>
            <w:r w:rsidRPr="000F6891">
              <w:t>Section</w:t>
            </w:r>
            <w:r w:rsidR="00CE3603" w:rsidRPr="000F6891">
              <w:t xml:space="preserve"> 2</w:t>
            </w:r>
          </w:p>
        </w:tc>
        <w:tc>
          <w:tcPr>
            <w:tcW w:w="3973" w:type="pct"/>
          </w:tcPr>
          <w:p w14:paraId="62811ADB" w14:textId="59E22ABF" w:rsidR="00A858AE" w:rsidRPr="004C771B" w:rsidRDefault="004E3BA8" w:rsidP="004C18D7">
            <w:pPr>
              <w:spacing w:after="200" w:line="276" w:lineRule="auto"/>
            </w:pPr>
            <w:r w:rsidRPr="004C771B">
              <w:t>An analysis of</w:t>
            </w:r>
            <w:r w:rsidR="004E1E25" w:rsidRPr="004C771B">
              <w:t xml:space="preserve"> the six topics identified by workshop participants as those </w:t>
            </w:r>
            <w:r w:rsidRPr="004C771B">
              <w:t xml:space="preserve">that </w:t>
            </w:r>
            <w:r w:rsidR="004E1E25" w:rsidRPr="004C771B">
              <w:t xml:space="preserve">make the </w:t>
            </w:r>
            <w:r w:rsidRPr="004C771B">
              <w:t>greatest impact on</w:t>
            </w:r>
            <w:r w:rsidR="004E1E25" w:rsidRPr="004C771B">
              <w:t xml:space="preserve"> hardship policy and practice.</w:t>
            </w:r>
          </w:p>
        </w:tc>
      </w:tr>
      <w:tr w:rsidR="00A858AE" w:rsidRPr="008D38BD" w14:paraId="4F38C2A9" w14:textId="77777777" w:rsidTr="00686F19">
        <w:tc>
          <w:tcPr>
            <w:tcW w:w="1027" w:type="pct"/>
          </w:tcPr>
          <w:p w14:paraId="4FC1626F" w14:textId="77777777" w:rsidR="00A858AE" w:rsidRPr="004C771B" w:rsidRDefault="003C2451" w:rsidP="004C18D7">
            <w:pPr>
              <w:spacing w:after="200" w:line="276" w:lineRule="auto"/>
            </w:pPr>
            <w:r w:rsidRPr="000F6891">
              <w:t>Section</w:t>
            </w:r>
            <w:r w:rsidR="00CE3603" w:rsidRPr="000F6891">
              <w:t xml:space="preserve"> 3</w:t>
            </w:r>
          </w:p>
        </w:tc>
        <w:tc>
          <w:tcPr>
            <w:tcW w:w="3973" w:type="pct"/>
          </w:tcPr>
          <w:p w14:paraId="56E2A09E" w14:textId="369F9DDD" w:rsidR="004E1E25" w:rsidRPr="004C771B" w:rsidRDefault="004E3BA8" w:rsidP="004C18D7">
            <w:pPr>
              <w:spacing w:after="200" w:line="276" w:lineRule="auto"/>
            </w:pPr>
            <w:r w:rsidRPr="004C771B">
              <w:t>An outline of additional</w:t>
            </w:r>
            <w:r w:rsidR="004E1E25" w:rsidRPr="004C771B">
              <w:t xml:space="preserve"> research</w:t>
            </w:r>
            <w:r w:rsidRPr="004C771B">
              <w:t xml:space="preserve"> findings</w:t>
            </w:r>
            <w:r w:rsidR="004E1E25" w:rsidRPr="004C771B">
              <w:t>.</w:t>
            </w:r>
          </w:p>
        </w:tc>
      </w:tr>
      <w:tr w:rsidR="00A858AE" w:rsidRPr="008D38BD" w14:paraId="50F24BB3" w14:textId="77777777" w:rsidTr="00686F19">
        <w:tc>
          <w:tcPr>
            <w:tcW w:w="1027" w:type="pct"/>
          </w:tcPr>
          <w:p w14:paraId="4F90B180" w14:textId="19273C82" w:rsidR="00A858AE" w:rsidRPr="004C771B" w:rsidRDefault="003C2451" w:rsidP="00FC4A02">
            <w:pPr>
              <w:spacing w:after="200" w:line="276" w:lineRule="auto"/>
            </w:pPr>
            <w:r w:rsidRPr="000F6891">
              <w:t>Section</w:t>
            </w:r>
            <w:r w:rsidR="00CE3603" w:rsidRPr="000F6891">
              <w:t xml:space="preserve"> </w:t>
            </w:r>
            <w:r w:rsidR="007D3ED4" w:rsidRPr="004C771B">
              <w:t>4</w:t>
            </w:r>
          </w:p>
        </w:tc>
        <w:tc>
          <w:tcPr>
            <w:tcW w:w="3973" w:type="pct"/>
          </w:tcPr>
          <w:p w14:paraId="7CF648BF" w14:textId="42558ADE" w:rsidR="002847DE" w:rsidRPr="004C771B" w:rsidRDefault="004E3BA8" w:rsidP="00527C32">
            <w:pPr>
              <w:spacing w:after="200" w:line="276" w:lineRule="auto"/>
            </w:pPr>
            <w:r w:rsidRPr="004C771B">
              <w:t xml:space="preserve">A </w:t>
            </w:r>
            <w:r w:rsidR="002847DE" w:rsidRPr="004C771B">
              <w:t>discuss</w:t>
            </w:r>
            <w:r w:rsidRPr="004C771B">
              <w:t>ion</w:t>
            </w:r>
            <w:r w:rsidR="002847DE" w:rsidRPr="004C771B">
              <w:t xml:space="preserve"> of the research </w:t>
            </w:r>
            <w:r w:rsidRPr="004C771B">
              <w:t xml:space="preserve">implications, specifically </w:t>
            </w:r>
            <w:r w:rsidR="002847DE" w:rsidRPr="004C771B">
              <w:t xml:space="preserve">for the telecommunications industry. </w:t>
            </w:r>
          </w:p>
          <w:p w14:paraId="0F51D202" w14:textId="77777777" w:rsidR="00527C32" w:rsidRPr="004C771B" w:rsidRDefault="00527C32" w:rsidP="00527C32">
            <w:pPr>
              <w:spacing w:after="200" w:line="276" w:lineRule="auto"/>
            </w:pPr>
          </w:p>
        </w:tc>
      </w:tr>
    </w:tbl>
    <w:p w14:paraId="197108A5" w14:textId="77777777" w:rsidR="00133E13" w:rsidRDefault="00133E13" w:rsidP="004C771B"/>
    <w:p w14:paraId="0FB392C0" w14:textId="20654E73" w:rsidR="00A858AE" w:rsidRPr="00133E13" w:rsidRDefault="00FA4E21" w:rsidP="00133E13">
      <w:pPr>
        <w:rPr>
          <w:lang w:val="en-AU"/>
        </w:rPr>
      </w:pPr>
      <w:r w:rsidRPr="008D38BD">
        <w:t>Throughout the report, we</w:t>
      </w:r>
      <w:r w:rsidR="004E3BA8" w:rsidRPr="008D38BD">
        <w:t xml:space="preserve"> use</w:t>
      </w:r>
      <w:r w:rsidRPr="008D38BD">
        <w:t xml:space="preserve"> </w:t>
      </w:r>
      <w:r w:rsidR="004E3BA8" w:rsidRPr="008D38BD">
        <w:t xml:space="preserve">information boxes to </w:t>
      </w:r>
      <w:r w:rsidRPr="008D38BD">
        <w:t>highlight ideas worth sharing</w:t>
      </w:r>
      <w:r w:rsidR="00604028" w:rsidRPr="008D38BD">
        <w:t xml:space="preserve"> and </w:t>
      </w:r>
      <w:r w:rsidR="004E3BA8" w:rsidRPr="008D38BD">
        <w:t xml:space="preserve">provide </w:t>
      </w:r>
      <w:r w:rsidR="00604028" w:rsidRPr="00A71882">
        <w:t>examples of good practice</w:t>
      </w:r>
      <w:r w:rsidR="004E3BA8" w:rsidRPr="005B366E">
        <w:t>.</w:t>
      </w:r>
      <w:r w:rsidRPr="006350B8">
        <w:t xml:space="preserve"> </w:t>
      </w:r>
      <w:r w:rsidR="008D592E" w:rsidRPr="006350B8">
        <w:t xml:space="preserve">In some places, </w:t>
      </w:r>
      <w:r w:rsidR="004E3BA8" w:rsidRPr="006350B8">
        <w:t>organisation</w:t>
      </w:r>
      <w:r w:rsidR="004E3BA8" w:rsidRPr="006350B8" w:rsidDel="004E3BA8">
        <w:t xml:space="preserve"> </w:t>
      </w:r>
      <w:r w:rsidR="008D592E" w:rsidRPr="006350B8">
        <w:t>name</w:t>
      </w:r>
      <w:r w:rsidR="004E3BA8" w:rsidRPr="006350B8">
        <w:t>s</w:t>
      </w:r>
      <w:r w:rsidR="008D592E" w:rsidRPr="006350B8">
        <w:t xml:space="preserve"> </w:t>
      </w:r>
      <w:r w:rsidR="004E3BA8" w:rsidRPr="006350B8">
        <w:t>are</w:t>
      </w:r>
      <w:r w:rsidR="008D592E" w:rsidRPr="006350B8">
        <w:t xml:space="preserve"> used</w:t>
      </w:r>
      <w:r w:rsidR="004E3BA8" w:rsidRPr="006350B8">
        <w:t>, although</w:t>
      </w:r>
      <w:r w:rsidR="008D592E" w:rsidRPr="006350B8">
        <w:t xml:space="preserve"> generally the references are generic.</w:t>
      </w:r>
    </w:p>
    <w:p w14:paraId="7948F942" w14:textId="08746BCA" w:rsidR="00B40BFB" w:rsidRPr="00133E13" w:rsidRDefault="00993EEA" w:rsidP="00133E13">
      <w:pPr>
        <w:pStyle w:val="Heading2"/>
      </w:pPr>
      <w:bookmarkStart w:id="17" w:name="_Toc387144729"/>
      <w:r>
        <w:t>1.</w:t>
      </w:r>
      <w:r w:rsidR="00577D16">
        <w:t>1.5</w:t>
      </w:r>
      <w:r>
        <w:tab/>
      </w:r>
      <w:r w:rsidR="00133E13">
        <w:t xml:space="preserve"> </w:t>
      </w:r>
      <w:r w:rsidR="00C143D0">
        <w:t>How the r</w:t>
      </w:r>
      <w:r>
        <w:t xml:space="preserve">eport </w:t>
      </w:r>
      <w:r w:rsidR="000A67E4">
        <w:t>can</w:t>
      </w:r>
      <w:r w:rsidR="00C143D0">
        <w:t xml:space="preserve"> be u</w:t>
      </w:r>
      <w:r>
        <w:t>sed</w:t>
      </w:r>
      <w:bookmarkEnd w:id="17"/>
    </w:p>
    <w:p w14:paraId="0DB5DAB2" w14:textId="5B5B5BD5" w:rsidR="004E57E5" w:rsidRPr="004C771B" w:rsidRDefault="00FF00F8" w:rsidP="004C771B">
      <w:r w:rsidRPr="000F6891">
        <w:t>F</w:t>
      </w:r>
      <w:r w:rsidR="004E57E5" w:rsidRPr="004C771B">
        <w:t>inancial hardship has been the subject of numerous workshops, conference sessions and reports. There is a legitimate question about what this research</w:t>
      </w:r>
      <w:r w:rsidRPr="004C771B">
        <w:t xml:space="preserve"> study</w:t>
      </w:r>
      <w:r w:rsidR="004E57E5" w:rsidRPr="004C771B">
        <w:t xml:space="preserve"> </w:t>
      </w:r>
      <w:r w:rsidRPr="004C771B">
        <w:t>may</w:t>
      </w:r>
      <w:r w:rsidR="004E57E5" w:rsidRPr="004C771B">
        <w:t xml:space="preserve"> add</w:t>
      </w:r>
      <w:r w:rsidRPr="004C771B">
        <w:t xml:space="preserve"> to the current pool of knowledge</w:t>
      </w:r>
      <w:r w:rsidR="004E57E5" w:rsidRPr="004C771B">
        <w:t xml:space="preserve">. </w:t>
      </w:r>
      <w:r w:rsidRPr="004C771B">
        <w:t>In response to this question we provide an</w:t>
      </w:r>
      <w:r w:rsidR="004E57E5" w:rsidRPr="004C771B">
        <w:t xml:space="preserve"> answer</w:t>
      </w:r>
      <w:r w:rsidRPr="004C771B">
        <w:t>:</w:t>
      </w:r>
      <w:r w:rsidR="004E57E5" w:rsidRPr="004C771B">
        <w:t xml:space="preserve"> </w:t>
      </w:r>
      <w:r w:rsidR="005E2DE8" w:rsidRPr="004C771B">
        <w:t xml:space="preserve">financial hardship is a significant </w:t>
      </w:r>
      <w:r w:rsidR="005E2DE8" w:rsidRPr="004C771B">
        <w:lastRenderedPageBreak/>
        <w:t xml:space="preserve">problem and </w:t>
      </w:r>
      <w:r w:rsidR="004E57E5" w:rsidRPr="004C771B">
        <w:t xml:space="preserve">responses to </w:t>
      </w:r>
      <w:r w:rsidR="005E2DE8" w:rsidRPr="004C771B">
        <w:t>addressing it</w:t>
      </w:r>
      <w:r w:rsidR="00135652" w:rsidRPr="004C771B">
        <w:t xml:space="preserve"> continue to evolve. It is clear that many stakeholders are keen to improve </w:t>
      </w:r>
      <w:r w:rsidRPr="004C771B">
        <w:t>how they operate</w:t>
      </w:r>
      <w:r w:rsidR="00135652" w:rsidRPr="004C771B">
        <w:t xml:space="preserve">, whether that </w:t>
      </w:r>
      <w:r w:rsidR="00C2138E" w:rsidRPr="004C771B">
        <w:t>is</w:t>
      </w:r>
      <w:r w:rsidR="00135652" w:rsidRPr="004C771B">
        <w:t xml:space="preserve"> in responding as a company, as an </w:t>
      </w:r>
      <w:proofErr w:type="spellStart"/>
      <w:r w:rsidR="00135652" w:rsidRPr="004C771B">
        <w:t>EDR</w:t>
      </w:r>
      <w:proofErr w:type="spellEnd"/>
      <w:r w:rsidR="00135652" w:rsidRPr="004C771B">
        <w:t xml:space="preserve"> scheme, or </w:t>
      </w:r>
      <w:r w:rsidRPr="004C771B">
        <w:t xml:space="preserve">contributing to </w:t>
      </w:r>
      <w:r w:rsidR="00135652" w:rsidRPr="004C771B">
        <w:t>the way regulation is framed and enforced.</w:t>
      </w:r>
      <w:r w:rsidR="005E2DE8" w:rsidRPr="004C771B">
        <w:t xml:space="preserve"> This research will contribute towards </w:t>
      </w:r>
      <w:r w:rsidRPr="004C771B">
        <w:t>improved stakeholder operations in relation to hardship policies and practices</w:t>
      </w:r>
      <w:r w:rsidR="005E2DE8" w:rsidRPr="004C771B">
        <w:t>.</w:t>
      </w:r>
    </w:p>
    <w:p w14:paraId="14938973" w14:textId="4CC83798" w:rsidR="00135652" w:rsidRPr="004C771B" w:rsidRDefault="00FF00F8" w:rsidP="004C771B">
      <w:r w:rsidRPr="004C771B">
        <w:t>Specifically,</w:t>
      </w:r>
      <w:r w:rsidR="00C2138E" w:rsidRPr="004C771B">
        <w:t xml:space="preserve"> t</w:t>
      </w:r>
      <w:r w:rsidR="00135652" w:rsidRPr="004C771B">
        <w:t xml:space="preserve">he research </w:t>
      </w:r>
      <w:r w:rsidR="00C2138E" w:rsidRPr="004C771B">
        <w:t>provides</w:t>
      </w:r>
      <w:r w:rsidR="00135652" w:rsidRPr="004C771B">
        <w:t xml:space="preserve"> some suggestions for the telecommu</w:t>
      </w:r>
      <w:r w:rsidR="00A00138" w:rsidRPr="004C771B">
        <w:t xml:space="preserve">nications industry </w:t>
      </w:r>
      <w:r w:rsidR="00C2138E" w:rsidRPr="004C771B">
        <w:t>about</w:t>
      </w:r>
      <w:r w:rsidRPr="004C771B">
        <w:t xml:space="preserve"> how to improve</w:t>
      </w:r>
      <w:r w:rsidR="00C2138E" w:rsidRPr="004C771B">
        <w:t xml:space="preserve"> hardship policies and practices. T</w:t>
      </w:r>
      <w:r w:rsidR="00A00138" w:rsidRPr="004C771B">
        <w:t xml:space="preserve">he financial counselling sector looks forward to </w:t>
      </w:r>
      <w:r w:rsidR="008303AA" w:rsidRPr="004C771B">
        <w:t xml:space="preserve">future </w:t>
      </w:r>
      <w:r w:rsidR="00A00138" w:rsidRPr="004C771B">
        <w:t>work with</w:t>
      </w:r>
      <w:r w:rsidR="008303AA" w:rsidRPr="004C771B">
        <w:t xml:space="preserve"> the telecommunications</w:t>
      </w:r>
      <w:r w:rsidR="00C2138E" w:rsidRPr="004C771B">
        <w:t xml:space="preserve"> industry</w:t>
      </w:r>
      <w:r w:rsidR="00A00138" w:rsidRPr="004C771B">
        <w:t xml:space="preserve"> on this topic.</w:t>
      </w:r>
    </w:p>
    <w:p w14:paraId="7B0CCFC0" w14:textId="77777777" w:rsidR="00992980" w:rsidRDefault="00992980">
      <w:r>
        <w:br w:type="page"/>
      </w:r>
    </w:p>
    <w:p w14:paraId="358AE3D3" w14:textId="7AB4B07E" w:rsidR="003C7308" w:rsidRDefault="00EA741C" w:rsidP="00EA741C">
      <w:pPr>
        <w:pStyle w:val="Heading1"/>
        <w:rPr>
          <w:lang w:val="en-US" w:eastAsia="ja-JP"/>
        </w:rPr>
      </w:pPr>
      <w:bookmarkStart w:id="18" w:name="_Toc387144730"/>
      <w:r>
        <w:rPr>
          <w:lang w:val="en-US" w:eastAsia="ja-JP"/>
        </w:rPr>
        <w:lastRenderedPageBreak/>
        <w:t>1.2</w:t>
      </w:r>
      <w:r w:rsidR="00577D16">
        <w:rPr>
          <w:lang w:val="en-US" w:eastAsia="ja-JP"/>
        </w:rPr>
        <w:tab/>
      </w:r>
      <w:r w:rsidR="00C143D0">
        <w:rPr>
          <w:lang w:val="en-US" w:eastAsia="ja-JP"/>
        </w:rPr>
        <w:t>Why this r</w:t>
      </w:r>
      <w:r w:rsidR="003C7308">
        <w:rPr>
          <w:lang w:val="en-US" w:eastAsia="ja-JP"/>
        </w:rPr>
        <w:t xml:space="preserve">esearch is </w:t>
      </w:r>
      <w:r w:rsidR="00C143D0">
        <w:rPr>
          <w:lang w:val="en-US" w:eastAsia="ja-JP"/>
        </w:rPr>
        <w:t>r</w:t>
      </w:r>
      <w:r w:rsidR="008D38BD">
        <w:rPr>
          <w:lang w:val="en-US" w:eastAsia="ja-JP"/>
        </w:rPr>
        <w:t>elevant</w:t>
      </w:r>
      <w:r w:rsidR="00C143D0">
        <w:rPr>
          <w:lang w:val="en-US" w:eastAsia="ja-JP"/>
        </w:rPr>
        <w:t>: Financial stress in the c</w:t>
      </w:r>
      <w:r w:rsidR="003C7308">
        <w:rPr>
          <w:lang w:val="en-US" w:eastAsia="ja-JP"/>
        </w:rPr>
        <w:t>ommunity</w:t>
      </w:r>
      <w:bookmarkEnd w:id="18"/>
    </w:p>
    <w:p w14:paraId="2C52DEDC" w14:textId="77777777" w:rsidR="00FA68A4" w:rsidRDefault="00FA68A4" w:rsidP="00FA68A4">
      <w:pPr>
        <w:rPr>
          <w:lang w:val="en-US" w:eastAsia="ja-JP"/>
        </w:rPr>
      </w:pPr>
    </w:p>
    <w:p w14:paraId="4B8D343A" w14:textId="26EBEC4F" w:rsidR="00070495" w:rsidRPr="00133E13" w:rsidRDefault="00EA741C" w:rsidP="00133E13">
      <w:pPr>
        <w:pStyle w:val="Heading2"/>
        <w:rPr>
          <w:lang w:val="en-US" w:eastAsia="ja-JP"/>
        </w:rPr>
      </w:pPr>
      <w:bookmarkStart w:id="19" w:name="_Toc387144731"/>
      <w:r>
        <w:t>1.</w:t>
      </w:r>
      <w:r w:rsidR="002A6E29">
        <w:t>2.1</w:t>
      </w:r>
      <w:r w:rsidR="00133E13">
        <w:t xml:space="preserve"> </w:t>
      </w:r>
      <w:r w:rsidR="00C143D0">
        <w:t>Causes of financial d</w:t>
      </w:r>
      <w:r w:rsidR="002A6E29">
        <w:t>ifficulty</w:t>
      </w:r>
      <w:bookmarkEnd w:id="19"/>
    </w:p>
    <w:p w14:paraId="6F92CC0C" w14:textId="1B4B4986" w:rsidR="002A6E29" w:rsidRPr="004C771B" w:rsidRDefault="00F01C14" w:rsidP="004C771B">
      <w:r w:rsidRPr="000F6891">
        <w:t xml:space="preserve">Financial counsellors report that the </w:t>
      </w:r>
      <w:r w:rsidR="00A32657" w:rsidRPr="000F6891">
        <w:t xml:space="preserve">most </w:t>
      </w:r>
      <w:r w:rsidRPr="004C771B">
        <w:t xml:space="preserve">common </w:t>
      </w:r>
      <w:r w:rsidR="00A32657" w:rsidRPr="004C771B">
        <w:t xml:space="preserve">cause of financial difficulty is a change of circumstances in a person’s life: </w:t>
      </w:r>
      <w:r w:rsidRPr="004C771B">
        <w:t xml:space="preserve">unemployment, illness or relationship breakdown. Many clients are </w:t>
      </w:r>
      <w:r w:rsidR="00A32657" w:rsidRPr="004C771B">
        <w:t xml:space="preserve">also </w:t>
      </w:r>
      <w:r w:rsidRPr="004C771B">
        <w:t xml:space="preserve">on very low incomes, such as the </w:t>
      </w:r>
      <w:proofErr w:type="spellStart"/>
      <w:r w:rsidRPr="004C771B">
        <w:t>NewStart</w:t>
      </w:r>
      <w:proofErr w:type="spellEnd"/>
      <w:r w:rsidRPr="004C771B">
        <w:t xml:space="preserve"> allowance</w:t>
      </w:r>
      <w:r w:rsidR="00035500" w:rsidRPr="004C771B">
        <w:t xml:space="preserve"> and find it hard to make ends meet</w:t>
      </w:r>
      <w:r w:rsidRPr="004C771B">
        <w:t xml:space="preserve">. </w:t>
      </w:r>
      <w:r w:rsidR="00B16012" w:rsidRPr="004C771B">
        <w:t>Small business failure</w:t>
      </w:r>
      <w:r w:rsidR="00035500" w:rsidRPr="004C771B">
        <w:t xml:space="preserve">, </w:t>
      </w:r>
      <w:r w:rsidR="00394A2F" w:rsidRPr="004C771B">
        <w:t xml:space="preserve">exploitation or </w:t>
      </w:r>
      <w:r w:rsidR="00B16012" w:rsidRPr="004C771B">
        <w:t>poor advice (</w:t>
      </w:r>
      <w:r w:rsidR="00133E13">
        <w:t>i.e.</w:t>
      </w:r>
      <w:r w:rsidR="00A83C96" w:rsidRPr="004C771B">
        <w:t xml:space="preserve"> </w:t>
      </w:r>
      <w:r w:rsidR="00B16012" w:rsidRPr="004C771B">
        <w:t xml:space="preserve">from a financial planner) may also be factors </w:t>
      </w:r>
      <w:r w:rsidR="00A32657" w:rsidRPr="004C771B">
        <w:t>that lead to financial difficulty</w:t>
      </w:r>
      <w:r w:rsidR="00B16012" w:rsidRPr="004C771B">
        <w:t>.</w:t>
      </w:r>
    </w:p>
    <w:p w14:paraId="4E6CA7B8" w14:textId="4B07B161" w:rsidR="002A6E29" w:rsidRPr="00086E46" w:rsidRDefault="00EB7C22" w:rsidP="00086E46">
      <w:r w:rsidRPr="004C771B">
        <w:t xml:space="preserve">Financial counsellors </w:t>
      </w:r>
      <w:r w:rsidR="00A32657" w:rsidRPr="004C771B">
        <w:t>also</w:t>
      </w:r>
      <w:r w:rsidRPr="004C771B">
        <w:t xml:space="preserve"> note that financial difficulty can affect </w:t>
      </w:r>
      <w:r w:rsidR="00A83C96" w:rsidRPr="004C771B">
        <w:t>almost</w:t>
      </w:r>
      <w:r w:rsidRPr="004C771B">
        <w:t xml:space="preserve"> </w:t>
      </w:r>
      <w:r w:rsidR="00A83C96" w:rsidRPr="004C771B">
        <w:t>any</w:t>
      </w:r>
      <w:r w:rsidRPr="004C771B">
        <w:t>one</w:t>
      </w:r>
      <w:r w:rsidR="00A83C96" w:rsidRPr="004C771B">
        <w:t xml:space="preserve"> – an observation</w:t>
      </w:r>
      <w:r w:rsidRPr="004C771B">
        <w:t xml:space="preserve"> reinforced by data from the Australian Bureau of Statistics </w:t>
      </w:r>
      <w:r w:rsidR="0085262F" w:rsidRPr="004C771B">
        <w:t xml:space="preserve">(ABS) </w:t>
      </w:r>
      <w:r w:rsidRPr="004C771B">
        <w:t>in the General Social Survey.</w:t>
      </w:r>
      <w:r w:rsidRPr="00086E46">
        <w:rPr>
          <w:rStyle w:val="FootnoteReference"/>
          <w:sz w:val="24"/>
          <w:szCs w:val="24"/>
          <w:lang w:val="en-US" w:eastAsia="ja-JP"/>
        </w:rPr>
        <w:footnoteReference w:id="4"/>
      </w:r>
      <w:r w:rsidRPr="000F6891">
        <w:t xml:space="preserve"> </w:t>
      </w:r>
      <w:r w:rsidRPr="004C771B">
        <w:t xml:space="preserve">One of the </w:t>
      </w:r>
      <w:r w:rsidR="001F4DED" w:rsidRPr="004C771B">
        <w:t xml:space="preserve">factors measured in the survey is the </w:t>
      </w:r>
      <w:r w:rsidR="00A83C96" w:rsidRPr="004C771B">
        <w:t xml:space="preserve">population </w:t>
      </w:r>
      <w:r w:rsidR="001F4DED" w:rsidRPr="004C771B">
        <w:t xml:space="preserve">prevalence of </w:t>
      </w:r>
      <w:r w:rsidR="00DA0C85" w:rsidRPr="004C771B">
        <w:t>‘</w:t>
      </w:r>
      <w:r w:rsidR="001F4DED" w:rsidRPr="004C771B">
        <w:t>personal stressors</w:t>
      </w:r>
      <w:r w:rsidR="00DA0C85" w:rsidRPr="004C771B">
        <w:t>’</w:t>
      </w:r>
      <w:r w:rsidR="001F4DED" w:rsidRPr="004C771B">
        <w:t xml:space="preserve">. </w:t>
      </w:r>
      <w:r w:rsidR="006906A2" w:rsidRPr="004C771B">
        <w:t>According to</w:t>
      </w:r>
      <w:r w:rsidR="001F4DED" w:rsidRPr="004C771B">
        <w:t xml:space="preserve"> the most recent survey (2009-10), over 60% of </w:t>
      </w:r>
      <w:r w:rsidR="006906A2" w:rsidRPr="004C771B">
        <w:t xml:space="preserve">Australian </w:t>
      </w:r>
      <w:r w:rsidR="001F4DED" w:rsidRPr="004C771B">
        <w:t>adult</w:t>
      </w:r>
      <w:r w:rsidR="006906A2" w:rsidRPr="004C771B">
        <w:t>s</w:t>
      </w:r>
      <w:r w:rsidR="001F4DED" w:rsidRPr="004C771B">
        <w:t xml:space="preserve"> ha</w:t>
      </w:r>
      <w:r w:rsidR="006906A2" w:rsidRPr="004C771B">
        <w:t>ve</w:t>
      </w:r>
      <w:r w:rsidR="001F4DED" w:rsidRPr="004C771B">
        <w:t xml:space="preserve"> experienced at least one personal stressor</w:t>
      </w:r>
      <w:r w:rsidR="006906A2" w:rsidRPr="004C771B">
        <w:t xml:space="preserve"> – </w:t>
      </w:r>
      <w:r w:rsidR="00C63745" w:rsidRPr="004C771B">
        <w:t>23% of the adult population ha</w:t>
      </w:r>
      <w:r w:rsidR="006906A2" w:rsidRPr="004C771B">
        <w:t>ve</w:t>
      </w:r>
      <w:r w:rsidR="00C63745" w:rsidRPr="004C771B">
        <w:t xml:space="preserve"> experienced a serious illness, 11% ha</w:t>
      </w:r>
      <w:r w:rsidR="006906A2" w:rsidRPr="004C771B">
        <w:t>ve</w:t>
      </w:r>
      <w:r w:rsidR="00C63745" w:rsidRPr="004C771B">
        <w:t xml:space="preserve"> experienced a divorce or separation,13% ha</w:t>
      </w:r>
      <w:r w:rsidR="006906A2" w:rsidRPr="004C771B">
        <w:t>ve</w:t>
      </w:r>
      <w:r w:rsidR="00C63745" w:rsidRPr="004C771B">
        <w:t xml:space="preserve"> experienced a mental illness</w:t>
      </w:r>
      <w:r w:rsidR="001220A0" w:rsidRPr="004C771B">
        <w:t>, 7% ha</w:t>
      </w:r>
      <w:r w:rsidR="006906A2" w:rsidRPr="004C771B">
        <w:t>ve</w:t>
      </w:r>
      <w:r w:rsidR="001220A0" w:rsidRPr="004C771B">
        <w:t xml:space="preserve"> experienced a serious disability</w:t>
      </w:r>
      <w:r w:rsidR="00C63745" w:rsidRPr="004C771B">
        <w:t xml:space="preserve"> and 15% ha</w:t>
      </w:r>
      <w:r w:rsidR="006906A2" w:rsidRPr="004C771B">
        <w:t>ve</w:t>
      </w:r>
      <w:r w:rsidR="00C63745" w:rsidRPr="004C771B">
        <w:t xml:space="preserve"> been unable to </w:t>
      </w:r>
      <w:r w:rsidR="006906A2" w:rsidRPr="004C771B">
        <w:t>find employment</w:t>
      </w:r>
      <w:r w:rsidR="00C63745" w:rsidRPr="004C771B">
        <w:t>.</w:t>
      </w:r>
      <w:r w:rsidR="006906A2" w:rsidRPr="004C771B">
        <w:t xml:space="preserve"> It is important to note that some people will experience more than one stressor.</w:t>
      </w:r>
    </w:p>
    <w:p w14:paraId="5E94CDEE" w14:textId="126B0E6D" w:rsidR="00FA68A4" w:rsidRDefault="00EA741C" w:rsidP="00086E46">
      <w:pPr>
        <w:pStyle w:val="Heading2"/>
      </w:pPr>
      <w:bookmarkStart w:id="20" w:name="_Toc387144732"/>
      <w:r>
        <w:t>1.</w:t>
      </w:r>
      <w:r w:rsidR="00FA68A4">
        <w:t>2.</w:t>
      </w:r>
      <w:r w:rsidR="00DC6793">
        <w:t>2</w:t>
      </w:r>
      <w:r w:rsidR="00086E46">
        <w:t xml:space="preserve"> </w:t>
      </w:r>
      <w:r w:rsidR="00C143D0">
        <w:t>Who is doing it t</w:t>
      </w:r>
      <w:r w:rsidR="00B16012">
        <w:t>ough?</w:t>
      </w:r>
      <w:r w:rsidR="00C143D0">
        <w:t xml:space="preserve"> ABS d</w:t>
      </w:r>
      <w:r w:rsidR="00DC6793">
        <w:t>ata</w:t>
      </w:r>
      <w:bookmarkEnd w:id="20"/>
    </w:p>
    <w:p w14:paraId="0DAD1BB9" w14:textId="216BBA85" w:rsidR="001F4DED" w:rsidRPr="004C771B" w:rsidRDefault="001F4DED" w:rsidP="004C771B">
      <w:r w:rsidRPr="000F6891">
        <w:t xml:space="preserve">Some people can manage through a financial crisis </w:t>
      </w:r>
      <w:r w:rsidR="006906A2" w:rsidRPr="004C771B">
        <w:t>due to</w:t>
      </w:r>
      <w:r w:rsidRPr="004C771B">
        <w:t xml:space="preserve"> the support of family and friends, or because they have a financial buffer, such as insurance or savings.</w:t>
      </w:r>
      <w:r w:rsidR="0084798C" w:rsidRPr="004C771B">
        <w:t xml:space="preserve"> They may need additional time or assistance to access support</w:t>
      </w:r>
      <w:r w:rsidR="00B53C72" w:rsidRPr="004C771B">
        <w:t xml:space="preserve"> or additional resources</w:t>
      </w:r>
      <w:r w:rsidR="0084798C" w:rsidRPr="004C771B">
        <w:t xml:space="preserve">, but can </w:t>
      </w:r>
      <w:r w:rsidR="00B80E73" w:rsidRPr="004C771B">
        <w:t xml:space="preserve">ultimately </w:t>
      </w:r>
      <w:r w:rsidR="00CE07F1" w:rsidRPr="004C771B">
        <w:t>overcome any financial problems</w:t>
      </w:r>
      <w:r w:rsidR="0084798C" w:rsidRPr="004C771B">
        <w:t>.</w:t>
      </w:r>
      <w:r w:rsidRPr="004C771B">
        <w:t xml:space="preserve"> There are</w:t>
      </w:r>
      <w:r w:rsidR="006906A2" w:rsidRPr="004C771B">
        <w:t>,</w:t>
      </w:r>
      <w:r w:rsidRPr="004C771B">
        <w:t xml:space="preserve"> however</w:t>
      </w:r>
      <w:r w:rsidR="006906A2" w:rsidRPr="004C771B">
        <w:t>,</w:t>
      </w:r>
      <w:r w:rsidRPr="004C771B">
        <w:t xml:space="preserve"> large groups of Australians </w:t>
      </w:r>
      <w:r w:rsidR="00944424" w:rsidRPr="004C771B">
        <w:t xml:space="preserve">for whom financial difficulty is </w:t>
      </w:r>
      <w:proofErr w:type="spellStart"/>
      <w:r w:rsidR="00944424" w:rsidRPr="004C771B">
        <w:t>ongoing</w:t>
      </w:r>
      <w:proofErr w:type="spellEnd"/>
      <w:r w:rsidR="0084798C" w:rsidRPr="004C771B">
        <w:t>.</w:t>
      </w:r>
      <w:r w:rsidR="00997B69" w:rsidRPr="004C771B">
        <w:t xml:space="preserve"> To use a vernacular Australian term – they are </w:t>
      </w:r>
      <w:r w:rsidR="006906A2" w:rsidRPr="004C771B">
        <w:t>‘</w:t>
      </w:r>
      <w:r w:rsidR="00997B69" w:rsidRPr="004C771B">
        <w:t>doing it tough</w:t>
      </w:r>
      <w:r w:rsidR="00DA0C85" w:rsidRPr="004C771B">
        <w:t>’</w:t>
      </w:r>
      <w:r w:rsidR="00997B69" w:rsidRPr="004C771B">
        <w:t>.</w:t>
      </w:r>
    </w:p>
    <w:p w14:paraId="450D5023" w14:textId="49FBBAB2" w:rsidR="00431880" w:rsidRPr="004C771B" w:rsidRDefault="0085262F" w:rsidP="004C771B">
      <w:r w:rsidRPr="004C771B">
        <w:t>T</w:t>
      </w:r>
      <w:r w:rsidR="00394A2F" w:rsidRPr="004C771B">
        <w:t xml:space="preserve">he </w:t>
      </w:r>
      <w:r w:rsidRPr="004C771B">
        <w:t xml:space="preserve">ABS </w:t>
      </w:r>
      <w:r w:rsidR="00394A2F" w:rsidRPr="004C771B">
        <w:t>General Social Survey</w:t>
      </w:r>
      <w:r w:rsidR="00F201BD" w:rsidRPr="00E86586">
        <w:rPr>
          <w:rStyle w:val="FootnoteReference"/>
          <w:sz w:val="24"/>
          <w:szCs w:val="24"/>
          <w:lang w:val="en-US" w:eastAsia="ja-JP"/>
        </w:rPr>
        <w:footnoteReference w:id="5"/>
      </w:r>
      <w:r w:rsidR="00E86586">
        <w:t xml:space="preserve"> </w:t>
      </w:r>
      <w:r w:rsidR="00944424" w:rsidRPr="000F6891">
        <w:t xml:space="preserve">provides an insight into exactly which groups </w:t>
      </w:r>
      <w:r w:rsidR="00997B69" w:rsidRPr="004C771B">
        <w:t>in Australia are most affected by financial stress</w:t>
      </w:r>
      <w:r w:rsidRPr="004C771B">
        <w:t xml:space="preserve">. </w:t>
      </w:r>
      <w:r w:rsidR="00CE07F1" w:rsidRPr="004C771B">
        <w:t xml:space="preserve">Perhaps not surprisingly, the survey shows that </w:t>
      </w:r>
      <w:r w:rsidR="006906A2" w:rsidRPr="004C771B">
        <w:t>single</w:t>
      </w:r>
      <w:r w:rsidR="00F03BC7" w:rsidRPr="004C771B">
        <w:t xml:space="preserve"> parent households </w:t>
      </w:r>
      <w:r w:rsidR="00CE07F1" w:rsidRPr="004C771B">
        <w:t>experience the highest levels of financial stress</w:t>
      </w:r>
      <w:r w:rsidRPr="004C771B">
        <w:t xml:space="preserve">. </w:t>
      </w:r>
      <w:r w:rsidR="00A37F4B" w:rsidRPr="004C771B">
        <w:t xml:space="preserve">For example, 41% of </w:t>
      </w:r>
      <w:r w:rsidR="006906A2" w:rsidRPr="004C771B">
        <w:t xml:space="preserve">single </w:t>
      </w:r>
      <w:r w:rsidR="00A37F4B" w:rsidRPr="004C771B">
        <w:t xml:space="preserve">parent households could not raise $2,000 </w:t>
      </w:r>
      <w:r w:rsidR="006906A2" w:rsidRPr="004C771B">
        <w:t xml:space="preserve">if </w:t>
      </w:r>
      <w:r w:rsidR="004859A9">
        <w:t>required</w:t>
      </w:r>
      <w:r w:rsidR="00A37F4B" w:rsidRPr="000F6891">
        <w:t xml:space="preserve">. </w:t>
      </w:r>
      <w:r w:rsidR="00F25EF7" w:rsidRPr="004C771B">
        <w:t>This contrasted with the 11% of couple households who reported the same situation.</w:t>
      </w:r>
    </w:p>
    <w:p w14:paraId="2AC836F1" w14:textId="054E11FB" w:rsidR="00431880" w:rsidRPr="004C771B" w:rsidRDefault="00431880" w:rsidP="004C771B">
      <w:r w:rsidRPr="004C771B">
        <w:t>Although some high income households</w:t>
      </w:r>
      <w:r w:rsidR="00F25EF7" w:rsidRPr="004C771B">
        <w:t xml:space="preserve"> reported financial stressors, </w:t>
      </w:r>
      <w:r w:rsidR="006906A2" w:rsidRPr="004C771B">
        <w:t>un</w:t>
      </w:r>
      <w:r w:rsidRPr="004C771B">
        <w:t>surprisingly</w:t>
      </w:r>
      <w:r w:rsidR="006906A2" w:rsidRPr="004C771B">
        <w:t>,</w:t>
      </w:r>
      <w:r w:rsidRPr="004C771B">
        <w:t xml:space="preserve"> low income households in the lowest quintile ha</w:t>
      </w:r>
      <w:r w:rsidR="00F472D7" w:rsidRPr="004C771B">
        <w:t xml:space="preserve">d the </w:t>
      </w:r>
      <w:r w:rsidR="001503A8" w:rsidRPr="004C771B">
        <w:t xml:space="preserve">highest amount of </w:t>
      </w:r>
      <w:r w:rsidR="00F472D7" w:rsidRPr="004C771B">
        <w:t xml:space="preserve">financial stress. </w:t>
      </w:r>
      <w:r w:rsidR="001503A8" w:rsidRPr="004C771B">
        <w:t>A larger number of low income</w:t>
      </w:r>
      <w:r w:rsidR="001D0097" w:rsidRPr="004C771B">
        <w:t xml:space="preserve"> households</w:t>
      </w:r>
      <w:r w:rsidR="00F472D7" w:rsidRPr="004C771B">
        <w:t xml:space="preserve"> report</w:t>
      </w:r>
      <w:r w:rsidR="001503A8" w:rsidRPr="004C771B">
        <w:t>ed</w:t>
      </w:r>
      <w:r w:rsidR="00F472D7" w:rsidRPr="004C771B">
        <w:t xml:space="preserve"> that they had experienced cash flow problems</w:t>
      </w:r>
      <w:r w:rsidR="001503A8" w:rsidRPr="004C771B">
        <w:t>.</w:t>
      </w:r>
      <w:r w:rsidR="001D0097" w:rsidRPr="004C771B">
        <w:rPr>
          <w:rStyle w:val="FootnoteReference"/>
          <w:sz w:val="24"/>
          <w:szCs w:val="24"/>
        </w:rPr>
        <w:footnoteReference w:id="6"/>
      </w:r>
      <w:r w:rsidR="0084798C" w:rsidRPr="000F6891">
        <w:t xml:space="preserve"> </w:t>
      </w:r>
      <w:r w:rsidR="001503A8" w:rsidRPr="000F6891">
        <w:t xml:space="preserve">These problems </w:t>
      </w:r>
      <w:r w:rsidR="001503A8" w:rsidRPr="004C771B">
        <w:lastRenderedPageBreak/>
        <w:t xml:space="preserve">included </w:t>
      </w:r>
      <w:r w:rsidR="00F472D7" w:rsidRPr="004C771B">
        <w:t xml:space="preserve">not </w:t>
      </w:r>
      <w:r w:rsidR="001503A8" w:rsidRPr="004C771B">
        <w:t xml:space="preserve">being able to </w:t>
      </w:r>
      <w:r w:rsidR="00F472D7" w:rsidRPr="004C771B">
        <w:t>pay a bill on time</w:t>
      </w:r>
      <w:r w:rsidR="00275F90" w:rsidRPr="004C771B">
        <w:t xml:space="preserve">, </w:t>
      </w:r>
      <w:r w:rsidR="001503A8" w:rsidRPr="004C771B">
        <w:t>sacrificing a</w:t>
      </w:r>
      <w:r w:rsidR="00275F90" w:rsidRPr="004C771B">
        <w:t xml:space="preserve"> meal, or not being able to heat their home</w:t>
      </w:r>
      <w:r w:rsidR="0084798C" w:rsidRPr="004C771B">
        <w:t>. They were</w:t>
      </w:r>
      <w:r w:rsidR="00F472D7" w:rsidRPr="004C771B">
        <w:t xml:space="preserve"> </w:t>
      </w:r>
      <w:r w:rsidR="0084798C" w:rsidRPr="004C771B">
        <w:t>also</w:t>
      </w:r>
      <w:r w:rsidR="00F472D7" w:rsidRPr="004C771B">
        <w:t xml:space="preserve"> </w:t>
      </w:r>
      <w:r w:rsidR="00F25EF7" w:rsidRPr="004C771B">
        <w:t>more likely to have</w:t>
      </w:r>
      <w:r w:rsidR="00F472D7" w:rsidRPr="004C771B">
        <w:t xml:space="preserve"> engaged in a dissaving action</w:t>
      </w:r>
      <w:r w:rsidR="001503A8" w:rsidRPr="004C771B">
        <w:t>,</w:t>
      </w:r>
      <w:r w:rsidR="00F472D7" w:rsidRPr="004C771B">
        <w:rPr>
          <w:rStyle w:val="FootnoteReference"/>
          <w:sz w:val="24"/>
          <w:szCs w:val="24"/>
        </w:rPr>
        <w:footnoteReference w:id="7"/>
      </w:r>
      <w:r w:rsidR="00F472D7" w:rsidRPr="000F6891">
        <w:t xml:space="preserve"> such as increasing credit card debt.</w:t>
      </w:r>
      <w:r w:rsidR="00275F90" w:rsidRPr="004C771B">
        <w:t xml:space="preserve"> </w:t>
      </w:r>
    </w:p>
    <w:p w14:paraId="6FAEA55F" w14:textId="39565866" w:rsidR="00275F90" w:rsidRPr="00956717" w:rsidRDefault="00275F90" w:rsidP="00956717">
      <w:r w:rsidRPr="004C771B">
        <w:t>S</w:t>
      </w:r>
      <w:r w:rsidR="001503A8" w:rsidRPr="004C771B">
        <w:t>ingle</w:t>
      </w:r>
      <w:r w:rsidRPr="004C771B">
        <w:t xml:space="preserve"> parent families</w:t>
      </w:r>
      <w:r w:rsidR="00F25EF7" w:rsidRPr="004C771B">
        <w:t xml:space="preserve"> </w:t>
      </w:r>
      <w:r w:rsidRPr="004C771B">
        <w:t xml:space="preserve">were more likely to follow a budget </w:t>
      </w:r>
      <w:r w:rsidR="001503A8" w:rsidRPr="004C771B">
        <w:t>than</w:t>
      </w:r>
      <w:r w:rsidRPr="004C771B">
        <w:t xml:space="preserve"> couple families (</w:t>
      </w:r>
      <w:r w:rsidR="001503A8" w:rsidRPr="004C771B">
        <w:t xml:space="preserve">58.5% compared to </w:t>
      </w:r>
      <w:r w:rsidRPr="004C771B">
        <w:t>49.4%</w:t>
      </w:r>
      <w:r w:rsidR="006B6402">
        <w:t xml:space="preserve"> respectively</w:t>
      </w:r>
      <w:r w:rsidRPr="004C771B">
        <w:t>)</w:t>
      </w:r>
      <w:r w:rsidR="00437D16" w:rsidRPr="004C771B">
        <w:t>.</w:t>
      </w:r>
      <w:r w:rsidRPr="004C771B">
        <w:t xml:space="preserve"> </w:t>
      </w:r>
      <w:r w:rsidR="00437D16" w:rsidRPr="004C771B">
        <w:t>H</w:t>
      </w:r>
      <w:r w:rsidR="001503A8" w:rsidRPr="004C771B">
        <w:t>owever,</w:t>
      </w:r>
      <w:r w:rsidRPr="004C771B">
        <w:t xml:space="preserve"> </w:t>
      </w:r>
      <w:r w:rsidR="001503A8" w:rsidRPr="004C771B">
        <w:t xml:space="preserve">single </w:t>
      </w:r>
      <w:r w:rsidRPr="004C771B">
        <w:t>parent families wer</w:t>
      </w:r>
      <w:r w:rsidR="001D0097" w:rsidRPr="004C771B">
        <w:t xml:space="preserve">e less able to take other </w:t>
      </w:r>
      <w:r w:rsidR="001503A8" w:rsidRPr="004C771B">
        <w:t>‘</w:t>
      </w:r>
      <w:r w:rsidR="001D0097" w:rsidRPr="004C771B">
        <w:t>financial resilience actions</w:t>
      </w:r>
      <w:r w:rsidR="001503A8" w:rsidRPr="004C771B">
        <w:t>’,</w:t>
      </w:r>
      <w:r w:rsidRPr="004C771B">
        <w:t xml:space="preserve"> such as regular saving, making voluntary superannuation contributions or paying more than the </w:t>
      </w:r>
      <w:r w:rsidR="00437D16" w:rsidRPr="004C771B">
        <w:t xml:space="preserve">requisite </w:t>
      </w:r>
      <w:r w:rsidRPr="004C771B">
        <w:t>minimum on credit card repayments.</w:t>
      </w:r>
    </w:p>
    <w:p w14:paraId="3770137A" w14:textId="78B67E77" w:rsidR="00643B1C" w:rsidRDefault="00EA741C" w:rsidP="00956717">
      <w:pPr>
        <w:pStyle w:val="Heading2"/>
      </w:pPr>
      <w:bookmarkStart w:id="21" w:name="_Toc387144733"/>
      <w:r>
        <w:t>1.</w:t>
      </w:r>
      <w:r w:rsidR="00DC6793">
        <w:t>2.3</w:t>
      </w:r>
      <w:r w:rsidR="00956717">
        <w:t xml:space="preserve"> </w:t>
      </w:r>
      <w:r w:rsidR="00C143D0">
        <w:t>Other relevant d</w:t>
      </w:r>
      <w:r w:rsidR="00DC6793">
        <w:t>ata</w:t>
      </w:r>
      <w:bookmarkEnd w:id="21"/>
    </w:p>
    <w:p w14:paraId="03A87BC6" w14:textId="78A23718" w:rsidR="00035500" w:rsidRPr="00956717" w:rsidRDefault="00956717" w:rsidP="00956717">
      <w:r>
        <w:t xml:space="preserve">Other relevant </w:t>
      </w:r>
      <w:r w:rsidR="00DC6793" w:rsidRPr="008D38BD">
        <w:t>data sources i</w:t>
      </w:r>
      <w:r w:rsidR="009174F3" w:rsidRPr="00A71882">
        <w:t>nclude research from:</w:t>
      </w:r>
    </w:p>
    <w:p w14:paraId="71A1044A" w14:textId="7B4D09CB" w:rsidR="00035500" w:rsidRPr="004C771B" w:rsidRDefault="009174F3" w:rsidP="00231A16">
      <w:pPr>
        <w:pStyle w:val="Body"/>
        <w:numPr>
          <w:ilvl w:val="0"/>
          <w:numId w:val="7"/>
        </w:numPr>
        <w:tabs>
          <w:tab w:val="left" w:pos="9356"/>
        </w:tabs>
        <w:ind w:right="4"/>
        <w:rPr>
          <w:rFonts w:ascii="Calibri" w:hAnsi="Calibri"/>
          <w:sz w:val="22"/>
          <w:szCs w:val="22"/>
        </w:rPr>
      </w:pPr>
      <w:r w:rsidRPr="004C771B">
        <w:rPr>
          <w:rFonts w:ascii="Calibri" w:hAnsi="Calibri"/>
          <w:sz w:val="22"/>
          <w:szCs w:val="22"/>
        </w:rPr>
        <w:t xml:space="preserve">the </w:t>
      </w:r>
      <w:r w:rsidR="00035500" w:rsidRPr="004C771B">
        <w:rPr>
          <w:rFonts w:ascii="Calibri" w:hAnsi="Calibri"/>
          <w:sz w:val="22"/>
          <w:szCs w:val="22"/>
        </w:rPr>
        <w:t>Australian Council of Social Service</w:t>
      </w:r>
      <w:r w:rsidR="001D0097" w:rsidRPr="004C771B">
        <w:rPr>
          <w:rFonts w:ascii="Calibri" w:hAnsi="Calibri"/>
          <w:sz w:val="22"/>
          <w:szCs w:val="22"/>
        </w:rPr>
        <w:t xml:space="preserve"> (</w:t>
      </w:r>
      <w:proofErr w:type="spellStart"/>
      <w:r w:rsidR="001D0097" w:rsidRPr="004C771B">
        <w:rPr>
          <w:rFonts w:ascii="Calibri" w:hAnsi="Calibri"/>
          <w:sz w:val="22"/>
          <w:szCs w:val="22"/>
        </w:rPr>
        <w:t>ACOSS</w:t>
      </w:r>
      <w:proofErr w:type="spellEnd"/>
      <w:r w:rsidR="001D0097" w:rsidRPr="004C771B">
        <w:rPr>
          <w:rFonts w:ascii="Calibri" w:hAnsi="Calibri"/>
          <w:sz w:val="22"/>
          <w:szCs w:val="22"/>
        </w:rPr>
        <w:t>)</w:t>
      </w:r>
      <w:r w:rsidR="00437D16" w:rsidRPr="004C771B">
        <w:rPr>
          <w:rFonts w:ascii="Calibri" w:hAnsi="Calibri"/>
          <w:sz w:val="22"/>
          <w:szCs w:val="22"/>
        </w:rPr>
        <w:t>, who</w:t>
      </w:r>
      <w:r w:rsidRPr="004C771B">
        <w:rPr>
          <w:rFonts w:ascii="Calibri" w:hAnsi="Calibri"/>
          <w:sz w:val="22"/>
          <w:szCs w:val="22"/>
        </w:rPr>
        <w:t xml:space="preserve"> </w:t>
      </w:r>
      <w:r w:rsidR="00035500" w:rsidRPr="004C771B">
        <w:rPr>
          <w:rFonts w:ascii="Calibri" w:hAnsi="Calibri"/>
          <w:sz w:val="22"/>
          <w:szCs w:val="22"/>
        </w:rPr>
        <w:t>estimate that 2.2 million people (12.8% of the population) live below the poverty line;</w:t>
      </w:r>
      <w:r w:rsidR="00035500" w:rsidRPr="004C771B">
        <w:rPr>
          <w:rStyle w:val="FootnoteReference"/>
          <w:rFonts w:ascii="Calibri" w:hAnsi="Calibri"/>
          <w:sz w:val="22"/>
          <w:szCs w:val="22"/>
        </w:rPr>
        <w:footnoteReference w:id="8"/>
      </w:r>
    </w:p>
    <w:p w14:paraId="492E6EE9" w14:textId="77777777" w:rsidR="00035500" w:rsidRPr="004C771B" w:rsidRDefault="00035500" w:rsidP="00035500">
      <w:pPr>
        <w:pStyle w:val="Body"/>
        <w:tabs>
          <w:tab w:val="left" w:pos="9356"/>
        </w:tabs>
        <w:ind w:left="851" w:right="4"/>
        <w:rPr>
          <w:rFonts w:ascii="Calibri" w:hAnsi="Calibri"/>
          <w:sz w:val="22"/>
          <w:szCs w:val="22"/>
        </w:rPr>
      </w:pPr>
    </w:p>
    <w:p w14:paraId="24E5DD09" w14:textId="01FB7289" w:rsidR="00DB6EA0" w:rsidRDefault="009174F3" w:rsidP="004C771B">
      <w:pPr>
        <w:pStyle w:val="Body"/>
        <w:numPr>
          <w:ilvl w:val="0"/>
          <w:numId w:val="7"/>
        </w:numPr>
        <w:tabs>
          <w:tab w:val="left" w:pos="9356"/>
        </w:tabs>
        <w:ind w:right="4"/>
        <w:rPr>
          <w:rFonts w:ascii="Calibri" w:hAnsi="Calibri"/>
          <w:sz w:val="22"/>
          <w:szCs w:val="22"/>
        </w:rPr>
      </w:pPr>
      <w:r w:rsidRPr="004C771B">
        <w:rPr>
          <w:rFonts w:ascii="Calibri" w:hAnsi="Calibri"/>
          <w:sz w:val="22"/>
          <w:szCs w:val="22"/>
        </w:rPr>
        <w:t xml:space="preserve">the </w:t>
      </w:r>
      <w:r w:rsidR="00035500" w:rsidRPr="004C771B">
        <w:rPr>
          <w:rFonts w:ascii="Calibri" w:hAnsi="Calibri"/>
          <w:sz w:val="22"/>
          <w:szCs w:val="22"/>
        </w:rPr>
        <w:t>Australian Social Inclusion Board</w:t>
      </w:r>
      <w:r w:rsidR="00437D16" w:rsidRPr="004C771B">
        <w:rPr>
          <w:rFonts w:ascii="Calibri" w:hAnsi="Calibri"/>
          <w:sz w:val="22"/>
          <w:szCs w:val="22"/>
        </w:rPr>
        <w:t>, who</w:t>
      </w:r>
      <w:r w:rsidR="00035500" w:rsidRPr="004C771B">
        <w:rPr>
          <w:rFonts w:ascii="Calibri" w:hAnsi="Calibri"/>
          <w:sz w:val="22"/>
          <w:szCs w:val="22"/>
        </w:rPr>
        <w:t xml:space="preserve"> </w:t>
      </w:r>
      <w:r w:rsidR="001D0097" w:rsidRPr="00133506">
        <w:rPr>
          <w:rFonts w:asciiTheme="minorHAnsi" w:hAnsiTheme="minorHAnsi"/>
          <w:sz w:val="22"/>
          <w:szCs w:val="22"/>
        </w:rPr>
        <w:t xml:space="preserve">estimate that </w:t>
      </w:r>
      <w:r w:rsidR="00133506" w:rsidRPr="00133506">
        <w:rPr>
          <w:rFonts w:asciiTheme="minorHAnsi" w:eastAsia="Times New Roman" w:hAnsiTheme="minorHAnsi" w:cs="Arial"/>
          <w:sz w:val="22"/>
          <w:szCs w:val="22"/>
        </w:rPr>
        <w:t>7% of people aged over 15 years (</w:t>
      </w:r>
      <w:r w:rsidR="00133506" w:rsidRPr="00133506">
        <w:rPr>
          <w:rFonts w:asciiTheme="minorHAnsi" w:hAnsiTheme="minorHAnsi"/>
          <w:sz w:val="22"/>
          <w:szCs w:val="22"/>
        </w:rPr>
        <w:t>1</w:t>
      </w:r>
      <w:r w:rsidR="00035500" w:rsidRPr="00133506">
        <w:rPr>
          <w:rFonts w:asciiTheme="minorHAnsi" w:hAnsiTheme="minorHAnsi"/>
          <w:sz w:val="22"/>
          <w:szCs w:val="22"/>
        </w:rPr>
        <w:t>.5 million peop</w:t>
      </w:r>
      <w:r w:rsidRPr="00133506">
        <w:rPr>
          <w:rFonts w:asciiTheme="minorHAnsi" w:hAnsiTheme="minorHAnsi"/>
          <w:sz w:val="22"/>
          <w:szCs w:val="22"/>
        </w:rPr>
        <w:t>le) live</w:t>
      </w:r>
      <w:r w:rsidR="00035500" w:rsidRPr="00133506">
        <w:rPr>
          <w:rFonts w:asciiTheme="minorHAnsi" w:hAnsiTheme="minorHAnsi"/>
          <w:sz w:val="22"/>
          <w:szCs w:val="22"/>
        </w:rPr>
        <w:t xml:space="preserve"> in households of high financial stress</w:t>
      </w:r>
      <w:r w:rsidR="00035500" w:rsidRPr="004C771B">
        <w:rPr>
          <w:rFonts w:ascii="Calibri" w:hAnsi="Calibri"/>
          <w:sz w:val="22"/>
          <w:szCs w:val="22"/>
        </w:rPr>
        <w:t>;</w:t>
      </w:r>
      <w:r w:rsidR="00035500" w:rsidRPr="004C771B">
        <w:rPr>
          <w:rStyle w:val="FootnoteReference"/>
          <w:rFonts w:ascii="Calibri" w:hAnsi="Calibri"/>
          <w:sz w:val="22"/>
          <w:szCs w:val="22"/>
        </w:rPr>
        <w:footnoteReference w:id="9"/>
      </w:r>
    </w:p>
    <w:p w14:paraId="6982A0DE" w14:textId="77777777" w:rsidR="00C7452D" w:rsidRPr="00C7452D" w:rsidRDefault="00C7452D" w:rsidP="00C7452D">
      <w:pPr>
        <w:pStyle w:val="Body"/>
        <w:tabs>
          <w:tab w:val="left" w:pos="9356"/>
        </w:tabs>
        <w:ind w:right="4"/>
        <w:rPr>
          <w:rFonts w:ascii="Calibri" w:hAnsi="Calibri"/>
          <w:sz w:val="22"/>
          <w:szCs w:val="22"/>
        </w:rPr>
      </w:pPr>
    </w:p>
    <w:p w14:paraId="215D6E19" w14:textId="6ABDCE5A" w:rsidR="00DB6EA0" w:rsidRPr="004C771B" w:rsidRDefault="00DB6EA0" w:rsidP="00DB6EA0">
      <w:pPr>
        <w:pStyle w:val="Body"/>
        <w:numPr>
          <w:ilvl w:val="0"/>
          <w:numId w:val="7"/>
        </w:numPr>
        <w:tabs>
          <w:tab w:val="left" w:pos="9356"/>
        </w:tabs>
        <w:ind w:right="4"/>
        <w:rPr>
          <w:rFonts w:ascii="Calibri" w:hAnsi="Calibri"/>
          <w:sz w:val="22"/>
          <w:szCs w:val="22"/>
        </w:rPr>
      </w:pPr>
      <w:r w:rsidRPr="004C771B">
        <w:rPr>
          <w:rFonts w:ascii="Calibri" w:hAnsi="Calibri"/>
          <w:sz w:val="22"/>
          <w:szCs w:val="22"/>
        </w:rPr>
        <w:t xml:space="preserve">Dun &amp; Bradstreet's </w:t>
      </w:r>
      <w:hyperlink r:id="rId12" w:history="1">
        <w:r w:rsidRPr="004C771B">
          <w:rPr>
            <w:rStyle w:val="Hyperlink"/>
            <w:rFonts w:ascii="Calibri" w:hAnsi="Calibri"/>
            <w:i/>
            <w:iCs/>
            <w:sz w:val="22"/>
            <w:szCs w:val="22"/>
          </w:rPr>
          <w:t xml:space="preserve">Consumer Credit Expectations Survey </w:t>
        </w:r>
      </w:hyperlink>
      <w:r w:rsidRPr="004C771B">
        <w:rPr>
          <w:rFonts w:ascii="Calibri" w:hAnsi="Calibri"/>
          <w:sz w:val="22"/>
          <w:szCs w:val="22"/>
        </w:rPr>
        <w:t xml:space="preserve">showed that many low-income households (46%) anticipated difficulties managing their debt level – more than 40% of this cohort </w:t>
      </w:r>
      <w:r w:rsidR="006B2F84">
        <w:rPr>
          <w:rFonts w:ascii="Calibri" w:hAnsi="Calibri"/>
          <w:sz w:val="22"/>
          <w:szCs w:val="22"/>
        </w:rPr>
        <w:t>was</w:t>
      </w:r>
      <w:r w:rsidRPr="004C771B">
        <w:rPr>
          <w:rFonts w:ascii="Calibri" w:hAnsi="Calibri"/>
          <w:sz w:val="22"/>
          <w:szCs w:val="22"/>
        </w:rPr>
        <w:t xml:space="preserve"> planning on using credit cards to pay their cost of living expenses. Despite experiencing financial strain more than a</w:t>
      </w:r>
      <w:r w:rsidR="006B2F84">
        <w:rPr>
          <w:rFonts w:ascii="Calibri" w:hAnsi="Calibri"/>
          <w:sz w:val="22"/>
          <w:szCs w:val="22"/>
        </w:rPr>
        <w:t xml:space="preserve"> quarter of households earning under </w:t>
      </w:r>
      <w:r w:rsidRPr="004C771B">
        <w:rPr>
          <w:rFonts w:ascii="Calibri" w:hAnsi="Calibri"/>
          <w:sz w:val="22"/>
          <w:szCs w:val="22"/>
        </w:rPr>
        <w:t xml:space="preserve">$50,000 were planning to apply for new credit </w:t>
      </w:r>
      <w:r w:rsidR="006B6402">
        <w:rPr>
          <w:rFonts w:ascii="Calibri" w:hAnsi="Calibri"/>
          <w:sz w:val="22"/>
          <w:szCs w:val="22"/>
        </w:rPr>
        <w:t>or a</w:t>
      </w:r>
      <w:r w:rsidRPr="004C771B">
        <w:rPr>
          <w:rFonts w:ascii="Calibri" w:hAnsi="Calibri"/>
          <w:sz w:val="22"/>
          <w:szCs w:val="22"/>
        </w:rPr>
        <w:t xml:space="preserve"> limit increase.</w:t>
      </w:r>
      <w:r w:rsidRPr="004C771B">
        <w:rPr>
          <w:rStyle w:val="FootnoteReference"/>
          <w:rFonts w:ascii="Calibri" w:hAnsi="Calibri"/>
          <w:sz w:val="22"/>
          <w:szCs w:val="22"/>
        </w:rPr>
        <w:footnoteReference w:id="10"/>
      </w:r>
      <w:r w:rsidRPr="004C771B">
        <w:rPr>
          <w:rFonts w:ascii="Calibri" w:hAnsi="Calibri"/>
          <w:sz w:val="22"/>
          <w:szCs w:val="22"/>
        </w:rPr>
        <w:t xml:space="preserve"> Consumer financial stress has trended strongly upward since August 2010 to the first quarter of 2014.</w:t>
      </w:r>
      <w:r w:rsidRPr="004C771B">
        <w:rPr>
          <w:rStyle w:val="FootnoteReference"/>
          <w:rFonts w:ascii="Calibri" w:hAnsi="Calibri"/>
          <w:sz w:val="22"/>
          <w:szCs w:val="22"/>
        </w:rPr>
        <w:footnoteReference w:id="11"/>
      </w:r>
    </w:p>
    <w:p w14:paraId="5E19B31E" w14:textId="77777777" w:rsidR="00DC6793" w:rsidRDefault="00DC6793" w:rsidP="00DC6793">
      <w:pPr>
        <w:pStyle w:val="Body"/>
        <w:tabs>
          <w:tab w:val="left" w:pos="9356"/>
        </w:tabs>
        <w:ind w:right="4"/>
        <w:rPr>
          <w:rFonts w:ascii="Calibri" w:hAnsi="Calibri"/>
        </w:rPr>
      </w:pPr>
    </w:p>
    <w:p w14:paraId="6EBA8639" w14:textId="07BFF2CD" w:rsidR="003B4140" w:rsidRPr="003B4140" w:rsidRDefault="003B4140" w:rsidP="004C771B">
      <w:r w:rsidRPr="003B4140">
        <w:t xml:space="preserve">There are many other ways to </w:t>
      </w:r>
      <w:r w:rsidR="008D30FA">
        <w:t>measure</w:t>
      </w:r>
      <w:r w:rsidR="008D30FA" w:rsidRPr="003B4140">
        <w:t xml:space="preserve"> </w:t>
      </w:r>
      <w:r w:rsidRPr="003B4140">
        <w:t xml:space="preserve">financial hardship. </w:t>
      </w:r>
      <w:r>
        <w:t xml:space="preserve">The </w:t>
      </w:r>
      <w:proofErr w:type="spellStart"/>
      <w:r>
        <w:t>ACOSS</w:t>
      </w:r>
      <w:proofErr w:type="spellEnd"/>
      <w:r>
        <w:t xml:space="preserve"> notes that </w:t>
      </w:r>
      <w:r w:rsidRPr="003B4140">
        <w:t xml:space="preserve">poverty cannot be defined with a single profile. For example, while the ABS </w:t>
      </w:r>
      <w:r w:rsidR="003345C5">
        <w:t>data</w:t>
      </w:r>
      <w:r w:rsidRPr="003B4140">
        <w:t xml:space="preserve"> show that s</w:t>
      </w:r>
      <w:r w:rsidR="008D30FA">
        <w:t>ingle</w:t>
      </w:r>
      <w:r w:rsidRPr="003B4140">
        <w:t xml:space="preserve"> parent families are more likely to </w:t>
      </w:r>
      <w:r>
        <w:t>experience</w:t>
      </w:r>
      <w:r w:rsidRPr="003B4140">
        <w:t xml:space="preserve"> financial stress </w:t>
      </w:r>
      <w:r w:rsidR="008D30FA">
        <w:t xml:space="preserve">than </w:t>
      </w:r>
      <w:r w:rsidRPr="003B4140">
        <w:t>two parent families, there are numerically many more two parent families in financial stress</w:t>
      </w:r>
      <w:r w:rsidR="004E724F">
        <w:t>. This is due to</w:t>
      </w:r>
      <w:r w:rsidRPr="003B4140">
        <w:t xml:space="preserve"> two parent families </w:t>
      </w:r>
      <w:r w:rsidR="004E724F">
        <w:t>being</w:t>
      </w:r>
      <w:r w:rsidR="004E724F" w:rsidRPr="003B4140">
        <w:t xml:space="preserve"> </w:t>
      </w:r>
      <w:r w:rsidRPr="003B4140">
        <w:t>more common tha</w:t>
      </w:r>
      <w:r w:rsidR="004E724F">
        <w:t>n</w:t>
      </w:r>
      <w:r w:rsidRPr="003B4140">
        <w:t xml:space="preserve"> one parent families.</w:t>
      </w:r>
    </w:p>
    <w:p w14:paraId="40EEF646" w14:textId="5271D49F" w:rsidR="00305457" w:rsidRDefault="003B4140" w:rsidP="004C771B">
      <w:pPr>
        <w:rPr>
          <w:vertAlign w:val="superscript"/>
        </w:rPr>
      </w:pPr>
      <w:r w:rsidRPr="003B4140">
        <w:t xml:space="preserve">The risk of poverty can be gauged by </w:t>
      </w:r>
      <w:r w:rsidR="004E724F">
        <w:t>assessing</w:t>
      </w:r>
      <w:r w:rsidRPr="003B4140">
        <w:t xml:space="preserve"> the income source of a household. People </w:t>
      </w:r>
      <w:r w:rsidR="00E26373">
        <w:t>who</w:t>
      </w:r>
      <w:r w:rsidR="004E724F">
        <w:t xml:space="preserve"> receive a</w:t>
      </w:r>
      <w:r w:rsidRPr="003B4140">
        <w:t xml:space="preserve"> main source of income </w:t>
      </w:r>
      <w:r w:rsidR="004E724F">
        <w:t>a</w:t>
      </w:r>
      <w:r w:rsidR="00E26373">
        <w:t>s</w:t>
      </w:r>
      <w:r w:rsidRPr="003B4140">
        <w:t xml:space="preserve"> social security benefits are approximately three times </w:t>
      </w:r>
      <w:r w:rsidR="004E724F">
        <w:t>more</w:t>
      </w:r>
      <w:r w:rsidRPr="003B4140">
        <w:t xml:space="preserve"> likely to be </w:t>
      </w:r>
      <w:r w:rsidR="003345C5">
        <w:t xml:space="preserve">at risk of poverty compared to </w:t>
      </w:r>
      <w:r w:rsidR="004E724F">
        <w:t>the general population.</w:t>
      </w:r>
      <w:r w:rsidRPr="003B4140">
        <w:rPr>
          <w:vertAlign w:val="superscript"/>
        </w:rPr>
        <w:footnoteReference w:id="12"/>
      </w:r>
      <w:r w:rsidRPr="003B4140">
        <w:rPr>
          <w:vertAlign w:val="superscript"/>
        </w:rPr>
        <w:t xml:space="preserve"> </w:t>
      </w:r>
      <w:r w:rsidR="004E724F">
        <w:t xml:space="preserve">This statistic was calculated </w:t>
      </w:r>
      <w:r w:rsidRPr="003B4140">
        <w:t xml:space="preserve">based on poverty being </w:t>
      </w:r>
      <w:r w:rsidR="004E724F">
        <w:t xml:space="preserve">defined as </w:t>
      </w:r>
      <w:r w:rsidRPr="003B4140">
        <w:t>50% of</w:t>
      </w:r>
      <w:r w:rsidR="004E724F">
        <w:t xml:space="preserve"> the</w:t>
      </w:r>
      <w:r w:rsidRPr="003B4140">
        <w:t xml:space="preserve"> median income. When </w:t>
      </w:r>
      <w:r w:rsidR="00624B3E" w:rsidRPr="004C771B">
        <w:rPr>
          <w:lang w:val="en-AU"/>
        </w:rPr>
        <w:t>analysed</w:t>
      </w:r>
      <w:r w:rsidRPr="003B4140">
        <w:t xml:space="preserve"> by gender, women face a significantly higher risk of poverty than men</w:t>
      </w:r>
      <w:r w:rsidR="004E724F">
        <w:t xml:space="preserve"> – </w:t>
      </w:r>
      <w:r w:rsidR="00047E61">
        <w:t xml:space="preserve">of those </w:t>
      </w:r>
      <w:r w:rsidR="00047E61" w:rsidRPr="003B4140">
        <w:t>below the poverty line</w:t>
      </w:r>
      <w:r w:rsidR="00047E61" w:rsidRPr="003B4140" w:rsidDel="004E724F">
        <w:t xml:space="preserve"> </w:t>
      </w:r>
      <w:r w:rsidRPr="003B4140">
        <w:t xml:space="preserve">53.8% </w:t>
      </w:r>
      <w:r w:rsidR="00047E61">
        <w:t>are</w:t>
      </w:r>
      <w:r w:rsidR="00047E61" w:rsidRPr="003B4140">
        <w:t xml:space="preserve"> </w:t>
      </w:r>
      <w:r w:rsidRPr="003B4140">
        <w:t xml:space="preserve">female and </w:t>
      </w:r>
      <w:r w:rsidRPr="003B4140">
        <w:lastRenderedPageBreak/>
        <w:t xml:space="preserve">46.2% </w:t>
      </w:r>
      <w:r w:rsidR="00047E61">
        <w:t>are</w:t>
      </w:r>
      <w:r w:rsidR="004859A9">
        <w:t xml:space="preserve"> male</w:t>
      </w:r>
      <w:r w:rsidRPr="003B4140">
        <w:t xml:space="preserve">. This </w:t>
      </w:r>
      <w:r w:rsidR="004E724F">
        <w:t>may be explained by</w:t>
      </w:r>
      <w:r w:rsidR="004E724F" w:rsidRPr="003B4140">
        <w:t xml:space="preserve"> </w:t>
      </w:r>
      <w:r w:rsidRPr="003B4140">
        <w:t xml:space="preserve">women receiving lower wages and </w:t>
      </w:r>
      <w:r w:rsidR="004E724F">
        <w:t xml:space="preserve">reduced </w:t>
      </w:r>
      <w:r w:rsidRPr="003B4140">
        <w:t xml:space="preserve">employment opportunities, and </w:t>
      </w:r>
      <w:r w:rsidR="00624B3E">
        <w:t xml:space="preserve">being </w:t>
      </w:r>
      <w:r w:rsidRPr="003B4140">
        <w:t xml:space="preserve">more likely to </w:t>
      </w:r>
      <w:r w:rsidR="004E724F">
        <w:t>work</w:t>
      </w:r>
      <w:r w:rsidRPr="003B4140">
        <w:t xml:space="preserve"> in unpaid </w:t>
      </w:r>
      <w:r w:rsidR="004859A9" w:rsidRPr="003B4140">
        <w:t>car</w:t>
      </w:r>
      <w:r w:rsidR="004859A9">
        <w:t>e giver</w:t>
      </w:r>
      <w:r w:rsidR="004859A9" w:rsidRPr="003B4140">
        <w:t xml:space="preserve"> </w:t>
      </w:r>
      <w:r w:rsidRPr="003B4140">
        <w:t>roles</w:t>
      </w:r>
      <w:r w:rsidR="00E26373">
        <w:t>.</w:t>
      </w:r>
      <w:r w:rsidRPr="003B4140">
        <w:rPr>
          <w:vertAlign w:val="superscript"/>
        </w:rPr>
        <w:footnoteReference w:id="13"/>
      </w:r>
      <w:r w:rsidR="00E26373">
        <w:t xml:space="preserve"> </w:t>
      </w:r>
      <w:r w:rsidR="003C1EBC">
        <w:t>Immigrants from non-</w:t>
      </w:r>
      <w:r w:rsidRPr="003B4140">
        <w:t xml:space="preserve">English speaking countries are </w:t>
      </w:r>
      <w:r w:rsidR="00624B3E">
        <w:t xml:space="preserve">also </w:t>
      </w:r>
      <w:r w:rsidRPr="003B4140">
        <w:t xml:space="preserve">at greater risk of poverty than </w:t>
      </w:r>
      <w:r w:rsidR="00624B3E">
        <w:t>people born in Australia.</w:t>
      </w:r>
      <w:r w:rsidRPr="003B4140">
        <w:rPr>
          <w:vertAlign w:val="superscript"/>
        </w:rPr>
        <w:footnoteReference w:id="14"/>
      </w:r>
    </w:p>
    <w:p w14:paraId="2A6AC155" w14:textId="69F7EACB" w:rsidR="00F25EF7" w:rsidRPr="00B64748" w:rsidRDefault="007878DD" w:rsidP="004C771B">
      <w:pPr>
        <w:rPr>
          <w:lang w:val="en-US" w:eastAsia="en-AU"/>
        </w:rPr>
      </w:pPr>
      <w:r>
        <w:rPr>
          <w:lang w:val="en-US" w:eastAsia="en-AU"/>
        </w:rPr>
        <w:t xml:space="preserve">Although </w:t>
      </w:r>
      <w:r w:rsidR="003C1EBC">
        <w:rPr>
          <w:lang w:val="en-US" w:eastAsia="en-AU"/>
        </w:rPr>
        <w:t xml:space="preserve">individuals and families living </w:t>
      </w:r>
      <w:r>
        <w:rPr>
          <w:lang w:val="en-US" w:eastAsia="en-AU"/>
        </w:rPr>
        <w:t xml:space="preserve">on lower incomes are at greater risk of poverty and financial stress, those on higher incomes are not immune from financial </w:t>
      </w:r>
      <w:r w:rsidR="00305457">
        <w:rPr>
          <w:lang w:val="en-US" w:eastAsia="en-AU"/>
        </w:rPr>
        <w:t>difficulty</w:t>
      </w:r>
      <w:r>
        <w:rPr>
          <w:lang w:val="en-US" w:eastAsia="en-AU"/>
        </w:rPr>
        <w:t xml:space="preserve">. </w:t>
      </w:r>
      <w:r w:rsidR="00F25EF7">
        <w:rPr>
          <w:lang w:val="en-US" w:eastAsia="en-AU"/>
        </w:rPr>
        <w:t>Research</w:t>
      </w:r>
      <w:r>
        <w:rPr>
          <w:lang w:val="en-US" w:eastAsia="en-AU"/>
        </w:rPr>
        <w:t xml:space="preserve"> from The Australia Institute</w:t>
      </w:r>
      <w:r w:rsidR="00F25EF7" w:rsidRPr="00B64748">
        <w:rPr>
          <w:lang w:val="en-US" w:eastAsia="en-AU"/>
        </w:rPr>
        <w:t xml:space="preserve"> found that while low income earners were</w:t>
      </w:r>
      <w:r w:rsidR="003C1EBC">
        <w:rPr>
          <w:lang w:val="en-US" w:eastAsia="en-AU"/>
        </w:rPr>
        <w:t xml:space="preserve"> </w:t>
      </w:r>
      <w:r w:rsidR="00F25EF7" w:rsidRPr="00B64748">
        <w:rPr>
          <w:lang w:val="en-US" w:eastAsia="en-AU"/>
        </w:rPr>
        <w:t>more likely to experience financial difficulty in the previous 12 months, 15% of high income hous</w:t>
      </w:r>
      <w:r w:rsidR="00F25EF7">
        <w:rPr>
          <w:lang w:val="en-US" w:eastAsia="en-AU"/>
        </w:rPr>
        <w:t xml:space="preserve">eholds </w:t>
      </w:r>
      <w:r w:rsidR="003C1EBC">
        <w:rPr>
          <w:lang w:val="en-US" w:eastAsia="en-AU"/>
        </w:rPr>
        <w:t xml:space="preserve">were </w:t>
      </w:r>
      <w:r w:rsidR="00F25EF7" w:rsidRPr="00B64748">
        <w:rPr>
          <w:lang w:val="en-US" w:eastAsia="en-AU"/>
        </w:rPr>
        <w:t>also</w:t>
      </w:r>
      <w:r w:rsidR="003C1EBC">
        <w:rPr>
          <w:lang w:val="en-US" w:eastAsia="en-AU"/>
        </w:rPr>
        <w:t xml:space="preserve"> in this category.</w:t>
      </w:r>
      <w:r w:rsidR="00F25EF7" w:rsidRPr="00DB3DAE">
        <w:rPr>
          <w:vertAlign w:val="superscript"/>
          <w:lang w:eastAsia="en-AU"/>
        </w:rPr>
        <w:t xml:space="preserve"> </w:t>
      </w:r>
      <w:r w:rsidR="00F25EF7" w:rsidRPr="00B64748">
        <w:rPr>
          <w:vertAlign w:val="superscript"/>
          <w:lang w:eastAsia="en-AU"/>
        </w:rPr>
        <w:footnoteReference w:id="15"/>
      </w:r>
      <w:r w:rsidR="00F25EF7" w:rsidRPr="00B64748">
        <w:rPr>
          <w:lang w:val="en-US" w:eastAsia="en-AU"/>
        </w:rPr>
        <w:t xml:space="preserve"> </w:t>
      </w:r>
    </w:p>
    <w:p w14:paraId="5C87B4EA" w14:textId="1D1B75C7" w:rsidR="00F25EF7" w:rsidRPr="000F6891" w:rsidRDefault="00F25EF7" w:rsidP="004C771B">
      <w:pPr>
        <w:rPr>
          <w:rFonts w:eastAsia="Calibri"/>
          <w:szCs w:val="24"/>
          <w:lang w:val="en-US"/>
        </w:rPr>
      </w:pPr>
      <w:r w:rsidRPr="00B64748">
        <w:rPr>
          <w:lang w:val="en-US" w:eastAsia="en-AU"/>
        </w:rPr>
        <w:t xml:space="preserve">These findings are </w:t>
      </w:r>
      <w:r w:rsidR="003345C5">
        <w:rPr>
          <w:lang w:val="en-US" w:eastAsia="en-AU"/>
        </w:rPr>
        <w:t xml:space="preserve">also </w:t>
      </w:r>
      <w:r w:rsidRPr="00B64748">
        <w:rPr>
          <w:lang w:val="en-US" w:eastAsia="en-AU"/>
        </w:rPr>
        <w:t xml:space="preserve">consistent with a segmentation analysis undertaken for the Department of Families, Housing, Community Services and Indigenous Affairs based on the </w:t>
      </w:r>
      <w:proofErr w:type="spellStart"/>
      <w:r w:rsidRPr="00B64748">
        <w:rPr>
          <w:lang w:val="en-US" w:eastAsia="en-AU"/>
        </w:rPr>
        <w:t>ANZ</w:t>
      </w:r>
      <w:proofErr w:type="spellEnd"/>
      <w:r w:rsidRPr="00B64748">
        <w:rPr>
          <w:lang w:val="en-US" w:eastAsia="en-AU"/>
        </w:rPr>
        <w:t xml:space="preserve"> Survey of Adult Financial Literacy.</w:t>
      </w:r>
      <w:r w:rsidRPr="00B64748">
        <w:rPr>
          <w:vertAlign w:val="superscript"/>
          <w:lang w:eastAsia="en-AU"/>
        </w:rPr>
        <w:footnoteReference w:id="16"/>
      </w:r>
      <w:r w:rsidRPr="00B64748">
        <w:rPr>
          <w:vertAlign w:val="superscript"/>
          <w:lang w:eastAsia="en-AU"/>
        </w:rPr>
        <w:t xml:space="preserve"> </w:t>
      </w:r>
      <w:r w:rsidR="00BC4DEC">
        <w:rPr>
          <w:vertAlign w:val="superscript"/>
          <w:lang w:eastAsia="en-AU"/>
        </w:rPr>
        <w:t xml:space="preserve"> </w:t>
      </w:r>
      <w:r w:rsidRPr="003C1EBC">
        <w:rPr>
          <w:szCs w:val="24"/>
          <w:lang w:val="en-US" w:eastAsia="en-AU"/>
        </w:rPr>
        <w:t>This analysis divided the Australian population into five groups</w:t>
      </w:r>
      <w:r w:rsidRPr="000F6891">
        <w:rPr>
          <w:rFonts w:eastAsia="Calibri"/>
          <w:szCs w:val="24"/>
          <w:lang w:val="en-US"/>
        </w:rPr>
        <w:t xml:space="preserve"> based on money management attitudes and </w:t>
      </w:r>
      <w:r w:rsidRPr="004C771B">
        <w:rPr>
          <w:rFonts w:eastAsia="Calibri"/>
          <w:szCs w:val="24"/>
        </w:rPr>
        <w:t>behaviours</w:t>
      </w:r>
      <w:r w:rsidRPr="000F6891">
        <w:rPr>
          <w:rFonts w:eastAsia="Calibri"/>
          <w:szCs w:val="24"/>
          <w:lang w:val="en-US"/>
        </w:rPr>
        <w:t xml:space="preserve">.  </w:t>
      </w:r>
    </w:p>
    <w:p w14:paraId="1EA88171" w14:textId="418227E3" w:rsidR="003B4140" w:rsidRPr="00BC4DEC" w:rsidRDefault="00F25EF7" w:rsidP="00BC4DEC">
      <w:pPr>
        <w:rPr>
          <w:szCs w:val="24"/>
          <w:lang w:val="en-US" w:eastAsia="en-AU"/>
        </w:rPr>
      </w:pPr>
      <w:r w:rsidRPr="003C1EBC">
        <w:rPr>
          <w:szCs w:val="24"/>
          <w:lang w:val="en-US" w:eastAsia="en-AU"/>
        </w:rPr>
        <w:t>Group 5 (12.5% of the population) was the most vulnerable</w:t>
      </w:r>
      <w:r w:rsidR="003C1EBC">
        <w:rPr>
          <w:szCs w:val="24"/>
          <w:lang w:val="en-US" w:eastAsia="en-AU"/>
        </w:rPr>
        <w:t xml:space="preserve"> to</w:t>
      </w:r>
      <w:r w:rsidRPr="003C1EBC">
        <w:rPr>
          <w:szCs w:val="24"/>
          <w:lang w:val="en-US" w:eastAsia="en-AU"/>
        </w:rPr>
        <w:t xml:space="preserve"> </w:t>
      </w:r>
      <w:r w:rsidR="003C1EBC" w:rsidRPr="003C1EBC">
        <w:rPr>
          <w:szCs w:val="24"/>
          <w:lang w:val="en-US" w:eastAsia="en-AU"/>
        </w:rPr>
        <w:t>financial</w:t>
      </w:r>
      <w:r w:rsidR="003C1EBC">
        <w:rPr>
          <w:szCs w:val="24"/>
          <w:lang w:val="en-US" w:eastAsia="en-AU"/>
        </w:rPr>
        <w:t xml:space="preserve"> difficulties. Individuals and families in this group </w:t>
      </w:r>
      <w:r w:rsidRPr="003C1EBC">
        <w:rPr>
          <w:szCs w:val="24"/>
          <w:lang w:val="en-US" w:eastAsia="en-AU"/>
        </w:rPr>
        <w:t>had low income</w:t>
      </w:r>
      <w:r w:rsidR="003C1EBC">
        <w:rPr>
          <w:szCs w:val="24"/>
          <w:lang w:val="en-US" w:eastAsia="en-AU"/>
        </w:rPr>
        <w:t>s</w:t>
      </w:r>
      <w:r w:rsidRPr="003C1EBC">
        <w:rPr>
          <w:szCs w:val="24"/>
          <w:lang w:val="en-US" w:eastAsia="en-AU"/>
        </w:rPr>
        <w:t xml:space="preserve"> and </w:t>
      </w:r>
      <w:r w:rsidR="003C1EBC">
        <w:rPr>
          <w:szCs w:val="24"/>
          <w:lang w:val="en-US" w:eastAsia="en-AU"/>
        </w:rPr>
        <w:t xml:space="preserve">few </w:t>
      </w:r>
      <w:r w:rsidRPr="003C1EBC">
        <w:rPr>
          <w:szCs w:val="24"/>
          <w:lang w:val="en-US" w:eastAsia="en-AU"/>
        </w:rPr>
        <w:t xml:space="preserve">assets, low financial literacy and high levels of debt. </w:t>
      </w:r>
      <w:proofErr w:type="gramStart"/>
      <w:r w:rsidR="003C1EBC">
        <w:rPr>
          <w:szCs w:val="24"/>
          <w:lang w:val="en-US" w:eastAsia="en-AU"/>
        </w:rPr>
        <w:t>Interestingly, d</w:t>
      </w:r>
      <w:r w:rsidRPr="003C1EBC">
        <w:rPr>
          <w:szCs w:val="24"/>
          <w:lang w:val="en-US" w:eastAsia="en-AU"/>
        </w:rPr>
        <w:t>espite high income</w:t>
      </w:r>
      <w:r w:rsidR="003C1EBC">
        <w:rPr>
          <w:szCs w:val="24"/>
          <w:lang w:val="en-US" w:eastAsia="en-AU"/>
        </w:rPr>
        <w:t>s</w:t>
      </w:r>
      <w:r w:rsidRPr="003C1EBC">
        <w:rPr>
          <w:szCs w:val="24"/>
          <w:lang w:val="en-US" w:eastAsia="en-AU"/>
        </w:rPr>
        <w:t xml:space="preserve"> and </w:t>
      </w:r>
      <w:r w:rsidR="003C1EBC">
        <w:rPr>
          <w:szCs w:val="24"/>
          <w:lang w:val="en-US" w:eastAsia="en-AU"/>
        </w:rPr>
        <w:t xml:space="preserve">many </w:t>
      </w:r>
      <w:r w:rsidRPr="003C1EBC">
        <w:rPr>
          <w:szCs w:val="24"/>
          <w:lang w:val="en-US" w:eastAsia="en-AU"/>
        </w:rPr>
        <w:t xml:space="preserve">assets </w:t>
      </w:r>
      <w:r w:rsidR="003C1EBC" w:rsidRPr="003C1EBC">
        <w:rPr>
          <w:szCs w:val="24"/>
          <w:lang w:val="en-US" w:eastAsia="en-AU"/>
        </w:rPr>
        <w:t xml:space="preserve">Group 1 (18.2% of the population), </w:t>
      </w:r>
      <w:r w:rsidRPr="003C1EBC">
        <w:rPr>
          <w:szCs w:val="24"/>
          <w:lang w:val="en-US" w:eastAsia="en-AU"/>
        </w:rPr>
        <w:t>also struggl</w:t>
      </w:r>
      <w:r w:rsidR="003C1EBC">
        <w:rPr>
          <w:szCs w:val="24"/>
          <w:lang w:val="en-US" w:eastAsia="en-AU"/>
        </w:rPr>
        <w:t>ed</w:t>
      </w:r>
      <w:r w:rsidRPr="003C1EBC">
        <w:rPr>
          <w:szCs w:val="24"/>
          <w:lang w:val="en-US" w:eastAsia="en-AU"/>
        </w:rPr>
        <w:t xml:space="preserve"> with high levels of debt.</w:t>
      </w:r>
      <w:proofErr w:type="gramEnd"/>
      <w:r w:rsidRPr="003C1EBC">
        <w:rPr>
          <w:szCs w:val="24"/>
          <w:lang w:val="en-US" w:eastAsia="en-AU"/>
        </w:rPr>
        <w:t xml:space="preserve"> Although this group had above average financial literacy, they were also above </w:t>
      </w:r>
      <w:r w:rsidR="007878DD" w:rsidRPr="003C1EBC">
        <w:rPr>
          <w:szCs w:val="24"/>
          <w:lang w:val="en-US" w:eastAsia="en-AU"/>
        </w:rPr>
        <w:t xml:space="preserve">average </w:t>
      </w:r>
      <w:r w:rsidRPr="003C1EBC">
        <w:rPr>
          <w:szCs w:val="24"/>
          <w:lang w:val="en-US" w:eastAsia="en-AU"/>
        </w:rPr>
        <w:t>users of pawnbrokers, payday lenders and debt rescue companies</w:t>
      </w:r>
      <w:r w:rsidR="00E26373" w:rsidRPr="003C1EBC">
        <w:rPr>
          <w:szCs w:val="24"/>
          <w:lang w:val="en-US" w:eastAsia="en-AU"/>
        </w:rPr>
        <w:t xml:space="preserve">. </w:t>
      </w:r>
    </w:p>
    <w:p w14:paraId="417A85D2" w14:textId="39410C14" w:rsidR="003C7308" w:rsidRPr="00A548AE" w:rsidRDefault="00EA741C" w:rsidP="004C771B">
      <w:pPr>
        <w:pStyle w:val="Heading2"/>
      </w:pPr>
      <w:bookmarkStart w:id="22" w:name="_Toc387144734"/>
      <w:r>
        <w:t>1.</w:t>
      </w:r>
      <w:r w:rsidR="003C7308">
        <w:t>2.</w:t>
      </w:r>
      <w:r w:rsidR="00DC6793">
        <w:t>4</w:t>
      </w:r>
      <w:r w:rsidR="003C7308">
        <w:tab/>
      </w:r>
      <w:r w:rsidR="00BC4DEC">
        <w:t xml:space="preserve"> </w:t>
      </w:r>
      <w:r w:rsidR="00035500">
        <w:t>Conclusion</w:t>
      </w:r>
      <w:bookmarkEnd w:id="22"/>
      <w:r w:rsidR="003C7308">
        <w:t xml:space="preserve"> </w:t>
      </w:r>
    </w:p>
    <w:p w14:paraId="146CA4DB" w14:textId="77777777" w:rsidR="003C7308" w:rsidRDefault="003C7308" w:rsidP="003C7308">
      <w:pPr>
        <w:pStyle w:val="Body"/>
        <w:tabs>
          <w:tab w:val="left" w:pos="9356"/>
        </w:tabs>
        <w:ind w:left="851" w:right="4"/>
        <w:rPr>
          <w:rFonts w:ascii="Calibri" w:hAnsi="Calibri"/>
        </w:rPr>
      </w:pPr>
    </w:p>
    <w:p w14:paraId="56828245" w14:textId="0F79223A" w:rsidR="003C7308" w:rsidRDefault="00DD5A8F" w:rsidP="004C771B">
      <w:r>
        <w:t>E</w:t>
      </w:r>
      <w:r w:rsidR="003C7308">
        <w:t xml:space="preserve">ach year thousands of Australians want to pay their </w:t>
      </w:r>
      <w:r w:rsidR="009174F3">
        <w:t>debts</w:t>
      </w:r>
      <w:r w:rsidR="00305457">
        <w:t xml:space="preserve"> when they are due</w:t>
      </w:r>
      <w:r>
        <w:t>.</w:t>
      </w:r>
      <w:r w:rsidR="003C7308">
        <w:t xml:space="preserve"> </w:t>
      </w:r>
      <w:r>
        <w:t>I</w:t>
      </w:r>
      <w:r w:rsidR="003C7308">
        <w:t xml:space="preserve">nstead </w:t>
      </w:r>
      <w:r w:rsidR="00BC4DEC">
        <w:t xml:space="preserve">they </w:t>
      </w:r>
      <w:r w:rsidR="003C7308">
        <w:t>find they simply do not have enough mone</w:t>
      </w:r>
      <w:r w:rsidR="00AA356D">
        <w:t>y: they want to pay, but can’t.</w:t>
      </w:r>
      <w:r w:rsidR="00305457">
        <w:t xml:space="preserve"> </w:t>
      </w:r>
      <w:r w:rsidR="003C7308">
        <w:t>When this happens, how creditors respond can make the difference between financial recovery and financial oblivion.</w:t>
      </w:r>
    </w:p>
    <w:p w14:paraId="67CC67E8" w14:textId="1C6900F6" w:rsidR="003C7308" w:rsidRDefault="009174F3" w:rsidP="004C771B">
      <w:r>
        <w:t>T</w:t>
      </w:r>
      <w:r w:rsidR="003C7308">
        <w:t>he costs to communit</w:t>
      </w:r>
      <w:r w:rsidR="00DD5A8F">
        <w:t xml:space="preserve">ies as a result </w:t>
      </w:r>
      <w:r w:rsidR="003C7308">
        <w:t xml:space="preserve">of financial stress are undoubtedly huge. </w:t>
      </w:r>
      <w:r w:rsidR="00DD5A8F">
        <w:t>Past</w:t>
      </w:r>
      <w:r w:rsidR="00305457">
        <w:t xml:space="preserve"> studies </w:t>
      </w:r>
      <w:r w:rsidR="00DD5A8F">
        <w:t>demonstrate</w:t>
      </w:r>
      <w:r w:rsidR="00305457">
        <w:t xml:space="preserve"> that problem debt leads to mental health problems </w:t>
      </w:r>
      <w:r w:rsidR="00DD5A8F">
        <w:t xml:space="preserve">in </w:t>
      </w:r>
      <w:r w:rsidR="00305457">
        <w:t xml:space="preserve">a range of </w:t>
      </w:r>
      <w:r w:rsidR="00DD5A8F">
        <w:t>demographics</w:t>
      </w:r>
      <w:r w:rsidR="00305457">
        <w:t xml:space="preserve">. </w:t>
      </w:r>
      <w:r w:rsidR="00DD5A8F">
        <w:t>Greater</w:t>
      </w:r>
      <w:r w:rsidR="00305457">
        <w:t xml:space="preserve"> debt </w:t>
      </w:r>
      <w:r w:rsidR="00DD5A8F">
        <w:t>is correlated with an increased</w:t>
      </w:r>
      <w:r w:rsidR="00305457">
        <w:t xml:space="preserve"> risk of </w:t>
      </w:r>
      <w:r w:rsidR="00DD5A8F">
        <w:t xml:space="preserve">developing </w:t>
      </w:r>
      <w:r w:rsidR="00305457">
        <w:t>mental health problems</w:t>
      </w:r>
      <w:r w:rsidR="002A3932">
        <w:t>.</w:t>
      </w:r>
      <w:r w:rsidR="001921E0">
        <w:rPr>
          <w:rStyle w:val="FootnoteReference"/>
        </w:rPr>
        <w:footnoteReference w:id="17"/>
      </w:r>
      <w:r w:rsidR="00DD5A8F">
        <w:t xml:space="preserve"> </w:t>
      </w:r>
      <w:r w:rsidR="003C7308">
        <w:t xml:space="preserve">To our knowledge, there has been no </w:t>
      </w:r>
      <w:r w:rsidR="00305457">
        <w:t xml:space="preserve">in-depth </w:t>
      </w:r>
      <w:r w:rsidR="003C7308">
        <w:t>research that attempts to quantify these</w:t>
      </w:r>
      <w:r w:rsidR="005215F8">
        <w:t xml:space="preserve"> </w:t>
      </w:r>
      <w:r w:rsidR="00DD5A8F">
        <w:t xml:space="preserve">health </w:t>
      </w:r>
      <w:r w:rsidR="005215F8">
        <w:t>costs</w:t>
      </w:r>
      <w:r w:rsidR="00DD5A8F">
        <w:t xml:space="preserve">, </w:t>
      </w:r>
      <w:r w:rsidR="003C7308">
        <w:t>although there is some qualitative data.</w:t>
      </w:r>
      <w:r w:rsidR="003C7308">
        <w:rPr>
          <w:rStyle w:val="FootnoteReference"/>
        </w:rPr>
        <w:footnoteReference w:id="18"/>
      </w:r>
      <w:r w:rsidR="003C7308">
        <w:t xml:space="preserve"> However, financial counsellors know </w:t>
      </w:r>
      <w:r w:rsidR="00305457">
        <w:t xml:space="preserve">from experience </w:t>
      </w:r>
      <w:r w:rsidR="003C7308">
        <w:t xml:space="preserve">that financial problems impact detrimentally on health, relationships and families. Anything we can do that helps people to </w:t>
      </w:r>
      <w:r w:rsidR="00882975">
        <w:t>overcome financial problems and</w:t>
      </w:r>
      <w:r w:rsidR="005215F8">
        <w:t xml:space="preserve"> </w:t>
      </w:r>
      <w:r w:rsidR="00882975">
        <w:t>get back on their feet</w:t>
      </w:r>
      <w:r w:rsidR="003C7308">
        <w:t xml:space="preserve"> is a good thing.</w:t>
      </w:r>
    </w:p>
    <w:p w14:paraId="50593967" w14:textId="77777777" w:rsidR="00643B1C" w:rsidRPr="00027BC3" w:rsidRDefault="00E07E05" w:rsidP="00027BC3">
      <w:pPr>
        <w:pStyle w:val="Heading11"/>
      </w:pPr>
      <w:r>
        <w:br w:type="page"/>
      </w:r>
      <w:bookmarkStart w:id="26" w:name="_Toc387144735"/>
      <w:r w:rsidR="004D72E7" w:rsidRPr="00027BC3">
        <w:lastRenderedPageBreak/>
        <w:t>Section</w:t>
      </w:r>
      <w:r w:rsidR="00643B1C" w:rsidRPr="00027BC3">
        <w:t xml:space="preserve"> 2 – six areas that can make a difference</w:t>
      </w:r>
      <w:bookmarkEnd w:id="26"/>
      <w:r w:rsidR="00643B1C" w:rsidRPr="00027BC3">
        <w:t xml:space="preserve"> </w:t>
      </w:r>
    </w:p>
    <w:p w14:paraId="25194759" w14:textId="77777777" w:rsidR="005215F8" w:rsidRDefault="005215F8" w:rsidP="00643B1C">
      <w:pPr>
        <w:pStyle w:val="Body"/>
        <w:rPr>
          <w:lang w:eastAsia="en-US"/>
        </w:rPr>
      </w:pPr>
    </w:p>
    <w:p w14:paraId="14EFF2BA" w14:textId="6A04758D" w:rsidR="00D9738C" w:rsidRPr="004C771B" w:rsidRDefault="00A70FFF" w:rsidP="004C771B">
      <w:r w:rsidRPr="004C771B">
        <w:t>In September 2013, as</w:t>
      </w:r>
      <w:r w:rsidR="00E52BF1" w:rsidRPr="004C771B">
        <w:t xml:space="preserve"> </w:t>
      </w:r>
      <w:r w:rsidR="00DD5A8F">
        <w:t>a component</w:t>
      </w:r>
      <w:r w:rsidR="00E52BF1" w:rsidRPr="004C771B">
        <w:t xml:space="preserve"> of th</w:t>
      </w:r>
      <w:r w:rsidR="00DD5A8F">
        <w:t>is</w:t>
      </w:r>
      <w:r w:rsidR="00E52BF1" w:rsidRPr="004C771B">
        <w:t xml:space="preserve"> research</w:t>
      </w:r>
      <w:r w:rsidR="00DD5A8F">
        <w:t xml:space="preserve"> study</w:t>
      </w:r>
      <w:r w:rsidR="00E52BF1" w:rsidRPr="004C771B">
        <w:t>, we held</w:t>
      </w:r>
      <w:r w:rsidR="00317E02" w:rsidRPr="004C771B">
        <w:t xml:space="preserve"> a</w:t>
      </w:r>
      <w:r w:rsidR="000A1605" w:rsidRPr="004C771B">
        <w:t xml:space="preserve"> workshop </w:t>
      </w:r>
      <w:r w:rsidR="00DD5A8F">
        <w:t xml:space="preserve">– </w:t>
      </w:r>
      <w:r w:rsidR="00A12122" w:rsidRPr="004C771B">
        <w:t>the</w:t>
      </w:r>
      <w:r w:rsidR="000A1605" w:rsidRPr="004C771B">
        <w:t xml:space="preserve"> </w:t>
      </w:r>
      <w:r w:rsidR="00317E02" w:rsidRPr="004C771B">
        <w:t>Comparative Hardship Forum. Over 60 people attended, many of whom had been interviewed as part of the research</w:t>
      </w:r>
      <w:r w:rsidR="00241A31" w:rsidRPr="004C771B">
        <w:t xml:space="preserve"> </w:t>
      </w:r>
      <w:r w:rsidR="00D77EE4" w:rsidRPr="004C771B">
        <w:t>project</w:t>
      </w:r>
      <w:r w:rsidR="00317E02" w:rsidRPr="004C771B">
        <w:t xml:space="preserve">. </w:t>
      </w:r>
      <w:r w:rsidR="00241A31" w:rsidRPr="004C771B">
        <w:t>P</w:t>
      </w:r>
      <w:r w:rsidR="00D9738C" w:rsidRPr="004C771B">
        <w:t xml:space="preserve">articipants </w:t>
      </w:r>
      <w:r w:rsidR="00DD5A8F">
        <w:t xml:space="preserve">represented </w:t>
      </w:r>
      <w:r w:rsidR="00D9738C" w:rsidRPr="004C771B">
        <w:t xml:space="preserve">a wide range of </w:t>
      </w:r>
      <w:r w:rsidR="00752540" w:rsidRPr="004C771B">
        <w:t>backgrounds</w:t>
      </w:r>
      <w:r w:rsidR="007505D7" w:rsidRPr="004C771B">
        <w:t xml:space="preserve"> including</w:t>
      </w:r>
      <w:r w:rsidR="002A3932">
        <w:t>:</w:t>
      </w:r>
      <w:r w:rsidR="007505D7" w:rsidRPr="004C771B">
        <w:t xml:space="preserve"> </w:t>
      </w:r>
      <w:r w:rsidR="00D9738C" w:rsidRPr="004C771B">
        <w:t xml:space="preserve">senior staff from hardship teams in the </w:t>
      </w:r>
      <w:r w:rsidR="00752540" w:rsidRPr="004C771B">
        <w:t>telecommunications, banking,</w:t>
      </w:r>
      <w:r w:rsidR="00241A31" w:rsidRPr="004C771B">
        <w:t xml:space="preserve"> </w:t>
      </w:r>
      <w:r w:rsidR="00752540" w:rsidRPr="004C771B">
        <w:t>energy and water sectors</w:t>
      </w:r>
      <w:r w:rsidR="002A3932">
        <w:t>,</w:t>
      </w:r>
      <w:r w:rsidR="00B9017B">
        <w:t xml:space="preserve"> </w:t>
      </w:r>
      <w:r w:rsidR="00752540" w:rsidRPr="004C771B">
        <w:t>government decision-makers</w:t>
      </w:r>
      <w:r w:rsidR="002A3932">
        <w:t>,</w:t>
      </w:r>
      <w:r w:rsidR="00752540" w:rsidRPr="004C771B">
        <w:t xml:space="preserve"> regulators</w:t>
      </w:r>
      <w:r w:rsidR="002A3932">
        <w:t>,</w:t>
      </w:r>
      <w:r w:rsidR="00752540" w:rsidRPr="004C771B">
        <w:t xml:space="preserve"> staff from </w:t>
      </w:r>
      <w:proofErr w:type="spellStart"/>
      <w:r w:rsidR="00752540" w:rsidRPr="004C771B">
        <w:t>EDR</w:t>
      </w:r>
      <w:proofErr w:type="spellEnd"/>
      <w:r w:rsidR="00752540" w:rsidRPr="004C771B">
        <w:t xml:space="preserve"> schemes</w:t>
      </w:r>
      <w:r w:rsidR="002A3932">
        <w:t>,</w:t>
      </w:r>
      <w:r w:rsidR="00752540" w:rsidRPr="004C771B">
        <w:t xml:space="preserve"> financial counsellors and consumer advocates. </w:t>
      </w:r>
      <w:r w:rsidR="00317E02" w:rsidRPr="004C771B">
        <w:t xml:space="preserve">The purpose of the </w:t>
      </w:r>
      <w:r w:rsidR="00B9017B">
        <w:t>f</w:t>
      </w:r>
      <w:r w:rsidR="007505D7" w:rsidRPr="004C771B">
        <w:t>orum</w:t>
      </w:r>
      <w:r w:rsidR="00317E02" w:rsidRPr="004C771B">
        <w:t xml:space="preserve"> was to share findin</w:t>
      </w:r>
      <w:r w:rsidR="007505D7" w:rsidRPr="004C771B">
        <w:t xml:space="preserve">gs </w:t>
      </w:r>
      <w:r w:rsidR="00B9017B">
        <w:t xml:space="preserve">from </w:t>
      </w:r>
      <w:r w:rsidR="007505D7" w:rsidRPr="004C771B">
        <w:t xml:space="preserve">the research to date, to share and compare experiences and to </w:t>
      </w:r>
      <w:r w:rsidR="00B9017B">
        <w:t>create a framework for</w:t>
      </w:r>
      <w:r w:rsidR="007505D7" w:rsidRPr="004C771B">
        <w:t xml:space="preserve"> the final report. </w:t>
      </w:r>
    </w:p>
    <w:p w14:paraId="543F8583" w14:textId="51E03A73" w:rsidR="00EC6130" w:rsidRPr="004C771B" w:rsidRDefault="00D9738C" w:rsidP="004C771B">
      <w:r w:rsidRPr="004C771B">
        <w:t>One of the key outputs from the workshop was</w:t>
      </w:r>
      <w:r w:rsidR="00B9017B">
        <w:t xml:space="preserve"> </w:t>
      </w:r>
      <w:r w:rsidRPr="004C771B">
        <w:t xml:space="preserve">agreement </w:t>
      </w:r>
      <w:r w:rsidR="004E286D">
        <w:t>on</w:t>
      </w:r>
      <w:r w:rsidRPr="004C771B">
        <w:t xml:space="preserve"> </w:t>
      </w:r>
      <w:r w:rsidR="00752540" w:rsidRPr="004C771B">
        <w:t xml:space="preserve">the issues or factors that would make the most difference in improving responses to </w:t>
      </w:r>
      <w:r w:rsidR="00EC6130" w:rsidRPr="004C771B">
        <w:t xml:space="preserve">hardship. Six </w:t>
      </w:r>
      <w:r w:rsidR="002F4057" w:rsidRPr="004C771B">
        <w:t>issues</w:t>
      </w:r>
      <w:r w:rsidR="00EC6130" w:rsidRPr="004C771B">
        <w:t xml:space="preserve"> were identified</w:t>
      </w:r>
      <w:r w:rsidR="005912FA" w:rsidRPr="004C771B">
        <w:t xml:space="preserve"> by the group</w:t>
      </w:r>
      <w:r w:rsidR="00EC6130" w:rsidRPr="004C771B">
        <w:t>: access, early identification, sustaining good performance, attitudes and culture, the business case and concession and grant frameworks.</w:t>
      </w:r>
      <w:r w:rsidR="002F4057" w:rsidRPr="004C771B">
        <w:t xml:space="preserve"> Consistent </w:t>
      </w:r>
      <w:r w:rsidR="00A12122" w:rsidRPr="004C771B">
        <w:t xml:space="preserve">with the </w:t>
      </w:r>
      <w:r w:rsidR="008A7A2E">
        <w:t>objectives</w:t>
      </w:r>
      <w:r w:rsidR="00A12122" w:rsidRPr="004C771B">
        <w:t xml:space="preserve"> of this research </w:t>
      </w:r>
      <w:r w:rsidR="00B9017B">
        <w:t xml:space="preserve">– </w:t>
      </w:r>
      <w:r w:rsidR="002F4057" w:rsidRPr="004C771B">
        <w:t>to tap into the wisdom of people with relevant expertise</w:t>
      </w:r>
      <w:r w:rsidR="00A12122" w:rsidRPr="004C771B">
        <w:t xml:space="preserve"> </w:t>
      </w:r>
      <w:r w:rsidR="00B9017B">
        <w:t>– S</w:t>
      </w:r>
      <w:r w:rsidR="002F4057" w:rsidRPr="004C771B">
        <w:t>ect</w:t>
      </w:r>
      <w:r w:rsidR="005912FA" w:rsidRPr="004C771B">
        <w:t xml:space="preserve">ion </w:t>
      </w:r>
      <w:r w:rsidR="00882975">
        <w:t xml:space="preserve">2 </w:t>
      </w:r>
      <w:r w:rsidR="00B9017B">
        <w:t>further investigates these factors.</w:t>
      </w:r>
    </w:p>
    <w:p w14:paraId="23F1D86B" w14:textId="3EEEDBF3" w:rsidR="00643B1C" w:rsidRDefault="00643B1C" w:rsidP="00231A16">
      <w:pPr>
        <w:pStyle w:val="Heading1"/>
        <w:numPr>
          <w:ilvl w:val="1"/>
          <w:numId w:val="22"/>
        </w:numPr>
        <w:rPr>
          <w:lang w:val="en-US" w:eastAsia="ja-JP"/>
        </w:rPr>
      </w:pPr>
      <w:bookmarkStart w:id="27" w:name="_Toc387144736"/>
      <w:r>
        <w:rPr>
          <w:lang w:val="en-US" w:eastAsia="ja-JP"/>
        </w:rPr>
        <w:lastRenderedPageBreak/>
        <w:t>Access</w:t>
      </w:r>
      <w:bookmarkEnd w:id="27"/>
    </w:p>
    <w:p w14:paraId="100854F2" w14:textId="5A4B627A" w:rsidR="00A4472A" w:rsidRDefault="004D72E7" w:rsidP="004C771B">
      <w:pPr>
        <w:pStyle w:val="Heading2"/>
      </w:pPr>
      <w:bookmarkStart w:id="28" w:name="_Toc387144737"/>
      <w:bookmarkStart w:id="29" w:name="_Toc370048392"/>
      <w:r>
        <w:t>2.</w:t>
      </w:r>
      <w:r w:rsidR="00A12122">
        <w:t>1.1</w:t>
      </w:r>
      <w:r w:rsidR="007E38EE">
        <w:t xml:space="preserve"> </w:t>
      </w:r>
      <w:r w:rsidR="00A4472A">
        <w:t>Why this topic?</w:t>
      </w:r>
      <w:bookmarkEnd w:id="28"/>
      <w:r w:rsidR="00A4472A">
        <w:t xml:space="preserve"> </w:t>
      </w:r>
    </w:p>
    <w:p w14:paraId="2AAF73C0" w14:textId="77777777" w:rsidR="00A4472A" w:rsidRDefault="00A4472A" w:rsidP="00A4472A">
      <w:pPr>
        <w:spacing w:after="0" w:line="240" w:lineRule="auto"/>
        <w:ind w:left="993"/>
      </w:pPr>
    </w:p>
    <w:p w14:paraId="5704CFDF" w14:textId="0D0DE6F1" w:rsidR="00975AFD" w:rsidRDefault="00A4472A" w:rsidP="007E38EE">
      <w:r w:rsidRPr="004C771B">
        <w:t xml:space="preserve">People who would benefit from hardship assistance </w:t>
      </w:r>
      <w:r w:rsidR="00B9017B">
        <w:t xml:space="preserve">must understand </w:t>
      </w:r>
      <w:r w:rsidRPr="004C771B">
        <w:t xml:space="preserve">where </w:t>
      </w:r>
      <w:r w:rsidR="00B9017B">
        <w:t xml:space="preserve">it is to be found if </w:t>
      </w:r>
      <w:r w:rsidRPr="004C771B">
        <w:t xml:space="preserve">their situation is </w:t>
      </w:r>
      <w:r w:rsidR="00B9017B">
        <w:t xml:space="preserve">not </w:t>
      </w:r>
      <w:r w:rsidRPr="004C771B">
        <w:t xml:space="preserve">to worsen. If people are aware </w:t>
      </w:r>
      <w:r w:rsidR="00B9017B">
        <w:t xml:space="preserve">of </w:t>
      </w:r>
      <w:r w:rsidR="000A7677" w:rsidRPr="004C771B">
        <w:t>assistance</w:t>
      </w:r>
      <w:r w:rsidRPr="004C771B">
        <w:t xml:space="preserve">, they may also be more likely to seek </w:t>
      </w:r>
      <w:r w:rsidR="000A7677" w:rsidRPr="004C771B">
        <w:t>help early</w:t>
      </w:r>
      <w:r w:rsidRPr="004C771B">
        <w:t>, reducing later problems</w:t>
      </w:r>
      <w:r w:rsidR="007F4968">
        <w:t xml:space="preserve">. </w:t>
      </w:r>
      <w:r w:rsidR="00604028" w:rsidRPr="004C771B">
        <w:t xml:space="preserve">This topic is also related to </w:t>
      </w:r>
      <w:r w:rsidRPr="004C771B">
        <w:t xml:space="preserve">early </w:t>
      </w:r>
      <w:r w:rsidR="00604028" w:rsidRPr="004C771B">
        <w:t>identification</w:t>
      </w:r>
      <w:r w:rsidR="00B9017B">
        <w:t>,</w:t>
      </w:r>
      <w:r w:rsidR="00604028" w:rsidRPr="004C771B">
        <w:t xml:space="preserve"> which is</w:t>
      </w:r>
      <w:r w:rsidR="007F4968">
        <w:t xml:space="preserve"> discussed in the next section.</w:t>
      </w:r>
    </w:p>
    <w:p w14:paraId="29ADB7DE" w14:textId="2BDD6963" w:rsidR="00975AFD" w:rsidRDefault="004D72E7" w:rsidP="007E38EE">
      <w:pPr>
        <w:pStyle w:val="Heading2"/>
      </w:pPr>
      <w:bookmarkStart w:id="30" w:name="_Toc387144738"/>
      <w:r w:rsidRPr="004C771B">
        <w:t>2.</w:t>
      </w:r>
      <w:r w:rsidR="00A12122" w:rsidRPr="004C771B">
        <w:t>1.2</w:t>
      </w:r>
      <w:r w:rsidR="00C143D0">
        <w:tab/>
        <w:t xml:space="preserve"> Research f</w:t>
      </w:r>
      <w:r w:rsidR="00975AFD" w:rsidRPr="004C771B">
        <w:t>indings</w:t>
      </w:r>
      <w:bookmarkEnd w:id="30"/>
    </w:p>
    <w:p w14:paraId="55C8A299" w14:textId="3550927B" w:rsidR="00D77EE4" w:rsidRDefault="00D77EE4" w:rsidP="007E38EE">
      <w:pPr>
        <w:pStyle w:val="Heading3"/>
      </w:pPr>
      <w:r w:rsidRPr="004C771B">
        <w:t xml:space="preserve">Access to a hardship team is beneficial </w:t>
      </w:r>
    </w:p>
    <w:p w14:paraId="15128B47" w14:textId="0909E8E5" w:rsidR="00765CF1" w:rsidRPr="007F4968" w:rsidRDefault="00D12617" w:rsidP="004C771B">
      <w:r w:rsidRPr="007F4968">
        <w:t xml:space="preserve">There was </w:t>
      </w:r>
      <w:r w:rsidR="00B9017B" w:rsidRPr="007F4968">
        <w:t xml:space="preserve">general </w:t>
      </w:r>
      <w:r w:rsidR="006212E1" w:rsidRPr="007F4968">
        <w:t xml:space="preserve">agreement from interviewees that access to hardship programs </w:t>
      </w:r>
      <w:r w:rsidR="00B9017B" w:rsidRPr="007F4968">
        <w:t xml:space="preserve">is </w:t>
      </w:r>
      <w:r w:rsidR="00241A31" w:rsidRPr="007F4968">
        <w:t>a critical issue</w:t>
      </w:r>
      <w:r w:rsidR="006212E1" w:rsidRPr="007F4968">
        <w:t xml:space="preserve">. </w:t>
      </w:r>
      <w:r w:rsidR="005B0995" w:rsidRPr="007F4968">
        <w:t>Further, e</w:t>
      </w:r>
      <w:r w:rsidR="00305457" w:rsidRPr="007F4968">
        <w:t xml:space="preserve">very financial counsellor </w:t>
      </w:r>
      <w:r w:rsidR="005B0995" w:rsidRPr="007F4968">
        <w:t xml:space="preserve">in attendance agreed </w:t>
      </w:r>
      <w:r w:rsidR="00305457" w:rsidRPr="007F4968">
        <w:t xml:space="preserve">that hardship programs were of benefit to those </w:t>
      </w:r>
      <w:r w:rsidR="00241A31" w:rsidRPr="007F4968">
        <w:t>that accessed them</w:t>
      </w:r>
      <w:r w:rsidR="005B0995" w:rsidRPr="007F4968">
        <w:t xml:space="preserve"> </w:t>
      </w:r>
      <w:r w:rsidR="00241A31" w:rsidRPr="007F4968">
        <w:t>even if some of the programs were more limited than others.</w:t>
      </w:r>
      <w:r w:rsidR="00305457" w:rsidRPr="007F4968">
        <w:t xml:space="preserve"> </w:t>
      </w:r>
      <w:r w:rsidR="00843B3D" w:rsidRPr="007F4968">
        <w:t xml:space="preserve">Some interviewees explained </w:t>
      </w:r>
      <w:r w:rsidR="005B0995" w:rsidRPr="007F4968">
        <w:t>resulting benefits</w:t>
      </w:r>
      <w:r w:rsidR="00843B3D" w:rsidRPr="007F4968">
        <w:t xml:space="preserve"> </w:t>
      </w:r>
      <w:r w:rsidR="00C336CA" w:rsidRPr="007F4968">
        <w:t>by</w:t>
      </w:r>
      <w:r w:rsidR="006A3124" w:rsidRPr="007F4968">
        <w:t xml:space="preserve"> </w:t>
      </w:r>
      <w:r w:rsidR="005B0995" w:rsidRPr="007F4968">
        <w:t>emphasising</w:t>
      </w:r>
      <w:r w:rsidR="006A3124" w:rsidRPr="007F4968">
        <w:t xml:space="preserve"> the difference in approach between collection teams and hardship teams. When a consumer’s debt is being handled by staff in collections </w:t>
      </w:r>
      <w:r w:rsidR="00843B3D" w:rsidRPr="007F4968">
        <w:t>conversations</w:t>
      </w:r>
      <w:r w:rsidR="00A17DC4">
        <w:t>,</w:t>
      </w:r>
      <w:r w:rsidR="00843B3D" w:rsidRPr="007F4968">
        <w:t xml:space="preserve"> a </w:t>
      </w:r>
      <w:r w:rsidR="005B0995" w:rsidRPr="007F4968">
        <w:t>‘</w:t>
      </w:r>
      <w:r w:rsidR="00843B3D" w:rsidRPr="007F4968">
        <w:t>when will you pay?</w:t>
      </w:r>
      <w:r w:rsidR="00DA0C85" w:rsidRPr="007F4968">
        <w:t>’</w:t>
      </w:r>
      <w:r w:rsidR="00843B3D" w:rsidRPr="007F4968">
        <w:t xml:space="preserve"> </w:t>
      </w:r>
      <w:r w:rsidR="00765CF1" w:rsidRPr="007F4968">
        <w:t>approach</w:t>
      </w:r>
      <w:r w:rsidR="00A17DC4">
        <w:t xml:space="preserve"> is taken</w:t>
      </w:r>
      <w:r w:rsidR="005B0995" w:rsidRPr="007F4968">
        <w:t>. This is in contrast</w:t>
      </w:r>
      <w:r w:rsidR="00843B3D" w:rsidRPr="007F4968">
        <w:t xml:space="preserve"> to the</w:t>
      </w:r>
      <w:r w:rsidR="00300B3C" w:rsidRPr="007F4968">
        <w:t xml:space="preserve"> more moderate and </w:t>
      </w:r>
      <w:r w:rsidR="004C7AAD" w:rsidRPr="007F4968">
        <w:t>sympathetic</w:t>
      </w:r>
      <w:r w:rsidR="00300B3C" w:rsidRPr="007F4968">
        <w:t xml:space="preserve"> </w:t>
      </w:r>
      <w:r w:rsidR="004C7AAD" w:rsidRPr="007F4968">
        <w:t xml:space="preserve">tone </w:t>
      </w:r>
      <w:r w:rsidR="005B0995" w:rsidRPr="007F4968">
        <w:t xml:space="preserve">used by </w:t>
      </w:r>
      <w:r w:rsidR="004C7AAD" w:rsidRPr="007F4968">
        <w:t>hardship staff.</w:t>
      </w:r>
      <w:r w:rsidR="00765CF1" w:rsidRPr="007F4968">
        <w:t xml:space="preserve"> A</w:t>
      </w:r>
      <w:r w:rsidR="006A3124" w:rsidRPr="007F4968">
        <w:t xml:space="preserve">ccess to the hardship </w:t>
      </w:r>
      <w:r w:rsidR="005B0995" w:rsidRPr="007F4968">
        <w:t xml:space="preserve">program </w:t>
      </w:r>
      <w:r w:rsidR="00765CF1" w:rsidRPr="007F4968">
        <w:t>also means that</w:t>
      </w:r>
      <w:r w:rsidR="004C7AAD" w:rsidRPr="007F4968">
        <w:t xml:space="preserve"> progression</w:t>
      </w:r>
      <w:r w:rsidR="00846AC6" w:rsidRPr="007F4968">
        <w:t xml:space="preserve"> towards debt collection and court processes</w:t>
      </w:r>
      <w:r w:rsidR="006A3124" w:rsidRPr="007F4968">
        <w:t xml:space="preserve"> </w:t>
      </w:r>
      <w:r w:rsidR="005B0995" w:rsidRPr="007F4968">
        <w:t>are halted</w:t>
      </w:r>
      <w:r w:rsidR="006A3124" w:rsidRPr="007F4968">
        <w:t xml:space="preserve">, providing </w:t>
      </w:r>
      <w:r w:rsidR="004C7AAD" w:rsidRPr="007F4968">
        <w:t xml:space="preserve">psychological </w:t>
      </w:r>
      <w:r w:rsidR="005B0995" w:rsidRPr="007F4968">
        <w:t>relief.</w:t>
      </w:r>
    </w:p>
    <w:p w14:paraId="597094D5" w14:textId="6A56FBEF" w:rsidR="00765CF1" w:rsidRDefault="00765CF1" w:rsidP="007F4968">
      <w:pPr>
        <w:pStyle w:val="Heading3"/>
      </w:pPr>
      <w:r w:rsidRPr="004C771B">
        <w:t xml:space="preserve">Access </w:t>
      </w:r>
      <w:r w:rsidR="00DC7E50" w:rsidRPr="004C771B">
        <w:t xml:space="preserve">to hardship programs </w:t>
      </w:r>
      <w:r w:rsidRPr="004C771B">
        <w:t>is sometimes blocked</w:t>
      </w:r>
    </w:p>
    <w:p w14:paraId="66412CD8" w14:textId="0AE072FC" w:rsidR="00565611" w:rsidRPr="004C771B" w:rsidRDefault="002B4908" w:rsidP="004C771B">
      <w:r w:rsidRPr="004C771B">
        <w:t xml:space="preserve">Financial counsellors and consumer advocates </w:t>
      </w:r>
      <w:r w:rsidR="00DC7E50">
        <w:t>raised the issue</w:t>
      </w:r>
      <w:r w:rsidR="00DC7E50" w:rsidRPr="004C771B">
        <w:t xml:space="preserve"> </w:t>
      </w:r>
      <w:r w:rsidRPr="004C771B">
        <w:t xml:space="preserve">that </w:t>
      </w:r>
      <w:r w:rsidR="00846AC6" w:rsidRPr="004C771B">
        <w:t>staff</w:t>
      </w:r>
      <w:r w:rsidRPr="004C771B">
        <w:t xml:space="preserve"> in collection teams sometimes</w:t>
      </w:r>
      <w:r w:rsidR="00846AC6" w:rsidRPr="004C771B">
        <w:t xml:space="preserve"> blocked access</w:t>
      </w:r>
      <w:r w:rsidR="00DC7E50">
        <w:t xml:space="preserve"> to hardship teams,</w:t>
      </w:r>
      <w:r w:rsidR="00846AC6" w:rsidRPr="004C771B">
        <w:t xml:space="preserve"> either by refusing to refer customers to </w:t>
      </w:r>
      <w:r w:rsidRPr="004C771B">
        <w:t xml:space="preserve">the </w:t>
      </w:r>
      <w:r w:rsidR="00846AC6" w:rsidRPr="004C771B">
        <w:t xml:space="preserve">hardship </w:t>
      </w:r>
      <w:r w:rsidR="00C336CA" w:rsidRPr="004C771B">
        <w:t>function</w:t>
      </w:r>
      <w:r w:rsidRPr="004C771B">
        <w:t xml:space="preserve"> </w:t>
      </w:r>
      <w:r w:rsidR="00846AC6" w:rsidRPr="004C771B">
        <w:t xml:space="preserve">or by not </w:t>
      </w:r>
      <w:r w:rsidR="00DC7E50">
        <w:t>informing</w:t>
      </w:r>
      <w:r w:rsidR="00DC7E50" w:rsidRPr="004C771B">
        <w:t xml:space="preserve"> </w:t>
      </w:r>
      <w:r w:rsidR="00846AC6" w:rsidRPr="004C771B">
        <w:t>them that such a facility existed</w:t>
      </w:r>
      <w:r w:rsidR="004C7AAD" w:rsidRPr="004C771B">
        <w:t xml:space="preserve">. </w:t>
      </w:r>
    </w:p>
    <w:p w14:paraId="6D624CCF" w14:textId="699FAE72" w:rsidR="000A67E4" w:rsidRPr="004C771B" w:rsidRDefault="00B85802" w:rsidP="004C771B">
      <w:pPr>
        <w:ind w:left="567"/>
        <w:rPr>
          <w:i/>
          <w:lang w:val="en-US"/>
        </w:rPr>
      </w:pPr>
      <w:r w:rsidRPr="004C771B">
        <w:rPr>
          <w:i/>
          <w:lang w:val="en-US"/>
        </w:rPr>
        <w:t>‘</w:t>
      </w:r>
      <w:r w:rsidR="00565611" w:rsidRPr="004C771B">
        <w:rPr>
          <w:i/>
          <w:lang w:val="en-US"/>
        </w:rPr>
        <w:t xml:space="preserve">I’d been with the hardship team going back </w:t>
      </w:r>
      <w:r w:rsidR="002B4908" w:rsidRPr="004C771B">
        <w:rPr>
          <w:i/>
          <w:lang w:val="en-US"/>
        </w:rPr>
        <w:t>three</w:t>
      </w:r>
      <w:r w:rsidR="00565611" w:rsidRPr="004C771B">
        <w:rPr>
          <w:i/>
          <w:lang w:val="en-US"/>
        </w:rPr>
        <w:t xml:space="preserve"> years so I knew there was a hardship team. I said </w:t>
      </w:r>
      <w:r w:rsidR="00882975">
        <w:rPr>
          <w:i/>
          <w:lang w:val="en-US"/>
        </w:rPr>
        <w:t>“</w:t>
      </w:r>
      <w:r w:rsidR="00565611" w:rsidRPr="004C771B">
        <w:rPr>
          <w:i/>
          <w:lang w:val="en-US"/>
        </w:rPr>
        <w:t>am I able to talk to someone in the hardship team?</w:t>
      </w:r>
      <w:r w:rsidR="00882975">
        <w:rPr>
          <w:i/>
          <w:lang w:val="en-US"/>
        </w:rPr>
        <w:t>”</w:t>
      </w:r>
      <w:r w:rsidR="00565611" w:rsidRPr="004C771B">
        <w:rPr>
          <w:i/>
          <w:lang w:val="en-US"/>
        </w:rPr>
        <w:t xml:space="preserve"> She said no. I said </w:t>
      </w:r>
      <w:r w:rsidR="00882975">
        <w:rPr>
          <w:i/>
          <w:lang w:val="en-US"/>
        </w:rPr>
        <w:t>“</w:t>
      </w:r>
      <w:r w:rsidR="00565611" w:rsidRPr="004C771B">
        <w:rPr>
          <w:i/>
          <w:lang w:val="en-US"/>
        </w:rPr>
        <w:t>I am in hardship, who can I speak to?</w:t>
      </w:r>
      <w:r w:rsidR="00882975">
        <w:rPr>
          <w:i/>
          <w:lang w:val="en-US"/>
        </w:rPr>
        <w:t>” She said “</w:t>
      </w:r>
      <w:r w:rsidR="00565611" w:rsidRPr="004C771B">
        <w:rPr>
          <w:i/>
          <w:lang w:val="en-US"/>
        </w:rPr>
        <w:t>me</w:t>
      </w:r>
      <w:r w:rsidR="00882975">
        <w:rPr>
          <w:i/>
          <w:lang w:val="en-US"/>
        </w:rPr>
        <w:t>”</w:t>
      </w:r>
      <w:r w:rsidR="00565611" w:rsidRPr="004C771B">
        <w:rPr>
          <w:i/>
          <w:lang w:val="en-US"/>
        </w:rPr>
        <w:t>. I could not get through. I ended up hanging up and went through my files, found the number and called directly. But I couldn’t get past that person.</w:t>
      </w:r>
      <w:r w:rsidRPr="004C771B">
        <w:rPr>
          <w:i/>
          <w:lang w:val="en-US"/>
        </w:rPr>
        <w:t>’</w:t>
      </w:r>
      <w:r w:rsidR="00565611" w:rsidRPr="004C771B">
        <w:rPr>
          <w:i/>
          <w:lang w:val="en-US"/>
        </w:rPr>
        <w:t xml:space="preserve"> </w:t>
      </w:r>
    </w:p>
    <w:p w14:paraId="13EF0792" w14:textId="4CDEBD34" w:rsidR="00882975" w:rsidRDefault="000A67E4" w:rsidP="00746BB2">
      <w:pPr>
        <w:ind w:left="567"/>
        <w:rPr>
          <w:i/>
        </w:rPr>
      </w:pPr>
      <w:r w:rsidRPr="004C771B">
        <w:rPr>
          <w:lang w:val="en-US"/>
        </w:rPr>
        <w:t>Telco</w:t>
      </w:r>
      <w:r w:rsidRPr="004C771B">
        <w:rPr>
          <w:i/>
          <w:lang w:val="en-US"/>
        </w:rPr>
        <w:t xml:space="preserve"> </w:t>
      </w:r>
      <w:r w:rsidRPr="004C771B">
        <w:rPr>
          <w:lang w:val="en-US"/>
        </w:rPr>
        <w:t xml:space="preserve">focus group, </w:t>
      </w:r>
      <w:r w:rsidR="00565611" w:rsidRPr="004C771B">
        <w:rPr>
          <w:lang w:val="en-US"/>
        </w:rPr>
        <w:t>Consumer</w:t>
      </w:r>
    </w:p>
    <w:p w14:paraId="6FA92F9D" w14:textId="5C4884B7" w:rsidR="00765CF1" w:rsidRPr="00882975" w:rsidRDefault="00765CF1" w:rsidP="00746BB2">
      <w:pPr>
        <w:pStyle w:val="Heading3"/>
      </w:pPr>
      <w:r w:rsidRPr="004C771B">
        <w:t>There appears to be low community awareness about the existence of specialist hardship teams</w:t>
      </w:r>
    </w:p>
    <w:p w14:paraId="0763EE1E" w14:textId="5E5B09F5" w:rsidR="002B4908" w:rsidRDefault="00DC7E50" w:rsidP="004C771B">
      <w:r>
        <w:t>D</w:t>
      </w:r>
      <w:r w:rsidR="00527C32" w:rsidRPr="004C771B">
        <w:t>espite having debts they could not pay,</w:t>
      </w:r>
      <w:r w:rsidR="00975AFD" w:rsidRPr="004C771B">
        <w:t xml:space="preserve"> </w:t>
      </w:r>
      <w:r>
        <w:t>m</w:t>
      </w:r>
      <w:r w:rsidRPr="00D07EE9">
        <w:t>ost consumers in the telco focus groups</w:t>
      </w:r>
      <w:r>
        <w:t xml:space="preserve"> were</w:t>
      </w:r>
      <w:r w:rsidRPr="00D07EE9">
        <w:t xml:space="preserve"> </w:t>
      </w:r>
      <w:r w:rsidR="00527C32" w:rsidRPr="004C771B">
        <w:t xml:space="preserve">generally </w:t>
      </w:r>
      <w:r>
        <w:t xml:space="preserve">unaware </w:t>
      </w:r>
      <w:r w:rsidR="00527C32" w:rsidRPr="004C771B">
        <w:t>of hardship teams</w:t>
      </w:r>
      <w:r w:rsidR="00B85802">
        <w:t xml:space="preserve"> – </w:t>
      </w:r>
      <w:r w:rsidR="00975AFD" w:rsidRPr="004C771B">
        <w:t xml:space="preserve">people cannot ask for help </w:t>
      </w:r>
      <w:r w:rsidR="00B85802">
        <w:t xml:space="preserve">from a team </w:t>
      </w:r>
      <w:r w:rsidR="00975AFD" w:rsidRPr="004C771B">
        <w:t>if they do not know that it exists</w:t>
      </w:r>
      <w:r w:rsidR="00527C32" w:rsidRPr="004C771B">
        <w:t>.</w:t>
      </w:r>
      <w:r w:rsidR="00882975">
        <w:t xml:space="preserve"> </w:t>
      </w:r>
    </w:p>
    <w:p w14:paraId="77100BB8" w14:textId="77777777" w:rsidR="00A17DC4" w:rsidRDefault="00A17DC4">
      <w:pPr>
        <w:rPr>
          <w:i/>
          <w:lang w:val="en-US"/>
        </w:rPr>
      </w:pPr>
      <w:r>
        <w:rPr>
          <w:i/>
          <w:lang w:val="en-US"/>
        </w:rPr>
        <w:br w:type="page"/>
      </w:r>
    </w:p>
    <w:p w14:paraId="1FB2B4E4" w14:textId="5C384DDD" w:rsidR="004C7AAD" w:rsidRPr="004C771B" w:rsidRDefault="00B85802" w:rsidP="004C771B">
      <w:pPr>
        <w:ind w:left="567"/>
        <w:rPr>
          <w:i/>
          <w:lang w:val="en-US"/>
        </w:rPr>
      </w:pPr>
      <w:r w:rsidRPr="004C771B">
        <w:rPr>
          <w:i/>
          <w:lang w:val="en-US"/>
        </w:rPr>
        <w:lastRenderedPageBreak/>
        <w:t>‘</w:t>
      </w:r>
      <w:r w:rsidR="004C7AAD" w:rsidRPr="004C771B">
        <w:rPr>
          <w:i/>
          <w:lang w:val="en-US"/>
        </w:rPr>
        <w:t xml:space="preserve">It’s something that they don’t tell people. Once again </w:t>
      </w:r>
      <w:r w:rsidR="00882975">
        <w:rPr>
          <w:i/>
          <w:lang w:val="en-US"/>
        </w:rPr>
        <w:t xml:space="preserve">it is </w:t>
      </w:r>
      <w:r w:rsidR="004C7AAD" w:rsidRPr="004C771B">
        <w:rPr>
          <w:i/>
          <w:lang w:val="en-US"/>
        </w:rPr>
        <w:t>a system put in place designed to fail, designed to not assist people when they need it.</w:t>
      </w:r>
      <w:r w:rsidRPr="004C771B">
        <w:rPr>
          <w:i/>
          <w:lang w:val="en-US"/>
        </w:rPr>
        <w:t>’</w:t>
      </w:r>
    </w:p>
    <w:p w14:paraId="0EF8B3FE" w14:textId="16A00E1E" w:rsidR="00527C32" w:rsidRDefault="000A67E4" w:rsidP="004C771B">
      <w:pPr>
        <w:ind w:left="567"/>
      </w:pPr>
      <w:r w:rsidRPr="004C771B">
        <w:rPr>
          <w:lang w:val="en-US"/>
        </w:rPr>
        <w:t>Telco focus group consumer</w:t>
      </w:r>
    </w:p>
    <w:p w14:paraId="6D0C0D81" w14:textId="3D9E9C63" w:rsidR="000F6891" w:rsidRPr="00A17DC4" w:rsidRDefault="002B4908" w:rsidP="004C771B">
      <w:r w:rsidRPr="004C771B">
        <w:t>A similar problem exists in the banking industry, where their research shows that one in four bank customers do not know that banks offer hardship assistance (see box below).</w:t>
      </w:r>
    </w:p>
    <w:p w14:paraId="79571F2A" w14:textId="2EAEE203" w:rsidR="00000FB9" w:rsidRDefault="001B575D" w:rsidP="00A17DC4">
      <w:pPr>
        <w:pStyle w:val="Heading3"/>
      </w:pPr>
      <w:r w:rsidRPr="004C771B">
        <w:t>Well informed consumers get better outcomes</w:t>
      </w:r>
    </w:p>
    <w:p w14:paraId="03AA57EE" w14:textId="4404C7BE" w:rsidR="00A442F8" w:rsidRDefault="00A442F8" w:rsidP="004C771B">
      <w:r w:rsidRPr="004C771B">
        <w:t xml:space="preserve">Consumers who are aware that industry can potentially </w:t>
      </w:r>
      <w:r w:rsidR="00B85802">
        <w:t xml:space="preserve">provide </w:t>
      </w:r>
      <w:r w:rsidRPr="004C771B">
        <w:t xml:space="preserve">help are </w:t>
      </w:r>
      <w:r w:rsidR="00B85802">
        <w:t xml:space="preserve">at least </w:t>
      </w:r>
      <w:r w:rsidRPr="004C771B">
        <w:t xml:space="preserve">on the right path </w:t>
      </w:r>
      <w:r w:rsidR="00B85802">
        <w:t>toward financial stability. However,</w:t>
      </w:r>
      <w:r w:rsidRPr="004C771B">
        <w:t xml:space="preserve"> those who are aware of their </w:t>
      </w:r>
      <w:r w:rsidR="00B85802">
        <w:t>legal</w:t>
      </w:r>
      <w:r w:rsidR="00B85802" w:rsidRPr="004C771B">
        <w:t xml:space="preserve"> </w:t>
      </w:r>
      <w:r w:rsidRPr="004C771B">
        <w:t>rights get better outcomes. An ombudsman interviewee explained:</w:t>
      </w:r>
    </w:p>
    <w:p w14:paraId="354D8393" w14:textId="08E25643" w:rsidR="00A442F8" w:rsidRPr="00A17DC4" w:rsidRDefault="00B85802" w:rsidP="00A17DC4">
      <w:pPr>
        <w:ind w:left="567"/>
        <w:rPr>
          <w:i/>
          <w:lang w:val="en-US"/>
        </w:rPr>
      </w:pPr>
      <w:r w:rsidRPr="004C771B">
        <w:rPr>
          <w:i/>
          <w:lang w:val="en-US"/>
        </w:rPr>
        <w:t>‘</w:t>
      </w:r>
      <w:r w:rsidR="00A442F8" w:rsidRPr="004C771B">
        <w:rPr>
          <w:i/>
          <w:lang w:val="en-US"/>
        </w:rPr>
        <w:t xml:space="preserve">Those customers who know their rights get better outcomes. They know what they’re entitled to. They can ask for </w:t>
      </w:r>
      <w:proofErr w:type="spellStart"/>
      <w:r w:rsidR="00A442F8" w:rsidRPr="004C771B">
        <w:rPr>
          <w:i/>
          <w:lang w:val="en-US"/>
        </w:rPr>
        <w:t>URGS</w:t>
      </w:r>
      <w:proofErr w:type="spellEnd"/>
      <w:r w:rsidR="00A442F8" w:rsidRPr="004C771B">
        <w:rPr>
          <w:i/>
          <w:lang w:val="en-US"/>
        </w:rPr>
        <w:t xml:space="preserve"> [</w:t>
      </w:r>
      <w:r w:rsidR="00AA3EE8" w:rsidRPr="004C771B">
        <w:rPr>
          <w:i/>
          <w:lang w:val="en-US"/>
        </w:rPr>
        <w:t>utility</w:t>
      </w:r>
      <w:r w:rsidR="00A442F8" w:rsidRPr="004C771B">
        <w:rPr>
          <w:i/>
          <w:lang w:val="en-US"/>
        </w:rPr>
        <w:t xml:space="preserve"> grants] if the company doesn’t suggest it or can negotiate if the company says no. They have a better negotiation power. They know the lingo and get past the call center.</w:t>
      </w:r>
      <w:r w:rsidR="00DA0C85" w:rsidRPr="004C771B">
        <w:rPr>
          <w:i/>
          <w:lang w:val="en-US"/>
        </w:rPr>
        <w:t>’</w:t>
      </w:r>
    </w:p>
    <w:p w14:paraId="79BD819B" w14:textId="267BBC21" w:rsidR="00900023" w:rsidRDefault="004D72E7" w:rsidP="004C771B">
      <w:pPr>
        <w:pStyle w:val="Heading2"/>
      </w:pPr>
      <w:bookmarkStart w:id="31" w:name="_Toc387144739"/>
      <w:r>
        <w:t>2.</w:t>
      </w:r>
      <w:r w:rsidR="00A12122">
        <w:t>1.3</w:t>
      </w:r>
      <w:r w:rsidR="00A17DC4">
        <w:t xml:space="preserve"> </w:t>
      </w:r>
      <w:r w:rsidR="00C143D0">
        <w:t>Good i</w:t>
      </w:r>
      <w:r w:rsidR="00900023">
        <w:t>deas</w:t>
      </w:r>
      <w:bookmarkEnd w:id="31"/>
      <w:r w:rsidR="00900023">
        <w:t xml:space="preserve"> </w:t>
      </w:r>
    </w:p>
    <w:p w14:paraId="76220407" w14:textId="77777777" w:rsidR="00900023" w:rsidRPr="004C771B" w:rsidRDefault="00900023" w:rsidP="00A4472A">
      <w:pPr>
        <w:spacing w:after="0" w:line="240" w:lineRule="auto"/>
        <w:ind w:left="851"/>
      </w:pPr>
    </w:p>
    <w:tbl>
      <w:tblPr>
        <w:tblStyle w:val="TableGrid"/>
        <w:tblW w:w="5000" w:type="pct"/>
        <w:tblLook w:val="04A0" w:firstRow="1" w:lastRow="0" w:firstColumn="1" w:lastColumn="0" w:noHBand="0" w:noVBand="1"/>
        <w:tblDescription w:val="Increasing access – banking industry&#10;‘Our research tells us that only one in four bank customers know that banks offer hardship assistance. We would like to change that.’ Steve Munchenberg, CEO, Australian Bankers Association, 4th June 2013. &#10;From the end of July 2013, all banks in Australia have included a link on the home pages of their websites leading to information about assistance during periods of financial difficulty. With one click, customers can then find phone numbers, online application forms (in many cases), information on the arrangements that may be offered, and other useful website links.&#10;Early indications suggest that large numbers of customers are clicking on these links, however, this is not translating into more applications for hardship. &#10;All bank branches also have material about hardship programs on display.&#10;"/>
      </w:tblPr>
      <w:tblGrid>
        <w:gridCol w:w="9242"/>
      </w:tblGrid>
      <w:tr w:rsidR="00900023" w:rsidRPr="004C771B" w14:paraId="7DCC5146" w14:textId="77777777" w:rsidTr="00686F19">
        <w:tc>
          <w:tcPr>
            <w:tcW w:w="5000" w:type="pct"/>
          </w:tcPr>
          <w:p w14:paraId="5C310E1A" w14:textId="05F6DDCC" w:rsidR="00900023" w:rsidRPr="00D54931" w:rsidRDefault="00C143D0" w:rsidP="00D54931">
            <w:pPr>
              <w:pStyle w:val="Heading4"/>
              <w:outlineLvl w:val="3"/>
            </w:pPr>
            <w:r>
              <w:t>Increasing access – b</w:t>
            </w:r>
            <w:r w:rsidR="00900023" w:rsidRPr="004C771B">
              <w:t xml:space="preserve">anking </w:t>
            </w:r>
            <w:r>
              <w:t>i</w:t>
            </w:r>
            <w:r w:rsidR="00563CA0" w:rsidRPr="004C771B">
              <w:t>ndustry</w:t>
            </w:r>
          </w:p>
          <w:p w14:paraId="79B733CC" w14:textId="0C9826FB" w:rsidR="00975AFD" w:rsidRPr="004C771B" w:rsidRDefault="00B85802" w:rsidP="00975AFD">
            <w:pPr>
              <w:spacing w:after="200" w:line="276" w:lineRule="auto"/>
            </w:pPr>
            <w:r w:rsidRPr="004C771B">
              <w:rPr>
                <w:i/>
              </w:rPr>
              <w:t>‘</w:t>
            </w:r>
            <w:r w:rsidR="00975AFD" w:rsidRPr="004C771B">
              <w:rPr>
                <w:i/>
              </w:rPr>
              <w:t>Our research tells us that only one in four bank customers know that banks offer hardship assistance. We would like to change that.</w:t>
            </w:r>
            <w:r w:rsidR="00DA0C85" w:rsidRPr="004C771B">
              <w:rPr>
                <w:i/>
              </w:rPr>
              <w:t>’</w:t>
            </w:r>
            <w:r w:rsidR="00975AFD" w:rsidRPr="004C771B">
              <w:t xml:space="preserve"> Steve </w:t>
            </w:r>
            <w:proofErr w:type="spellStart"/>
            <w:r w:rsidR="00975AFD" w:rsidRPr="004C771B">
              <w:t>Munchenberg</w:t>
            </w:r>
            <w:proofErr w:type="spellEnd"/>
            <w:r w:rsidR="00975AFD" w:rsidRPr="004C771B">
              <w:t xml:space="preserve">, </w:t>
            </w:r>
            <w:proofErr w:type="spellStart"/>
            <w:r w:rsidR="00975AFD" w:rsidRPr="004C771B">
              <w:t>CEO</w:t>
            </w:r>
            <w:proofErr w:type="spellEnd"/>
            <w:r w:rsidR="00975AFD" w:rsidRPr="004C771B">
              <w:t>, Australian Bankers Association, 4</w:t>
            </w:r>
            <w:r w:rsidR="00975AFD" w:rsidRPr="004C771B">
              <w:rPr>
                <w:vertAlign w:val="superscript"/>
              </w:rPr>
              <w:t>th</w:t>
            </w:r>
            <w:r w:rsidR="00975AFD" w:rsidRPr="004C771B">
              <w:t xml:space="preserve"> June 2013.</w:t>
            </w:r>
            <w:r w:rsidR="00975AFD" w:rsidRPr="004C771B">
              <w:rPr>
                <w:rStyle w:val="FootnoteReference"/>
              </w:rPr>
              <w:footnoteReference w:id="19"/>
            </w:r>
          </w:p>
          <w:p w14:paraId="5144B628" w14:textId="21FEE480" w:rsidR="00975AFD" w:rsidRPr="004C771B" w:rsidRDefault="00975AFD" w:rsidP="00975AFD">
            <w:pPr>
              <w:spacing w:after="200" w:line="276" w:lineRule="auto"/>
            </w:pPr>
            <w:r w:rsidRPr="004C771B">
              <w:t xml:space="preserve">From the end of July 2013, all banks in Australia have included a link on the home pages of their websites </w:t>
            </w:r>
            <w:r w:rsidR="00882975">
              <w:t xml:space="preserve">leading </w:t>
            </w:r>
            <w:r w:rsidRPr="004C771B">
              <w:t xml:space="preserve">to information about assistance </w:t>
            </w:r>
            <w:r w:rsidR="00B85802" w:rsidRPr="004C771B">
              <w:t>during periods of</w:t>
            </w:r>
            <w:r w:rsidRPr="004C771B">
              <w:t xml:space="preserve"> financial difficulty. With one click, customers can then find phone numbers, online application forms (in </w:t>
            </w:r>
            <w:r w:rsidR="00DD4C51" w:rsidRPr="004C771B">
              <w:t>many</w:t>
            </w:r>
            <w:r w:rsidRPr="004C771B">
              <w:t xml:space="preserve"> cases), </w:t>
            </w:r>
            <w:r w:rsidR="00B85802" w:rsidRPr="004C771B">
              <w:t xml:space="preserve">information on </w:t>
            </w:r>
            <w:r w:rsidRPr="004C771B">
              <w:t>the arrangements that may be offered</w:t>
            </w:r>
            <w:r w:rsidR="00B85802" w:rsidRPr="004C771B">
              <w:t>,</w:t>
            </w:r>
            <w:r w:rsidRPr="004C771B">
              <w:t xml:space="preserve"> and other useful website links.</w:t>
            </w:r>
          </w:p>
          <w:p w14:paraId="0EA81F75" w14:textId="132820BF" w:rsidR="005908A8" w:rsidRPr="004C771B" w:rsidRDefault="00975AFD" w:rsidP="00975AFD">
            <w:pPr>
              <w:spacing w:after="200" w:line="276" w:lineRule="auto"/>
            </w:pPr>
            <w:r w:rsidRPr="004C771B">
              <w:t xml:space="preserve">Early indications </w:t>
            </w:r>
            <w:r w:rsidR="00B85802" w:rsidRPr="004C771B">
              <w:t xml:space="preserve">suggest </w:t>
            </w:r>
            <w:r w:rsidRPr="004C771B">
              <w:t xml:space="preserve">that large numbers of customers are clicking on these </w:t>
            </w:r>
            <w:proofErr w:type="gramStart"/>
            <w:r w:rsidRPr="004C771B">
              <w:t>links,</w:t>
            </w:r>
            <w:proofErr w:type="gramEnd"/>
            <w:r w:rsidRPr="004C771B">
              <w:t xml:space="preserve"> </w:t>
            </w:r>
            <w:r w:rsidR="00B85802" w:rsidRPr="004C771B">
              <w:t xml:space="preserve">however, </w:t>
            </w:r>
            <w:r w:rsidRPr="004C771B">
              <w:t xml:space="preserve">this is not translating into more applications for hardship. </w:t>
            </w:r>
          </w:p>
          <w:p w14:paraId="33CA953F" w14:textId="4A90BF7E" w:rsidR="00900023" w:rsidRPr="004C771B" w:rsidRDefault="005908A8" w:rsidP="00882975">
            <w:pPr>
              <w:spacing w:after="200" w:line="276" w:lineRule="auto"/>
            </w:pPr>
            <w:r w:rsidRPr="004C771B">
              <w:t>All bank branches also have material about hardship programs on display.</w:t>
            </w:r>
          </w:p>
        </w:tc>
      </w:tr>
    </w:tbl>
    <w:p w14:paraId="798B7095" w14:textId="77777777" w:rsidR="00563CA0" w:rsidRPr="004C771B" w:rsidRDefault="00563CA0" w:rsidP="00882975">
      <w:pPr>
        <w:spacing w:after="0" w:line="240" w:lineRule="auto"/>
      </w:pPr>
    </w:p>
    <w:tbl>
      <w:tblPr>
        <w:tblStyle w:val="TableGrid"/>
        <w:tblW w:w="5000" w:type="pct"/>
        <w:tblLook w:val="04A0" w:firstRow="1" w:lastRow="0" w:firstColumn="1" w:lastColumn="0" w:noHBand="0" w:noVBand="1"/>
        <w:tblDescription w:val="Increasing access – Australian Bankers Association &#10;The ABA has set up a website focusing on information about financial difficulty: www.doingittough.org.au  &#10;&#10;The site includes contact numbers for all bank hardship teams, as well as website links. Financial counsellors are using it to provide consumers with self-help information. &#10;‘I print it all off all the time for customers – I would just like it in a bigger font. I give that to a lot of clients. It is really important to add in the numbers customers should call.’ &#10;Financial counsellor&#10;Some banks also have online hardship application forms.&#10;"/>
      </w:tblPr>
      <w:tblGrid>
        <w:gridCol w:w="9242"/>
      </w:tblGrid>
      <w:tr w:rsidR="00563CA0" w:rsidRPr="004C771B" w14:paraId="30FEEEF8" w14:textId="77777777" w:rsidTr="00686F19">
        <w:tc>
          <w:tcPr>
            <w:tcW w:w="5000" w:type="pct"/>
          </w:tcPr>
          <w:p w14:paraId="224D8830" w14:textId="13480218" w:rsidR="00563CA0" w:rsidRPr="00D54931" w:rsidRDefault="00C143D0" w:rsidP="00D54931">
            <w:pPr>
              <w:pStyle w:val="Heading4"/>
              <w:outlineLvl w:val="3"/>
            </w:pPr>
            <w:r>
              <w:lastRenderedPageBreak/>
              <w:t>Increasing a</w:t>
            </w:r>
            <w:r w:rsidR="00563CA0" w:rsidRPr="004C771B">
              <w:t xml:space="preserve">ccess – </w:t>
            </w:r>
            <w:r w:rsidR="00D54931">
              <w:t xml:space="preserve">Australian Bankers Association </w:t>
            </w:r>
          </w:p>
          <w:p w14:paraId="13666F3E" w14:textId="6164018D" w:rsidR="00B85802" w:rsidRPr="004C771B" w:rsidRDefault="00563CA0" w:rsidP="00563C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r w:rsidRPr="004C771B">
              <w:rPr>
                <w:rFonts w:asciiTheme="minorHAnsi" w:eastAsiaTheme="minorHAnsi" w:hAnsiTheme="minorHAnsi" w:cstheme="minorBidi"/>
                <w:color w:val="auto"/>
                <w:sz w:val="22"/>
                <w:szCs w:val="22"/>
                <w:lang w:val="en-AU" w:eastAsia="en-US"/>
              </w:rPr>
              <w:t xml:space="preserve">The </w:t>
            </w:r>
            <w:proofErr w:type="spellStart"/>
            <w:r w:rsidRPr="004C771B">
              <w:rPr>
                <w:rFonts w:asciiTheme="minorHAnsi" w:eastAsiaTheme="minorHAnsi" w:hAnsiTheme="minorHAnsi" w:cstheme="minorBidi"/>
                <w:color w:val="auto"/>
                <w:sz w:val="22"/>
                <w:szCs w:val="22"/>
                <w:lang w:val="en-AU" w:eastAsia="en-US"/>
              </w:rPr>
              <w:t>ABA</w:t>
            </w:r>
            <w:proofErr w:type="spellEnd"/>
            <w:r w:rsidRPr="004C771B">
              <w:rPr>
                <w:rFonts w:asciiTheme="minorHAnsi" w:eastAsiaTheme="minorHAnsi" w:hAnsiTheme="minorHAnsi" w:cstheme="minorBidi"/>
                <w:color w:val="auto"/>
                <w:sz w:val="22"/>
                <w:szCs w:val="22"/>
                <w:lang w:val="en-AU" w:eastAsia="en-US"/>
              </w:rPr>
              <w:t xml:space="preserve"> has set up a website focusing on information about financial difficulty: </w:t>
            </w:r>
            <w:r w:rsidRPr="00373DEC">
              <w:rPr>
                <w:rFonts w:asciiTheme="minorHAnsi" w:eastAsiaTheme="minorHAnsi" w:hAnsiTheme="minorHAnsi" w:cstheme="minorBidi"/>
                <w:sz w:val="22"/>
                <w:szCs w:val="22"/>
                <w:lang w:val="en-AU" w:eastAsia="en-US"/>
              </w:rPr>
              <w:t>www.doingittough.org.au</w:t>
            </w:r>
            <w:r w:rsidRPr="004C771B">
              <w:rPr>
                <w:rFonts w:asciiTheme="minorHAnsi" w:eastAsiaTheme="minorHAnsi" w:hAnsiTheme="minorHAnsi" w:cstheme="minorBidi"/>
                <w:color w:val="auto"/>
                <w:sz w:val="22"/>
                <w:szCs w:val="22"/>
                <w:lang w:val="en-AU" w:eastAsia="en-US"/>
              </w:rPr>
              <w:t xml:space="preserve">  </w:t>
            </w:r>
          </w:p>
          <w:p w14:paraId="641827E9" w14:textId="77777777" w:rsidR="00B85802" w:rsidRPr="004C771B" w:rsidRDefault="00B85802" w:rsidP="00563C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p>
          <w:p w14:paraId="136E5682" w14:textId="5BC65E2F" w:rsidR="00563CA0" w:rsidRPr="004C771B" w:rsidRDefault="00563CA0" w:rsidP="00563C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r w:rsidRPr="004C771B">
              <w:rPr>
                <w:rFonts w:asciiTheme="minorHAnsi" w:eastAsiaTheme="minorHAnsi" w:hAnsiTheme="minorHAnsi" w:cstheme="minorBidi"/>
                <w:color w:val="auto"/>
                <w:sz w:val="22"/>
                <w:szCs w:val="22"/>
                <w:lang w:val="en-AU" w:eastAsia="en-US"/>
              </w:rPr>
              <w:t>The site includes contact numbers for all bank hardship teams, as well as website links.</w:t>
            </w:r>
            <w:r w:rsidR="00DD4C51" w:rsidRPr="004C771B">
              <w:rPr>
                <w:rFonts w:asciiTheme="minorHAnsi" w:eastAsiaTheme="minorHAnsi" w:hAnsiTheme="minorHAnsi" w:cstheme="minorBidi"/>
                <w:color w:val="auto"/>
                <w:sz w:val="22"/>
                <w:szCs w:val="22"/>
                <w:lang w:val="en-AU" w:eastAsia="en-US"/>
              </w:rPr>
              <w:t xml:space="preserve"> </w:t>
            </w:r>
            <w:r w:rsidRPr="004C771B">
              <w:rPr>
                <w:rFonts w:asciiTheme="minorHAnsi" w:eastAsiaTheme="minorHAnsi" w:hAnsiTheme="minorHAnsi" w:cstheme="minorBidi"/>
                <w:color w:val="auto"/>
                <w:sz w:val="22"/>
                <w:szCs w:val="22"/>
                <w:lang w:val="en-AU" w:eastAsia="en-US"/>
              </w:rPr>
              <w:t xml:space="preserve">Financial counsellors are using it to provide consumers with self-help information. </w:t>
            </w:r>
          </w:p>
          <w:p w14:paraId="0AF96E21" w14:textId="3F9F3691" w:rsidR="00563CA0" w:rsidRPr="004C771B" w:rsidRDefault="00B85802" w:rsidP="00DD4C51">
            <w:pPr>
              <w:pStyle w:val="Quot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b w:val="0"/>
                <w:color w:val="auto"/>
                <w:sz w:val="22"/>
                <w:szCs w:val="22"/>
                <w:lang w:val="en-AU"/>
              </w:rPr>
            </w:pPr>
            <w:r w:rsidRPr="004C771B">
              <w:rPr>
                <w:rFonts w:asciiTheme="minorHAnsi" w:eastAsiaTheme="minorHAnsi" w:hAnsiTheme="minorHAnsi" w:cstheme="minorBidi"/>
                <w:b w:val="0"/>
                <w:color w:val="auto"/>
                <w:sz w:val="22"/>
                <w:szCs w:val="22"/>
                <w:lang w:val="en-AU"/>
              </w:rPr>
              <w:t>‘</w:t>
            </w:r>
            <w:r w:rsidR="00563CA0" w:rsidRPr="004C771B">
              <w:rPr>
                <w:rFonts w:asciiTheme="minorHAnsi" w:eastAsiaTheme="minorHAnsi" w:hAnsiTheme="minorHAnsi" w:cstheme="minorBidi"/>
                <w:b w:val="0"/>
                <w:color w:val="auto"/>
                <w:sz w:val="22"/>
                <w:szCs w:val="22"/>
                <w:lang w:val="en-AU"/>
              </w:rPr>
              <w:t xml:space="preserve">I print it all </w:t>
            </w:r>
            <w:r w:rsidR="00882975">
              <w:rPr>
                <w:rFonts w:asciiTheme="minorHAnsi" w:eastAsiaTheme="minorHAnsi" w:hAnsiTheme="minorHAnsi" w:cstheme="minorBidi"/>
                <w:b w:val="0"/>
                <w:color w:val="auto"/>
                <w:sz w:val="22"/>
                <w:szCs w:val="22"/>
                <w:lang w:val="en-AU"/>
              </w:rPr>
              <w:t>off all the time for customers –</w:t>
            </w:r>
            <w:r w:rsidR="00563CA0" w:rsidRPr="004C771B">
              <w:rPr>
                <w:rFonts w:asciiTheme="minorHAnsi" w:eastAsiaTheme="minorHAnsi" w:hAnsiTheme="minorHAnsi" w:cstheme="minorBidi"/>
                <w:b w:val="0"/>
                <w:color w:val="auto"/>
                <w:sz w:val="22"/>
                <w:szCs w:val="22"/>
                <w:lang w:val="en-AU"/>
              </w:rPr>
              <w:t xml:space="preserve"> I would just like it in a bigger font. I give that to a lot of clients. </w:t>
            </w:r>
            <w:r w:rsidR="00DD4C51" w:rsidRPr="004C771B">
              <w:rPr>
                <w:rFonts w:asciiTheme="minorHAnsi" w:eastAsiaTheme="minorHAnsi" w:hAnsiTheme="minorHAnsi" w:cstheme="minorBidi"/>
                <w:b w:val="0"/>
                <w:color w:val="auto"/>
                <w:sz w:val="22"/>
                <w:szCs w:val="22"/>
                <w:lang w:val="en-AU"/>
              </w:rPr>
              <w:t>I</w:t>
            </w:r>
            <w:r w:rsidR="00563CA0" w:rsidRPr="004C771B">
              <w:rPr>
                <w:rFonts w:asciiTheme="minorHAnsi" w:eastAsiaTheme="minorHAnsi" w:hAnsiTheme="minorHAnsi" w:cstheme="minorBidi"/>
                <w:b w:val="0"/>
                <w:color w:val="auto"/>
                <w:sz w:val="22"/>
                <w:szCs w:val="22"/>
                <w:lang w:val="en-AU"/>
              </w:rPr>
              <w:t>t is really important to add in the numbers customers should call.</w:t>
            </w:r>
            <w:r w:rsidR="00DA0C85" w:rsidRPr="004C771B">
              <w:rPr>
                <w:rFonts w:asciiTheme="minorHAnsi" w:eastAsiaTheme="minorHAnsi" w:hAnsiTheme="minorHAnsi" w:cstheme="minorBidi"/>
                <w:b w:val="0"/>
                <w:color w:val="auto"/>
                <w:sz w:val="22"/>
                <w:szCs w:val="22"/>
                <w:lang w:val="en-AU"/>
              </w:rPr>
              <w:t>’</w:t>
            </w:r>
            <w:r w:rsidR="00563CA0" w:rsidRPr="004C771B">
              <w:rPr>
                <w:rFonts w:asciiTheme="minorHAnsi" w:eastAsiaTheme="minorHAnsi" w:hAnsiTheme="minorHAnsi" w:cstheme="minorBidi"/>
                <w:b w:val="0"/>
                <w:color w:val="auto"/>
                <w:sz w:val="22"/>
                <w:szCs w:val="22"/>
                <w:lang w:val="en-AU"/>
              </w:rPr>
              <w:t xml:space="preserve"> </w:t>
            </w:r>
          </w:p>
          <w:p w14:paraId="1E02A49C" w14:textId="77777777" w:rsidR="003A6E3C" w:rsidRPr="00882975" w:rsidRDefault="003A6E3C" w:rsidP="003A6E3C">
            <w:pPr>
              <w:pStyle w:val="Quot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heme="minorHAnsi" w:eastAsiaTheme="minorHAnsi" w:hAnsiTheme="minorHAnsi" w:cstheme="minorBidi"/>
                <w:b w:val="0"/>
                <w:i w:val="0"/>
                <w:color w:val="auto"/>
                <w:sz w:val="22"/>
                <w:szCs w:val="22"/>
                <w:lang w:val="en-AU"/>
              </w:rPr>
            </w:pPr>
            <w:r w:rsidRPr="00882975">
              <w:rPr>
                <w:rFonts w:asciiTheme="minorHAnsi" w:eastAsiaTheme="minorHAnsi" w:hAnsiTheme="minorHAnsi" w:cstheme="minorBidi"/>
                <w:b w:val="0"/>
                <w:i w:val="0"/>
                <w:color w:val="auto"/>
                <w:sz w:val="22"/>
                <w:szCs w:val="22"/>
                <w:lang w:val="en-AU"/>
              </w:rPr>
              <w:t>Financial counsellor</w:t>
            </w:r>
          </w:p>
          <w:p w14:paraId="6671A61F" w14:textId="77777777" w:rsidR="003A6E3C" w:rsidRPr="004C771B" w:rsidRDefault="003A6E3C" w:rsidP="00F66B2C">
            <w:pPr>
              <w:pStyle w:val="Quot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4"/>
              <w:rPr>
                <w:rFonts w:asciiTheme="minorHAnsi" w:eastAsiaTheme="minorHAnsi" w:hAnsiTheme="minorHAnsi" w:cstheme="minorBidi"/>
                <w:b w:val="0"/>
                <w:i w:val="0"/>
                <w:color w:val="auto"/>
                <w:sz w:val="22"/>
                <w:szCs w:val="22"/>
                <w:lang w:val="en-AU"/>
              </w:rPr>
            </w:pPr>
            <w:r w:rsidRPr="004C771B">
              <w:rPr>
                <w:rFonts w:asciiTheme="minorHAnsi" w:eastAsiaTheme="minorHAnsi" w:hAnsiTheme="minorHAnsi" w:cstheme="minorBidi"/>
                <w:b w:val="0"/>
                <w:i w:val="0"/>
                <w:color w:val="auto"/>
                <w:sz w:val="22"/>
                <w:szCs w:val="22"/>
                <w:lang w:val="en-AU"/>
              </w:rPr>
              <w:t>Some banks also have onl</w:t>
            </w:r>
            <w:r w:rsidR="00F66B2C" w:rsidRPr="004C771B">
              <w:rPr>
                <w:rFonts w:asciiTheme="minorHAnsi" w:eastAsiaTheme="minorHAnsi" w:hAnsiTheme="minorHAnsi" w:cstheme="minorBidi"/>
                <w:b w:val="0"/>
                <w:i w:val="0"/>
                <w:color w:val="auto"/>
                <w:sz w:val="22"/>
                <w:szCs w:val="22"/>
                <w:lang w:val="en-AU"/>
              </w:rPr>
              <w:t>ine hardship application forms.</w:t>
            </w:r>
          </w:p>
        </w:tc>
      </w:tr>
    </w:tbl>
    <w:p w14:paraId="3F2275AA" w14:textId="77777777" w:rsidR="00975AFD" w:rsidRPr="004C771B" w:rsidRDefault="00975AFD" w:rsidP="00124C9F">
      <w:pPr>
        <w:ind w:firstLine="720"/>
        <w:rPr>
          <w:rFonts w:ascii="Arial" w:eastAsia="Arial Unicode MS" w:hAnsi="Arial" w:cs="Times New Roman"/>
          <w:b/>
          <w:bCs/>
          <w:color w:val="42865E"/>
        </w:rPr>
      </w:pPr>
    </w:p>
    <w:tbl>
      <w:tblPr>
        <w:tblStyle w:val="TableGrid"/>
        <w:tblW w:w="5000" w:type="pct"/>
        <w:tblLook w:val="04A0" w:firstRow="1" w:lastRow="0" w:firstColumn="1" w:lastColumn="0" w:noHBand="0" w:noVBand="1"/>
        <w:tblDescription w:val="Increasing access – EWOV publishes hardship team contact details&#10;EWOV (The Energy and Water Ombudsman, Victoria) produces a community newspaper. The newspaper includes information about contacting the hardship teams. &#10;‘Customers don’t want to go through the call centre and talk to someone who is blocking their access to the hardship team. Even having the number for Customer Service people is useful.’&#10;EDR staff member&#10;"/>
      </w:tblPr>
      <w:tblGrid>
        <w:gridCol w:w="9242"/>
      </w:tblGrid>
      <w:tr w:rsidR="00246D3B" w:rsidRPr="004C771B" w14:paraId="2BF018D4" w14:textId="77777777" w:rsidTr="00686F19">
        <w:tc>
          <w:tcPr>
            <w:tcW w:w="5000" w:type="pct"/>
          </w:tcPr>
          <w:p w14:paraId="728F28C1" w14:textId="452DA03C" w:rsidR="00246D3B" w:rsidRPr="00D54931" w:rsidRDefault="0078496B" w:rsidP="00D54931">
            <w:pPr>
              <w:pStyle w:val="Heading4"/>
              <w:outlineLvl w:val="3"/>
            </w:pPr>
            <w:r w:rsidRPr="004C771B">
              <w:t xml:space="preserve">Increasing access – </w:t>
            </w:r>
            <w:proofErr w:type="spellStart"/>
            <w:r w:rsidRPr="004C771B">
              <w:t>EWOV</w:t>
            </w:r>
            <w:proofErr w:type="spellEnd"/>
            <w:r w:rsidRPr="004C771B">
              <w:t xml:space="preserve"> </w:t>
            </w:r>
            <w:r w:rsidR="00246D3B" w:rsidRPr="004C771B">
              <w:t xml:space="preserve">publishes hardship team </w:t>
            </w:r>
            <w:r w:rsidRPr="004C771B">
              <w:t>contact details</w:t>
            </w:r>
          </w:p>
          <w:p w14:paraId="2E190FDD" w14:textId="5AB0F130" w:rsidR="00F66B2C" w:rsidRPr="004C771B" w:rsidRDefault="00246D3B" w:rsidP="004C771B">
            <w:pPr>
              <w:spacing w:after="200" w:line="276" w:lineRule="auto"/>
              <w:ind w:left="34"/>
              <w:rPr>
                <w:rFonts w:eastAsia="Arial Unicode MS" w:cs="Times New Roman"/>
                <w:bCs/>
                <w:color w:val="000000" w:themeColor="text1"/>
              </w:rPr>
            </w:pPr>
            <w:proofErr w:type="spellStart"/>
            <w:r w:rsidRPr="004C771B">
              <w:rPr>
                <w:rFonts w:eastAsia="Arial Unicode MS" w:cs="Times New Roman"/>
                <w:bCs/>
                <w:color w:val="000000" w:themeColor="text1"/>
              </w:rPr>
              <w:t>EWOV</w:t>
            </w:r>
            <w:proofErr w:type="spellEnd"/>
            <w:r w:rsidR="00A17DC4">
              <w:rPr>
                <w:rFonts w:eastAsia="Arial Unicode MS" w:cs="Times New Roman"/>
                <w:bCs/>
                <w:color w:val="000000" w:themeColor="text1"/>
              </w:rPr>
              <w:t xml:space="preserve"> (The Energy and Water Ombudsman, Victoria)</w:t>
            </w:r>
            <w:r w:rsidRPr="004C771B">
              <w:rPr>
                <w:rFonts w:eastAsia="Arial Unicode MS" w:cs="Times New Roman"/>
                <w:bCs/>
                <w:color w:val="000000" w:themeColor="text1"/>
              </w:rPr>
              <w:t xml:space="preserve"> produces a community newspaper. </w:t>
            </w:r>
            <w:r w:rsidR="0078496B" w:rsidRPr="004C771B">
              <w:rPr>
                <w:rFonts w:eastAsia="Arial Unicode MS" w:cs="Times New Roman"/>
                <w:bCs/>
                <w:color w:val="000000" w:themeColor="text1"/>
              </w:rPr>
              <w:t xml:space="preserve">The newspaper includes information about </w:t>
            </w:r>
            <w:r w:rsidRPr="004C771B">
              <w:rPr>
                <w:rFonts w:eastAsia="Arial Unicode MS" w:cs="Times New Roman"/>
                <w:bCs/>
                <w:color w:val="000000" w:themeColor="text1"/>
              </w:rPr>
              <w:t>contact</w:t>
            </w:r>
            <w:r w:rsidR="00B85802" w:rsidRPr="004C771B">
              <w:rPr>
                <w:rFonts w:eastAsia="Arial Unicode MS" w:cs="Times New Roman"/>
                <w:bCs/>
                <w:color w:val="000000" w:themeColor="text1"/>
              </w:rPr>
              <w:t>ing</w:t>
            </w:r>
            <w:r w:rsidR="00A17DC4">
              <w:rPr>
                <w:rFonts w:eastAsia="Arial Unicode MS" w:cs="Times New Roman"/>
                <w:bCs/>
                <w:color w:val="000000" w:themeColor="text1"/>
              </w:rPr>
              <w:t xml:space="preserve"> the</w:t>
            </w:r>
            <w:r w:rsidRPr="004C771B">
              <w:rPr>
                <w:rFonts w:eastAsia="Arial Unicode MS" w:cs="Times New Roman"/>
                <w:bCs/>
                <w:color w:val="000000" w:themeColor="text1"/>
              </w:rPr>
              <w:t xml:space="preserve"> hardship teams. </w:t>
            </w:r>
          </w:p>
          <w:p w14:paraId="1282558C" w14:textId="750EA862" w:rsidR="00246D3B" w:rsidRPr="004C771B" w:rsidRDefault="00B85802" w:rsidP="00246D3B">
            <w:pPr>
              <w:spacing w:after="200" w:line="276" w:lineRule="auto"/>
              <w:ind w:left="34"/>
              <w:rPr>
                <w:rFonts w:eastAsia="Arial Unicode MS" w:cs="Times New Roman"/>
                <w:bCs/>
                <w:i/>
                <w:color w:val="000000" w:themeColor="text1"/>
                <w:lang w:val="en-US"/>
              </w:rPr>
            </w:pPr>
            <w:r w:rsidRPr="004C771B">
              <w:rPr>
                <w:rFonts w:eastAsia="Arial Unicode MS" w:cs="Times New Roman"/>
                <w:bCs/>
                <w:i/>
                <w:color w:val="000000" w:themeColor="text1"/>
              </w:rPr>
              <w:t>‘</w:t>
            </w:r>
            <w:r w:rsidR="00246D3B" w:rsidRPr="004C771B">
              <w:rPr>
                <w:rFonts w:eastAsia="Arial Unicode MS" w:cs="Times New Roman"/>
                <w:bCs/>
                <w:i/>
                <w:color w:val="000000" w:themeColor="text1"/>
                <w:lang w:val="en-US"/>
              </w:rPr>
              <w:t xml:space="preserve">Customers don’t want to go through the call </w:t>
            </w:r>
            <w:proofErr w:type="spellStart"/>
            <w:r w:rsidR="00246D3B" w:rsidRPr="004C771B">
              <w:rPr>
                <w:rFonts w:eastAsia="Arial Unicode MS" w:cs="Times New Roman"/>
                <w:bCs/>
                <w:i/>
                <w:color w:val="000000" w:themeColor="text1"/>
                <w:lang w:val="en-US"/>
              </w:rPr>
              <w:t>centre</w:t>
            </w:r>
            <w:proofErr w:type="spellEnd"/>
            <w:r w:rsidR="00246D3B" w:rsidRPr="004C771B">
              <w:rPr>
                <w:rFonts w:eastAsia="Arial Unicode MS" w:cs="Times New Roman"/>
                <w:bCs/>
                <w:i/>
                <w:color w:val="000000" w:themeColor="text1"/>
                <w:lang w:val="en-US"/>
              </w:rPr>
              <w:t xml:space="preserve"> and talk to someone who is blocking their access to the hardship team. Even having the number for </w:t>
            </w:r>
            <w:proofErr w:type="gramStart"/>
            <w:r w:rsidR="00246D3B" w:rsidRPr="004C771B">
              <w:rPr>
                <w:rFonts w:eastAsia="Arial Unicode MS" w:cs="Times New Roman"/>
                <w:bCs/>
                <w:i/>
                <w:color w:val="000000" w:themeColor="text1"/>
                <w:lang w:val="en-US"/>
              </w:rPr>
              <w:t>Customer Service people is</w:t>
            </w:r>
            <w:proofErr w:type="gramEnd"/>
            <w:r w:rsidR="00246D3B" w:rsidRPr="004C771B">
              <w:rPr>
                <w:rFonts w:eastAsia="Arial Unicode MS" w:cs="Times New Roman"/>
                <w:bCs/>
                <w:i/>
                <w:color w:val="000000" w:themeColor="text1"/>
                <w:lang w:val="en-US"/>
              </w:rPr>
              <w:t xml:space="preserve"> useful.</w:t>
            </w:r>
            <w:r w:rsidR="00DA0C85" w:rsidRPr="004C771B">
              <w:rPr>
                <w:rFonts w:eastAsia="Arial Unicode MS" w:cs="Times New Roman"/>
                <w:bCs/>
                <w:i/>
                <w:color w:val="000000" w:themeColor="text1"/>
                <w:lang w:val="en-US"/>
              </w:rPr>
              <w:t>’</w:t>
            </w:r>
          </w:p>
          <w:p w14:paraId="2D18A18B" w14:textId="77777777" w:rsidR="00246D3B" w:rsidRPr="004C771B" w:rsidRDefault="00246D3B" w:rsidP="00882975">
            <w:pPr>
              <w:jc w:val="right"/>
            </w:pPr>
            <w:proofErr w:type="spellStart"/>
            <w:r w:rsidRPr="004C771B">
              <w:rPr>
                <w:lang w:val="en-US"/>
              </w:rPr>
              <w:t>EDR</w:t>
            </w:r>
            <w:proofErr w:type="spellEnd"/>
            <w:r w:rsidRPr="004C771B">
              <w:rPr>
                <w:lang w:val="en-US"/>
              </w:rPr>
              <w:t xml:space="preserve"> staff member</w:t>
            </w:r>
          </w:p>
          <w:p w14:paraId="24FA287D" w14:textId="77777777" w:rsidR="00246D3B" w:rsidRPr="004C771B" w:rsidRDefault="00246D3B" w:rsidP="00124C9F">
            <w:pPr>
              <w:rPr>
                <w:rFonts w:ascii="Arial" w:eastAsia="Arial Unicode MS" w:hAnsi="Arial" w:cs="Times New Roman"/>
                <w:b/>
                <w:bCs/>
                <w:color w:val="42865E"/>
              </w:rPr>
            </w:pPr>
          </w:p>
        </w:tc>
      </w:tr>
    </w:tbl>
    <w:p w14:paraId="34F5598E" w14:textId="77777777" w:rsidR="00246D3B" w:rsidRPr="004C771B" w:rsidRDefault="00246D3B" w:rsidP="00124C9F">
      <w:pPr>
        <w:ind w:firstLine="720"/>
        <w:rPr>
          <w:rFonts w:ascii="Arial" w:eastAsia="Arial Unicode MS" w:hAnsi="Arial" w:cs="Times New Roman"/>
          <w:b/>
          <w:bCs/>
          <w:color w:val="42865E"/>
        </w:rPr>
      </w:pPr>
    </w:p>
    <w:tbl>
      <w:tblPr>
        <w:tblStyle w:val="TableGrid"/>
        <w:tblW w:w="5000" w:type="pct"/>
        <w:tblLook w:val="04A0" w:firstRow="1" w:lastRow="0" w:firstColumn="1" w:lastColumn="0" w:noHBand="0" w:noVBand="1"/>
        <w:tblDescription w:val="Increasing access – measuring referrals from call centres&#10;Call centre staff are an important access point to hardship teams as they take the most calls from customers. However, these staff may not necessarily facilitate access to the hardship area. &#10;To open lines of communication to the hardship function, some water companies are measuring all staff referrals and identifying individuals who are not referring. These companies follow-up with coaching and training so call centre staff comply with their referral policy.&#10;"/>
      </w:tblPr>
      <w:tblGrid>
        <w:gridCol w:w="9242"/>
      </w:tblGrid>
      <w:tr w:rsidR="00C4006C" w:rsidRPr="004C771B" w14:paraId="76923399" w14:textId="77777777" w:rsidTr="00686F19">
        <w:tc>
          <w:tcPr>
            <w:tcW w:w="5000" w:type="pct"/>
          </w:tcPr>
          <w:p w14:paraId="21E151E4" w14:textId="547A8584" w:rsidR="00C4006C" w:rsidRPr="00D54931" w:rsidRDefault="00C143D0" w:rsidP="00D54931">
            <w:pPr>
              <w:pStyle w:val="Heading4"/>
              <w:outlineLvl w:val="3"/>
            </w:pPr>
            <w:r>
              <w:t xml:space="preserve">Increasing access – measuring </w:t>
            </w:r>
            <w:r w:rsidR="00D54931">
              <w:t>referrals from call centres</w:t>
            </w:r>
          </w:p>
          <w:p w14:paraId="52109DC6" w14:textId="056B672C" w:rsidR="0078496B" w:rsidRPr="004C771B" w:rsidRDefault="00C4006C" w:rsidP="004C771B">
            <w:pPr>
              <w:spacing w:after="200" w:line="276" w:lineRule="auto"/>
              <w:ind w:left="34"/>
            </w:pPr>
            <w:r w:rsidRPr="004C771B">
              <w:t>Call centre staff are an important access point to hardship teams as they take the most calls from customers. However</w:t>
            </w:r>
            <w:r w:rsidR="00882975">
              <w:t>,</w:t>
            </w:r>
            <w:r w:rsidRPr="004C771B">
              <w:t xml:space="preserve"> these staff may not necessarily facilitate access to the hardship </w:t>
            </w:r>
            <w:r w:rsidR="0078496B" w:rsidRPr="004C771B">
              <w:t>area</w:t>
            </w:r>
            <w:r w:rsidRPr="004C771B">
              <w:t xml:space="preserve">. </w:t>
            </w:r>
          </w:p>
          <w:p w14:paraId="62819A61" w14:textId="50CA7D32" w:rsidR="00C4006C" w:rsidRPr="004C771B" w:rsidRDefault="00C4006C" w:rsidP="00C4006C">
            <w:pPr>
              <w:spacing w:after="200" w:line="276" w:lineRule="auto"/>
              <w:ind w:left="34"/>
            </w:pPr>
            <w:r w:rsidRPr="004C771B">
              <w:t xml:space="preserve">To </w:t>
            </w:r>
            <w:r w:rsidR="00B85802" w:rsidRPr="004C771B">
              <w:t>open lines of communication to the hardship function</w:t>
            </w:r>
            <w:r w:rsidRPr="004C771B">
              <w:t xml:space="preserve">, some water companies are measuring all staff referrals and identifying individuals who </w:t>
            </w:r>
            <w:r w:rsidR="0078496B" w:rsidRPr="004C771B">
              <w:t>are</w:t>
            </w:r>
            <w:r w:rsidRPr="004C771B">
              <w:t xml:space="preserve"> not referring. The</w:t>
            </w:r>
            <w:r w:rsidR="009E376D" w:rsidRPr="004C771B">
              <w:t>se</w:t>
            </w:r>
            <w:r w:rsidR="00B85802" w:rsidRPr="004C771B">
              <w:t xml:space="preserve"> companies</w:t>
            </w:r>
            <w:r w:rsidRPr="004C771B">
              <w:t xml:space="preserve"> follow-up with coaching and training so call centre staff comply with their referral policy.</w:t>
            </w:r>
          </w:p>
          <w:p w14:paraId="210C7932" w14:textId="77777777" w:rsidR="00C4006C" w:rsidRPr="004C771B" w:rsidRDefault="00C4006C" w:rsidP="00124C9F">
            <w:pPr>
              <w:rPr>
                <w:rFonts w:ascii="Arial" w:eastAsia="Arial Unicode MS" w:hAnsi="Arial" w:cs="Times New Roman"/>
                <w:b/>
                <w:bCs/>
                <w:color w:val="42865E"/>
              </w:rPr>
            </w:pPr>
          </w:p>
        </w:tc>
      </w:tr>
    </w:tbl>
    <w:p w14:paraId="61D27CE0" w14:textId="0E69A180" w:rsidR="009B1215" w:rsidRDefault="009B1215" w:rsidP="00124C9F">
      <w:pPr>
        <w:ind w:firstLine="720"/>
        <w:rPr>
          <w:rFonts w:ascii="Arial" w:eastAsia="Arial Unicode MS" w:hAnsi="Arial" w:cs="Times New Roman"/>
          <w:b/>
          <w:bCs/>
          <w:color w:val="42865E"/>
          <w:sz w:val="24"/>
          <w:szCs w:val="20"/>
        </w:rPr>
      </w:pPr>
    </w:p>
    <w:p w14:paraId="056574C9" w14:textId="77777777" w:rsidR="009B1215" w:rsidRDefault="009B1215">
      <w:pPr>
        <w:rPr>
          <w:rFonts w:ascii="Arial" w:eastAsia="Arial Unicode MS" w:hAnsi="Arial" w:cs="Times New Roman"/>
          <w:b/>
          <w:bCs/>
          <w:color w:val="42865E"/>
          <w:sz w:val="24"/>
          <w:szCs w:val="20"/>
        </w:rPr>
      </w:pPr>
      <w:r>
        <w:rPr>
          <w:rFonts w:ascii="Arial" w:eastAsia="Arial Unicode MS" w:hAnsi="Arial" w:cs="Times New Roman"/>
          <w:b/>
          <w:bCs/>
          <w:color w:val="42865E"/>
          <w:sz w:val="24"/>
          <w:szCs w:val="20"/>
        </w:rPr>
        <w:br w:type="page"/>
      </w:r>
    </w:p>
    <w:p w14:paraId="630D86CC" w14:textId="533D3529" w:rsidR="002E407D" w:rsidRDefault="004D72E7" w:rsidP="004C771B">
      <w:pPr>
        <w:pStyle w:val="Heading2"/>
      </w:pPr>
      <w:bookmarkStart w:id="32" w:name="_Toc387144740"/>
      <w:r>
        <w:lastRenderedPageBreak/>
        <w:t>2.</w:t>
      </w:r>
      <w:r w:rsidR="002E407D">
        <w:t>1.4</w:t>
      </w:r>
      <w:r w:rsidR="009B1215">
        <w:t xml:space="preserve"> </w:t>
      </w:r>
      <w:r w:rsidR="00C5154C">
        <w:t xml:space="preserve">Summary and </w:t>
      </w:r>
      <w:r w:rsidR="00C143D0">
        <w:t>i</w:t>
      </w:r>
      <w:r w:rsidR="002E407D">
        <w:t>mplications</w:t>
      </w:r>
      <w:bookmarkEnd w:id="32"/>
    </w:p>
    <w:p w14:paraId="18F92FC1" w14:textId="77777777" w:rsidR="002E407D" w:rsidRDefault="002E407D" w:rsidP="002E407D">
      <w:pPr>
        <w:spacing w:after="0" w:line="240" w:lineRule="auto"/>
      </w:pPr>
    </w:p>
    <w:p w14:paraId="4EE9B1D9" w14:textId="34F4CF48" w:rsidR="00BF72E6" w:rsidRPr="004C771B" w:rsidRDefault="00C5154C" w:rsidP="004C771B">
      <w:r w:rsidRPr="004C771B">
        <w:t xml:space="preserve">Access to hardship programs can be of great benefit to people in financial difficulty, but </w:t>
      </w:r>
      <w:r w:rsidR="00F66B2C" w:rsidRPr="004C771B">
        <w:t xml:space="preserve">the research suggests that </w:t>
      </w:r>
      <w:r w:rsidR="009E376D">
        <w:t>successful access is sporadic.</w:t>
      </w:r>
      <w:r w:rsidR="00BF72E6" w:rsidRPr="004C771B">
        <w:t xml:space="preserve"> Access depends on </w:t>
      </w:r>
      <w:r w:rsidR="000A238F" w:rsidRPr="004C771B">
        <w:t>a number of factors</w:t>
      </w:r>
      <w:r w:rsidR="00882975">
        <w:t>, such as</w:t>
      </w:r>
      <w:r w:rsidR="000A238F" w:rsidRPr="004C771B">
        <w:t xml:space="preserve"> </w:t>
      </w:r>
      <w:r w:rsidR="00BF72E6" w:rsidRPr="004C771B">
        <w:t>company promot</w:t>
      </w:r>
      <w:r w:rsidR="009E376D">
        <w:t>ion</w:t>
      </w:r>
      <w:r w:rsidR="003E4674" w:rsidRPr="004C771B">
        <w:t xml:space="preserve"> of hardship assistance and </w:t>
      </w:r>
      <w:r w:rsidR="000A238F" w:rsidRPr="004C771B">
        <w:t xml:space="preserve">staff </w:t>
      </w:r>
      <w:r w:rsidR="009E376D">
        <w:t xml:space="preserve">behaviour </w:t>
      </w:r>
      <w:r w:rsidR="000A238F" w:rsidRPr="004C771B">
        <w:t>in the collections area.</w:t>
      </w:r>
    </w:p>
    <w:p w14:paraId="7658C059" w14:textId="1D7A125C" w:rsidR="00BF72E6" w:rsidRPr="004C771B" w:rsidRDefault="00BF72E6" w:rsidP="004C771B">
      <w:r w:rsidRPr="004C771B">
        <w:t xml:space="preserve">At an industry-wide level, the approach </w:t>
      </w:r>
      <w:r w:rsidR="009E376D">
        <w:t>that</w:t>
      </w:r>
      <w:r w:rsidRPr="004C771B">
        <w:t xml:space="preserve"> the banking industry </w:t>
      </w:r>
      <w:r w:rsidR="009E376D">
        <w:t xml:space="preserve">has taken </w:t>
      </w:r>
      <w:r w:rsidRPr="004C771B">
        <w:t>to improv</w:t>
      </w:r>
      <w:r w:rsidR="009E376D">
        <w:t>e</w:t>
      </w:r>
      <w:r w:rsidRPr="004C771B">
        <w:t xml:space="preserve"> access stands out. It is the only industry to have</w:t>
      </w:r>
      <w:r w:rsidR="000A238F" w:rsidRPr="004C771B">
        <w:t xml:space="preserve"> voluntarily </w:t>
      </w:r>
      <w:r w:rsidR="009E376D">
        <w:t>implemented</w:t>
      </w:r>
      <w:r w:rsidR="000A238F" w:rsidRPr="004C771B">
        <w:t xml:space="preserve"> meaningful structural changes </w:t>
      </w:r>
      <w:r w:rsidR="009E376D">
        <w:t xml:space="preserve">in order </w:t>
      </w:r>
      <w:r w:rsidR="000A238F" w:rsidRPr="004C771B">
        <w:t>to increase access.</w:t>
      </w:r>
    </w:p>
    <w:p w14:paraId="45D81376" w14:textId="77777777" w:rsidR="00F66B2C" w:rsidRDefault="00F66B2C" w:rsidP="002E407D">
      <w:pPr>
        <w:spacing w:after="0" w:line="240" w:lineRule="auto"/>
        <w:ind w:left="851"/>
      </w:pPr>
    </w:p>
    <w:p w14:paraId="0D6F7CE6" w14:textId="5B994272" w:rsidR="00AC0576" w:rsidRPr="00A548AE" w:rsidRDefault="00CC619A" w:rsidP="00231A16">
      <w:pPr>
        <w:pStyle w:val="Heading1"/>
        <w:numPr>
          <w:ilvl w:val="1"/>
          <w:numId w:val="22"/>
        </w:numPr>
        <w:rPr>
          <w:lang w:val="en-US" w:eastAsia="ja-JP"/>
        </w:rPr>
      </w:pPr>
      <w:bookmarkStart w:id="33" w:name="_Toc387144741"/>
      <w:r>
        <w:rPr>
          <w:lang w:val="en-US" w:eastAsia="ja-JP"/>
        </w:rPr>
        <w:lastRenderedPageBreak/>
        <w:t xml:space="preserve">Early </w:t>
      </w:r>
      <w:r w:rsidR="00C143D0">
        <w:rPr>
          <w:lang w:val="en-US" w:eastAsia="ja-JP"/>
        </w:rPr>
        <w:t>i</w:t>
      </w:r>
      <w:r w:rsidR="00552225" w:rsidRPr="00A548AE">
        <w:rPr>
          <w:lang w:val="en-US" w:eastAsia="ja-JP"/>
        </w:rPr>
        <w:t>dentification</w:t>
      </w:r>
      <w:bookmarkEnd w:id="29"/>
      <w:bookmarkEnd w:id="33"/>
    </w:p>
    <w:p w14:paraId="593FAFBE" w14:textId="689452F4" w:rsidR="003C681A" w:rsidRDefault="00F530FB" w:rsidP="00F530FB">
      <w:pPr>
        <w:pStyle w:val="Heading2"/>
        <w:numPr>
          <w:ilvl w:val="2"/>
          <w:numId w:val="22"/>
        </w:numPr>
      </w:pPr>
      <w:r>
        <w:t xml:space="preserve"> </w:t>
      </w:r>
      <w:bookmarkStart w:id="34" w:name="_Toc387144742"/>
      <w:r w:rsidR="0073494F">
        <w:t xml:space="preserve">Why this </w:t>
      </w:r>
      <w:r w:rsidR="00F467DB">
        <w:t>topic</w:t>
      </w:r>
      <w:r w:rsidR="0073494F">
        <w:t>?</w:t>
      </w:r>
      <w:bookmarkEnd w:id="34"/>
      <w:r w:rsidR="003C681A">
        <w:t xml:space="preserve"> </w:t>
      </w:r>
    </w:p>
    <w:p w14:paraId="7B45F5D2" w14:textId="77777777" w:rsidR="003C681A" w:rsidRDefault="003C681A" w:rsidP="003C681A">
      <w:pPr>
        <w:spacing w:after="0" w:line="240" w:lineRule="auto"/>
        <w:ind w:left="993"/>
      </w:pPr>
    </w:p>
    <w:p w14:paraId="4BE34B2E" w14:textId="7C736E33" w:rsidR="00CE7269" w:rsidRPr="004C771B" w:rsidRDefault="00CE7269" w:rsidP="004C771B">
      <w:pPr>
        <w:rPr>
          <w:rFonts w:ascii="ArialMTPro-Light" w:hAnsi="ArialMTPro-Light" w:cs="ArialMTPro-Light"/>
        </w:rPr>
      </w:pPr>
      <w:r w:rsidRPr="004C771B">
        <w:t>The earlier customers</w:t>
      </w:r>
      <w:r w:rsidR="003E4674" w:rsidRPr="004C771B">
        <w:t xml:space="preserve"> experiencing financial problems are identified</w:t>
      </w:r>
      <w:r w:rsidRPr="004C771B">
        <w:t>, the more options they have to overcome their difficulties. Later</w:t>
      </w:r>
      <w:r w:rsidR="009E376D">
        <w:t>,</w:t>
      </w:r>
      <w:r w:rsidRPr="004C771B">
        <w:t xml:space="preserve"> </w:t>
      </w:r>
      <w:r w:rsidR="0080533A" w:rsidRPr="004C771B">
        <w:t xml:space="preserve">related problems such as impacts on health and </w:t>
      </w:r>
      <w:proofErr w:type="gramStart"/>
      <w:r w:rsidR="0080533A" w:rsidRPr="004C771B">
        <w:t>relationships,</w:t>
      </w:r>
      <w:proofErr w:type="gramEnd"/>
      <w:r w:rsidRPr="004C771B">
        <w:t xml:space="preserve"> </w:t>
      </w:r>
      <w:r w:rsidR="0080533A" w:rsidRPr="004C771B">
        <w:t xml:space="preserve">are also </w:t>
      </w:r>
      <w:r w:rsidR="00E11D89" w:rsidRPr="004C771B">
        <w:t xml:space="preserve">likely to </w:t>
      </w:r>
      <w:r w:rsidR="009E376D">
        <w:t xml:space="preserve">be </w:t>
      </w:r>
      <w:r w:rsidR="0080533A" w:rsidRPr="004C771B">
        <w:t>reduce</w:t>
      </w:r>
      <w:r w:rsidR="009E376D">
        <w:t>d in frequency and severity</w:t>
      </w:r>
      <w:r w:rsidRPr="004C771B">
        <w:t>.</w:t>
      </w:r>
    </w:p>
    <w:p w14:paraId="381A7E9C" w14:textId="215C2FDA" w:rsidR="00AC0576" w:rsidRDefault="009E376D" w:rsidP="00F530FB">
      <w:r>
        <w:t>I</w:t>
      </w:r>
      <w:r w:rsidR="003C681A" w:rsidRPr="004C771B">
        <w:t>dentif</w:t>
      </w:r>
      <w:r>
        <w:t>ication of</w:t>
      </w:r>
      <w:r w:rsidR="003C681A" w:rsidRPr="004C771B">
        <w:t xml:space="preserve"> customers who may be experiencing hardship</w:t>
      </w:r>
      <w:r>
        <w:t xml:space="preserve"> can be achieved in two ways</w:t>
      </w:r>
      <w:r w:rsidR="003C681A" w:rsidRPr="004C771B">
        <w:t>. The first is to encourage self-identification</w:t>
      </w:r>
      <w:r>
        <w:t>. T</w:t>
      </w:r>
      <w:r w:rsidR="003C681A" w:rsidRPr="004C771B">
        <w:t xml:space="preserve">he second </w:t>
      </w:r>
      <w:r>
        <w:t>involves</w:t>
      </w:r>
      <w:r w:rsidR="003C681A" w:rsidRPr="004C771B">
        <w:t xml:space="preserve"> industry</w:t>
      </w:r>
      <w:r w:rsidR="00A369D6" w:rsidRPr="004C771B">
        <w:t xml:space="preserve"> pro-actively contact</w:t>
      </w:r>
      <w:r>
        <w:t>ing</w:t>
      </w:r>
      <w:r w:rsidR="00A369D6" w:rsidRPr="004C771B">
        <w:t xml:space="preserve"> customers who they believe may be experiencing hardship, or </w:t>
      </w:r>
      <w:r w:rsidR="00F530FB">
        <w:t>are</w:t>
      </w:r>
      <w:r>
        <w:t xml:space="preserve"> </w:t>
      </w:r>
      <w:r w:rsidR="00A369D6" w:rsidRPr="004C771B">
        <w:t>at risk of</w:t>
      </w:r>
      <w:r w:rsidR="003E4674" w:rsidRPr="004C771B">
        <w:t xml:space="preserve"> experiencing financial hardship</w:t>
      </w:r>
      <w:r w:rsidR="00A369D6" w:rsidRPr="004C771B">
        <w:t>.</w:t>
      </w:r>
    </w:p>
    <w:p w14:paraId="771FC318" w14:textId="363D5A0C" w:rsidR="0006546D" w:rsidRDefault="004D72E7" w:rsidP="00F530FB">
      <w:pPr>
        <w:pStyle w:val="Heading2"/>
      </w:pPr>
      <w:bookmarkStart w:id="35" w:name="_Toc387144743"/>
      <w:r>
        <w:t>2.</w:t>
      </w:r>
      <w:r w:rsidR="00AC4656">
        <w:t>2.2</w:t>
      </w:r>
      <w:r w:rsidR="008F531C">
        <w:tab/>
      </w:r>
      <w:r w:rsidR="00C143D0">
        <w:t>Research f</w:t>
      </w:r>
      <w:r w:rsidR="0006546D">
        <w:t>indings</w:t>
      </w:r>
      <w:bookmarkEnd w:id="35"/>
    </w:p>
    <w:p w14:paraId="5C2A9F73" w14:textId="27F17544" w:rsidR="00DE56F5" w:rsidRDefault="00DE56F5" w:rsidP="00F530FB">
      <w:pPr>
        <w:pStyle w:val="Heading3"/>
      </w:pPr>
      <w:r w:rsidRPr="004C771B">
        <w:t xml:space="preserve">Early identification is important, but there are worries about </w:t>
      </w:r>
      <w:r w:rsidR="009E376D" w:rsidRPr="004C771B">
        <w:t>‘</w:t>
      </w:r>
      <w:r w:rsidR="00DA0C85" w:rsidRPr="004C771B">
        <w:t>‘</w:t>
      </w:r>
      <w:r w:rsidRPr="004C771B">
        <w:t>floodgates</w:t>
      </w:r>
      <w:r w:rsidR="009E376D" w:rsidRPr="004C771B">
        <w:t>’</w:t>
      </w:r>
      <w:r w:rsidR="00DA0C85" w:rsidRPr="004C771B">
        <w:t>’</w:t>
      </w:r>
    </w:p>
    <w:p w14:paraId="636007AE" w14:textId="1BD7BAC8" w:rsidR="00F73A8A" w:rsidRDefault="0006546D" w:rsidP="004C771B">
      <w:r w:rsidRPr="004C771B">
        <w:t xml:space="preserve">All </w:t>
      </w:r>
      <w:r w:rsidR="00DA4BEC" w:rsidRPr="004C771B">
        <w:t>interviewees</w:t>
      </w:r>
      <w:r w:rsidR="00336E14">
        <w:t>,</w:t>
      </w:r>
      <w:r w:rsidR="00DE56F5" w:rsidRPr="004C771B">
        <w:t xml:space="preserve"> as well as workshop participants</w:t>
      </w:r>
      <w:r w:rsidR="00336E14">
        <w:t>, noted</w:t>
      </w:r>
      <w:r w:rsidRPr="004C771B">
        <w:t xml:space="preserve"> that early identification of customers in hardship was </w:t>
      </w:r>
      <w:r w:rsidR="005908A8" w:rsidRPr="004C771B">
        <w:t>important</w:t>
      </w:r>
      <w:r w:rsidR="00285CAA" w:rsidRPr="004C771B">
        <w:t xml:space="preserve">. </w:t>
      </w:r>
      <w:r w:rsidR="00336E14">
        <w:t>However, t</w:t>
      </w:r>
      <w:r w:rsidR="00AC731A" w:rsidRPr="004C771B">
        <w:t xml:space="preserve">here were different views </w:t>
      </w:r>
      <w:r w:rsidR="00336E14">
        <w:t>regarding</w:t>
      </w:r>
      <w:r w:rsidR="00AC731A" w:rsidRPr="004C771B">
        <w:t xml:space="preserve"> </w:t>
      </w:r>
      <w:r w:rsidR="00285CAA" w:rsidRPr="004C771B">
        <w:t xml:space="preserve">the extent to which early identification </w:t>
      </w:r>
      <w:r w:rsidR="003C681A" w:rsidRPr="004C771B">
        <w:t>was</w:t>
      </w:r>
      <w:r w:rsidR="00336E14">
        <w:t xml:space="preserve"> both</w:t>
      </w:r>
      <w:r w:rsidR="003C681A" w:rsidRPr="004C771B">
        <w:t xml:space="preserve"> possibl</w:t>
      </w:r>
      <w:r w:rsidR="00285CAA" w:rsidRPr="004C771B">
        <w:t>e</w:t>
      </w:r>
      <w:r w:rsidR="00050FFF" w:rsidRPr="004C771B">
        <w:t xml:space="preserve"> and practical</w:t>
      </w:r>
      <w:r w:rsidR="00AC731A" w:rsidRPr="004C771B">
        <w:t xml:space="preserve">. Some industry interviewees </w:t>
      </w:r>
      <w:r w:rsidR="00336E14">
        <w:t xml:space="preserve">expressed </w:t>
      </w:r>
      <w:r w:rsidR="00F530FB">
        <w:t>concern</w:t>
      </w:r>
      <w:r w:rsidR="00AC731A" w:rsidRPr="004C771B">
        <w:t xml:space="preserve"> about </w:t>
      </w:r>
      <w:r w:rsidR="00336E14">
        <w:t>a</w:t>
      </w:r>
      <w:r w:rsidR="00336E14" w:rsidRPr="004C771B">
        <w:t xml:space="preserve"> </w:t>
      </w:r>
      <w:r w:rsidR="00AC731A" w:rsidRPr="004C771B">
        <w:t>potential flood of hardship applications.</w:t>
      </w:r>
      <w:r w:rsidR="003C681A" w:rsidRPr="004C771B">
        <w:t xml:space="preserve"> </w:t>
      </w:r>
    </w:p>
    <w:p w14:paraId="651F2ED0" w14:textId="6D535022" w:rsidR="00DE56F5" w:rsidRDefault="00DE56F5" w:rsidP="00F530FB">
      <w:pPr>
        <w:pStyle w:val="Heading3"/>
      </w:pPr>
      <w:r w:rsidRPr="004C771B">
        <w:t xml:space="preserve">Mixed views about proactive early identification </w:t>
      </w:r>
    </w:p>
    <w:p w14:paraId="41E54C19" w14:textId="2EC0BC9F" w:rsidR="00300B58" w:rsidRDefault="003C681A" w:rsidP="004C771B">
      <w:r w:rsidRPr="004C771B">
        <w:t xml:space="preserve">There were mixed views </w:t>
      </w:r>
      <w:r w:rsidR="00336E14" w:rsidRPr="004C771B">
        <w:t xml:space="preserve">on </w:t>
      </w:r>
      <w:r w:rsidR="00050FFF" w:rsidRPr="004C771B">
        <w:t xml:space="preserve">the merits of </w:t>
      </w:r>
      <w:r w:rsidR="00F73A8A" w:rsidRPr="004C771B">
        <w:t>proactive early identification by industry.</w:t>
      </w:r>
      <w:r w:rsidR="00336E14" w:rsidRPr="00336E14">
        <w:t xml:space="preserve"> </w:t>
      </w:r>
      <w:r w:rsidR="00336E14" w:rsidRPr="00882660">
        <w:t>The energy and water industries have had some success</w:t>
      </w:r>
      <w:r w:rsidR="00336E14">
        <w:t xml:space="preserve"> on this front</w:t>
      </w:r>
      <w:r w:rsidR="00336E14" w:rsidRPr="00882660">
        <w:t>. One water company is developing logarithms</w:t>
      </w:r>
      <w:r w:rsidR="00336E14">
        <w:t>, using various parameters,</w:t>
      </w:r>
      <w:r w:rsidR="00336E14" w:rsidRPr="00882660">
        <w:t xml:space="preserve"> to identify customers in hardship</w:t>
      </w:r>
      <w:r w:rsidR="00336E14">
        <w:t>.</w:t>
      </w:r>
      <w:r w:rsidR="00336E14" w:rsidRPr="00882660">
        <w:t xml:space="preserve"> </w:t>
      </w:r>
    </w:p>
    <w:p w14:paraId="1EB5CCE3" w14:textId="3310F3D5" w:rsidR="00CA7DA3" w:rsidRPr="004C771B" w:rsidRDefault="00E25633" w:rsidP="004C771B">
      <w:pPr>
        <w:rPr>
          <w:sz w:val="24"/>
          <w:szCs w:val="24"/>
        </w:rPr>
      </w:pPr>
      <w:r w:rsidRPr="004C771B">
        <w:t>Early identification pilot</w:t>
      </w:r>
      <w:r w:rsidR="00336E14">
        <w:t xml:space="preserve"> strategies</w:t>
      </w:r>
      <w:r w:rsidRPr="004C771B">
        <w:t xml:space="preserve"> in the banking industry</w:t>
      </w:r>
      <w:r w:rsidR="00336E14">
        <w:t>,</w:t>
      </w:r>
      <w:r w:rsidRPr="004C771B">
        <w:t xml:space="preserve"> </w:t>
      </w:r>
      <w:r w:rsidR="00300B58" w:rsidRPr="004C771B">
        <w:t>however</w:t>
      </w:r>
      <w:r w:rsidR="00336E14">
        <w:t>,</w:t>
      </w:r>
      <w:r w:rsidR="00300B58" w:rsidRPr="004C771B">
        <w:t xml:space="preserve"> have n</w:t>
      </w:r>
      <w:r w:rsidRPr="004C771B">
        <w:t>ot been as successful</w:t>
      </w:r>
      <w:r w:rsidR="00300B58" w:rsidRPr="004C771B">
        <w:t xml:space="preserve">. </w:t>
      </w:r>
      <w:r w:rsidR="00AA076A" w:rsidRPr="004C771B">
        <w:t>S</w:t>
      </w:r>
      <w:r w:rsidR="00DA4BEC" w:rsidRPr="004C771B">
        <w:t xml:space="preserve">ome </w:t>
      </w:r>
      <w:r w:rsidRPr="004C771B">
        <w:t xml:space="preserve">customers </w:t>
      </w:r>
      <w:r w:rsidR="00300B58" w:rsidRPr="004C771B">
        <w:t xml:space="preserve">have </w:t>
      </w:r>
      <w:r w:rsidR="00AA076A" w:rsidRPr="004C771B">
        <w:t xml:space="preserve">interpreted proactive early identification calls as intrusive or as </w:t>
      </w:r>
      <w:r w:rsidR="00336E14">
        <w:t xml:space="preserve">an insinuation </w:t>
      </w:r>
      <w:r w:rsidR="00AA076A" w:rsidRPr="004C771B">
        <w:t xml:space="preserve">that they are not managing their money. </w:t>
      </w:r>
      <w:r w:rsidR="00336E14">
        <w:t>I</w:t>
      </w:r>
      <w:r w:rsidR="008B621D" w:rsidRPr="004C771B">
        <w:t xml:space="preserve">nterviewees </w:t>
      </w:r>
      <w:r w:rsidR="00336E14">
        <w:t xml:space="preserve">from the banking industry noted </w:t>
      </w:r>
      <w:r w:rsidR="008B621D" w:rsidRPr="004C771B">
        <w:t xml:space="preserve">that </w:t>
      </w:r>
      <w:r w:rsidR="00AA076A" w:rsidRPr="004C771B">
        <w:t>customers</w:t>
      </w:r>
      <w:r w:rsidR="008B621D" w:rsidRPr="004C771B">
        <w:t xml:space="preserve"> </w:t>
      </w:r>
      <w:r w:rsidR="00AA076A" w:rsidRPr="004C771B">
        <w:t>may</w:t>
      </w:r>
      <w:r w:rsidR="008B621D" w:rsidRPr="004C771B">
        <w:t xml:space="preserve"> not </w:t>
      </w:r>
      <w:r w:rsidR="00AA076A" w:rsidRPr="004C771B">
        <w:t xml:space="preserve">be </w:t>
      </w:r>
      <w:r w:rsidR="00484CF6">
        <w:t>accustomed</w:t>
      </w:r>
      <w:r w:rsidR="00484CF6" w:rsidRPr="004C771B">
        <w:t xml:space="preserve"> </w:t>
      </w:r>
      <w:r w:rsidR="008B621D" w:rsidRPr="004C771B">
        <w:t xml:space="preserve">to </w:t>
      </w:r>
      <w:r w:rsidR="00484CF6">
        <w:t xml:space="preserve">receiving </w:t>
      </w:r>
      <w:r w:rsidR="008B621D" w:rsidRPr="004C771B">
        <w:t>personal calls from the bank.</w:t>
      </w:r>
      <w:r w:rsidR="00484CF6">
        <w:t xml:space="preserve"> W</w:t>
      </w:r>
      <w:r w:rsidR="008B621D" w:rsidRPr="004C771B">
        <w:t xml:space="preserve">hen it was suggested that </w:t>
      </w:r>
      <w:r w:rsidR="00484CF6">
        <w:t>a</w:t>
      </w:r>
      <w:r w:rsidR="00484CF6" w:rsidRPr="004C771B">
        <w:t xml:space="preserve"> </w:t>
      </w:r>
      <w:r w:rsidR="008B621D" w:rsidRPr="004C771B">
        <w:t xml:space="preserve">call be transferred from </w:t>
      </w:r>
      <w:r w:rsidR="00AA076A" w:rsidRPr="004C771B">
        <w:t xml:space="preserve">the </w:t>
      </w:r>
      <w:r w:rsidR="008B621D" w:rsidRPr="004C771B">
        <w:t xml:space="preserve">collection </w:t>
      </w:r>
      <w:r w:rsidR="00AA076A" w:rsidRPr="004C771B">
        <w:t xml:space="preserve">function </w:t>
      </w:r>
      <w:r w:rsidR="008B621D" w:rsidRPr="004C771B">
        <w:t xml:space="preserve">to </w:t>
      </w:r>
      <w:r w:rsidR="00484CF6">
        <w:t xml:space="preserve">the </w:t>
      </w:r>
      <w:r w:rsidR="008B621D" w:rsidRPr="004C771B">
        <w:t xml:space="preserve">hardship </w:t>
      </w:r>
      <w:r w:rsidR="00484CF6">
        <w:t>function, o</w:t>
      </w:r>
      <w:r w:rsidR="00484CF6" w:rsidRPr="00C2524E">
        <w:t>ne bank customer</w:t>
      </w:r>
      <w:r w:rsidR="00484CF6" w:rsidRPr="00484CF6">
        <w:t xml:space="preserve"> </w:t>
      </w:r>
      <w:r w:rsidR="008B621D" w:rsidRPr="004C771B">
        <w:t xml:space="preserve">responded by saying </w:t>
      </w:r>
      <w:r w:rsidR="00484CF6">
        <w:t>‘</w:t>
      </w:r>
      <w:r w:rsidR="008B621D" w:rsidRPr="004C771B">
        <w:t>I have no intention of going bankrupt. I’m not going into hardship.</w:t>
      </w:r>
      <w:r w:rsidR="00DA0C85">
        <w:t>’</w:t>
      </w:r>
      <w:r w:rsidR="00CA7DA3" w:rsidRPr="004C771B">
        <w:t xml:space="preserve"> Customers are also concerned about the impact </w:t>
      </w:r>
      <w:r w:rsidR="00B54952" w:rsidRPr="004C771B">
        <w:t xml:space="preserve">on their credit ratings if they are part of </w:t>
      </w:r>
      <w:r w:rsidR="008005A0" w:rsidRPr="004C771B">
        <w:t xml:space="preserve">a </w:t>
      </w:r>
      <w:r w:rsidR="00CA7DA3" w:rsidRPr="004C771B">
        <w:t xml:space="preserve">hardship </w:t>
      </w:r>
      <w:r w:rsidR="008005A0" w:rsidRPr="004C771B">
        <w:t>program</w:t>
      </w:r>
      <w:r w:rsidR="00CA7DA3" w:rsidRPr="004C771B">
        <w:t>.</w:t>
      </w:r>
    </w:p>
    <w:p w14:paraId="7389EC43" w14:textId="3E2550F0" w:rsidR="008005A0" w:rsidRPr="004C771B" w:rsidRDefault="00CA7DA3" w:rsidP="004C771B">
      <w:r w:rsidRPr="004C771B">
        <w:t xml:space="preserve">Other </w:t>
      </w:r>
      <w:r w:rsidR="00484CF6">
        <w:t xml:space="preserve">interviewees </w:t>
      </w:r>
      <w:r w:rsidRPr="004C771B">
        <w:t xml:space="preserve">said that interaction with </w:t>
      </w:r>
      <w:r w:rsidR="003F4040" w:rsidRPr="004C771B">
        <w:t>a</w:t>
      </w:r>
      <w:r w:rsidRPr="004C771B">
        <w:t xml:space="preserve"> client could be handled </w:t>
      </w:r>
      <w:r w:rsidR="00484CF6">
        <w:t xml:space="preserve">with </w:t>
      </w:r>
      <w:r w:rsidRPr="004C771B">
        <w:t>sensitiv</w:t>
      </w:r>
      <w:r w:rsidR="00484CF6">
        <w:t>ity</w:t>
      </w:r>
      <w:r w:rsidRPr="004C771B">
        <w:t xml:space="preserve"> by asking</w:t>
      </w:r>
      <w:r w:rsidR="00484CF6">
        <w:t>,</w:t>
      </w:r>
      <w:r w:rsidRPr="004C771B">
        <w:t xml:space="preserve"> for example, </w:t>
      </w:r>
      <w:r w:rsidR="00484CF6">
        <w:t>‘</w:t>
      </w:r>
      <w:r w:rsidRPr="004C771B">
        <w:t>do you require more time to pay your bill?</w:t>
      </w:r>
      <w:r w:rsidR="00DA0C85">
        <w:t>’</w:t>
      </w:r>
      <w:r w:rsidR="00882975">
        <w:t xml:space="preserve"> T</w:t>
      </w:r>
      <w:r w:rsidR="003F4040" w:rsidRPr="004C771B">
        <w:t>his approach had been successful.</w:t>
      </w:r>
    </w:p>
    <w:p w14:paraId="44594220" w14:textId="77777777" w:rsidR="00F530FB" w:rsidRDefault="00F530FB">
      <w:pPr>
        <w:rPr>
          <w:i/>
        </w:rPr>
      </w:pPr>
      <w:r>
        <w:rPr>
          <w:i/>
        </w:rPr>
        <w:br w:type="page"/>
      </w:r>
    </w:p>
    <w:p w14:paraId="7AE1C711" w14:textId="389EEF90" w:rsidR="00A07A14" w:rsidRPr="004C771B" w:rsidRDefault="00C91997" w:rsidP="00F530FB">
      <w:pPr>
        <w:pStyle w:val="Heading3"/>
      </w:pPr>
      <w:r w:rsidRPr="004C771B">
        <w:lastRenderedPageBreak/>
        <w:t xml:space="preserve">Research shows that </w:t>
      </w:r>
      <w:r w:rsidR="00A07A14" w:rsidRPr="004C771B">
        <w:t>Victorian water customers are open to proactive contact about hardship</w:t>
      </w:r>
      <w:r w:rsidRPr="004C771B">
        <w:t xml:space="preserve"> assistance</w:t>
      </w:r>
      <w:r w:rsidR="00A07A14" w:rsidRPr="004C771B">
        <w:t xml:space="preserve"> </w:t>
      </w:r>
      <w:r w:rsidR="00EB2280" w:rsidRPr="004C771B">
        <w:t>–</w:t>
      </w:r>
      <w:r w:rsidRPr="004C771B">
        <w:t xml:space="preserve"> </w:t>
      </w:r>
      <w:r w:rsidR="00EB2280" w:rsidRPr="004C771B">
        <w:t xml:space="preserve">if </w:t>
      </w:r>
      <w:r w:rsidR="00484CF6">
        <w:t>implemented</w:t>
      </w:r>
      <w:r w:rsidR="00484CF6" w:rsidRPr="004C771B">
        <w:t xml:space="preserve"> </w:t>
      </w:r>
      <w:r w:rsidRPr="004C771B">
        <w:t xml:space="preserve">well </w:t>
      </w:r>
    </w:p>
    <w:p w14:paraId="624F1AD8" w14:textId="68DAAAB5" w:rsidR="00775EC2" w:rsidRPr="004C771B" w:rsidRDefault="008005A0" w:rsidP="004C771B">
      <w:r w:rsidRPr="004C771B">
        <w:t xml:space="preserve">The Victorian metropolitan water industry has recently released </w:t>
      </w:r>
      <w:r w:rsidR="00432922" w:rsidRPr="004C771B">
        <w:t xml:space="preserve">comprehensive qualitative and quantitative </w:t>
      </w:r>
      <w:r w:rsidRPr="004C771B">
        <w:t>research</w:t>
      </w:r>
      <w:r w:rsidR="002E3CE5" w:rsidRPr="004C771B">
        <w:t xml:space="preserve"> </w:t>
      </w:r>
      <w:r w:rsidR="00484CF6">
        <w:t xml:space="preserve">data relating </w:t>
      </w:r>
      <w:r w:rsidR="002E3CE5" w:rsidRPr="004C771B">
        <w:t xml:space="preserve">to customer attitudes </w:t>
      </w:r>
      <w:r w:rsidR="00271325" w:rsidRPr="004C771B">
        <w:t>in relation to financial hardship.</w:t>
      </w:r>
      <w:r w:rsidR="00B54952" w:rsidRPr="004C771B">
        <w:rPr>
          <w:rStyle w:val="FootnoteReference"/>
          <w:sz w:val="24"/>
          <w:szCs w:val="24"/>
        </w:rPr>
        <w:footnoteReference w:id="20"/>
      </w:r>
      <w:r w:rsidR="00271325" w:rsidRPr="004C771B">
        <w:t xml:space="preserve"> Of those </w:t>
      </w:r>
      <w:r w:rsidR="00A07A14" w:rsidRPr="004C771B">
        <w:t>surveyed,</w:t>
      </w:r>
      <w:r w:rsidRPr="004C771B">
        <w:t xml:space="preserve"> 48% </w:t>
      </w:r>
      <w:r w:rsidR="00DA0C85">
        <w:t>‘</w:t>
      </w:r>
      <w:r w:rsidR="00B54952" w:rsidRPr="004C771B">
        <w:t>agreed strongly</w:t>
      </w:r>
      <w:r w:rsidR="00DA0C85">
        <w:t>’</w:t>
      </w:r>
      <w:r w:rsidR="00B54952" w:rsidRPr="004C771B">
        <w:t xml:space="preserve"> </w:t>
      </w:r>
      <w:r w:rsidR="00A07A14" w:rsidRPr="004C771B">
        <w:t xml:space="preserve">and 28% </w:t>
      </w:r>
      <w:r w:rsidR="00DA0C85">
        <w:t>‘</w:t>
      </w:r>
      <w:r w:rsidR="00DA0C85" w:rsidRPr="004F2DA3">
        <w:t>somewhat</w:t>
      </w:r>
      <w:r w:rsidR="00DA0C85" w:rsidRPr="00DA0C85">
        <w:t xml:space="preserve"> </w:t>
      </w:r>
      <w:r w:rsidR="00A07A14" w:rsidRPr="004C771B">
        <w:t>agreed</w:t>
      </w:r>
      <w:r w:rsidR="00DA0C85">
        <w:t>’</w:t>
      </w:r>
      <w:r w:rsidR="00A07A14" w:rsidRPr="004C771B">
        <w:t xml:space="preserve"> </w:t>
      </w:r>
      <w:r w:rsidR="00B54952" w:rsidRPr="004C771B">
        <w:t xml:space="preserve">that </w:t>
      </w:r>
      <w:r w:rsidR="00A07A14" w:rsidRPr="004C771B">
        <w:t xml:space="preserve">they </w:t>
      </w:r>
      <w:r w:rsidRPr="004C771B">
        <w:t xml:space="preserve">would appreciate their </w:t>
      </w:r>
      <w:r w:rsidR="0087165F" w:rsidRPr="004C771B">
        <w:t xml:space="preserve">water </w:t>
      </w:r>
      <w:r w:rsidRPr="004C771B">
        <w:t>supplier contacting them to offe</w:t>
      </w:r>
      <w:r w:rsidR="00795BA0" w:rsidRPr="004C771B">
        <w:t>r help or support with the</w:t>
      </w:r>
      <w:r w:rsidR="00A07A14" w:rsidRPr="004C771B">
        <w:t xml:space="preserve">ir </w:t>
      </w:r>
      <w:r w:rsidR="00795BA0" w:rsidRPr="004C771B">
        <w:t xml:space="preserve">bill. A </w:t>
      </w:r>
      <w:r w:rsidRPr="004C771B">
        <w:t xml:space="preserve">similar number </w:t>
      </w:r>
      <w:r w:rsidR="00DA0C85">
        <w:t>believed</w:t>
      </w:r>
      <w:r w:rsidR="00DA0C85" w:rsidRPr="004C771B">
        <w:t xml:space="preserve"> </w:t>
      </w:r>
      <w:r w:rsidRPr="004C771B">
        <w:t>their suppliers should be doing more to help people in their situation</w:t>
      </w:r>
      <w:r w:rsidR="00A07A14" w:rsidRPr="004C771B">
        <w:t xml:space="preserve"> (68% agreed strongly or </w:t>
      </w:r>
      <w:r w:rsidR="00795BA0" w:rsidRPr="004C771B">
        <w:t>somewhat agreed)</w:t>
      </w:r>
      <w:r w:rsidR="004768C7" w:rsidRPr="004C771B">
        <w:t>.</w:t>
      </w:r>
      <w:r w:rsidR="00795BA0" w:rsidRPr="004C771B">
        <w:rPr>
          <w:rStyle w:val="FootnoteReference"/>
          <w:sz w:val="24"/>
          <w:szCs w:val="24"/>
        </w:rPr>
        <w:footnoteReference w:id="21"/>
      </w:r>
      <w:r w:rsidR="00A07A14" w:rsidRPr="004C771B">
        <w:t xml:space="preserve"> </w:t>
      </w:r>
      <w:r w:rsidRPr="004C771B">
        <w:t xml:space="preserve">Overall </w:t>
      </w:r>
      <w:r w:rsidR="00A07A14" w:rsidRPr="004C771B">
        <w:t xml:space="preserve">the research </w:t>
      </w:r>
      <w:r w:rsidR="00E777A6">
        <w:t>emphasises</w:t>
      </w:r>
      <w:r w:rsidR="00A07A14" w:rsidRPr="004C771B">
        <w:t xml:space="preserve"> that there is </w:t>
      </w:r>
      <w:r w:rsidRPr="004C771B">
        <w:t xml:space="preserve">openness to </w:t>
      </w:r>
      <w:r w:rsidR="00A07A14" w:rsidRPr="004C771B">
        <w:t>proactive contact</w:t>
      </w:r>
      <w:r w:rsidRPr="004C771B">
        <w:t xml:space="preserve">. </w:t>
      </w:r>
      <w:r w:rsidR="00E777A6">
        <w:t>A portion of c</w:t>
      </w:r>
      <w:r w:rsidRPr="004C771B">
        <w:t xml:space="preserve">ustomers </w:t>
      </w:r>
      <w:r w:rsidR="00E777A6">
        <w:t>stated</w:t>
      </w:r>
      <w:r w:rsidR="00E777A6" w:rsidRPr="004C771B">
        <w:t xml:space="preserve"> </w:t>
      </w:r>
      <w:r w:rsidRPr="004C771B">
        <w:t xml:space="preserve">that if they had a positive experience </w:t>
      </w:r>
      <w:r w:rsidR="008E4EDB" w:rsidRPr="004C771B">
        <w:t>after assistance</w:t>
      </w:r>
      <w:r w:rsidRPr="004C771B">
        <w:t>, they may priori</w:t>
      </w:r>
      <w:r w:rsidR="00775EC2" w:rsidRPr="004C771B">
        <w:t>tise</w:t>
      </w:r>
      <w:r w:rsidR="008E4EDB" w:rsidRPr="004C771B">
        <w:t xml:space="preserve"> the water bill over other payments.</w:t>
      </w:r>
    </w:p>
    <w:p w14:paraId="312EDF14" w14:textId="2EF002E7" w:rsidR="003225A7" w:rsidRPr="0049530C" w:rsidRDefault="00ED663A" w:rsidP="0049530C">
      <w:r w:rsidRPr="004C771B">
        <w:t xml:space="preserve">There </w:t>
      </w:r>
      <w:r w:rsidR="00E777A6">
        <w:t>are</w:t>
      </w:r>
      <w:r w:rsidR="00E777A6" w:rsidRPr="004C771B">
        <w:t xml:space="preserve"> </w:t>
      </w:r>
      <w:r w:rsidR="00775EC2" w:rsidRPr="004C771B">
        <w:t>three</w:t>
      </w:r>
      <w:r w:rsidR="004768C7" w:rsidRPr="004C771B">
        <w:t xml:space="preserve"> important factors </w:t>
      </w:r>
      <w:r w:rsidR="008E4EDB" w:rsidRPr="004C771B">
        <w:t xml:space="preserve">to </w:t>
      </w:r>
      <w:r w:rsidR="004726A3" w:rsidRPr="004C771B">
        <w:t xml:space="preserve">consider when </w:t>
      </w:r>
      <w:r w:rsidR="008E4EDB" w:rsidRPr="004C771B">
        <w:t>making</w:t>
      </w:r>
      <w:r w:rsidR="004768C7" w:rsidRPr="004C771B">
        <w:t xml:space="preserve"> </w:t>
      </w:r>
      <w:r w:rsidRPr="004C771B">
        <w:t>proactive offer</w:t>
      </w:r>
      <w:r w:rsidR="008E4EDB" w:rsidRPr="004C771B">
        <w:t>s</w:t>
      </w:r>
      <w:r w:rsidRPr="004C771B">
        <w:t xml:space="preserve"> of support:</w:t>
      </w:r>
    </w:p>
    <w:p w14:paraId="32A3ABA5" w14:textId="48479041" w:rsidR="00ED663A" w:rsidRPr="004C771B" w:rsidRDefault="00ED663A" w:rsidP="00231A16">
      <w:pPr>
        <w:pStyle w:val="ListParagraph"/>
        <w:numPr>
          <w:ilvl w:val="0"/>
          <w:numId w:val="10"/>
        </w:numPr>
        <w:autoSpaceDE w:val="0"/>
        <w:autoSpaceDN w:val="0"/>
        <w:adjustRightInd w:val="0"/>
        <w:spacing w:after="0" w:line="240" w:lineRule="auto"/>
      </w:pPr>
      <w:r w:rsidRPr="004C771B">
        <w:t xml:space="preserve">The mode of contact – people </w:t>
      </w:r>
      <w:r w:rsidR="008E4EDB" w:rsidRPr="004C771B">
        <w:t>prefer</w:t>
      </w:r>
      <w:r w:rsidRPr="004C771B">
        <w:t xml:space="preserve"> to be contacted in a </w:t>
      </w:r>
      <w:r w:rsidR="00E777A6" w:rsidRPr="004C771B">
        <w:t xml:space="preserve">variety </w:t>
      </w:r>
      <w:r w:rsidRPr="004C771B">
        <w:t xml:space="preserve">of ways. A large cohort prefer email (40%), </w:t>
      </w:r>
      <w:r w:rsidR="008E4EDB" w:rsidRPr="004C771B">
        <w:t>with</w:t>
      </w:r>
      <w:r w:rsidRPr="004C771B">
        <w:t xml:space="preserve"> 38% preferring mail comm</w:t>
      </w:r>
      <w:r w:rsidR="008E4EDB" w:rsidRPr="004C771B">
        <w:t>unications (letter or brochure);</w:t>
      </w:r>
    </w:p>
    <w:p w14:paraId="4BFC9901" w14:textId="77777777" w:rsidR="004768C7" w:rsidRPr="004C771B" w:rsidRDefault="004768C7" w:rsidP="004768C7">
      <w:pPr>
        <w:pStyle w:val="ListParagraph"/>
        <w:autoSpaceDE w:val="0"/>
        <w:autoSpaceDN w:val="0"/>
        <w:adjustRightInd w:val="0"/>
        <w:spacing w:after="0" w:line="240" w:lineRule="auto"/>
        <w:ind w:left="1571"/>
      </w:pPr>
    </w:p>
    <w:p w14:paraId="3486A0D1" w14:textId="6B40326F" w:rsidR="00ED663A" w:rsidRPr="004C771B" w:rsidRDefault="00ED663A" w:rsidP="00231A16">
      <w:pPr>
        <w:pStyle w:val="ListParagraph"/>
        <w:numPr>
          <w:ilvl w:val="0"/>
          <w:numId w:val="10"/>
        </w:numPr>
        <w:autoSpaceDE w:val="0"/>
        <w:autoSpaceDN w:val="0"/>
        <w:adjustRightInd w:val="0"/>
        <w:spacing w:after="0" w:line="240" w:lineRule="auto"/>
      </w:pPr>
      <w:r w:rsidRPr="004C771B">
        <w:t xml:space="preserve">The tone of communications – communicating </w:t>
      </w:r>
      <w:r w:rsidR="00E777A6" w:rsidRPr="004C771B">
        <w:t xml:space="preserve">with </w:t>
      </w:r>
      <w:r w:rsidRPr="004C771B">
        <w:t xml:space="preserve">sensitivity </w:t>
      </w:r>
      <w:r w:rsidR="00F00D1B" w:rsidRPr="004C771B">
        <w:t xml:space="preserve">and respect </w:t>
      </w:r>
      <w:r w:rsidRPr="004C771B">
        <w:t>was important as people needing help reported having to overcome feelings of shame and embarrassment</w:t>
      </w:r>
      <w:r w:rsidR="00F00D1B" w:rsidRPr="004C771B">
        <w:t xml:space="preserve">. </w:t>
      </w:r>
      <w:r w:rsidR="00EB2280" w:rsidRPr="004C771B">
        <w:t xml:space="preserve">People also reported </w:t>
      </w:r>
      <w:r w:rsidR="00F00D1B" w:rsidRPr="004C771B">
        <w:t>privacy fe</w:t>
      </w:r>
      <w:r w:rsidR="003225A7">
        <w:t>ars and cultural sensitivities.</w:t>
      </w:r>
      <w:r w:rsidRPr="004C771B">
        <w:t xml:space="preserve"> </w:t>
      </w:r>
    </w:p>
    <w:p w14:paraId="2BD44985" w14:textId="77777777" w:rsidR="008E4EDB" w:rsidRPr="004C771B" w:rsidRDefault="008E4EDB" w:rsidP="008E4EDB">
      <w:pPr>
        <w:autoSpaceDE w:val="0"/>
        <w:autoSpaceDN w:val="0"/>
        <w:adjustRightInd w:val="0"/>
        <w:spacing w:after="0" w:line="240" w:lineRule="auto"/>
      </w:pPr>
    </w:p>
    <w:p w14:paraId="0A1533C2" w14:textId="5C1965CF" w:rsidR="00775EC2" w:rsidRPr="004C771B" w:rsidRDefault="00775EC2" w:rsidP="00231A16">
      <w:pPr>
        <w:pStyle w:val="ListParagraph"/>
        <w:numPr>
          <w:ilvl w:val="0"/>
          <w:numId w:val="10"/>
        </w:numPr>
        <w:autoSpaceDE w:val="0"/>
        <w:autoSpaceDN w:val="0"/>
        <w:adjustRightInd w:val="0"/>
        <w:spacing w:after="0" w:line="240" w:lineRule="auto"/>
      </w:pPr>
      <w:r w:rsidRPr="004C771B">
        <w:t>Understanding customer segmentation profiles –</w:t>
      </w:r>
      <w:r w:rsidR="0002494A" w:rsidRPr="004C771B">
        <w:t xml:space="preserve"> </w:t>
      </w:r>
      <w:r w:rsidRPr="004C771B">
        <w:t xml:space="preserve">different </w:t>
      </w:r>
      <w:r w:rsidR="0002494A" w:rsidRPr="004C771B">
        <w:t xml:space="preserve">customer </w:t>
      </w:r>
      <w:r w:rsidRPr="004C771B">
        <w:t>segments had different preferences</w:t>
      </w:r>
      <w:r w:rsidR="0002494A" w:rsidRPr="004C771B">
        <w:t xml:space="preserve"> in relation to proactive contact and the likelihood of support options.</w:t>
      </w:r>
      <w:r w:rsidRPr="004C771B">
        <w:t xml:space="preserve"> For example </w:t>
      </w:r>
      <w:r w:rsidR="00EB2280" w:rsidRPr="004C771B">
        <w:t xml:space="preserve">73% of the </w:t>
      </w:r>
      <w:r w:rsidR="00DA0C85" w:rsidRPr="004C771B">
        <w:t>‘</w:t>
      </w:r>
      <w:r w:rsidR="00EB2280" w:rsidRPr="004C771B">
        <w:t>vulnerable family</w:t>
      </w:r>
      <w:r w:rsidR="00DA0C85" w:rsidRPr="004C771B">
        <w:t>’</w:t>
      </w:r>
      <w:r w:rsidR="00EB2280" w:rsidRPr="004C771B">
        <w:t xml:space="preserve"> </w:t>
      </w:r>
      <w:r w:rsidR="00102DA7" w:rsidRPr="004C771B">
        <w:t xml:space="preserve">segment </w:t>
      </w:r>
      <w:r w:rsidR="00EB2280" w:rsidRPr="004C771B">
        <w:t xml:space="preserve">agreed that they would like a water </w:t>
      </w:r>
      <w:r w:rsidR="00102DA7" w:rsidRPr="004C771B">
        <w:t xml:space="preserve">company to proactively contact them to offer to help, </w:t>
      </w:r>
      <w:r w:rsidR="00EB2280" w:rsidRPr="004C771B">
        <w:t>whereas only</w:t>
      </w:r>
      <w:r w:rsidR="00102DA7" w:rsidRPr="004C771B">
        <w:t xml:space="preserve"> 32%</w:t>
      </w:r>
      <w:r w:rsidR="00EB2280" w:rsidRPr="004C771B">
        <w:t xml:space="preserve"> of the ‘mature secure’ segment did so.</w:t>
      </w:r>
    </w:p>
    <w:p w14:paraId="6A6F550B" w14:textId="77777777" w:rsidR="00F00D1B" w:rsidRPr="004C771B" w:rsidRDefault="00F00D1B" w:rsidP="00DD5A8C">
      <w:pPr>
        <w:pStyle w:val="ListParagraph"/>
        <w:autoSpaceDE w:val="0"/>
        <w:autoSpaceDN w:val="0"/>
        <w:adjustRightInd w:val="0"/>
        <w:spacing w:after="0" w:line="240" w:lineRule="auto"/>
        <w:ind w:left="1571"/>
        <w:rPr>
          <w:sz w:val="24"/>
          <w:szCs w:val="24"/>
        </w:rPr>
      </w:pPr>
    </w:p>
    <w:p w14:paraId="46C8C8A5" w14:textId="556C5153" w:rsidR="00C91997" w:rsidRPr="004C771B" w:rsidRDefault="00F00D1B" w:rsidP="004C771B">
      <w:r w:rsidRPr="004C771B">
        <w:t>This research has resulted in some Victorian wa</w:t>
      </w:r>
      <w:r w:rsidR="00EB2280" w:rsidRPr="004C771B">
        <w:t>ter companies conducting</w:t>
      </w:r>
      <w:r w:rsidRPr="004C771B">
        <w:t xml:space="preserve"> proactive assistance</w:t>
      </w:r>
      <w:r w:rsidR="00EB2280" w:rsidRPr="004C771B">
        <w:t xml:space="preserve"> pilots</w:t>
      </w:r>
      <w:r w:rsidR="004726A3" w:rsidRPr="004C771B">
        <w:t xml:space="preserve"> </w:t>
      </w:r>
      <w:r w:rsidR="00E777A6">
        <w:t>that have a specific</w:t>
      </w:r>
      <w:r w:rsidR="004726A3" w:rsidRPr="004C771B">
        <w:t xml:space="preserve"> focus on assessing which communication channels work best for which customer segments</w:t>
      </w:r>
      <w:r w:rsidRPr="004C771B">
        <w:t>.</w:t>
      </w:r>
      <w:r w:rsidR="004726A3" w:rsidRPr="004C771B">
        <w:t xml:space="preserve"> </w:t>
      </w:r>
      <w:r w:rsidRPr="004C771B">
        <w:t xml:space="preserve">One of the banks reported taking targeted </w:t>
      </w:r>
      <w:r w:rsidR="0049240B" w:rsidRPr="008B51DB">
        <w:t>engagement</w:t>
      </w:r>
      <w:r w:rsidR="0049240B" w:rsidRPr="0049240B">
        <w:t xml:space="preserve"> </w:t>
      </w:r>
      <w:r w:rsidRPr="004C771B">
        <w:t>further</w:t>
      </w:r>
      <w:r w:rsidR="00E777A6">
        <w:t xml:space="preserve"> by</w:t>
      </w:r>
      <w:r w:rsidRPr="004C771B">
        <w:t xml:space="preserve"> working out how best to </w:t>
      </w:r>
      <w:r w:rsidR="00E777A6">
        <w:t>receive</w:t>
      </w:r>
      <w:r w:rsidR="00102DA7" w:rsidRPr="004C771B">
        <w:t xml:space="preserve"> responses </w:t>
      </w:r>
      <w:r w:rsidRPr="004C771B">
        <w:t xml:space="preserve">with </w:t>
      </w:r>
      <w:r w:rsidRPr="004C771B">
        <w:rPr>
          <w:i/>
        </w:rPr>
        <w:t>individual</w:t>
      </w:r>
      <w:r w:rsidRPr="004C771B">
        <w:t xml:space="preserve"> customers – </w:t>
      </w:r>
      <w:r w:rsidR="00102DA7" w:rsidRPr="004C771B">
        <w:t xml:space="preserve">for example, </w:t>
      </w:r>
      <w:r w:rsidRPr="004C771B">
        <w:t>does a specific customer respond more frequently to texts, emails or le</w:t>
      </w:r>
      <w:r w:rsidR="00890ACA">
        <w:t>tters requesting phone contact?</w:t>
      </w:r>
    </w:p>
    <w:p w14:paraId="118329C1" w14:textId="69F11B46" w:rsidR="00775EC2" w:rsidRPr="004C771B" w:rsidRDefault="00C91997" w:rsidP="00890ACA">
      <w:pPr>
        <w:pStyle w:val="Heading3"/>
      </w:pPr>
      <w:r w:rsidRPr="004C771B">
        <w:t>Research reinforces that some customers will not self-identify</w:t>
      </w:r>
    </w:p>
    <w:p w14:paraId="6FE59CCA" w14:textId="1D9D51AE" w:rsidR="00775EC2" w:rsidRPr="004C771B" w:rsidRDefault="00C91997" w:rsidP="004C771B">
      <w:r w:rsidRPr="004C771B">
        <w:t xml:space="preserve">The </w:t>
      </w:r>
      <w:r w:rsidR="0087165F" w:rsidRPr="004C771B">
        <w:t xml:space="preserve">Victorian </w:t>
      </w:r>
      <w:r w:rsidRPr="004C771B">
        <w:t>research</w:t>
      </w:r>
      <w:r w:rsidR="00775EC2" w:rsidRPr="004C771B">
        <w:t xml:space="preserve"> </w:t>
      </w:r>
      <w:r w:rsidR="0087165F" w:rsidRPr="004C771B">
        <w:t xml:space="preserve">cited above also </w:t>
      </w:r>
      <w:r w:rsidR="0049240B">
        <w:t>substantiates</w:t>
      </w:r>
      <w:r w:rsidR="0049240B" w:rsidRPr="004C771B">
        <w:t xml:space="preserve"> </w:t>
      </w:r>
      <w:r w:rsidR="0087165F" w:rsidRPr="004C771B">
        <w:t xml:space="preserve">the existence of </w:t>
      </w:r>
      <w:r w:rsidR="00775EC2" w:rsidRPr="004C771B">
        <w:t xml:space="preserve">psychological barriers </w:t>
      </w:r>
      <w:r w:rsidR="0049240B">
        <w:t>that reduce the likelihood of</w:t>
      </w:r>
      <w:r w:rsidR="00775EC2" w:rsidRPr="004C771B">
        <w:t xml:space="preserve"> customer</w:t>
      </w:r>
      <w:r w:rsidR="005E0FBA" w:rsidRPr="004C771B">
        <w:t>-</w:t>
      </w:r>
      <w:r w:rsidR="00775EC2" w:rsidRPr="004C771B">
        <w:t xml:space="preserve">initiated requests for help. </w:t>
      </w:r>
      <w:r w:rsidR="00102DA7" w:rsidRPr="004C771B">
        <w:t xml:space="preserve">The research </w:t>
      </w:r>
      <w:r w:rsidR="004726A3" w:rsidRPr="004C771B">
        <w:t>shows</w:t>
      </w:r>
      <w:r w:rsidR="00102DA7" w:rsidRPr="004C771B">
        <w:t xml:space="preserve"> that </w:t>
      </w:r>
      <w:r w:rsidR="0087165F" w:rsidRPr="004C771B">
        <w:t xml:space="preserve">some </w:t>
      </w:r>
      <w:r w:rsidR="00102DA7" w:rsidRPr="004C771B">
        <w:t xml:space="preserve">customers </w:t>
      </w:r>
      <w:r w:rsidR="0049240B" w:rsidRPr="007A43A6">
        <w:t>groups</w:t>
      </w:r>
      <w:r w:rsidR="0049240B" w:rsidRPr="0049240B">
        <w:t xml:space="preserve"> </w:t>
      </w:r>
      <w:r w:rsidR="005E0FBA" w:rsidRPr="004C771B">
        <w:t xml:space="preserve">– middle-aged males and those supporting families </w:t>
      </w:r>
      <w:r w:rsidR="0049240B">
        <w:t xml:space="preserve">– </w:t>
      </w:r>
      <w:r w:rsidR="004726A3" w:rsidRPr="004C771B">
        <w:t>are</w:t>
      </w:r>
      <w:r w:rsidR="00102DA7" w:rsidRPr="004C771B">
        <w:t xml:space="preserve"> </w:t>
      </w:r>
      <w:r w:rsidR="00563C84" w:rsidRPr="004C771B">
        <w:t xml:space="preserve">particularly </w:t>
      </w:r>
      <w:r w:rsidR="00102DA7" w:rsidRPr="004C771B">
        <w:t xml:space="preserve">embarrassed </w:t>
      </w:r>
      <w:r w:rsidR="00092EDA" w:rsidRPr="004C771B">
        <w:t>about</w:t>
      </w:r>
      <w:r w:rsidR="00102DA7" w:rsidRPr="004C771B">
        <w:t xml:space="preserve"> exp</w:t>
      </w:r>
      <w:r w:rsidR="005E0FBA" w:rsidRPr="004C771B">
        <w:t>eriencing financial difficulty</w:t>
      </w:r>
      <w:r w:rsidR="00102DA7" w:rsidRPr="004C771B">
        <w:t>.</w:t>
      </w:r>
      <w:r w:rsidR="00563C84" w:rsidRPr="004C771B">
        <w:t xml:space="preserve"> The ‘vulnerable family’ customer segment </w:t>
      </w:r>
      <w:r w:rsidR="0049240B">
        <w:t>displayed</w:t>
      </w:r>
      <w:r w:rsidR="0049240B" w:rsidRPr="004C771B">
        <w:t xml:space="preserve"> </w:t>
      </w:r>
      <w:r w:rsidR="00563C84" w:rsidRPr="004C771B">
        <w:t xml:space="preserve">the highest percentage </w:t>
      </w:r>
      <w:r w:rsidR="0049240B" w:rsidRPr="001D423F">
        <w:t>(48%)</w:t>
      </w:r>
      <w:r w:rsidR="0049240B">
        <w:t xml:space="preserve"> </w:t>
      </w:r>
      <w:r w:rsidR="00563C84" w:rsidRPr="004C771B">
        <w:t>for being ‘embarrassed to ask for help with paying for my water bill’</w:t>
      </w:r>
      <w:r w:rsidR="00B65326" w:rsidRPr="004C771B">
        <w:t>.</w:t>
      </w:r>
      <w:r w:rsidR="00563C84" w:rsidRPr="004C771B">
        <w:rPr>
          <w:rStyle w:val="FootnoteReference"/>
          <w:sz w:val="24"/>
          <w:szCs w:val="24"/>
        </w:rPr>
        <w:footnoteReference w:id="22"/>
      </w:r>
      <w:r w:rsidR="00092EDA" w:rsidRPr="004C771B">
        <w:t xml:space="preserve"> Given self-identification is less likely with certain customers, th</w:t>
      </w:r>
      <w:r w:rsidR="0049240B">
        <w:t>is</w:t>
      </w:r>
      <w:r w:rsidR="00092EDA" w:rsidRPr="004C771B">
        <w:t xml:space="preserve"> research reinforces the need for appropriate proactive contact.</w:t>
      </w:r>
      <w:r w:rsidR="00092EDA" w:rsidRPr="004C771B">
        <w:rPr>
          <w:rStyle w:val="FootnoteReference"/>
          <w:sz w:val="24"/>
          <w:szCs w:val="24"/>
        </w:rPr>
        <w:footnoteReference w:id="23"/>
      </w:r>
    </w:p>
    <w:p w14:paraId="56BCDCC1" w14:textId="77777777" w:rsidR="00563C84" w:rsidRPr="004C771B" w:rsidRDefault="00563C84" w:rsidP="004C771B"/>
    <w:p w14:paraId="5AFFDBEA" w14:textId="375351F5" w:rsidR="00F94BA3" w:rsidRPr="004C771B" w:rsidRDefault="00F94BA3" w:rsidP="006631FF">
      <w:pPr>
        <w:pStyle w:val="Heading3"/>
      </w:pPr>
      <w:proofErr w:type="spellStart"/>
      <w:r w:rsidRPr="004C771B">
        <w:t>EDR</w:t>
      </w:r>
      <w:proofErr w:type="spellEnd"/>
      <w:r w:rsidRPr="004C771B">
        <w:t xml:space="preserve"> schemes expect providers to have made an attempt to identify customers in hardship </w:t>
      </w:r>
    </w:p>
    <w:p w14:paraId="542B53C8" w14:textId="6F47451E" w:rsidR="00300B58" w:rsidRPr="00FF3134" w:rsidRDefault="00C60F88" w:rsidP="00FF3134">
      <w:proofErr w:type="spellStart"/>
      <w:r w:rsidRPr="004C771B">
        <w:t>EDR</w:t>
      </w:r>
      <w:proofErr w:type="spellEnd"/>
      <w:r w:rsidRPr="004C771B">
        <w:t xml:space="preserve"> scheme interviewees </w:t>
      </w:r>
      <w:r w:rsidR="0049240B">
        <w:t>from</w:t>
      </w:r>
      <w:r w:rsidRPr="004C771B">
        <w:t xml:space="preserve"> the energy and water sectors </w:t>
      </w:r>
      <w:r w:rsidR="0049240B" w:rsidRPr="004C771B">
        <w:t>s</w:t>
      </w:r>
      <w:r w:rsidR="0049240B">
        <w:t>tated</w:t>
      </w:r>
      <w:r w:rsidR="0049240B" w:rsidRPr="004C771B">
        <w:t xml:space="preserve"> </w:t>
      </w:r>
      <w:r w:rsidRPr="004C771B">
        <w:t xml:space="preserve">that they expected </w:t>
      </w:r>
      <w:r w:rsidR="00300B58" w:rsidRPr="004C771B">
        <w:t xml:space="preserve">retailers to have </w:t>
      </w:r>
      <w:r w:rsidRPr="004C771B">
        <w:t xml:space="preserve">offered a </w:t>
      </w:r>
      <w:r w:rsidR="00300B58" w:rsidRPr="004C771B">
        <w:t>payment plan</w:t>
      </w:r>
      <w:r w:rsidR="009953EF" w:rsidRPr="004C771B">
        <w:t xml:space="preserve"> </w:t>
      </w:r>
      <w:r w:rsidR="00300B58" w:rsidRPr="004C771B">
        <w:t>before moving to disconnection.</w:t>
      </w:r>
      <w:r w:rsidR="009953EF" w:rsidRPr="004C771B">
        <w:t xml:space="preserve"> In other words, there is an expectation in this industry segment that suppliers make an effort to identify customer hardship.</w:t>
      </w:r>
    </w:p>
    <w:p w14:paraId="0F0C403F" w14:textId="5251B0F9" w:rsidR="00DF1675" w:rsidRPr="00913E6F" w:rsidRDefault="00FF3134" w:rsidP="00DF1675">
      <w:pPr>
        <w:pStyle w:val="Heading2"/>
        <w:numPr>
          <w:ilvl w:val="2"/>
          <w:numId w:val="22"/>
        </w:numPr>
      </w:pPr>
      <w:r>
        <w:t xml:space="preserve"> </w:t>
      </w:r>
      <w:bookmarkStart w:id="36" w:name="_Toc387144744"/>
      <w:r w:rsidR="00E84F5A">
        <w:t>Good i</w:t>
      </w:r>
      <w:r w:rsidR="00416339">
        <w:t>deas</w:t>
      </w:r>
      <w:bookmarkEnd w:id="36"/>
      <w:r w:rsidR="00685C50">
        <w:t xml:space="preserve"> </w:t>
      </w:r>
    </w:p>
    <w:tbl>
      <w:tblPr>
        <w:tblStyle w:val="TableGrid"/>
        <w:tblW w:w="5000" w:type="pct"/>
        <w:tblLook w:val="04A0" w:firstRow="1" w:lastRow="0" w:firstColumn="1" w:lastColumn="0" w:noHBand="0" w:noVBand="1"/>
        <w:tblDescription w:val="Proactive early identification – water company example 1&#10;• Identification – The company compiles lists of vulnerable customers. This is based on a number of risk factors including: use of services, use of grants, use of Centrepay.&#10;&#10;• Phone Contact – The company contacts some customers by phone, starting with those customers with the highest debts. The calls are carefully scripted, use non-threatening language and may be along the lines of: ‘Hi, we’ve noticed that your debt or water consumption is increasing. We just want to let you know that we have a whole bunch of new programs and services. Would you a like a case coordinator to call you and run through them with you?’ The company reports gaining positive results with this approach. The case coordinators only speak to the people who have qualified themselves by saying ‘yes’ to a follow up call.&#10;&#10;• Mail Contact – After a certain number of failed contacts customers are sent a letter offering assistance. These letters are in plain English. The company liaises constantly with the team conducting this work to ensure continuous improvement. The communications function in the business is also involved. &#10;"/>
      </w:tblPr>
      <w:tblGrid>
        <w:gridCol w:w="9242"/>
      </w:tblGrid>
      <w:tr w:rsidR="00DF1675" w14:paraId="1680A380" w14:textId="77777777" w:rsidTr="00686F19">
        <w:tc>
          <w:tcPr>
            <w:tcW w:w="5000" w:type="pct"/>
          </w:tcPr>
          <w:p w14:paraId="5770348D" w14:textId="1237D39F" w:rsidR="00DF1675" w:rsidRPr="00D54931" w:rsidRDefault="00FA4E21" w:rsidP="00D54931">
            <w:pPr>
              <w:pStyle w:val="Heading4"/>
              <w:outlineLvl w:val="3"/>
            </w:pPr>
            <w:r w:rsidRPr="004C771B">
              <w:t>Proactive</w:t>
            </w:r>
            <w:r w:rsidR="00913E6F">
              <w:t xml:space="preserve"> e</w:t>
            </w:r>
            <w:r w:rsidR="00F94097" w:rsidRPr="004C771B">
              <w:t xml:space="preserve">arly </w:t>
            </w:r>
            <w:r w:rsidR="00913E6F">
              <w:t>i</w:t>
            </w:r>
            <w:r w:rsidR="00DF1675" w:rsidRPr="004C771B">
              <w:t xml:space="preserve">dentification </w:t>
            </w:r>
            <w:r w:rsidR="00913E6F">
              <w:t>– water c</w:t>
            </w:r>
            <w:r w:rsidR="00F94097" w:rsidRPr="004C771B">
              <w:t>ompany</w:t>
            </w:r>
            <w:r w:rsidR="00913E6F">
              <w:t xml:space="preserve"> e</w:t>
            </w:r>
            <w:r w:rsidR="00003274" w:rsidRPr="004C771B">
              <w:t>xample 1</w:t>
            </w:r>
          </w:p>
          <w:p w14:paraId="069CE822" w14:textId="421A1609" w:rsidR="00DF1675" w:rsidRPr="004C771B" w:rsidRDefault="00CD38B7" w:rsidP="00231A16">
            <w:pPr>
              <w:pStyle w:val="ListParagraph"/>
              <w:numPr>
                <w:ilvl w:val="0"/>
                <w:numId w:val="5"/>
              </w:numPr>
            </w:pPr>
            <w:r w:rsidRPr="004C771B">
              <w:rPr>
                <w:b/>
              </w:rPr>
              <w:t>Identification</w:t>
            </w:r>
            <w:r w:rsidRPr="004C771B">
              <w:t xml:space="preserve"> </w:t>
            </w:r>
            <w:r w:rsidR="0049240B" w:rsidRPr="004C771B">
              <w:t xml:space="preserve">– </w:t>
            </w:r>
            <w:r w:rsidR="00E92C94" w:rsidRPr="004C771B">
              <w:t xml:space="preserve">The </w:t>
            </w:r>
            <w:proofErr w:type="gramStart"/>
            <w:r w:rsidR="00E92C94" w:rsidRPr="004C771B">
              <w:t>company</w:t>
            </w:r>
            <w:proofErr w:type="gramEnd"/>
            <w:r w:rsidR="00E92C94" w:rsidRPr="004C771B">
              <w:t xml:space="preserve"> compiles </w:t>
            </w:r>
            <w:r w:rsidR="00DF1675" w:rsidRPr="004C771B">
              <w:t xml:space="preserve">lists of vulnerable customers. </w:t>
            </w:r>
            <w:r w:rsidR="00E92C94" w:rsidRPr="004C771B">
              <w:t>This is based on a number of risk factors including:</w:t>
            </w:r>
            <w:r w:rsidR="003225A7">
              <w:t xml:space="preserve"> </w:t>
            </w:r>
            <w:r w:rsidR="00DF1675" w:rsidRPr="004C771B">
              <w:t xml:space="preserve">use of services, use of </w:t>
            </w:r>
            <w:r w:rsidR="00E92C94" w:rsidRPr="004C771B">
              <w:t xml:space="preserve">grants, </w:t>
            </w:r>
            <w:proofErr w:type="gramStart"/>
            <w:r w:rsidR="00E92C94" w:rsidRPr="004C771B">
              <w:t>use</w:t>
            </w:r>
            <w:proofErr w:type="gramEnd"/>
            <w:r w:rsidR="00E92C94" w:rsidRPr="004C771B">
              <w:t xml:space="preserve"> of </w:t>
            </w:r>
            <w:proofErr w:type="spellStart"/>
            <w:r w:rsidR="00E92C94" w:rsidRPr="004C771B">
              <w:t>Centrepay</w:t>
            </w:r>
            <w:proofErr w:type="spellEnd"/>
            <w:r w:rsidR="00E92C94" w:rsidRPr="004C771B">
              <w:t>.</w:t>
            </w:r>
          </w:p>
          <w:p w14:paraId="4C820AD6" w14:textId="77777777" w:rsidR="00E92C94" w:rsidRPr="004C771B" w:rsidRDefault="00E92C94" w:rsidP="00DF1675"/>
          <w:p w14:paraId="33E68D35" w14:textId="320A8F77" w:rsidR="00CD38B7" w:rsidRPr="004C771B" w:rsidRDefault="00CD38B7" w:rsidP="00231A16">
            <w:pPr>
              <w:pStyle w:val="ListParagraph"/>
              <w:numPr>
                <w:ilvl w:val="0"/>
                <w:numId w:val="5"/>
              </w:numPr>
            </w:pPr>
            <w:r w:rsidRPr="004C771B">
              <w:rPr>
                <w:b/>
              </w:rPr>
              <w:t>Phone Contact</w:t>
            </w:r>
            <w:r w:rsidRPr="004C771B">
              <w:t xml:space="preserve"> </w:t>
            </w:r>
            <w:r w:rsidR="0049240B" w:rsidRPr="004C771B">
              <w:t>–</w:t>
            </w:r>
            <w:r w:rsidRPr="004C771B">
              <w:t xml:space="preserve"> </w:t>
            </w:r>
            <w:r w:rsidR="00E92C94" w:rsidRPr="004C771B">
              <w:t xml:space="preserve">The </w:t>
            </w:r>
            <w:proofErr w:type="gramStart"/>
            <w:r w:rsidR="00E92C94" w:rsidRPr="004C771B">
              <w:t>company</w:t>
            </w:r>
            <w:proofErr w:type="gramEnd"/>
            <w:r w:rsidR="00E92C94" w:rsidRPr="004C771B">
              <w:t xml:space="preserve"> contacts some customers by phone, starting with those customers with the highest debts. The calls are carefully scripted</w:t>
            </w:r>
            <w:r w:rsidR="003225A7">
              <w:t>,</w:t>
            </w:r>
            <w:r w:rsidR="00E92C94" w:rsidRPr="004C771B">
              <w:t xml:space="preserve"> </w:t>
            </w:r>
            <w:r w:rsidR="0049240B" w:rsidRPr="004C771B">
              <w:t>us</w:t>
            </w:r>
            <w:r w:rsidR="003225A7">
              <w:t>e</w:t>
            </w:r>
            <w:r w:rsidR="008201A4" w:rsidRPr="004C771B">
              <w:t xml:space="preserve"> non</w:t>
            </w:r>
            <w:r w:rsidR="0049240B" w:rsidRPr="004C771B">
              <w:t>-</w:t>
            </w:r>
            <w:r w:rsidR="008201A4" w:rsidRPr="004C771B">
              <w:t xml:space="preserve">threatening </w:t>
            </w:r>
            <w:r w:rsidR="003225A7">
              <w:t xml:space="preserve">language </w:t>
            </w:r>
            <w:r w:rsidR="0049240B" w:rsidRPr="004C771B">
              <w:t>and may be</w:t>
            </w:r>
            <w:r w:rsidR="008201A4" w:rsidRPr="004C771B">
              <w:t xml:space="preserve"> </w:t>
            </w:r>
            <w:r w:rsidR="00E92C94" w:rsidRPr="004C771B">
              <w:t xml:space="preserve">along the lines of: </w:t>
            </w:r>
            <w:r w:rsidR="00DA0C85" w:rsidRPr="004C771B">
              <w:t>‘</w:t>
            </w:r>
            <w:r w:rsidR="00E92C94" w:rsidRPr="004C771B">
              <w:t>H</w:t>
            </w:r>
            <w:r w:rsidR="00DF1675" w:rsidRPr="004C771B">
              <w:t>i, we’ve noticed that your debt or w</w:t>
            </w:r>
            <w:r w:rsidR="00E92C94" w:rsidRPr="004C771B">
              <w:t>ater consumption is increasing. W</w:t>
            </w:r>
            <w:r w:rsidR="00DF1675" w:rsidRPr="004C771B">
              <w:t xml:space="preserve">e just want to let you know that we have a whole bunch of new programs and services. Would you a like a case coordinator to call you and run through </w:t>
            </w:r>
            <w:r w:rsidRPr="004C771B">
              <w:t>them with you?</w:t>
            </w:r>
            <w:r w:rsidR="00DA0C85" w:rsidRPr="004C771B">
              <w:t>’</w:t>
            </w:r>
            <w:r w:rsidRPr="004C771B">
              <w:t xml:space="preserve"> The company </w:t>
            </w:r>
            <w:r w:rsidR="0049240B" w:rsidRPr="004C771B">
              <w:t>reports gaining</w:t>
            </w:r>
            <w:r w:rsidR="00DF1675" w:rsidRPr="004C771B">
              <w:t xml:space="preserve"> </w:t>
            </w:r>
            <w:r w:rsidR="001E063E" w:rsidRPr="004C771B">
              <w:t>positive</w:t>
            </w:r>
            <w:r w:rsidR="00DF1675" w:rsidRPr="004C771B">
              <w:t xml:space="preserve"> result</w:t>
            </w:r>
            <w:r w:rsidRPr="004C771B">
              <w:t>s with this approach</w:t>
            </w:r>
            <w:r w:rsidR="00DF1675" w:rsidRPr="004C771B">
              <w:t xml:space="preserve">. The case coordinators only </w:t>
            </w:r>
            <w:r w:rsidRPr="004C771B">
              <w:t xml:space="preserve">speak to the people who have </w:t>
            </w:r>
            <w:r w:rsidR="008201A4" w:rsidRPr="004C771B">
              <w:t>qualified themselves by saying ‘</w:t>
            </w:r>
            <w:r w:rsidRPr="004C771B">
              <w:t>yes</w:t>
            </w:r>
            <w:r w:rsidR="008201A4" w:rsidRPr="004C771B">
              <w:t>’</w:t>
            </w:r>
            <w:r w:rsidRPr="004C771B">
              <w:t xml:space="preserve"> to a follow up call.</w:t>
            </w:r>
          </w:p>
          <w:p w14:paraId="2EC3FF73" w14:textId="77777777" w:rsidR="00CD38B7" w:rsidRPr="004C771B" w:rsidRDefault="00CD38B7" w:rsidP="00DF1675"/>
          <w:p w14:paraId="302BA669" w14:textId="7E6F668E" w:rsidR="00DF1675" w:rsidRPr="004C771B" w:rsidRDefault="00CD38B7" w:rsidP="00231A16">
            <w:pPr>
              <w:pStyle w:val="ListParagraph"/>
              <w:numPr>
                <w:ilvl w:val="0"/>
                <w:numId w:val="5"/>
              </w:numPr>
            </w:pPr>
            <w:r w:rsidRPr="004C771B">
              <w:rPr>
                <w:b/>
              </w:rPr>
              <w:t>Mail Contact</w:t>
            </w:r>
            <w:r w:rsidRPr="004C771B">
              <w:t xml:space="preserve"> </w:t>
            </w:r>
            <w:r w:rsidR="001E063E" w:rsidRPr="004C771B">
              <w:t xml:space="preserve">– </w:t>
            </w:r>
            <w:r w:rsidR="00DF1675" w:rsidRPr="004C771B">
              <w:t xml:space="preserve">After a certain number of failed contacts </w:t>
            </w:r>
            <w:r w:rsidRPr="004C771B">
              <w:t xml:space="preserve">customers are sent a letter offering assistance. </w:t>
            </w:r>
            <w:r w:rsidR="001E063E" w:rsidRPr="004C771B">
              <w:t>These</w:t>
            </w:r>
            <w:r w:rsidR="00DF1675" w:rsidRPr="004C771B">
              <w:t xml:space="preserve"> letters are in plain </w:t>
            </w:r>
            <w:r w:rsidR="00BF3CA1" w:rsidRPr="004C771B">
              <w:t xml:space="preserve">English. The company </w:t>
            </w:r>
            <w:r w:rsidR="001E063E" w:rsidRPr="004C771B">
              <w:t xml:space="preserve">liaises </w:t>
            </w:r>
            <w:r w:rsidR="00DF1675" w:rsidRPr="004C771B">
              <w:t>constantly with the team</w:t>
            </w:r>
            <w:r w:rsidR="00BF3CA1" w:rsidRPr="004C771B">
              <w:t xml:space="preserve"> </w:t>
            </w:r>
            <w:r w:rsidR="001E063E" w:rsidRPr="004C771B">
              <w:t xml:space="preserve">conducting </w:t>
            </w:r>
            <w:r w:rsidR="00BF3CA1" w:rsidRPr="004C771B">
              <w:t xml:space="preserve">this work </w:t>
            </w:r>
            <w:r w:rsidR="001E063E" w:rsidRPr="004C771B">
              <w:t xml:space="preserve">to ensure </w:t>
            </w:r>
            <w:r w:rsidR="00BF3CA1" w:rsidRPr="004C771B">
              <w:t>continu</w:t>
            </w:r>
            <w:r w:rsidR="001E063E" w:rsidRPr="004C771B">
              <w:t xml:space="preserve">ous </w:t>
            </w:r>
            <w:r w:rsidR="00BF3CA1" w:rsidRPr="004C771B">
              <w:t>improve</w:t>
            </w:r>
            <w:r w:rsidR="001E063E" w:rsidRPr="004C771B">
              <w:t>ment</w:t>
            </w:r>
            <w:r w:rsidR="00BF3CA1" w:rsidRPr="004C771B">
              <w:t xml:space="preserve">. The communications function in the business is also involved. </w:t>
            </w:r>
          </w:p>
          <w:p w14:paraId="159BD680" w14:textId="77777777" w:rsidR="00DF1675" w:rsidRDefault="00DF1675" w:rsidP="00050FFF">
            <w:pPr>
              <w:rPr>
                <w:rFonts w:ascii="Arial" w:eastAsia="Arial Unicode MS" w:hAnsi="Arial" w:cs="Times New Roman"/>
                <w:b/>
                <w:bCs/>
                <w:color w:val="42865E"/>
                <w:sz w:val="24"/>
                <w:szCs w:val="20"/>
              </w:rPr>
            </w:pPr>
          </w:p>
        </w:tc>
      </w:tr>
    </w:tbl>
    <w:p w14:paraId="600D256A" w14:textId="77777777" w:rsidR="00DF1675" w:rsidRDefault="00DF1675" w:rsidP="00467CC0">
      <w:pPr>
        <w:spacing w:after="0" w:line="240" w:lineRule="auto"/>
      </w:pPr>
    </w:p>
    <w:p w14:paraId="73612B05" w14:textId="77777777" w:rsidR="001D3F1D" w:rsidRDefault="001D3F1D" w:rsidP="00467CC0">
      <w:pPr>
        <w:spacing w:after="0" w:line="240" w:lineRule="auto"/>
      </w:pPr>
    </w:p>
    <w:tbl>
      <w:tblPr>
        <w:tblStyle w:val="TableGrid"/>
        <w:tblW w:w="5000" w:type="pct"/>
        <w:tblLook w:val="04A0" w:firstRow="1" w:lastRow="0" w:firstColumn="1" w:lastColumn="0" w:noHBand="0" w:noVBand="1"/>
        <w:tblDescription w:val="Proactive early Identification – water company example 2&#10;A water company discovered that its call center was creating barriers for early identification and detection of customers in hardship. New call center staff did not know the hardship staff and, as a consequence, they were not referring. The reasons included a fear of ‘getting it wrong’ as well as how the hardship team staff might react. The hardship team now regularly introduce themselves to all new call centre staff during the induction process. They also do what they call a ‘road-trip’ every six months – the hardship team attends to a call center meeting, to remind them about what they do and to encourage referrals.&#10;"/>
      </w:tblPr>
      <w:tblGrid>
        <w:gridCol w:w="9242"/>
      </w:tblGrid>
      <w:tr w:rsidR="009953EF" w14:paraId="244EEC65" w14:textId="77777777" w:rsidTr="00686F19">
        <w:tc>
          <w:tcPr>
            <w:tcW w:w="5000" w:type="pct"/>
          </w:tcPr>
          <w:p w14:paraId="637C0A37" w14:textId="70C6D2C0" w:rsidR="009953EF" w:rsidRPr="00D54931" w:rsidRDefault="00913E6F" w:rsidP="00D54931">
            <w:pPr>
              <w:pStyle w:val="Heading4"/>
              <w:outlineLvl w:val="3"/>
            </w:pPr>
            <w:r>
              <w:t>Proactive e</w:t>
            </w:r>
            <w:r w:rsidR="009953EF" w:rsidRPr="004C771B">
              <w:t>arly Identification –</w:t>
            </w:r>
            <w:r w:rsidR="00003274" w:rsidRPr="004C771B">
              <w:t xml:space="preserve"> </w:t>
            </w:r>
            <w:r>
              <w:t>water c</w:t>
            </w:r>
            <w:r w:rsidR="009953EF" w:rsidRPr="004C771B">
              <w:t>ompany</w:t>
            </w:r>
            <w:r>
              <w:t xml:space="preserve"> e</w:t>
            </w:r>
            <w:r w:rsidR="00003274" w:rsidRPr="004C771B">
              <w:t>xample 2</w:t>
            </w:r>
          </w:p>
          <w:p w14:paraId="28A0D000" w14:textId="59036249" w:rsidR="009953EF" w:rsidRPr="004C771B" w:rsidRDefault="00E11D89" w:rsidP="009953EF">
            <w:pPr>
              <w:rPr>
                <w:lang w:val="en-US"/>
              </w:rPr>
            </w:pPr>
            <w:r w:rsidRPr="004C771B">
              <w:rPr>
                <w:lang w:val="en-US"/>
              </w:rPr>
              <w:t>A water</w:t>
            </w:r>
            <w:r w:rsidR="009953EF" w:rsidRPr="004C771B">
              <w:rPr>
                <w:lang w:val="en-US"/>
              </w:rPr>
              <w:t xml:space="preserve"> company </w:t>
            </w:r>
            <w:r w:rsidR="00003274" w:rsidRPr="004C771B">
              <w:rPr>
                <w:lang w:val="en-US"/>
              </w:rPr>
              <w:t>discovered</w:t>
            </w:r>
            <w:r w:rsidR="009953EF" w:rsidRPr="004C771B">
              <w:rPr>
                <w:lang w:val="en-US"/>
              </w:rPr>
              <w:t xml:space="preserve"> that its call center was </w:t>
            </w:r>
            <w:r w:rsidR="00003274" w:rsidRPr="004C771B">
              <w:rPr>
                <w:lang w:val="en-US"/>
              </w:rPr>
              <w:t xml:space="preserve">creating barriers </w:t>
            </w:r>
            <w:r w:rsidR="009953EF" w:rsidRPr="004C771B">
              <w:rPr>
                <w:lang w:val="en-US"/>
              </w:rPr>
              <w:t>for early identification and detection</w:t>
            </w:r>
            <w:r w:rsidR="00003274" w:rsidRPr="004C771B">
              <w:rPr>
                <w:lang w:val="en-US"/>
              </w:rPr>
              <w:t xml:space="preserve"> of customers in hardship</w:t>
            </w:r>
            <w:r w:rsidR="009953EF" w:rsidRPr="004C771B">
              <w:rPr>
                <w:lang w:val="en-US"/>
              </w:rPr>
              <w:t xml:space="preserve">. New call center staff </w:t>
            </w:r>
            <w:r w:rsidR="00003274" w:rsidRPr="004C771B">
              <w:rPr>
                <w:lang w:val="en-US"/>
              </w:rPr>
              <w:t>did not know the hardship staff</w:t>
            </w:r>
            <w:r w:rsidR="009953EF" w:rsidRPr="004C771B">
              <w:rPr>
                <w:lang w:val="en-US"/>
              </w:rPr>
              <w:t xml:space="preserve"> and</w:t>
            </w:r>
            <w:r w:rsidR="001E063E" w:rsidRPr="004C771B">
              <w:rPr>
                <w:lang w:val="en-US"/>
              </w:rPr>
              <w:t>, as a consequence, they</w:t>
            </w:r>
            <w:r w:rsidR="009953EF" w:rsidRPr="004C771B">
              <w:rPr>
                <w:lang w:val="en-US"/>
              </w:rPr>
              <w:t xml:space="preserve"> were not referring. </w:t>
            </w:r>
            <w:r w:rsidR="00003274" w:rsidRPr="004C771B">
              <w:rPr>
                <w:lang w:val="en-US"/>
              </w:rPr>
              <w:t xml:space="preserve">The reasons included a fear of </w:t>
            </w:r>
            <w:r w:rsidR="00DA0C85" w:rsidRPr="004C771B">
              <w:rPr>
                <w:lang w:val="en-US"/>
              </w:rPr>
              <w:t>‘</w:t>
            </w:r>
            <w:r w:rsidR="00003274" w:rsidRPr="004C771B">
              <w:rPr>
                <w:lang w:val="en-US"/>
              </w:rPr>
              <w:t>getting it wrong</w:t>
            </w:r>
            <w:r w:rsidR="00DA0C85" w:rsidRPr="004C771B">
              <w:rPr>
                <w:lang w:val="en-US"/>
              </w:rPr>
              <w:t>’</w:t>
            </w:r>
            <w:r w:rsidR="00003274" w:rsidRPr="004C771B">
              <w:rPr>
                <w:lang w:val="en-US"/>
              </w:rPr>
              <w:t xml:space="preserve"> </w:t>
            </w:r>
            <w:r w:rsidR="001E063E" w:rsidRPr="004C771B">
              <w:rPr>
                <w:lang w:val="en-US"/>
              </w:rPr>
              <w:t xml:space="preserve">as well as </w:t>
            </w:r>
            <w:r w:rsidR="00003274" w:rsidRPr="004C771B">
              <w:rPr>
                <w:lang w:val="en-US"/>
              </w:rPr>
              <w:t>how the hardship team staff might react. T</w:t>
            </w:r>
            <w:r w:rsidR="009953EF" w:rsidRPr="004C771B">
              <w:rPr>
                <w:lang w:val="en-US"/>
              </w:rPr>
              <w:t xml:space="preserve">he hardship team now </w:t>
            </w:r>
            <w:r w:rsidR="00C16EAE" w:rsidRPr="004C771B">
              <w:rPr>
                <w:lang w:val="en-US"/>
              </w:rPr>
              <w:t xml:space="preserve">regularly </w:t>
            </w:r>
            <w:r w:rsidR="001E063E" w:rsidRPr="004C771B">
              <w:rPr>
                <w:lang w:val="en-US"/>
              </w:rPr>
              <w:t>introduce themselves</w:t>
            </w:r>
            <w:r w:rsidR="009953EF" w:rsidRPr="004C771B">
              <w:rPr>
                <w:lang w:val="en-US"/>
              </w:rPr>
              <w:t xml:space="preserve"> </w:t>
            </w:r>
            <w:r w:rsidR="001E063E" w:rsidRPr="004C771B">
              <w:rPr>
                <w:lang w:val="en-US"/>
              </w:rPr>
              <w:t xml:space="preserve">to </w:t>
            </w:r>
            <w:r w:rsidR="009953EF" w:rsidRPr="004C771B">
              <w:rPr>
                <w:lang w:val="en-US"/>
              </w:rPr>
              <w:t xml:space="preserve">all new </w:t>
            </w:r>
            <w:r w:rsidR="00C16EAE" w:rsidRPr="004C771B">
              <w:rPr>
                <w:lang w:val="en-US"/>
              </w:rPr>
              <w:t xml:space="preserve">call </w:t>
            </w:r>
            <w:proofErr w:type="spellStart"/>
            <w:r w:rsidR="00C16EAE" w:rsidRPr="004C771B">
              <w:rPr>
                <w:lang w:val="en-US"/>
              </w:rPr>
              <w:t>centre</w:t>
            </w:r>
            <w:proofErr w:type="spellEnd"/>
            <w:r w:rsidR="00C16EAE" w:rsidRPr="004C771B">
              <w:rPr>
                <w:lang w:val="en-US"/>
              </w:rPr>
              <w:t xml:space="preserve"> </w:t>
            </w:r>
            <w:r w:rsidR="009953EF" w:rsidRPr="004C771B">
              <w:rPr>
                <w:lang w:val="en-US"/>
              </w:rPr>
              <w:t xml:space="preserve">staff </w:t>
            </w:r>
            <w:r w:rsidR="00C16EAE" w:rsidRPr="004C771B">
              <w:rPr>
                <w:lang w:val="en-US"/>
              </w:rPr>
              <w:t xml:space="preserve">during </w:t>
            </w:r>
            <w:r w:rsidRPr="004C771B">
              <w:rPr>
                <w:lang w:val="en-US"/>
              </w:rPr>
              <w:t>the</w:t>
            </w:r>
            <w:r w:rsidR="009953EF" w:rsidRPr="004C771B">
              <w:rPr>
                <w:lang w:val="en-US"/>
              </w:rPr>
              <w:t xml:space="preserve"> induction</w:t>
            </w:r>
            <w:r w:rsidRPr="004C771B">
              <w:rPr>
                <w:lang w:val="en-US"/>
              </w:rPr>
              <w:t xml:space="preserve"> process</w:t>
            </w:r>
            <w:r w:rsidR="009953EF" w:rsidRPr="004C771B">
              <w:rPr>
                <w:lang w:val="en-US"/>
              </w:rPr>
              <w:t xml:space="preserve">. They also do </w:t>
            </w:r>
            <w:r w:rsidRPr="004C771B">
              <w:rPr>
                <w:lang w:val="en-US"/>
              </w:rPr>
              <w:t>what they call a</w:t>
            </w:r>
            <w:r w:rsidR="009953EF" w:rsidRPr="004C771B">
              <w:rPr>
                <w:lang w:val="en-US"/>
              </w:rPr>
              <w:t xml:space="preserve"> </w:t>
            </w:r>
            <w:r w:rsidR="00DA0C85" w:rsidRPr="004C771B">
              <w:rPr>
                <w:lang w:val="en-US"/>
              </w:rPr>
              <w:t>‘</w:t>
            </w:r>
            <w:r w:rsidRPr="004C771B">
              <w:rPr>
                <w:lang w:val="en-US"/>
              </w:rPr>
              <w:t>road-trip</w:t>
            </w:r>
            <w:r w:rsidR="00DA0C85" w:rsidRPr="004C771B">
              <w:rPr>
                <w:lang w:val="en-US"/>
              </w:rPr>
              <w:t>’</w:t>
            </w:r>
            <w:r w:rsidR="009953EF" w:rsidRPr="004C771B">
              <w:rPr>
                <w:lang w:val="en-US"/>
              </w:rPr>
              <w:t xml:space="preserve"> every </w:t>
            </w:r>
            <w:r w:rsidR="00C16EAE" w:rsidRPr="004C771B">
              <w:rPr>
                <w:lang w:val="en-US"/>
              </w:rPr>
              <w:t>six</w:t>
            </w:r>
            <w:r w:rsidR="009953EF" w:rsidRPr="004C771B">
              <w:rPr>
                <w:lang w:val="en-US"/>
              </w:rPr>
              <w:t xml:space="preserve"> months</w:t>
            </w:r>
            <w:r w:rsidR="00C16EAE" w:rsidRPr="004C771B">
              <w:rPr>
                <w:lang w:val="en-US"/>
              </w:rPr>
              <w:t xml:space="preserve"> </w:t>
            </w:r>
            <w:r w:rsidR="001E063E" w:rsidRPr="004C771B">
              <w:rPr>
                <w:lang w:val="en-US"/>
              </w:rPr>
              <w:t>–</w:t>
            </w:r>
            <w:r w:rsidR="009953EF" w:rsidRPr="004C771B">
              <w:rPr>
                <w:lang w:val="en-US"/>
              </w:rPr>
              <w:t xml:space="preserve"> the hardship team </w:t>
            </w:r>
            <w:r w:rsidR="001E063E" w:rsidRPr="004C771B">
              <w:rPr>
                <w:lang w:val="en-US"/>
              </w:rPr>
              <w:t>attends</w:t>
            </w:r>
            <w:r w:rsidR="009953EF" w:rsidRPr="004C771B">
              <w:rPr>
                <w:lang w:val="en-US"/>
              </w:rPr>
              <w:t xml:space="preserve"> to a call center meeting, to remind them about </w:t>
            </w:r>
            <w:r w:rsidR="00C16EAE" w:rsidRPr="004C771B">
              <w:rPr>
                <w:lang w:val="en-US"/>
              </w:rPr>
              <w:t xml:space="preserve">what they do and </w:t>
            </w:r>
            <w:r w:rsidR="001E063E" w:rsidRPr="004C771B">
              <w:rPr>
                <w:lang w:val="en-US"/>
              </w:rPr>
              <w:t xml:space="preserve">to </w:t>
            </w:r>
            <w:r w:rsidR="00C16EAE" w:rsidRPr="004C771B">
              <w:rPr>
                <w:lang w:val="en-US"/>
              </w:rPr>
              <w:t>encourage referrals.</w:t>
            </w:r>
          </w:p>
          <w:p w14:paraId="3C5858AE" w14:textId="77777777" w:rsidR="009953EF" w:rsidRPr="004C771B" w:rsidRDefault="009953EF" w:rsidP="009953EF"/>
        </w:tc>
      </w:tr>
    </w:tbl>
    <w:p w14:paraId="02CFA8BA" w14:textId="77777777" w:rsidR="001D3F1D" w:rsidRDefault="001D3F1D" w:rsidP="00467CC0">
      <w:pPr>
        <w:spacing w:after="0" w:line="240" w:lineRule="auto"/>
      </w:pPr>
    </w:p>
    <w:p w14:paraId="7388865D" w14:textId="1311C72D" w:rsidR="0056724F" w:rsidRDefault="0056724F">
      <w:r>
        <w:br w:type="page"/>
      </w:r>
    </w:p>
    <w:p w14:paraId="579790BA" w14:textId="1794DF74" w:rsidR="000A238F" w:rsidRDefault="004D72E7" w:rsidP="004C771B">
      <w:pPr>
        <w:pStyle w:val="Heading2"/>
      </w:pPr>
      <w:bookmarkStart w:id="37" w:name="_Toc387144745"/>
      <w:r>
        <w:lastRenderedPageBreak/>
        <w:t>2.</w:t>
      </w:r>
      <w:r w:rsidR="000A238F">
        <w:t>2.4</w:t>
      </w:r>
      <w:r w:rsidR="0056724F">
        <w:t xml:space="preserve"> </w:t>
      </w:r>
      <w:r w:rsidR="00913E6F">
        <w:t>Summary and i</w:t>
      </w:r>
      <w:r w:rsidR="000A238F">
        <w:t>mplications</w:t>
      </w:r>
      <w:bookmarkEnd w:id="37"/>
    </w:p>
    <w:p w14:paraId="6C98128C" w14:textId="77777777" w:rsidR="000A238F" w:rsidRDefault="000A238F" w:rsidP="000A238F">
      <w:pPr>
        <w:spacing w:after="0" w:line="240" w:lineRule="auto"/>
      </w:pPr>
    </w:p>
    <w:p w14:paraId="210C830A" w14:textId="71DE77D6" w:rsidR="000A238F" w:rsidRPr="004C771B" w:rsidRDefault="001B20C8" w:rsidP="004C771B">
      <w:r w:rsidRPr="004C771B">
        <w:t xml:space="preserve">Although there are mixed views from industry about early identification of customers in hardship, both research and practical experience in the water industry suggest </w:t>
      </w:r>
      <w:r w:rsidR="001E063E" w:rsidRPr="004C771B">
        <w:t xml:space="preserve">that </w:t>
      </w:r>
      <w:r w:rsidRPr="004C771B">
        <w:t xml:space="preserve">it can be </w:t>
      </w:r>
      <w:r w:rsidR="001E063E" w:rsidRPr="004C771B">
        <w:t xml:space="preserve">a </w:t>
      </w:r>
      <w:r w:rsidRPr="004C771B">
        <w:t>successful</w:t>
      </w:r>
      <w:r w:rsidR="001E063E" w:rsidRPr="004C771B">
        <w:t xml:space="preserve"> practice</w:t>
      </w:r>
      <w:r w:rsidRPr="004C771B">
        <w:t xml:space="preserve">. </w:t>
      </w:r>
      <w:r w:rsidR="001E063E" w:rsidRPr="004C771B">
        <w:t>Important factors for identification relate to</w:t>
      </w:r>
      <w:r w:rsidRPr="004C771B">
        <w:t xml:space="preserve"> how contact is made and the way in which conversations are handled. </w:t>
      </w:r>
    </w:p>
    <w:p w14:paraId="780BEBF9" w14:textId="4B04D12D" w:rsidR="001B20C8" w:rsidRPr="004C771B" w:rsidRDefault="005B40FA" w:rsidP="004C771B">
      <w:pPr>
        <w:rPr>
          <w:lang w:val="en-US" w:eastAsia="ja-JP"/>
        </w:rPr>
      </w:pPr>
      <w:r w:rsidRPr="004C771B">
        <w:t>The water industry has made the most progress in early identification</w:t>
      </w:r>
      <w:r w:rsidR="00F067B6" w:rsidRPr="004C771B">
        <w:t xml:space="preserve"> via proactive contact with customers</w:t>
      </w:r>
      <w:r w:rsidRPr="004C771B">
        <w:t>.</w:t>
      </w:r>
      <w:r w:rsidR="00E11D89" w:rsidRPr="004C771B">
        <w:t xml:space="preserve"> The </w:t>
      </w:r>
      <w:r w:rsidR="001E063E" w:rsidRPr="004C771B">
        <w:t>study</w:t>
      </w:r>
      <w:r w:rsidR="00E11D89" w:rsidRPr="004C771B">
        <w:t xml:space="preserve"> did not </w:t>
      </w:r>
      <w:r w:rsidR="001504B0" w:rsidRPr="004C771B">
        <w:t xml:space="preserve">elucidate </w:t>
      </w:r>
      <w:r w:rsidR="00F067B6" w:rsidRPr="004C771B">
        <w:t xml:space="preserve">good practices in relation to encouraging self-identification. </w:t>
      </w:r>
      <w:r w:rsidR="001504B0" w:rsidRPr="004C771B">
        <w:t>However, i</w:t>
      </w:r>
      <w:r w:rsidR="00F067B6" w:rsidRPr="004C771B">
        <w:t xml:space="preserve">t did confirm that there are some customers </w:t>
      </w:r>
      <w:r w:rsidR="001504B0" w:rsidRPr="004C771B">
        <w:t xml:space="preserve">groups </w:t>
      </w:r>
      <w:r w:rsidR="00F067B6" w:rsidRPr="004C771B">
        <w:t>who will always be reluctant to self-identify for psychological reasons, such as feelings of shame.</w:t>
      </w:r>
    </w:p>
    <w:p w14:paraId="7C68AB63" w14:textId="691EFB3E" w:rsidR="007A3E4F" w:rsidRPr="008F531C" w:rsidRDefault="00913E6F" w:rsidP="00231A16">
      <w:pPr>
        <w:pStyle w:val="Heading1"/>
        <w:numPr>
          <w:ilvl w:val="1"/>
          <w:numId w:val="22"/>
        </w:numPr>
        <w:rPr>
          <w:lang w:val="en-US" w:eastAsia="ja-JP"/>
        </w:rPr>
      </w:pPr>
      <w:bookmarkStart w:id="38" w:name="_Toc387144746"/>
      <w:r>
        <w:rPr>
          <w:lang w:val="en-US" w:eastAsia="ja-JP"/>
        </w:rPr>
        <w:lastRenderedPageBreak/>
        <w:t>Sustaining good p</w:t>
      </w:r>
      <w:r w:rsidR="007A3E4F">
        <w:rPr>
          <w:lang w:val="en-US" w:eastAsia="ja-JP"/>
        </w:rPr>
        <w:t>erformance</w:t>
      </w:r>
      <w:bookmarkEnd w:id="38"/>
      <w:r w:rsidR="007A3E4F">
        <w:rPr>
          <w:lang w:val="en-US" w:eastAsia="ja-JP"/>
        </w:rPr>
        <w:t xml:space="preserve"> </w:t>
      </w:r>
    </w:p>
    <w:p w14:paraId="5683DF96" w14:textId="77777777" w:rsidR="00716820" w:rsidRDefault="00716820" w:rsidP="007A3E4F">
      <w:pPr>
        <w:spacing w:after="0" w:line="240" w:lineRule="auto"/>
      </w:pPr>
    </w:p>
    <w:p w14:paraId="1C25699E" w14:textId="5629B9A8" w:rsidR="00716820" w:rsidRDefault="001A1DE7" w:rsidP="004C771B">
      <w:pPr>
        <w:pStyle w:val="Heading2"/>
      </w:pPr>
      <w:bookmarkStart w:id="39" w:name="_Toc387144747"/>
      <w:r>
        <w:t>2.</w:t>
      </w:r>
      <w:r w:rsidR="00AC4656">
        <w:t>3.1</w:t>
      </w:r>
      <w:r w:rsidR="00F90567">
        <w:t xml:space="preserve"> </w:t>
      </w:r>
      <w:r w:rsidR="00716820">
        <w:t>Why this topic?</w:t>
      </w:r>
      <w:bookmarkEnd w:id="39"/>
      <w:r w:rsidR="00716820">
        <w:t xml:space="preserve"> </w:t>
      </w:r>
    </w:p>
    <w:p w14:paraId="625189FE" w14:textId="77777777" w:rsidR="00716820" w:rsidRDefault="00716820" w:rsidP="00716820">
      <w:pPr>
        <w:spacing w:after="0" w:line="240" w:lineRule="auto"/>
        <w:ind w:left="993"/>
      </w:pPr>
    </w:p>
    <w:p w14:paraId="2AEDC9BD" w14:textId="1C97D961" w:rsidR="002D0E45" w:rsidRDefault="00FA0CDF" w:rsidP="00F90567">
      <w:r w:rsidRPr="004C771B">
        <w:t xml:space="preserve">Every organisation, whether </w:t>
      </w:r>
      <w:r w:rsidR="0046747A">
        <w:t xml:space="preserve">they are </w:t>
      </w:r>
      <w:r w:rsidRPr="004C771B">
        <w:t xml:space="preserve">part of government, the private or community sector, grapples with sustaining good performance. </w:t>
      </w:r>
      <w:r w:rsidR="002D0E45" w:rsidRPr="004C771B">
        <w:t>Once there is a</w:t>
      </w:r>
      <w:r w:rsidR="0046747A">
        <w:t xml:space="preserve">n effective </w:t>
      </w:r>
      <w:r w:rsidR="002D0E45" w:rsidRPr="004C771B">
        <w:t xml:space="preserve">program in place, how does an organisation make it stick? And how does the program continue to evolve, rather than languish </w:t>
      </w:r>
      <w:r w:rsidR="0046747A">
        <w:t xml:space="preserve">due to </w:t>
      </w:r>
      <w:r w:rsidR="00697853" w:rsidRPr="004C771B">
        <w:t>staff or organisational complacenc</w:t>
      </w:r>
      <w:r w:rsidR="0046747A">
        <w:t>e</w:t>
      </w:r>
      <w:r w:rsidR="00F90567">
        <w:t>?</w:t>
      </w:r>
    </w:p>
    <w:p w14:paraId="4A4DFFDE" w14:textId="07A93578" w:rsidR="00716820" w:rsidRDefault="001A1DE7" w:rsidP="00F90567">
      <w:pPr>
        <w:pStyle w:val="Heading2"/>
      </w:pPr>
      <w:bookmarkStart w:id="40" w:name="_Toc387144748"/>
      <w:r>
        <w:t>2.</w:t>
      </w:r>
      <w:r w:rsidR="00AC4656">
        <w:t>3.2</w:t>
      </w:r>
      <w:r w:rsidR="00716820">
        <w:tab/>
      </w:r>
      <w:r w:rsidR="00F90567">
        <w:t xml:space="preserve"> </w:t>
      </w:r>
      <w:r w:rsidR="00913E6F">
        <w:t>Research f</w:t>
      </w:r>
      <w:r w:rsidR="00716820">
        <w:t>indings</w:t>
      </w:r>
      <w:bookmarkEnd w:id="40"/>
    </w:p>
    <w:p w14:paraId="016A235C" w14:textId="7C4DE719" w:rsidR="00697853" w:rsidRDefault="00697853" w:rsidP="00F90567">
      <w:pPr>
        <w:pStyle w:val="Heading3"/>
      </w:pPr>
      <w:r w:rsidRPr="004C771B">
        <w:t xml:space="preserve">Sustaining good practice is difficult </w:t>
      </w:r>
    </w:p>
    <w:p w14:paraId="79B2F595" w14:textId="76050D1B" w:rsidR="00644E59" w:rsidRPr="004C771B" w:rsidRDefault="00716820" w:rsidP="004C771B">
      <w:r w:rsidRPr="004C771B">
        <w:t>A common refrain in the interviews with financial counsellors</w:t>
      </w:r>
      <w:r w:rsidR="0046747A">
        <w:t xml:space="preserve">, </w:t>
      </w:r>
      <w:r w:rsidRPr="004C771B">
        <w:t xml:space="preserve">consumer advocates, and </w:t>
      </w:r>
      <w:r w:rsidR="00160070" w:rsidRPr="004C771B">
        <w:t>other stakeholders</w:t>
      </w:r>
      <w:r w:rsidRPr="004C771B">
        <w:t xml:space="preserve">, was </w:t>
      </w:r>
      <w:r w:rsidR="00DA0C85" w:rsidRPr="004C771B">
        <w:t>‘</w:t>
      </w:r>
      <w:r w:rsidRPr="004C771B">
        <w:t>c</w:t>
      </w:r>
      <w:r w:rsidR="007A3E4F" w:rsidRPr="004C771B">
        <w:t>ompany x used to be good, but they’re not anymore.</w:t>
      </w:r>
      <w:r w:rsidR="00DA0C85" w:rsidRPr="004C771B">
        <w:t>’</w:t>
      </w:r>
      <w:r w:rsidRPr="004C771B">
        <w:t xml:space="preserve"> In other words, sustaining good </w:t>
      </w:r>
      <w:r w:rsidR="009604F1" w:rsidRPr="004C771B">
        <w:t>practice is difficult.</w:t>
      </w:r>
      <w:r w:rsidR="00697853" w:rsidRPr="004C771B">
        <w:t xml:space="preserve"> </w:t>
      </w:r>
      <w:r w:rsidR="0046747A">
        <w:t>Importantly</w:t>
      </w:r>
      <w:r w:rsidR="009604F1" w:rsidRPr="004C771B">
        <w:t>, inter</w:t>
      </w:r>
      <w:r w:rsidR="00684A43" w:rsidRPr="004C771B">
        <w:t>viewees noted that a good reputation for assisting custom</w:t>
      </w:r>
      <w:r w:rsidR="00395A12" w:rsidRPr="004C771B">
        <w:t xml:space="preserve">ers in financial difficulty lifted a company’s profile and </w:t>
      </w:r>
      <w:r w:rsidR="008B7AF8" w:rsidRPr="004C771B">
        <w:t>reputation</w:t>
      </w:r>
      <w:r w:rsidR="00395A12" w:rsidRPr="004C771B">
        <w:t xml:space="preserve">. </w:t>
      </w:r>
    </w:p>
    <w:p w14:paraId="2DB34514" w14:textId="040B2913" w:rsidR="007553C0" w:rsidRPr="004C771B" w:rsidRDefault="00644E59" w:rsidP="00F90567">
      <w:pPr>
        <w:pStyle w:val="Heading3"/>
      </w:pPr>
      <w:r w:rsidRPr="004C771B">
        <w:t xml:space="preserve">Factors that sustain good performance </w:t>
      </w:r>
    </w:p>
    <w:p w14:paraId="7CA1AEAE" w14:textId="5AAD7C35" w:rsidR="007553C0" w:rsidRPr="004C771B" w:rsidRDefault="0046747A" w:rsidP="003225A7">
      <w:r>
        <w:t>C</w:t>
      </w:r>
      <w:r w:rsidR="007553C0" w:rsidRPr="004C771B">
        <w:t xml:space="preserve">ritical factors </w:t>
      </w:r>
      <w:r w:rsidR="00DF0148" w:rsidRPr="004C771B">
        <w:t>in sustaining performance</w:t>
      </w:r>
      <w:r>
        <w:t xml:space="preserve"> (as noted by</w:t>
      </w:r>
      <w:r w:rsidR="00DF0148" w:rsidRPr="004C771B">
        <w:t xml:space="preserve"> </w:t>
      </w:r>
      <w:r>
        <w:t>w</w:t>
      </w:r>
      <w:r w:rsidRPr="00B50ABA">
        <w:t>orkshop participants</w:t>
      </w:r>
      <w:r>
        <w:t>)</w:t>
      </w:r>
      <w:r w:rsidRPr="00B50ABA">
        <w:t xml:space="preserve"> </w:t>
      </w:r>
      <w:r w:rsidR="007553C0" w:rsidRPr="004C771B">
        <w:t>include:</w:t>
      </w:r>
    </w:p>
    <w:p w14:paraId="61B750FB" w14:textId="4AD26BC2" w:rsidR="007553C0" w:rsidRPr="004C771B" w:rsidRDefault="007553C0" w:rsidP="00231A16">
      <w:pPr>
        <w:pStyle w:val="ListParagraph"/>
        <w:numPr>
          <w:ilvl w:val="0"/>
          <w:numId w:val="8"/>
        </w:numPr>
        <w:spacing w:after="0" w:line="240" w:lineRule="auto"/>
      </w:pPr>
      <w:r w:rsidRPr="004C771B">
        <w:t>measuring the right things, including customer experiences</w:t>
      </w:r>
      <w:r w:rsidR="00697853" w:rsidRPr="004C771B">
        <w:t>;</w:t>
      </w:r>
    </w:p>
    <w:p w14:paraId="50AA8C1E" w14:textId="77777777" w:rsidR="007553C0" w:rsidRPr="004C771B" w:rsidRDefault="007553C0" w:rsidP="007A3E4F">
      <w:pPr>
        <w:spacing w:after="0" w:line="240" w:lineRule="auto"/>
        <w:ind w:left="851"/>
      </w:pPr>
    </w:p>
    <w:p w14:paraId="39CE3A0F" w14:textId="349AD1B6" w:rsidR="007553C0" w:rsidRPr="004C771B" w:rsidRDefault="007553C0" w:rsidP="00231A16">
      <w:pPr>
        <w:pStyle w:val="ListParagraph"/>
        <w:numPr>
          <w:ilvl w:val="0"/>
          <w:numId w:val="8"/>
        </w:numPr>
        <w:spacing w:after="0" w:line="240" w:lineRule="auto"/>
      </w:pPr>
      <w:r w:rsidRPr="004C771B">
        <w:t xml:space="preserve">rewarding success internally </w:t>
      </w:r>
      <w:r w:rsidR="0046747A" w:rsidRPr="004C771B">
        <w:t>with</w:t>
      </w:r>
      <w:r w:rsidRPr="004C771B">
        <w:t>in the company</w:t>
      </w:r>
      <w:r w:rsidR="00697853" w:rsidRPr="004C771B">
        <w:t>;</w:t>
      </w:r>
    </w:p>
    <w:p w14:paraId="37961F27" w14:textId="77777777" w:rsidR="007553C0" w:rsidRPr="004C771B" w:rsidRDefault="007553C0" w:rsidP="007A3E4F">
      <w:pPr>
        <w:spacing w:after="0" w:line="240" w:lineRule="auto"/>
        <w:ind w:left="851"/>
      </w:pPr>
    </w:p>
    <w:p w14:paraId="1535DC82" w14:textId="344DDAE7" w:rsidR="007553C0" w:rsidRPr="004C771B" w:rsidRDefault="007553C0" w:rsidP="00231A16">
      <w:pPr>
        <w:pStyle w:val="ListParagraph"/>
        <w:numPr>
          <w:ilvl w:val="0"/>
          <w:numId w:val="8"/>
        </w:numPr>
        <w:spacing w:after="0" w:line="240" w:lineRule="auto"/>
      </w:pPr>
      <w:r w:rsidRPr="004C771B">
        <w:t xml:space="preserve">showcasing </w:t>
      </w:r>
      <w:r w:rsidR="0046747A" w:rsidRPr="004C771B">
        <w:t xml:space="preserve">effective </w:t>
      </w:r>
      <w:r w:rsidRPr="004C771B">
        <w:t xml:space="preserve">(and </w:t>
      </w:r>
      <w:r w:rsidR="0046747A" w:rsidRPr="004C771B">
        <w:t>non-effective</w:t>
      </w:r>
      <w:r w:rsidRPr="004C771B">
        <w:t>) practices across and within industries</w:t>
      </w:r>
      <w:r w:rsidR="00697853" w:rsidRPr="004C771B">
        <w:t>;</w:t>
      </w:r>
    </w:p>
    <w:p w14:paraId="4E5929B0" w14:textId="77777777" w:rsidR="00697853" w:rsidRPr="004C771B" w:rsidRDefault="00697853" w:rsidP="00697853">
      <w:pPr>
        <w:pStyle w:val="ListParagraph"/>
      </w:pPr>
    </w:p>
    <w:p w14:paraId="4DA12332" w14:textId="77777777" w:rsidR="00697853" w:rsidRPr="004C771B" w:rsidRDefault="00697853" w:rsidP="00231A16">
      <w:pPr>
        <w:pStyle w:val="ListParagraph"/>
        <w:numPr>
          <w:ilvl w:val="0"/>
          <w:numId w:val="8"/>
        </w:numPr>
        <w:spacing w:after="0" w:line="240" w:lineRule="auto"/>
      </w:pPr>
      <w:r w:rsidRPr="004C771B">
        <w:t>leadership;</w:t>
      </w:r>
    </w:p>
    <w:p w14:paraId="39D02256" w14:textId="77777777" w:rsidR="000B0B55" w:rsidRPr="004C771B" w:rsidRDefault="000B0B55" w:rsidP="007A3E4F">
      <w:pPr>
        <w:spacing w:after="0" w:line="240" w:lineRule="auto"/>
        <w:ind w:left="851"/>
      </w:pPr>
    </w:p>
    <w:p w14:paraId="1159AD03" w14:textId="1A856D50" w:rsidR="00374802" w:rsidRDefault="000B0B55" w:rsidP="00913E6F">
      <w:pPr>
        <w:pStyle w:val="ListParagraph"/>
        <w:numPr>
          <w:ilvl w:val="0"/>
          <w:numId w:val="8"/>
        </w:numPr>
        <w:spacing w:after="0" w:line="240" w:lineRule="auto"/>
      </w:pPr>
      <w:proofErr w:type="gramStart"/>
      <w:r w:rsidRPr="004C771B">
        <w:t>the</w:t>
      </w:r>
      <w:proofErr w:type="gramEnd"/>
      <w:r w:rsidRPr="004C771B">
        <w:t xml:space="preserve"> effectiveness of the regulatory framework, including a base</w:t>
      </w:r>
      <w:r w:rsidR="00696541" w:rsidRPr="004C771B">
        <w:t>line</w:t>
      </w:r>
      <w:r w:rsidRPr="004C771B">
        <w:t xml:space="preserve"> of regulatory requirements and performance measures</w:t>
      </w:r>
      <w:r w:rsidR="00697853" w:rsidRPr="004C771B">
        <w:t xml:space="preserve">. Regulators also need to enforce </w:t>
      </w:r>
      <w:r w:rsidRPr="004C771B">
        <w:t>the rules.</w:t>
      </w:r>
    </w:p>
    <w:p w14:paraId="2FF30E38" w14:textId="34F9AD9F" w:rsidR="00644E59" w:rsidRPr="004C771B" w:rsidRDefault="00644E59" w:rsidP="00924ADF">
      <w:pPr>
        <w:pStyle w:val="Heading3"/>
      </w:pPr>
      <w:r w:rsidRPr="004C771B">
        <w:t xml:space="preserve">The regulatory framework is a very important driver </w:t>
      </w:r>
    </w:p>
    <w:p w14:paraId="1EFDE559" w14:textId="15C3D99C" w:rsidR="00400357" w:rsidRPr="004C771B" w:rsidRDefault="002C0DB8" w:rsidP="004C771B">
      <w:r w:rsidRPr="004C771B">
        <w:t xml:space="preserve">It was clear from the interviews that the regulatory framework, including the strength and pro-activeness of the regulator, had a </w:t>
      </w:r>
      <w:r w:rsidR="00696541">
        <w:t>major</w:t>
      </w:r>
      <w:r w:rsidRPr="004C771B">
        <w:t xml:space="preserve"> impact </w:t>
      </w:r>
      <w:r w:rsidR="00DF0148" w:rsidRPr="004C771B">
        <w:t>on hardship approaches</w:t>
      </w:r>
      <w:r w:rsidRPr="004C771B">
        <w:t xml:space="preserve">. In particular, </w:t>
      </w:r>
      <w:r w:rsidR="00696541">
        <w:t>i</w:t>
      </w:r>
      <w:r w:rsidR="00750BE5" w:rsidRPr="004C771B">
        <w:t xml:space="preserve">nterviewees from the banking sector were </w:t>
      </w:r>
      <w:r w:rsidR="00DF0148" w:rsidRPr="004C771B">
        <w:t>very</w:t>
      </w:r>
      <w:r w:rsidR="00750BE5" w:rsidRPr="004C771B">
        <w:t xml:space="preserve"> conscious of </w:t>
      </w:r>
      <w:proofErr w:type="spellStart"/>
      <w:r w:rsidR="00750BE5" w:rsidRPr="004C771B">
        <w:t>ASIC</w:t>
      </w:r>
      <w:proofErr w:type="spellEnd"/>
      <w:r w:rsidR="00750BE5" w:rsidRPr="004C771B">
        <w:t xml:space="preserve"> as the regulator</w:t>
      </w:r>
      <w:r w:rsidR="00E5434F" w:rsidRPr="004C771B">
        <w:t xml:space="preserve">, </w:t>
      </w:r>
      <w:r w:rsidR="00644E59" w:rsidRPr="004C771B">
        <w:t xml:space="preserve">the </w:t>
      </w:r>
      <w:r w:rsidR="00E5434F" w:rsidRPr="004C771B">
        <w:t xml:space="preserve">potential sanctions </w:t>
      </w:r>
      <w:r w:rsidR="00644E59" w:rsidRPr="004C771B">
        <w:t xml:space="preserve">for breaches </w:t>
      </w:r>
      <w:r w:rsidR="00750BE5" w:rsidRPr="004C771B">
        <w:t>and the requirements imposed by credit laws</w:t>
      </w:r>
      <w:r w:rsidR="00DF0148" w:rsidRPr="004C771B">
        <w:t>.</w:t>
      </w:r>
      <w:r w:rsidR="00E5434F" w:rsidRPr="004C771B">
        <w:t xml:space="preserve"> </w:t>
      </w:r>
      <w:r w:rsidR="00696541">
        <w:t>In addition, t</w:t>
      </w:r>
      <w:r w:rsidR="00E5434F" w:rsidRPr="004C771B">
        <w:t xml:space="preserve">hey were very aware of media attention highlighting </w:t>
      </w:r>
      <w:proofErr w:type="spellStart"/>
      <w:r w:rsidR="00E5434F" w:rsidRPr="004C771B">
        <w:t>ASIC</w:t>
      </w:r>
      <w:proofErr w:type="spellEnd"/>
      <w:r w:rsidR="00E5434F" w:rsidRPr="004C771B">
        <w:t xml:space="preserve"> sanctions and expressed a strong desire to </w:t>
      </w:r>
      <w:r w:rsidR="00644E59" w:rsidRPr="004C771B">
        <w:t>not be dragged into the public spotlight</w:t>
      </w:r>
      <w:r w:rsidR="00E5434F" w:rsidRPr="004C771B">
        <w:t xml:space="preserve">. </w:t>
      </w:r>
      <w:r w:rsidR="001A1110" w:rsidRPr="004C771B">
        <w:t>Banking industry</w:t>
      </w:r>
      <w:r w:rsidR="00CA0F60" w:rsidRPr="004C771B">
        <w:t xml:space="preserve"> interviewees sai</w:t>
      </w:r>
      <w:r w:rsidR="001A1110" w:rsidRPr="004C771B">
        <w:t xml:space="preserve">d a negative report meant that </w:t>
      </w:r>
      <w:r w:rsidR="00DA0C85" w:rsidRPr="004C771B">
        <w:t>‘</w:t>
      </w:r>
      <w:r w:rsidR="00CA0F60" w:rsidRPr="004C771B">
        <w:t>heads would roll’</w:t>
      </w:r>
      <w:r w:rsidR="001A1110" w:rsidRPr="004C771B">
        <w:t>. Th</w:t>
      </w:r>
      <w:r w:rsidR="00CA0F60" w:rsidRPr="004C771B">
        <w:t>e market would react negatively to sanctions such as enforceable undertakings</w:t>
      </w:r>
      <w:r w:rsidR="001A1110" w:rsidRPr="004C771B">
        <w:t xml:space="preserve"> and</w:t>
      </w:r>
      <w:r w:rsidR="00CA0F60" w:rsidRPr="004C771B">
        <w:t xml:space="preserve"> senior management </w:t>
      </w:r>
      <w:r w:rsidR="001A1110" w:rsidRPr="004C771B">
        <w:t>would be concerned about</w:t>
      </w:r>
      <w:r w:rsidR="00CA0F60" w:rsidRPr="004C771B">
        <w:t xml:space="preserve"> reputational damage. </w:t>
      </w:r>
    </w:p>
    <w:p w14:paraId="0D5449B9" w14:textId="5F785712" w:rsidR="00400357" w:rsidRPr="003225A7" w:rsidRDefault="00DA0C85" w:rsidP="004C771B">
      <w:pPr>
        <w:ind w:left="567"/>
        <w:rPr>
          <w:i/>
          <w:lang w:val="en-US"/>
        </w:rPr>
      </w:pPr>
      <w:r w:rsidRPr="003225A7">
        <w:rPr>
          <w:i/>
        </w:rPr>
        <w:lastRenderedPageBreak/>
        <w:t>‘</w:t>
      </w:r>
      <w:r w:rsidR="00400357" w:rsidRPr="003225A7">
        <w:rPr>
          <w:i/>
          <w:lang w:val="en-US"/>
        </w:rPr>
        <w:t xml:space="preserve">With the </w:t>
      </w:r>
      <w:proofErr w:type="spellStart"/>
      <w:r w:rsidR="00400357" w:rsidRPr="003225A7">
        <w:rPr>
          <w:i/>
          <w:lang w:val="en-US"/>
        </w:rPr>
        <w:t>NCCP</w:t>
      </w:r>
      <w:proofErr w:type="spellEnd"/>
      <w:r w:rsidR="00400357" w:rsidRPr="003225A7">
        <w:rPr>
          <w:rStyle w:val="FootnoteReference"/>
          <w:i/>
          <w:sz w:val="24"/>
          <w:szCs w:val="24"/>
          <w:lang w:val="en-US"/>
        </w:rPr>
        <w:footnoteReference w:id="24"/>
      </w:r>
      <w:r w:rsidR="00400357" w:rsidRPr="003225A7">
        <w:rPr>
          <w:i/>
          <w:lang w:val="en-US"/>
        </w:rPr>
        <w:t>, we don’t want to be the firs</w:t>
      </w:r>
      <w:r w:rsidR="00ED5F32" w:rsidRPr="003225A7">
        <w:rPr>
          <w:i/>
          <w:lang w:val="en-US"/>
        </w:rPr>
        <w:t xml:space="preserve">t with a $1.7 million complaint, </w:t>
      </w:r>
      <w:r w:rsidR="00400357" w:rsidRPr="003225A7">
        <w:rPr>
          <w:i/>
          <w:lang w:val="en-US"/>
        </w:rPr>
        <w:t xml:space="preserve">so </w:t>
      </w:r>
      <w:proofErr w:type="spellStart"/>
      <w:r w:rsidR="00400357" w:rsidRPr="003225A7">
        <w:rPr>
          <w:i/>
          <w:lang w:val="en-US"/>
        </w:rPr>
        <w:t>ASIC</w:t>
      </w:r>
      <w:proofErr w:type="spellEnd"/>
      <w:r w:rsidR="00400357" w:rsidRPr="003225A7">
        <w:rPr>
          <w:i/>
          <w:lang w:val="en-US"/>
        </w:rPr>
        <w:t xml:space="preserve"> has a big impact on the way we operate. And don’t want to be in the news. </w:t>
      </w:r>
      <w:proofErr w:type="spellStart"/>
      <w:r w:rsidR="00400357" w:rsidRPr="003225A7">
        <w:rPr>
          <w:i/>
          <w:lang w:val="en-US"/>
        </w:rPr>
        <w:t>ASIC</w:t>
      </w:r>
      <w:proofErr w:type="spellEnd"/>
      <w:r w:rsidR="00400357" w:rsidRPr="003225A7">
        <w:rPr>
          <w:i/>
          <w:lang w:val="en-US"/>
        </w:rPr>
        <w:t xml:space="preserve"> is very strong</w:t>
      </w:r>
      <w:r w:rsidRPr="003225A7">
        <w:rPr>
          <w:i/>
          <w:lang w:val="en-US"/>
        </w:rPr>
        <w:t>’</w:t>
      </w:r>
      <w:r w:rsidR="00400357" w:rsidRPr="003225A7">
        <w:rPr>
          <w:i/>
          <w:lang w:val="en-US"/>
        </w:rPr>
        <w:t>.</w:t>
      </w:r>
    </w:p>
    <w:p w14:paraId="208EDCA5" w14:textId="26B1395D" w:rsidR="001A1110" w:rsidRPr="004C771B" w:rsidRDefault="00ED5F32" w:rsidP="004C771B">
      <w:pPr>
        <w:ind w:left="567"/>
      </w:pPr>
      <w:r w:rsidRPr="004C771B">
        <w:t>Bank interviewee</w:t>
      </w:r>
    </w:p>
    <w:p w14:paraId="36290520" w14:textId="5C91D355" w:rsidR="001A1110" w:rsidRPr="004C771B" w:rsidRDefault="00991AC0" w:rsidP="004C771B">
      <w:r>
        <w:t>Individuals from o</w:t>
      </w:r>
      <w:r w:rsidR="00CA0F60" w:rsidRPr="004C771B">
        <w:t xml:space="preserve">ther </w:t>
      </w:r>
      <w:r w:rsidR="001A1110" w:rsidRPr="004C771B">
        <w:t>industry sectors</w:t>
      </w:r>
      <w:r w:rsidR="00CA0F60" w:rsidRPr="004C771B">
        <w:t xml:space="preserve"> did not appear to be </w:t>
      </w:r>
      <w:r w:rsidR="001A1110" w:rsidRPr="004C771B">
        <w:t>concerned</w:t>
      </w:r>
      <w:r w:rsidR="00CA0F60" w:rsidRPr="004C771B">
        <w:t xml:space="preserve"> by regulatory sanctions to the same extent, although the utilities sector</w:t>
      </w:r>
      <w:r w:rsidR="00ED5F32" w:rsidRPr="004C771B">
        <w:t xml:space="preserve"> interviewees </w:t>
      </w:r>
      <w:r w:rsidR="00CA0F60" w:rsidRPr="004C771B">
        <w:t xml:space="preserve">were </w:t>
      </w:r>
      <w:r w:rsidR="001A1110" w:rsidRPr="004C771B">
        <w:t>very</w:t>
      </w:r>
      <w:r w:rsidR="00E5434F" w:rsidRPr="004C771B">
        <w:t xml:space="preserve"> conscious of the legislation and </w:t>
      </w:r>
      <w:r w:rsidR="00CA0F60" w:rsidRPr="004C771B">
        <w:t xml:space="preserve">codes. The telco regulator and code </w:t>
      </w:r>
      <w:r w:rsidR="001A1110" w:rsidRPr="004C771B">
        <w:t xml:space="preserve">was not raised by interviewees in this sector to anywhere near the same </w:t>
      </w:r>
      <w:r w:rsidR="00C64921" w:rsidRPr="004C771B">
        <w:t>extent</w:t>
      </w:r>
      <w:r w:rsidR="00CA0F60" w:rsidRPr="004C771B">
        <w:t xml:space="preserve"> as </w:t>
      </w:r>
      <w:r>
        <w:t xml:space="preserve">by interviewees from </w:t>
      </w:r>
      <w:r w:rsidR="00CA0F60" w:rsidRPr="004C771B">
        <w:t xml:space="preserve">other industries. </w:t>
      </w:r>
    </w:p>
    <w:p w14:paraId="17815533" w14:textId="0B4425FF" w:rsidR="00DF0148" w:rsidRPr="004C771B" w:rsidRDefault="001A1110" w:rsidP="007B79B1">
      <w:pPr>
        <w:pStyle w:val="Heading3"/>
      </w:pPr>
      <w:r w:rsidRPr="004C771B">
        <w:t>Performance drops away w</w:t>
      </w:r>
      <w:r w:rsidR="00991AC0" w:rsidRPr="004C771B">
        <w:t>ith a change of leadership and/</w:t>
      </w:r>
      <w:r w:rsidR="001A6707" w:rsidRPr="004C771B">
        <w:t xml:space="preserve">or </w:t>
      </w:r>
      <w:r w:rsidRPr="004C771B">
        <w:t xml:space="preserve">staff </w:t>
      </w:r>
    </w:p>
    <w:p w14:paraId="54D00A60" w14:textId="0A9C6D14" w:rsidR="00C7267A" w:rsidRPr="004C771B" w:rsidRDefault="00DA184D" w:rsidP="004C771B">
      <w:r w:rsidRPr="004C771B">
        <w:t>When</w:t>
      </w:r>
      <w:r w:rsidR="00B07EAD" w:rsidRPr="004C771B">
        <w:t xml:space="preserve"> interviewees </w:t>
      </w:r>
      <w:r w:rsidR="00991AC0">
        <w:t>discussed</w:t>
      </w:r>
      <w:r w:rsidR="00B07EAD" w:rsidRPr="004C771B">
        <w:t xml:space="preserve"> companies whose performance had changed, a common theme was the loss of key staff, including</w:t>
      </w:r>
      <w:r w:rsidR="00991AC0">
        <w:t xml:space="preserve"> those</w:t>
      </w:r>
      <w:r w:rsidR="00B07EAD" w:rsidRPr="004C771B">
        <w:t xml:space="preserve"> at senior levels. </w:t>
      </w:r>
      <w:r w:rsidR="00C7267A" w:rsidRPr="004C771B">
        <w:t>As one interviewee said:</w:t>
      </w:r>
    </w:p>
    <w:p w14:paraId="24D416F7" w14:textId="27335FCE" w:rsidR="00FA078A" w:rsidRPr="003225A7" w:rsidRDefault="00DA0C85" w:rsidP="004C771B">
      <w:pPr>
        <w:rPr>
          <w:i/>
        </w:rPr>
      </w:pPr>
      <w:r w:rsidRPr="003225A7">
        <w:rPr>
          <w:i/>
        </w:rPr>
        <w:t>‘</w:t>
      </w:r>
      <w:r w:rsidR="00991AC0" w:rsidRPr="003225A7">
        <w:rPr>
          <w:i/>
        </w:rPr>
        <w:t>T</w:t>
      </w:r>
      <w:r w:rsidR="00B07EAD" w:rsidRPr="003225A7">
        <w:rPr>
          <w:i/>
        </w:rPr>
        <w:t xml:space="preserve">he </w:t>
      </w:r>
      <w:proofErr w:type="spellStart"/>
      <w:r w:rsidR="00B07EAD" w:rsidRPr="003225A7">
        <w:rPr>
          <w:i/>
        </w:rPr>
        <w:t>CEO</w:t>
      </w:r>
      <w:proofErr w:type="spellEnd"/>
      <w:r w:rsidR="00B07EAD" w:rsidRPr="003225A7">
        <w:rPr>
          <w:i/>
        </w:rPr>
        <w:t xml:space="preserve"> (of the energy company) was very compassionate and had the vision. Their focus then shifted to the bottom line and vertical integration. This flowed throug</w:t>
      </w:r>
      <w:r w:rsidR="00DA184D" w:rsidRPr="003225A7">
        <w:rPr>
          <w:i/>
        </w:rPr>
        <w:t xml:space="preserve">h to their hardship program … </w:t>
      </w:r>
      <w:r w:rsidR="00D40A49" w:rsidRPr="003225A7">
        <w:rPr>
          <w:i/>
        </w:rPr>
        <w:t xml:space="preserve">on </w:t>
      </w:r>
      <w:r w:rsidR="00D40A49" w:rsidRPr="003225A7">
        <w:rPr>
          <w:bCs/>
          <w:i/>
          <w:lang w:val="en-US"/>
        </w:rPr>
        <w:t xml:space="preserve">companies going backwards </w:t>
      </w:r>
      <w:r w:rsidR="00DA184D" w:rsidRPr="003225A7">
        <w:rPr>
          <w:bCs/>
          <w:i/>
          <w:lang w:val="en-US"/>
        </w:rPr>
        <w:t>–</w:t>
      </w:r>
      <w:r w:rsidR="00D40A49" w:rsidRPr="003225A7">
        <w:rPr>
          <w:bCs/>
          <w:i/>
          <w:lang w:val="en-US"/>
        </w:rPr>
        <w:t xml:space="preserve"> </w:t>
      </w:r>
      <w:r w:rsidR="00DA184D" w:rsidRPr="003225A7">
        <w:rPr>
          <w:bCs/>
          <w:i/>
          <w:lang w:val="en-US"/>
        </w:rPr>
        <w:t xml:space="preserve">the </w:t>
      </w:r>
      <w:r w:rsidR="00D40A49" w:rsidRPr="003225A7">
        <w:rPr>
          <w:bCs/>
          <w:i/>
          <w:lang w:val="en-US"/>
        </w:rPr>
        <w:t>biggest issue is someone leaving</w:t>
      </w:r>
      <w:r w:rsidR="00DA184D" w:rsidRPr="003225A7">
        <w:rPr>
          <w:bCs/>
          <w:i/>
          <w:lang w:val="en-US"/>
        </w:rPr>
        <w:t>.</w:t>
      </w:r>
      <w:r w:rsidRPr="003225A7">
        <w:rPr>
          <w:bCs/>
          <w:i/>
          <w:lang w:val="en-US"/>
        </w:rPr>
        <w:t>’</w:t>
      </w:r>
    </w:p>
    <w:p w14:paraId="463F81DB" w14:textId="33E07D40" w:rsidR="00CA401E" w:rsidRDefault="00C06B27" w:rsidP="004C771B">
      <w:r w:rsidRPr="004C771B">
        <w:t xml:space="preserve">One </w:t>
      </w:r>
      <w:proofErr w:type="spellStart"/>
      <w:r w:rsidRPr="004C771B">
        <w:t>EDR</w:t>
      </w:r>
      <w:proofErr w:type="spellEnd"/>
      <w:r w:rsidRPr="004C771B">
        <w:t xml:space="preserve"> scheme </w:t>
      </w:r>
      <w:r w:rsidR="00DA184D" w:rsidRPr="004C771B">
        <w:t>interviewee</w:t>
      </w:r>
      <w:r w:rsidRPr="004C771B">
        <w:t xml:space="preserve"> </w:t>
      </w:r>
      <w:r w:rsidR="0036127A">
        <w:t>presented</w:t>
      </w:r>
      <w:r w:rsidR="0036127A" w:rsidRPr="004C771B">
        <w:t xml:space="preserve"> </w:t>
      </w:r>
      <w:r w:rsidR="001A6707" w:rsidRPr="004C771B">
        <w:t xml:space="preserve">the example of </w:t>
      </w:r>
      <w:r w:rsidRPr="004C771B">
        <w:t>a high performing company with a solid hardship program and a visionary managing director</w:t>
      </w:r>
      <w:r w:rsidR="0036127A">
        <w:t>. The program</w:t>
      </w:r>
      <w:r w:rsidRPr="004C771B">
        <w:t xml:space="preserve"> </w:t>
      </w:r>
      <w:r w:rsidR="00DA184D" w:rsidRPr="004C771B">
        <w:t>became less effective</w:t>
      </w:r>
      <w:r w:rsidRPr="004C771B">
        <w:t xml:space="preserve"> </w:t>
      </w:r>
      <w:r w:rsidR="00557384" w:rsidRPr="004C771B">
        <w:t>after</w:t>
      </w:r>
      <w:r w:rsidRPr="004C771B">
        <w:t xml:space="preserve"> the company </w:t>
      </w:r>
      <w:r w:rsidR="0036127A">
        <w:t>under</w:t>
      </w:r>
      <w:r w:rsidRPr="004C771B">
        <w:t xml:space="preserve">went a major operational restructure. </w:t>
      </w:r>
      <w:r w:rsidR="00346051" w:rsidRPr="004C771B">
        <w:t xml:space="preserve">The ombudsmen team also noticed </w:t>
      </w:r>
      <w:proofErr w:type="gramStart"/>
      <w:r w:rsidR="001A6707" w:rsidRPr="004C771B">
        <w:t>a deterioration</w:t>
      </w:r>
      <w:proofErr w:type="gramEnd"/>
      <w:r w:rsidR="001A6707" w:rsidRPr="004C771B">
        <w:t xml:space="preserve"> in their </w:t>
      </w:r>
      <w:r w:rsidRPr="004C771B">
        <w:t xml:space="preserve">working relationships with the </w:t>
      </w:r>
      <w:r w:rsidR="00346051" w:rsidRPr="004C771B">
        <w:t xml:space="preserve">company’s hardship team, </w:t>
      </w:r>
      <w:r w:rsidR="001A6707" w:rsidRPr="004C771B">
        <w:t>after</w:t>
      </w:r>
      <w:r w:rsidR="00346051" w:rsidRPr="004C771B">
        <w:t xml:space="preserve"> the staff members on the ground disappeared in the restructure</w:t>
      </w:r>
      <w:r w:rsidRPr="004C771B">
        <w:t>. The</w:t>
      </w:r>
      <w:r w:rsidR="00346051" w:rsidRPr="004C771B">
        <w:t xml:space="preserve"> </w:t>
      </w:r>
      <w:r w:rsidR="001A6707" w:rsidRPr="004C771B">
        <w:t xml:space="preserve">interviewee </w:t>
      </w:r>
      <w:r w:rsidRPr="004C771B">
        <w:t xml:space="preserve">observed that a case management model </w:t>
      </w:r>
      <w:r w:rsidR="004E0019" w:rsidRPr="004C771B">
        <w:t>re</w:t>
      </w:r>
      <w:r w:rsidR="001A6707" w:rsidRPr="004C771B">
        <w:t>lied on making local referrals, but energy and water</w:t>
      </w:r>
      <w:r w:rsidR="004E0019" w:rsidRPr="004C771B">
        <w:t xml:space="preserve"> retailers struggle to </w:t>
      </w:r>
      <w:r w:rsidR="001A6707" w:rsidRPr="004C771B">
        <w:t>refer customers effectively whe</w:t>
      </w:r>
      <w:r w:rsidR="004E0019" w:rsidRPr="004C771B">
        <w:t xml:space="preserve">n they operate </w:t>
      </w:r>
      <w:r w:rsidR="00557384" w:rsidRPr="004C771B">
        <w:t>from</w:t>
      </w:r>
      <w:r w:rsidR="004E0019" w:rsidRPr="004C771B">
        <w:t xml:space="preserve"> a centralised model.</w:t>
      </w:r>
      <w:r w:rsidR="004E0019">
        <w:t xml:space="preserve"> </w:t>
      </w:r>
    </w:p>
    <w:p w14:paraId="551E830C" w14:textId="77777777" w:rsidR="00823B15" w:rsidRDefault="00CA401E" w:rsidP="00823B15">
      <w:pPr>
        <w:rPr>
          <w:lang w:val="en-US"/>
        </w:rPr>
      </w:pPr>
      <w:r w:rsidRPr="004C771B">
        <w:rPr>
          <w:lang w:val="en-US"/>
        </w:rPr>
        <w:t xml:space="preserve">The importance of leadership was reinforced by Sue Fraser, a financial </w:t>
      </w:r>
      <w:proofErr w:type="spellStart"/>
      <w:r w:rsidRPr="004C771B">
        <w:rPr>
          <w:lang w:val="en-US"/>
        </w:rPr>
        <w:t>counsellor</w:t>
      </w:r>
      <w:proofErr w:type="spellEnd"/>
      <w:r w:rsidRPr="004C771B">
        <w:rPr>
          <w:lang w:val="en-US"/>
        </w:rPr>
        <w:t xml:space="preserve"> with </w:t>
      </w:r>
      <w:proofErr w:type="spellStart"/>
      <w:r w:rsidRPr="004C771B">
        <w:rPr>
          <w:lang w:val="en-US"/>
        </w:rPr>
        <w:t>Kildonan</w:t>
      </w:r>
      <w:proofErr w:type="spellEnd"/>
      <w:r w:rsidRPr="004C771B">
        <w:rPr>
          <w:lang w:val="en-US"/>
        </w:rPr>
        <w:t xml:space="preserve"> </w:t>
      </w:r>
      <w:proofErr w:type="spellStart"/>
      <w:r w:rsidR="00DB4B52" w:rsidRPr="004C771B">
        <w:rPr>
          <w:lang w:val="en-US"/>
        </w:rPr>
        <w:t>Uniting</w:t>
      </w:r>
      <w:r w:rsidRPr="004C771B">
        <w:rPr>
          <w:lang w:val="en-US"/>
        </w:rPr>
        <w:t>Care</w:t>
      </w:r>
      <w:proofErr w:type="spellEnd"/>
      <w:r w:rsidR="0036127A">
        <w:rPr>
          <w:lang w:val="en-US"/>
        </w:rPr>
        <w:t xml:space="preserve">, </w:t>
      </w:r>
      <w:r w:rsidRPr="004C771B">
        <w:rPr>
          <w:lang w:val="en-US"/>
        </w:rPr>
        <w:t>Victoria</w:t>
      </w:r>
      <w:r w:rsidR="00B254C1" w:rsidRPr="004C771B">
        <w:rPr>
          <w:lang w:val="en-US"/>
        </w:rPr>
        <w:t>. Sue</w:t>
      </w:r>
      <w:r w:rsidRPr="004C771B">
        <w:rPr>
          <w:lang w:val="en-US"/>
        </w:rPr>
        <w:t xml:space="preserve"> has worked with a number of companies </w:t>
      </w:r>
      <w:r w:rsidR="00B254C1" w:rsidRPr="004C771B">
        <w:rPr>
          <w:lang w:val="en-US"/>
        </w:rPr>
        <w:t>on a consultancy basis helping them to improve hardship responses.</w:t>
      </w:r>
    </w:p>
    <w:p w14:paraId="60DBDBA7" w14:textId="0E964E6F" w:rsidR="00CA401E" w:rsidRPr="00823B15" w:rsidRDefault="00CA401E" w:rsidP="00823B15">
      <w:pPr>
        <w:ind w:left="567"/>
        <w:rPr>
          <w:lang w:val="en-US"/>
        </w:rPr>
      </w:pPr>
      <w:r w:rsidRPr="004C771B">
        <w:rPr>
          <w:lang w:val="en-US"/>
        </w:rPr>
        <w:br/>
      </w:r>
      <w:r w:rsidR="00DA0C85" w:rsidRPr="004C771B">
        <w:rPr>
          <w:i/>
          <w:lang w:val="en-US"/>
        </w:rPr>
        <w:t>‘</w:t>
      </w:r>
      <w:r w:rsidRPr="004C771B">
        <w:rPr>
          <w:i/>
          <w:lang w:val="en-US"/>
        </w:rPr>
        <w:t xml:space="preserve">When we have been working with industries, when they’re participating, they do well. Working with vulnerable consumers it looks and sounds easy because you just talk to people, get them to pay something and they do. </w:t>
      </w:r>
    </w:p>
    <w:p w14:paraId="59CF7BA1" w14:textId="2BC911D1" w:rsidR="00CA401E" w:rsidRPr="004C771B" w:rsidRDefault="00CA401E" w:rsidP="004C771B">
      <w:pPr>
        <w:ind w:left="567"/>
        <w:rPr>
          <w:i/>
          <w:lang w:val="en-US"/>
        </w:rPr>
      </w:pPr>
      <w:r w:rsidRPr="004C771B">
        <w:rPr>
          <w:i/>
          <w:lang w:val="en-US"/>
        </w:rPr>
        <w:t>As they get less complaints a</w:t>
      </w:r>
      <w:r w:rsidR="00B254C1" w:rsidRPr="004C771B">
        <w:rPr>
          <w:i/>
          <w:lang w:val="en-US"/>
        </w:rPr>
        <w:t xml:space="preserve">nd greater cash flow, </w:t>
      </w:r>
      <w:proofErr w:type="gramStart"/>
      <w:r w:rsidR="00B254C1" w:rsidRPr="004C771B">
        <w:rPr>
          <w:i/>
          <w:lang w:val="en-US"/>
        </w:rPr>
        <w:t>it</w:t>
      </w:r>
      <w:r w:rsidR="0036127A" w:rsidRPr="004C771B">
        <w:rPr>
          <w:i/>
          <w:lang w:val="en-US"/>
        </w:rPr>
        <w:t>’</w:t>
      </w:r>
      <w:r w:rsidR="00B254C1" w:rsidRPr="004C771B">
        <w:rPr>
          <w:i/>
          <w:lang w:val="en-US"/>
        </w:rPr>
        <w:t>s</w:t>
      </w:r>
      <w:proofErr w:type="gramEnd"/>
      <w:r w:rsidR="00B254C1" w:rsidRPr="004C771B">
        <w:rPr>
          <w:i/>
          <w:lang w:val="en-US"/>
        </w:rPr>
        <w:t xml:space="preserve"> like </w:t>
      </w:r>
      <w:r w:rsidR="0036127A" w:rsidRPr="004C771B">
        <w:rPr>
          <w:i/>
          <w:lang w:val="en-US"/>
        </w:rPr>
        <w:t>“</w:t>
      </w:r>
      <w:r w:rsidRPr="004C771B">
        <w:rPr>
          <w:i/>
          <w:lang w:val="en-US"/>
        </w:rPr>
        <w:t>we’ve d</w:t>
      </w:r>
      <w:r w:rsidR="00B254C1" w:rsidRPr="004C771B">
        <w:rPr>
          <w:i/>
          <w:lang w:val="en-US"/>
        </w:rPr>
        <w:t>one that now</w:t>
      </w:r>
      <w:r w:rsidR="0036127A" w:rsidRPr="004C771B">
        <w:rPr>
          <w:i/>
          <w:lang w:val="en-US"/>
        </w:rPr>
        <w:t>”</w:t>
      </w:r>
      <w:r w:rsidR="00B254C1" w:rsidRPr="004C771B">
        <w:rPr>
          <w:i/>
          <w:lang w:val="en-US"/>
        </w:rPr>
        <w:t xml:space="preserve"> </w:t>
      </w:r>
      <w:r w:rsidRPr="004C771B">
        <w:rPr>
          <w:i/>
          <w:lang w:val="en-US"/>
        </w:rPr>
        <w:t>and we can move on. When we worked with [one of the banks] they blitzed all their measurements but they’ve lost some of the structural program – [an energy company] too. While you have a champion things are fine, but when they move off new managers want to put their mark on it.</w:t>
      </w:r>
    </w:p>
    <w:p w14:paraId="6DEA2FB3" w14:textId="482370A0" w:rsidR="00CA401E" w:rsidRPr="004C771B" w:rsidRDefault="00CA401E" w:rsidP="004C771B">
      <w:pPr>
        <w:ind w:left="567"/>
        <w:rPr>
          <w:sz w:val="24"/>
          <w:szCs w:val="24"/>
        </w:rPr>
      </w:pPr>
      <w:r w:rsidRPr="004C771B">
        <w:rPr>
          <w:i/>
          <w:lang w:val="en-US"/>
        </w:rPr>
        <w:t xml:space="preserve">[An energy company] at one stage were by far the leader. We stopped working with them six years ago. If you ask any financial </w:t>
      </w:r>
      <w:proofErr w:type="spellStart"/>
      <w:r w:rsidRPr="004C771B">
        <w:rPr>
          <w:i/>
          <w:lang w:val="en-US"/>
        </w:rPr>
        <w:t>counsellor</w:t>
      </w:r>
      <w:proofErr w:type="spellEnd"/>
      <w:r w:rsidR="002416F4" w:rsidRPr="004C771B">
        <w:rPr>
          <w:i/>
          <w:lang w:val="en-US"/>
        </w:rPr>
        <w:t>,</w:t>
      </w:r>
      <w:r w:rsidRPr="004C771B">
        <w:rPr>
          <w:i/>
          <w:lang w:val="en-US"/>
        </w:rPr>
        <w:t xml:space="preserve"> they used to be good but are shocking now. As soon as management changes, then it is lost. So we work with senior management, they take ownership internally, and don’t see it as a fly by night affair. So it</w:t>
      </w:r>
      <w:r w:rsidR="002416F4" w:rsidRPr="004C771B">
        <w:rPr>
          <w:i/>
          <w:lang w:val="en-US"/>
        </w:rPr>
        <w:t>’</w:t>
      </w:r>
      <w:r w:rsidRPr="004C771B">
        <w:rPr>
          <w:i/>
          <w:lang w:val="en-US"/>
        </w:rPr>
        <w:t>s not negotiable.</w:t>
      </w:r>
      <w:r w:rsidR="00DA0C85" w:rsidRPr="004C771B">
        <w:rPr>
          <w:i/>
          <w:lang w:val="en-US"/>
        </w:rPr>
        <w:t>’</w:t>
      </w:r>
    </w:p>
    <w:p w14:paraId="4C34D2E6" w14:textId="77777777" w:rsidR="00EA086B" w:rsidRPr="004C771B" w:rsidRDefault="00EA086B" w:rsidP="004C771B"/>
    <w:p w14:paraId="03680848" w14:textId="12A4792D" w:rsidR="00AC663D" w:rsidRPr="004C771B" w:rsidRDefault="00EA086B" w:rsidP="00F357B6">
      <w:pPr>
        <w:pStyle w:val="Heading3"/>
      </w:pPr>
      <w:r w:rsidRPr="004C771B">
        <w:t xml:space="preserve">Performance can also drop away when there are structural changes </w:t>
      </w:r>
    </w:p>
    <w:p w14:paraId="4A13D722" w14:textId="4F5323E3" w:rsidR="00041D15" w:rsidRPr="004C771B" w:rsidRDefault="006B17D0" w:rsidP="004C771B">
      <w:r w:rsidRPr="004C771B">
        <w:t xml:space="preserve">Small </w:t>
      </w:r>
      <w:r w:rsidR="009255C2" w:rsidRPr="004C771B">
        <w:t>changes</w:t>
      </w:r>
      <w:r w:rsidRPr="004C771B">
        <w:t xml:space="preserve"> can have profound consequences</w:t>
      </w:r>
      <w:r w:rsidR="002416F4">
        <w:t xml:space="preserve"> and can</w:t>
      </w:r>
      <w:r w:rsidR="00EA086B" w:rsidRPr="004C771B">
        <w:t xml:space="preserve"> even negat</w:t>
      </w:r>
      <w:r w:rsidR="002416F4">
        <w:t>e</w:t>
      </w:r>
      <w:r w:rsidR="00EA086B" w:rsidRPr="004C771B">
        <w:t xml:space="preserve"> previous</w:t>
      </w:r>
      <w:r w:rsidR="009255C2" w:rsidRPr="004C771B">
        <w:t xml:space="preserve"> gains</w:t>
      </w:r>
      <w:r w:rsidRPr="004C771B">
        <w:t xml:space="preserve">. </w:t>
      </w:r>
      <w:r w:rsidR="009A52AF" w:rsidRPr="004C771B">
        <w:t xml:space="preserve">We were </w:t>
      </w:r>
      <w:r w:rsidR="002416F4">
        <w:t>informed</w:t>
      </w:r>
      <w:r w:rsidR="002416F4" w:rsidRPr="004C771B">
        <w:t xml:space="preserve"> </w:t>
      </w:r>
      <w:r w:rsidR="009A52AF" w:rsidRPr="004C771B">
        <w:t xml:space="preserve">about </w:t>
      </w:r>
      <w:r w:rsidR="00EA086B" w:rsidRPr="004C771B">
        <w:t>one</w:t>
      </w:r>
      <w:r w:rsidR="009255C2" w:rsidRPr="004C771B">
        <w:t xml:space="preserve"> </w:t>
      </w:r>
      <w:proofErr w:type="gramStart"/>
      <w:r w:rsidRPr="004C771B">
        <w:t>energy company</w:t>
      </w:r>
      <w:proofErr w:type="gramEnd"/>
      <w:r w:rsidRPr="004C771B">
        <w:t xml:space="preserve"> </w:t>
      </w:r>
      <w:r w:rsidR="009A52AF" w:rsidRPr="004C771B">
        <w:t xml:space="preserve">that </w:t>
      </w:r>
      <w:r w:rsidR="00EA086B" w:rsidRPr="004C771B">
        <w:t>had been</w:t>
      </w:r>
      <w:r w:rsidRPr="004C771B">
        <w:t xml:space="preserve"> recognised as </w:t>
      </w:r>
      <w:r w:rsidR="00EA086B" w:rsidRPr="004C771B">
        <w:t>having</w:t>
      </w:r>
      <w:r w:rsidRPr="004C771B">
        <w:t xml:space="preserve"> a</w:t>
      </w:r>
      <w:r w:rsidR="009A52AF" w:rsidRPr="004C771B">
        <w:t xml:space="preserve"> standout</w:t>
      </w:r>
      <w:r w:rsidRPr="004C771B">
        <w:t xml:space="preserve"> hardship </w:t>
      </w:r>
      <w:r w:rsidR="00EA086B" w:rsidRPr="004C771B">
        <w:t xml:space="preserve">program. The company then made a structural change, diverting </w:t>
      </w:r>
      <w:r w:rsidRPr="004C771B">
        <w:t xml:space="preserve">all callers through </w:t>
      </w:r>
      <w:r w:rsidR="009255C2" w:rsidRPr="004C771B">
        <w:t>a</w:t>
      </w:r>
      <w:r w:rsidRPr="004C771B">
        <w:t xml:space="preserve"> triage </w:t>
      </w:r>
      <w:r w:rsidR="00557384" w:rsidRPr="004C771B">
        <w:t>centre</w:t>
      </w:r>
      <w:r w:rsidR="002416F4">
        <w:t>. P</w:t>
      </w:r>
      <w:r w:rsidR="009A52AF" w:rsidRPr="004C771B">
        <w:t xml:space="preserve">reviously customers had </w:t>
      </w:r>
      <w:r w:rsidR="002416F4">
        <w:t xml:space="preserve">benefitted from </w:t>
      </w:r>
      <w:r w:rsidR="009A52AF" w:rsidRPr="004C771B">
        <w:t xml:space="preserve">direct contact with the hardship team. </w:t>
      </w:r>
      <w:r w:rsidR="009255C2" w:rsidRPr="004C771B">
        <w:t>The triage team</w:t>
      </w:r>
      <w:r w:rsidR="00EA086B" w:rsidRPr="004C771B">
        <w:t>’s role</w:t>
      </w:r>
      <w:r w:rsidR="002416F4">
        <w:t xml:space="preserve"> included organising</w:t>
      </w:r>
      <w:r w:rsidR="009255C2" w:rsidRPr="004C771B">
        <w:t xml:space="preserve"> the payment arr</w:t>
      </w:r>
      <w:r w:rsidR="00191A86" w:rsidRPr="004C771B">
        <w:t xml:space="preserve">angement </w:t>
      </w:r>
      <w:r w:rsidR="00EA086B" w:rsidRPr="004C771B">
        <w:t>with</w:t>
      </w:r>
      <w:r w:rsidR="00191A86" w:rsidRPr="004C771B">
        <w:t xml:space="preserve"> the hardship team </w:t>
      </w:r>
      <w:r w:rsidR="00EA086B" w:rsidRPr="004C771B">
        <w:t xml:space="preserve">responsible for </w:t>
      </w:r>
      <w:r w:rsidR="00191A86" w:rsidRPr="004C771B">
        <w:t xml:space="preserve">subsequent </w:t>
      </w:r>
      <w:r w:rsidR="009255C2" w:rsidRPr="004C771B">
        <w:t xml:space="preserve">account management. </w:t>
      </w:r>
      <w:r w:rsidR="00EA086B" w:rsidRPr="004C771B">
        <w:t xml:space="preserve">This introduced </w:t>
      </w:r>
      <w:r w:rsidR="009255C2" w:rsidRPr="004C771B">
        <w:t>a disconnect</w:t>
      </w:r>
      <w:r w:rsidR="002416F4">
        <w:t>ion</w:t>
      </w:r>
      <w:r w:rsidR="009255C2" w:rsidRPr="004C771B">
        <w:t xml:space="preserve"> between the hardship team and the customer</w:t>
      </w:r>
      <w:r w:rsidR="00F9610C" w:rsidRPr="004C771B">
        <w:t xml:space="preserve">. There was no longer a direct relationship </w:t>
      </w:r>
      <w:r w:rsidR="002416F4">
        <w:t xml:space="preserve">between hardship staff and </w:t>
      </w:r>
      <w:r w:rsidR="00191A86" w:rsidRPr="004C771B">
        <w:t>the customer when they initially explai</w:t>
      </w:r>
      <w:r w:rsidR="00F9610C" w:rsidRPr="004C771B">
        <w:t>ned</w:t>
      </w:r>
      <w:r w:rsidR="00191A86" w:rsidRPr="004C771B">
        <w:t xml:space="preserve"> their situation and needs.</w:t>
      </w:r>
    </w:p>
    <w:p w14:paraId="531BBF3D" w14:textId="247F54C9" w:rsidR="00DF4CD8" w:rsidRPr="004C771B" w:rsidRDefault="00E03F2F" w:rsidP="00F357B6">
      <w:pPr>
        <w:pStyle w:val="Heading3"/>
      </w:pPr>
      <w:r w:rsidRPr="004C771B">
        <w:t xml:space="preserve">Regulatory measures </w:t>
      </w:r>
      <w:r w:rsidR="002D15AD" w:rsidRPr="004C771B">
        <w:t xml:space="preserve">of raw numbers </w:t>
      </w:r>
      <w:r w:rsidRPr="004C771B">
        <w:t xml:space="preserve">are not of great assistance in making assessments about </w:t>
      </w:r>
      <w:r w:rsidR="002416F4">
        <w:t>effective</w:t>
      </w:r>
      <w:r w:rsidR="002416F4" w:rsidRPr="004C771B">
        <w:t xml:space="preserve"> </w:t>
      </w:r>
      <w:r w:rsidR="00DF4CD8" w:rsidRPr="004C771B">
        <w:t xml:space="preserve">or </w:t>
      </w:r>
      <w:r w:rsidR="002416F4">
        <w:t>non-effective</w:t>
      </w:r>
      <w:r w:rsidR="00DF4CD8" w:rsidRPr="004C771B">
        <w:t xml:space="preserve"> performance</w:t>
      </w:r>
    </w:p>
    <w:p w14:paraId="754A7A7E" w14:textId="0F0AB669" w:rsidR="009A4877" w:rsidRDefault="002416F4" w:rsidP="004C771B">
      <w:r>
        <w:t>While i</w:t>
      </w:r>
      <w:r w:rsidR="00DF4CD8" w:rsidRPr="004C771B">
        <w:t>ndustry regulators</w:t>
      </w:r>
      <w:r w:rsidR="00041D15" w:rsidRPr="004C771B">
        <w:t xml:space="preserve"> monitor company hardship performance </w:t>
      </w:r>
      <w:r w:rsidR="00E03F2F" w:rsidRPr="004C771B">
        <w:t xml:space="preserve">the data can be </w:t>
      </w:r>
      <w:r>
        <w:t>difficult</w:t>
      </w:r>
      <w:r w:rsidR="00E03F2F" w:rsidRPr="004C771B">
        <w:t xml:space="preserve"> to </w:t>
      </w:r>
      <w:r>
        <w:t>interpret</w:t>
      </w:r>
      <w:r w:rsidR="00041D15" w:rsidRPr="004C771B">
        <w:t xml:space="preserve">. </w:t>
      </w:r>
      <w:r w:rsidR="00E03F2F" w:rsidRPr="004C771B">
        <w:t>For example, is</w:t>
      </w:r>
      <w:r w:rsidR="00041D15" w:rsidRPr="004C771B">
        <w:t xml:space="preserve"> it </w:t>
      </w:r>
      <w:r w:rsidR="00E03F2F" w:rsidRPr="004C771B">
        <w:t xml:space="preserve">a </w:t>
      </w:r>
      <w:r w:rsidR="00041D15" w:rsidRPr="004C771B">
        <w:t xml:space="preserve">good </w:t>
      </w:r>
      <w:r w:rsidR="00E03F2F" w:rsidRPr="004C771B">
        <w:t xml:space="preserve">or bad result </w:t>
      </w:r>
      <w:r w:rsidR="00041D15" w:rsidRPr="004C771B">
        <w:t xml:space="preserve">to have high numbers of people entering </w:t>
      </w:r>
      <w:r w:rsidR="00E03F2F" w:rsidRPr="004C771B">
        <w:t>a</w:t>
      </w:r>
      <w:r w:rsidR="00041D15" w:rsidRPr="004C771B">
        <w:t xml:space="preserve"> hardship program? </w:t>
      </w:r>
      <w:r w:rsidR="00E03F2F" w:rsidRPr="004C771B">
        <w:t>A low number</w:t>
      </w:r>
      <w:r w:rsidR="002D15AD" w:rsidRPr="004C771B">
        <w:t xml:space="preserve"> in a hardship program</w:t>
      </w:r>
      <w:r w:rsidR="00041D15" w:rsidRPr="004C771B">
        <w:t xml:space="preserve"> </w:t>
      </w:r>
      <w:r>
        <w:t>could imply</w:t>
      </w:r>
      <w:r w:rsidR="00041D15" w:rsidRPr="004C771B">
        <w:t xml:space="preserve"> that customers are not being proactively </w:t>
      </w:r>
      <w:r>
        <w:t>assisted</w:t>
      </w:r>
      <w:r w:rsidR="002D15AD" w:rsidRPr="004C771B">
        <w:t xml:space="preserve"> and </w:t>
      </w:r>
      <w:r>
        <w:t xml:space="preserve">that </w:t>
      </w:r>
      <w:r w:rsidR="002D15AD" w:rsidRPr="004C771B">
        <w:t>their financial positions are worsening</w:t>
      </w:r>
      <w:r>
        <w:t xml:space="preserve"> as a consequence</w:t>
      </w:r>
      <w:r w:rsidR="002D15AD" w:rsidRPr="004C771B">
        <w:t>. One regulator noted:</w:t>
      </w:r>
      <w:r w:rsidR="00041D15" w:rsidRPr="004C771B">
        <w:t xml:space="preserve"> </w:t>
      </w:r>
    </w:p>
    <w:p w14:paraId="4C0C004E" w14:textId="489979B3" w:rsidR="009A4877" w:rsidRPr="00D27A6F" w:rsidRDefault="00DA0C85" w:rsidP="00D27A6F">
      <w:pPr>
        <w:ind w:left="567"/>
        <w:rPr>
          <w:bCs/>
          <w:i/>
          <w:iCs/>
          <w:lang w:val="en-US"/>
        </w:rPr>
      </w:pPr>
      <w:r w:rsidRPr="00823B15">
        <w:t>‘</w:t>
      </w:r>
      <w:r w:rsidR="00041D15" w:rsidRPr="00823B15">
        <w:rPr>
          <w:bCs/>
          <w:i/>
          <w:iCs/>
          <w:lang w:val="en-US"/>
        </w:rPr>
        <w:t xml:space="preserve">There is not just one measure that is valuable. </w:t>
      </w:r>
      <w:r w:rsidR="002D15AD" w:rsidRPr="00823B15">
        <w:rPr>
          <w:bCs/>
          <w:i/>
          <w:iCs/>
          <w:lang w:val="en-US"/>
        </w:rPr>
        <w:t>We probably</w:t>
      </w:r>
      <w:r w:rsidR="00041D15" w:rsidRPr="00823B15">
        <w:rPr>
          <w:bCs/>
          <w:i/>
          <w:iCs/>
          <w:lang w:val="en-US"/>
        </w:rPr>
        <w:t xml:space="preserve"> need to look at a cluster of indicators to show both absolute rates and trends over time.</w:t>
      </w:r>
      <w:r w:rsidR="00C03E10" w:rsidRPr="00823B15">
        <w:rPr>
          <w:bCs/>
          <w:i/>
          <w:iCs/>
          <w:lang w:val="en-US"/>
        </w:rPr>
        <w:t xml:space="preserve"> The number of people going into a hardship program doesn’t mean too much.</w:t>
      </w:r>
      <w:r w:rsidRPr="00823B15">
        <w:rPr>
          <w:bCs/>
          <w:i/>
          <w:iCs/>
          <w:lang w:val="en-US"/>
        </w:rPr>
        <w:t>’</w:t>
      </w:r>
      <w:r w:rsidR="00C03E10" w:rsidRPr="00823B15">
        <w:rPr>
          <w:bCs/>
          <w:i/>
          <w:iCs/>
          <w:lang w:val="en-US"/>
        </w:rPr>
        <w:t xml:space="preserve"> </w:t>
      </w:r>
    </w:p>
    <w:p w14:paraId="2BBCF14D" w14:textId="081C542B" w:rsidR="00557384" w:rsidRPr="004C771B" w:rsidRDefault="002416F4" w:rsidP="004C771B">
      <w:pPr>
        <w:rPr>
          <w:bCs/>
          <w:iCs/>
          <w:lang w:val="en-US"/>
        </w:rPr>
      </w:pPr>
      <w:r>
        <w:rPr>
          <w:bCs/>
          <w:iCs/>
          <w:lang w:val="en-US"/>
        </w:rPr>
        <w:t>I</w:t>
      </w:r>
      <w:r w:rsidR="009A4877" w:rsidRPr="004C771B">
        <w:rPr>
          <w:bCs/>
          <w:iCs/>
          <w:lang w:val="en-US"/>
        </w:rPr>
        <w:t xml:space="preserve">ndicators </w:t>
      </w:r>
      <w:r>
        <w:rPr>
          <w:bCs/>
          <w:iCs/>
          <w:lang w:val="en-US"/>
        </w:rPr>
        <w:t xml:space="preserve">that reveal the effectiveness of </w:t>
      </w:r>
      <w:r w:rsidR="002D15AD" w:rsidRPr="004C771B">
        <w:rPr>
          <w:bCs/>
          <w:iCs/>
          <w:lang w:val="en-US"/>
        </w:rPr>
        <w:t xml:space="preserve">a hardship program </w:t>
      </w:r>
      <w:r w:rsidR="00C43D93" w:rsidRPr="004C771B">
        <w:rPr>
          <w:bCs/>
          <w:iCs/>
          <w:lang w:val="en-US"/>
        </w:rPr>
        <w:t xml:space="preserve">in the energy and water sectors </w:t>
      </w:r>
      <w:r w:rsidR="009A4877" w:rsidRPr="004C771B">
        <w:rPr>
          <w:bCs/>
          <w:iCs/>
          <w:lang w:val="en-US"/>
        </w:rPr>
        <w:t>may include:</w:t>
      </w:r>
    </w:p>
    <w:p w14:paraId="0A81E98C" w14:textId="77777777" w:rsidR="00C43D93" w:rsidRPr="004C771B" w:rsidRDefault="00C43D93" w:rsidP="00231A16">
      <w:pPr>
        <w:pStyle w:val="ListParagraph"/>
        <w:numPr>
          <w:ilvl w:val="0"/>
          <w:numId w:val="16"/>
        </w:numPr>
        <w:spacing w:after="0" w:line="240" w:lineRule="auto"/>
        <w:rPr>
          <w:bCs/>
          <w:iCs/>
          <w:lang w:val="en-US"/>
        </w:rPr>
      </w:pPr>
      <w:r w:rsidRPr="004C771B">
        <w:rPr>
          <w:bCs/>
          <w:iCs/>
          <w:lang w:val="en-US"/>
        </w:rPr>
        <w:t>T</w:t>
      </w:r>
      <w:r w:rsidR="002D15AD" w:rsidRPr="004C771B">
        <w:rPr>
          <w:bCs/>
          <w:iCs/>
          <w:lang w:val="en-US"/>
        </w:rPr>
        <w:t xml:space="preserve">he </w:t>
      </w:r>
      <w:r w:rsidR="009A4877" w:rsidRPr="004C771B">
        <w:rPr>
          <w:bCs/>
          <w:iCs/>
          <w:lang w:val="en-US"/>
        </w:rPr>
        <w:t>number of disconnections</w:t>
      </w:r>
      <w:r w:rsidR="00405E6D" w:rsidRPr="004C771B">
        <w:rPr>
          <w:bCs/>
          <w:iCs/>
          <w:lang w:val="en-US"/>
        </w:rPr>
        <w:t xml:space="preserve"> (</w:t>
      </w:r>
      <w:r w:rsidR="002D15AD" w:rsidRPr="004C771B">
        <w:rPr>
          <w:bCs/>
          <w:iCs/>
          <w:lang w:val="en-US"/>
        </w:rPr>
        <w:t xml:space="preserve">with a </w:t>
      </w:r>
      <w:r w:rsidR="009A4877" w:rsidRPr="004C771B">
        <w:rPr>
          <w:bCs/>
          <w:iCs/>
          <w:lang w:val="en-US"/>
        </w:rPr>
        <w:t xml:space="preserve">benchmark </w:t>
      </w:r>
      <w:r w:rsidR="002D15AD" w:rsidRPr="004C771B">
        <w:rPr>
          <w:bCs/>
          <w:iCs/>
          <w:lang w:val="en-US"/>
        </w:rPr>
        <w:t>indicator</w:t>
      </w:r>
      <w:r w:rsidR="00405E6D" w:rsidRPr="004C771B">
        <w:rPr>
          <w:bCs/>
          <w:iCs/>
          <w:lang w:val="en-US"/>
        </w:rPr>
        <w:t>)</w:t>
      </w:r>
      <w:r w:rsidRPr="004C771B">
        <w:rPr>
          <w:bCs/>
          <w:iCs/>
          <w:lang w:val="en-US"/>
        </w:rPr>
        <w:t xml:space="preserve"> and the size of the debt at disconnection;</w:t>
      </w:r>
    </w:p>
    <w:p w14:paraId="34E959C8" w14:textId="77777777" w:rsidR="00C43D93" w:rsidRPr="004C771B" w:rsidRDefault="00C43D93" w:rsidP="00C43D93">
      <w:pPr>
        <w:pStyle w:val="ListParagraph"/>
        <w:spacing w:after="0" w:line="240" w:lineRule="auto"/>
        <w:ind w:left="1571"/>
        <w:rPr>
          <w:bCs/>
          <w:iCs/>
          <w:lang w:val="en-US"/>
        </w:rPr>
      </w:pPr>
    </w:p>
    <w:p w14:paraId="772610CA" w14:textId="3BDAEA95" w:rsidR="009A4877" w:rsidRPr="004C771B" w:rsidRDefault="00C43D93" w:rsidP="00231A16">
      <w:pPr>
        <w:pStyle w:val="ListParagraph"/>
        <w:numPr>
          <w:ilvl w:val="0"/>
          <w:numId w:val="16"/>
        </w:numPr>
        <w:spacing w:after="0" w:line="240" w:lineRule="auto"/>
        <w:rPr>
          <w:bCs/>
          <w:iCs/>
          <w:lang w:val="en-US"/>
        </w:rPr>
      </w:pPr>
      <w:r w:rsidRPr="004C771B">
        <w:rPr>
          <w:bCs/>
          <w:iCs/>
          <w:lang w:val="en-US"/>
        </w:rPr>
        <w:t>T</w:t>
      </w:r>
      <w:r w:rsidR="00405E6D" w:rsidRPr="004C771B">
        <w:rPr>
          <w:bCs/>
          <w:iCs/>
          <w:lang w:val="en-US"/>
        </w:rPr>
        <w:t xml:space="preserve">he </w:t>
      </w:r>
      <w:r w:rsidR="00277A04" w:rsidRPr="004C771B">
        <w:rPr>
          <w:bCs/>
          <w:iCs/>
          <w:lang w:val="en-US"/>
        </w:rPr>
        <w:t>n</w:t>
      </w:r>
      <w:r w:rsidR="009A4877" w:rsidRPr="004C771B">
        <w:rPr>
          <w:bCs/>
          <w:iCs/>
          <w:lang w:val="en-US"/>
        </w:rPr>
        <w:t xml:space="preserve">umber of restrictions </w:t>
      </w:r>
      <w:r w:rsidR="00405E6D" w:rsidRPr="004C771B">
        <w:rPr>
          <w:bCs/>
          <w:iCs/>
          <w:lang w:val="en-US"/>
        </w:rPr>
        <w:t xml:space="preserve">initiated </w:t>
      </w:r>
      <w:r w:rsidR="00B914C3" w:rsidRPr="004C771B">
        <w:rPr>
          <w:bCs/>
          <w:iCs/>
          <w:lang w:val="en-US"/>
        </w:rPr>
        <w:t xml:space="preserve">in cases where </w:t>
      </w:r>
      <w:r w:rsidR="00405E6D" w:rsidRPr="004C771B">
        <w:rPr>
          <w:bCs/>
          <w:iCs/>
          <w:lang w:val="en-US"/>
        </w:rPr>
        <w:t>the customer was a</w:t>
      </w:r>
      <w:r w:rsidR="009A4877" w:rsidRPr="004C771B">
        <w:rPr>
          <w:bCs/>
          <w:iCs/>
          <w:lang w:val="en-US"/>
        </w:rPr>
        <w:t xml:space="preserve"> concession </w:t>
      </w:r>
      <w:r w:rsidR="00277A04" w:rsidRPr="004C771B">
        <w:rPr>
          <w:bCs/>
          <w:iCs/>
          <w:lang w:val="en-US"/>
        </w:rPr>
        <w:t>cardholder</w:t>
      </w:r>
      <w:r w:rsidR="009A4877" w:rsidRPr="004C771B">
        <w:rPr>
          <w:bCs/>
          <w:iCs/>
          <w:lang w:val="en-US"/>
        </w:rPr>
        <w:t xml:space="preserve"> </w:t>
      </w:r>
      <w:r w:rsidR="00405E6D" w:rsidRPr="004C771B">
        <w:rPr>
          <w:bCs/>
          <w:iCs/>
          <w:lang w:val="en-US"/>
        </w:rPr>
        <w:t>(</w:t>
      </w:r>
      <w:r w:rsidR="00624826" w:rsidRPr="004C771B">
        <w:rPr>
          <w:bCs/>
          <w:iCs/>
          <w:lang w:val="en-US"/>
        </w:rPr>
        <w:t>well-developed</w:t>
      </w:r>
      <w:r w:rsidR="00277A04" w:rsidRPr="004C771B">
        <w:rPr>
          <w:bCs/>
          <w:iCs/>
          <w:lang w:val="en-US"/>
        </w:rPr>
        <w:t xml:space="preserve"> programs have significantly lower rates</w:t>
      </w:r>
      <w:r w:rsidR="00405E6D" w:rsidRPr="004C771B">
        <w:rPr>
          <w:bCs/>
          <w:iCs/>
          <w:lang w:val="en-US"/>
        </w:rPr>
        <w:t>)</w:t>
      </w:r>
      <w:r w:rsidRPr="004C771B">
        <w:rPr>
          <w:bCs/>
          <w:iCs/>
          <w:lang w:val="en-US"/>
        </w:rPr>
        <w:t>;</w:t>
      </w:r>
      <w:r w:rsidR="00277A04" w:rsidRPr="004C771B">
        <w:rPr>
          <w:rStyle w:val="FootnoteReference"/>
          <w:bCs/>
          <w:iCs/>
          <w:lang w:val="en-US"/>
        </w:rPr>
        <w:footnoteReference w:id="25"/>
      </w:r>
      <w:r w:rsidRPr="004C771B">
        <w:rPr>
          <w:bCs/>
          <w:iCs/>
          <w:lang w:val="en-US"/>
        </w:rPr>
        <w:t xml:space="preserve"> </w:t>
      </w:r>
    </w:p>
    <w:p w14:paraId="0A5F0BFF" w14:textId="77777777" w:rsidR="00405E6D" w:rsidRPr="004C771B" w:rsidRDefault="00405E6D" w:rsidP="00405E6D">
      <w:pPr>
        <w:pStyle w:val="ListParagraph"/>
        <w:spacing w:after="0" w:line="240" w:lineRule="auto"/>
        <w:ind w:left="1571"/>
        <w:rPr>
          <w:bCs/>
          <w:iCs/>
          <w:lang w:val="en-US"/>
        </w:rPr>
      </w:pPr>
    </w:p>
    <w:p w14:paraId="7B5BFDCA" w14:textId="77777777" w:rsidR="00277A04" w:rsidRPr="004C771B" w:rsidRDefault="00405E6D" w:rsidP="00231A16">
      <w:pPr>
        <w:pStyle w:val="ListParagraph"/>
        <w:numPr>
          <w:ilvl w:val="0"/>
          <w:numId w:val="16"/>
        </w:numPr>
        <w:spacing w:after="0" w:line="240" w:lineRule="auto"/>
        <w:rPr>
          <w:bCs/>
          <w:iCs/>
          <w:lang w:val="en-US"/>
        </w:rPr>
      </w:pPr>
      <w:r w:rsidRPr="004C771B">
        <w:rPr>
          <w:bCs/>
          <w:iCs/>
          <w:lang w:val="en-US"/>
        </w:rPr>
        <w:t>Absolute size of debts;</w:t>
      </w:r>
    </w:p>
    <w:p w14:paraId="13242B84" w14:textId="77777777" w:rsidR="00405E6D" w:rsidRPr="004C771B" w:rsidRDefault="00405E6D" w:rsidP="00405E6D">
      <w:pPr>
        <w:spacing w:after="0" w:line="240" w:lineRule="auto"/>
        <w:rPr>
          <w:bCs/>
          <w:iCs/>
          <w:lang w:val="en-US"/>
        </w:rPr>
      </w:pPr>
    </w:p>
    <w:p w14:paraId="6DA6279D" w14:textId="58661D3C" w:rsidR="009A4877" w:rsidRPr="004C771B" w:rsidRDefault="009A4877" w:rsidP="00231A16">
      <w:pPr>
        <w:pStyle w:val="ListParagraph"/>
        <w:numPr>
          <w:ilvl w:val="0"/>
          <w:numId w:val="16"/>
        </w:numPr>
        <w:spacing w:after="0" w:line="240" w:lineRule="auto"/>
        <w:rPr>
          <w:bCs/>
          <w:iCs/>
          <w:lang w:val="en-US"/>
        </w:rPr>
      </w:pPr>
      <w:r w:rsidRPr="004C771B">
        <w:rPr>
          <w:bCs/>
          <w:iCs/>
          <w:lang w:val="en-US"/>
        </w:rPr>
        <w:t>Availability of alternative payment arrangements</w:t>
      </w:r>
      <w:r w:rsidR="00C43D93" w:rsidRPr="004C771B">
        <w:rPr>
          <w:bCs/>
          <w:iCs/>
          <w:lang w:val="en-US"/>
        </w:rPr>
        <w:t xml:space="preserve"> and f</w:t>
      </w:r>
      <w:r w:rsidRPr="004C771B">
        <w:rPr>
          <w:bCs/>
          <w:iCs/>
          <w:lang w:val="en-US"/>
        </w:rPr>
        <w:t>lexible payment arrangement</w:t>
      </w:r>
      <w:r w:rsidR="00277A04" w:rsidRPr="004C771B">
        <w:rPr>
          <w:bCs/>
          <w:iCs/>
          <w:lang w:val="en-US"/>
        </w:rPr>
        <w:t>s</w:t>
      </w:r>
      <w:r w:rsidRPr="004C771B">
        <w:rPr>
          <w:bCs/>
          <w:iCs/>
          <w:lang w:val="en-US"/>
        </w:rPr>
        <w:t xml:space="preserve"> </w:t>
      </w:r>
      <w:r w:rsidR="00C43D93" w:rsidRPr="004C771B">
        <w:rPr>
          <w:bCs/>
          <w:iCs/>
          <w:lang w:val="en-US"/>
        </w:rPr>
        <w:t>(such as the ability to make fortnightly payments) and incentive based schemes;</w:t>
      </w:r>
    </w:p>
    <w:p w14:paraId="1A4AA8E0" w14:textId="77777777" w:rsidR="00C43D93" w:rsidRPr="004C771B" w:rsidRDefault="00C43D93" w:rsidP="00C43D93">
      <w:pPr>
        <w:spacing w:after="0" w:line="240" w:lineRule="auto"/>
        <w:rPr>
          <w:bCs/>
          <w:iCs/>
          <w:lang w:val="en-US"/>
        </w:rPr>
      </w:pPr>
    </w:p>
    <w:p w14:paraId="3D3D5026" w14:textId="112410DB" w:rsidR="009A4877" w:rsidRPr="004C771B" w:rsidRDefault="009A4877" w:rsidP="00231A16">
      <w:pPr>
        <w:pStyle w:val="ListParagraph"/>
        <w:numPr>
          <w:ilvl w:val="0"/>
          <w:numId w:val="16"/>
        </w:numPr>
        <w:spacing w:after="0" w:line="240" w:lineRule="auto"/>
        <w:rPr>
          <w:bCs/>
          <w:iCs/>
          <w:lang w:val="en-US"/>
        </w:rPr>
      </w:pPr>
      <w:r w:rsidRPr="004C771B">
        <w:rPr>
          <w:bCs/>
          <w:iCs/>
          <w:lang w:val="en-US"/>
        </w:rPr>
        <w:t xml:space="preserve">Payment plans </w:t>
      </w:r>
      <w:r w:rsidR="00277A04" w:rsidRPr="004C771B">
        <w:rPr>
          <w:bCs/>
          <w:iCs/>
          <w:lang w:val="en-US"/>
        </w:rPr>
        <w:t>–</w:t>
      </w:r>
      <w:r w:rsidRPr="004C771B">
        <w:rPr>
          <w:bCs/>
          <w:iCs/>
          <w:lang w:val="en-US"/>
        </w:rPr>
        <w:t xml:space="preserve"> </w:t>
      </w:r>
      <w:r w:rsidR="00277A04" w:rsidRPr="004C771B">
        <w:rPr>
          <w:bCs/>
          <w:iCs/>
          <w:lang w:val="en-US"/>
        </w:rPr>
        <w:t xml:space="preserve">the number of people </w:t>
      </w:r>
      <w:r w:rsidR="00C43D93" w:rsidRPr="004C771B">
        <w:rPr>
          <w:bCs/>
          <w:iCs/>
          <w:lang w:val="en-US"/>
        </w:rPr>
        <w:t>meeting their commitments under the plan</w:t>
      </w:r>
      <w:r w:rsidR="00277A04" w:rsidRPr="004C771B">
        <w:rPr>
          <w:bCs/>
          <w:iCs/>
          <w:lang w:val="en-US"/>
        </w:rPr>
        <w:t xml:space="preserve"> amounts and the numbers of unsuccessful arrangements</w:t>
      </w:r>
      <w:r w:rsidR="00823B15">
        <w:rPr>
          <w:bCs/>
          <w:iCs/>
          <w:lang w:val="en-US"/>
        </w:rPr>
        <w:t>;</w:t>
      </w:r>
    </w:p>
    <w:p w14:paraId="7438932D" w14:textId="77777777" w:rsidR="00C43D93" w:rsidRPr="004C771B" w:rsidRDefault="00C43D93" w:rsidP="00C43D93">
      <w:pPr>
        <w:pStyle w:val="ListParagraph"/>
        <w:spacing w:after="0" w:line="240" w:lineRule="auto"/>
        <w:ind w:left="1571"/>
        <w:rPr>
          <w:bCs/>
          <w:iCs/>
          <w:lang w:val="en-US"/>
        </w:rPr>
      </w:pPr>
    </w:p>
    <w:p w14:paraId="3973093A" w14:textId="72DD1454" w:rsidR="009A4877" w:rsidRPr="004C771B" w:rsidRDefault="00F533ED" w:rsidP="00231A16">
      <w:pPr>
        <w:pStyle w:val="ListParagraph"/>
        <w:numPr>
          <w:ilvl w:val="0"/>
          <w:numId w:val="16"/>
        </w:numPr>
        <w:spacing w:after="0" w:line="240" w:lineRule="auto"/>
        <w:rPr>
          <w:bCs/>
          <w:iCs/>
          <w:lang w:val="en-US"/>
        </w:rPr>
      </w:pPr>
      <w:r w:rsidRPr="004C771B">
        <w:rPr>
          <w:bCs/>
          <w:iCs/>
          <w:lang w:val="en-US"/>
        </w:rPr>
        <w:t>Debt arrearage indicators</w:t>
      </w:r>
      <w:r w:rsidR="00B914C3" w:rsidRPr="004C771B">
        <w:rPr>
          <w:bCs/>
          <w:iCs/>
          <w:lang w:val="en-US"/>
        </w:rPr>
        <w:t>,</w:t>
      </w:r>
      <w:r w:rsidRPr="004C771B">
        <w:rPr>
          <w:bCs/>
          <w:iCs/>
          <w:lang w:val="en-US"/>
        </w:rPr>
        <w:t xml:space="preserve"> which </w:t>
      </w:r>
      <w:r w:rsidR="00277A04" w:rsidRPr="004C771B">
        <w:rPr>
          <w:bCs/>
          <w:iCs/>
          <w:lang w:val="en-US"/>
        </w:rPr>
        <w:t xml:space="preserve">show how companies manage high arrears, </w:t>
      </w:r>
      <w:r w:rsidRPr="004C771B">
        <w:rPr>
          <w:bCs/>
          <w:iCs/>
          <w:lang w:val="en-US"/>
        </w:rPr>
        <w:t>when</w:t>
      </w:r>
      <w:r w:rsidR="00277A04" w:rsidRPr="004C771B">
        <w:rPr>
          <w:bCs/>
          <w:iCs/>
          <w:lang w:val="en-US"/>
        </w:rPr>
        <w:t xml:space="preserve"> the customer is struggling to pay </w:t>
      </w:r>
      <w:r w:rsidRPr="004C771B">
        <w:rPr>
          <w:bCs/>
          <w:iCs/>
          <w:lang w:val="en-US"/>
        </w:rPr>
        <w:t>for</w:t>
      </w:r>
      <w:r w:rsidR="00277A04" w:rsidRPr="004C771B">
        <w:rPr>
          <w:bCs/>
          <w:iCs/>
          <w:lang w:val="en-US"/>
        </w:rPr>
        <w:t xml:space="preserve"> current consumption. One view </w:t>
      </w:r>
      <w:r w:rsidRPr="004C771B">
        <w:rPr>
          <w:bCs/>
          <w:iCs/>
          <w:lang w:val="en-US"/>
        </w:rPr>
        <w:t xml:space="preserve">from some community sector interviewees </w:t>
      </w:r>
      <w:r w:rsidR="00277A04" w:rsidRPr="004C771B">
        <w:rPr>
          <w:bCs/>
          <w:iCs/>
          <w:lang w:val="en-US"/>
        </w:rPr>
        <w:t>is that b</w:t>
      </w:r>
      <w:r w:rsidR="009A4877" w:rsidRPr="004C771B">
        <w:rPr>
          <w:bCs/>
          <w:iCs/>
          <w:lang w:val="en-US"/>
        </w:rPr>
        <w:t xml:space="preserve">usinesses have </w:t>
      </w:r>
      <w:r w:rsidRPr="004C771B">
        <w:rPr>
          <w:bCs/>
          <w:iCs/>
          <w:lang w:val="en-US"/>
        </w:rPr>
        <w:t>an</w:t>
      </w:r>
      <w:r w:rsidR="009A4877" w:rsidRPr="004C771B">
        <w:rPr>
          <w:bCs/>
          <w:iCs/>
          <w:lang w:val="en-US"/>
        </w:rPr>
        <w:t xml:space="preserve"> obligation </w:t>
      </w:r>
      <w:r w:rsidRPr="004C771B">
        <w:rPr>
          <w:bCs/>
          <w:iCs/>
          <w:lang w:val="en-US"/>
        </w:rPr>
        <w:t>to consider</w:t>
      </w:r>
      <w:r w:rsidR="009A4877" w:rsidRPr="004C771B">
        <w:rPr>
          <w:bCs/>
          <w:iCs/>
          <w:lang w:val="en-US"/>
        </w:rPr>
        <w:t xml:space="preserve"> </w:t>
      </w:r>
      <w:r w:rsidR="009A4877" w:rsidRPr="004C771B">
        <w:rPr>
          <w:bCs/>
          <w:iCs/>
          <w:lang w:val="en-US"/>
        </w:rPr>
        <w:lastRenderedPageBreak/>
        <w:t>debt forgiveness</w:t>
      </w:r>
      <w:r w:rsidR="00277A04" w:rsidRPr="004C771B">
        <w:rPr>
          <w:bCs/>
          <w:iCs/>
          <w:lang w:val="en-US"/>
        </w:rPr>
        <w:t xml:space="preserve"> or </w:t>
      </w:r>
      <w:r w:rsidR="00731449">
        <w:rPr>
          <w:bCs/>
          <w:iCs/>
          <w:lang w:val="en-US"/>
        </w:rPr>
        <w:t>have</w:t>
      </w:r>
      <w:r w:rsidR="008A6290" w:rsidRPr="004C771B">
        <w:rPr>
          <w:bCs/>
          <w:iCs/>
          <w:lang w:val="en-US"/>
        </w:rPr>
        <w:t xml:space="preserve"> an affordable (and perhaps reduced payment plan)</w:t>
      </w:r>
      <w:r w:rsidR="009A4877" w:rsidRPr="004C771B">
        <w:rPr>
          <w:bCs/>
          <w:iCs/>
          <w:lang w:val="en-US"/>
        </w:rPr>
        <w:t xml:space="preserve"> if </w:t>
      </w:r>
      <w:r w:rsidRPr="004C771B">
        <w:rPr>
          <w:bCs/>
          <w:iCs/>
          <w:lang w:val="en-US"/>
        </w:rPr>
        <w:t>they have</w:t>
      </w:r>
      <w:r w:rsidR="009A4877" w:rsidRPr="004C771B">
        <w:rPr>
          <w:bCs/>
          <w:iCs/>
          <w:lang w:val="en-US"/>
        </w:rPr>
        <w:t xml:space="preserve"> allowed </w:t>
      </w:r>
      <w:r w:rsidRPr="004C771B">
        <w:rPr>
          <w:bCs/>
          <w:iCs/>
          <w:lang w:val="en-US"/>
        </w:rPr>
        <w:t>debts</w:t>
      </w:r>
      <w:r w:rsidR="009A4877" w:rsidRPr="004C771B">
        <w:rPr>
          <w:bCs/>
          <w:iCs/>
          <w:lang w:val="en-US"/>
        </w:rPr>
        <w:t xml:space="preserve"> to accrue</w:t>
      </w:r>
      <w:r w:rsidR="00C43D93" w:rsidRPr="004C771B">
        <w:rPr>
          <w:bCs/>
          <w:iCs/>
          <w:lang w:val="en-US"/>
        </w:rPr>
        <w:t xml:space="preserve"> without acting earlier;</w:t>
      </w:r>
    </w:p>
    <w:p w14:paraId="0D35D4DC" w14:textId="77777777" w:rsidR="00C43D93" w:rsidRPr="004C771B" w:rsidRDefault="00C43D93" w:rsidP="00C43D93">
      <w:pPr>
        <w:spacing w:after="0" w:line="240" w:lineRule="auto"/>
        <w:rPr>
          <w:bCs/>
          <w:iCs/>
          <w:lang w:val="en-US"/>
        </w:rPr>
      </w:pPr>
    </w:p>
    <w:p w14:paraId="6533A6C7" w14:textId="77777777" w:rsidR="009A4877" w:rsidRPr="004C771B" w:rsidRDefault="009A4877" w:rsidP="00231A16">
      <w:pPr>
        <w:pStyle w:val="ListParagraph"/>
        <w:numPr>
          <w:ilvl w:val="0"/>
          <w:numId w:val="16"/>
        </w:numPr>
        <w:spacing w:after="0" w:line="240" w:lineRule="auto"/>
        <w:rPr>
          <w:bCs/>
          <w:iCs/>
          <w:lang w:val="en-US"/>
        </w:rPr>
      </w:pPr>
      <w:r w:rsidRPr="004C771B">
        <w:rPr>
          <w:bCs/>
          <w:iCs/>
          <w:lang w:val="en-US"/>
        </w:rPr>
        <w:t>Uptake of</w:t>
      </w:r>
      <w:r w:rsidR="00C43D93" w:rsidRPr="004C771B">
        <w:rPr>
          <w:bCs/>
          <w:iCs/>
          <w:lang w:val="en-US"/>
        </w:rPr>
        <w:t xml:space="preserve"> government programs (such as utility relief grants);</w:t>
      </w:r>
    </w:p>
    <w:p w14:paraId="09921C9A" w14:textId="77777777" w:rsidR="00C43D93" w:rsidRPr="004C771B" w:rsidRDefault="00C43D93" w:rsidP="00C43D93">
      <w:pPr>
        <w:spacing w:after="0" w:line="240" w:lineRule="auto"/>
        <w:rPr>
          <w:bCs/>
          <w:iCs/>
          <w:lang w:val="en-US"/>
        </w:rPr>
      </w:pPr>
    </w:p>
    <w:p w14:paraId="45600089" w14:textId="20BEE5EE" w:rsidR="009A4877" w:rsidRPr="004C771B" w:rsidRDefault="008A6290" w:rsidP="00231A16">
      <w:pPr>
        <w:pStyle w:val="ListParagraph"/>
        <w:numPr>
          <w:ilvl w:val="0"/>
          <w:numId w:val="16"/>
        </w:numPr>
        <w:spacing w:after="0" w:line="240" w:lineRule="auto"/>
        <w:rPr>
          <w:bCs/>
          <w:iCs/>
          <w:lang w:val="en-US"/>
        </w:rPr>
      </w:pPr>
      <w:r w:rsidRPr="004C771B">
        <w:rPr>
          <w:bCs/>
          <w:iCs/>
          <w:lang w:val="en-US"/>
        </w:rPr>
        <w:t>T</w:t>
      </w:r>
      <w:r w:rsidR="009A4877" w:rsidRPr="004C771B">
        <w:rPr>
          <w:bCs/>
          <w:iCs/>
          <w:lang w:val="en-US"/>
        </w:rPr>
        <w:t>ime taken to send debt</w:t>
      </w:r>
      <w:r w:rsidRPr="004C771B">
        <w:rPr>
          <w:bCs/>
          <w:iCs/>
          <w:lang w:val="en-US"/>
        </w:rPr>
        <w:t xml:space="preserve">s </w:t>
      </w:r>
      <w:r w:rsidR="009A4877" w:rsidRPr="004C771B">
        <w:rPr>
          <w:bCs/>
          <w:iCs/>
          <w:lang w:val="en-US"/>
        </w:rPr>
        <w:t xml:space="preserve">to </w:t>
      </w:r>
      <w:r w:rsidRPr="004C771B">
        <w:rPr>
          <w:bCs/>
          <w:iCs/>
          <w:lang w:val="en-US"/>
        </w:rPr>
        <w:t xml:space="preserve">a </w:t>
      </w:r>
      <w:r w:rsidR="009A4877" w:rsidRPr="004C771B">
        <w:rPr>
          <w:bCs/>
          <w:iCs/>
          <w:lang w:val="en-US"/>
        </w:rPr>
        <w:t>debt collector</w:t>
      </w:r>
      <w:r w:rsidR="00F533ED" w:rsidRPr="004C771B">
        <w:rPr>
          <w:bCs/>
          <w:iCs/>
          <w:lang w:val="en-US"/>
        </w:rPr>
        <w:t xml:space="preserve"> (or alternatively, </w:t>
      </w:r>
      <w:r w:rsidR="009A4877" w:rsidRPr="004C771B">
        <w:rPr>
          <w:bCs/>
          <w:iCs/>
          <w:lang w:val="en-US"/>
        </w:rPr>
        <w:t xml:space="preserve">how long since </w:t>
      </w:r>
      <w:r w:rsidR="00F533ED" w:rsidRPr="004C771B">
        <w:rPr>
          <w:bCs/>
          <w:iCs/>
          <w:lang w:val="en-US"/>
        </w:rPr>
        <w:t>the customer</w:t>
      </w:r>
      <w:r w:rsidR="009A4877" w:rsidRPr="004C771B">
        <w:rPr>
          <w:bCs/>
          <w:iCs/>
          <w:lang w:val="en-US"/>
        </w:rPr>
        <w:t xml:space="preserve"> h</w:t>
      </w:r>
      <w:r w:rsidR="00C43D93" w:rsidRPr="004C771B">
        <w:rPr>
          <w:bCs/>
          <w:iCs/>
          <w:lang w:val="en-US"/>
        </w:rPr>
        <w:t>as paid in full</w:t>
      </w:r>
      <w:r w:rsidR="00F533ED" w:rsidRPr="004C771B">
        <w:rPr>
          <w:bCs/>
          <w:iCs/>
          <w:lang w:val="en-US"/>
        </w:rPr>
        <w:t>)</w:t>
      </w:r>
      <w:r w:rsidR="00C43D93" w:rsidRPr="004C771B">
        <w:rPr>
          <w:bCs/>
          <w:iCs/>
          <w:lang w:val="en-US"/>
        </w:rPr>
        <w:t>;</w:t>
      </w:r>
    </w:p>
    <w:p w14:paraId="0F015147" w14:textId="77777777" w:rsidR="00C43D93" w:rsidRPr="004C771B" w:rsidRDefault="00C43D93" w:rsidP="00C43D93">
      <w:pPr>
        <w:spacing w:after="0" w:line="240" w:lineRule="auto"/>
        <w:rPr>
          <w:bCs/>
          <w:iCs/>
          <w:lang w:val="en-US"/>
        </w:rPr>
      </w:pPr>
    </w:p>
    <w:p w14:paraId="2A0DB772" w14:textId="37A16D74" w:rsidR="00624826" w:rsidRPr="00B878B1" w:rsidRDefault="008A6290" w:rsidP="00B878B1">
      <w:pPr>
        <w:pStyle w:val="ListParagraph"/>
        <w:numPr>
          <w:ilvl w:val="0"/>
          <w:numId w:val="16"/>
        </w:numPr>
        <w:spacing w:after="0" w:line="240" w:lineRule="auto"/>
        <w:rPr>
          <w:bCs/>
          <w:iCs/>
          <w:lang w:val="en-US"/>
        </w:rPr>
      </w:pPr>
      <w:r w:rsidRPr="004C771B">
        <w:rPr>
          <w:bCs/>
          <w:iCs/>
          <w:lang w:val="en-US"/>
        </w:rPr>
        <w:t xml:space="preserve">The average amount of hardship debts for different customer profiles </w:t>
      </w:r>
      <w:r w:rsidR="00B914C3" w:rsidRPr="004C771B">
        <w:rPr>
          <w:bCs/>
          <w:iCs/>
          <w:lang w:val="en-US"/>
        </w:rPr>
        <w:t xml:space="preserve">– </w:t>
      </w:r>
      <w:r w:rsidRPr="004C771B">
        <w:rPr>
          <w:bCs/>
          <w:iCs/>
          <w:lang w:val="en-US"/>
        </w:rPr>
        <w:t xml:space="preserve">$200 may be a huge amount to a pensioner but not that </w:t>
      </w:r>
      <w:r w:rsidR="00F533ED" w:rsidRPr="004C771B">
        <w:rPr>
          <w:bCs/>
          <w:iCs/>
          <w:lang w:val="en-US"/>
        </w:rPr>
        <w:t xml:space="preserve">much </w:t>
      </w:r>
      <w:r w:rsidRPr="004C771B">
        <w:rPr>
          <w:bCs/>
          <w:iCs/>
          <w:lang w:val="en-US"/>
        </w:rPr>
        <w:t xml:space="preserve">for a family </w:t>
      </w:r>
      <w:r w:rsidR="00F533ED" w:rsidRPr="004C771B">
        <w:rPr>
          <w:bCs/>
          <w:iCs/>
          <w:lang w:val="en-US"/>
        </w:rPr>
        <w:t>in a higher income bracket</w:t>
      </w:r>
      <w:r w:rsidRPr="004C771B">
        <w:rPr>
          <w:bCs/>
          <w:iCs/>
          <w:lang w:val="en-US"/>
        </w:rPr>
        <w:t xml:space="preserve">. </w:t>
      </w:r>
    </w:p>
    <w:p w14:paraId="1244E8D3" w14:textId="43DC35A8" w:rsidR="00395A12" w:rsidRDefault="001A1DE7" w:rsidP="00690951">
      <w:pPr>
        <w:pStyle w:val="Heading2"/>
      </w:pPr>
      <w:bookmarkStart w:id="41" w:name="_Toc387144749"/>
      <w:r>
        <w:t>2.</w:t>
      </w:r>
      <w:r w:rsidR="00AC4656">
        <w:t>3.3</w:t>
      </w:r>
      <w:r w:rsidR="00913E6F">
        <w:tab/>
        <w:t xml:space="preserve"> Good i</w:t>
      </w:r>
      <w:r w:rsidR="00395A12">
        <w:t>deas</w:t>
      </w:r>
      <w:bookmarkEnd w:id="41"/>
      <w:r w:rsidR="00690951">
        <w:t xml:space="preserve"> </w:t>
      </w:r>
    </w:p>
    <w:tbl>
      <w:tblPr>
        <w:tblStyle w:val="TableGrid"/>
        <w:tblW w:w="5000" w:type="pct"/>
        <w:tblLook w:val="04A0" w:firstRow="1" w:lastRow="0" w:firstColumn="1" w:lastColumn="0" w:noHBand="0" w:noVBand="1"/>
        <w:tblDescription w:val="Regulators – audit based compliance &#10;One regulator noted that an audit-based program, such as exists in the Victorian water industry, is preferable to a program where companies have to submit a written report for sign off by the regulator. Under the audit-based approach the company retains responsibility for performing. In contrast, some responsibility is shifted to the regulator when businesses have to submit their hardship plans to the regulator for approval. &#10;"/>
      </w:tblPr>
      <w:tblGrid>
        <w:gridCol w:w="9242"/>
      </w:tblGrid>
      <w:tr w:rsidR="00227E81" w14:paraId="09D5F2A8" w14:textId="77777777" w:rsidTr="00227E81">
        <w:tc>
          <w:tcPr>
            <w:tcW w:w="5000" w:type="pct"/>
          </w:tcPr>
          <w:p w14:paraId="10944D40" w14:textId="322D77A9" w:rsidR="00227E81" w:rsidRPr="00C21C25" w:rsidRDefault="00227E81" w:rsidP="00C21C25">
            <w:pPr>
              <w:pStyle w:val="Heading4"/>
              <w:outlineLvl w:val="3"/>
              <w:rPr>
                <w:rFonts w:ascii="Arial" w:eastAsia="Arial Unicode MS" w:hAnsi="Arial" w:cs="Times New Roman"/>
                <w:b w:val="0"/>
                <w:color w:val="42865E"/>
                <w:szCs w:val="20"/>
              </w:rPr>
            </w:pPr>
            <w:r w:rsidRPr="00C21C25">
              <w:rPr>
                <w:rStyle w:val="Heading4Char"/>
                <w:b/>
              </w:rPr>
              <w:t>Regulators</w:t>
            </w:r>
            <w:r w:rsidRPr="00C21C25">
              <w:rPr>
                <w:rFonts w:ascii="Arial" w:eastAsia="Arial Unicode MS" w:hAnsi="Arial" w:cs="Times New Roman"/>
                <w:b w:val="0"/>
                <w:color w:val="42865E"/>
              </w:rPr>
              <w:t xml:space="preserve"> </w:t>
            </w:r>
            <w:r w:rsidRPr="00C21C25">
              <w:rPr>
                <w:rStyle w:val="Heading4Char"/>
                <w:b/>
              </w:rPr>
              <w:t>– audit based compliance</w:t>
            </w:r>
            <w:r w:rsidRPr="00C21C25">
              <w:rPr>
                <w:rFonts w:ascii="Arial" w:eastAsia="Arial Unicode MS" w:hAnsi="Arial" w:cs="Times New Roman"/>
                <w:b w:val="0"/>
                <w:color w:val="42865E"/>
              </w:rPr>
              <w:t xml:space="preserve"> </w:t>
            </w:r>
          </w:p>
          <w:p w14:paraId="7307B5CA" w14:textId="28AD04AC" w:rsidR="00227E81" w:rsidRPr="004C771B" w:rsidRDefault="00227E81" w:rsidP="00227E81">
            <w:pPr>
              <w:spacing w:after="200" w:line="276" w:lineRule="auto"/>
              <w:rPr>
                <w:sz w:val="20"/>
              </w:rPr>
            </w:pPr>
            <w:r w:rsidRPr="004C771B">
              <w:rPr>
                <w:rFonts w:eastAsia="Arial Unicode MS" w:cs="Times New Roman"/>
                <w:bCs/>
                <w:color w:val="000000" w:themeColor="text1"/>
              </w:rPr>
              <w:t xml:space="preserve">One regulator noted that an audit-based program, such as exists in the Victorian water industry, is preferable to a program where companies have to submit a written report for sign off by the regulator. Under the audit-based approach the company retains responsibility for performing. In contrast, some responsibility is shifted to the regulator when businesses have to submit their hardship plans to the regulator for approval. </w:t>
            </w:r>
          </w:p>
        </w:tc>
      </w:tr>
    </w:tbl>
    <w:p w14:paraId="78A4AECE" w14:textId="77777777" w:rsidR="00650346" w:rsidRDefault="00650346" w:rsidP="00395A12">
      <w:pPr>
        <w:spacing w:after="0" w:line="240" w:lineRule="auto"/>
      </w:pPr>
    </w:p>
    <w:p w14:paraId="5093BFCA" w14:textId="77777777" w:rsidR="00227E81" w:rsidRDefault="00227E81" w:rsidP="00395A12">
      <w:pPr>
        <w:spacing w:after="0" w:line="240" w:lineRule="auto"/>
      </w:pPr>
    </w:p>
    <w:tbl>
      <w:tblPr>
        <w:tblStyle w:val="TableGrid"/>
        <w:tblW w:w="5000" w:type="pct"/>
        <w:tblLook w:val="04A0" w:firstRow="1" w:lastRow="0" w:firstColumn="1" w:lastColumn="0" w:noHBand="0" w:noVBand="1"/>
        <w:tblDescription w:val="Measuring performance&#10;The Australian Energy Regulator publishes hardship reports every three months on its website.  The reports are clear, easy to find, and enhance transparency.&#10;In the energy sector, some ombudsmen and energy regulators publish disconnection data on their websites. The AER does this on a company basis with actual time series data.  Others provide the information showing trends. It is useful to have more data that just the number of disconnections, e.g. the length of time people stay disconnected before reconnecting shows how long they are going without what may be an essential service.&#10;"/>
      </w:tblPr>
      <w:tblGrid>
        <w:gridCol w:w="9242"/>
      </w:tblGrid>
      <w:tr w:rsidR="007553C0" w14:paraId="01B21BE5" w14:textId="77777777" w:rsidTr="00227E81">
        <w:tc>
          <w:tcPr>
            <w:tcW w:w="5000" w:type="pct"/>
          </w:tcPr>
          <w:p w14:paraId="2735A437" w14:textId="6A7CEACD" w:rsidR="007553C0" w:rsidRPr="00C21C25" w:rsidRDefault="00913E6F" w:rsidP="00C21C25">
            <w:pPr>
              <w:pStyle w:val="Heading4"/>
              <w:outlineLvl w:val="3"/>
            </w:pPr>
            <w:r>
              <w:t>Measuring p</w:t>
            </w:r>
            <w:r w:rsidR="007553C0" w:rsidRPr="004C771B">
              <w:t>erformance</w:t>
            </w:r>
          </w:p>
          <w:p w14:paraId="4FE99EB5" w14:textId="11163FFD" w:rsidR="007553C0" w:rsidRPr="004C771B" w:rsidRDefault="00CB148F" w:rsidP="00FD6671">
            <w:pPr>
              <w:spacing w:after="200" w:line="276" w:lineRule="auto"/>
              <w:rPr>
                <w:szCs w:val="24"/>
              </w:rPr>
            </w:pPr>
            <w:r w:rsidRPr="004C771B">
              <w:rPr>
                <w:szCs w:val="24"/>
              </w:rPr>
              <w:t xml:space="preserve">The </w:t>
            </w:r>
            <w:r w:rsidR="00EE0DD4" w:rsidRPr="004C771B">
              <w:rPr>
                <w:szCs w:val="24"/>
              </w:rPr>
              <w:t>Australian Energy Regulator</w:t>
            </w:r>
            <w:r w:rsidRPr="004C771B">
              <w:rPr>
                <w:szCs w:val="24"/>
              </w:rPr>
              <w:t xml:space="preserve"> publishes hardship reports every three months on its website</w:t>
            </w:r>
            <w:r w:rsidR="00EE0DD4" w:rsidRPr="004C771B">
              <w:rPr>
                <w:szCs w:val="24"/>
              </w:rPr>
              <w:t>.</w:t>
            </w:r>
            <w:r w:rsidR="000D6AE6" w:rsidRPr="004C771B">
              <w:rPr>
                <w:rStyle w:val="FootnoteReference"/>
                <w:szCs w:val="24"/>
              </w:rPr>
              <w:footnoteReference w:id="26"/>
            </w:r>
            <w:r w:rsidRPr="004C771B">
              <w:rPr>
                <w:szCs w:val="24"/>
              </w:rPr>
              <w:t xml:space="preserve"> The reports are c</w:t>
            </w:r>
            <w:r w:rsidR="00ED5F32" w:rsidRPr="004C771B">
              <w:rPr>
                <w:szCs w:val="24"/>
              </w:rPr>
              <w:t>lear</w:t>
            </w:r>
            <w:r w:rsidR="00B914C3" w:rsidRPr="004C771B">
              <w:rPr>
                <w:szCs w:val="24"/>
              </w:rPr>
              <w:t>,</w:t>
            </w:r>
            <w:r w:rsidR="00ED5F32" w:rsidRPr="004C771B">
              <w:rPr>
                <w:szCs w:val="24"/>
              </w:rPr>
              <w:t xml:space="preserve"> easy to find</w:t>
            </w:r>
            <w:r w:rsidR="00B914C3" w:rsidRPr="004C771B">
              <w:rPr>
                <w:szCs w:val="24"/>
              </w:rPr>
              <w:t>,</w:t>
            </w:r>
            <w:r w:rsidR="00ED5F32" w:rsidRPr="004C771B">
              <w:rPr>
                <w:szCs w:val="24"/>
              </w:rPr>
              <w:t xml:space="preserve"> and enhance transparency.</w:t>
            </w:r>
          </w:p>
          <w:p w14:paraId="0A28E8FE" w14:textId="577F4ADE" w:rsidR="001921E0" w:rsidRPr="004C771B" w:rsidRDefault="001921E0" w:rsidP="001921E0">
            <w:r w:rsidRPr="004C771B">
              <w:t xml:space="preserve">In the energy sector, some ombudsmen and energy regulators publish disconnection data on their websites. The </w:t>
            </w:r>
            <w:proofErr w:type="spellStart"/>
            <w:r w:rsidRPr="004C771B">
              <w:t>AER</w:t>
            </w:r>
            <w:proofErr w:type="spellEnd"/>
            <w:r w:rsidRPr="004C771B">
              <w:t xml:space="preserve"> does this on a company basis with actual time series data</w:t>
            </w:r>
            <w:r w:rsidR="00823B15">
              <w:t>.</w:t>
            </w:r>
            <w:r w:rsidRPr="004C771B">
              <w:rPr>
                <w:rStyle w:val="FootnoteReference"/>
              </w:rPr>
              <w:footnoteReference w:id="27"/>
            </w:r>
            <w:r w:rsidRPr="004C771B">
              <w:t xml:space="preserve"> Others provide the information showing trends. It is useful to have more data that just</w:t>
            </w:r>
            <w:r w:rsidR="00906373">
              <w:t xml:space="preserve"> the number of disconnections, </w:t>
            </w:r>
            <w:r w:rsidRPr="004C771B">
              <w:t>e.g. the length of time people stay disconnected before reconnecting shows how long they are going without what may be an essential service.</w:t>
            </w:r>
          </w:p>
          <w:p w14:paraId="507A5F98" w14:textId="77777777" w:rsidR="00ED5F32" w:rsidRPr="004C771B" w:rsidRDefault="00ED5F32" w:rsidP="00FD6671">
            <w:pPr>
              <w:rPr>
                <w:sz w:val="20"/>
              </w:rPr>
            </w:pPr>
          </w:p>
        </w:tc>
      </w:tr>
    </w:tbl>
    <w:p w14:paraId="6D87D992" w14:textId="77777777" w:rsidR="000B0B55" w:rsidRPr="004C771B" w:rsidRDefault="000B0B55" w:rsidP="000B0B55">
      <w:pPr>
        <w:rPr>
          <w:rFonts w:ascii="Arial" w:eastAsia="Arial Unicode MS" w:hAnsi="Arial" w:cs="Times New Roman"/>
          <w:b/>
          <w:bCs/>
          <w:color w:val="42865E"/>
          <w:sz w:val="28"/>
          <w:szCs w:val="20"/>
        </w:rPr>
      </w:pPr>
    </w:p>
    <w:tbl>
      <w:tblPr>
        <w:tblStyle w:val="TableGrid"/>
        <w:tblW w:w="5000" w:type="pct"/>
        <w:tblLook w:val="04A0" w:firstRow="1" w:lastRow="0" w:firstColumn="1" w:lastColumn="0" w:noHBand="0" w:noVBand="1"/>
        <w:tblDescription w:val="Comparing regulation: ASIC has regulation with penalties and publicity for breaches, the ACMA takes a lighter touch&#10;&#10;Civil monetary penalties act as deterrents. ASIC is able to seek court ordered penalties of up to $1m for companies, while the Australian Energy Regulator can seek a maximum penalty of $100,000 for corporations and $20,000 for regulator infringements.  In contrast the ACMA’s powers to impose penalties are more restricted.&#10;&#10;The Telecommunications Consumer Protection code is largely premised on industry goodwill in regards to compliance. Enforcement powers are weaker than those available to other regulators.&#10;Media attention accompanying regulatory enforcement actions may also act as a motivator to comply with the regulatory framework&#10;"/>
      </w:tblPr>
      <w:tblGrid>
        <w:gridCol w:w="9242"/>
      </w:tblGrid>
      <w:tr w:rsidR="000B0B55" w:rsidRPr="004C771B" w14:paraId="153B9C3A" w14:textId="77777777" w:rsidTr="00906373">
        <w:tc>
          <w:tcPr>
            <w:tcW w:w="5000" w:type="pct"/>
          </w:tcPr>
          <w:p w14:paraId="0FB298CC" w14:textId="3FF2CF13" w:rsidR="000B0B55" w:rsidRPr="004C771B" w:rsidRDefault="00913E6F" w:rsidP="00906373">
            <w:pPr>
              <w:pStyle w:val="Heading4"/>
              <w:outlineLvl w:val="3"/>
            </w:pPr>
            <w:r>
              <w:lastRenderedPageBreak/>
              <w:t>Comparing r</w:t>
            </w:r>
            <w:r w:rsidR="000B0B55" w:rsidRPr="004C771B">
              <w:t>egulation</w:t>
            </w:r>
            <w:r w:rsidR="00A96FE2" w:rsidRPr="004C771B">
              <w:t xml:space="preserve">: </w:t>
            </w:r>
            <w:proofErr w:type="spellStart"/>
            <w:r w:rsidR="00A96FE2" w:rsidRPr="004C771B">
              <w:t>A</w:t>
            </w:r>
            <w:r w:rsidR="00224CEE" w:rsidRPr="004C771B">
              <w:t>SIC</w:t>
            </w:r>
            <w:proofErr w:type="spellEnd"/>
            <w:r w:rsidR="00224CEE" w:rsidRPr="004C771B">
              <w:t xml:space="preserve"> has regulation with penalties and publicity for </w:t>
            </w:r>
            <w:r w:rsidR="00A96FE2" w:rsidRPr="004C771B">
              <w:t xml:space="preserve">breaches, </w:t>
            </w:r>
            <w:r w:rsidR="00EE0DD4" w:rsidRPr="004C771B">
              <w:t xml:space="preserve">the </w:t>
            </w:r>
            <w:proofErr w:type="spellStart"/>
            <w:r w:rsidR="00224CEE" w:rsidRPr="004C771B">
              <w:t>ACMA</w:t>
            </w:r>
            <w:proofErr w:type="spellEnd"/>
            <w:r w:rsidR="00224CEE" w:rsidRPr="004C771B">
              <w:t xml:space="preserve"> </w:t>
            </w:r>
            <w:r w:rsidR="00A96FE2" w:rsidRPr="004C771B">
              <w:t>takes</w:t>
            </w:r>
            <w:r w:rsidR="00224CEE" w:rsidRPr="004C771B">
              <w:t xml:space="preserve"> a lighter touch</w:t>
            </w:r>
          </w:p>
          <w:p w14:paraId="519C8D2B" w14:textId="77777777" w:rsidR="000B0B55" w:rsidRPr="004C771B" w:rsidRDefault="000B0B55" w:rsidP="00FD6671">
            <w:pPr>
              <w:rPr>
                <w:rFonts w:ascii="Arial" w:eastAsia="Arial Unicode MS" w:hAnsi="Arial" w:cs="Times New Roman"/>
                <w:b/>
                <w:bCs/>
                <w:color w:val="42865E"/>
                <w:szCs w:val="20"/>
              </w:rPr>
            </w:pPr>
          </w:p>
          <w:p w14:paraId="43781B3A" w14:textId="4564E2F6" w:rsidR="00B914C3" w:rsidRPr="004C771B" w:rsidRDefault="00EE0DD4" w:rsidP="00F0250C">
            <w:pPr>
              <w:rPr>
                <w:szCs w:val="24"/>
                <w:lang w:val="en-US"/>
              </w:rPr>
            </w:pPr>
            <w:r w:rsidRPr="004C771B">
              <w:rPr>
                <w:szCs w:val="24"/>
              </w:rPr>
              <w:t>Civil monetary penalties act as deterrents.</w:t>
            </w:r>
            <w:r w:rsidR="008C0BBD" w:rsidRPr="004C771B">
              <w:rPr>
                <w:szCs w:val="24"/>
              </w:rPr>
              <w:t xml:space="preserve"> </w:t>
            </w:r>
            <w:proofErr w:type="spellStart"/>
            <w:r w:rsidR="008C0BBD" w:rsidRPr="004C771B">
              <w:rPr>
                <w:szCs w:val="24"/>
              </w:rPr>
              <w:t>ASIC</w:t>
            </w:r>
            <w:proofErr w:type="spellEnd"/>
            <w:r w:rsidR="008C0BBD" w:rsidRPr="004C771B">
              <w:rPr>
                <w:szCs w:val="24"/>
              </w:rPr>
              <w:t xml:space="preserve"> </w:t>
            </w:r>
            <w:r w:rsidR="00A96FE2" w:rsidRPr="004C771B">
              <w:rPr>
                <w:szCs w:val="24"/>
              </w:rPr>
              <w:t>is able to</w:t>
            </w:r>
            <w:r w:rsidR="008C0BBD" w:rsidRPr="004C771B">
              <w:rPr>
                <w:szCs w:val="24"/>
              </w:rPr>
              <w:t xml:space="preserve"> seek court ordered penalties </w:t>
            </w:r>
            <w:r w:rsidR="00283059" w:rsidRPr="004C771B">
              <w:rPr>
                <w:szCs w:val="24"/>
              </w:rPr>
              <w:t>of up to $1m for companies</w:t>
            </w:r>
            <w:r w:rsidR="00B914C3" w:rsidRPr="004C771B">
              <w:rPr>
                <w:szCs w:val="24"/>
              </w:rPr>
              <w:t>,</w:t>
            </w:r>
            <w:r w:rsidR="00283059" w:rsidRPr="004C771B">
              <w:rPr>
                <w:szCs w:val="24"/>
              </w:rPr>
              <w:t xml:space="preserve"> while</w:t>
            </w:r>
            <w:r w:rsidR="008C0BBD" w:rsidRPr="004C771B">
              <w:rPr>
                <w:szCs w:val="24"/>
              </w:rPr>
              <w:t xml:space="preserve"> the Australian Energy Regulator </w:t>
            </w:r>
            <w:r w:rsidR="00F0250C" w:rsidRPr="004C771B">
              <w:rPr>
                <w:szCs w:val="24"/>
              </w:rPr>
              <w:t>can seek a</w:t>
            </w:r>
            <w:r w:rsidR="00B914C3" w:rsidRPr="004C771B">
              <w:rPr>
                <w:szCs w:val="24"/>
              </w:rPr>
              <w:t xml:space="preserve"> </w:t>
            </w:r>
            <w:r w:rsidR="00F0250C" w:rsidRPr="004C771B">
              <w:rPr>
                <w:szCs w:val="24"/>
              </w:rPr>
              <w:t>maximum penalty of $100,000</w:t>
            </w:r>
            <w:r w:rsidR="001D702B" w:rsidRPr="004C771B">
              <w:rPr>
                <w:szCs w:val="24"/>
              </w:rPr>
              <w:t xml:space="preserve"> </w:t>
            </w:r>
            <w:r w:rsidR="00F0250C" w:rsidRPr="004C771B">
              <w:rPr>
                <w:szCs w:val="24"/>
              </w:rPr>
              <w:t xml:space="preserve">for corporations and </w:t>
            </w:r>
            <w:r w:rsidR="00B35EC0" w:rsidRPr="004C771B">
              <w:rPr>
                <w:szCs w:val="24"/>
              </w:rPr>
              <w:t xml:space="preserve">$20,000 for </w:t>
            </w:r>
            <w:r w:rsidR="00BA22D9" w:rsidRPr="004C771B">
              <w:rPr>
                <w:szCs w:val="24"/>
              </w:rPr>
              <w:t>regulator infringement</w:t>
            </w:r>
            <w:r w:rsidR="00283059" w:rsidRPr="004C771B">
              <w:rPr>
                <w:szCs w:val="24"/>
              </w:rPr>
              <w:t>s.</w:t>
            </w:r>
            <w:r w:rsidR="00BA22D9" w:rsidRPr="004C771B">
              <w:rPr>
                <w:rStyle w:val="FootnoteReference"/>
                <w:szCs w:val="24"/>
              </w:rPr>
              <w:footnoteReference w:id="28"/>
            </w:r>
            <w:r w:rsidR="00BA22D9" w:rsidRPr="004C771B">
              <w:rPr>
                <w:szCs w:val="24"/>
              </w:rPr>
              <w:t xml:space="preserve"> </w:t>
            </w:r>
            <w:r w:rsidR="00F0250C" w:rsidRPr="004C771B">
              <w:rPr>
                <w:szCs w:val="24"/>
              </w:rPr>
              <w:t xml:space="preserve">In contrast </w:t>
            </w:r>
            <w:r w:rsidR="00283059" w:rsidRPr="004C771B">
              <w:rPr>
                <w:szCs w:val="24"/>
              </w:rPr>
              <w:t>the</w:t>
            </w:r>
            <w:r w:rsidR="00F0250C" w:rsidRPr="004C771B">
              <w:rPr>
                <w:szCs w:val="24"/>
              </w:rPr>
              <w:t xml:space="preserve"> </w:t>
            </w:r>
            <w:proofErr w:type="spellStart"/>
            <w:r w:rsidR="00F0250C" w:rsidRPr="004C771B">
              <w:rPr>
                <w:szCs w:val="24"/>
              </w:rPr>
              <w:t>ACMA</w:t>
            </w:r>
            <w:r w:rsidR="00047E61" w:rsidRPr="004C771B">
              <w:rPr>
                <w:szCs w:val="24"/>
              </w:rPr>
              <w:t>’s</w:t>
            </w:r>
            <w:proofErr w:type="spellEnd"/>
            <w:r w:rsidR="00047E61" w:rsidRPr="004C771B">
              <w:rPr>
                <w:szCs w:val="24"/>
              </w:rPr>
              <w:t xml:space="preserve"> powers to impose penalties are more restricted.</w:t>
            </w:r>
          </w:p>
          <w:p w14:paraId="6BFDB0DF" w14:textId="77777777" w:rsidR="00B914C3" w:rsidRPr="004C771B" w:rsidRDefault="00B914C3" w:rsidP="00F0250C">
            <w:pPr>
              <w:rPr>
                <w:szCs w:val="24"/>
                <w:lang w:val="en-US"/>
              </w:rPr>
            </w:pPr>
          </w:p>
          <w:p w14:paraId="68FC09C7" w14:textId="325DA5A0" w:rsidR="00F0250C" w:rsidRPr="004C771B" w:rsidRDefault="00BA22D9" w:rsidP="008C0BBD">
            <w:pPr>
              <w:spacing w:after="200" w:line="276" w:lineRule="auto"/>
              <w:rPr>
                <w:szCs w:val="24"/>
              </w:rPr>
            </w:pPr>
            <w:r w:rsidRPr="004C771B">
              <w:rPr>
                <w:szCs w:val="24"/>
                <w:lang w:val="en-US"/>
              </w:rPr>
              <w:t xml:space="preserve">The </w:t>
            </w:r>
            <w:r w:rsidR="00F43831" w:rsidRPr="004C771B">
              <w:rPr>
                <w:szCs w:val="24"/>
                <w:lang w:val="en-US"/>
              </w:rPr>
              <w:t>Telecommunications Consumer Protection</w:t>
            </w:r>
            <w:r w:rsidRPr="004C771B">
              <w:rPr>
                <w:szCs w:val="24"/>
                <w:lang w:val="en-US"/>
              </w:rPr>
              <w:t xml:space="preserve"> code is </w:t>
            </w:r>
            <w:r w:rsidR="004C534D" w:rsidRPr="004C771B">
              <w:rPr>
                <w:szCs w:val="24"/>
                <w:lang w:val="en-US"/>
              </w:rPr>
              <w:t xml:space="preserve">largely </w:t>
            </w:r>
            <w:r w:rsidRPr="004C771B">
              <w:rPr>
                <w:szCs w:val="24"/>
                <w:lang w:val="en-US"/>
              </w:rPr>
              <w:t xml:space="preserve">premised on industry goodwill </w:t>
            </w:r>
            <w:r w:rsidR="00F43831" w:rsidRPr="004C771B">
              <w:rPr>
                <w:szCs w:val="24"/>
                <w:lang w:val="en-US"/>
              </w:rPr>
              <w:t>in regards to compliance</w:t>
            </w:r>
            <w:r w:rsidR="00B914C3" w:rsidRPr="004C771B">
              <w:rPr>
                <w:szCs w:val="24"/>
                <w:lang w:val="en-US"/>
              </w:rPr>
              <w:t>.</w:t>
            </w:r>
            <w:r w:rsidR="00F43831" w:rsidRPr="004C771B">
              <w:rPr>
                <w:szCs w:val="24"/>
                <w:lang w:val="en-US"/>
              </w:rPr>
              <w:t xml:space="preserve"> </w:t>
            </w:r>
            <w:r w:rsidR="00B914C3" w:rsidRPr="004C771B">
              <w:rPr>
                <w:szCs w:val="24"/>
                <w:lang w:val="en-US"/>
              </w:rPr>
              <w:t>E</w:t>
            </w:r>
            <w:r w:rsidR="004C534D" w:rsidRPr="004C771B">
              <w:rPr>
                <w:szCs w:val="24"/>
                <w:lang w:val="en-US"/>
              </w:rPr>
              <w:t>nforcement powers</w:t>
            </w:r>
            <w:r w:rsidR="00F43831" w:rsidRPr="004C771B">
              <w:rPr>
                <w:szCs w:val="24"/>
                <w:lang w:val="en-US"/>
              </w:rPr>
              <w:t xml:space="preserve"> are weaker </w:t>
            </w:r>
            <w:r w:rsidR="00A30AB3" w:rsidRPr="004C771B">
              <w:rPr>
                <w:szCs w:val="24"/>
                <w:lang w:val="en-US"/>
              </w:rPr>
              <w:t xml:space="preserve">than </w:t>
            </w:r>
            <w:r w:rsidR="00F43831" w:rsidRPr="004C771B">
              <w:rPr>
                <w:szCs w:val="24"/>
                <w:lang w:val="en-US"/>
              </w:rPr>
              <w:t>those available to</w:t>
            </w:r>
            <w:r w:rsidR="00A30AB3" w:rsidRPr="004C771B">
              <w:rPr>
                <w:szCs w:val="24"/>
                <w:lang w:val="en-US"/>
              </w:rPr>
              <w:t xml:space="preserve"> other regulators.</w:t>
            </w:r>
          </w:p>
          <w:p w14:paraId="0AC7274E" w14:textId="2A2D184D" w:rsidR="000B0B55" w:rsidRPr="00825185" w:rsidRDefault="00F0250C" w:rsidP="00825185">
            <w:pPr>
              <w:spacing w:after="200" w:line="276" w:lineRule="auto"/>
              <w:rPr>
                <w:szCs w:val="24"/>
              </w:rPr>
            </w:pPr>
            <w:r w:rsidRPr="004C771B">
              <w:rPr>
                <w:szCs w:val="24"/>
              </w:rPr>
              <w:t xml:space="preserve">Media </w:t>
            </w:r>
            <w:r w:rsidR="00F96A52" w:rsidRPr="004C771B">
              <w:rPr>
                <w:szCs w:val="24"/>
              </w:rPr>
              <w:t>attention</w:t>
            </w:r>
            <w:r w:rsidR="00400357" w:rsidRPr="004C771B">
              <w:rPr>
                <w:szCs w:val="24"/>
              </w:rPr>
              <w:t xml:space="preserve"> accompanying regulator</w:t>
            </w:r>
            <w:r w:rsidR="001D702B" w:rsidRPr="004C771B">
              <w:rPr>
                <w:szCs w:val="24"/>
              </w:rPr>
              <w:t>y enforcement</w:t>
            </w:r>
            <w:r w:rsidR="00400357" w:rsidRPr="004C771B">
              <w:rPr>
                <w:szCs w:val="24"/>
              </w:rPr>
              <w:t xml:space="preserve"> actions</w:t>
            </w:r>
            <w:r w:rsidR="001D702B" w:rsidRPr="004C771B">
              <w:rPr>
                <w:szCs w:val="24"/>
              </w:rPr>
              <w:t xml:space="preserve"> </w:t>
            </w:r>
            <w:r w:rsidR="00F96A52" w:rsidRPr="004C771B">
              <w:rPr>
                <w:szCs w:val="24"/>
              </w:rPr>
              <w:t>may also act</w:t>
            </w:r>
            <w:r w:rsidR="00F43831" w:rsidRPr="004C771B">
              <w:rPr>
                <w:szCs w:val="24"/>
              </w:rPr>
              <w:t xml:space="preserve"> as a</w:t>
            </w:r>
            <w:r w:rsidRPr="004C771B">
              <w:rPr>
                <w:szCs w:val="24"/>
              </w:rPr>
              <w:t xml:space="preserve"> </w:t>
            </w:r>
            <w:r w:rsidR="00F96A52" w:rsidRPr="004C771B">
              <w:rPr>
                <w:szCs w:val="24"/>
              </w:rPr>
              <w:t>motivator to comply with the regulatory framework</w:t>
            </w:r>
            <w:r w:rsidR="001D702B" w:rsidRPr="004C771B">
              <w:rPr>
                <w:szCs w:val="24"/>
              </w:rPr>
              <w:t xml:space="preserve">. </w:t>
            </w:r>
            <w:r w:rsidR="001D702B" w:rsidRPr="004C771B">
              <w:rPr>
                <w:rStyle w:val="FootnoteReference"/>
                <w:szCs w:val="24"/>
                <w:lang w:val="en-US"/>
              </w:rPr>
              <w:footnoteReference w:id="29"/>
            </w:r>
          </w:p>
        </w:tc>
      </w:tr>
    </w:tbl>
    <w:p w14:paraId="2AE51C16" w14:textId="77777777" w:rsidR="007A3E4F" w:rsidRDefault="007A3E4F" w:rsidP="007A3E4F">
      <w:pPr>
        <w:rPr>
          <w:color w:val="42865E"/>
          <w:sz w:val="24"/>
        </w:rPr>
      </w:pPr>
    </w:p>
    <w:p w14:paraId="3273489E" w14:textId="32849A43" w:rsidR="00AC663D" w:rsidRDefault="001A1DE7" w:rsidP="004C771B">
      <w:pPr>
        <w:pStyle w:val="Heading2"/>
      </w:pPr>
      <w:bookmarkStart w:id="42" w:name="_Toc387144750"/>
      <w:r>
        <w:t>2.</w:t>
      </w:r>
      <w:r w:rsidR="00AC663D">
        <w:t>3.4</w:t>
      </w:r>
      <w:r w:rsidR="00AC663D">
        <w:tab/>
      </w:r>
      <w:r w:rsidR="00347477">
        <w:t xml:space="preserve"> </w:t>
      </w:r>
      <w:r w:rsidR="00913E6F">
        <w:t>Summary and i</w:t>
      </w:r>
      <w:r w:rsidR="00AC663D">
        <w:t>mplications</w:t>
      </w:r>
      <w:bookmarkEnd w:id="42"/>
    </w:p>
    <w:p w14:paraId="0BB599F6" w14:textId="77777777" w:rsidR="00AC663D" w:rsidRDefault="00AC663D" w:rsidP="00AC663D">
      <w:pPr>
        <w:spacing w:after="0" w:line="240" w:lineRule="auto"/>
      </w:pPr>
    </w:p>
    <w:p w14:paraId="50E02D8F" w14:textId="597E5D86" w:rsidR="00191A86" w:rsidRPr="004C771B" w:rsidRDefault="00B254C1" w:rsidP="004C771B">
      <w:r w:rsidRPr="004C771B">
        <w:t xml:space="preserve">Sustaining good performance can be </w:t>
      </w:r>
      <w:r w:rsidR="00B914C3">
        <w:t>difficult</w:t>
      </w:r>
      <w:r w:rsidRPr="004C771B">
        <w:t xml:space="preserve">. The importance of leadership and </w:t>
      </w:r>
      <w:r w:rsidR="00B914C3">
        <w:t xml:space="preserve">a </w:t>
      </w:r>
      <w:r w:rsidRPr="004C771B">
        <w:t xml:space="preserve">senior management committee is a key </w:t>
      </w:r>
      <w:r w:rsidR="00B914C3">
        <w:t>finding</w:t>
      </w:r>
      <w:r w:rsidR="00B914C3" w:rsidRPr="004C771B">
        <w:t xml:space="preserve"> </w:t>
      </w:r>
      <w:r w:rsidR="00B914C3">
        <w:t>of this study.</w:t>
      </w:r>
      <w:r w:rsidRPr="004C771B">
        <w:t xml:space="preserve"> </w:t>
      </w:r>
      <w:r w:rsidR="00B914C3">
        <w:t>In addition, s</w:t>
      </w:r>
      <w:r w:rsidR="006C2799" w:rsidRPr="004C771B">
        <w:t>trong regulation also influences the way in which hardship programs are managed.</w:t>
      </w:r>
    </w:p>
    <w:p w14:paraId="4340B3D2" w14:textId="4EE25252" w:rsidR="006C2799" w:rsidRPr="004C771B" w:rsidRDefault="006C2799" w:rsidP="004C771B">
      <w:r w:rsidRPr="004C771B">
        <w:t xml:space="preserve">There may be value in </w:t>
      </w:r>
      <w:r w:rsidR="00B914C3">
        <w:t xml:space="preserve">conducting a </w:t>
      </w:r>
      <w:r w:rsidRPr="004C771B">
        <w:t xml:space="preserve">separate research </w:t>
      </w:r>
      <w:r w:rsidR="00B914C3">
        <w:t xml:space="preserve">study </w:t>
      </w:r>
      <w:r w:rsidRPr="004C771B">
        <w:t xml:space="preserve">or cross-industry collaboration </w:t>
      </w:r>
      <w:r w:rsidR="00B914C3">
        <w:t>that investigates</w:t>
      </w:r>
      <w:r w:rsidRPr="004C771B">
        <w:t xml:space="preserve"> the most effective way of measuring the performance of a hardship function.</w:t>
      </w:r>
    </w:p>
    <w:p w14:paraId="243F5635" w14:textId="55EEC1F5" w:rsidR="00CC619A" w:rsidRDefault="007D58DD" w:rsidP="00231A16">
      <w:pPr>
        <w:pStyle w:val="Heading1"/>
        <w:numPr>
          <w:ilvl w:val="1"/>
          <w:numId w:val="22"/>
        </w:numPr>
        <w:rPr>
          <w:lang w:val="en-US" w:eastAsia="ja-JP"/>
        </w:rPr>
      </w:pPr>
      <w:r>
        <w:rPr>
          <w:lang w:val="en-US" w:eastAsia="ja-JP"/>
        </w:rPr>
        <w:lastRenderedPageBreak/>
        <w:t xml:space="preserve"> </w:t>
      </w:r>
      <w:bookmarkStart w:id="43" w:name="_Toc387144751"/>
      <w:r w:rsidR="00913E6F">
        <w:rPr>
          <w:lang w:val="en-US" w:eastAsia="ja-JP"/>
        </w:rPr>
        <w:t>Attitudes and c</w:t>
      </w:r>
      <w:r w:rsidR="00CC619A">
        <w:rPr>
          <w:lang w:val="en-US" w:eastAsia="ja-JP"/>
        </w:rPr>
        <w:t>ulture</w:t>
      </w:r>
      <w:bookmarkEnd w:id="43"/>
    </w:p>
    <w:p w14:paraId="2CDAFDB5" w14:textId="77777777" w:rsidR="002146BF" w:rsidRPr="002146BF" w:rsidRDefault="002146BF" w:rsidP="002146BF">
      <w:pPr>
        <w:rPr>
          <w:lang w:val="en-US" w:eastAsia="ja-JP"/>
        </w:rPr>
      </w:pPr>
    </w:p>
    <w:p w14:paraId="6843C30C" w14:textId="3AD022CE" w:rsidR="00726AFD" w:rsidRDefault="001A1DE7" w:rsidP="004C771B">
      <w:pPr>
        <w:pStyle w:val="Heading2"/>
      </w:pPr>
      <w:bookmarkStart w:id="44" w:name="_Toc387144752"/>
      <w:r>
        <w:t>2.</w:t>
      </w:r>
      <w:r w:rsidR="00AC4656">
        <w:t>4.1</w:t>
      </w:r>
      <w:r w:rsidR="007D58DD">
        <w:t xml:space="preserve"> </w:t>
      </w:r>
      <w:r w:rsidR="00726AFD">
        <w:t>Why this topic?</w:t>
      </w:r>
      <w:bookmarkEnd w:id="44"/>
      <w:r w:rsidR="00726AFD">
        <w:t xml:space="preserve"> </w:t>
      </w:r>
    </w:p>
    <w:p w14:paraId="0A9E8957" w14:textId="77777777" w:rsidR="00726AFD" w:rsidRDefault="00726AFD" w:rsidP="00726AFD">
      <w:pPr>
        <w:spacing w:after="0" w:line="240" w:lineRule="auto"/>
        <w:ind w:left="993"/>
      </w:pPr>
    </w:p>
    <w:p w14:paraId="5F4F8334" w14:textId="4E7F2ADC" w:rsidR="008B7AF8" w:rsidRDefault="00013C61" w:rsidP="007D58DD">
      <w:r w:rsidRPr="004C771B">
        <w:t>Attitudes</w:t>
      </w:r>
      <w:r w:rsidR="003E38AC" w:rsidRPr="004C771B">
        <w:t xml:space="preserve"> </w:t>
      </w:r>
      <w:r w:rsidRPr="004C771B">
        <w:t xml:space="preserve">toward </w:t>
      </w:r>
      <w:r w:rsidR="003E38AC" w:rsidRPr="004C771B">
        <w:t>customers in hardship</w:t>
      </w:r>
      <w:r w:rsidRPr="004C771B">
        <w:t xml:space="preserve"> </w:t>
      </w:r>
      <w:r w:rsidR="00D73388" w:rsidRPr="004C771B">
        <w:t>underpin</w:t>
      </w:r>
      <w:r w:rsidR="003E38AC" w:rsidRPr="004C771B">
        <w:t xml:space="preserve"> </w:t>
      </w:r>
      <w:r w:rsidR="00567BB0" w:rsidRPr="004C771B">
        <w:t>an organisation’s response</w:t>
      </w:r>
      <w:r w:rsidR="00FC685F">
        <w:t xml:space="preserve"> to this issue</w:t>
      </w:r>
      <w:r w:rsidR="003E38AC" w:rsidRPr="004C771B">
        <w:t>.</w:t>
      </w:r>
      <w:r w:rsidRPr="004C771B">
        <w:t xml:space="preserve"> </w:t>
      </w:r>
      <w:r w:rsidR="00FC685F">
        <w:t>S</w:t>
      </w:r>
      <w:r w:rsidR="00567BB0" w:rsidRPr="004C771B">
        <w:t xml:space="preserve">ome stakeholders </w:t>
      </w:r>
      <w:r w:rsidR="00FC685F">
        <w:t>view</w:t>
      </w:r>
      <w:r w:rsidR="00FC685F" w:rsidRPr="004C771B">
        <w:t xml:space="preserve"> </w:t>
      </w:r>
      <w:r w:rsidR="003E38AC" w:rsidRPr="004C771B">
        <w:t>hardship as</w:t>
      </w:r>
      <w:r w:rsidRPr="004C771B">
        <w:t xml:space="preserve"> </w:t>
      </w:r>
      <w:r w:rsidR="003E38AC" w:rsidRPr="004C771B">
        <w:t>something a consumer has to</w:t>
      </w:r>
      <w:r w:rsidRPr="004C771B">
        <w:t xml:space="preserve"> </w:t>
      </w:r>
      <w:r w:rsidR="003E38AC" w:rsidRPr="004C771B">
        <w:t>prove and justify</w:t>
      </w:r>
      <w:r w:rsidR="00E86C9D" w:rsidRPr="004C771B">
        <w:t xml:space="preserve"> </w:t>
      </w:r>
      <w:r w:rsidR="00FC685F">
        <w:t xml:space="preserve">in order </w:t>
      </w:r>
      <w:proofErr w:type="gramStart"/>
      <w:r w:rsidR="00FC685F">
        <w:t>to qualify</w:t>
      </w:r>
      <w:proofErr w:type="gramEnd"/>
      <w:r w:rsidR="00FC685F">
        <w:t xml:space="preserve"> for </w:t>
      </w:r>
      <w:r w:rsidR="00FC685F" w:rsidRPr="00882660">
        <w:t>assistance</w:t>
      </w:r>
      <w:r w:rsidR="00FC685F" w:rsidRPr="00FC685F">
        <w:t xml:space="preserve"> </w:t>
      </w:r>
      <w:r w:rsidR="00E86C9D" w:rsidRPr="004C771B">
        <w:t>(</w:t>
      </w:r>
      <w:r w:rsidR="00FC685F">
        <w:t>to avoid</w:t>
      </w:r>
      <w:r w:rsidR="00E86C9D" w:rsidRPr="004C771B">
        <w:t xml:space="preserve"> people tak</w:t>
      </w:r>
      <w:r w:rsidR="00FC685F">
        <w:t>ing</w:t>
      </w:r>
      <w:r w:rsidR="00C6172E">
        <w:t xml:space="preserve"> advantage of the company</w:t>
      </w:r>
      <w:r w:rsidR="00E86C9D" w:rsidRPr="004C771B">
        <w:t xml:space="preserve">). On the other hand, </w:t>
      </w:r>
      <w:r w:rsidR="00567BB0" w:rsidRPr="004C771B">
        <w:t xml:space="preserve">other stakeholders take the view </w:t>
      </w:r>
      <w:r w:rsidR="003E38AC" w:rsidRPr="004C771B">
        <w:t>that</w:t>
      </w:r>
      <w:r w:rsidR="00CD63FB" w:rsidRPr="004C771B">
        <w:t xml:space="preserve"> </w:t>
      </w:r>
      <w:r w:rsidR="003E38AC" w:rsidRPr="004C771B">
        <w:t>anyone can be vulnerable</w:t>
      </w:r>
      <w:r w:rsidRPr="004C771B">
        <w:t xml:space="preserve"> </w:t>
      </w:r>
      <w:r w:rsidR="003E38AC" w:rsidRPr="004C771B">
        <w:t>and that the large majority of</w:t>
      </w:r>
      <w:r w:rsidRPr="004C771B">
        <w:t xml:space="preserve"> </w:t>
      </w:r>
      <w:r w:rsidR="007D58DD">
        <w:t>people want to pay their debts.</w:t>
      </w:r>
    </w:p>
    <w:p w14:paraId="49C333FB" w14:textId="03B49744" w:rsidR="008B7AF8" w:rsidRPr="003E38AC" w:rsidRDefault="001A1DE7" w:rsidP="004C771B">
      <w:pPr>
        <w:pStyle w:val="Heading2"/>
      </w:pPr>
      <w:bookmarkStart w:id="45" w:name="_Toc387144753"/>
      <w:r>
        <w:t>2.</w:t>
      </w:r>
      <w:r w:rsidR="00AC4656">
        <w:t>4.2</w:t>
      </w:r>
      <w:r w:rsidR="008209A3">
        <w:t xml:space="preserve"> </w:t>
      </w:r>
      <w:r w:rsidR="00913E6F">
        <w:t>Research f</w:t>
      </w:r>
      <w:r w:rsidR="008B7AF8">
        <w:t>indings</w:t>
      </w:r>
      <w:bookmarkEnd w:id="45"/>
    </w:p>
    <w:p w14:paraId="60AE11F4" w14:textId="77777777" w:rsidR="00726AFD" w:rsidRDefault="00726AFD" w:rsidP="00726AFD">
      <w:pPr>
        <w:spacing w:after="0" w:line="240" w:lineRule="auto"/>
        <w:ind w:left="851"/>
      </w:pPr>
    </w:p>
    <w:p w14:paraId="6C9F7480" w14:textId="26214014" w:rsidR="00364431" w:rsidRPr="004C771B" w:rsidRDefault="00DA0C85" w:rsidP="004C771B">
      <w:pPr>
        <w:ind w:left="567"/>
      </w:pPr>
      <w:r w:rsidRPr="004C771B">
        <w:rPr>
          <w:i/>
        </w:rPr>
        <w:t>‘</w:t>
      </w:r>
      <w:r w:rsidR="003C5D0C" w:rsidRPr="004C771B">
        <w:rPr>
          <w:i/>
        </w:rPr>
        <w:t>I’m</w:t>
      </w:r>
      <w:r w:rsidR="00364431" w:rsidRPr="004C771B">
        <w:rPr>
          <w:i/>
        </w:rPr>
        <w:t xml:space="preserve"> so excited about reducing the account by such a dramatic amount</w:t>
      </w:r>
      <w:r w:rsidRPr="004C771B">
        <w:rPr>
          <w:i/>
        </w:rPr>
        <w:t>’</w:t>
      </w:r>
      <w:r w:rsidR="00364431" w:rsidRPr="004C771B">
        <w:rPr>
          <w:i/>
        </w:rPr>
        <w:t xml:space="preserve"> </w:t>
      </w:r>
      <w:r w:rsidR="006B7296" w:rsidRPr="004C771B">
        <w:rPr>
          <w:i/>
        </w:rPr>
        <w:t>…</w:t>
      </w:r>
      <w:r w:rsidR="00364431" w:rsidRPr="004C771B">
        <w:rPr>
          <w:i/>
        </w:rPr>
        <w:t xml:space="preserve"> </w:t>
      </w:r>
      <w:r w:rsidR="00E86C9D" w:rsidRPr="004C771B">
        <w:rPr>
          <w:i/>
        </w:rPr>
        <w:t>(It makes me) want</w:t>
      </w:r>
      <w:r w:rsidR="00364431" w:rsidRPr="004C771B">
        <w:rPr>
          <w:i/>
        </w:rPr>
        <w:t xml:space="preserve"> to pay this off as quickly as possible. </w:t>
      </w:r>
      <w:r w:rsidR="00E86C9D" w:rsidRPr="004C771B">
        <w:rPr>
          <w:i/>
        </w:rPr>
        <w:t xml:space="preserve">… </w:t>
      </w:r>
      <w:r w:rsidR="00364431" w:rsidRPr="004C771B">
        <w:rPr>
          <w:i/>
        </w:rPr>
        <w:t>You have given me so much hope today, I feel so elated, I feel like I have just walked out of a maze and I can breathe again. [I] will make sure all the bills are paid as they come up.</w:t>
      </w:r>
      <w:r w:rsidRPr="004C771B">
        <w:rPr>
          <w:i/>
        </w:rPr>
        <w:t>’</w:t>
      </w:r>
      <w:r w:rsidR="00364431" w:rsidRPr="004C771B">
        <w:rPr>
          <w:i/>
        </w:rPr>
        <w:t xml:space="preserve">    </w:t>
      </w:r>
    </w:p>
    <w:p w14:paraId="4674E3E6" w14:textId="72ED030D" w:rsidR="00784407" w:rsidRPr="004C771B" w:rsidRDefault="00364431" w:rsidP="008209A3">
      <w:pPr>
        <w:ind w:left="567"/>
      </w:pPr>
      <w:r w:rsidRPr="004C771B">
        <w:t>Hardship assisted customer</w:t>
      </w:r>
      <w:r w:rsidR="00565611" w:rsidRPr="004C771B">
        <w:t xml:space="preserve"> to a </w:t>
      </w:r>
      <w:r w:rsidR="00FC685F">
        <w:t>staff member</w:t>
      </w:r>
      <w:r w:rsidRPr="004C771B">
        <w:t>, Sydney Water 2012</w:t>
      </w:r>
      <w:r w:rsidR="003C5D0C" w:rsidRPr="004C771B">
        <w:t xml:space="preserve"> </w:t>
      </w:r>
    </w:p>
    <w:p w14:paraId="7C7033B2" w14:textId="7BC33A61" w:rsidR="004E014B" w:rsidRPr="004C771B" w:rsidRDefault="004E014B" w:rsidP="007A2DB5">
      <w:pPr>
        <w:pStyle w:val="Heading3"/>
      </w:pPr>
      <w:r w:rsidRPr="004C771B">
        <w:t xml:space="preserve">Financial counsellors report </w:t>
      </w:r>
      <w:r w:rsidR="00B5701F" w:rsidRPr="004C771B">
        <w:t>con</w:t>
      </w:r>
      <w:r w:rsidR="00FC685F" w:rsidRPr="004C771B">
        <w:t>trasting</w:t>
      </w:r>
      <w:r w:rsidRPr="004C771B">
        <w:t xml:space="preserve"> attitudes to</w:t>
      </w:r>
      <w:r w:rsidR="00FC685F" w:rsidRPr="004C771B">
        <w:t>wards</w:t>
      </w:r>
      <w:r w:rsidRPr="004C771B">
        <w:t xml:space="preserve"> hardship</w:t>
      </w:r>
    </w:p>
    <w:p w14:paraId="71AB0B28" w14:textId="717C855B" w:rsidR="00EA6C85" w:rsidRPr="004C771B" w:rsidRDefault="00784BB3" w:rsidP="004C771B">
      <w:r w:rsidRPr="004C771B">
        <w:t xml:space="preserve">The financial counsellors interviewed for this research </w:t>
      </w:r>
      <w:r w:rsidR="00FC685F">
        <w:t>reported</w:t>
      </w:r>
      <w:r w:rsidR="00FC685F" w:rsidRPr="004C771B">
        <w:t xml:space="preserve"> </w:t>
      </w:r>
      <w:r w:rsidRPr="004C771B">
        <w:t xml:space="preserve">that </w:t>
      </w:r>
      <w:r w:rsidR="00186021" w:rsidRPr="004C771B">
        <w:t>many industry staff did not really understand the implications of living on pension</w:t>
      </w:r>
      <w:r w:rsidR="00FC685F">
        <w:t>, or</w:t>
      </w:r>
      <w:r w:rsidR="00186021" w:rsidRPr="004C771B">
        <w:t xml:space="preserve"> </w:t>
      </w:r>
      <w:r w:rsidR="00FC685F" w:rsidRPr="00FA77FD">
        <w:t>a person</w:t>
      </w:r>
      <w:r w:rsidR="00186021" w:rsidRPr="004C771B">
        <w:t xml:space="preserve"> saying </w:t>
      </w:r>
      <w:r w:rsidR="00DA0C85" w:rsidRPr="004C771B">
        <w:t>‘</w:t>
      </w:r>
      <w:r w:rsidR="00186021" w:rsidRPr="004C771B">
        <w:t>I can’t pay</w:t>
      </w:r>
      <w:r w:rsidR="00DA0C85" w:rsidRPr="004C771B">
        <w:t>’</w:t>
      </w:r>
      <w:r w:rsidR="00186021" w:rsidRPr="004C771B">
        <w:t>. They reported examples of industry asking for payment arrangements that were beyond an individual’s financial capacity</w:t>
      </w:r>
      <w:r w:rsidR="00FC685F">
        <w:t>. They</w:t>
      </w:r>
      <w:r w:rsidR="00186021" w:rsidRPr="004C771B">
        <w:t xml:space="preserve"> pointed out that this was setting people up to fail – again.</w:t>
      </w:r>
    </w:p>
    <w:p w14:paraId="7B37092F" w14:textId="45921032" w:rsidR="00EA6C85" w:rsidRPr="004C771B" w:rsidRDefault="00EA6C85" w:rsidP="004C771B">
      <w:r w:rsidRPr="004C771B">
        <w:t xml:space="preserve">One financial counsellor interviewee said that those companies </w:t>
      </w:r>
      <w:r w:rsidR="0063399D">
        <w:t>that</w:t>
      </w:r>
      <w:r w:rsidRPr="004C771B">
        <w:t xml:space="preserve"> were not committed </w:t>
      </w:r>
      <w:r w:rsidR="004E014B" w:rsidRPr="004C771B">
        <w:t>to assisting customers in hardship were</w:t>
      </w:r>
      <w:r w:rsidRPr="004C771B">
        <w:t xml:space="preserve"> more difficult to work</w:t>
      </w:r>
      <w:r w:rsidR="008E7920">
        <w:t xml:space="preserve"> with</w:t>
      </w:r>
      <w:r w:rsidRPr="004C771B">
        <w:t>. He observed:</w:t>
      </w:r>
    </w:p>
    <w:p w14:paraId="09683E39" w14:textId="412D264C" w:rsidR="00EA6C85" w:rsidRPr="004C771B" w:rsidRDefault="00FC685F" w:rsidP="004C771B">
      <w:pPr>
        <w:ind w:left="567"/>
        <w:rPr>
          <w:bCs/>
          <w:i/>
          <w:lang w:val="en-US"/>
        </w:rPr>
      </w:pPr>
      <w:r w:rsidRPr="004C771B">
        <w:rPr>
          <w:bCs/>
          <w:i/>
          <w:lang w:val="en-US"/>
        </w:rPr>
        <w:t>‘</w:t>
      </w:r>
      <w:r w:rsidR="00EA6C85" w:rsidRPr="004C771B">
        <w:rPr>
          <w:bCs/>
          <w:i/>
          <w:lang w:val="en-US"/>
        </w:rPr>
        <w:t>Quite a</w:t>
      </w:r>
      <w:r w:rsidR="004E014B" w:rsidRPr="004C771B">
        <w:rPr>
          <w:bCs/>
          <w:i/>
          <w:lang w:val="en-US"/>
        </w:rPr>
        <w:t xml:space="preserve"> few of the new players, </w:t>
      </w:r>
      <w:r w:rsidR="00EA6C85" w:rsidRPr="004C771B">
        <w:rPr>
          <w:bCs/>
          <w:i/>
          <w:lang w:val="en-US"/>
        </w:rPr>
        <w:t xml:space="preserve">including </w:t>
      </w:r>
      <w:r w:rsidR="004E014B" w:rsidRPr="004C771B">
        <w:rPr>
          <w:bCs/>
          <w:i/>
          <w:lang w:val="en-US"/>
        </w:rPr>
        <w:t>(</w:t>
      </w:r>
      <w:r w:rsidR="00EA6C85" w:rsidRPr="004C771B">
        <w:rPr>
          <w:bCs/>
          <w:i/>
          <w:lang w:val="en-US"/>
        </w:rPr>
        <w:t xml:space="preserve">an electricity company) have hardship programs foisted on them, and </w:t>
      </w:r>
      <w:r w:rsidR="004E014B" w:rsidRPr="004C771B">
        <w:rPr>
          <w:bCs/>
          <w:i/>
          <w:lang w:val="en-US"/>
        </w:rPr>
        <w:t xml:space="preserve">have </w:t>
      </w:r>
      <w:r w:rsidR="00EA6C85" w:rsidRPr="004C771B">
        <w:rPr>
          <w:bCs/>
          <w:i/>
          <w:lang w:val="en-US"/>
        </w:rPr>
        <w:t>not developed them internally. They haven’t committed to them.</w:t>
      </w:r>
      <w:r w:rsidRPr="004C771B">
        <w:rPr>
          <w:bCs/>
          <w:i/>
          <w:lang w:val="en-US"/>
        </w:rPr>
        <w:t>’</w:t>
      </w:r>
    </w:p>
    <w:p w14:paraId="4428980D" w14:textId="28A6B12B" w:rsidR="00346CFA" w:rsidRPr="004C771B" w:rsidRDefault="004E014B" w:rsidP="007A2DB5">
      <w:pPr>
        <w:ind w:left="567"/>
      </w:pPr>
      <w:r w:rsidRPr="004C771B">
        <w:rPr>
          <w:bCs/>
          <w:lang w:val="en-US"/>
        </w:rPr>
        <w:t xml:space="preserve">Financial </w:t>
      </w:r>
      <w:proofErr w:type="spellStart"/>
      <w:r w:rsidRPr="004C771B">
        <w:rPr>
          <w:bCs/>
          <w:lang w:val="en-US"/>
        </w:rPr>
        <w:t>c</w:t>
      </w:r>
      <w:r w:rsidR="00EA6C85" w:rsidRPr="004C771B">
        <w:rPr>
          <w:bCs/>
          <w:lang w:val="en-US"/>
        </w:rPr>
        <w:t>ounsellor</w:t>
      </w:r>
      <w:proofErr w:type="spellEnd"/>
    </w:p>
    <w:p w14:paraId="06ADF0CE" w14:textId="3E86AC17" w:rsidR="00F459A5" w:rsidRPr="004C771B" w:rsidRDefault="00F459A5" w:rsidP="007A2DB5">
      <w:pPr>
        <w:pStyle w:val="Heading3"/>
      </w:pPr>
      <w:r w:rsidRPr="004C771B">
        <w:t xml:space="preserve">Workshop participants </w:t>
      </w:r>
      <w:r w:rsidR="0098533D" w:rsidRPr="004C771B">
        <w:t xml:space="preserve">emphasised </w:t>
      </w:r>
      <w:r w:rsidRPr="004C771B">
        <w:t>that attitudes are shaped from the top</w:t>
      </w:r>
    </w:p>
    <w:p w14:paraId="2C6E10D0" w14:textId="6C43EF1A" w:rsidR="00346CFA" w:rsidRPr="004C771B" w:rsidRDefault="0098533D" w:rsidP="004C771B">
      <w:r>
        <w:t>T</w:t>
      </w:r>
      <w:r w:rsidR="00346CFA" w:rsidRPr="004C771B">
        <w:t xml:space="preserve">he first </w:t>
      </w:r>
      <w:r>
        <w:t xml:space="preserve">workshop </w:t>
      </w:r>
      <w:r w:rsidR="00346CFA" w:rsidRPr="004C771B">
        <w:t xml:space="preserve">point identified was that the process needs to be driven from the top. Unless the </w:t>
      </w:r>
      <w:proofErr w:type="spellStart"/>
      <w:r w:rsidR="00346CFA" w:rsidRPr="004C771B">
        <w:t>CEO</w:t>
      </w:r>
      <w:proofErr w:type="spellEnd"/>
      <w:r w:rsidR="00346CFA" w:rsidRPr="004C771B">
        <w:t xml:space="preserve"> and the leadership team believe that a good hardship program is important, change will not happen</w:t>
      </w:r>
      <w:r>
        <w:t>. J</w:t>
      </w:r>
      <w:r w:rsidR="00346CFA" w:rsidRPr="004C771B">
        <w:t>ust as importantly, necessary resources</w:t>
      </w:r>
      <w:r>
        <w:t xml:space="preserve"> for the success of the program</w:t>
      </w:r>
      <w:r w:rsidR="00346CFA" w:rsidRPr="004C771B">
        <w:t xml:space="preserve"> will not be invested. </w:t>
      </w:r>
    </w:p>
    <w:p w14:paraId="11FC7CAD" w14:textId="29464ECE" w:rsidR="006344F4" w:rsidRPr="001A3244" w:rsidRDefault="00346CFA" w:rsidP="001A3244">
      <w:r w:rsidRPr="004C771B">
        <w:t xml:space="preserve">Workforce participants also </w:t>
      </w:r>
      <w:r w:rsidR="0098533D">
        <w:t>pointed out</w:t>
      </w:r>
      <w:r w:rsidR="0098533D" w:rsidRPr="004C771B">
        <w:t xml:space="preserve"> </w:t>
      </w:r>
      <w:r w:rsidRPr="004C771B">
        <w:t>that training was critical</w:t>
      </w:r>
      <w:r w:rsidR="00F459A5" w:rsidRPr="004C771B">
        <w:t>. Training</w:t>
      </w:r>
      <w:r w:rsidR="00784BB3" w:rsidRPr="004C771B">
        <w:t xml:space="preserve"> </w:t>
      </w:r>
      <w:r w:rsidR="0098533D" w:rsidRPr="004C771B">
        <w:t>need</w:t>
      </w:r>
      <w:r w:rsidR="0098533D">
        <w:t>s</w:t>
      </w:r>
      <w:r w:rsidR="0098533D" w:rsidRPr="004C771B">
        <w:t xml:space="preserve"> </w:t>
      </w:r>
      <w:r w:rsidR="00784BB3" w:rsidRPr="004C771B">
        <w:t>to engage the emotions and foster empathy</w:t>
      </w:r>
      <w:r w:rsidR="0098533D">
        <w:t>. F</w:t>
      </w:r>
      <w:r w:rsidR="00784BB3" w:rsidRPr="004C771B">
        <w:t xml:space="preserve">or example, </w:t>
      </w:r>
      <w:r w:rsidR="0098533D">
        <w:t>training should</w:t>
      </w:r>
      <w:r w:rsidR="00F459A5" w:rsidRPr="004C771B">
        <w:t xml:space="preserve"> challenge participants to think about </w:t>
      </w:r>
      <w:r w:rsidR="00DA0C85" w:rsidRPr="004C771B">
        <w:t>‘</w:t>
      </w:r>
      <w:r w:rsidR="00784BB3" w:rsidRPr="004C771B">
        <w:t>what would you do if you lost your job tomorrow?</w:t>
      </w:r>
      <w:r w:rsidR="00DA0C85" w:rsidRPr="004C771B">
        <w:t>’</w:t>
      </w:r>
      <w:r w:rsidR="00F459A5" w:rsidRPr="004C771B">
        <w:t xml:space="preserve"> </w:t>
      </w:r>
      <w:r w:rsidR="00784BB3" w:rsidRPr="004C771B">
        <w:t xml:space="preserve">The importance of language was also </w:t>
      </w:r>
      <w:r w:rsidR="00784BB3" w:rsidRPr="004C771B">
        <w:lastRenderedPageBreak/>
        <w:t>highlighted. One of the smaller debt collectors</w:t>
      </w:r>
      <w:r w:rsidR="0098533D">
        <w:t>,</w:t>
      </w:r>
      <w:r w:rsidR="00784BB3" w:rsidRPr="004C771B">
        <w:t xml:space="preserve"> for example</w:t>
      </w:r>
      <w:r w:rsidR="006D7743" w:rsidRPr="004C771B">
        <w:t>,</w:t>
      </w:r>
      <w:r w:rsidR="00784BB3" w:rsidRPr="004C771B">
        <w:t xml:space="preserve"> has </w:t>
      </w:r>
      <w:r w:rsidR="006344F4" w:rsidRPr="004C771B">
        <w:t xml:space="preserve">recently </w:t>
      </w:r>
      <w:r w:rsidR="00784BB3" w:rsidRPr="004C771B">
        <w:t>made what they</w:t>
      </w:r>
      <w:r w:rsidR="0098533D">
        <w:t xml:space="preserve"> view</w:t>
      </w:r>
      <w:r w:rsidR="00784BB3" w:rsidRPr="004C771B">
        <w:t xml:space="preserve"> as a </w:t>
      </w:r>
      <w:r w:rsidR="0098533D">
        <w:t>major</w:t>
      </w:r>
      <w:r w:rsidR="00784BB3" w:rsidRPr="004C771B">
        <w:t xml:space="preserve"> change</w:t>
      </w:r>
      <w:r w:rsidR="0098533D">
        <w:t xml:space="preserve"> –</w:t>
      </w:r>
      <w:r w:rsidR="00784BB3" w:rsidRPr="004C771B">
        <w:t xml:space="preserve"> moving from using </w:t>
      </w:r>
      <w:r w:rsidR="006D7743" w:rsidRPr="004C771B">
        <w:t xml:space="preserve">the word </w:t>
      </w:r>
      <w:r w:rsidR="00DA0C85" w:rsidRPr="004C771B">
        <w:t>‘</w:t>
      </w:r>
      <w:r w:rsidR="006D7743" w:rsidRPr="004C771B">
        <w:t>debtor</w:t>
      </w:r>
      <w:r w:rsidR="00DA0C85" w:rsidRPr="004C771B">
        <w:t>’</w:t>
      </w:r>
      <w:r w:rsidR="006D7743" w:rsidRPr="004C771B">
        <w:t xml:space="preserve"> to </w:t>
      </w:r>
      <w:r w:rsidR="00DA0C85" w:rsidRPr="004C771B">
        <w:t>‘</w:t>
      </w:r>
      <w:r w:rsidR="006D7743" w:rsidRPr="004C771B">
        <w:t>customer</w:t>
      </w:r>
      <w:r w:rsidR="00DA0C85" w:rsidRPr="004C771B">
        <w:t>’</w:t>
      </w:r>
      <w:r w:rsidR="006D7743" w:rsidRPr="004C771B">
        <w:t xml:space="preserve"> in their business.</w:t>
      </w:r>
    </w:p>
    <w:p w14:paraId="28D8DEA2" w14:textId="386ABA27" w:rsidR="004B5D90" w:rsidRPr="00913E6F" w:rsidRDefault="001A1DE7" w:rsidP="00913E6F">
      <w:pPr>
        <w:pStyle w:val="Heading2"/>
      </w:pPr>
      <w:bookmarkStart w:id="46" w:name="_Toc387144754"/>
      <w:r>
        <w:t>2.</w:t>
      </w:r>
      <w:r w:rsidR="00AC4656">
        <w:t>4.3</w:t>
      </w:r>
      <w:r w:rsidR="004B5D90">
        <w:tab/>
      </w:r>
      <w:r w:rsidR="001A3244">
        <w:t xml:space="preserve"> </w:t>
      </w:r>
      <w:r w:rsidR="00913E6F">
        <w:t>Good i</w:t>
      </w:r>
      <w:r w:rsidR="004B5D90">
        <w:t>deas</w:t>
      </w:r>
      <w:bookmarkEnd w:id="46"/>
      <w:r w:rsidR="004B5D90">
        <w:t xml:space="preserve"> </w:t>
      </w:r>
    </w:p>
    <w:tbl>
      <w:tblPr>
        <w:tblStyle w:val="TableGrid"/>
        <w:tblW w:w="5000" w:type="pct"/>
        <w:tblLook w:val="04A0" w:firstRow="1" w:lastRow="0" w:firstColumn="1" w:lastColumn="0" w:noHBand="0" w:noVBand="1"/>
        <w:tblDescription w:val="Training &#10;One EDR scheme brainstorms tricky cases with staff as a way to challenge assumptions and mind-sets. They ask staff ‘do you personally have a budget?’ ‘Do you think the client should give up smoking?’ One person’s ‘want’ can be another person’s ‘need’.&#10;Another organisation includes actual case studies and demographic data in its induction training. Participants look at income levels by geographic area and the level of welfare payments. They are required to prepare a budget based on living on a Centrelink benefit. Staff leave with various reinforcing materials, including flash ‘coaching cards’ with customer scenarios on the front and hardship solutions on the reverse. Staff are also given a booklet with statistics about the cost of rent and other cost of living statistics.&#10;Some organisations partner with community groups to provide hardship training. This provides a practical perspective.&#10;"/>
      </w:tblPr>
      <w:tblGrid>
        <w:gridCol w:w="9242"/>
      </w:tblGrid>
      <w:tr w:rsidR="004B5D90" w14:paraId="66C7BAFF" w14:textId="77777777" w:rsidTr="001A3244">
        <w:tc>
          <w:tcPr>
            <w:tcW w:w="5000" w:type="pct"/>
          </w:tcPr>
          <w:p w14:paraId="4A458956" w14:textId="73B28B06" w:rsidR="004B5D90" w:rsidRPr="001A3244" w:rsidRDefault="003B721B" w:rsidP="001A3244">
            <w:pPr>
              <w:pStyle w:val="Heading4"/>
              <w:outlineLvl w:val="3"/>
            </w:pPr>
            <w:r w:rsidRPr="004C771B">
              <w:t xml:space="preserve">Training </w:t>
            </w:r>
          </w:p>
          <w:p w14:paraId="21F33FCA" w14:textId="4A43CC5E" w:rsidR="002414B5" w:rsidRPr="004C771B" w:rsidRDefault="006D7743" w:rsidP="004B5D90">
            <w:pPr>
              <w:spacing w:after="200" w:line="276" w:lineRule="auto"/>
            </w:pPr>
            <w:r w:rsidRPr="004C771B">
              <w:t xml:space="preserve">One </w:t>
            </w:r>
            <w:proofErr w:type="spellStart"/>
            <w:r w:rsidRPr="004C771B">
              <w:t>EDR</w:t>
            </w:r>
            <w:proofErr w:type="spellEnd"/>
            <w:r w:rsidRPr="004C771B">
              <w:t xml:space="preserve"> scheme brainstorms tricky cases with staff as a way </w:t>
            </w:r>
            <w:r w:rsidR="0098533D" w:rsidRPr="004C771B">
              <w:t xml:space="preserve">to </w:t>
            </w:r>
            <w:r w:rsidRPr="004C771B">
              <w:t>challeng</w:t>
            </w:r>
            <w:r w:rsidR="0098533D" w:rsidRPr="004C771B">
              <w:t>e</w:t>
            </w:r>
            <w:r w:rsidRPr="004C771B">
              <w:t xml:space="preserve"> assumptions</w:t>
            </w:r>
            <w:r w:rsidR="0098533D" w:rsidRPr="004C771B">
              <w:t xml:space="preserve"> and </w:t>
            </w:r>
            <w:r w:rsidR="00823B15" w:rsidRPr="004C771B">
              <w:t>mind-sets</w:t>
            </w:r>
            <w:r w:rsidR="0098533D" w:rsidRPr="004C771B">
              <w:t>.</w:t>
            </w:r>
            <w:r w:rsidRPr="004C771B">
              <w:t xml:space="preserve"> </w:t>
            </w:r>
            <w:r w:rsidR="00A32221" w:rsidRPr="004C771B">
              <w:t>They ask staff</w:t>
            </w:r>
            <w:r w:rsidR="00EA25B0" w:rsidRPr="004C771B">
              <w:t xml:space="preserve"> </w:t>
            </w:r>
            <w:r w:rsidR="00DA0C85" w:rsidRPr="004C771B">
              <w:t>‘</w:t>
            </w:r>
            <w:r w:rsidR="00EA25B0" w:rsidRPr="004C771B">
              <w:t>d</w:t>
            </w:r>
            <w:r w:rsidRPr="004C771B">
              <w:t xml:space="preserve">o you </w:t>
            </w:r>
            <w:r w:rsidR="00A32221" w:rsidRPr="004C771B">
              <w:t xml:space="preserve">personally </w:t>
            </w:r>
            <w:r w:rsidRPr="004C771B">
              <w:t>have a budget?</w:t>
            </w:r>
            <w:r w:rsidR="00DA0C85" w:rsidRPr="004C771B">
              <w:t>’</w:t>
            </w:r>
            <w:r w:rsidRPr="004C771B">
              <w:t xml:space="preserve"> </w:t>
            </w:r>
            <w:r w:rsidR="00DA0C85" w:rsidRPr="004C771B">
              <w:t>‘</w:t>
            </w:r>
            <w:r w:rsidRPr="004C771B">
              <w:t>Do you think the client should give up smoking?</w:t>
            </w:r>
            <w:r w:rsidR="00DA0C85" w:rsidRPr="004C771B">
              <w:t>’</w:t>
            </w:r>
            <w:r w:rsidR="004C394D" w:rsidRPr="004C771B">
              <w:t xml:space="preserve"> One person’s </w:t>
            </w:r>
            <w:r w:rsidR="00A32221" w:rsidRPr="004C771B">
              <w:t>‘</w:t>
            </w:r>
            <w:r w:rsidR="004C394D" w:rsidRPr="004C771B">
              <w:t>want</w:t>
            </w:r>
            <w:r w:rsidR="00A32221" w:rsidRPr="004C771B">
              <w:t>’</w:t>
            </w:r>
            <w:r w:rsidR="004C394D" w:rsidRPr="004C771B">
              <w:t xml:space="preserve"> can be another person’s </w:t>
            </w:r>
            <w:r w:rsidR="00A32221" w:rsidRPr="004C771B">
              <w:t>‘</w:t>
            </w:r>
            <w:r w:rsidR="004C394D" w:rsidRPr="004C771B">
              <w:t>need</w:t>
            </w:r>
            <w:r w:rsidR="00A32221" w:rsidRPr="004C771B">
              <w:t>’</w:t>
            </w:r>
            <w:r w:rsidR="004C394D" w:rsidRPr="004C771B">
              <w:t>.</w:t>
            </w:r>
          </w:p>
          <w:p w14:paraId="1936174E" w14:textId="5277E837" w:rsidR="002D6C09" w:rsidRPr="004C771B" w:rsidRDefault="002414B5" w:rsidP="004B5D90">
            <w:pPr>
              <w:spacing w:after="200" w:line="276" w:lineRule="auto"/>
            </w:pPr>
            <w:r w:rsidRPr="004C771B">
              <w:t xml:space="preserve">Another organisation </w:t>
            </w:r>
            <w:r w:rsidR="001A25F2" w:rsidRPr="004C771B">
              <w:t>includes</w:t>
            </w:r>
            <w:r w:rsidRPr="004C771B">
              <w:t xml:space="preserve"> actual case studies </w:t>
            </w:r>
            <w:r w:rsidR="001A25F2" w:rsidRPr="004C771B">
              <w:t>and</w:t>
            </w:r>
            <w:r w:rsidRPr="004C771B">
              <w:t xml:space="preserve"> demographic data in its </w:t>
            </w:r>
            <w:r w:rsidR="000A3643" w:rsidRPr="004C771B">
              <w:t xml:space="preserve">induction </w:t>
            </w:r>
            <w:r w:rsidRPr="004C771B">
              <w:t>training.</w:t>
            </w:r>
            <w:r w:rsidR="000A3643" w:rsidRPr="004C771B">
              <w:t xml:space="preserve"> Participants look at income levels </w:t>
            </w:r>
            <w:r w:rsidR="001A25F2" w:rsidRPr="004C771B">
              <w:t>by geographic area</w:t>
            </w:r>
            <w:r w:rsidR="000A3643" w:rsidRPr="004C771B">
              <w:t xml:space="preserve"> and the level of welfare payments. They are required to prepare a budget based on living on a Centrelink benefit. </w:t>
            </w:r>
            <w:proofErr w:type="gramStart"/>
            <w:r w:rsidR="000A3643" w:rsidRPr="004C771B">
              <w:t>Staff leave</w:t>
            </w:r>
            <w:proofErr w:type="gramEnd"/>
            <w:r w:rsidR="000A3643" w:rsidRPr="004C771B">
              <w:t xml:space="preserve"> with various reinforc</w:t>
            </w:r>
            <w:r w:rsidR="00EA25B0" w:rsidRPr="004C771B">
              <w:t xml:space="preserve">ing materials, including flash </w:t>
            </w:r>
            <w:r w:rsidR="00DA0C85" w:rsidRPr="004C771B">
              <w:t>‘</w:t>
            </w:r>
            <w:r w:rsidR="00EA25B0" w:rsidRPr="004C771B">
              <w:t>coaching cards</w:t>
            </w:r>
            <w:r w:rsidR="00DA0C85" w:rsidRPr="004C771B">
              <w:t>’</w:t>
            </w:r>
            <w:r w:rsidR="000A3643" w:rsidRPr="004C771B">
              <w:t xml:space="preserve"> with customer scenarios on the front and hardship solutions on the reverse</w:t>
            </w:r>
            <w:r w:rsidR="0071612B" w:rsidRPr="004C771B">
              <w:t xml:space="preserve">. </w:t>
            </w:r>
            <w:proofErr w:type="gramStart"/>
            <w:r w:rsidR="0071612B" w:rsidRPr="004C771B">
              <w:t>Staff are</w:t>
            </w:r>
            <w:proofErr w:type="gramEnd"/>
            <w:r w:rsidR="0071612B" w:rsidRPr="004C771B">
              <w:t xml:space="preserve"> also given a booklet with statistics about the cost of rent and other cost of living statistics.</w:t>
            </w:r>
          </w:p>
          <w:p w14:paraId="74AE88EC" w14:textId="79F0893B" w:rsidR="004B5D90" w:rsidRPr="005D779A" w:rsidRDefault="002D6C09" w:rsidP="005D779A">
            <w:pPr>
              <w:spacing w:after="200" w:line="276" w:lineRule="auto"/>
            </w:pPr>
            <w:r w:rsidRPr="004C771B">
              <w:t>Some organisations partner with community groups to provide hardship training</w:t>
            </w:r>
            <w:r w:rsidR="0098533D" w:rsidRPr="004C771B">
              <w:t xml:space="preserve">. This </w:t>
            </w:r>
            <w:r w:rsidRPr="004C771B">
              <w:t>provid</w:t>
            </w:r>
            <w:r w:rsidR="0098533D" w:rsidRPr="004C771B">
              <w:t>es</w:t>
            </w:r>
            <w:r w:rsidR="005D779A">
              <w:t xml:space="preserve"> a practical perspective.</w:t>
            </w:r>
          </w:p>
        </w:tc>
      </w:tr>
    </w:tbl>
    <w:p w14:paraId="7FBBA224" w14:textId="77777777" w:rsidR="002414B5" w:rsidRDefault="002414B5" w:rsidP="00CC619A">
      <w:pPr>
        <w:rPr>
          <w:rFonts w:ascii="ArialMTPro-Light" w:hAnsi="ArialMTPro-Light" w:cs="ArialMTPro-Light"/>
          <w:color w:val="000000"/>
          <w:sz w:val="19"/>
          <w:szCs w:val="19"/>
        </w:rPr>
      </w:pPr>
    </w:p>
    <w:tbl>
      <w:tblPr>
        <w:tblStyle w:val="TableGrid"/>
        <w:tblW w:w="5000" w:type="pct"/>
        <w:tblLook w:val="04A0" w:firstRow="1" w:lastRow="0" w:firstColumn="1" w:lastColumn="0" w:noHBand="0" w:noVBand="1"/>
        <w:tblDescription w:val="Industry vision &#10;Industry bodies and industry leadership can make a difference. In 2012, the banking industry, led by bank CEOs and coordinated by the Australian Bankers Association, made a conscious decision to improve the industry’s reputation. The industry undertook a number of consultations and ultimately set up a high level stakeholder working group.  &#10;In relation to financial hardship, this has led to a number of initiatives, some of which have already been referred to in this research. They include: an industry guideline on hardship, a ‘doing it tough’ website with information about how to contact your bank if you’re experiencing payment problems  and financial hardship links on the home pages of all bank websites. The industry has also worked to promote the availability of basic bank accounts.&#10;The telecommunication industry is also taking an industry-wide approach. Facilitated by the TIO, the industry is in the process of developing a document called ‘Financial Hardship: Principles and Practices for Telecommunications Providers’. The purpose of the document is to enable customers experiencing financial hardship to stay connected to essential telecommunications services, while assisting them to meet their financial obligations. The framework expands and goes beyond what is required in the Telecommunications Protection Code and is a good example of self-regulation.&#10;"/>
      </w:tblPr>
      <w:tblGrid>
        <w:gridCol w:w="9242"/>
      </w:tblGrid>
      <w:tr w:rsidR="00D70D9C" w14:paraId="245339A5" w14:textId="77777777" w:rsidTr="0061502A">
        <w:tc>
          <w:tcPr>
            <w:tcW w:w="5000" w:type="pct"/>
          </w:tcPr>
          <w:p w14:paraId="2945661F" w14:textId="62392219" w:rsidR="00D70D9C" w:rsidRPr="00476BB3" w:rsidRDefault="00913E6F" w:rsidP="0061502A">
            <w:pPr>
              <w:pStyle w:val="Heading4"/>
              <w:outlineLvl w:val="3"/>
            </w:pPr>
            <w:r>
              <w:t>Industry v</w:t>
            </w:r>
            <w:r w:rsidR="00D70D9C" w:rsidRPr="004C771B">
              <w:t xml:space="preserve">ision </w:t>
            </w:r>
          </w:p>
          <w:p w14:paraId="666B85E8" w14:textId="77777777" w:rsidR="00D70D9C" w:rsidRPr="004C771B" w:rsidRDefault="00D70D9C" w:rsidP="0061502A">
            <w:pPr>
              <w:spacing w:after="200" w:line="276" w:lineRule="auto"/>
              <w:rPr>
                <w:sz w:val="24"/>
                <w:szCs w:val="24"/>
              </w:rPr>
            </w:pPr>
            <w:r w:rsidRPr="004C771B">
              <w:t xml:space="preserve">Industry bodies and industry leadership can make a difference. In 2012, the banking industry, led by bank </w:t>
            </w:r>
            <w:proofErr w:type="spellStart"/>
            <w:r w:rsidRPr="004C771B">
              <w:t>CEOs</w:t>
            </w:r>
            <w:proofErr w:type="spellEnd"/>
            <w:r w:rsidRPr="004C771B">
              <w:t xml:space="preserve"> and coordinated by the Australian Bankers Association, made a conscious decision to improve the industry’s reputation. The industry undertook a number of consultations and ultimately set up a high level stakeholder working group.  </w:t>
            </w:r>
          </w:p>
          <w:p w14:paraId="45FCFC88" w14:textId="77777777" w:rsidR="00D70D9C" w:rsidRPr="004C771B" w:rsidRDefault="00D70D9C" w:rsidP="0061502A">
            <w:pPr>
              <w:spacing w:after="200" w:line="276" w:lineRule="auto"/>
            </w:pPr>
            <w:r w:rsidRPr="004C771B">
              <w:t>In relation to financial hardship, this has led to a number of initiatives, some of which have already been referred to in this research. They include: an industry guideline on hardship, a ‘doing it tough’ website with information about how to contact your bank if you’re experiencing payment problems</w:t>
            </w:r>
            <w:r w:rsidRPr="004C771B">
              <w:rPr>
                <w:rStyle w:val="FootnoteReference"/>
              </w:rPr>
              <w:footnoteReference w:id="30"/>
            </w:r>
            <w:r w:rsidRPr="004C771B">
              <w:t xml:space="preserve"> and financial hardship links on the home pages of all bank websites. The industry has also worked to promote the availability of basic bank accounts.</w:t>
            </w:r>
          </w:p>
          <w:p w14:paraId="1570D2CA" w14:textId="77777777" w:rsidR="00D70D9C" w:rsidRPr="005D779A" w:rsidRDefault="00D70D9C" w:rsidP="0061502A">
            <w:pPr>
              <w:spacing w:after="200" w:line="276" w:lineRule="auto"/>
            </w:pPr>
            <w:r w:rsidRPr="004C771B">
              <w:t xml:space="preserve">The telecommunication industry is also taking an industry-wide approach. Facilitated by the </w:t>
            </w:r>
            <w:proofErr w:type="spellStart"/>
            <w:r w:rsidRPr="004C771B">
              <w:t>TIO</w:t>
            </w:r>
            <w:proofErr w:type="spellEnd"/>
            <w:r w:rsidRPr="004C771B">
              <w:t>, the industry is in the process of developing a document called ‘Financial Hardship: Principles and Practices for Telecommunications Providers’. The purpose of the document is to enable customers experiencing financial hardship to stay connected to essential telecommunications services, while assisting them to meet their financial obligations. The framework expands and goes beyond what is required in the Telecommunications Protection Code and is a good example of self-regulation.</w:t>
            </w:r>
          </w:p>
        </w:tc>
      </w:tr>
    </w:tbl>
    <w:p w14:paraId="2D6287FE" w14:textId="77777777" w:rsidR="00D70D9C" w:rsidRDefault="00D70D9C" w:rsidP="00CC619A">
      <w:pPr>
        <w:rPr>
          <w:rFonts w:ascii="ArialMTPro-Light" w:hAnsi="ArialMTPro-Light" w:cs="ArialMTPro-Light"/>
          <w:color w:val="000000"/>
          <w:sz w:val="19"/>
          <w:szCs w:val="19"/>
        </w:rPr>
      </w:pPr>
    </w:p>
    <w:p w14:paraId="27FF9644" w14:textId="77777777" w:rsidR="00D70D9C" w:rsidRDefault="00D70D9C" w:rsidP="00CC619A">
      <w:pPr>
        <w:rPr>
          <w:rFonts w:ascii="ArialMTPro-Light" w:hAnsi="ArialMTPro-Light" w:cs="ArialMTPro-Light"/>
          <w:color w:val="000000"/>
          <w:sz w:val="19"/>
          <w:szCs w:val="19"/>
        </w:rPr>
      </w:pPr>
    </w:p>
    <w:tbl>
      <w:tblPr>
        <w:tblStyle w:val="TableGrid"/>
        <w:tblW w:w="5026" w:type="pct"/>
        <w:tblLook w:val="04A0" w:firstRow="1" w:lastRow="0" w:firstColumn="1" w:lastColumn="0" w:noHBand="0" w:noVBand="1"/>
        <w:tblDescription w:val="A top down approach: CEO driving company-wide attitudes&#10;At one bank, the CEO chairs a dedicated hardship committee, which meets quarterly. At these meetings performance reports are discussed. The involvement of the CEO brings hardship ‘alive within the organisation’.&#10;&#10;Similarly, in one water company the CEO sits on a hardship steering committee that meets weekly and includes senior management from all segments of the business. The CEO writes a ‘State of the Nation’ internal report that is distributed through the company. The CEO also regularly refers to the hardship program in speeches and day-to-day communication. This conveys the message that looking after all customers is central to the business culture.&#10;"/>
      </w:tblPr>
      <w:tblGrid>
        <w:gridCol w:w="9290"/>
      </w:tblGrid>
      <w:tr w:rsidR="00933030" w14:paraId="292D46B5" w14:textId="77777777" w:rsidTr="0067025E">
        <w:trPr>
          <w:trHeight w:val="3156"/>
        </w:trPr>
        <w:tc>
          <w:tcPr>
            <w:tcW w:w="5000" w:type="pct"/>
          </w:tcPr>
          <w:p w14:paraId="4F0E114C" w14:textId="51946C3B" w:rsidR="00933030" w:rsidRPr="00933030" w:rsidRDefault="00933030" w:rsidP="00933030">
            <w:pPr>
              <w:pStyle w:val="Heading4"/>
              <w:outlineLvl w:val="3"/>
            </w:pPr>
            <w:r w:rsidRPr="00933030">
              <w:lastRenderedPageBreak/>
              <w:t xml:space="preserve">A top down approach: </w:t>
            </w:r>
            <w:proofErr w:type="spellStart"/>
            <w:r w:rsidRPr="00933030">
              <w:t>CEO</w:t>
            </w:r>
            <w:proofErr w:type="spellEnd"/>
            <w:r w:rsidRPr="00933030">
              <w:t xml:space="preserve"> driving company-wide attitudes</w:t>
            </w:r>
          </w:p>
          <w:p w14:paraId="735418E3" w14:textId="77777777" w:rsidR="00933030" w:rsidRPr="00933030" w:rsidRDefault="00933030" w:rsidP="00933030">
            <w:r w:rsidRPr="00933030">
              <w:t xml:space="preserve">At one bank, the </w:t>
            </w:r>
            <w:proofErr w:type="spellStart"/>
            <w:r w:rsidRPr="00933030">
              <w:t>CEO</w:t>
            </w:r>
            <w:proofErr w:type="spellEnd"/>
            <w:r w:rsidRPr="00933030">
              <w:t xml:space="preserve"> chairs a dedicated hardship committee, which meets quarterly. At these meetings performance reports are discussed. The involvement of the </w:t>
            </w:r>
            <w:proofErr w:type="spellStart"/>
            <w:r w:rsidRPr="00933030">
              <w:t>CEO</w:t>
            </w:r>
            <w:proofErr w:type="spellEnd"/>
            <w:r w:rsidRPr="00933030">
              <w:t xml:space="preserve"> brings hardship ‘alive within the organisation’.</w:t>
            </w:r>
          </w:p>
          <w:p w14:paraId="7C4BA716" w14:textId="77777777" w:rsidR="00933030" w:rsidRPr="00933030" w:rsidRDefault="00933030" w:rsidP="00933030"/>
          <w:p w14:paraId="2DDA4246" w14:textId="40B36C90" w:rsidR="0067025E" w:rsidRPr="0067025E" w:rsidRDefault="00933030" w:rsidP="00933030">
            <w:pPr>
              <w:rPr>
                <w:color w:val="000000" w:themeColor="text1"/>
                <w:lang w:val="en-US"/>
              </w:rPr>
            </w:pPr>
            <w:r w:rsidRPr="00933030">
              <w:rPr>
                <w:color w:val="000000" w:themeColor="text1"/>
                <w:lang w:val="en-US"/>
              </w:rPr>
              <w:t xml:space="preserve">Similarly, in one water company the CEO sits on a hardship steering committee that meets weekly and includes senior management from all segments of the business. The CEO writes a ‘State of the Nation’ internal report that is distributed through the company. The CEO also regularly refers to the hardship program in speeches and day-to-day communication. This conveys the message that looking after </w:t>
            </w:r>
            <w:r w:rsidRPr="00933030">
              <w:rPr>
                <w:i/>
                <w:color w:val="000000" w:themeColor="text1"/>
                <w:lang w:val="en-US"/>
              </w:rPr>
              <w:t>all</w:t>
            </w:r>
            <w:r w:rsidRPr="00933030">
              <w:rPr>
                <w:color w:val="000000" w:themeColor="text1"/>
                <w:lang w:val="en-US"/>
              </w:rPr>
              <w:t xml:space="preserve"> customers is central to the business culture.</w:t>
            </w:r>
          </w:p>
        </w:tc>
      </w:tr>
    </w:tbl>
    <w:p w14:paraId="6A718B74" w14:textId="1323BE01" w:rsidR="00777295" w:rsidRDefault="001A1DE7" w:rsidP="007E43BF">
      <w:pPr>
        <w:pStyle w:val="Heading2"/>
      </w:pPr>
      <w:bookmarkStart w:id="47" w:name="_Toc387144755"/>
      <w:r>
        <w:t>2.</w:t>
      </w:r>
      <w:r w:rsidR="00777295">
        <w:t>3.4</w:t>
      </w:r>
      <w:r w:rsidR="00777295">
        <w:tab/>
      </w:r>
      <w:r w:rsidR="0067025E">
        <w:t xml:space="preserve"> </w:t>
      </w:r>
      <w:r w:rsidR="00913E6F">
        <w:t>Summary and i</w:t>
      </w:r>
      <w:r w:rsidR="00777295">
        <w:t>mplications</w:t>
      </w:r>
      <w:bookmarkEnd w:id="47"/>
    </w:p>
    <w:p w14:paraId="20FFDA3A" w14:textId="1149943F" w:rsidR="00F459A5" w:rsidRPr="004C771B" w:rsidRDefault="006248EA" w:rsidP="004C771B">
      <w:r>
        <w:t>I</w:t>
      </w:r>
      <w:r w:rsidR="009F441C" w:rsidRPr="004C771B">
        <w:t>nterviewees</w:t>
      </w:r>
      <w:r w:rsidR="00F459A5" w:rsidRPr="004C771B">
        <w:t xml:space="preserve"> identif</w:t>
      </w:r>
      <w:r>
        <w:t>ied</w:t>
      </w:r>
      <w:r w:rsidR="00F459A5" w:rsidRPr="004C771B">
        <w:t xml:space="preserve"> the importance of </w:t>
      </w:r>
      <w:r>
        <w:t xml:space="preserve">positive </w:t>
      </w:r>
      <w:r w:rsidR="00F459A5" w:rsidRPr="004C771B">
        <w:t>culture</w:t>
      </w:r>
      <w:r>
        <w:t>s</w:t>
      </w:r>
      <w:r w:rsidR="00F459A5" w:rsidRPr="004C771B">
        <w:t xml:space="preserve"> and attitudes</w:t>
      </w:r>
      <w:r>
        <w:t>. However</w:t>
      </w:r>
      <w:r w:rsidR="00F459A5" w:rsidRPr="004C771B">
        <w:t xml:space="preserve">, in practice, based on the feedback from financial counsellors and the telco focus groups, this does not </w:t>
      </w:r>
      <w:r w:rsidR="009F441C" w:rsidRPr="004C771B">
        <w:t>always</w:t>
      </w:r>
      <w:r w:rsidR="00F459A5" w:rsidRPr="004C771B">
        <w:t xml:space="preserve"> translate into what consumers actually experience. </w:t>
      </w:r>
    </w:p>
    <w:p w14:paraId="1263AAEE" w14:textId="77777777" w:rsidR="00F459A5" w:rsidRDefault="00F459A5" w:rsidP="00F459A5">
      <w:pPr>
        <w:spacing w:after="0" w:line="240" w:lineRule="auto"/>
        <w:ind w:left="851"/>
      </w:pPr>
    </w:p>
    <w:p w14:paraId="14A1275C" w14:textId="20024596" w:rsidR="006809E5" w:rsidRPr="008F531C" w:rsidRDefault="00874F16" w:rsidP="00231A16">
      <w:pPr>
        <w:pStyle w:val="Heading1"/>
        <w:numPr>
          <w:ilvl w:val="1"/>
          <w:numId w:val="22"/>
        </w:numPr>
        <w:rPr>
          <w:lang w:val="en-US" w:eastAsia="ja-JP"/>
        </w:rPr>
      </w:pPr>
      <w:r>
        <w:rPr>
          <w:lang w:val="en-US" w:eastAsia="ja-JP"/>
        </w:rPr>
        <w:lastRenderedPageBreak/>
        <w:t xml:space="preserve"> </w:t>
      </w:r>
      <w:bookmarkStart w:id="48" w:name="_Toc387144756"/>
      <w:r w:rsidR="005705E8">
        <w:rPr>
          <w:lang w:val="en-US" w:eastAsia="ja-JP"/>
        </w:rPr>
        <w:t xml:space="preserve">The </w:t>
      </w:r>
      <w:r w:rsidR="003C0466">
        <w:rPr>
          <w:lang w:val="en-US" w:eastAsia="ja-JP"/>
        </w:rPr>
        <w:t>Business c</w:t>
      </w:r>
      <w:r w:rsidR="006809E5" w:rsidRPr="008F531C">
        <w:rPr>
          <w:lang w:val="en-US" w:eastAsia="ja-JP"/>
        </w:rPr>
        <w:t>ase</w:t>
      </w:r>
      <w:bookmarkEnd w:id="48"/>
    </w:p>
    <w:p w14:paraId="056F9F0F" w14:textId="75470CF0" w:rsidR="008B7AF8" w:rsidRDefault="00874F16" w:rsidP="00874F16">
      <w:pPr>
        <w:pStyle w:val="Heading2"/>
        <w:numPr>
          <w:ilvl w:val="2"/>
          <w:numId w:val="22"/>
        </w:numPr>
      </w:pPr>
      <w:r>
        <w:t xml:space="preserve"> </w:t>
      </w:r>
      <w:bookmarkStart w:id="49" w:name="_Toc387144757"/>
      <w:r w:rsidR="008B7AF8">
        <w:t>Why this topic?</w:t>
      </w:r>
      <w:bookmarkEnd w:id="49"/>
      <w:r w:rsidR="008B7AF8">
        <w:t xml:space="preserve"> </w:t>
      </w:r>
    </w:p>
    <w:p w14:paraId="2635C37D" w14:textId="77777777" w:rsidR="008B7AF8" w:rsidRDefault="008B7AF8" w:rsidP="008B7AF8">
      <w:pPr>
        <w:spacing w:after="0" w:line="240" w:lineRule="auto"/>
        <w:ind w:left="993"/>
      </w:pPr>
    </w:p>
    <w:p w14:paraId="51EC3B2A" w14:textId="5EF9D75A" w:rsidR="00DA1559" w:rsidRPr="004C771B" w:rsidRDefault="00A0582C" w:rsidP="004C771B">
      <w:r w:rsidRPr="004C771B">
        <w:t xml:space="preserve">All organisations juggle priorities. A business case </w:t>
      </w:r>
      <w:r w:rsidR="00706BE3" w:rsidRPr="004C771B">
        <w:t>helps an organisation to choose between these priorities</w:t>
      </w:r>
      <w:r w:rsidR="006248EA">
        <w:t xml:space="preserve"> by</w:t>
      </w:r>
      <w:r w:rsidR="00706BE3" w:rsidRPr="004C771B">
        <w:t xml:space="preserve"> outlining </w:t>
      </w:r>
      <w:r w:rsidRPr="004C771B">
        <w:t>the rationale for investing in one particular initiative over another</w:t>
      </w:r>
      <w:r w:rsidR="006248EA">
        <w:t>. It also</w:t>
      </w:r>
      <w:r w:rsidR="00194C17" w:rsidRPr="004C771B">
        <w:t xml:space="preserve"> sets benchmarks for measuring performance. </w:t>
      </w:r>
      <w:r w:rsidR="006D019A" w:rsidRPr="004C771B">
        <w:t xml:space="preserve">While a business case usually includes a financial analysis – the so-called </w:t>
      </w:r>
      <w:r w:rsidR="00DA0C85" w:rsidRPr="004C771B">
        <w:t>‘</w:t>
      </w:r>
      <w:r w:rsidR="006D019A" w:rsidRPr="004C771B">
        <w:t>bottom line</w:t>
      </w:r>
      <w:r w:rsidR="00DA0C85" w:rsidRPr="004C771B">
        <w:t>’</w:t>
      </w:r>
      <w:r w:rsidR="006248EA">
        <w:t xml:space="preserve"> –</w:t>
      </w:r>
      <w:r w:rsidR="00194C17" w:rsidRPr="004C771B">
        <w:t xml:space="preserve"> or a return on investment</w:t>
      </w:r>
      <w:r w:rsidR="006248EA">
        <w:t>,</w:t>
      </w:r>
      <w:r w:rsidR="006D019A" w:rsidRPr="004C771B">
        <w:t xml:space="preserve"> it may also </w:t>
      </w:r>
      <w:r w:rsidR="00706BE3" w:rsidRPr="004C771B">
        <w:t>describe</w:t>
      </w:r>
      <w:r w:rsidR="006D019A" w:rsidRPr="004C771B">
        <w:t xml:space="preserve"> </w:t>
      </w:r>
      <w:r w:rsidR="0049386D" w:rsidRPr="004C771B">
        <w:t xml:space="preserve">and attempt to measure </w:t>
      </w:r>
      <w:r w:rsidR="006D019A" w:rsidRPr="004C771B">
        <w:t>other benefits (or costs) such as the impact on reputation or reduced likelihood of regulatory intervention</w:t>
      </w:r>
      <w:r w:rsidR="004E2EF1" w:rsidRPr="004C771B">
        <w:t xml:space="preserve"> from the proposed initiative</w:t>
      </w:r>
      <w:r w:rsidR="006D019A" w:rsidRPr="004C771B">
        <w:t>.</w:t>
      </w:r>
      <w:r w:rsidRPr="004C771B">
        <w:t xml:space="preserve"> </w:t>
      </w:r>
    </w:p>
    <w:p w14:paraId="0F9F8F6A" w14:textId="41C83A70" w:rsidR="00194C17" w:rsidRDefault="00DA1559" w:rsidP="00874F16">
      <w:r w:rsidRPr="004C771B">
        <w:t xml:space="preserve">Hardship functions in industry have generally been </w:t>
      </w:r>
      <w:r w:rsidR="006248EA">
        <w:t>viewed</w:t>
      </w:r>
      <w:r w:rsidR="006248EA" w:rsidRPr="004C771B">
        <w:t xml:space="preserve"> </w:t>
      </w:r>
      <w:r w:rsidRPr="004C771B">
        <w:t xml:space="preserve">as </w:t>
      </w:r>
      <w:r w:rsidR="00DA0C85" w:rsidRPr="004C771B">
        <w:t>‘</w:t>
      </w:r>
      <w:r w:rsidRPr="004C771B">
        <w:t>cost centres</w:t>
      </w:r>
      <w:r w:rsidR="00DA0C85" w:rsidRPr="004C771B">
        <w:t>’</w:t>
      </w:r>
      <w:r w:rsidR="0049386D" w:rsidRPr="004C771B">
        <w:t>, rather than as having a positive impact on a business</w:t>
      </w:r>
      <w:r w:rsidR="00F53934">
        <w:t>,</w:t>
      </w:r>
      <w:r w:rsidR="0049386D" w:rsidRPr="004C771B">
        <w:t xml:space="preserve"> either financially or in </w:t>
      </w:r>
      <w:r w:rsidR="00F53934">
        <w:t>alternate</w:t>
      </w:r>
      <w:r w:rsidR="00F53934" w:rsidRPr="004C771B">
        <w:t xml:space="preserve"> </w:t>
      </w:r>
      <w:r w:rsidR="0049386D" w:rsidRPr="004C771B">
        <w:t>ways. It is important</w:t>
      </w:r>
      <w:r w:rsidR="00F53934">
        <w:t>,</w:t>
      </w:r>
      <w:r w:rsidR="0049386D" w:rsidRPr="004C771B">
        <w:t xml:space="preserve"> therefore</w:t>
      </w:r>
      <w:r w:rsidR="00F53934">
        <w:t>,</w:t>
      </w:r>
      <w:r w:rsidR="0049386D" w:rsidRPr="004C771B">
        <w:t xml:space="preserve"> to research and assess </w:t>
      </w:r>
      <w:r w:rsidR="00F53934">
        <w:t>if</w:t>
      </w:r>
      <w:r w:rsidR="00F53934" w:rsidRPr="004C771B">
        <w:t xml:space="preserve"> </w:t>
      </w:r>
      <w:r w:rsidR="0049386D" w:rsidRPr="004C771B">
        <w:t>there is a business case for implementing an effective hardship function.</w:t>
      </w:r>
    </w:p>
    <w:p w14:paraId="76E00272" w14:textId="7BE3B86A" w:rsidR="0078797D" w:rsidRDefault="00F1544D" w:rsidP="00F1544D">
      <w:pPr>
        <w:pStyle w:val="Heading2"/>
        <w:numPr>
          <w:ilvl w:val="2"/>
          <w:numId w:val="22"/>
        </w:numPr>
      </w:pPr>
      <w:r>
        <w:t xml:space="preserve"> </w:t>
      </w:r>
      <w:bookmarkStart w:id="50" w:name="_Toc387144758"/>
      <w:r w:rsidR="003C0466">
        <w:t>Research f</w:t>
      </w:r>
      <w:r w:rsidR="0078797D">
        <w:t>indings</w:t>
      </w:r>
      <w:bookmarkEnd w:id="50"/>
    </w:p>
    <w:p w14:paraId="20218271" w14:textId="30820BF9" w:rsidR="004E2EF1" w:rsidRPr="004C771B" w:rsidRDefault="004E2EF1" w:rsidP="00F1544D">
      <w:pPr>
        <w:pStyle w:val="Heading3"/>
      </w:pPr>
      <w:r w:rsidRPr="004C771B">
        <w:t>Develop</w:t>
      </w:r>
      <w:r w:rsidR="00F53934" w:rsidRPr="004C771B">
        <w:t xml:space="preserve">ment of </w:t>
      </w:r>
      <w:r w:rsidRPr="004C771B">
        <w:t>a business case was rare</w:t>
      </w:r>
    </w:p>
    <w:p w14:paraId="5447AA07" w14:textId="3FF5F148" w:rsidR="002545CA" w:rsidRDefault="00736AFD" w:rsidP="002F1CCB">
      <w:r w:rsidRPr="004C771B">
        <w:t xml:space="preserve">The research unearthed </w:t>
      </w:r>
      <w:r w:rsidR="008437FC" w:rsidRPr="004C771B">
        <w:t>only one example of a company</w:t>
      </w:r>
      <w:r w:rsidRPr="004C771B">
        <w:t xml:space="preserve"> that had </w:t>
      </w:r>
      <w:r w:rsidR="00F53934">
        <w:t>generated</w:t>
      </w:r>
      <w:r w:rsidR="00F53934" w:rsidRPr="004C771B">
        <w:t xml:space="preserve"> </w:t>
      </w:r>
      <w:r w:rsidRPr="004C771B">
        <w:t>a</w:t>
      </w:r>
      <w:r w:rsidR="00CB17C5" w:rsidRPr="004C771B">
        <w:t xml:space="preserve"> comprehensive</w:t>
      </w:r>
      <w:r w:rsidRPr="004C771B">
        <w:t xml:space="preserve"> business case</w:t>
      </w:r>
      <w:r w:rsidR="00F53934" w:rsidRPr="00F53934">
        <w:t xml:space="preserve"> that</w:t>
      </w:r>
      <w:r w:rsidR="00CB17C5" w:rsidRPr="004C771B">
        <w:t xml:space="preserve"> </w:t>
      </w:r>
      <w:r w:rsidR="008437FC" w:rsidRPr="004C771B">
        <w:t>assess</w:t>
      </w:r>
      <w:r w:rsidR="00F53934">
        <w:t>ed</w:t>
      </w:r>
      <w:r w:rsidRPr="004C771B">
        <w:t xml:space="preserve"> the impact of </w:t>
      </w:r>
      <w:r w:rsidR="008437FC" w:rsidRPr="004C771B">
        <w:t>their</w:t>
      </w:r>
      <w:r w:rsidRPr="004C771B">
        <w:t xml:space="preserve"> hardship policies</w:t>
      </w:r>
      <w:r w:rsidR="00F53934">
        <w:t xml:space="preserve"> and</w:t>
      </w:r>
      <w:r w:rsidR="00B5701F">
        <w:t xml:space="preserve"> </w:t>
      </w:r>
      <w:r w:rsidRPr="004C771B">
        <w:t xml:space="preserve">function. </w:t>
      </w:r>
      <w:r w:rsidR="008437FC" w:rsidRPr="004C771B">
        <w:t>This</w:t>
      </w:r>
      <w:r w:rsidR="001E1E5F" w:rsidRPr="004C771B">
        <w:t xml:space="preserve"> business case</w:t>
      </w:r>
      <w:r w:rsidR="008437FC" w:rsidRPr="004C771B">
        <w:t xml:space="preserve"> was</w:t>
      </w:r>
      <w:r w:rsidR="001E1E5F" w:rsidRPr="004C771B">
        <w:t xml:space="preserve"> </w:t>
      </w:r>
      <w:r w:rsidR="00743EA5">
        <w:t xml:space="preserve">compiled </w:t>
      </w:r>
      <w:r w:rsidR="0005179D" w:rsidRPr="004C771B">
        <w:t>by the Boston Consulting Group</w:t>
      </w:r>
      <w:r w:rsidR="001E1E5F" w:rsidRPr="004C771B">
        <w:t xml:space="preserve"> for </w:t>
      </w:r>
      <w:proofErr w:type="spellStart"/>
      <w:r w:rsidRPr="004C771B">
        <w:t>Yarra</w:t>
      </w:r>
      <w:proofErr w:type="spellEnd"/>
      <w:r w:rsidRPr="004C771B">
        <w:t xml:space="preserve"> Valley Water</w:t>
      </w:r>
      <w:r w:rsidR="00AC6283" w:rsidRPr="004C771B">
        <w:t xml:space="preserve"> in 2006</w:t>
      </w:r>
      <w:r w:rsidR="001E1E5F" w:rsidRPr="004C771B">
        <w:t xml:space="preserve">. </w:t>
      </w:r>
      <w:r w:rsidR="0005179D" w:rsidRPr="004C771B">
        <w:t xml:space="preserve">This was </w:t>
      </w:r>
      <w:r w:rsidR="00F53934">
        <w:t xml:space="preserve">a result </w:t>
      </w:r>
      <w:r w:rsidR="0005179D" w:rsidRPr="004C771B">
        <w:t xml:space="preserve">of a partnership between </w:t>
      </w:r>
      <w:proofErr w:type="spellStart"/>
      <w:r w:rsidR="0005179D" w:rsidRPr="004C771B">
        <w:t>Yarra</w:t>
      </w:r>
      <w:proofErr w:type="spellEnd"/>
      <w:r w:rsidR="0005179D" w:rsidRPr="004C771B">
        <w:t xml:space="preserve"> Valley Water and </w:t>
      </w:r>
      <w:proofErr w:type="spellStart"/>
      <w:r w:rsidR="0005179D" w:rsidRPr="004C771B">
        <w:t>Kildonan</w:t>
      </w:r>
      <w:proofErr w:type="spellEnd"/>
      <w:r w:rsidR="0005179D" w:rsidRPr="004C771B">
        <w:t xml:space="preserve"> Child and Family Services in 2000</w:t>
      </w:r>
      <w:r w:rsidR="00F53934">
        <w:t xml:space="preserve"> that aimed</w:t>
      </w:r>
      <w:r w:rsidR="0005179D" w:rsidRPr="004C771B">
        <w:t xml:space="preserve"> to develop an innovative, early intervention and prevention program </w:t>
      </w:r>
      <w:r w:rsidR="00F53934">
        <w:t xml:space="preserve">in order </w:t>
      </w:r>
      <w:r w:rsidR="0005179D" w:rsidRPr="004C771B">
        <w:t>to assist customers experiencing financial difficulty. The</w:t>
      </w:r>
      <w:r w:rsidRPr="004C771B">
        <w:t xml:space="preserve"> </w:t>
      </w:r>
      <w:r w:rsidR="002545CA" w:rsidRPr="004C771B">
        <w:t xml:space="preserve">business case </w:t>
      </w:r>
      <w:r w:rsidR="00F53934">
        <w:t>reported</w:t>
      </w:r>
      <w:r w:rsidR="00F53934" w:rsidRPr="004C771B">
        <w:t xml:space="preserve"> </w:t>
      </w:r>
      <w:r w:rsidR="004E2EF1" w:rsidRPr="004C771B">
        <w:t xml:space="preserve">an overall </w:t>
      </w:r>
      <w:r w:rsidR="00C721A7" w:rsidRPr="004C771B">
        <w:t>net present v</w:t>
      </w:r>
      <w:r w:rsidR="002545CA" w:rsidRPr="004C771B">
        <w:t xml:space="preserve">alue </w:t>
      </w:r>
      <w:r w:rsidR="004E2EF1" w:rsidRPr="004C771B">
        <w:t xml:space="preserve">with </w:t>
      </w:r>
      <w:r w:rsidR="00C721A7" w:rsidRPr="004C771B">
        <w:t xml:space="preserve">positive </w:t>
      </w:r>
      <w:r w:rsidR="002545CA" w:rsidRPr="004C771B">
        <w:t>cash</w:t>
      </w:r>
      <w:r w:rsidR="004E2EF1" w:rsidRPr="004C771B">
        <w:t xml:space="preserve"> </w:t>
      </w:r>
      <w:r w:rsidR="002545CA" w:rsidRPr="004C771B">
        <w:t xml:space="preserve">flow </w:t>
      </w:r>
      <w:r w:rsidR="004E2EF1" w:rsidRPr="004C771B">
        <w:t xml:space="preserve">from year two. The </w:t>
      </w:r>
      <w:r w:rsidR="00F53934">
        <w:t>table</w:t>
      </w:r>
      <w:r w:rsidR="00F53934" w:rsidRPr="004C771B">
        <w:t xml:space="preserve"> </w:t>
      </w:r>
      <w:r w:rsidR="004E2EF1" w:rsidRPr="004C771B">
        <w:t xml:space="preserve">below </w:t>
      </w:r>
      <w:r w:rsidR="00F53934">
        <w:t xml:space="preserve">summarises </w:t>
      </w:r>
      <w:r w:rsidR="0002475F" w:rsidRPr="004C771B">
        <w:t>s</w:t>
      </w:r>
      <w:r w:rsidR="00F53934">
        <w:t>everal</w:t>
      </w:r>
      <w:r w:rsidR="0002475F" w:rsidRPr="004C771B">
        <w:t xml:space="preserve"> elements from the</w:t>
      </w:r>
      <w:r w:rsidR="004E2EF1" w:rsidRPr="004C771B">
        <w:t xml:space="preserve"> </w:t>
      </w:r>
      <w:proofErr w:type="spellStart"/>
      <w:r w:rsidR="004E2EF1" w:rsidRPr="004C771B">
        <w:t>BCG</w:t>
      </w:r>
      <w:proofErr w:type="spellEnd"/>
      <w:r w:rsidR="004E2EF1" w:rsidRPr="004C771B">
        <w:t xml:space="preserve"> review.</w:t>
      </w:r>
    </w:p>
    <w:tbl>
      <w:tblPr>
        <w:tblStyle w:val="TableGrid"/>
        <w:tblW w:w="5000" w:type="pct"/>
        <w:tblLook w:val="04A0" w:firstRow="1" w:lastRow="0" w:firstColumn="1" w:lastColumn="0" w:noHBand="0" w:noVBand="1"/>
        <w:tblDescription w:val="From To&#10;Contributing to families' financial difficulties&#10;• Helping trigger downward debt spiral&#10;• Low self-esteem, depression Helping restore financial stability&#10;• Graduation to normal payment patterns&#10;• Ability to take financial control beyond water bills&#10;Financial loss to business&#10;• Wasted collections effort &#10;• Bad debt write-offs Financially successful program&#10;• NPV positive&#10;• Cash flow positive in Year 2&#10;Public relations liability&#10;• Agency animosity Public relations asset&#10;• Regulator recommendation&#10;• Prime Minister’s Award&#10;"/>
      </w:tblPr>
      <w:tblGrid>
        <w:gridCol w:w="4590"/>
        <w:gridCol w:w="4652"/>
      </w:tblGrid>
      <w:tr w:rsidR="002545CA" w14:paraId="7B975E1E" w14:textId="77777777" w:rsidTr="00F1544D">
        <w:tc>
          <w:tcPr>
            <w:tcW w:w="2483" w:type="pct"/>
          </w:tcPr>
          <w:p w14:paraId="5C52B066" w14:textId="77777777" w:rsidR="002545CA" w:rsidRDefault="002545CA" w:rsidP="00CD63FB">
            <w:r>
              <w:t>From</w:t>
            </w:r>
          </w:p>
        </w:tc>
        <w:tc>
          <w:tcPr>
            <w:tcW w:w="2517" w:type="pct"/>
          </w:tcPr>
          <w:p w14:paraId="6B461B6F" w14:textId="77777777" w:rsidR="002545CA" w:rsidRDefault="002545CA" w:rsidP="00CD63FB">
            <w:r>
              <w:t>To</w:t>
            </w:r>
          </w:p>
        </w:tc>
      </w:tr>
      <w:tr w:rsidR="002545CA" w14:paraId="4EB0BC85" w14:textId="77777777" w:rsidTr="00F1544D">
        <w:tc>
          <w:tcPr>
            <w:tcW w:w="2483" w:type="pct"/>
          </w:tcPr>
          <w:p w14:paraId="79029B35" w14:textId="60216CD8" w:rsidR="002545CA" w:rsidRPr="002545CA" w:rsidRDefault="002545CA" w:rsidP="00C721A7">
            <w:pPr>
              <w:rPr>
                <w:lang w:val="en-US"/>
              </w:rPr>
            </w:pPr>
            <w:r w:rsidRPr="002545CA">
              <w:rPr>
                <w:b/>
                <w:bCs/>
                <w:lang w:val="en-US"/>
              </w:rPr>
              <w:t>Contributing to families' financial difficulties</w:t>
            </w:r>
          </w:p>
          <w:p w14:paraId="74093943" w14:textId="77777777" w:rsidR="002545CA" w:rsidRPr="002545CA" w:rsidRDefault="002545CA" w:rsidP="00231A16">
            <w:pPr>
              <w:pStyle w:val="ListParagraph"/>
              <w:numPr>
                <w:ilvl w:val="0"/>
                <w:numId w:val="11"/>
              </w:numPr>
              <w:rPr>
                <w:lang w:val="en-US"/>
              </w:rPr>
            </w:pPr>
            <w:r w:rsidRPr="002545CA">
              <w:rPr>
                <w:lang w:val="en-US"/>
              </w:rPr>
              <w:t>Helping trigger downward debt spiral</w:t>
            </w:r>
          </w:p>
          <w:p w14:paraId="4B94B42E" w14:textId="0C4E1522" w:rsidR="002545CA" w:rsidRPr="002F1CCB" w:rsidRDefault="002545CA" w:rsidP="002F1CCB">
            <w:pPr>
              <w:pStyle w:val="ListParagraph"/>
              <w:numPr>
                <w:ilvl w:val="0"/>
                <w:numId w:val="11"/>
              </w:numPr>
              <w:rPr>
                <w:lang w:val="en-US"/>
              </w:rPr>
            </w:pPr>
            <w:r w:rsidRPr="002545CA">
              <w:rPr>
                <w:lang w:val="en-US"/>
              </w:rPr>
              <w:t>Low self-esteem, depression</w:t>
            </w:r>
          </w:p>
        </w:tc>
        <w:tc>
          <w:tcPr>
            <w:tcW w:w="2517" w:type="pct"/>
          </w:tcPr>
          <w:p w14:paraId="22D11C2F" w14:textId="77777777" w:rsidR="002545CA" w:rsidRPr="002545CA" w:rsidRDefault="002545CA" w:rsidP="002545CA">
            <w:pPr>
              <w:rPr>
                <w:lang w:val="en-US"/>
              </w:rPr>
            </w:pPr>
            <w:r w:rsidRPr="002545CA">
              <w:rPr>
                <w:b/>
                <w:bCs/>
                <w:lang w:val="en-US"/>
              </w:rPr>
              <w:t>Helping restore financial stability</w:t>
            </w:r>
          </w:p>
          <w:p w14:paraId="4B32F7E3" w14:textId="77777777" w:rsidR="002545CA" w:rsidRPr="002545CA" w:rsidRDefault="002545CA" w:rsidP="00231A16">
            <w:pPr>
              <w:pStyle w:val="ListParagraph"/>
              <w:numPr>
                <w:ilvl w:val="0"/>
                <w:numId w:val="14"/>
              </w:numPr>
              <w:rPr>
                <w:lang w:val="en-US"/>
              </w:rPr>
            </w:pPr>
            <w:r w:rsidRPr="002545CA">
              <w:rPr>
                <w:lang w:val="en-US"/>
              </w:rPr>
              <w:t>Graduation</w:t>
            </w:r>
            <w:r>
              <w:rPr>
                <w:lang w:val="en-US"/>
              </w:rPr>
              <w:t xml:space="preserve"> </w:t>
            </w:r>
            <w:r w:rsidRPr="002545CA">
              <w:rPr>
                <w:lang w:val="en-US"/>
              </w:rPr>
              <w:t>to</w:t>
            </w:r>
            <w:r>
              <w:rPr>
                <w:lang w:val="en-US"/>
              </w:rPr>
              <w:t xml:space="preserve"> </w:t>
            </w:r>
            <w:r w:rsidRPr="002545CA">
              <w:rPr>
                <w:lang w:val="en-US"/>
              </w:rPr>
              <w:t>normal</w:t>
            </w:r>
            <w:r>
              <w:rPr>
                <w:lang w:val="en-US"/>
              </w:rPr>
              <w:t xml:space="preserve"> </w:t>
            </w:r>
            <w:r w:rsidRPr="002545CA">
              <w:rPr>
                <w:lang w:val="en-US"/>
              </w:rPr>
              <w:t>payment</w:t>
            </w:r>
            <w:r>
              <w:rPr>
                <w:lang w:val="en-US"/>
              </w:rPr>
              <w:t xml:space="preserve"> </w:t>
            </w:r>
            <w:r w:rsidR="0002475F">
              <w:rPr>
                <w:lang w:val="en-US"/>
              </w:rPr>
              <w:t>patterns</w:t>
            </w:r>
          </w:p>
          <w:p w14:paraId="65216F1E" w14:textId="67317CFC" w:rsidR="002545CA" w:rsidRPr="002F1CCB" w:rsidRDefault="002545CA" w:rsidP="00CD63FB">
            <w:pPr>
              <w:pStyle w:val="ListParagraph"/>
              <w:numPr>
                <w:ilvl w:val="0"/>
                <w:numId w:val="14"/>
              </w:numPr>
              <w:rPr>
                <w:lang w:val="en-US"/>
              </w:rPr>
            </w:pPr>
            <w:r w:rsidRPr="002545CA">
              <w:rPr>
                <w:lang w:val="en-US"/>
              </w:rPr>
              <w:t xml:space="preserve">Ability to take financial control </w:t>
            </w:r>
            <w:r w:rsidRPr="00C721A7">
              <w:rPr>
                <w:lang w:val="en-US"/>
              </w:rPr>
              <w:t>beyond water</w:t>
            </w:r>
            <w:r>
              <w:rPr>
                <w:lang w:val="en-US"/>
              </w:rPr>
              <w:t xml:space="preserve"> </w:t>
            </w:r>
            <w:r w:rsidRPr="002545CA">
              <w:rPr>
                <w:lang w:val="en-US"/>
              </w:rPr>
              <w:t>bills</w:t>
            </w:r>
          </w:p>
        </w:tc>
      </w:tr>
      <w:tr w:rsidR="002545CA" w14:paraId="7C30C642" w14:textId="77777777" w:rsidTr="00F1544D">
        <w:tc>
          <w:tcPr>
            <w:tcW w:w="2483" w:type="pct"/>
          </w:tcPr>
          <w:p w14:paraId="6D3D265C" w14:textId="77777777" w:rsidR="002545CA" w:rsidRPr="002545CA" w:rsidRDefault="002545CA" w:rsidP="002545CA">
            <w:pPr>
              <w:rPr>
                <w:lang w:val="en-US"/>
              </w:rPr>
            </w:pPr>
            <w:r w:rsidRPr="002545CA">
              <w:rPr>
                <w:b/>
                <w:bCs/>
                <w:lang w:val="en-US"/>
              </w:rPr>
              <w:t>Financial loss to business</w:t>
            </w:r>
          </w:p>
          <w:p w14:paraId="5DF594C7" w14:textId="77777777" w:rsidR="002545CA" w:rsidRPr="002545CA" w:rsidRDefault="002545CA" w:rsidP="00231A16">
            <w:pPr>
              <w:pStyle w:val="ListParagraph"/>
              <w:numPr>
                <w:ilvl w:val="0"/>
                <w:numId w:val="12"/>
              </w:numPr>
              <w:rPr>
                <w:lang w:val="en-US"/>
              </w:rPr>
            </w:pPr>
            <w:r w:rsidRPr="002545CA">
              <w:rPr>
                <w:lang w:val="en-US"/>
              </w:rPr>
              <w:t xml:space="preserve">Wasted collections effort </w:t>
            </w:r>
          </w:p>
          <w:p w14:paraId="4E88E186" w14:textId="4F8093DC" w:rsidR="002545CA" w:rsidRPr="002F1CCB" w:rsidRDefault="002545CA" w:rsidP="00CD63FB">
            <w:pPr>
              <w:pStyle w:val="ListParagraph"/>
              <w:numPr>
                <w:ilvl w:val="0"/>
                <w:numId w:val="12"/>
              </w:numPr>
              <w:rPr>
                <w:lang w:val="en-US"/>
              </w:rPr>
            </w:pPr>
            <w:r w:rsidRPr="002545CA">
              <w:rPr>
                <w:lang w:val="en-US"/>
              </w:rPr>
              <w:t>Bad debt write-offs</w:t>
            </w:r>
          </w:p>
        </w:tc>
        <w:tc>
          <w:tcPr>
            <w:tcW w:w="2517" w:type="pct"/>
          </w:tcPr>
          <w:p w14:paraId="7440B3E8" w14:textId="77777777" w:rsidR="002545CA" w:rsidRDefault="002545CA" w:rsidP="002545CA">
            <w:pPr>
              <w:rPr>
                <w:lang w:val="en-US"/>
              </w:rPr>
            </w:pPr>
            <w:r w:rsidRPr="002545CA">
              <w:rPr>
                <w:b/>
                <w:bCs/>
                <w:lang w:val="en-US"/>
              </w:rPr>
              <w:t>Financially successful program</w:t>
            </w:r>
          </w:p>
          <w:p w14:paraId="7142D080" w14:textId="77777777" w:rsidR="002545CA" w:rsidRPr="002545CA" w:rsidRDefault="002545CA" w:rsidP="00231A16">
            <w:pPr>
              <w:pStyle w:val="ListParagraph"/>
              <w:numPr>
                <w:ilvl w:val="0"/>
                <w:numId w:val="15"/>
              </w:numPr>
              <w:rPr>
                <w:lang w:val="en-US"/>
              </w:rPr>
            </w:pPr>
            <w:proofErr w:type="spellStart"/>
            <w:r w:rsidRPr="002545CA">
              <w:rPr>
                <w:lang w:val="en-US"/>
              </w:rPr>
              <w:t>NPV</w:t>
            </w:r>
            <w:proofErr w:type="spellEnd"/>
            <w:r w:rsidR="0002475F">
              <w:rPr>
                <w:lang w:val="en-US"/>
              </w:rPr>
              <w:t xml:space="preserve"> </w:t>
            </w:r>
            <w:r w:rsidRPr="002545CA">
              <w:rPr>
                <w:lang w:val="en-US"/>
              </w:rPr>
              <w:t>positive</w:t>
            </w:r>
          </w:p>
          <w:p w14:paraId="2D7853BA" w14:textId="0032ACB2" w:rsidR="002545CA" w:rsidRPr="002F1CCB" w:rsidRDefault="002545CA" w:rsidP="00CD63FB">
            <w:pPr>
              <w:pStyle w:val="ListParagraph"/>
              <w:numPr>
                <w:ilvl w:val="0"/>
                <w:numId w:val="15"/>
              </w:numPr>
              <w:rPr>
                <w:lang w:val="en-US"/>
              </w:rPr>
            </w:pPr>
            <w:r w:rsidRPr="00C721A7">
              <w:rPr>
                <w:lang w:val="en-US"/>
              </w:rPr>
              <w:t>Cash</w:t>
            </w:r>
            <w:r w:rsidR="00C6594C">
              <w:rPr>
                <w:lang w:val="en-US"/>
              </w:rPr>
              <w:t xml:space="preserve"> </w:t>
            </w:r>
            <w:r w:rsidRPr="00C721A7">
              <w:rPr>
                <w:lang w:val="en-US"/>
              </w:rPr>
              <w:t>flow positive in Year 2</w:t>
            </w:r>
          </w:p>
        </w:tc>
      </w:tr>
      <w:tr w:rsidR="002545CA" w14:paraId="0E773A15" w14:textId="77777777" w:rsidTr="00F1544D">
        <w:tc>
          <w:tcPr>
            <w:tcW w:w="2483" w:type="pct"/>
          </w:tcPr>
          <w:p w14:paraId="7632BAF3" w14:textId="77777777" w:rsidR="002545CA" w:rsidRPr="002545CA" w:rsidRDefault="002545CA" w:rsidP="002545CA">
            <w:pPr>
              <w:rPr>
                <w:lang w:val="en-US"/>
              </w:rPr>
            </w:pPr>
            <w:r w:rsidRPr="002545CA">
              <w:rPr>
                <w:b/>
                <w:bCs/>
                <w:lang w:val="en-US"/>
              </w:rPr>
              <w:t>Public relations liability</w:t>
            </w:r>
          </w:p>
          <w:p w14:paraId="55F82ED4" w14:textId="605EDE56" w:rsidR="002545CA" w:rsidRPr="002F1CCB" w:rsidRDefault="002545CA" w:rsidP="00CD63FB">
            <w:pPr>
              <w:pStyle w:val="ListParagraph"/>
              <w:numPr>
                <w:ilvl w:val="0"/>
                <w:numId w:val="13"/>
              </w:numPr>
              <w:rPr>
                <w:lang w:val="en-US"/>
              </w:rPr>
            </w:pPr>
            <w:r w:rsidRPr="002545CA">
              <w:rPr>
                <w:lang w:val="en-US"/>
              </w:rPr>
              <w:t>Agency animosity</w:t>
            </w:r>
          </w:p>
        </w:tc>
        <w:tc>
          <w:tcPr>
            <w:tcW w:w="2517" w:type="pct"/>
          </w:tcPr>
          <w:p w14:paraId="2D297167" w14:textId="77777777" w:rsidR="002545CA" w:rsidRPr="002545CA" w:rsidRDefault="002545CA" w:rsidP="002545CA">
            <w:pPr>
              <w:rPr>
                <w:lang w:val="en-US"/>
              </w:rPr>
            </w:pPr>
            <w:r w:rsidRPr="002545CA">
              <w:rPr>
                <w:b/>
                <w:bCs/>
                <w:lang w:val="en-US"/>
              </w:rPr>
              <w:t>Public relations asset</w:t>
            </w:r>
          </w:p>
          <w:p w14:paraId="29F055F5" w14:textId="77777777" w:rsidR="002545CA" w:rsidRPr="002545CA" w:rsidRDefault="002545CA" w:rsidP="00231A16">
            <w:pPr>
              <w:pStyle w:val="ListParagraph"/>
              <w:numPr>
                <w:ilvl w:val="0"/>
                <w:numId w:val="13"/>
              </w:numPr>
              <w:rPr>
                <w:lang w:val="en-US"/>
              </w:rPr>
            </w:pPr>
            <w:r w:rsidRPr="002545CA">
              <w:rPr>
                <w:lang w:val="en-US"/>
              </w:rPr>
              <w:t>Regulator recommendation</w:t>
            </w:r>
          </w:p>
          <w:p w14:paraId="1F5B5922" w14:textId="1AF54905" w:rsidR="002545CA" w:rsidRPr="002F1CCB" w:rsidRDefault="002545CA" w:rsidP="00CD63FB">
            <w:pPr>
              <w:pStyle w:val="ListParagraph"/>
              <w:numPr>
                <w:ilvl w:val="0"/>
                <w:numId w:val="13"/>
              </w:numPr>
              <w:rPr>
                <w:lang w:val="en-US"/>
              </w:rPr>
            </w:pPr>
            <w:r w:rsidRPr="00C721A7">
              <w:rPr>
                <w:lang w:val="en-US"/>
              </w:rPr>
              <w:t>Prime Minister’s Award</w:t>
            </w:r>
          </w:p>
        </w:tc>
      </w:tr>
    </w:tbl>
    <w:p w14:paraId="59361BA4" w14:textId="77777777" w:rsidR="002F1CCB" w:rsidRDefault="002F1CCB" w:rsidP="004C771B"/>
    <w:p w14:paraId="49B30395" w14:textId="7044CFB5" w:rsidR="007123EC" w:rsidRDefault="00802656" w:rsidP="004C771B">
      <w:proofErr w:type="spellStart"/>
      <w:r w:rsidRPr="004C771B">
        <w:t>Yarra</w:t>
      </w:r>
      <w:proofErr w:type="spellEnd"/>
      <w:r w:rsidRPr="004C771B">
        <w:t xml:space="preserve"> Valley Water </w:t>
      </w:r>
      <w:r w:rsidR="0002475F" w:rsidRPr="004C771B">
        <w:t>noted</w:t>
      </w:r>
      <w:r w:rsidRPr="004C771B">
        <w:t xml:space="preserve"> that </w:t>
      </w:r>
      <w:r w:rsidR="00484FCB" w:rsidRPr="004C771B">
        <w:t>any</w:t>
      </w:r>
      <w:r w:rsidR="0002475F" w:rsidRPr="004C771B">
        <w:t xml:space="preserve"> business case</w:t>
      </w:r>
      <w:r w:rsidRPr="004C771B">
        <w:t xml:space="preserve"> need</w:t>
      </w:r>
      <w:r w:rsidR="0002475F" w:rsidRPr="004C771B">
        <w:t>s</w:t>
      </w:r>
      <w:r w:rsidRPr="004C771B">
        <w:t xml:space="preserve"> to be </w:t>
      </w:r>
      <w:r w:rsidR="0002475F" w:rsidRPr="004C771B">
        <w:t>updated</w:t>
      </w:r>
      <w:r w:rsidRPr="004C771B">
        <w:t xml:space="preserve"> periodically </w:t>
      </w:r>
      <w:r w:rsidR="00C6594C">
        <w:t xml:space="preserve">in order </w:t>
      </w:r>
      <w:r w:rsidRPr="004C771B">
        <w:t>to respond to changes</w:t>
      </w:r>
      <w:r w:rsidR="00C6594C">
        <w:t xml:space="preserve"> in the program</w:t>
      </w:r>
      <w:r w:rsidR="00085672">
        <w:t>s and policy</w:t>
      </w:r>
      <w:r w:rsidRPr="004C771B">
        <w:t>. For example</w:t>
      </w:r>
      <w:r w:rsidR="0002475F" w:rsidRPr="004C771B">
        <w:t>,</w:t>
      </w:r>
      <w:r w:rsidRPr="004C771B">
        <w:t xml:space="preserve"> </w:t>
      </w:r>
      <w:proofErr w:type="gramStart"/>
      <w:r w:rsidRPr="004C771B">
        <w:t>metropolitan water prices recently increased by 25% and the company was</w:t>
      </w:r>
      <w:proofErr w:type="gramEnd"/>
      <w:r w:rsidRPr="004C771B">
        <w:t xml:space="preserve"> concerned </w:t>
      </w:r>
      <w:r w:rsidR="002C1CCE">
        <w:t xml:space="preserve">about weakening </w:t>
      </w:r>
      <w:r w:rsidRPr="004C771B">
        <w:t xml:space="preserve">the bottom line. However, </w:t>
      </w:r>
      <w:r w:rsidR="003766A0" w:rsidRPr="004C771B">
        <w:t>the company</w:t>
      </w:r>
      <w:r w:rsidRPr="004C771B">
        <w:t xml:space="preserve"> still saw merit in going through the process</w:t>
      </w:r>
      <w:r w:rsidR="00085672">
        <w:t xml:space="preserve"> of producing a business case</w:t>
      </w:r>
      <w:r w:rsidR="003766A0" w:rsidRPr="004C771B">
        <w:t xml:space="preserve">: </w:t>
      </w:r>
      <w:r w:rsidR="00DA0C85" w:rsidRPr="004C771B">
        <w:t>‘</w:t>
      </w:r>
      <w:r w:rsidRPr="004C771B">
        <w:t xml:space="preserve">We will at least </w:t>
      </w:r>
      <w:r w:rsidRPr="004C771B">
        <w:lastRenderedPageBreak/>
        <w:t>know where we stand. We will make decisions on whether we accept losses or</w:t>
      </w:r>
      <w:r w:rsidR="003766A0" w:rsidRPr="004C771B">
        <w:t xml:space="preserve"> change how we run the program</w:t>
      </w:r>
      <w:r w:rsidR="00DA0C85" w:rsidRPr="004C771B">
        <w:t>’</w:t>
      </w:r>
      <w:r w:rsidRPr="004C771B">
        <w:t>.</w:t>
      </w:r>
      <w:r w:rsidR="007775AD" w:rsidRPr="004C771B">
        <w:t xml:space="preserve"> The company was working to reduce </w:t>
      </w:r>
      <w:r w:rsidR="003766A0" w:rsidRPr="004C771B">
        <w:t xml:space="preserve">the </w:t>
      </w:r>
      <w:r w:rsidR="007775AD" w:rsidRPr="004C771B">
        <w:t xml:space="preserve">costs of running the program through </w:t>
      </w:r>
      <w:r w:rsidR="00085672">
        <w:t xml:space="preserve">developing </w:t>
      </w:r>
      <w:r w:rsidR="007775AD" w:rsidRPr="004C771B">
        <w:t xml:space="preserve">automation of some hardship processes. This plan was driven by a detailed understanding of the costs and benefits of </w:t>
      </w:r>
      <w:r w:rsidR="003766A0" w:rsidRPr="004C771B">
        <w:t>the</w:t>
      </w:r>
      <w:r w:rsidR="007775AD" w:rsidRPr="004C771B">
        <w:t xml:space="preserve"> hardship program.</w:t>
      </w:r>
    </w:p>
    <w:p w14:paraId="06581414" w14:textId="5CA2660A" w:rsidR="00802656" w:rsidRPr="004C771B" w:rsidRDefault="007123EC" w:rsidP="004C771B">
      <w:r>
        <w:t xml:space="preserve">One of the banks had done a monetary analysis on the cost of servicing customer debts </w:t>
      </w:r>
      <w:r w:rsidR="00743EA5">
        <w:t>that had become ‘delinquent’. T</w:t>
      </w:r>
      <w:r>
        <w:t>his included costing labour, regulatory provisioning and other costs. This average costing of delinquency gave them an understanding of how much they could potentially spend in the hardship space to avoid delinquency. Another bank had looked at the business cas</w:t>
      </w:r>
      <w:r w:rsidR="00743EA5">
        <w:t xml:space="preserve">e for collections ‘cure rates’ – the number of </w:t>
      </w:r>
      <w:r>
        <w:t>debts</w:t>
      </w:r>
      <w:r w:rsidR="00743EA5">
        <w:t xml:space="preserve"> that resolve and do no</w:t>
      </w:r>
      <w:r>
        <w:t>t end up back in the collections process. A key indicator was how far behind the customer was in paying when they came into the collections proce</w:t>
      </w:r>
      <w:r w:rsidR="00743EA5">
        <w:t>ss.</w:t>
      </w:r>
      <w:r>
        <w:t xml:space="preserve"> The outcome clearly demonstrated the case for early identification and intervention, with 30 day late </w:t>
      </w:r>
      <w:r w:rsidR="00743EA5">
        <w:t xml:space="preserve">paying </w:t>
      </w:r>
      <w:r>
        <w:t>customers being many times more likely to ‘cure’ than 90 day late paying customers.</w:t>
      </w:r>
    </w:p>
    <w:p w14:paraId="3079FC9D" w14:textId="1AE14925" w:rsidR="00C42433" w:rsidRDefault="001E1E5F" w:rsidP="004C771B">
      <w:r w:rsidRPr="004C771B">
        <w:t>Some indu</w:t>
      </w:r>
      <w:r w:rsidR="008437FC" w:rsidRPr="004C771B">
        <w:t xml:space="preserve">stry interviewees referred to </w:t>
      </w:r>
      <w:r w:rsidR="005A6B58" w:rsidRPr="004C771B">
        <w:t xml:space="preserve">specific performance measures, for example, a reduction in disputes to </w:t>
      </w:r>
      <w:r w:rsidR="00484FCB" w:rsidRPr="004C771B">
        <w:t>the Financial Ombudsman Service</w:t>
      </w:r>
      <w:r w:rsidR="005A6B58" w:rsidRPr="004C771B">
        <w:t xml:space="preserve">, but there was no other example of a stand-alone analysis. </w:t>
      </w:r>
    </w:p>
    <w:p w14:paraId="7DC63E15" w14:textId="7502E90A" w:rsidR="00062737" w:rsidRPr="004C771B" w:rsidRDefault="00C42433" w:rsidP="00BD3E33">
      <w:pPr>
        <w:pStyle w:val="Heading3"/>
      </w:pPr>
      <w:r w:rsidRPr="004C771B">
        <w:t>Documenting the business case is a sensible thing to do</w:t>
      </w:r>
    </w:p>
    <w:p w14:paraId="32A1AB63" w14:textId="7258246A" w:rsidR="00C42433" w:rsidRPr="004C771B" w:rsidRDefault="00C42433" w:rsidP="004C771B">
      <w:r w:rsidRPr="004C771B">
        <w:t>M</w:t>
      </w:r>
      <w:r w:rsidR="00BD2A1C" w:rsidRPr="004C771B">
        <w:t>any</w:t>
      </w:r>
      <w:r w:rsidR="00CB17C5" w:rsidRPr="004C771B">
        <w:t xml:space="preserve"> workshop participants </w:t>
      </w:r>
      <w:r w:rsidR="00085672">
        <w:t>noted</w:t>
      </w:r>
      <w:r w:rsidR="00085672" w:rsidRPr="004C771B">
        <w:t xml:space="preserve"> </w:t>
      </w:r>
      <w:r w:rsidR="00CB17C5" w:rsidRPr="004C771B">
        <w:t>that documenting the bu</w:t>
      </w:r>
      <w:r w:rsidR="00822A4F" w:rsidRPr="004C771B">
        <w:t>siness case for the hardship function was importan</w:t>
      </w:r>
      <w:r w:rsidR="00BD2A1C" w:rsidRPr="004C771B">
        <w:t xml:space="preserve">t and that there were positive financial and non-financial returns. A greater focus on these outcomes would </w:t>
      </w:r>
      <w:r w:rsidR="00822A4F" w:rsidRPr="004C771B">
        <w:t>ensure continuing senior management support.</w:t>
      </w:r>
      <w:r w:rsidR="00BD2A1C" w:rsidRPr="004C771B">
        <w:t xml:space="preserve"> While </w:t>
      </w:r>
      <w:r w:rsidR="00A9783A" w:rsidRPr="004C771B">
        <w:t xml:space="preserve">public </w:t>
      </w:r>
      <w:r w:rsidR="00BD2A1C" w:rsidRPr="004C771B">
        <w:t xml:space="preserve">sharing </w:t>
      </w:r>
      <w:r w:rsidR="00085672">
        <w:t>of</w:t>
      </w:r>
      <w:r w:rsidR="00085672" w:rsidRPr="004C771B">
        <w:t xml:space="preserve"> </w:t>
      </w:r>
      <w:r w:rsidR="00A9783A" w:rsidRPr="004C771B">
        <w:t>data</w:t>
      </w:r>
      <w:r w:rsidR="00BD2A1C" w:rsidRPr="004C771B">
        <w:t xml:space="preserve"> </w:t>
      </w:r>
      <w:r w:rsidR="00A9783A" w:rsidRPr="004C771B">
        <w:t>may raise</w:t>
      </w:r>
      <w:r w:rsidR="00BD2A1C" w:rsidRPr="004C771B">
        <w:t xml:space="preserve"> commercial considerations</w:t>
      </w:r>
      <w:r w:rsidR="00A9783A" w:rsidRPr="004C771B">
        <w:t xml:space="preserve">, it may be possible to share less sensitive information or to de-identify information. </w:t>
      </w:r>
      <w:r w:rsidR="00085672">
        <w:t xml:space="preserve">For example, </w:t>
      </w:r>
      <w:proofErr w:type="spellStart"/>
      <w:r w:rsidR="00A9783A" w:rsidRPr="004C771B">
        <w:t>EDR</w:t>
      </w:r>
      <w:proofErr w:type="spellEnd"/>
      <w:r w:rsidR="00A9783A" w:rsidRPr="004C771B">
        <w:t xml:space="preserve"> schemes may be able to provide de-identified data for </w:t>
      </w:r>
      <w:r w:rsidR="00085672">
        <w:t xml:space="preserve">public </w:t>
      </w:r>
      <w:r w:rsidR="00A9783A" w:rsidRPr="004C771B">
        <w:t>analysis.</w:t>
      </w:r>
    </w:p>
    <w:p w14:paraId="74145553" w14:textId="7E6210FD" w:rsidR="00C63205" w:rsidRPr="004C771B" w:rsidRDefault="00C42433" w:rsidP="004C771B">
      <w:r w:rsidRPr="004C771B">
        <w:t xml:space="preserve">On the other hand, one industry interviewee </w:t>
      </w:r>
      <w:r w:rsidR="00085672">
        <w:t>described</w:t>
      </w:r>
      <w:r w:rsidR="00085672" w:rsidRPr="004C771B">
        <w:t xml:space="preserve"> </w:t>
      </w:r>
      <w:r w:rsidR="00085672">
        <w:t>an</w:t>
      </w:r>
      <w:r w:rsidRPr="004C771B">
        <w:t xml:space="preserve"> analysis they had </w:t>
      </w:r>
      <w:r w:rsidR="00085672">
        <w:t>conducted that</w:t>
      </w:r>
      <w:r w:rsidR="00085672" w:rsidRPr="004C771B">
        <w:t xml:space="preserve"> </w:t>
      </w:r>
      <w:r w:rsidRPr="004C771B">
        <w:t>indicated there was not a business case for their customer group who typically had other more highly prioritised debt – in other words, that selling these debts may be a better financial outcome. Their analysis showed that only 5% of custom</w:t>
      </w:r>
      <w:r w:rsidR="001238E5">
        <w:t>ers left the hardship function.</w:t>
      </w:r>
    </w:p>
    <w:p w14:paraId="4B1A557A" w14:textId="77777777" w:rsidR="00C63205" w:rsidRPr="004C771B" w:rsidRDefault="00C63205" w:rsidP="001238E5">
      <w:pPr>
        <w:pStyle w:val="Heading3"/>
      </w:pPr>
      <w:r w:rsidRPr="004C771B">
        <w:t>What should a business case include?</w:t>
      </w:r>
    </w:p>
    <w:p w14:paraId="5B933CB1" w14:textId="367D512F" w:rsidR="00C63205" w:rsidRPr="004C771B" w:rsidRDefault="00A76664" w:rsidP="004C771B">
      <w:r>
        <w:t>A</w:t>
      </w:r>
      <w:r w:rsidRPr="004C771B">
        <w:t xml:space="preserve"> </w:t>
      </w:r>
      <w:r w:rsidR="00C63205" w:rsidRPr="004C771B">
        <w:t>business case can focus on a number of areas</w:t>
      </w:r>
      <w:r>
        <w:t>:</w:t>
      </w:r>
    </w:p>
    <w:p w14:paraId="2E07B871" w14:textId="003B79E1" w:rsidR="00C63205" w:rsidRPr="004C771B" w:rsidRDefault="00C63205" w:rsidP="00231A16">
      <w:pPr>
        <w:pStyle w:val="ListParagraph"/>
        <w:numPr>
          <w:ilvl w:val="0"/>
          <w:numId w:val="9"/>
        </w:numPr>
        <w:spacing w:after="0" w:line="240" w:lineRule="auto"/>
      </w:pPr>
      <w:r w:rsidRPr="004C771B">
        <w:t>Collections – calculating the costs of attempting to recover debt from different customer segments at different timing points</w:t>
      </w:r>
      <w:r w:rsidR="00A76664" w:rsidRPr="004C771B">
        <w:t>;</w:t>
      </w:r>
    </w:p>
    <w:p w14:paraId="793B95F2" w14:textId="77777777" w:rsidR="00F2057A" w:rsidRPr="004C771B" w:rsidRDefault="00F2057A" w:rsidP="00F2057A">
      <w:pPr>
        <w:pStyle w:val="ListParagraph"/>
        <w:spacing w:after="0" w:line="240" w:lineRule="auto"/>
        <w:ind w:left="1571"/>
      </w:pPr>
    </w:p>
    <w:p w14:paraId="7DF46F61" w14:textId="04BF4AF0" w:rsidR="00C63205" w:rsidRPr="004C771B" w:rsidRDefault="00C63205" w:rsidP="00231A16">
      <w:pPr>
        <w:pStyle w:val="ListParagraph"/>
        <w:numPr>
          <w:ilvl w:val="0"/>
          <w:numId w:val="9"/>
        </w:numPr>
        <w:spacing w:after="0" w:line="240" w:lineRule="auto"/>
      </w:pPr>
      <w:r w:rsidRPr="004C771B">
        <w:t>Hardship departments – calculating the cost of operating a hardship department and quantifying the benefits</w:t>
      </w:r>
      <w:r w:rsidR="00A76664" w:rsidRPr="004C771B">
        <w:t>;</w:t>
      </w:r>
    </w:p>
    <w:p w14:paraId="58628BEF" w14:textId="77777777" w:rsidR="00D8262B" w:rsidRPr="004C771B" w:rsidRDefault="00D8262B" w:rsidP="004C771B">
      <w:pPr>
        <w:pStyle w:val="ListParagraph"/>
      </w:pPr>
    </w:p>
    <w:p w14:paraId="1BC464FA" w14:textId="7FAE3921" w:rsidR="00D8262B" w:rsidRPr="004C771B" w:rsidRDefault="00D8262B" w:rsidP="00FE49FF">
      <w:pPr>
        <w:pStyle w:val="ListParagraph"/>
        <w:numPr>
          <w:ilvl w:val="0"/>
          <w:numId w:val="9"/>
        </w:numPr>
        <w:spacing w:after="0" w:line="240" w:lineRule="auto"/>
      </w:pPr>
      <w:r w:rsidRPr="004C771B">
        <w:t>Customer loyalty – most businesses know the cost of churn and acquiring new customers. Customers who have been helped appreciate this and are likely to be loyal;</w:t>
      </w:r>
    </w:p>
    <w:p w14:paraId="2561CFDB" w14:textId="77777777" w:rsidR="00F2057A" w:rsidRPr="004C771B" w:rsidRDefault="00F2057A" w:rsidP="00F2057A">
      <w:pPr>
        <w:spacing w:after="0" w:line="240" w:lineRule="auto"/>
      </w:pPr>
    </w:p>
    <w:p w14:paraId="346FC286" w14:textId="39AA9462" w:rsidR="00C63205" w:rsidRPr="004C771B" w:rsidRDefault="00C63205" w:rsidP="00231A16">
      <w:pPr>
        <w:pStyle w:val="ListParagraph"/>
        <w:numPr>
          <w:ilvl w:val="0"/>
          <w:numId w:val="9"/>
        </w:numPr>
        <w:spacing w:after="0" w:line="240" w:lineRule="auto"/>
      </w:pPr>
      <w:r w:rsidRPr="004C771B">
        <w:t>Staff retention – calculating the cost/benefits of improved morale and reducing turnover of trained staff</w:t>
      </w:r>
      <w:r w:rsidR="00A76664" w:rsidRPr="004C771B">
        <w:t>.</w:t>
      </w:r>
    </w:p>
    <w:p w14:paraId="3E8670D6" w14:textId="77777777" w:rsidR="00C63205" w:rsidRPr="004C771B" w:rsidRDefault="00C63205" w:rsidP="00CD63FB">
      <w:pPr>
        <w:spacing w:after="0" w:line="240" w:lineRule="auto"/>
        <w:ind w:left="851"/>
        <w:rPr>
          <w:sz w:val="24"/>
          <w:szCs w:val="24"/>
        </w:rPr>
      </w:pPr>
    </w:p>
    <w:p w14:paraId="0D49B82B" w14:textId="6CD2E65A" w:rsidR="004C2FD7" w:rsidRPr="006C768A" w:rsidRDefault="007B7488" w:rsidP="006C768A">
      <w:r w:rsidRPr="004C771B">
        <w:t>The business case analysis should logically extend to include staff retention benefits</w:t>
      </w:r>
      <w:r w:rsidR="00F2057A" w:rsidRPr="004C771B">
        <w:t xml:space="preserve">, absenteeism rates and training costs. </w:t>
      </w:r>
      <w:r w:rsidRPr="004C771B">
        <w:t xml:space="preserve">The </w:t>
      </w:r>
      <w:r w:rsidR="005C3B80" w:rsidRPr="004C771B">
        <w:t>lower</w:t>
      </w:r>
      <w:r w:rsidRPr="004C771B">
        <w:t xml:space="preserve"> </w:t>
      </w:r>
      <w:r w:rsidR="00F2057A" w:rsidRPr="004C771B">
        <w:t xml:space="preserve">the </w:t>
      </w:r>
      <w:r w:rsidR="004C2FD7" w:rsidRPr="004C771B">
        <w:t xml:space="preserve">staff </w:t>
      </w:r>
      <w:r w:rsidRPr="004C771B">
        <w:t xml:space="preserve">turnover, the </w:t>
      </w:r>
      <w:r w:rsidR="004C2FD7" w:rsidRPr="004C771B">
        <w:t xml:space="preserve">lower the training costs.  </w:t>
      </w:r>
    </w:p>
    <w:p w14:paraId="284966C0" w14:textId="7538EAF1" w:rsidR="009F441C" w:rsidRPr="00ED1C3D" w:rsidRDefault="00DA0C85" w:rsidP="00ED1C3D">
      <w:pPr>
        <w:ind w:left="567"/>
        <w:rPr>
          <w:i/>
          <w:sz w:val="24"/>
          <w:szCs w:val="24"/>
          <w:lang w:val="en-US"/>
        </w:rPr>
      </w:pPr>
      <w:r w:rsidRPr="004C771B">
        <w:rPr>
          <w:i/>
        </w:rPr>
        <w:t>‘</w:t>
      </w:r>
      <w:r w:rsidR="004C2FD7" w:rsidRPr="004C771B">
        <w:rPr>
          <w:i/>
        </w:rPr>
        <w:t>At [a debt collection company] 25</w:t>
      </w:r>
      <w:r w:rsidR="00A76664" w:rsidRPr="004C771B">
        <w:rPr>
          <w:i/>
        </w:rPr>
        <w:t>%</w:t>
      </w:r>
      <w:r w:rsidR="006C768A">
        <w:rPr>
          <w:i/>
        </w:rPr>
        <w:t xml:space="preserve"> </w:t>
      </w:r>
      <w:r w:rsidR="004C2FD7" w:rsidRPr="004C771B">
        <w:rPr>
          <w:i/>
        </w:rPr>
        <w:t xml:space="preserve">of their staff </w:t>
      </w:r>
      <w:proofErr w:type="gramStart"/>
      <w:r w:rsidR="004C2FD7" w:rsidRPr="004C771B">
        <w:rPr>
          <w:i/>
        </w:rPr>
        <w:t>are</w:t>
      </w:r>
      <w:proofErr w:type="gramEnd"/>
      <w:r w:rsidR="004C2FD7" w:rsidRPr="004C771B">
        <w:rPr>
          <w:i/>
        </w:rPr>
        <w:t xml:space="preserve"> staying longer. This is phenomenal. </w:t>
      </w:r>
      <w:r w:rsidR="004C2FD7" w:rsidRPr="004C771B">
        <w:rPr>
          <w:i/>
          <w:lang w:val="en-US"/>
        </w:rPr>
        <w:t>They are now equipping people to do what is expected of them</w:t>
      </w:r>
      <w:r w:rsidR="00C63205" w:rsidRPr="004C771B">
        <w:rPr>
          <w:i/>
          <w:lang w:val="en-US"/>
        </w:rPr>
        <w:t>.</w:t>
      </w:r>
      <w:r w:rsidR="00A76664" w:rsidRPr="004C771B">
        <w:rPr>
          <w:i/>
          <w:lang w:val="en-US"/>
        </w:rPr>
        <w:t>’</w:t>
      </w:r>
    </w:p>
    <w:p w14:paraId="1086A5A8" w14:textId="6BE633AB" w:rsidR="00C63205" w:rsidRPr="004C771B" w:rsidRDefault="00C63205" w:rsidP="00ED1C3D">
      <w:pPr>
        <w:pStyle w:val="Heading3"/>
      </w:pPr>
      <w:r w:rsidRPr="004C771B">
        <w:t xml:space="preserve">Some examples </w:t>
      </w:r>
      <w:r w:rsidR="00ED1C3D">
        <w:t>of irrational company behaviour</w:t>
      </w:r>
    </w:p>
    <w:p w14:paraId="11DF4E98" w14:textId="52E558DF" w:rsidR="009F441C" w:rsidRDefault="00C63205" w:rsidP="00E20581">
      <w:r w:rsidRPr="004C771B">
        <w:t xml:space="preserve">Prima facie, there </w:t>
      </w:r>
      <w:r w:rsidR="00A76664">
        <w:t>were</w:t>
      </w:r>
      <w:r w:rsidRPr="004C771B">
        <w:t xml:space="preserve"> some examples of irrational company behaviour when a consumer’s offer to pay was rejected and instead the debt was sold to a debt buyer for a lesser amount. For example, a financial counsellor provided an example of a woman who was forced to move into a refuge as a result of domestic violence. She notified her energy company of the move, but the company would not enter into a payment arrangement </w:t>
      </w:r>
      <w:r w:rsidR="00A76664">
        <w:t xml:space="preserve">that would span </w:t>
      </w:r>
      <w:r w:rsidRPr="004C771B">
        <w:t xml:space="preserve">over six weeks as it was a final bill and she was no longer their customer. The debt was </w:t>
      </w:r>
      <w:r w:rsidR="00A76664" w:rsidRPr="002309D7">
        <w:t>instead</w:t>
      </w:r>
      <w:r w:rsidR="00A76664" w:rsidRPr="00A76664">
        <w:t xml:space="preserve"> </w:t>
      </w:r>
      <w:r w:rsidRPr="004C771B">
        <w:t>sold to a debt collector who entere</w:t>
      </w:r>
      <w:r w:rsidR="00E20581">
        <w:t>d into the payment arrangement.</w:t>
      </w:r>
    </w:p>
    <w:p w14:paraId="5313C2B2" w14:textId="70A2868C" w:rsidR="008B7AF8" w:rsidRPr="00E20581" w:rsidRDefault="001A1DE7" w:rsidP="00E20581">
      <w:pPr>
        <w:pStyle w:val="Heading2"/>
      </w:pPr>
      <w:bookmarkStart w:id="51" w:name="_Toc387144759"/>
      <w:r>
        <w:t>2.</w:t>
      </w:r>
      <w:r w:rsidR="00AC4656">
        <w:t>5.3</w:t>
      </w:r>
      <w:r w:rsidR="00E20581">
        <w:t xml:space="preserve"> </w:t>
      </w:r>
      <w:r w:rsidR="003C0466">
        <w:t>Good i</w:t>
      </w:r>
      <w:r w:rsidR="008B7AF8">
        <w:t>deas</w:t>
      </w:r>
      <w:bookmarkEnd w:id="51"/>
      <w:r w:rsidR="00E20581">
        <w:t xml:space="preserve"> </w:t>
      </w:r>
    </w:p>
    <w:tbl>
      <w:tblPr>
        <w:tblStyle w:val="TableGrid"/>
        <w:tblW w:w="5000" w:type="pct"/>
        <w:tblLook w:val="04A0" w:firstRow="1" w:lastRow="0" w:firstColumn="1" w:lastColumn="0" w:noHBand="0" w:noVBand="1"/>
        <w:tblDescription w:val="A model: Essential Services Commission&#10;The Essential Services Commission (ESC) contracted a consulting group to develop a hardship business case model for the Victorian utilities sector. Using a spreadsheet template, the model allows companies to customise their business case assumptions and program costs. The ESC has offered to make the template available to companies in other sectors. &#10;The model does not cover equally important, but less tangible benefits or costs, such as reputational impacts, staff morale and retention. &#10;Appendix 2 has some screen shots from the template.&#10;"/>
      </w:tblPr>
      <w:tblGrid>
        <w:gridCol w:w="9242"/>
      </w:tblGrid>
      <w:tr w:rsidR="008B7AF8" w:rsidRPr="004C771B" w14:paraId="7A952465" w14:textId="77777777" w:rsidTr="00E20581">
        <w:tc>
          <w:tcPr>
            <w:tcW w:w="5000" w:type="pct"/>
          </w:tcPr>
          <w:p w14:paraId="66F49153" w14:textId="0CAACBCE" w:rsidR="008B7AF8" w:rsidRPr="00E20581" w:rsidRDefault="003C0466" w:rsidP="00E20581">
            <w:pPr>
              <w:pStyle w:val="Heading4"/>
              <w:outlineLvl w:val="3"/>
            </w:pPr>
            <w:r>
              <w:t>A m</w:t>
            </w:r>
            <w:r w:rsidR="0078797D" w:rsidRPr="004C771B">
              <w:t xml:space="preserve">odel: </w:t>
            </w:r>
            <w:r w:rsidR="00364431" w:rsidRPr="004C771B">
              <w:t>Essential Services Commission</w:t>
            </w:r>
          </w:p>
          <w:p w14:paraId="4A6D6760" w14:textId="1BA06134" w:rsidR="0095091F" w:rsidRPr="004C771B" w:rsidRDefault="00C721A7" w:rsidP="0095091F">
            <w:pPr>
              <w:spacing w:after="200" w:line="276" w:lineRule="auto"/>
            </w:pPr>
            <w:r w:rsidRPr="004C771B">
              <w:t xml:space="preserve">The Essential Services Commission (ESC) </w:t>
            </w:r>
            <w:r w:rsidR="00A76664" w:rsidRPr="004C771B">
              <w:t xml:space="preserve">contracted </w:t>
            </w:r>
            <w:r w:rsidRPr="004C771B">
              <w:t xml:space="preserve">a consulting group to develop a </w:t>
            </w:r>
            <w:r w:rsidR="0095091F" w:rsidRPr="004C771B">
              <w:t xml:space="preserve">hardship </w:t>
            </w:r>
            <w:r w:rsidRPr="004C771B">
              <w:t>business case model</w:t>
            </w:r>
            <w:r w:rsidR="0095091F" w:rsidRPr="004C771B">
              <w:t xml:space="preserve"> for the Victorian utilities sector</w:t>
            </w:r>
            <w:r w:rsidRPr="004C771B">
              <w:t xml:space="preserve">. </w:t>
            </w:r>
            <w:r w:rsidR="00F2057A" w:rsidRPr="004C771B">
              <w:t>Using a</w:t>
            </w:r>
            <w:r w:rsidR="00A76664" w:rsidRPr="004C771B">
              <w:t xml:space="preserve"> </w:t>
            </w:r>
            <w:r w:rsidR="00F2057A" w:rsidRPr="004C771B">
              <w:t>spreadsheet template, the</w:t>
            </w:r>
            <w:r w:rsidR="0095091F" w:rsidRPr="004C771B">
              <w:t xml:space="preserve"> model allows companies to customise their business case assumptions and program costs. The ESC </w:t>
            </w:r>
            <w:r w:rsidRPr="004C771B">
              <w:t xml:space="preserve">has </w:t>
            </w:r>
            <w:r w:rsidR="0095091F" w:rsidRPr="004C771B">
              <w:t xml:space="preserve">offered to </w:t>
            </w:r>
            <w:r w:rsidRPr="004C771B">
              <w:t>ma</w:t>
            </w:r>
            <w:r w:rsidR="00A76664" w:rsidRPr="004C771B">
              <w:t>k</w:t>
            </w:r>
            <w:r w:rsidRPr="004C771B">
              <w:t xml:space="preserve">e </w:t>
            </w:r>
            <w:r w:rsidR="006502FE" w:rsidRPr="004C771B">
              <w:t>the template</w:t>
            </w:r>
            <w:r w:rsidRPr="004C771B">
              <w:t xml:space="preserve"> available to </w:t>
            </w:r>
            <w:r w:rsidR="0095091F" w:rsidRPr="004C771B">
              <w:t xml:space="preserve">companies in other sectors. </w:t>
            </w:r>
          </w:p>
          <w:p w14:paraId="0A790517" w14:textId="77255026" w:rsidR="00B044DC" w:rsidRPr="004C771B" w:rsidRDefault="0095091F" w:rsidP="0095091F">
            <w:pPr>
              <w:spacing w:after="200" w:line="276" w:lineRule="auto"/>
            </w:pPr>
            <w:r w:rsidRPr="004C771B">
              <w:t>The model does not cover</w:t>
            </w:r>
            <w:r w:rsidR="00C22222" w:rsidRPr="004C771B">
              <w:t xml:space="preserve"> equally important</w:t>
            </w:r>
            <w:r w:rsidR="006502FE" w:rsidRPr="004C771B">
              <w:t>,</w:t>
            </w:r>
            <w:r w:rsidR="00C22222" w:rsidRPr="004C771B">
              <w:t xml:space="preserve"> but less tangible benefits</w:t>
            </w:r>
            <w:r w:rsidR="006502FE" w:rsidRPr="004C771B">
              <w:t xml:space="preserve"> or costs,</w:t>
            </w:r>
            <w:r w:rsidR="00C22222" w:rsidRPr="004C771B">
              <w:t xml:space="preserve"> such as reputational </w:t>
            </w:r>
            <w:r w:rsidR="006502FE" w:rsidRPr="004C771B">
              <w:t xml:space="preserve">impacts, </w:t>
            </w:r>
            <w:r w:rsidR="00C22222" w:rsidRPr="004C771B">
              <w:t>staff morale and retention.</w:t>
            </w:r>
            <w:r w:rsidR="00B044DC" w:rsidRPr="004C771B">
              <w:t xml:space="preserve"> </w:t>
            </w:r>
          </w:p>
          <w:p w14:paraId="2357CE61" w14:textId="0729B86C" w:rsidR="008B7AF8" w:rsidRPr="00E20581" w:rsidRDefault="00B044DC" w:rsidP="00E20581">
            <w:pPr>
              <w:spacing w:after="200" w:line="276" w:lineRule="auto"/>
            </w:pPr>
            <w:r w:rsidRPr="004C771B">
              <w:t>Appendix 2 has some screen shots from the template.</w:t>
            </w:r>
          </w:p>
        </w:tc>
      </w:tr>
    </w:tbl>
    <w:p w14:paraId="46A229A2" w14:textId="77777777" w:rsidR="008B7AF8" w:rsidRDefault="008B7AF8" w:rsidP="006809E5">
      <w:pPr>
        <w:spacing w:after="0" w:line="240" w:lineRule="auto"/>
      </w:pPr>
    </w:p>
    <w:p w14:paraId="1FA6C1CE" w14:textId="77777777" w:rsidR="006C768A" w:rsidRPr="004C771B" w:rsidRDefault="006C768A" w:rsidP="006809E5">
      <w:pPr>
        <w:spacing w:after="0" w:line="240" w:lineRule="auto"/>
      </w:pPr>
    </w:p>
    <w:tbl>
      <w:tblPr>
        <w:tblStyle w:val="TableGrid"/>
        <w:tblW w:w="5052" w:type="pct"/>
        <w:tblLook w:val="04A0" w:firstRow="1" w:lastRow="0" w:firstColumn="1" w:lastColumn="0" w:noHBand="0" w:noVBand="1"/>
        <w:tblDescription w:val="A long-term industry and community sector partnership: Yarra Valley Water and Kildonan UnitingCare&#10;&#10;Since 2000, Yarra Valley Water and Kildonan have worked together to assist customers experiencing difficulties in paying their water bills. The business case analysis was generated as part of the partnership and has led to a deeper understanding of this aspect of Yarra Valley Water’s business model. &#10;Kildonan provides training for the hardship team, call centre staff and credit managers. Yarra Valley Water provides funding for a financial counselling position and refers customers for financial counselling advice as appropriate. However to maintain independence, the financial counselling position is not dedicated or tied to servicing the company.&#10;Thirteen years post inception, Kildonan still undertakes annual reviews of the hardship function at Yarra Valley Water and the relationship has continued to prosper despite changes in senior management. Nine out of ten people in Yarra Valley Water’s hardship system are reported as paying on time all the time.&#10;"/>
      </w:tblPr>
      <w:tblGrid>
        <w:gridCol w:w="9338"/>
      </w:tblGrid>
      <w:tr w:rsidR="00A606F4" w:rsidRPr="004C771B" w14:paraId="0552F683" w14:textId="77777777" w:rsidTr="00F5719A">
        <w:trPr>
          <w:trHeight w:val="5268"/>
        </w:trPr>
        <w:tc>
          <w:tcPr>
            <w:tcW w:w="5000" w:type="pct"/>
          </w:tcPr>
          <w:p w14:paraId="5623F7E7" w14:textId="4619898C" w:rsidR="00A606F4" w:rsidRPr="004C771B" w:rsidRDefault="005970B8" w:rsidP="00E20581">
            <w:pPr>
              <w:pStyle w:val="Heading4"/>
              <w:outlineLvl w:val="3"/>
            </w:pPr>
            <w:r>
              <w:lastRenderedPageBreak/>
              <w:t>A long-term industry and community sector p</w:t>
            </w:r>
            <w:r w:rsidR="00A606F4" w:rsidRPr="004C771B">
              <w:t xml:space="preserve">artnership: </w:t>
            </w:r>
            <w:proofErr w:type="spellStart"/>
            <w:r w:rsidR="00A606F4" w:rsidRPr="004C771B">
              <w:t>Yarra</w:t>
            </w:r>
            <w:proofErr w:type="spellEnd"/>
            <w:r w:rsidR="00A606F4" w:rsidRPr="004C771B">
              <w:t xml:space="preserve"> Valley Water and </w:t>
            </w:r>
            <w:proofErr w:type="spellStart"/>
            <w:r w:rsidR="00A606F4" w:rsidRPr="004C771B">
              <w:t>Kildonan</w:t>
            </w:r>
            <w:proofErr w:type="spellEnd"/>
            <w:r w:rsidR="00A606F4" w:rsidRPr="004C771B">
              <w:t xml:space="preserve"> </w:t>
            </w:r>
            <w:proofErr w:type="spellStart"/>
            <w:r w:rsidR="00DB4B52" w:rsidRPr="004C771B">
              <w:t>UnitingCare</w:t>
            </w:r>
            <w:proofErr w:type="spellEnd"/>
          </w:p>
          <w:p w14:paraId="3CEA40C5" w14:textId="77777777" w:rsidR="00A606F4" w:rsidRPr="004C771B" w:rsidRDefault="00A606F4" w:rsidP="00A606F4">
            <w:pPr>
              <w:rPr>
                <w:rFonts w:ascii="Arial" w:eastAsia="Arial Unicode MS" w:hAnsi="Arial" w:cs="Times New Roman"/>
                <w:b/>
                <w:bCs/>
                <w:color w:val="42865E"/>
              </w:rPr>
            </w:pPr>
          </w:p>
          <w:p w14:paraId="475CFABF" w14:textId="25853218" w:rsidR="00E94980" w:rsidRPr="004C771B" w:rsidRDefault="00DB4B52" w:rsidP="00A606F4">
            <w:pPr>
              <w:spacing w:after="200" w:line="276" w:lineRule="auto"/>
            </w:pPr>
            <w:r w:rsidRPr="004C771B">
              <w:t xml:space="preserve">Since 2000, </w:t>
            </w:r>
            <w:proofErr w:type="spellStart"/>
            <w:r w:rsidR="00AA3927" w:rsidRPr="004C771B">
              <w:t>Yarra</w:t>
            </w:r>
            <w:proofErr w:type="spellEnd"/>
            <w:r w:rsidR="00AA3927" w:rsidRPr="004C771B">
              <w:t xml:space="preserve"> Valley Water</w:t>
            </w:r>
            <w:r w:rsidR="00A606F4" w:rsidRPr="004C771B">
              <w:t xml:space="preserve"> and </w:t>
            </w:r>
            <w:proofErr w:type="spellStart"/>
            <w:r w:rsidRPr="004C771B">
              <w:t>Kildonan</w:t>
            </w:r>
            <w:proofErr w:type="spellEnd"/>
            <w:r w:rsidRPr="004C771B">
              <w:t xml:space="preserve"> have worked together to assist </w:t>
            </w:r>
            <w:r w:rsidR="009D7851" w:rsidRPr="004C771B">
              <w:t xml:space="preserve">customers experiencing difficulties </w:t>
            </w:r>
            <w:r w:rsidRPr="004C771B">
              <w:t xml:space="preserve">in </w:t>
            </w:r>
            <w:r w:rsidR="009D7851" w:rsidRPr="004C771B">
              <w:t>paying their water bills</w:t>
            </w:r>
            <w:r w:rsidR="00A606F4" w:rsidRPr="004C771B">
              <w:t xml:space="preserve">. The business case analysis </w:t>
            </w:r>
            <w:r w:rsidR="00BC6C2D" w:rsidRPr="004C771B">
              <w:t>was generated</w:t>
            </w:r>
            <w:r w:rsidR="00A606F4" w:rsidRPr="004C771B">
              <w:t xml:space="preserve"> as part of the partnership</w:t>
            </w:r>
            <w:r w:rsidR="00E94980" w:rsidRPr="004C771B">
              <w:t xml:space="preserve"> and has led to a deeper</w:t>
            </w:r>
            <w:r w:rsidR="009D7851" w:rsidRPr="004C771B">
              <w:t xml:space="preserve"> understanding of this </w:t>
            </w:r>
            <w:r w:rsidR="00BC6C2D" w:rsidRPr="004C771B">
              <w:t>aspect of</w:t>
            </w:r>
            <w:r w:rsidR="009D7851" w:rsidRPr="004C771B">
              <w:t xml:space="preserve"> </w:t>
            </w:r>
            <w:proofErr w:type="spellStart"/>
            <w:r w:rsidR="00E94980" w:rsidRPr="004C771B">
              <w:t>Yarra</w:t>
            </w:r>
            <w:proofErr w:type="spellEnd"/>
            <w:r w:rsidR="00E94980" w:rsidRPr="004C771B">
              <w:t xml:space="preserve"> Valley Water’s</w:t>
            </w:r>
            <w:r w:rsidR="009D7851" w:rsidRPr="004C771B">
              <w:t xml:space="preserve"> business</w:t>
            </w:r>
            <w:r w:rsidR="00BC6C2D" w:rsidRPr="004C771B">
              <w:t xml:space="preserve"> model</w:t>
            </w:r>
            <w:r w:rsidR="00A606F4" w:rsidRPr="004C771B">
              <w:t xml:space="preserve">. </w:t>
            </w:r>
          </w:p>
          <w:p w14:paraId="56B13616" w14:textId="29B8C2B4" w:rsidR="00715C7E" w:rsidRPr="004C771B" w:rsidRDefault="00E94980" w:rsidP="00A606F4">
            <w:pPr>
              <w:spacing w:after="200" w:line="276" w:lineRule="auto"/>
            </w:pPr>
            <w:proofErr w:type="spellStart"/>
            <w:r w:rsidRPr="004C771B">
              <w:t>Kildonan</w:t>
            </w:r>
            <w:proofErr w:type="spellEnd"/>
            <w:r w:rsidR="00A606F4" w:rsidRPr="004C771B">
              <w:t xml:space="preserve"> </w:t>
            </w:r>
            <w:r w:rsidR="00797D85">
              <w:t>provides</w:t>
            </w:r>
            <w:r w:rsidR="00A606F4" w:rsidRPr="004C771B">
              <w:t xml:space="preserve"> training fo</w:t>
            </w:r>
            <w:r w:rsidRPr="004C771B">
              <w:t>r the hardship team, call centre</w:t>
            </w:r>
            <w:r w:rsidR="00A606F4" w:rsidRPr="004C771B">
              <w:t xml:space="preserve"> staff and credit managers. </w:t>
            </w:r>
            <w:proofErr w:type="spellStart"/>
            <w:r w:rsidRPr="004C771B">
              <w:t>Yarra</w:t>
            </w:r>
            <w:proofErr w:type="spellEnd"/>
            <w:r w:rsidRPr="004C771B">
              <w:t xml:space="preserve"> Valley Water </w:t>
            </w:r>
            <w:r w:rsidR="003524D0" w:rsidRPr="004C771B">
              <w:t>provides funding for a financial counselling position</w:t>
            </w:r>
            <w:r w:rsidR="004C17BB" w:rsidRPr="004C771B">
              <w:t xml:space="preserve"> </w:t>
            </w:r>
            <w:r w:rsidR="00BC6C2D" w:rsidRPr="004C771B">
              <w:t xml:space="preserve">and </w:t>
            </w:r>
            <w:r w:rsidR="004C17BB" w:rsidRPr="004C771B">
              <w:t>refers customers for financial counselling advice as appropriate</w:t>
            </w:r>
            <w:r w:rsidR="003524D0" w:rsidRPr="004C771B">
              <w:t xml:space="preserve">. However to </w:t>
            </w:r>
            <w:r w:rsidR="004C17BB" w:rsidRPr="004C771B">
              <w:t>maintain independence</w:t>
            </w:r>
            <w:r w:rsidR="003524D0" w:rsidRPr="004C771B">
              <w:t xml:space="preserve">, </w:t>
            </w:r>
            <w:r w:rsidR="004C17BB" w:rsidRPr="004C771B">
              <w:t xml:space="preserve">the financial counselling position is not </w:t>
            </w:r>
            <w:r w:rsidR="00E2611D" w:rsidRPr="004C771B">
              <w:t>dedicated or tied to servicing the compan</w:t>
            </w:r>
            <w:r w:rsidR="00A14C5A" w:rsidRPr="004C771B">
              <w:t>y.</w:t>
            </w:r>
          </w:p>
          <w:p w14:paraId="6774C268" w14:textId="793B5A7E" w:rsidR="00A606F4" w:rsidRPr="004C771B" w:rsidRDefault="00715C7E" w:rsidP="00A14C5A">
            <w:r w:rsidRPr="004C771B">
              <w:t xml:space="preserve">Thirteen years post inception, </w:t>
            </w:r>
            <w:proofErr w:type="spellStart"/>
            <w:r w:rsidR="003524D0" w:rsidRPr="004C771B">
              <w:t>Kildonan</w:t>
            </w:r>
            <w:proofErr w:type="spellEnd"/>
            <w:r w:rsidRPr="004C771B">
              <w:t xml:space="preserve"> still </w:t>
            </w:r>
            <w:r w:rsidR="003524D0" w:rsidRPr="004C771B">
              <w:t>undertakes</w:t>
            </w:r>
            <w:r w:rsidRPr="004C771B">
              <w:t xml:space="preserve"> annual reviews</w:t>
            </w:r>
            <w:r w:rsidR="003524D0" w:rsidRPr="004C771B">
              <w:t xml:space="preserve"> of the hardship function</w:t>
            </w:r>
            <w:r w:rsidR="00A14C5A" w:rsidRPr="004C771B">
              <w:t xml:space="preserve"> at </w:t>
            </w:r>
            <w:proofErr w:type="spellStart"/>
            <w:r w:rsidR="00A14C5A" w:rsidRPr="004C771B">
              <w:t>Yarra</w:t>
            </w:r>
            <w:proofErr w:type="spellEnd"/>
            <w:r w:rsidR="00A14C5A" w:rsidRPr="004C771B">
              <w:t xml:space="preserve"> Valley Water and t</w:t>
            </w:r>
            <w:r w:rsidR="003524D0" w:rsidRPr="004C771B">
              <w:t>he</w:t>
            </w:r>
            <w:r w:rsidRPr="004C771B">
              <w:t xml:space="preserve"> relationship has continued </w:t>
            </w:r>
            <w:r w:rsidR="003524D0" w:rsidRPr="004C771B">
              <w:t xml:space="preserve">to prosper </w:t>
            </w:r>
            <w:r w:rsidRPr="004C771B">
              <w:t xml:space="preserve">despite changes in senior management. </w:t>
            </w:r>
            <w:r w:rsidR="003524D0" w:rsidRPr="004C771B">
              <w:t xml:space="preserve">Nine out of </w:t>
            </w:r>
            <w:r w:rsidR="00BC6C2D" w:rsidRPr="004C771B">
              <w:t>ten</w:t>
            </w:r>
            <w:r w:rsidRPr="004C771B">
              <w:t xml:space="preserve"> people in </w:t>
            </w:r>
            <w:proofErr w:type="spellStart"/>
            <w:r w:rsidR="003524D0" w:rsidRPr="004C771B">
              <w:t>Yarra</w:t>
            </w:r>
            <w:proofErr w:type="spellEnd"/>
            <w:r w:rsidR="003524D0" w:rsidRPr="004C771B">
              <w:t xml:space="preserve"> Valley Water’s</w:t>
            </w:r>
            <w:r w:rsidRPr="004C771B">
              <w:t xml:space="preserve"> hardship system </w:t>
            </w:r>
            <w:r w:rsidR="009D7851" w:rsidRPr="004C771B">
              <w:t xml:space="preserve">are reported as </w:t>
            </w:r>
            <w:r w:rsidRPr="004C771B">
              <w:t>pay</w:t>
            </w:r>
            <w:r w:rsidR="009D7851" w:rsidRPr="004C771B">
              <w:t>ing</w:t>
            </w:r>
            <w:r w:rsidR="00B044DC" w:rsidRPr="004C771B">
              <w:t xml:space="preserve"> on time all the time.</w:t>
            </w:r>
          </w:p>
        </w:tc>
      </w:tr>
    </w:tbl>
    <w:p w14:paraId="3474B5FA" w14:textId="77777777" w:rsidR="00074D78" w:rsidRDefault="00074D78" w:rsidP="006809E5">
      <w:pPr>
        <w:spacing w:after="0" w:line="240" w:lineRule="auto"/>
      </w:pPr>
    </w:p>
    <w:p w14:paraId="7C75F52F" w14:textId="3B44CA15" w:rsidR="00E80250" w:rsidRPr="008F531C" w:rsidRDefault="00797D85" w:rsidP="00231A16">
      <w:pPr>
        <w:pStyle w:val="Heading1"/>
        <w:numPr>
          <w:ilvl w:val="1"/>
          <w:numId w:val="22"/>
        </w:numPr>
        <w:rPr>
          <w:lang w:val="en-US" w:eastAsia="ja-JP"/>
        </w:rPr>
      </w:pPr>
      <w:r>
        <w:rPr>
          <w:lang w:val="en-US" w:eastAsia="ja-JP"/>
        </w:rPr>
        <w:lastRenderedPageBreak/>
        <w:t xml:space="preserve"> </w:t>
      </w:r>
      <w:bookmarkStart w:id="52" w:name="_Toc387144760"/>
      <w:r w:rsidR="005970B8">
        <w:rPr>
          <w:lang w:val="en-US" w:eastAsia="ja-JP"/>
        </w:rPr>
        <w:t>Concessions and g</w:t>
      </w:r>
      <w:r w:rsidR="00E80250" w:rsidRPr="008F531C">
        <w:rPr>
          <w:lang w:val="en-US" w:eastAsia="ja-JP"/>
        </w:rPr>
        <w:t>rants</w:t>
      </w:r>
      <w:bookmarkEnd w:id="52"/>
    </w:p>
    <w:p w14:paraId="544C0336" w14:textId="77777777" w:rsidR="00EA5536" w:rsidRDefault="00EA5536" w:rsidP="00E80250">
      <w:pPr>
        <w:spacing w:after="0" w:line="240" w:lineRule="auto"/>
      </w:pPr>
    </w:p>
    <w:p w14:paraId="17514E98" w14:textId="51BC6FCC" w:rsidR="006E0F99" w:rsidRDefault="00797D85" w:rsidP="00797D85">
      <w:pPr>
        <w:pStyle w:val="Heading2"/>
        <w:numPr>
          <w:ilvl w:val="2"/>
          <w:numId w:val="22"/>
        </w:numPr>
      </w:pPr>
      <w:r>
        <w:t xml:space="preserve"> </w:t>
      </w:r>
      <w:bookmarkStart w:id="53" w:name="_Toc387144761"/>
      <w:r w:rsidR="006E0F99">
        <w:t>Why this topic?</w:t>
      </w:r>
      <w:bookmarkEnd w:id="53"/>
      <w:r w:rsidR="006E0F99">
        <w:t xml:space="preserve"> </w:t>
      </w:r>
    </w:p>
    <w:p w14:paraId="444DD16C" w14:textId="210E0679" w:rsidR="00852019" w:rsidRPr="004C771B" w:rsidRDefault="005E17CB" w:rsidP="004C771B">
      <w:r w:rsidRPr="004C771B">
        <w:t xml:space="preserve">Access to concessions and grants can be </w:t>
      </w:r>
      <w:r w:rsidR="000A3CCE">
        <w:t>an</w:t>
      </w:r>
      <w:r w:rsidR="000A3CCE" w:rsidRPr="004C771B">
        <w:t xml:space="preserve"> </w:t>
      </w:r>
      <w:r w:rsidRPr="004C771B">
        <w:t xml:space="preserve">enormous help to people experiencing financial hardship. </w:t>
      </w:r>
      <w:r w:rsidR="00505D0B" w:rsidRPr="004C771B">
        <w:t>There are numerous programs available</w:t>
      </w:r>
      <w:r w:rsidR="000A3CCE">
        <w:t>,</w:t>
      </w:r>
      <w:r w:rsidR="00505D0B" w:rsidRPr="004C771B">
        <w:t xml:space="preserve"> depending on the sector</w:t>
      </w:r>
      <w:r w:rsidR="000A3CCE">
        <w:t>,</w:t>
      </w:r>
      <w:r w:rsidR="00C632EF" w:rsidRPr="004C771B">
        <w:t xml:space="preserve"> including mortgage as</w:t>
      </w:r>
      <w:r w:rsidR="00551001" w:rsidRPr="004C771B">
        <w:t>sistance, utility relief grants and</w:t>
      </w:r>
      <w:r w:rsidR="00C632EF" w:rsidRPr="004C771B">
        <w:t xml:space="preserve"> utility pensioner concessions. </w:t>
      </w:r>
      <w:r w:rsidR="002B6DD1" w:rsidRPr="004C771B">
        <w:t xml:space="preserve">The benefit of </w:t>
      </w:r>
      <w:r w:rsidR="00551001" w:rsidRPr="004C771B">
        <w:t>a concession</w:t>
      </w:r>
      <w:r w:rsidR="002B6DD1" w:rsidRPr="004C771B">
        <w:t xml:space="preserve"> is </w:t>
      </w:r>
      <w:r w:rsidR="000A3CCE">
        <w:t>its long term basis. I</w:t>
      </w:r>
      <w:r w:rsidR="00551001" w:rsidRPr="004C771B">
        <w:t>t</w:t>
      </w:r>
      <w:r w:rsidR="002B6DD1" w:rsidRPr="004C771B">
        <w:t xml:space="preserve"> is </w:t>
      </w:r>
      <w:r w:rsidR="00551001" w:rsidRPr="004C771B">
        <w:t xml:space="preserve">an </w:t>
      </w:r>
      <w:proofErr w:type="spellStart"/>
      <w:r w:rsidR="002B6DD1" w:rsidRPr="004C771B">
        <w:rPr>
          <w:i/>
        </w:rPr>
        <w:t>ongoing</w:t>
      </w:r>
      <w:proofErr w:type="spellEnd"/>
      <w:r w:rsidR="002B6DD1" w:rsidRPr="004C771B">
        <w:t xml:space="preserve"> additional income</w:t>
      </w:r>
      <w:r w:rsidR="00551001" w:rsidRPr="004C771B">
        <w:t xml:space="preserve"> source</w:t>
      </w:r>
      <w:r w:rsidR="002B6DD1" w:rsidRPr="004C771B">
        <w:t xml:space="preserve"> for </w:t>
      </w:r>
      <w:r w:rsidR="00551001" w:rsidRPr="004C771B">
        <w:t>recipients</w:t>
      </w:r>
      <w:r w:rsidR="002B6DD1" w:rsidRPr="004C771B">
        <w:t>, so long as eligibility status</w:t>
      </w:r>
      <w:r w:rsidR="00551001" w:rsidRPr="004C771B">
        <w:t xml:space="preserve"> is maintained</w:t>
      </w:r>
      <w:r w:rsidR="002B6DD1" w:rsidRPr="004C771B">
        <w:t>.</w:t>
      </w:r>
      <w:r w:rsidR="00551001" w:rsidRPr="004C771B">
        <w:t xml:space="preserve"> The concession </w:t>
      </w:r>
      <w:r w:rsidR="000A3CCE">
        <w:t>allows</w:t>
      </w:r>
      <w:r w:rsidR="000A3CCE" w:rsidRPr="004C771B">
        <w:t xml:space="preserve"> </w:t>
      </w:r>
      <w:r w:rsidR="000A3CCE">
        <w:t>beneficiaries</w:t>
      </w:r>
      <w:r w:rsidR="00852019" w:rsidRPr="004C771B">
        <w:t xml:space="preserve"> </w:t>
      </w:r>
      <w:r w:rsidR="000A3CCE">
        <w:t xml:space="preserve">to access </w:t>
      </w:r>
      <w:r w:rsidR="00852019" w:rsidRPr="004C771B">
        <w:t>a more affordable service than would otherwise be the case.</w:t>
      </w:r>
    </w:p>
    <w:p w14:paraId="488B9ABC" w14:textId="285F9A1E" w:rsidR="00852019" w:rsidRDefault="00551001" w:rsidP="008F6663">
      <w:r w:rsidRPr="004C771B">
        <w:t>U</w:t>
      </w:r>
      <w:r w:rsidR="00852019" w:rsidRPr="004C771B">
        <w:t>tility relief grants (</w:t>
      </w:r>
      <w:proofErr w:type="spellStart"/>
      <w:r w:rsidR="00852019" w:rsidRPr="004C771B">
        <w:t>URGs</w:t>
      </w:r>
      <w:proofErr w:type="spellEnd"/>
      <w:r w:rsidR="00852019" w:rsidRPr="004C771B">
        <w:t xml:space="preserve">) </w:t>
      </w:r>
      <w:r w:rsidRPr="004C771B">
        <w:t xml:space="preserve">are larger, one-off </w:t>
      </w:r>
      <w:r w:rsidR="00852019" w:rsidRPr="004C771B">
        <w:t>lump sum</w:t>
      </w:r>
      <w:r w:rsidR="00703CC9">
        <w:t xml:space="preserve"> payments</w:t>
      </w:r>
      <w:r w:rsidR="00852019" w:rsidRPr="004C771B">
        <w:t xml:space="preserve"> that can help consumers manage or overcome </w:t>
      </w:r>
      <w:r w:rsidR="00495A36" w:rsidRPr="004C771B">
        <w:t>any</w:t>
      </w:r>
      <w:r w:rsidR="00852019" w:rsidRPr="004C771B">
        <w:t xml:space="preserve"> arrears. </w:t>
      </w:r>
      <w:r w:rsidR="00495A36" w:rsidRPr="004C771B">
        <w:t xml:space="preserve">Grants are designed as a </w:t>
      </w:r>
      <w:r w:rsidR="00DA0C85" w:rsidRPr="004C771B">
        <w:t>‘</w:t>
      </w:r>
      <w:r w:rsidR="00852019" w:rsidRPr="004C771B">
        <w:t>clean slat</w:t>
      </w:r>
      <w:r w:rsidR="00495A36" w:rsidRPr="004C771B">
        <w:t>e</w:t>
      </w:r>
      <w:r w:rsidR="00DA0C85" w:rsidRPr="004C771B">
        <w:t>’</w:t>
      </w:r>
      <w:r w:rsidR="00852019" w:rsidRPr="004C771B">
        <w:t xml:space="preserve"> </w:t>
      </w:r>
      <w:proofErr w:type="gramStart"/>
      <w:r w:rsidR="00852019" w:rsidRPr="004C771B">
        <w:t>tool,</w:t>
      </w:r>
      <w:proofErr w:type="gramEnd"/>
      <w:r w:rsidR="00852019" w:rsidRPr="004C771B">
        <w:t xml:space="preserve"> </w:t>
      </w:r>
      <w:r w:rsidR="00703CC9">
        <w:t>however,</w:t>
      </w:r>
      <w:r w:rsidR="00852019" w:rsidRPr="004C771B">
        <w:t xml:space="preserve"> the</w:t>
      </w:r>
      <w:r w:rsidR="00495A36" w:rsidRPr="004C771B">
        <w:t>ir</w:t>
      </w:r>
      <w:r w:rsidR="00852019" w:rsidRPr="004C771B">
        <w:t xml:space="preserve"> value has eroded</w:t>
      </w:r>
      <w:r w:rsidR="00703CC9" w:rsidRPr="00703CC9">
        <w:t xml:space="preserve"> </w:t>
      </w:r>
      <w:r w:rsidR="00703CC9" w:rsidRPr="00280139">
        <w:t>over time</w:t>
      </w:r>
      <w:r w:rsidR="00852019" w:rsidRPr="004C771B">
        <w:t>. Nevertheless</w:t>
      </w:r>
      <w:r w:rsidR="00703CC9">
        <w:t>,</w:t>
      </w:r>
      <w:r w:rsidR="00852019" w:rsidRPr="004C771B">
        <w:t xml:space="preserve"> </w:t>
      </w:r>
      <w:r w:rsidR="00495A36" w:rsidRPr="004C771B">
        <w:t xml:space="preserve">grants can </w:t>
      </w:r>
      <w:r w:rsidR="00852019" w:rsidRPr="004C771B">
        <w:t xml:space="preserve">still </w:t>
      </w:r>
      <w:r w:rsidR="00495A36" w:rsidRPr="004C771B">
        <w:t xml:space="preserve">be </w:t>
      </w:r>
      <w:r w:rsidR="00852019" w:rsidRPr="004C771B">
        <w:t>immensely helpful to many consumers.</w:t>
      </w:r>
      <w:r w:rsidR="00FE49FF">
        <w:t xml:space="preserve"> They also help retailer</w:t>
      </w:r>
      <w:r w:rsidR="006C768A">
        <w:t>s deal with significant arrears</w:t>
      </w:r>
      <w:r w:rsidR="00FE49FF">
        <w:t xml:space="preserve"> and</w:t>
      </w:r>
      <w:r w:rsidR="006C768A">
        <w:t>,</w:t>
      </w:r>
      <w:r w:rsidR="00FE49FF">
        <w:t xml:space="preserve"> therefore</w:t>
      </w:r>
      <w:r w:rsidR="006C768A">
        <w:t>,</w:t>
      </w:r>
      <w:r w:rsidR="00FE49FF">
        <w:t xml:space="preserve"> create a pathway for people to better manage their current consumption.</w:t>
      </w:r>
    </w:p>
    <w:p w14:paraId="08964796" w14:textId="51370A54" w:rsidR="00495A36" w:rsidRDefault="001A1DE7" w:rsidP="008F6663">
      <w:pPr>
        <w:pStyle w:val="Heading2"/>
      </w:pPr>
      <w:bookmarkStart w:id="54" w:name="_Toc387144762"/>
      <w:r>
        <w:t>2.</w:t>
      </w:r>
      <w:r w:rsidR="00AC4656">
        <w:t>6.2</w:t>
      </w:r>
      <w:r w:rsidR="008F6663">
        <w:t xml:space="preserve"> </w:t>
      </w:r>
      <w:r w:rsidR="005970B8">
        <w:t>Research f</w:t>
      </w:r>
      <w:r w:rsidR="006E0F99">
        <w:t>indings</w:t>
      </w:r>
      <w:bookmarkEnd w:id="54"/>
    </w:p>
    <w:p w14:paraId="5A1887DE" w14:textId="3CDD6B35" w:rsidR="00495A36" w:rsidRPr="004C771B" w:rsidRDefault="00495A36" w:rsidP="008F6663">
      <w:pPr>
        <w:pStyle w:val="Heading3"/>
      </w:pPr>
      <w:r w:rsidRPr="004C771B">
        <w:t xml:space="preserve">Australia’s concession framework </w:t>
      </w:r>
      <w:r w:rsidR="00F927D2" w:rsidRPr="004C771B">
        <w:t>needs work – we need a national approach</w:t>
      </w:r>
    </w:p>
    <w:p w14:paraId="65DCAB19" w14:textId="2B98580E" w:rsidR="00F927D2" w:rsidRPr="004C771B" w:rsidRDefault="00703CC9" w:rsidP="004C771B">
      <w:r>
        <w:t>O</w:t>
      </w:r>
      <w:r w:rsidR="00C632EF" w:rsidRPr="004C771B">
        <w:t>verall</w:t>
      </w:r>
      <w:r>
        <w:t>,</w:t>
      </w:r>
      <w:r w:rsidR="00C632EF" w:rsidRPr="004C771B">
        <w:t xml:space="preserve"> </w:t>
      </w:r>
      <w:r>
        <w:t xml:space="preserve">data compiled from </w:t>
      </w:r>
      <w:r w:rsidR="00C632EF" w:rsidRPr="004C771B">
        <w:t xml:space="preserve">the </w:t>
      </w:r>
      <w:r w:rsidRPr="001C7D51">
        <w:t>workshop</w:t>
      </w:r>
      <w:r>
        <w:t>,</w:t>
      </w:r>
      <w:r w:rsidRPr="00703CC9">
        <w:t xml:space="preserve"> </w:t>
      </w:r>
      <w:r w:rsidR="00C632EF" w:rsidRPr="004C771B">
        <w:t xml:space="preserve">interviews, and desktop research </w:t>
      </w:r>
      <w:r>
        <w:t xml:space="preserve">indicated </w:t>
      </w:r>
      <w:r w:rsidR="00C632EF" w:rsidRPr="004C771B">
        <w:t xml:space="preserve">that Australia’s concession framework </w:t>
      </w:r>
      <w:r w:rsidR="00221D44" w:rsidRPr="004C771B">
        <w:t>can be considerably improved</w:t>
      </w:r>
      <w:r w:rsidR="00C632EF" w:rsidRPr="004C771B">
        <w:t xml:space="preserve">. </w:t>
      </w:r>
    </w:p>
    <w:p w14:paraId="3925E6AD" w14:textId="3E07A277" w:rsidR="00D26C9C" w:rsidRPr="004C771B" w:rsidRDefault="00F927D2" w:rsidP="004C771B">
      <w:r w:rsidRPr="004C771B">
        <w:t xml:space="preserve">Workshop participants </w:t>
      </w:r>
      <w:r w:rsidR="00221D44" w:rsidRPr="004C771B">
        <w:t>described the concessions framework in Australia as</w:t>
      </w:r>
      <w:r w:rsidRPr="004C771B">
        <w:t xml:space="preserve"> </w:t>
      </w:r>
      <w:r w:rsidRPr="006C768A">
        <w:rPr>
          <w:i/>
        </w:rPr>
        <w:t>ad hoc</w:t>
      </w:r>
      <w:r w:rsidRPr="004C771B">
        <w:t xml:space="preserve">, inconsistent, complex, confusing and in many instances, inadequate. The group argued that a national framework with consistent eligibility, appropriate </w:t>
      </w:r>
      <w:r w:rsidR="00703CC9" w:rsidRPr="0003073F">
        <w:t>fund</w:t>
      </w:r>
      <w:r w:rsidR="00703CC9">
        <w:t>ing</w:t>
      </w:r>
      <w:r w:rsidR="00703CC9" w:rsidRPr="00703CC9">
        <w:t xml:space="preserve"> </w:t>
      </w:r>
      <w:r w:rsidRPr="004C771B">
        <w:t>and online</w:t>
      </w:r>
      <w:r w:rsidR="00703CC9" w:rsidRPr="00703CC9">
        <w:t xml:space="preserve"> </w:t>
      </w:r>
      <w:r w:rsidR="00703CC9" w:rsidRPr="00526E21">
        <w:t>accessib</w:t>
      </w:r>
      <w:r w:rsidR="00703CC9">
        <w:t>ility</w:t>
      </w:r>
      <w:r w:rsidR="00703CC9" w:rsidRPr="00704ABF">
        <w:t xml:space="preserve"> </w:t>
      </w:r>
      <w:r w:rsidR="00703CC9">
        <w:t>is</w:t>
      </w:r>
      <w:r w:rsidR="00703CC9" w:rsidRPr="00704ABF">
        <w:t xml:space="preserve"> ne</w:t>
      </w:r>
      <w:r w:rsidR="00703CC9">
        <w:t>cessary</w:t>
      </w:r>
      <w:r w:rsidRPr="004C771B">
        <w:t xml:space="preserve">. Centrelink would be the preferred information and distribution point. A national database of available benefits relevant to </w:t>
      </w:r>
      <w:r w:rsidR="00DD3AEF">
        <w:t xml:space="preserve">all industries is also needed. </w:t>
      </w:r>
    </w:p>
    <w:p w14:paraId="2B172DCB" w14:textId="6435A637" w:rsidR="00E23F0B" w:rsidRPr="004C771B" w:rsidRDefault="00D26C9C" w:rsidP="00DD3AEF">
      <w:pPr>
        <w:pStyle w:val="Heading3"/>
      </w:pPr>
      <w:r w:rsidRPr="004C771B">
        <w:t>Many consumers are not accessing all of the concessions to which they are entitled</w:t>
      </w:r>
    </w:p>
    <w:p w14:paraId="6AF7ACFD" w14:textId="1855DA7B" w:rsidR="006F0214" w:rsidRPr="004C771B" w:rsidRDefault="00EE5DE1" w:rsidP="004C771B">
      <w:pPr>
        <w:rPr>
          <w:sz w:val="24"/>
          <w:szCs w:val="24"/>
        </w:rPr>
      </w:pPr>
      <w:r>
        <w:t>According to the f</w:t>
      </w:r>
      <w:r w:rsidR="00766D3B" w:rsidRPr="004C771B">
        <w:t>inancial counsellor</w:t>
      </w:r>
      <w:r>
        <w:t xml:space="preserve"> interviewees,</w:t>
      </w:r>
      <w:r w:rsidR="00766D3B" w:rsidRPr="004C771B">
        <w:t xml:space="preserve"> many clients are not receiving access to all concessions to which they are entitled. </w:t>
      </w:r>
      <w:r w:rsidR="00495A36" w:rsidRPr="004C771B">
        <w:t>Clients</w:t>
      </w:r>
      <w:r w:rsidR="00FB3725" w:rsidRPr="004C771B">
        <w:t xml:space="preserve"> either </w:t>
      </w:r>
      <w:r w:rsidR="00495A36" w:rsidRPr="004C771B">
        <w:t>do not</w:t>
      </w:r>
      <w:r w:rsidR="00FB3725" w:rsidRPr="004C771B">
        <w:t xml:space="preserve"> </w:t>
      </w:r>
      <w:r>
        <w:t>realise</w:t>
      </w:r>
      <w:r w:rsidRPr="004C771B">
        <w:t xml:space="preserve"> </w:t>
      </w:r>
      <w:r w:rsidR="00FB3725" w:rsidRPr="004C771B">
        <w:t>they are entitled to</w:t>
      </w:r>
      <w:r>
        <w:t xml:space="preserve"> certain</w:t>
      </w:r>
      <w:r w:rsidR="00FB3725" w:rsidRPr="004C771B">
        <w:t xml:space="preserve"> concessions, or that </w:t>
      </w:r>
      <w:r>
        <w:t>concessions</w:t>
      </w:r>
      <w:r w:rsidRPr="004C771B">
        <w:t xml:space="preserve"> </w:t>
      </w:r>
      <w:r w:rsidRPr="00BB2F3A">
        <w:t>specific</w:t>
      </w:r>
      <w:r w:rsidRPr="00EE5DE1">
        <w:t xml:space="preserve"> </w:t>
      </w:r>
      <w:r>
        <w:t xml:space="preserve">to their circumstances </w:t>
      </w:r>
      <w:r w:rsidR="00FB3725" w:rsidRPr="004C771B">
        <w:t>exist</w:t>
      </w:r>
      <w:r w:rsidR="00D26C9C" w:rsidRPr="004C771B">
        <w:t xml:space="preserve"> (</w:t>
      </w:r>
      <w:r w:rsidR="00561513">
        <w:t>e.g.</w:t>
      </w:r>
      <w:r>
        <w:t xml:space="preserve"> </w:t>
      </w:r>
      <w:r w:rsidR="00FB3725" w:rsidRPr="004C771B">
        <w:t>medical conditions requiring temperature control</w:t>
      </w:r>
      <w:r w:rsidR="00D26C9C" w:rsidRPr="004C771B">
        <w:t xml:space="preserve">). In other cases, clients </w:t>
      </w:r>
      <w:r w:rsidR="003608E7">
        <w:t xml:space="preserve">have dropped off the </w:t>
      </w:r>
      <w:r w:rsidR="00FB3725" w:rsidRPr="004C771B">
        <w:t xml:space="preserve">radar because they </w:t>
      </w:r>
      <w:r w:rsidR="00D26C9C" w:rsidRPr="004C771B">
        <w:t>have</w:t>
      </w:r>
      <w:r w:rsidR="00495A36" w:rsidRPr="004C771B">
        <w:t xml:space="preserve"> not</w:t>
      </w:r>
      <w:r w:rsidR="00FB3725" w:rsidRPr="004C771B">
        <w:t xml:space="preserve"> contact</w:t>
      </w:r>
      <w:r w:rsidR="00D26C9C" w:rsidRPr="004C771B">
        <w:t>ed</w:t>
      </w:r>
      <w:r w:rsidR="00FB3725" w:rsidRPr="004C771B">
        <w:t xml:space="preserve"> the company to </w:t>
      </w:r>
      <w:r w:rsidR="006F0214" w:rsidRPr="004C771B">
        <w:t xml:space="preserve">renew their concession status – </w:t>
      </w:r>
      <w:r w:rsidR="00D26C9C" w:rsidRPr="004C771B">
        <w:t>presumably</w:t>
      </w:r>
      <w:r w:rsidR="006F0214" w:rsidRPr="004C771B">
        <w:t xml:space="preserve"> believing that </w:t>
      </w:r>
      <w:r w:rsidR="00D26C9C" w:rsidRPr="004C771B">
        <w:t>the concession</w:t>
      </w:r>
      <w:r w:rsidR="006F0214" w:rsidRPr="004C771B">
        <w:t xml:space="preserve"> would continue automatically. </w:t>
      </w:r>
    </w:p>
    <w:p w14:paraId="33F80CB7" w14:textId="41D72520" w:rsidR="006F0214" w:rsidRPr="004C771B" w:rsidRDefault="006F0214" w:rsidP="004C771B">
      <w:r w:rsidRPr="004C771B">
        <w:t>Most of the concessions are in the utilities space. Some are</w:t>
      </w:r>
      <w:r w:rsidR="003608E7">
        <w:t xml:space="preserve"> percentage based and others</w:t>
      </w:r>
      <w:r w:rsidRPr="004C771B">
        <w:t xml:space="preserve"> </w:t>
      </w:r>
      <w:r w:rsidR="00EE5DE1">
        <w:t>promise</w:t>
      </w:r>
      <w:r w:rsidR="00EE5DE1" w:rsidRPr="004C771B">
        <w:t xml:space="preserve"> </w:t>
      </w:r>
      <w:r w:rsidRPr="004C771B">
        <w:t xml:space="preserve">a fixed amount. Telstra has a line rental concession but no concessions for usage. In some states, pensioner status entitles consumers to </w:t>
      </w:r>
      <w:r w:rsidR="00EE5DE1">
        <w:t xml:space="preserve">receive </w:t>
      </w:r>
      <w:r w:rsidRPr="004C771B">
        <w:t>discounts across a range of services</w:t>
      </w:r>
      <w:r w:rsidR="00EE5DE1">
        <w:t>,</w:t>
      </w:r>
      <w:r w:rsidRPr="004C771B">
        <w:t xml:space="preserve"> including a rates </w:t>
      </w:r>
      <w:r w:rsidRPr="004C771B">
        <w:lastRenderedPageBreak/>
        <w:t xml:space="preserve">discount. </w:t>
      </w:r>
      <w:r w:rsidR="00EE5DE1">
        <w:t>T</w:t>
      </w:r>
      <w:r w:rsidR="00EE5DE1" w:rsidRPr="003B3453">
        <w:t>herefore</w:t>
      </w:r>
      <w:r w:rsidR="00EE5DE1">
        <w:t>,</w:t>
      </w:r>
      <w:r w:rsidR="00EE5DE1" w:rsidRPr="00EE5DE1">
        <w:t xml:space="preserve"> </w:t>
      </w:r>
      <w:r w:rsidR="00EE5DE1">
        <w:t>c</w:t>
      </w:r>
      <w:r w:rsidR="00D26C9C" w:rsidRPr="004C771B">
        <w:t xml:space="preserve">oncessions </w:t>
      </w:r>
      <w:r w:rsidRPr="004C771B">
        <w:t xml:space="preserve">can be </w:t>
      </w:r>
      <w:r w:rsidR="00EE5DE1">
        <w:t>highly</w:t>
      </w:r>
      <w:r w:rsidR="00EE5DE1" w:rsidRPr="004C771B">
        <w:t xml:space="preserve"> </w:t>
      </w:r>
      <w:r w:rsidRPr="004C771B">
        <w:t xml:space="preserve">valuable, and consumers </w:t>
      </w:r>
      <w:r w:rsidR="00EE5DE1">
        <w:t>not receiving concessions</w:t>
      </w:r>
      <w:r w:rsidRPr="004C771B">
        <w:t xml:space="preserve"> are incurring significant monetary detriment.</w:t>
      </w:r>
    </w:p>
    <w:p w14:paraId="18D8BB47" w14:textId="63288FF0" w:rsidR="00342630" w:rsidRPr="004C771B" w:rsidRDefault="00EE5DE1" w:rsidP="004C771B">
      <w:r w:rsidRPr="004C771B">
        <w:t>Th</w:t>
      </w:r>
      <w:r>
        <w:t>e</w:t>
      </w:r>
      <w:r w:rsidRPr="004C771B">
        <w:t xml:space="preserve"> </w:t>
      </w:r>
      <w:r w:rsidR="006F0214" w:rsidRPr="004C771B">
        <w:t xml:space="preserve">issue of eligible </w:t>
      </w:r>
      <w:proofErr w:type="gramStart"/>
      <w:r>
        <w:t>consumers</w:t>
      </w:r>
      <w:proofErr w:type="gramEnd"/>
      <w:r w:rsidRPr="004C771B">
        <w:t xml:space="preserve"> </w:t>
      </w:r>
      <w:r>
        <w:t>not receiving</w:t>
      </w:r>
      <w:r w:rsidR="006F0214" w:rsidRPr="004C771B">
        <w:t xml:space="preserve"> concessions </w:t>
      </w:r>
      <w:r w:rsidR="00766D3B" w:rsidRPr="004C771B">
        <w:t xml:space="preserve">has also been </w:t>
      </w:r>
      <w:r>
        <w:t>investigated</w:t>
      </w:r>
      <w:r w:rsidRPr="004C771B">
        <w:t xml:space="preserve"> </w:t>
      </w:r>
      <w:r w:rsidR="00766D3B" w:rsidRPr="004C771B">
        <w:t xml:space="preserve">by The Australia Institute. </w:t>
      </w:r>
      <w:r w:rsidR="000C535A" w:rsidRPr="004C771B">
        <w:t xml:space="preserve">They found </w:t>
      </w:r>
      <w:r>
        <w:t xml:space="preserve">that </w:t>
      </w:r>
      <w:r w:rsidR="000C535A" w:rsidRPr="004C771B">
        <w:t>across</w:t>
      </w:r>
      <w:r>
        <w:t xml:space="preserve"> only</w:t>
      </w:r>
      <w:r w:rsidR="000C535A" w:rsidRPr="004C771B">
        <w:t xml:space="preserve"> four Centrelink payments – Parenting Payment, Carer Allowance, Disability Support Pension and Bereavement Allowance – 168,000 Australians were missing out on </w:t>
      </w:r>
      <w:r w:rsidR="00D5316E" w:rsidRPr="004C771B">
        <w:t xml:space="preserve">assistance </w:t>
      </w:r>
      <w:r>
        <w:t xml:space="preserve">to which </w:t>
      </w:r>
      <w:r w:rsidR="00D5316E" w:rsidRPr="004C771B">
        <w:t xml:space="preserve">they were entitled. </w:t>
      </w:r>
      <w:r w:rsidRPr="004C771B">
        <w:t>Th</w:t>
      </w:r>
      <w:r>
        <w:t>e unused benefits</w:t>
      </w:r>
      <w:r w:rsidRPr="004C771B">
        <w:t xml:space="preserve"> </w:t>
      </w:r>
      <w:r w:rsidR="00D5316E" w:rsidRPr="004C771B">
        <w:t>amounted to $623 million.</w:t>
      </w:r>
      <w:r w:rsidR="00D5316E" w:rsidRPr="004C771B">
        <w:rPr>
          <w:rStyle w:val="FootnoteReference"/>
          <w:sz w:val="24"/>
          <w:szCs w:val="24"/>
        </w:rPr>
        <w:footnoteReference w:id="31"/>
      </w:r>
      <w:r w:rsidR="00D5316E" w:rsidRPr="004C771B">
        <w:t xml:space="preserve"> </w:t>
      </w:r>
      <w:r>
        <w:t xml:space="preserve">The </w:t>
      </w:r>
      <w:r w:rsidR="00D5316E" w:rsidRPr="004C771B">
        <w:t>government does not actively promote awareness of these entitlements</w:t>
      </w:r>
      <w:r>
        <w:t xml:space="preserve"> and this was t</w:t>
      </w:r>
      <w:r w:rsidRPr="00CC520A">
        <w:t xml:space="preserve">he main reason for </w:t>
      </w:r>
      <w:r>
        <w:t xml:space="preserve">potential beneficiaries </w:t>
      </w:r>
      <w:r w:rsidRPr="00CC520A">
        <w:t>‘missing out’</w:t>
      </w:r>
      <w:r w:rsidR="00D5316E" w:rsidRPr="004C771B">
        <w:t>. Other problems included complex paperwork</w:t>
      </w:r>
      <w:r w:rsidR="00DB3412" w:rsidRPr="004C771B">
        <w:t>, people dropping off company systems due to a failure to renew concession status periodically,</w:t>
      </w:r>
      <w:r w:rsidR="00D5316E" w:rsidRPr="004C771B">
        <w:t xml:space="preserve"> and a fear by beneficiaries of stigmatisation.</w:t>
      </w:r>
      <w:r w:rsidR="00852019" w:rsidRPr="004C771B">
        <w:t xml:space="preserve"> </w:t>
      </w:r>
    </w:p>
    <w:p w14:paraId="75113B94" w14:textId="090EC691" w:rsidR="007753A2" w:rsidRPr="004C771B" w:rsidRDefault="00342630" w:rsidP="00FE003A">
      <w:pPr>
        <w:pStyle w:val="Heading3"/>
      </w:pPr>
      <w:r w:rsidRPr="004C771B">
        <w:t>Financial counsellors and industry can all play a role in helping people access concessions and grants</w:t>
      </w:r>
    </w:p>
    <w:p w14:paraId="54764D9A" w14:textId="1E5296C1" w:rsidR="00342630" w:rsidRPr="004C771B" w:rsidRDefault="00342630" w:rsidP="004C771B">
      <w:r w:rsidRPr="004C771B">
        <w:t xml:space="preserve">Financial counsellors will often </w:t>
      </w:r>
      <w:r w:rsidR="00F70D95">
        <w:t>aid</w:t>
      </w:r>
      <w:r w:rsidR="00F70D95" w:rsidRPr="004C771B">
        <w:t xml:space="preserve"> </w:t>
      </w:r>
      <w:r w:rsidRPr="004C771B">
        <w:t xml:space="preserve">consumers to apply for concessions </w:t>
      </w:r>
      <w:r w:rsidR="00F70D95">
        <w:t>for which they may qualify</w:t>
      </w:r>
      <w:r w:rsidRPr="004C771B">
        <w:t xml:space="preserve">. A </w:t>
      </w:r>
      <w:r w:rsidR="00DA0C85" w:rsidRPr="004C771B">
        <w:t>‘</w:t>
      </w:r>
      <w:r w:rsidRPr="004C771B">
        <w:t>solution</w:t>
      </w:r>
      <w:r w:rsidR="00DA0C85" w:rsidRPr="004C771B">
        <w:t>’</w:t>
      </w:r>
      <w:r w:rsidRPr="004C771B">
        <w:t xml:space="preserve"> for a financial counselling client is often </w:t>
      </w:r>
      <w:r w:rsidR="00F70D95">
        <w:t xml:space="preserve">a </w:t>
      </w:r>
      <w:r w:rsidRPr="004C771B">
        <w:t>patchwork of smaller fixes</w:t>
      </w:r>
      <w:r w:rsidR="00F70D95">
        <w:t>. F</w:t>
      </w:r>
      <w:r w:rsidRPr="004C771B">
        <w:t xml:space="preserve">or example, access to a concession and possibly a grant, a payment arrangement for debt, a moratorium for debt </w:t>
      </w:r>
      <w:r w:rsidR="00F70D95">
        <w:t>etc…</w:t>
      </w:r>
      <w:r w:rsidRPr="004C771B">
        <w:t xml:space="preserve"> Negotiating these different arrangements can be very time consuming.</w:t>
      </w:r>
    </w:p>
    <w:p w14:paraId="1BBBA228" w14:textId="395956B0" w:rsidR="00492382" w:rsidRDefault="007753A2" w:rsidP="004C771B">
      <w:r w:rsidRPr="004C771B">
        <w:t xml:space="preserve">Workshop participants </w:t>
      </w:r>
      <w:r w:rsidR="00221D44" w:rsidRPr="004C771B">
        <w:t xml:space="preserve">also </w:t>
      </w:r>
      <w:r w:rsidR="00F70D95">
        <w:t xml:space="preserve">emphasised </w:t>
      </w:r>
      <w:r w:rsidRPr="004C771B">
        <w:t>that industry</w:t>
      </w:r>
      <w:r w:rsidR="00766D3B" w:rsidRPr="004C771B">
        <w:t xml:space="preserve"> has an important</w:t>
      </w:r>
      <w:r w:rsidRPr="004C771B">
        <w:t xml:space="preserve"> role to play in </w:t>
      </w:r>
      <w:r w:rsidR="005726A3" w:rsidRPr="004C771B">
        <w:t>advising</w:t>
      </w:r>
      <w:r w:rsidRPr="004C771B">
        <w:t xml:space="preserve"> </w:t>
      </w:r>
      <w:r w:rsidR="00766D3B" w:rsidRPr="004C771B">
        <w:t>customers of the existence of concession and grant programs</w:t>
      </w:r>
      <w:r w:rsidR="00B02F72" w:rsidRPr="004C771B">
        <w:t>.</w:t>
      </w:r>
      <w:r w:rsidR="00766D3B" w:rsidRPr="004C771B">
        <w:t xml:space="preserve"> It was also noted that there could be regulatory requirements to </w:t>
      </w:r>
      <w:r w:rsidR="001A41DB">
        <w:t xml:space="preserve">proactively </w:t>
      </w:r>
      <w:r w:rsidR="00766D3B" w:rsidRPr="004C771B">
        <w:t>check</w:t>
      </w:r>
      <w:r w:rsidR="001A41DB">
        <w:t xml:space="preserve"> for</w:t>
      </w:r>
      <w:r w:rsidR="00766D3B" w:rsidRPr="004C771B">
        <w:t xml:space="preserve"> eligibility</w:t>
      </w:r>
      <w:r w:rsidR="002B6DD1" w:rsidRPr="004C771B">
        <w:t>.</w:t>
      </w:r>
      <w:r w:rsidR="00B02F72" w:rsidRPr="004C771B">
        <w:t xml:space="preserve"> </w:t>
      </w:r>
      <w:r w:rsidR="001A41DB">
        <w:t>I</w:t>
      </w:r>
      <w:r w:rsidR="00B02F72" w:rsidRPr="004C771B">
        <w:t xml:space="preserve">nterviewees confirmed that some industry frontline staff and hardship departments </w:t>
      </w:r>
      <w:r w:rsidR="001A41DB">
        <w:t>actively</w:t>
      </w:r>
      <w:r w:rsidR="00B02F72" w:rsidRPr="004C771B">
        <w:t xml:space="preserve"> identify eligible consumers who are missing out on concessions. The energy and water ombudsmen also </w:t>
      </w:r>
      <w:r w:rsidR="001A41DB">
        <w:t>carry out this process of identification</w:t>
      </w:r>
      <w:r w:rsidR="00B02F72" w:rsidRPr="004C771B">
        <w:t xml:space="preserve">. </w:t>
      </w:r>
    </w:p>
    <w:p w14:paraId="6A37FB20" w14:textId="38DEEAD8" w:rsidR="00B02F72" w:rsidRPr="004C771B" w:rsidRDefault="00492382" w:rsidP="004C771B">
      <w:r>
        <w:t>Some financial counsellors said that sometimes industry workers impede clients from getting utility grants, refusing to supply the forms due to pre-judging a person’s eligibility, when they in fact have no actual role in this assessment. Those that present to financial counsellors get</w:t>
      </w:r>
      <w:r w:rsidR="009862E3">
        <w:t xml:space="preserve"> assistance to pass this block.</w:t>
      </w:r>
    </w:p>
    <w:p w14:paraId="10DAED4A" w14:textId="5C95B415" w:rsidR="006F0214" w:rsidRPr="004C771B" w:rsidRDefault="00ED0238" w:rsidP="009862E3">
      <w:pPr>
        <w:pStyle w:val="Heading3"/>
      </w:pPr>
      <w:r w:rsidRPr="004C771B">
        <w:t xml:space="preserve">Concessions and grants do not target all those who need assistance </w:t>
      </w:r>
    </w:p>
    <w:p w14:paraId="61708889" w14:textId="3823A5BC" w:rsidR="00007518" w:rsidRDefault="00ED0238" w:rsidP="000949BA">
      <w:r w:rsidRPr="004C771B">
        <w:t>E</w:t>
      </w:r>
      <w:r w:rsidR="008E59EF" w:rsidRPr="004C771B">
        <w:t xml:space="preserve">ligibility </w:t>
      </w:r>
      <w:r w:rsidRPr="004C771B">
        <w:t xml:space="preserve">for </w:t>
      </w:r>
      <w:r w:rsidR="00FD1CF4" w:rsidRPr="004C771B">
        <w:t xml:space="preserve">many </w:t>
      </w:r>
      <w:r w:rsidRPr="004C771B">
        <w:t>concessions and grants are</w:t>
      </w:r>
      <w:r w:rsidR="00FD1CF4" w:rsidRPr="004C771B">
        <w:t xml:space="preserve"> frequently</w:t>
      </w:r>
      <w:r w:rsidRPr="004C771B">
        <w:t xml:space="preserve"> based on criteria such as holding a health care card. </w:t>
      </w:r>
      <w:r w:rsidR="001A41DB">
        <w:t>H</w:t>
      </w:r>
      <w:r w:rsidR="001A41DB" w:rsidRPr="008B2061">
        <w:t>owever</w:t>
      </w:r>
      <w:r w:rsidR="001A41DB">
        <w:t>,</w:t>
      </w:r>
      <w:r w:rsidR="001A41DB" w:rsidRPr="001A41DB">
        <w:t xml:space="preserve"> </w:t>
      </w:r>
      <w:r w:rsidR="001A41DB">
        <w:t>t</w:t>
      </w:r>
      <w:r w:rsidRPr="004C771B">
        <w:t>his</w:t>
      </w:r>
      <w:r w:rsidR="006F0214" w:rsidRPr="004C771B">
        <w:t xml:space="preserve"> </w:t>
      </w:r>
      <w:r w:rsidR="008E59EF" w:rsidRPr="004C771B">
        <w:t xml:space="preserve">cohort does not </w:t>
      </w:r>
      <w:r w:rsidR="005F1FB6" w:rsidRPr="004C771B">
        <w:t xml:space="preserve">adequately </w:t>
      </w:r>
      <w:r w:rsidR="001A41DB">
        <w:t>include</w:t>
      </w:r>
      <w:r w:rsidR="001A41DB" w:rsidRPr="004C771B">
        <w:t xml:space="preserve"> </w:t>
      </w:r>
      <w:r w:rsidR="005F1FB6" w:rsidRPr="004C771B">
        <w:t>some groups who commonly are</w:t>
      </w:r>
      <w:r w:rsidR="008E59EF" w:rsidRPr="004C771B">
        <w:t xml:space="preserve"> unable to pay their bills. The water industry’s latest research</w:t>
      </w:r>
      <w:r w:rsidR="00C52745" w:rsidRPr="004C771B">
        <w:rPr>
          <w:rStyle w:val="FootnoteReference"/>
          <w:sz w:val="24"/>
          <w:szCs w:val="24"/>
        </w:rPr>
        <w:footnoteReference w:id="32"/>
      </w:r>
      <w:r w:rsidR="008E59EF" w:rsidRPr="004C771B">
        <w:t xml:space="preserve"> shows that the segment most likely to present with bill hardship is </w:t>
      </w:r>
      <w:r w:rsidR="005F1FB6" w:rsidRPr="004C771B">
        <w:t xml:space="preserve">the </w:t>
      </w:r>
      <w:r w:rsidR="00DA0C85" w:rsidRPr="004C771B">
        <w:t>‘</w:t>
      </w:r>
      <w:r w:rsidR="005F1FB6" w:rsidRPr="004C771B">
        <w:t>family formation</w:t>
      </w:r>
      <w:r w:rsidR="00DA0C85" w:rsidRPr="004C771B">
        <w:t>’</w:t>
      </w:r>
      <w:r w:rsidR="008E59EF" w:rsidRPr="004C771B">
        <w:t xml:space="preserve"> group</w:t>
      </w:r>
      <w:r w:rsidR="008E59EF">
        <w:t xml:space="preserve"> </w:t>
      </w:r>
      <w:r w:rsidR="008E59EF" w:rsidRPr="004C771B">
        <w:t>–</w:t>
      </w:r>
      <w:r w:rsidR="0059149D" w:rsidRPr="004C771B">
        <w:t xml:space="preserve"> </w:t>
      </w:r>
      <w:r w:rsidR="00C52745" w:rsidRPr="004C771B">
        <w:t xml:space="preserve">households </w:t>
      </w:r>
      <w:r w:rsidR="00C94DBF" w:rsidRPr="004C771B">
        <w:t>with children</w:t>
      </w:r>
      <w:r w:rsidR="005F1FB6" w:rsidRPr="004C771B">
        <w:t>, who have many expenses relative to household income.</w:t>
      </w:r>
      <w:r w:rsidR="00C94DBF" w:rsidRPr="004C771B">
        <w:t xml:space="preserve"> </w:t>
      </w:r>
      <w:r w:rsidR="0059149D" w:rsidRPr="004C771B">
        <w:t xml:space="preserve">This cohort </w:t>
      </w:r>
      <w:r w:rsidR="005F1FB6" w:rsidRPr="004C771B">
        <w:t>is</w:t>
      </w:r>
      <w:r w:rsidR="00C94DBF" w:rsidRPr="004C771B">
        <w:t xml:space="preserve"> </w:t>
      </w:r>
      <w:r w:rsidR="0059149D" w:rsidRPr="004C771B">
        <w:t>typically</w:t>
      </w:r>
      <w:r w:rsidR="00C94DBF" w:rsidRPr="004C771B">
        <w:t xml:space="preserve"> not eligible for concessions</w:t>
      </w:r>
      <w:r w:rsidR="00E47566" w:rsidRPr="004C771B">
        <w:t xml:space="preserve"> or grants.</w:t>
      </w:r>
    </w:p>
    <w:p w14:paraId="0DF01F4E" w14:textId="77777777" w:rsidR="000949BA" w:rsidRDefault="000949BA">
      <w:pPr>
        <w:rPr>
          <w:rFonts w:asciiTheme="majorHAnsi" w:eastAsiaTheme="majorEastAsia" w:hAnsiTheme="majorHAnsi" w:cstheme="majorBidi"/>
          <w:b/>
          <w:iCs/>
          <w:color w:val="4F81BD" w:themeColor="accent1"/>
          <w:sz w:val="32"/>
          <w:szCs w:val="26"/>
        </w:rPr>
      </w:pPr>
      <w:r>
        <w:br w:type="page"/>
      </w:r>
    </w:p>
    <w:p w14:paraId="3532D2E7" w14:textId="2DAFE206" w:rsidR="006E0F99" w:rsidRDefault="002C44F9" w:rsidP="002C44F9">
      <w:pPr>
        <w:pStyle w:val="Heading2"/>
        <w:numPr>
          <w:ilvl w:val="2"/>
          <w:numId w:val="22"/>
        </w:numPr>
      </w:pPr>
      <w:r>
        <w:lastRenderedPageBreak/>
        <w:t xml:space="preserve"> </w:t>
      </w:r>
      <w:bookmarkStart w:id="55" w:name="_Toc387144763"/>
      <w:r w:rsidR="008A6307">
        <w:t>Good i</w:t>
      </w:r>
      <w:r w:rsidR="006E0F99">
        <w:t>deas</w:t>
      </w:r>
      <w:bookmarkEnd w:id="55"/>
      <w:r w:rsidR="006E0F99">
        <w:t xml:space="preserve"> </w:t>
      </w:r>
    </w:p>
    <w:tbl>
      <w:tblPr>
        <w:tblStyle w:val="TableGrid"/>
        <w:tblW w:w="4942" w:type="pct"/>
        <w:tblLook w:val="04A0" w:firstRow="1" w:lastRow="0" w:firstColumn="1" w:lastColumn="0" w:noHBand="0" w:noVBand="1"/>
        <w:tblDescription w:val="A simple checklist and backdating missed concessions&#10;The Energy and Water Ombudsman Victoria (EWOV) has a ‘concessions and utility grant one-stop shop’ checklist. Workers use the checklist to assess whether callers are receiving the relevant utility concessions or rebates. The list has details of concession amounts and how they are paid, how to apply and eligibility requirements.  &#10;The regulatory framework, set out in the Energy Retail Code, also requires retailers to make relevant referrals for customers who may be eligible for concessions and grants.&#10;Victorian retailers can access the Department of Human Services (DHS) concession register and backdate missed concessions for customers for up to 12 months. Where the case is complex, EWOV will directly contact DHS by phone to verify and apply missing concession payments&#10;"/>
      </w:tblPr>
      <w:tblGrid>
        <w:gridCol w:w="9135"/>
      </w:tblGrid>
      <w:tr w:rsidR="00551A65" w:rsidRPr="004C771B" w14:paraId="471B0087" w14:textId="77777777" w:rsidTr="00E338F2">
        <w:trPr>
          <w:trHeight w:val="3879"/>
        </w:trPr>
        <w:tc>
          <w:tcPr>
            <w:tcW w:w="5000" w:type="pct"/>
          </w:tcPr>
          <w:p w14:paraId="584084B3" w14:textId="575E039A" w:rsidR="00551A65" w:rsidRPr="00551A65" w:rsidRDefault="00551A65" w:rsidP="00551A65">
            <w:pPr>
              <w:pStyle w:val="Heading4"/>
              <w:outlineLvl w:val="3"/>
            </w:pPr>
            <w:r w:rsidRPr="004C771B">
              <w:t xml:space="preserve">A </w:t>
            </w:r>
            <w:r>
              <w:t>simple checklist and backdating missed concessions</w:t>
            </w:r>
          </w:p>
          <w:p w14:paraId="02DFCB46" w14:textId="0774C8A2" w:rsidR="00551A65" w:rsidRPr="00551A65" w:rsidRDefault="00551A65" w:rsidP="00551A65">
            <w:pPr>
              <w:spacing w:after="200" w:line="276" w:lineRule="auto"/>
              <w:rPr>
                <w:bCs/>
              </w:rPr>
            </w:pPr>
            <w:r w:rsidRPr="00551A65">
              <w:rPr>
                <w:bCs/>
              </w:rPr>
              <w:t>The Energy and Water Ombudsman Victoria (</w:t>
            </w:r>
            <w:proofErr w:type="spellStart"/>
            <w:r w:rsidRPr="00551A65">
              <w:rPr>
                <w:bCs/>
              </w:rPr>
              <w:t>EWOV</w:t>
            </w:r>
            <w:proofErr w:type="spellEnd"/>
            <w:r w:rsidRPr="00551A65">
              <w:rPr>
                <w:bCs/>
              </w:rPr>
              <w:t xml:space="preserve">) has a ‘concessions and utility grant one-stop shop’ checklist. Workers use the checklist to assess whether callers are receiving the relevant utility concessions or rebates. The list has details of concession amounts and how they are paid, how to apply and eligibility requirements.  </w:t>
            </w:r>
          </w:p>
          <w:p w14:paraId="536B47CA" w14:textId="5780E8EE" w:rsidR="00551A65" w:rsidRPr="00551A65" w:rsidRDefault="00551A65" w:rsidP="00551A65">
            <w:pPr>
              <w:spacing w:after="200" w:line="276" w:lineRule="auto"/>
              <w:rPr>
                <w:bCs/>
              </w:rPr>
            </w:pPr>
            <w:r w:rsidRPr="00551A65">
              <w:rPr>
                <w:bCs/>
              </w:rPr>
              <w:t>The regulatory framework, set out in the Energy Retail Code, also requires retailers to make relevant referrals for customers who may be eligible for concessions and grants.</w:t>
            </w:r>
          </w:p>
          <w:p w14:paraId="71B8517C" w14:textId="2641B4FD" w:rsidR="00551A65" w:rsidRPr="00551A65" w:rsidRDefault="00551A65" w:rsidP="00551A65">
            <w:pPr>
              <w:spacing w:after="200" w:line="276" w:lineRule="auto"/>
              <w:rPr>
                <w:bCs/>
              </w:rPr>
            </w:pPr>
            <w:r w:rsidRPr="00551A65">
              <w:rPr>
                <w:bCs/>
              </w:rPr>
              <w:t>Victorian retailers can access the Department of Human Services (</w:t>
            </w:r>
            <w:proofErr w:type="spellStart"/>
            <w:r w:rsidRPr="00551A65">
              <w:rPr>
                <w:bCs/>
              </w:rPr>
              <w:t>DHS</w:t>
            </w:r>
            <w:proofErr w:type="spellEnd"/>
            <w:r w:rsidRPr="00551A65">
              <w:rPr>
                <w:bCs/>
              </w:rPr>
              <w:t xml:space="preserve">) concession register and backdate missed concessions for customers for up to 12 months. Where the case is complex, </w:t>
            </w:r>
            <w:proofErr w:type="spellStart"/>
            <w:r w:rsidRPr="00551A65">
              <w:rPr>
                <w:bCs/>
              </w:rPr>
              <w:t>EWOV</w:t>
            </w:r>
            <w:proofErr w:type="spellEnd"/>
            <w:r w:rsidRPr="00551A65">
              <w:rPr>
                <w:bCs/>
              </w:rPr>
              <w:t xml:space="preserve"> will directly contact </w:t>
            </w:r>
            <w:proofErr w:type="spellStart"/>
            <w:r w:rsidRPr="00551A65">
              <w:rPr>
                <w:bCs/>
              </w:rPr>
              <w:t>DHS</w:t>
            </w:r>
            <w:proofErr w:type="spellEnd"/>
            <w:r w:rsidRPr="00551A65">
              <w:rPr>
                <w:bCs/>
              </w:rPr>
              <w:t xml:space="preserve"> by phone to verify and apply missing concession payments.</w:t>
            </w:r>
          </w:p>
        </w:tc>
      </w:tr>
    </w:tbl>
    <w:p w14:paraId="0C4573DD" w14:textId="77777777" w:rsidR="0040400B" w:rsidRPr="002500C4" w:rsidRDefault="0040400B" w:rsidP="006E0F99">
      <w:pPr>
        <w:rPr>
          <w:rFonts w:ascii="Arial" w:eastAsia="Arial Unicode MS" w:hAnsi="Arial" w:cs="Times New Roman"/>
          <w:b/>
          <w:bCs/>
          <w:color w:val="42865E"/>
          <w:sz w:val="24"/>
          <w:szCs w:val="20"/>
        </w:rPr>
      </w:pPr>
    </w:p>
    <w:tbl>
      <w:tblPr>
        <w:tblStyle w:val="TableGrid"/>
        <w:tblW w:w="5000" w:type="pct"/>
        <w:tblLook w:val="04A0" w:firstRow="1" w:lastRow="0" w:firstColumn="1" w:lastColumn="0" w:noHBand="0" w:noVBand="1"/>
        <w:tblDescription w:val="A Multi-faceted and quick response to a water debt &#10;A financial counsellor provided an example of a client with a debt to a large water company ($1,300 due to a leaky water supply). The financial counsellor was able to make a good assessment of the client’s capacity to pay. Within 30 minutes they had organised a plumber (through Plumber Assist) and backdated missing pensioner discounts that the client had not received. The water company discounted the bill by $600 and the client generated an affordable payment plan. This was conducted through the general company phone number rather than a financial counselling hotline. &#10;‘I saw the weight lifting off the client’s shoulders.&#10;"/>
      </w:tblPr>
      <w:tblGrid>
        <w:gridCol w:w="9242"/>
      </w:tblGrid>
      <w:tr w:rsidR="006E0F99" w14:paraId="247EB56C" w14:textId="77777777" w:rsidTr="00551A65">
        <w:tc>
          <w:tcPr>
            <w:tcW w:w="5000" w:type="pct"/>
          </w:tcPr>
          <w:p w14:paraId="7D65C0F5" w14:textId="121DAB84" w:rsidR="006E0F99" w:rsidRPr="00551A65" w:rsidRDefault="008A6307" w:rsidP="00551A65">
            <w:pPr>
              <w:pStyle w:val="Heading4"/>
              <w:outlineLvl w:val="3"/>
            </w:pPr>
            <w:r>
              <w:t>A Multi-f</w:t>
            </w:r>
            <w:r w:rsidR="006A1B9E" w:rsidRPr="004C771B">
              <w:t>aceted</w:t>
            </w:r>
            <w:r>
              <w:t xml:space="preserve"> and q</w:t>
            </w:r>
            <w:r w:rsidR="00375DB8" w:rsidRPr="004C771B">
              <w:t>uick</w:t>
            </w:r>
            <w:r>
              <w:t xml:space="preserve"> response to a water d</w:t>
            </w:r>
            <w:r w:rsidR="006A1B9E" w:rsidRPr="004C771B">
              <w:t xml:space="preserve">ebt </w:t>
            </w:r>
          </w:p>
          <w:p w14:paraId="2F3751EB" w14:textId="112D6A3C" w:rsidR="005D4D41" w:rsidRPr="004C771B" w:rsidRDefault="006A1B9E" w:rsidP="005D4D41">
            <w:pPr>
              <w:spacing w:after="200" w:line="276" w:lineRule="auto"/>
            </w:pPr>
            <w:r w:rsidRPr="004C771B">
              <w:t>A financial counsellor provided an example of a client with a debt to a large water company</w:t>
            </w:r>
            <w:r w:rsidR="009A2A58" w:rsidRPr="004C771B">
              <w:t xml:space="preserve"> ($1,300 due to a leaky water supply). The financial counsellor was able to make a good assessment of the client’s capacity to pay. W</w:t>
            </w:r>
            <w:r w:rsidRPr="004C771B">
              <w:t>ithin 30 min</w:t>
            </w:r>
            <w:r w:rsidR="001A41DB" w:rsidRPr="004C771B">
              <w:t>ute</w:t>
            </w:r>
            <w:r w:rsidRPr="004C771B">
              <w:t xml:space="preserve">s </w:t>
            </w:r>
            <w:r w:rsidR="009A2A58" w:rsidRPr="004C771B">
              <w:t xml:space="preserve">they </w:t>
            </w:r>
            <w:r w:rsidRPr="004C771B">
              <w:t>had organised a plumber (</w:t>
            </w:r>
            <w:r w:rsidR="009A2A58" w:rsidRPr="004C771B">
              <w:t xml:space="preserve">through Plumber Assist) and </w:t>
            </w:r>
            <w:r w:rsidRPr="004C771B">
              <w:t xml:space="preserve">backdated </w:t>
            </w:r>
            <w:r w:rsidR="009A2A58" w:rsidRPr="004C771B">
              <w:t>missing</w:t>
            </w:r>
            <w:r w:rsidRPr="004C771B">
              <w:t xml:space="preserve"> pensioner discounts that </w:t>
            </w:r>
            <w:r w:rsidR="009A2A58" w:rsidRPr="004C771B">
              <w:t>the client had not received</w:t>
            </w:r>
            <w:r w:rsidRPr="004C771B">
              <w:t xml:space="preserve">. </w:t>
            </w:r>
            <w:r w:rsidR="009A2A58" w:rsidRPr="004C771B">
              <w:t>The water company discounted the bill by $600</w:t>
            </w:r>
            <w:r w:rsidRPr="004C771B">
              <w:t xml:space="preserve"> and </w:t>
            </w:r>
            <w:r w:rsidR="005D4D41" w:rsidRPr="004C771B">
              <w:t xml:space="preserve">the client </w:t>
            </w:r>
            <w:r w:rsidR="001A41DB" w:rsidRPr="004C771B">
              <w:t xml:space="preserve">generated </w:t>
            </w:r>
            <w:r w:rsidRPr="004C771B">
              <w:t>a</w:t>
            </w:r>
            <w:r w:rsidR="005D4D41" w:rsidRPr="004C771B">
              <w:t>n affordable</w:t>
            </w:r>
            <w:r w:rsidRPr="004C771B">
              <w:t xml:space="preserve"> payment plan. </w:t>
            </w:r>
            <w:r w:rsidR="005D4D41" w:rsidRPr="004C771B">
              <w:t xml:space="preserve">This was </w:t>
            </w:r>
            <w:r w:rsidR="001A41DB" w:rsidRPr="004C771B">
              <w:t xml:space="preserve">conducted </w:t>
            </w:r>
            <w:r w:rsidR="005D4D41" w:rsidRPr="004C771B">
              <w:t xml:space="preserve">through the general </w:t>
            </w:r>
            <w:r w:rsidR="001A41DB" w:rsidRPr="004C771B">
              <w:t xml:space="preserve">company phone </w:t>
            </w:r>
            <w:r w:rsidR="005D4D41" w:rsidRPr="004C771B">
              <w:t xml:space="preserve">number rather than a financial counselling hotline. </w:t>
            </w:r>
          </w:p>
          <w:p w14:paraId="74A6224C" w14:textId="5EA99C26" w:rsidR="006E0F99" w:rsidRPr="00E338F2" w:rsidRDefault="00DA0C85" w:rsidP="00E338F2">
            <w:pPr>
              <w:spacing w:after="200" w:line="276" w:lineRule="auto"/>
              <w:rPr>
                <w:i/>
              </w:rPr>
            </w:pPr>
            <w:r w:rsidRPr="004C771B">
              <w:rPr>
                <w:i/>
              </w:rPr>
              <w:t>‘</w:t>
            </w:r>
            <w:r w:rsidR="005D4D41" w:rsidRPr="004C771B">
              <w:rPr>
                <w:i/>
              </w:rPr>
              <w:t>I saw the weight lifting off the client’s shoulders.</w:t>
            </w:r>
            <w:r w:rsidRPr="004C771B">
              <w:rPr>
                <w:i/>
              </w:rPr>
              <w:t>’</w:t>
            </w:r>
          </w:p>
        </w:tc>
      </w:tr>
    </w:tbl>
    <w:p w14:paraId="2C02B4CC" w14:textId="77777777" w:rsidR="00AB11C6" w:rsidRDefault="00AB11C6">
      <w:pPr>
        <w:rPr>
          <w:color w:val="42865E"/>
          <w:sz w:val="24"/>
        </w:rPr>
      </w:pPr>
    </w:p>
    <w:tbl>
      <w:tblPr>
        <w:tblStyle w:val="TableGrid"/>
        <w:tblW w:w="5000" w:type="pct"/>
        <w:tblLook w:val="04A0" w:firstRow="1" w:lastRow="0" w:firstColumn="1" w:lastColumn="0" w:noHBand="0" w:noVBand="1"/>
        <w:tblDescription w:val="Online calculator with national indicative living expenses algorithms&#10;The US Economic Policy Institute (EPI) in Massachusetts has recognised that income alone is an insufficient predictor of bill affordability, and that expenses are an important part of the equation, particularly in areas with high housing costs. It has created a tool for utility and other providers to assess what payment arrangements people on low incomes, living modestly can realistically afford.&#10;The EPI Family Budget online Calculator takes into account the indicative housing costs per city/town and the number of children in a household. The calculator offers a high degree of geographic customisation and measures measures ‘the income a family needs in order to attain a secure yet modest living standard by estimating community-specific costs of housing, food, child care, transportation, health care, other necessities, and taxes.’ The underlying data is updated annually and calculated for 615 U.S. communities and six family types. Its methodology is published.&#10;This resource is freely available for industry use. The EPI is a NFP economic think-tank. It is non-partisan and was created to broaden discussions about economic policy to include the needs of low- and middle-income workers.&#10;See http://www.epi.org/resources/budget/&#10;"/>
      </w:tblPr>
      <w:tblGrid>
        <w:gridCol w:w="9242"/>
      </w:tblGrid>
      <w:tr w:rsidR="00E0654A" w14:paraId="219D3DF6" w14:textId="77777777" w:rsidTr="00E0654A">
        <w:tc>
          <w:tcPr>
            <w:tcW w:w="5000" w:type="pct"/>
          </w:tcPr>
          <w:p w14:paraId="1E00C36D" w14:textId="77777777" w:rsidR="00E0654A" w:rsidRPr="00E0654A" w:rsidRDefault="00E0654A" w:rsidP="00E0654A">
            <w:pPr>
              <w:pStyle w:val="Heading4"/>
              <w:outlineLvl w:val="3"/>
            </w:pPr>
            <w:r w:rsidRPr="00E0654A">
              <w:lastRenderedPageBreak/>
              <w:t>Online calculator with national indicative living expenses algorithms</w:t>
            </w:r>
          </w:p>
          <w:p w14:paraId="14BFE260" w14:textId="602A20A5" w:rsidR="00E0654A" w:rsidRPr="00E0654A" w:rsidRDefault="00E0654A" w:rsidP="00E0654A">
            <w:pPr>
              <w:spacing w:after="200" w:line="276" w:lineRule="auto"/>
            </w:pPr>
            <w:r w:rsidRPr="00E0654A">
              <w:t>The US Economic Policy Institute (</w:t>
            </w:r>
            <w:proofErr w:type="spellStart"/>
            <w:r w:rsidRPr="00E0654A">
              <w:t>EPI</w:t>
            </w:r>
            <w:proofErr w:type="spellEnd"/>
            <w:r w:rsidRPr="00E0654A">
              <w:t>) in Massachusetts has recognised that income alone is an insufficient predictor of bill affordability, and that expenses are an important part of the equation, particularly in areas with high housing costs. It has created a tool for utility and other providers to assess what payment arrangements people on low incomes, living modestly can realistically afford.</w:t>
            </w:r>
          </w:p>
          <w:p w14:paraId="0EABBC5C" w14:textId="37B2C486" w:rsidR="00E0654A" w:rsidRPr="00E0654A" w:rsidRDefault="00E0654A" w:rsidP="00E0654A">
            <w:pPr>
              <w:spacing w:after="200" w:line="276" w:lineRule="auto"/>
              <w:rPr>
                <w:lang w:val="en-US"/>
              </w:rPr>
            </w:pPr>
            <w:r w:rsidRPr="00E0654A">
              <w:t xml:space="preserve">The </w:t>
            </w:r>
            <w:proofErr w:type="spellStart"/>
            <w:r w:rsidRPr="00E0654A">
              <w:t>EPI</w:t>
            </w:r>
            <w:proofErr w:type="spellEnd"/>
            <w:r w:rsidRPr="00E0654A">
              <w:t xml:space="preserve"> Family Budget online Calculator takes into account the indicative housing costs per city/town and the number of children in a household. The calculator offers a high degree of geographic customisation and measures </w:t>
            </w:r>
            <w:r w:rsidRPr="00E0654A">
              <w:rPr>
                <w:lang w:val="en-US"/>
              </w:rPr>
              <w:t>measures ‘the income a family needs in order to attain a secure yet modest living standard by estimating community-specific costs of housing, food, child care, transportation, health care, other necessities, and taxes.’ The underlying data is updated annually and calculated for 615 U.S. communities and six family types. Its methodology is published.</w:t>
            </w:r>
          </w:p>
          <w:p w14:paraId="7354E2AF" w14:textId="30BF2B81" w:rsidR="00E0654A" w:rsidRPr="00E0654A" w:rsidRDefault="00E0654A" w:rsidP="00E0654A">
            <w:pPr>
              <w:spacing w:after="200" w:line="276" w:lineRule="auto"/>
              <w:rPr>
                <w:lang w:val="en-US"/>
              </w:rPr>
            </w:pPr>
            <w:r w:rsidRPr="00E0654A">
              <w:rPr>
                <w:lang w:val="en-US"/>
              </w:rPr>
              <w:t xml:space="preserve">This resource is freely available for industry use. The </w:t>
            </w:r>
            <w:proofErr w:type="spellStart"/>
            <w:r w:rsidRPr="00E0654A">
              <w:rPr>
                <w:lang w:val="en-US"/>
              </w:rPr>
              <w:t>EPI</w:t>
            </w:r>
            <w:proofErr w:type="spellEnd"/>
            <w:r w:rsidRPr="00E0654A">
              <w:rPr>
                <w:lang w:val="en-US"/>
              </w:rPr>
              <w:t xml:space="preserve"> is a </w:t>
            </w:r>
            <w:proofErr w:type="spellStart"/>
            <w:r w:rsidRPr="00E0654A">
              <w:rPr>
                <w:lang w:val="en-US"/>
              </w:rPr>
              <w:t>NFP</w:t>
            </w:r>
            <w:proofErr w:type="spellEnd"/>
            <w:r w:rsidRPr="00E0654A">
              <w:rPr>
                <w:lang w:val="en-US"/>
              </w:rPr>
              <w:t xml:space="preserve"> economic think-tank. It is non-partisan and was created to broaden discussions about economic policy to include the needs of low- and middle-income workers.</w:t>
            </w:r>
          </w:p>
          <w:p w14:paraId="5F1E1F22" w14:textId="7F22FB20" w:rsidR="00E0654A" w:rsidRPr="00E0654A" w:rsidRDefault="00E0654A" w:rsidP="00981AD0">
            <w:pPr>
              <w:spacing w:after="200" w:line="276" w:lineRule="auto"/>
            </w:pPr>
            <w:r w:rsidRPr="00E0654A">
              <w:rPr>
                <w:lang w:val="en-US"/>
              </w:rPr>
              <w:t xml:space="preserve">See </w:t>
            </w:r>
            <w:hyperlink r:id="rId13" w:history="1">
              <w:r w:rsidRPr="00E0654A">
                <w:rPr>
                  <w:rStyle w:val="Hyperlink"/>
                  <w:lang w:val="en-US"/>
                </w:rPr>
                <w:t>http://www.epi.org/resources/budget/</w:t>
              </w:r>
            </w:hyperlink>
            <w:r w:rsidRPr="00E0654A">
              <w:rPr>
                <w:vertAlign w:val="superscript"/>
                <w:lang w:val="en-US"/>
              </w:rPr>
              <w:footnoteReference w:id="33"/>
            </w:r>
          </w:p>
        </w:tc>
      </w:tr>
    </w:tbl>
    <w:p w14:paraId="6C90762E" w14:textId="77777777" w:rsidR="00E338F2" w:rsidRDefault="00E338F2">
      <w:pPr>
        <w:rPr>
          <w:color w:val="42865E"/>
          <w:sz w:val="24"/>
        </w:rPr>
      </w:pPr>
    </w:p>
    <w:p w14:paraId="784057EA" w14:textId="77777777" w:rsidR="00E0654A" w:rsidRDefault="00E0654A">
      <w:pPr>
        <w:rPr>
          <w:color w:val="42865E"/>
          <w:sz w:val="24"/>
        </w:rPr>
      </w:pPr>
    </w:p>
    <w:p w14:paraId="577994AE" w14:textId="77777777" w:rsidR="00E0654A" w:rsidRDefault="00E0654A">
      <w:pPr>
        <w:rPr>
          <w:color w:val="42865E"/>
          <w:sz w:val="24"/>
        </w:rPr>
      </w:pPr>
    </w:p>
    <w:p w14:paraId="6E49CDF8" w14:textId="77777777" w:rsidR="00E0654A" w:rsidRDefault="00E0654A">
      <w:pPr>
        <w:rPr>
          <w:color w:val="42865E"/>
          <w:sz w:val="24"/>
        </w:rPr>
      </w:pPr>
    </w:p>
    <w:p w14:paraId="4543F670" w14:textId="77777777" w:rsidR="00E55A49" w:rsidRDefault="00E55A49">
      <w:pPr>
        <w:rPr>
          <w:rFonts w:eastAsia="Times New Roman"/>
          <w:bCs/>
          <w:caps/>
          <w:color w:val="265176"/>
          <w:kern w:val="32"/>
          <w:sz w:val="28"/>
          <w:szCs w:val="28"/>
        </w:rPr>
      </w:pPr>
    </w:p>
    <w:p w14:paraId="5B5204DF" w14:textId="77777777" w:rsidR="00BE06CF" w:rsidRDefault="00BE06CF">
      <w:pPr>
        <w:rPr>
          <w:rFonts w:eastAsia="Times New Roman" w:cs="Times New Roman"/>
          <w:b/>
          <w:bCs/>
          <w:caps/>
          <w:color w:val="265176"/>
          <w:kern w:val="32"/>
          <w:sz w:val="28"/>
          <w:szCs w:val="28"/>
          <w:lang w:val="en-US"/>
        </w:rPr>
      </w:pPr>
      <w:r>
        <w:rPr>
          <w:rFonts w:eastAsia="Times New Roman"/>
          <w:bCs/>
          <w:caps/>
          <w:color w:val="265176"/>
          <w:kern w:val="32"/>
          <w:sz w:val="28"/>
          <w:szCs w:val="28"/>
        </w:rPr>
        <w:br w:type="page"/>
      </w:r>
    </w:p>
    <w:p w14:paraId="17479F88" w14:textId="6A95BF86" w:rsidR="007A3E4F" w:rsidRPr="00145593" w:rsidRDefault="001A1DE7" w:rsidP="00145593">
      <w:pPr>
        <w:pStyle w:val="Heading11"/>
      </w:pPr>
      <w:bookmarkStart w:id="56" w:name="_Toc387144764"/>
      <w:r>
        <w:lastRenderedPageBreak/>
        <w:t>Section</w:t>
      </w:r>
      <w:r w:rsidR="007A3E4F" w:rsidRPr="001B6369">
        <w:t xml:space="preserve"> </w:t>
      </w:r>
      <w:r w:rsidR="00A05F6D">
        <w:t>3</w:t>
      </w:r>
      <w:r w:rsidR="007A3E4F" w:rsidRPr="001B6369">
        <w:t xml:space="preserve"> – </w:t>
      </w:r>
      <w:r w:rsidR="005D31EB">
        <w:t xml:space="preserve">other findings </w:t>
      </w:r>
      <w:r w:rsidR="00B817A3">
        <w:t>from the research</w:t>
      </w:r>
      <w:r w:rsidR="00DC678A">
        <w:t xml:space="preserve"> study</w:t>
      </w:r>
      <w:bookmarkEnd w:id="56"/>
    </w:p>
    <w:p w14:paraId="31BFE213" w14:textId="7CEB6C5F" w:rsidR="00F03479" w:rsidRDefault="001A1DE7" w:rsidP="00145593">
      <w:pPr>
        <w:pStyle w:val="Heading1"/>
        <w:keepNext w:val="0"/>
        <w:pageBreakBefore w:val="0"/>
        <w:widowControl w:val="0"/>
        <w:rPr>
          <w:lang w:val="en-US" w:eastAsia="ja-JP"/>
        </w:rPr>
      </w:pPr>
      <w:bookmarkStart w:id="57" w:name="_Toc387144765"/>
      <w:r>
        <w:rPr>
          <w:lang w:val="en-US" w:eastAsia="ja-JP"/>
        </w:rPr>
        <w:t>3.1</w:t>
      </w:r>
      <w:r>
        <w:rPr>
          <w:lang w:val="en-US" w:eastAsia="ja-JP"/>
        </w:rPr>
        <w:tab/>
      </w:r>
      <w:r w:rsidR="00DA0C85">
        <w:rPr>
          <w:lang w:val="en-US" w:eastAsia="ja-JP"/>
        </w:rPr>
        <w:t>‘</w:t>
      </w:r>
      <w:r w:rsidR="005D31EB">
        <w:rPr>
          <w:lang w:val="en-US" w:eastAsia="ja-JP"/>
        </w:rPr>
        <w:t>Hardship</w:t>
      </w:r>
      <w:r w:rsidR="00DA0C85">
        <w:rPr>
          <w:lang w:val="en-US" w:eastAsia="ja-JP"/>
        </w:rPr>
        <w:t>’</w:t>
      </w:r>
      <w:r w:rsidR="008A6307">
        <w:rPr>
          <w:lang w:val="en-US" w:eastAsia="ja-JP"/>
        </w:rPr>
        <w:t xml:space="preserve"> is not a term used by c</w:t>
      </w:r>
      <w:r w:rsidR="00780A1A">
        <w:rPr>
          <w:lang w:val="en-US" w:eastAsia="ja-JP"/>
        </w:rPr>
        <w:t>ustomers</w:t>
      </w:r>
      <w:bookmarkEnd w:id="57"/>
    </w:p>
    <w:p w14:paraId="597D4788" w14:textId="77777777" w:rsidR="008E4E7C" w:rsidRPr="004C771B" w:rsidRDefault="008E4E7C" w:rsidP="004C771B">
      <w:pPr>
        <w:rPr>
          <w:lang w:val="en-US" w:eastAsia="ja-JP"/>
        </w:rPr>
      </w:pPr>
    </w:p>
    <w:p w14:paraId="18DD2874" w14:textId="75C7A93C" w:rsidR="000C34DE" w:rsidRPr="000C34DE" w:rsidRDefault="00BE1697" w:rsidP="004C771B">
      <w:pPr>
        <w:ind w:left="567"/>
        <w:rPr>
          <w:i/>
        </w:rPr>
      </w:pPr>
      <w:r>
        <w:rPr>
          <w:i/>
        </w:rPr>
        <w:t>‘</w:t>
      </w:r>
      <w:r w:rsidR="000C34DE" w:rsidRPr="000C34DE">
        <w:rPr>
          <w:i/>
        </w:rPr>
        <w:t xml:space="preserve">Our [hardship] team avoid the term hardship in conversations and letters. Some of our collections operators will still use the word hardship. Financial difficulty is a better term but </w:t>
      </w:r>
      <w:r w:rsidR="000C34DE">
        <w:rPr>
          <w:i/>
        </w:rPr>
        <w:t xml:space="preserve">we </w:t>
      </w:r>
      <w:r w:rsidR="002146BF">
        <w:rPr>
          <w:i/>
        </w:rPr>
        <w:t xml:space="preserve">haven't </w:t>
      </w:r>
      <w:r w:rsidR="000C34DE" w:rsidRPr="000C34DE">
        <w:rPr>
          <w:i/>
        </w:rPr>
        <w:t>cracked the right term.</w:t>
      </w:r>
      <w:r>
        <w:rPr>
          <w:i/>
        </w:rPr>
        <w:t>’</w:t>
      </w:r>
    </w:p>
    <w:p w14:paraId="1081E664" w14:textId="5AD40785" w:rsidR="000C34DE" w:rsidRDefault="0020727C" w:rsidP="0020727C">
      <w:pPr>
        <w:ind w:left="567"/>
      </w:pPr>
      <w:r>
        <w:t xml:space="preserve">Interviewee, banking industry </w:t>
      </w:r>
    </w:p>
    <w:p w14:paraId="0A69B232" w14:textId="71C8F74D" w:rsidR="009161E4" w:rsidRPr="004C771B" w:rsidRDefault="00622811" w:rsidP="004C771B">
      <w:r w:rsidRPr="004C771B">
        <w:t xml:space="preserve">Financial counsellors and industry representatives </w:t>
      </w:r>
      <w:r w:rsidR="00CC4194">
        <w:t>emphasised that</w:t>
      </w:r>
      <w:r w:rsidRPr="004C771B">
        <w:t xml:space="preserve"> </w:t>
      </w:r>
      <w:r w:rsidR="00DA0C85" w:rsidRPr="004C771B">
        <w:t>‘</w:t>
      </w:r>
      <w:r w:rsidRPr="004C771B">
        <w:t>hardship</w:t>
      </w:r>
      <w:r w:rsidR="00DA0C85" w:rsidRPr="004C771B">
        <w:t>’</w:t>
      </w:r>
      <w:r w:rsidRPr="004C771B">
        <w:t xml:space="preserve"> is not a term </w:t>
      </w:r>
      <w:r w:rsidR="00BE7A25" w:rsidRPr="004C771B">
        <w:t xml:space="preserve">generally </w:t>
      </w:r>
      <w:r w:rsidRPr="004C771B">
        <w:t>used by cl</w:t>
      </w:r>
      <w:r w:rsidR="002146BF" w:rsidRPr="004C771B">
        <w:t>ients</w:t>
      </w:r>
      <w:r w:rsidR="009734A9">
        <w:t xml:space="preserve"> or </w:t>
      </w:r>
      <w:r w:rsidR="002146BF" w:rsidRPr="004C771B">
        <w:t>customers and</w:t>
      </w:r>
      <w:r w:rsidR="00CC4194">
        <w:t xml:space="preserve"> that</w:t>
      </w:r>
      <w:r w:rsidR="002146BF" w:rsidRPr="004C771B">
        <w:t xml:space="preserve"> some can </w:t>
      </w:r>
      <w:r w:rsidR="004600FD" w:rsidRPr="004C771B">
        <w:t>react negatively</w:t>
      </w:r>
      <w:r w:rsidR="009734A9">
        <w:t xml:space="preserve"> to use of the term</w:t>
      </w:r>
      <w:r w:rsidR="004600FD" w:rsidRPr="004C771B">
        <w:t>.</w:t>
      </w:r>
      <w:r w:rsidR="00FA4E47" w:rsidRPr="004C771B">
        <w:t xml:space="preserve"> </w:t>
      </w:r>
    </w:p>
    <w:p w14:paraId="76109E43" w14:textId="32A490DD" w:rsidR="00CD63FB" w:rsidRPr="004C771B" w:rsidRDefault="003848ED" w:rsidP="004C771B">
      <w:r w:rsidRPr="004C771B">
        <w:t xml:space="preserve">One consumer advocate argues that </w:t>
      </w:r>
      <w:r w:rsidR="005C62D5" w:rsidRPr="004C771B">
        <w:t xml:space="preserve">a better approach than </w:t>
      </w:r>
      <w:r w:rsidR="00F202BF">
        <w:t>using</w:t>
      </w:r>
      <w:r w:rsidR="004600FD" w:rsidRPr="004C771B">
        <w:t xml:space="preserve"> </w:t>
      </w:r>
      <w:r w:rsidR="005C62D5" w:rsidRPr="004C771B">
        <w:t xml:space="preserve">the term </w:t>
      </w:r>
      <w:r w:rsidR="00DA0C85" w:rsidRPr="004C771B">
        <w:t>‘</w:t>
      </w:r>
      <w:r w:rsidRPr="004C771B">
        <w:t>hardship</w:t>
      </w:r>
      <w:r w:rsidR="00DA0C85" w:rsidRPr="004C771B">
        <w:t>’</w:t>
      </w:r>
      <w:r w:rsidRPr="004C771B">
        <w:t xml:space="preserve"> </w:t>
      </w:r>
      <w:r w:rsidR="005C62D5" w:rsidRPr="004C771B">
        <w:t xml:space="preserve">is to </w:t>
      </w:r>
      <w:r w:rsidR="007E5FA7" w:rsidRPr="004C771B">
        <w:t xml:space="preserve">think of a </w:t>
      </w:r>
      <w:r w:rsidR="00DA0C85" w:rsidRPr="004C771B">
        <w:t>‘</w:t>
      </w:r>
      <w:r w:rsidR="007E5FA7" w:rsidRPr="004C771B">
        <w:t xml:space="preserve">continuum of </w:t>
      </w:r>
      <w:r w:rsidRPr="004C771B">
        <w:t>vulnerability</w:t>
      </w:r>
      <w:r w:rsidR="00DA0C85" w:rsidRPr="004C771B">
        <w:t>’</w:t>
      </w:r>
      <w:r w:rsidR="007E5FA7" w:rsidRPr="004C771B">
        <w:t>. People may experience various degrees of vulnerability</w:t>
      </w:r>
      <w:r w:rsidR="00756018" w:rsidRPr="004C771B">
        <w:t xml:space="preserve"> and at different times</w:t>
      </w:r>
      <w:r w:rsidR="007E5FA7" w:rsidRPr="004C771B">
        <w:t xml:space="preserve">. </w:t>
      </w:r>
      <w:r w:rsidR="00CC4194">
        <w:t xml:space="preserve">For instance, </w:t>
      </w:r>
      <w:r w:rsidR="0045337D" w:rsidRPr="004C771B">
        <w:t xml:space="preserve">a customer diagnosed with cancer </w:t>
      </w:r>
      <w:r w:rsidR="00CC4194">
        <w:t>may initially be</w:t>
      </w:r>
      <w:r w:rsidR="0045337D" w:rsidRPr="004C771B">
        <w:t xml:space="preserve"> working</w:t>
      </w:r>
      <w:r w:rsidR="00CC4194">
        <w:t xml:space="preserve"> after diagnosis</w:t>
      </w:r>
      <w:r w:rsidR="0045337D" w:rsidRPr="004C771B">
        <w:t xml:space="preserve"> and up to date with payments. In a few months, when chemotherapy starts, the customer </w:t>
      </w:r>
      <w:r w:rsidR="00F917AA" w:rsidRPr="004C771B">
        <w:t>expects to</w:t>
      </w:r>
      <w:r w:rsidR="00A44AC8" w:rsidRPr="004C771B">
        <w:t xml:space="preserve"> </w:t>
      </w:r>
      <w:r w:rsidR="0045337D" w:rsidRPr="004C771B">
        <w:t xml:space="preserve">be unable to work and </w:t>
      </w:r>
      <w:r w:rsidR="00F917AA" w:rsidRPr="004C771B">
        <w:t xml:space="preserve">anticipates a </w:t>
      </w:r>
      <w:r w:rsidR="0045337D" w:rsidRPr="004C771B">
        <w:t>struggle to keep up with financial commitments. Under an in</w:t>
      </w:r>
      <w:r w:rsidR="00CC4194">
        <w:t>-</w:t>
      </w:r>
      <w:r w:rsidR="0045337D" w:rsidRPr="004C771B">
        <w:t xml:space="preserve">out model of hardship, the customer is not yet in financial hardship. They are however, most definitely vulnerable and this </w:t>
      </w:r>
      <w:r w:rsidR="00CC4194">
        <w:t>may</w:t>
      </w:r>
      <w:r w:rsidR="00CC4194" w:rsidRPr="004C771B">
        <w:t xml:space="preserve"> </w:t>
      </w:r>
      <w:r w:rsidR="0045337D" w:rsidRPr="004C771B">
        <w:t>be flagged early</w:t>
      </w:r>
      <w:r w:rsidR="00CC4194">
        <w:t>. Thus,</w:t>
      </w:r>
      <w:r w:rsidR="0045337D" w:rsidRPr="004C771B">
        <w:t xml:space="preserve"> arrangements</w:t>
      </w:r>
      <w:r w:rsidR="00CC4194">
        <w:t xml:space="preserve"> may be</w:t>
      </w:r>
      <w:r w:rsidR="0045337D" w:rsidRPr="004C771B">
        <w:t xml:space="preserve"> </w:t>
      </w:r>
      <w:r w:rsidR="00CC4194">
        <w:t>implemented</w:t>
      </w:r>
      <w:r w:rsidR="0045337D" w:rsidRPr="004C771B">
        <w:t xml:space="preserve"> ahead of time.</w:t>
      </w:r>
      <w:r w:rsidR="00756018" w:rsidRPr="004C771B">
        <w:t xml:space="preserve"> Other customers, such as those in casual employment, will be more or less vulnerable depending </w:t>
      </w:r>
      <w:r w:rsidR="00CC4194">
        <w:t>available work.</w:t>
      </w:r>
    </w:p>
    <w:p w14:paraId="361BE859" w14:textId="42227477" w:rsidR="009161E4" w:rsidRPr="004C771B" w:rsidRDefault="00CC1F0D" w:rsidP="004C771B">
      <w:r w:rsidRPr="004C771B">
        <w:t xml:space="preserve">In some organisations, the word </w:t>
      </w:r>
      <w:r w:rsidR="00DA0C85" w:rsidRPr="004C771B">
        <w:t>‘</w:t>
      </w:r>
      <w:r w:rsidRPr="004C771B">
        <w:t>hardship</w:t>
      </w:r>
      <w:r w:rsidR="00DA0C85" w:rsidRPr="004C771B">
        <w:t>’</w:t>
      </w:r>
      <w:r w:rsidRPr="004C771B">
        <w:t xml:space="preserve"> has a specific use. One telco </w:t>
      </w:r>
      <w:r w:rsidR="00970D0F" w:rsidRPr="004C771B">
        <w:t xml:space="preserve">categorises financial difficulty based on </w:t>
      </w:r>
      <w:r w:rsidR="00CC4194">
        <w:t>the</w:t>
      </w:r>
      <w:r w:rsidR="00CC4194" w:rsidRPr="004C771B">
        <w:t xml:space="preserve"> </w:t>
      </w:r>
      <w:r w:rsidR="00970D0F" w:rsidRPr="004C771B">
        <w:t xml:space="preserve">cause. </w:t>
      </w:r>
      <w:r w:rsidR="00F917AA" w:rsidRPr="004C771B">
        <w:t xml:space="preserve">This telco considers </w:t>
      </w:r>
      <w:r w:rsidR="00DA0C85" w:rsidRPr="004C771B">
        <w:t>‘</w:t>
      </w:r>
      <w:r w:rsidR="00F917AA" w:rsidRPr="004C771B">
        <w:t xml:space="preserve">hardship </w:t>
      </w:r>
      <w:r w:rsidRPr="004C771B">
        <w:t>customers</w:t>
      </w:r>
      <w:r w:rsidR="00DA0C85" w:rsidRPr="004C771B">
        <w:t>’</w:t>
      </w:r>
      <w:r w:rsidRPr="004C771B">
        <w:t xml:space="preserve"> </w:t>
      </w:r>
      <w:r w:rsidR="00CC4194" w:rsidRPr="004C771B">
        <w:t>a</w:t>
      </w:r>
      <w:r w:rsidR="00CC4194">
        <w:t>s</w:t>
      </w:r>
      <w:r w:rsidR="00CC4194" w:rsidRPr="004C771B">
        <w:t xml:space="preserve"> </w:t>
      </w:r>
      <w:r w:rsidRPr="004C771B">
        <w:t xml:space="preserve">those whose financial difficulty </w:t>
      </w:r>
      <w:r w:rsidR="00970D0F" w:rsidRPr="004C771B">
        <w:t>is</w:t>
      </w:r>
      <w:r w:rsidR="00CC4194">
        <w:t xml:space="preserve"> a consequence of</w:t>
      </w:r>
      <w:r w:rsidRPr="004C771B">
        <w:t xml:space="preserve"> events outside </w:t>
      </w:r>
      <w:r w:rsidR="00970D0F" w:rsidRPr="004C771B">
        <w:t xml:space="preserve">their control, such as unemployment. </w:t>
      </w:r>
      <w:r w:rsidR="00F917AA" w:rsidRPr="004C771B">
        <w:t xml:space="preserve">It uses the term </w:t>
      </w:r>
      <w:r w:rsidR="00DA0C85" w:rsidRPr="004C771B">
        <w:t>‘</w:t>
      </w:r>
      <w:r w:rsidR="00F917AA" w:rsidRPr="004C771B">
        <w:t xml:space="preserve">vulnerable </w:t>
      </w:r>
      <w:r w:rsidR="00970D0F" w:rsidRPr="004C771B">
        <w:t>customers</w:t>
      </w:r>
      <w:r w:rsidR="00DA0C85" w:rsidRPr="004C771B">
        <w:t>’</w:t>
      </w:r>
      <w:r w:rsidR="00970D0F" w:rsidRPr="004C771B">
        <w:t xml:space="preserve"> </w:t>
      </w:r>
      <w:r w:rsidR="00F917AA" w:rsidRPr="004C771B">
        <w:t xml:space="preserve">for </w:t>
      </w:r>
      <w:r w:rsidR="00970D0F" w:rsidRPr="004C771B">
        <w:t>those experiencing financial difficulty</w:t>
      </w:r>
      <w:r w:rsidR="00BE7A25" w:rsidRPr="004C771B">
        <w:t xml:space="preserve"> that is related to the product itself, for example </w:t>
      </w:r>
      <w:r w:rsidR="00CC4194">
        <w:t>due</w:t>
      </w:r>
      <w:r w:rsidR="00CC4194" w:rsidRPr="004C771B">
        <w:t xml:space="preserve"> </w:t>
      </w:r>
      <w:r w:rsidR="00CC4194">
        <w:t>to</w:t>
      </w:r>
      <w:r w:rsidR="00BE7A25" w:rsidRPr="004C771B">
        <w:t xml:space="preserve"> poor product fit or design. </w:t>
      </w:r>
    </w:p>
    <w:p w14:paraId="67AD8043" w14:textId="4F4A7420" w:rsidR="009161E4" w:rsidRPr="004C771B" w:rsidRDefault="009161E4" w:rsidP="004C771B">
      <w:r w:rsidRPr="004C771B">
        <w:t xml:space="preserve">One interviewee in an </w:t>
      </w:r>
      <w:proofErr w:type="spellStart"/>
      <w:r w:rsidRPr="004C771B">
        <w:t>EDR</w:t>
      </w:r>
      <w:proofErr w:type="spellEnd"/>
      <w:r w:rsidRPr="004C771B">
        <w:t xml:space="preserve"> scheme noted that because customers will not generally use the word </w:t>
      </w:r>
      <w:r w:rsidR="00DA0C85" w:rsidRPr="004C771B">
        <w:t>‘</w:t>
      </w:r>
      <w:r w:rsidRPr="004C771B">
        <w:t>hardship</w:t>
      </w:r>
      <w:r w:rsidR="00DA0C85" w:rsidRPr="004C771B">
        <w:t>’</w:t>
      </w:r>
      <w:r w:rsidRPr="004C771B">
        <w:t xml:space="preserve">, it is important for staff in industry and </w:t>
      </w:r>
      <w:proofErr w:type="spellStart"/>
      <w:r w:rsidRPr="004C771B">
        <w:t>EDR</w:t>
      </w:r>
      <w:proofErr w:type="spellEnd"/>
      <w:r w:rsidRPr="004C771B">
        <w:t xml:space="preserve"> schemes to listen for language that suggests financial difficulty. </w:t>
      </w:r>
      <w:r w:rsidR="008905EF" w:rsidRPr="004C771B">
        <w:t>A discussion about a high bill</w:t>
      </w:r>
      <w:r w:rsidR="00CC4194">
        <w:t xml:space="preserve"> amount,</w:t>
      </w:r>
      <w:r w:rsidR="008905EF" w:rsidRPr="004C771B">
        <w:t xml:space="preserve"> for example, may be one indicator.</w:t>
      </w:r>
    </w:p>
    <w:p w14:paraId="061E73B1" w14:textId="521915A5" w:rsidR="007E5E39" w:rsidRDefault="008A6307" w:rsidP="00231A16">
      <w:pPr>
        <w:pStyle w:val="Heading1"/>
        <w:numPr>
          <w:ilvl w:val="1"/>
          <w:numId w:val="10"/>
        </w:numPr>
        <w:ind w:left="851" w:hanging="851"/>
        <w:rPr>
          <w:lang w:val="en-US" w:eastAsia="ja-JP"/>
        </w:rPr>
      </w:pPr>
      <w:bookmarkStart w:id="58" w:name="_Toc387144766"/>
      <w:r>
        <w:rPr>
          <w:lang w:val="en-US" w:eastAsia="ja-JP"/>
        </w:rPr>
        <w:lastRenderedPageBreak/>
        <w:t>Different value j</w:t>
      </w:r>
      <w:r w:rsidR="007E5E39">
        <w:rPr>
          <w:lang w:val="en-US" w:eastAsia="ja-JP"/>
        </w:rPr>
        <w:t>udgments</w:t>
      </w:r>
      <w:r>
        <w:rPr>
          <w:lang w:val="en-US" w:eastAsia="ja-JP"/>
        </w:rPr>
        <w:t xml:space="preserve"> underpin a</w:t>
      </w:r>
      <w:r w:rsidR="00780A1A">
        <w:rPr>
          <w:lang w:val="en-US" w:eastAsia="ja-JP"/>
        </w:rPr>
        <w:t>pproaches</w:t>
      </w:r>
      <w:bookmarkEnd w:id="58"/>
    </w:p>
    <w:p w14:paraId="362E184E" w14:textId="77777777" w:rsidR="008E4E7C" w:rsidRPr="004C771B" w:rsidRDefault="008E4E7C" w:rsidP="004C771B">
      <w:pPr>
        <w:rPr>
          <w:lang w:val="en-US" w:eastAsia="ja-JP"/>
        </w:rPr>
      </w:pPr>
    </w:p>
    <w:p w14:paraId="62E8CA5B" w14:textId="5F385585" w:rsidR="00405DB2" w:rsidRPr="003608E7" w:rsidRDefault="00DA0C85" w:rsidP="003608E7">
      <w:pPr>
        <w:ind w:left="567"/>
        <w:rPr>
          <w:i/>
        </w:rPr>
      </w:pPr>
      <w:r w:rsidRPr="003608E7">
        <w:rPr>
          <w:i/>
        </w:rPr>
        <w:t>‘</w:t>
      </w:r>
      <w:r w:rsidR="00405DB2" w:rsidRPr="003608E7">
        <w:rPr>
          <w:i/>
        </w:rPr>
        <w:t xml:space="preserve">Nine times out of ten we will ask </w:t>
      </w:r>
      <w:r w:rsidR="00B5701F" w:rsidRPr="003608E7">
        <w:rPr>
          <w:i/>
        </w:rPr>
        <w:t>“</w:t>
      </w:r>
      <w:r w:rsidR="00405DB2" w:rsidRPr="003608E7">
        <w:rPr>
          <w:i/>
        </w:rPr>
        <w:t>what’s changed</w:t>
      </w:r>
      <w:r w:rsidR="00B5701F" w:rsidRPr="003608E7">
        <w:rPr>
          <w:i/>
        </w:rPr>
        <w:t>”</w:t>
      </w:r>
      <w:r w:rsidR="00405DB2" w:rsidRPr="003608E7">
        <w:rPr>
          <w:i/>
        </w:rPr>
        <w:t xml:space="preserve"> and they will blurt it out. We wi</w:t>
      </w:r>
      <w:r w:rsidR="00756018" w:rsidRPr="003608E7">
        <w:rPr>
          <w:i/>
        </w:rPr>
        <w:t>ll sit on the phone for half an</w:t>
      </w:r>
      <w:r w:rsidR="00405DB2" w:rsidRPr="003608E7">
        <w:rPr>
          <w:i/>
        </w:rPr>
        <w:t xml:space="preserve"> hour and let them talk.</w:t>
      </w:r>
      <w:r w:rsidRPr="003608E7">
        <w:rPr>
          <w:i/>
        </w:rPr>
        <w:t>’</w:t>
      </w:r>
    </w:p>
    <w:p w14:paraId="2240BFA3" w14:textId="50B9BD71" w:rsidR="00405DB2" w:rsidRDefault="00405DB2" w:rsidP="0085627C">
      <w:pPr>
        <w:ind w:left="567"/>
      </w:pPr>
      <w:r w:rsidRPr="004C771B">
        <w:t>Telco hard</w:t>
      </w:r>
      <w:r w:rsidR="00756018" w:rsidRPr="004C771B">
        <w:t>ship</w:t>
      </w:r>
      <w:r w:rsidR="0085627C">
        <w:t xml:space="preserve"> team interviewee</w:t>
      </w:r>
    </w:p>
    <w:p w14:paraId="2FDD90B6" w14:textId="2FCB244E" w:rsidR="005F6056" w:rsidRPr="004C771B" w:rsidRDefault="007E5E39" w:rsidP="003608E7">
      <w:r w:rsidRPr="004C771B">
        <w:t>In essence, there were two co</w:t>
      </w:r>
      <w:r w:rsidR="00CC4194">
        <w:t>ntrasting</w:t>
      </w:r>
      <w:r w:rsidRPr="004C771B">
        <w:t xml:space="preserve"> </w:t>
      </w:r>
      <w:r w:rsidR="003608E7">
        <w:t>mind-sets</w:t>
      </w:r>
      <w:r w:rsidR="00CC4194">
        <w:t xml:space="preserve"> </w:t>
      </w:r>
      <w:r w:rsidRPr="004C771B">
        <w:t xml:space="preserve">underpinning the way a hardship program </w:t>
      </w:r>
      <w:r w:rsidR="00A75451" w:rsidRPr="004C771B">
        <w:t>was described by interviewees or operat</w:t>
      </w:r>
      <w:r w:rsidR="00CC4194">
        <w:t>or</w:t>
      </w:r>
      <w:r w:rsidR="00A75451" w:rsidRPr="004C771B">
        <w:t>s</w:t>
      </w:r>
      <w:r w:rsidRPr="004C771B">
        <w:t xml:space="preserve">. These were: </w:t>
      </w:r>
      <w:r w:rsidR="00DA0C85" w:rsidRPr="004C771B">
        <w:t>‘</w:t>
      </w:r>
      <w:r w:rsidRPr="004C771B">
        <w:t>people want to pay</w:t>
      </w:r>
      <w:r w:rsidR="00DA0C85" w:rsidRPr="004C771B">
        <w:t>’</w:t>
      </w:r>
      <w:r w:rsidRPr="004C771B">
        <w:t xml:space="preserve"> versus </w:t>
      </w:r>
      <w:r w:rsidR="00DA0C85" w:rsidRPr="004C771B">
        <w:t>‘</w:t>
      </w:r>
      <w:r w:rsidRPr="004C771B">
        <w:t>people are out to avoid their obligations (or they’re paying everyone else but us)</w:t>
      </w:r>
      <w:r w:rsidR="00DA0C85" w:rsidRPr="004C771B">
        <w:t>’</w:t>
      </w:r>
      <w:r w:rsidRPr="004C771B">
        <w:t>.</w:t>
      </w:r>
    </w:p>
    <w:p w14:paraId="04CA6582" w14:textId="5E81E66D" w:rsidR="005F6056" w:rsidRPr="004C771B" w:rsidRDefault="00C7267A" w:rsidP="004C771B">
      <w:r w:rsidRPr="004C771B">
        <w:t>Many intervi</w:t>
      </w:r>
      <w:r w:rsidR="00723575" w:rsidRPr="004C771B">
        <w:t xml:space="preserve">ewees used </w:t>
      </w:r>
      <w:r w:rsidR="00CC4194">
        <w:t>language such as</w:t>
      </w:r>
      <w:r w:rsidR="00723575" w:rsidRPr="004C771B">
        <w:t xml:space="preserve"> </w:t>
      </w:r>
      <w:r w:rsidR="00DA0C85" w:rsidRPr="004C771B">
        <w:t>‘</w:t>
      </w:r>
      <w:r w:rsidR="00723575" w:rsidRPr="004C771B">
        <w:t>non-judg</w:t>
      </w:r>
      <w:r w:rsidRPr="004C771B">
        <w:t>mental</w:t>
      </w:r>
      <w:r w:rsidR="00DA0C85" w:rsidRPr="004C771B">
        <w:t>’</w:t>
      </w:r>
      <w:r w:rsidRPr="004C771B">
        <w:t xml:space="preserve"> and </w:t>
      </w:r>
      <w:r w:rsidR="00DA0C85" w:rsidRPr="004C771B">
        <w:t>‘</w:t>
      </w:r>
      <w:r w:rsidR="00CB2241" w:rsidRPr="004C771B">
        <w:t>respect</w:t>
      </w:r>
      <w:r w:rsidR="00DA0C85" w:rsidRPr="004C771B">
        <w:t>’</w:t>
      </w:r>
      <w:r w:rsidRPr="004C771B">
        <w:t>. They</w:t>
      </w:r>
      <w:r w:rsidR="005F6056" w:rsidRPr="004C771B">
        <w:t xml:space="preserve"> </w:t>
      </w:r>
      <w:r w:rsidR="00CC4194">
        <w:t>reiterated</w:t>
      </w:r>
      <w:r w:rsidR="005F6056" w:rsidRPr="004C771B">
        <w:t xml:space="preserve"> the importa</w:t>
      </w:r>
      <w:r w:rsidR="003608E7">
        <w:t xml:space="preserve">nce of listening to customers, </w:t>
      </w:r>
      <w:r w:rsidR="005F6056" w:rsidRPr="004C771B">
        <w:t>asking</w:t>
      </w:r>
      <w:r w:rsidR="00CC4194">
        <w:t xml:space="preserve"> the question</w:t>
      </w:r>
      <w:r w:rsidR="005F6056" w:rsidRPr="004C771B">
        <w:t xml:space="preserve"> </w:t>
      </w:r>
      <w:r w:rsidR="00DA0C85" w:rsidRPr="004C771B">
        <w:t>‘</w:t>
      </w:r>
      <w:r w:rsidR="005F6056" w:rsidRPr="004C771B">
        <w:t>what would assist you</w:t>
      </w:r>
      <w:r w:rsidR="00CC4194">
        <w:t>?</w:t>
      </w:r>
      <w:r w:rsidR="00DA0C85" w:rsidRPr="004C771B">
        <w:t>’</w:t>
      </w:r>
      <w:r w:rsidR="00CC4194">
        <w:t>,</w:t>
      </w:r>
      <w:r w:rsidR="00772FAA" w:rsidRPr="004C771B">
        <w:t xml:space="preserve"> and the need for mutual respect</w:t>
      </w:r>
      <w:r w:rsidR="005F6056" w:rsidRPr="004C771B">
        <w:t xml:space="preserve">. </w:t>
      </w:r>
      <w:r w:rsidR="00A3120C">
        <w:t>Finding t</w:t>
      </w:r>
      <w:r w:rsidR="005F6056" w:rsidRPr="004C771B">
        <w:t xml:space="preserve">he reason for hardship was </w:t>
      </w:r>
      <w:r w:rsidR="0085627C">
        <w:t>less important</w:t>
      </w:r>
      <w:r w:rsidR="00BF08D4">
        <w:t xml:space="preserve"> </w:t>
      </w:r>
      <w:r w:rsidR="00A3120C">
        <w:t>than addressing these aspects</w:t>
      </w:r>
      <w:r w:rsidR="005F6056" w:rsidRPr="004C771B">
        <w:t xml:space="preserve">. </w:t>
      </w:r>
    </w:p>
    <w:p w14:paraId="480703FA" w14:textId="6E28E5D0" w:rsidR="00927ED6" w:rsidRPr="004C771B" w:rsidRDefault="00A3120C" w:rsidP="004C771B">
      <w:r>
        <w:t>In contrast</w:t>
      </w:r>
      <w:r w:rsidR="00A411A0" w:rsidRPr="004C771B">
        <w:t>, one</w:t>
      </w:r>
      <w:r w:rsidR="00F06A91" w:rsidRPr="004C771B">
        <w:t xml:space="preserve"> industry</w:t>
      </w:r>
      <w:r w:rsidR="00A411A0" w:rsidRPr="004C771B">
        <w:t xml:space="preserve"> interviewee said it was important to be </w:t>
      </w:r>
      <w:r w:rsidR="00DA0C85" w:rsidRPr="004C771B">
        <w:t>‘</w:t>
      </w:r>
      <w:r w:rsidR="00A411A0" w:rsidRPr="004C771B">
        <w:t>tough</w:t>
      </w:r>
      <w:r w:rsidR="00DA0C85" w:rsidRPr="004C771B">
        <w:t>’</w:t>
      </w:r>
      <w:r w:rsidR="00A411A0" w:rsidRPr="004C771B">
        <w:t xml:space="preserve"> with people who had not paid their bills. </w:t>
      </w:r>
      <w:r>
        <w:t>This stance was based on previous</w:t>
      </w:r>
      <w:r w:rsidRPr="004C771B">
        <w:t xml:space="preserve"> </w:t>
      </w:r>
      <w:r w:rsidR="00A411A0" w:rsidRPr="004C771B">
        <w:t>experience</w:t>
      </w:r>
      <w:r>
        <w:t>s, which implied</w:t>
      </w:r>
      <w:r w:rsidR="00A411A0" w:rsidRPr="004C771B">
        <w:t xml:space="preserve"> th</w:t>
      </w:r>
      <w:r w:rsidR="00780A1A" w:rsidRPr="004C771B">
        <w:t xml:space="preserve">at outstanding debts would increase </w:t>
      </w:r>
      <w:r w:rsidR="00A329E5" w:rsidRPr="004C771B">
        <w:t>if they did not take this approach</w:t>
      </w:r>
      <w:r w:rsidR="00780A1A" w:rsidRPr="004C771B">
        <w:t>.</w:t>
      </w:r>
      <w:r w:rsidR="00C17B12" w:rsidRPr="004C771B">
        <w:t xml:space="preserve"> </w:t>
      </w:r>
    </w:p>
    <w:p w14:paraId="69C6A9EE" w14:textId="7DDF23E8" w:rsidR="001D7FE2" w:rsidRPr="004C771B" w:rsidRDefault="00927ED6" w:rsidP="004C771B">
      <w:r w:rsidRPr="004C771B">
        <w:t xml:space="preserve">Another value </w:t>
      </w:r>
      <w:r w:rsidR="00723575" w:rsidRPr="004C771B">
        <w:t>judgment was apparent with one t</w:t>
      </w:r>
      <w:r w:rsidRPr="004C771B">
        <w:t xml:space="preserve">elco’s approach to acknowledging hardship. </w:t>
      </w:r>
      <w:r w:rsidR="00723575" w:rsidRPr="004C771B">
        <w:t>The</w:t>
      </w:r>
      <w:r w:rsidRPr="004C771B">
        <w:t xml:space="preserve"> hardship department </w:t>
      </w:r>
      <w:r w:rsidR="00723575" w:rsidRPr="004C771B">
        <w:t>had developed</w:t>
      </w:r>
      <w:r w:rsidRPr="004C771B">
        <w:t xml:space="preserve"> a list of accepted hardship events, such as job </w:t>
      </w:r>
      <w:r w:rsidR="00A3120C" w:rsidRPr="00C521FB">
        <w:t>loss</w:t>
      </w:r>
      <w:r w:rsidR="00A3120C" w:rsidRPr="00A3120C">
        <w:t xml:space="preserve"> </w:t>
      </w:r>
      <w:r w:rsidR="00723575" w:rsidRPr="004C771B">
        <w:t>or</w:t>
      </w:r>
      <w:r w:rsidRPr="004C771B">
        <w:t xml:space="preserve"> a cancer diagnosis. </w:t>
      </w:r>
      <w:r w:rsidR="00723575" w:rsidRPr="004C771B">
        <w:t>The list</w:t>
      </w:r>
      <w:r w:rsidRPr="004C771B">
        <w:t xml:space="preserve"> was fairly long</w:t>
      </w:r>
      <w:r w:rsidR="00A3120C">
        <w:t>,</w:t>
      </w:r>
      <w:r w:rsidRPr="004C771B">
        <w:t xml:space="preserve"> but if a caller’s situation was not on the list</w:t>
      </w:r>
      <w:r w:rsidR="00A75451" w:rsidRPr="004C771B">
        <w:t xml:space="preserve"> of </w:t>
      </w:r>
      <w:r w:rsidR="00DA0C85" w:rsidRPr="004C771B">
        <w:t>‘</w:t>
      </w:r>
      <w:r w:rsidR="00A75451" w:rsidRPr="004C771B">
        <w:t>extreme events</w:t>
      </w:r>
      <w:r w:rsidR="00DA0C85" w:rsidRPr="004C771B">
        <w:t>’</w:t>
      </w:r>
      <w:r w:rsidR="00A75451" w:rsidRPr="004C771B">
        <w:t xml:space="preserve"> </w:t>
      </w:r>
      <w:r w:rsidRPr="004C771B">
        <w:t xml:space="preserve">then the implicit judgment was that they were not in hardship and did not qualify </w:t>
      </w:r>
      <w:r w:rsidR="00B94EB5" w:rsidRPr="004C771B">
        <w:t>for assistance. This characterisation and assessment of</w:t>
      </w:r>
      <w:r w:rsidR="001D7FE2" w:rsidRPr="004C771B">
        <w:t xml:space="preserve"> hardship </w:t>
      </w:r>
      <w:r w:rsidR="00B94EB5" w:rsidRPr="004C771B">
        <w:t xml:space="preserve">will probably tend to exclude people </w:t>
      </w:r>
      <w:r w:rsidR="001D7FE2" w:rsidRPr="004C771B">
        <w:t xml:space="preserve">whose life is a constant struggle due to enduring poverty, but who </w:t>
      </w:r>
      <w:r w:rsidR="00B94EB5" w:rsidRPr="004C771B">
        <w:t>have not</w:t>
      </w:r>
      <w:r w:rsidR="001D7FE2" w:rsidRPr="004C771B">
        <w:t xml:space="preserve"> </w:t>
      </w:r>
      <w:r w:rsidR="00B94EB5" w:rsidRPr="004C771B">
        <w:t>suffered</w:t>
      </w:r>
      <w:r w:rsidR="001D7FE2" w:rsidRPr="004C771B">
        <w:t xml:space="preserve"> a recent </w:t>
      </w:r>
      <w:r w:rsidR="00DA0C85" w:rsidRPr="004C771B">
        <w:t>‘</w:t>
      </w:r>
      <w:r w:rsidR="001D7FE2" w:rsidRPr="004C771B">
        <w:t>extreme event</w:t>
      </w:r>
      <w:r w:rsidR="00DA0C85" w:rsidRPr="004C771B">
        <w:t>’</w:t>
      </w:r>
      <w:r w:rsidR="00B94EB5" w:rsidRPr="004C771B">
        <w:t xml:space="preserve">. </w:t>
      </w:r>
      <w:r w:rsidR="005E7634" w:rsidRPr="004C771B">
        <w:t xml:space="preserve">The list also required that the events relate to </w:t>
      </w:r>
      <w:r w:rsidR="00CB2241" w:rsidRPr="004C771B">
        <w:t xml:space="preserve">recent changes in </w:t>
      </w:r>
      <w:r w:rsidR="00C17B12" w:rsidRPr="004C771B">
        <w:t>circu</w:t>
      </w:r>
      <w:r w:rsidR="005E7634" w:rsidRPr="004C771B">
        <w:t>mstances</w:t>
      </w:r>
      <w:r w:rsidR="00A3120C">
        <w:t>. Recent changes are</w:t>
      </w:r>
      <w:r w:rsidR="005E7634" w:rsidRPr="004C771B">
        <w:t xml:space="preserve"> defined as</w:t>
      </w:r>
      <w:r w:rsidR="00A3120C">
        <w:t xml:space="preserve"> those that have taken place in</w:t>
      </w:r>
      <w:r w:rsidR="005E7634" w:rsidRPr="004C771B">
        <w:t xml:space="preserve"> the past six to </w:t>
      </w:r>
      <w:r w:rsidR="00A3120C">
        <w:t>twelve</w:t>
      </w:r>
      <w:r w:rsidR="00CB2241" w:rsidRPr="004C771B">
        <w:t xml:space="preserve"> months. </w:t>
      </w:r>
      <w:r w:rsidR="005E7634" w:rsidRPr="004C771B">
        <w:t>This would mean that a</w:t>
      </w:r>
      <w:r w:rsidR="00C17B12" w:rsidRPr="004C771B">
        <w:t xml:space="preserve"> </w:t>
      </w:r>
      <w:r w:rsidR="001D7FE2" w:rsidRPr="004C771B">
        <w:t>customer</w:t>
      </w:r>
      <w:r w:rsidR="002D3F66">
        <w:t>,</w:t>
      </w:r>
      <w:r w:rsidR="001D7FE2" w:rsidRPr="004C771B">
        <w:t xml:space="preserve"> who </w:t>
      </w:r>
      <w:r w:rsidR="00A3120C">
        <w:t xml:space="preserve">continues to struggle </w:t>
      </w:r>
      <w:r w:rsidR="001D7FE2" w:rsidRPr="004C771B">
        <w:t>for a</w:t>
      </w:r>
      <w:r w:rsidR="00A3120C">
        <w:t>n extended period</w:t>
      </w:r>
      <w:r w:rsidR="005E7634" w:rsidRPr="004C771B">
        <w:t xml:space="preserve"> post </w:t>
      </w:r>
      <w:r w:rsidR="00DA0C85" w:rsidRPr="004C771B">
        <w:t>‘</w:t>
      </w:r>
      <w:r w:rsidR="005E7634" w:rsidRPr="004C771B">
        <w:t>event</w:t>
      </w:r>
      <w:r w:rsidR="00DA0C85" w:rsidRPr="004C771B">
        <w:t>’</w:t>
      </w:r>
      <w:r w:rsidR="005E7634" w:rsidRPr="004C771B">
        <w:t xml:space="preserve"> </w:t>
      </w:r>
      <w:r w:rsidR="00C17B12" w:rsidRPr="004C771B">
        <w:t>b</w:t>
      </w:r>
      <w:r w:rsidR="005E7634" w:rsidRPr="004C771B">
        <w:t xml:space="preserve">efore </w:t>
      </w:r>
      <w:r w:rsidR="00405DB2" w:rsidRPr="004C771B">
        <w:t>requesting hardship assistance</w:t>
      </w:r>
      <w:r w:rsidR="00A75451" w:rsidRPr="004C771B">
        <w:t>,</w:t>
      </w:r>
      <w:r w:rsidR="00405DB2" w:rsidRPr="004C771B">
        <w:t xml:space="preserve"> </w:t>
      </w:r>
      <w:r w:rsidR="00C17B12" w:rsidRPr="004C771B">
        <w:t xml:space="preserve">will not qualify as their trigger event is no longer considered </w:t>
      </w:r>
      <w:r w:rsidR="00FA6F92" w:rsidRPr="004C771B">
        <w:t xml:space="preserve">to be </w:t>
      </w:r>
      <w:r w:rsidR="00C17B12" w:rsidRPr="004C771B">
        <w:t>recent</w:t>
      </w:r>
      <w:r w:rsidR="00FA6F92" w:rsidRPr="004C771B">
        <w:t>.</w:t>
      </w:r>
    </w:p>
    <w:p w14:paraId="00C7A15A" w14:textId="0DCA2B02" w:rsidR="00E97938" w:rsidRPr="004C771B" w:rsidRDefault="005E7634" w:rsidP="004C771B">
      <w:r w:rsidRPr="004C771B">
        <w:t xml:space="preserve">Financial counsellors </w:t>
      </w:r>
      <w:r w:rsidR="00A3120C">
        <w:t>suggested</w:t>
      </w:r>
      <w:r w:rsidR="00A3120C" w:rsidRPr="004C771B">
        <w:t xml:space="preserve"> </w:t>
      </w:r>
      <w:r w:rsidRPr="004C771B">
        <w:t>that a</w:t>
      </w:r>
      <w:r w:rsidR="00C17B12" w:rsidRPr="004C771B">
        <w:t xml:space="preserve"> better </w:t>
      </w:r>
      <w:r w:rsidR="001D7FE2" w:rsidRPr="004C771B">
        <w:t xml:space="preserve">and more respectful </w:t>
      </w:r>
      <w:r w:rsidR="00C17B12" w:rsidRPr="004C771B">
        <w:t xml:space="preserve">approach is to let customers </w:t>
      </w:r>
      <w:r w:rsidR="001D7FE2" w:rsidRPr="004C771B">
        <w:t>judge</w:t>
      </w:r>
      <w:r w:rsidR="00C17B12" w:rsidRPr="004C771B">
        <w:t xml:space="preserve"> their </w:t>
      </w:r>
      <w:r w:rsidR="001D7FE2" w:rsidRPr="004C771B">
        <w:t xml:space="preserve">individual </w:t>
      </w:r>
      <w:r w:rsidR="00C17B12" w:rsidRPr="004C771B">
        <w:t xml:space="preserve">need for help. For some people </w:t>
      </w:r>
      <w:r w:rsidR="00405DB2" w:rsidRPr="004C771B">
        <w:t>hardship</w:t>
      </w:r>
      <w:r w:rsidR="00C17B12" w:rsidRPr="004C771B">
        <w:t xml:space="preserve"> is triggered by </w:t>
      </w:r>
      <w:r w:rsidR="00A3120C">
        <w:t>one</w:t>
      </w:r>
      <w:r w:rsidR="00C17B12" w:rsidRPr="004C771B">
        <w:t xml:space="preserve"> major event, but for others </w:t>
      </w:r>
      <w:r w:rsidR="00405DB2" w:rsidRPr="004C771B">
        <w:t xml:space="preserve">hardship is a cumulative series of </w:t>
      </w:r>
      <w:r w:rsidR="00A3120C">
        <w:t>events</w:t>
      </w:r>
      <w:r w:rsidR="00C17B12" w:rsidRPr="004C771B">
        <w:t>.</w:t>
      </w:r>
      <w:r w:rsidR="001D7FE2" w:rsidRPr="004C771B">
        <w:t xml:space="preserve"> </w:t>
      </w:r>
      <w:r w:rsidR="005D1F45" w:rsidRPr="004C771B">
        <w:t xml:space="preserve">A financial counsellor </w:t>
      </w:r>
      <w:r w:rsidR="00A3120C" w:rsidRPr="004C771B">
        <w:t>s</w:t>
      </w:r>
      <w:r w:rsidR="00A3120C">
        <w:t>tated</w:t>
      </w:r>
      <w:r w:rsidR="00E97938" w:rsidRPr="004C771B">
        <w:t>:</w:t>
      </w:r>
    </w:p>
    <w:p w14:paraId="06D588F9" w14:textId="77777777" w:rsidR="00C72BE0" w:rsidRDefault="00DA0C85" w:rsidP="00C72BE0">
      <w:pPr>
        <w:ind w:left="567"/>
        <w:rPr>
          <w:i/>
        </w:rPr>
      </w:pPr>
      <w:r w:rsidRPr="004C771B">
        <w:rPr>
          <w:i/>
        </w:rPr>
        <w:t>‘</w:t>
      </w:r>
      <w:r w:rsidR="00A3120C">
        <w:rPr>
          <w:i/>
        </w:rPr>
        <w:t>I</w:t>
      </w:r>
      <w:r w:rsidR="005D1F45" w:rsidRPr="004C771B">
        <w:rPr>
          <w:i/>
        </w:rPr>
        <w:t>f someone</w:t>
      </w:r>
      <w:r w:rsidR="003608E7">
        <w:rPr>
          <w:i/>
        </w:rPr>
        <w:t xml:space="preserve"> says “I’ve got a lot going on”</w:t>
      </w:r>
      <w:r w:rsidR="005D1F45" w:rsidRPr="004C771B">
        <w:rPr>
          <w:i/>
        </w:rPr>
        <w:t xml:space="preserve"> does it matter what those bits are? People should not have to disclose traumatic information. We as a sector set people up for failure in a whole lot of ways. What the</w:t>
      </w:r>
      <w:r w:rsidR="00520F97" w:rsidRPr="004C771B">
        <w:rPr>
          <w:i/>
        </w:rPr>
        <w:t>y [customers] need to know is that they’d like you to pay when you can pay … an</w:t>
      </w:r>
      <w:r w:rsidR="00E97938" w:rsidRPr="004C771B">
        <w:rPr>
          <w:i/>
        </w:rPr>
        <w:t xml:space="preserve">d that’s all they need to know. Consumers need to talk about the issue and its impact briefly. They don’t need to give their life story and be traumatised by having to talk about something that is very traumatic for them. An essential component is to be fair and transparent, so consumers know what to expect and can ask for what they need. Less wear and tear on works, less </w:t>
      </w:r>
      <w:proofErr w:type="spellStart"/>
      <w:r w:rsidR="00E97938" w:rsidRPr="004C771B">
        <w:rPr>
          <w:i/>
        </w:rPr>
        <w:t>legals</w:t>
      </w:r>
      <w:proofErr w:type="spellEnd"/>
      <w:r w:rsidR="00E97938" w:rsidRPr="004C771B">
        <w:rPr>
          <w:i/>
        </w:rPr>
        <w:t>, complaints etc.</w:t>
      </w:r>
      <w:r w:rsidRPr="004C771B">
        <w:rPr>
          <w:i/>
        </w:rPr>
        <w:t>’</w:t>
      </w:r>
    </w:p>
    <w:p w14:paraId="4477E393" w14:textId="48F4705A" w:rsidR="003C0645" w:rsidRPr="00C72BE0" w:rsidRDefault="00327DF4" w:rsidP="00C72BE0">
      <w:pPr>
        <w:rPr>
          <w:i/>
        </w:rPr>
      </w:pPr>
      <w:r w:rsidRPr="004C771B">
        <w:lastRenderedPageBreak/>
        <w:t>Some telco</w:t>
      </w:r>
      <w:r w:rsidR="00A3120C">
        <w:t xml:space="preserve"> staff</w:t>
      </w:r>
      <w:r w:rsidR="00903439" w:rsidRPr="004C771B">
        <w:t xml:space="preserve"> interviewees were also concerned that they would be </w:t>
      </w:r>
      <w:r w:rsidRPr="004C771B">
        <w:t xml:space="preserve">inundated and </w:t>
      </w:r>
      <w:r w:rsidR="00A3120C">
        <w:t>exploited</w:t>
      </w:r>
      <w:r w:rsidRPr="004C771B">
        <w:t>,</w:t>
      </w:r>
      <w:r w:rsidR="00903439" w:rsidRPr="004C771B">
        <w:t xml:space="preserve"> if they told customers about the existence of hardship relief. As a </w:t>
      </w:r>
      <w:r w:rsidR="000978A8" w:rsidRPr="004C771B">
        <w:t>general observation</w:t>
      </w:r>
      <w:r w:rsidR="00903439" w:rsidRPr="004C771B">
        <w:t>, the existence of hardship assistance and direct phone numbers is not disclosed</w:t>
      </w:r>
      <w:r w:rsidR="000978A8" w:rsidRPr="004C771B">
        <w:t xml:space="preserve"> </w:t>
      </w:r>
      <w:r w:rsidR="00047E61">
        <w:t xml:space="preserve">prominently </w:t>
      </w:r>
      <w:r w:rsidR="000978A8" w:rsidRPr="004C771B">
        <w:t>on telco websites</w:t>
      </w:r>
      <w:r w:rsidR="003C0645" w:rsidRPr="004C771B">
        <w:t>.</w:t>
      </w:r>
      <w:r w:rsidR="002F658E" w:rsidRPr="004C771B">
        <w:t xml:space="preserve"> </w:t>
      </w:r>
      <w:r w:rsidR="003C0645" w:rsidRPr="004C771B">
        <w:t>Customers are instead triaged through the collections function. This contrasts with the banking industry</w:t>
      </w:r>
      <w:r w:rsidR="00A3120C">
        <w:t>,</w:t>
      </w:r>
      <w:r w:rsidR="003C0645" w:rsidRPr="004C771B">
        <w:t xml:space="preserve"> which</w:t>
      </w:r>
      <w:r w:rsidR="00A3120C">
        <w:t xml:space="preserve"> </w:t>
      </w:r>
      <w:r w:rsidR="003C0645" w:rsidRPr="004C771B">
        <w:t xml:space="preserve">has an industry-wide commitment to </w:t>
      </w:r>
      <w:r w:rsidR="000978A8" w:rsidRPr="004C771B">
        <w:t>facilitating</w:t>
      </w:r>
      <w:r w:rsidR="003C0645" w:rsidRPr="004C771B">
        <w:t xml:space="preserve"> access to hardship assistance</w:t>
      </w:r>
      <w:r w:rsidR="00A3120C">
        <w:t>.</w:t>
      </w:r>
      <w:r w:rsidR="003C0645" w:rsidRPr="004C771B">
        <w:t xml:space="preserve"> </w:t>
      </w:r>
    </w:p>
    <w:p w14:paraId="60C07638" w14:textId="48570BC6" w:rsidR="00567A3D" w:rsidRDefault="00567A3D" w:rsidP="004C771B">
      <w:r>
        <w:t xml:space="preserve">On its website it answers the </w:t>
      </w:r>
      <w:r w:rsidR="0048065E">
        <w:t>FAQ ‘</w:t>
      </w:r>
      <w:r>
        <w:t>what if I’m finding it hard to pay my bill?’ with a link to a form</w:t>
      </w:r>
      <w:r w:rsidR="0048065E">
        <w:t xml:space="preserve"> to request a payment extension</w:t>
      </w:r>
      <w:r w:rsidR="00D96BBE">
        <w:t>.</w:t>
      </w:r>
      <w:r w:rsidR="0048065E">
        <w:t xml:space="preserve"> It includes</w:t>
      </w:r>
      <w:r>
        <w:t xml:space="preserve"> warnings that late payment fees will still apply. The online form only allows for</w:t>
      </w:r>
      <w:r w:rsidR="0048065E">
        <w:t xml:space="preserve"> an extension of</w:t>
      </w:r>
      <w:r>
        <w:t xml:space="preserve"> two weeks, and has no contact details if this </w:t>
      </w:r>
      <w:r w:rsidR="0048065E">
        <w:t xml:space="preserve">extension </w:t>
      </w:r>
      <w:r>
        <w:t xml:space="preserve">is not helpful. The language and process of getting help is intimidating and restrictive in contrast to the ‘please call us, we can help’ attitude of some other sectors, in particular </w:t>
      </w:r>
      <w:r w:rsidRPr="002F658E">
        <w:t>the banking industry</w:t>
      </w:r>
      <w:r w:rsidR="0048065E">
        <w:t>. The banking sector,</w:t>
      </w:r>
      <w:r w:rsidRPr="002F658E">
        <w:t xml:space="preserve"> as noted earlier, has an industry-wide commitment to facilitating access to hardship assistance and publishes information on the home page of every website.</w:t>
      </w:r>
      <w:r>
        <w:t xml:space="preserve"> </w:t>
      </w:r>
    </w:p>
    <w:p w14:paraId="4378EFDF" w14:textId="386499B4" w:rsidR="008B510E" w:rsidRPr="004C771B" w:rsidRDefault="001C19A8" w:rsidP="004C771B">
      <w:pPr>
        <w:rPr>
          <w:lang w:val="en-US"/>
        </w:rPr>
      </w:pPr>
      <w:r w:rsidRPr="004C771B">
        <w:t xml:space="preserve">Other manifestations of </w:t>
      </w:r>
      <w:r w:rsidR="003C0645" w:rsidRPr="004C771B">
        <w:t xml:space="preserve">value judgments </w:t>
      </w:r>
      <w:r w:rsidR="00A3120C">
        <w:t xml:space="preserve">are clearly </w:t>
      </w:r>
      <w:r w:rsidR="003C0645" w:rsidRPr="004C771B">
        <w:t>present</w:t>
      </w:r>
      <w:r w:rsidR="00A3120C">
        <w:t>ed</w:t>
      </w:r>
      <w:r w:rsidRPr="004C771B">
        <w:t xml:space="preserve"> in policy documents. If customers are </w:t>
      </w:r>
      <w:r w:rsidR="004C0760">
        <w:t>suspected of being</w:t>
      </w:r>
      <w:r w:rsidR="001452B2" w:rsidRPr="004C771B">
        <w:t xml:space="preserve"> deceitful</w:t>
      </w:r>
      <w:r w:rsidRPr="004C771B">
        <w:t xml:space="preserve">, the language </w:t>
      </w:r>
      <w:r w:rsidR="004C0760">
        <w:t xml:space="preserve">in these documents </w:t>
      </w:r>
      <w:r w:rsidR="000978A8" w:rsidRPr="004C771B">
        <w:t>can take on</w:t>
      </w:r>
      <w:r w:rsidRPr="004C771B">
        <w:t xml:space="preserve"> an authoritative tone</w:t>
      </w:r>
      <w:r w:rsidR="00323BA4" w:rsidRPr="004C771B">
        <w:t xml:space="preserve">. </w:t>
      </w:r>
      <w:r w:rsidR="00327DF4" w:rsidRPr="004C771B">
        <w:t>The</w:t>
      </w:r>
      <w:r w:rsidR="00323BA4" w:rsidRPr="004C771B">
        <w:t xml:space="preserve"> </w:t>
      </w:r>
      <w:r w:rsidR="00327DF4" w:rsidRPr="004C771B">
        <w:t xml:space="preserve">first sentence of the </w:t>
      </w:r>
      <w:r w:rsidR="00323BA4" w:rsidRPr="004C771B">
        <w:t>Financ</w:t>
      </w:r>
      <w:r w:rsidR="00327DF4" w:rsidRPr="004C771B">
        <w:t xml:space="preserve">ial Hardship Assistance Policy for one telco for example </w:t>
      </w:r>
      <w:r w:rsidR="00323BA4" w:rsidRPr="004C771B">
        <w:t xml:space="preserve">states ‘If you are experiencing </w:t>
      </w:r>
      <w:r w:rsidR="00323BA4" w:rsidRPr="004C771B">
        <w:rPr>
          <w:i/>
        </w:rPr>
        <w:t>genuine</w:t>
      </w:r>
      <w:r w:rsidR="00327DF4" w:rsidRPr="004C771B">
        <w:t xml:space="preserve"> financial hardship …’ (our emphasis). </w:t>
      </w:r>
      <w:r w:rsidR="00323BA4" w:rsidRPr="004C771B">
        <w:t>This implies that the company</w:t>
      </w:r>
      <w:r w:rsidR="00327DF4" w:rsidRPr="004C771B">
        <w:t xml:space="preserve"> somehow</w:t>
      </w:r>
      <w:r w:rsidR="00323BA4" w:rsidRPr="004C771B">
        <w:t xml:space="preserve"> judges the genuine </w:t>
      </w:r>
      <w:r w:rsidR="004C0760">
        <w:t xml:space="preserve">cases </w:t>
      </w:r>
      <w:r w:rsidR="00323BA4" w:rsidRPr="004C771B">
        <w:t>from those</w:t>
      </w:r>
      <w:r w:rsidR="004C0760">
        <w:t xml:space="preserve"> that</w:t>
      </w:r>
      <w:r w:rsidR="00323BA4" w:rsidRPr="004C771B">
        <w:t xml:space="preserve"> are </w:t>
      </w:r>
      <w:r w:rsidR="004C0760">
        <w:t>false</w:t>
      </w:r>
      <w:r w:rsidR="00323BA4" w:rsidRPr="004C771B">
        <w:t>.</w:t>
      </w:r>
      <w:r w:rsidR="00C470E8" w:rsidRPr="004C771B">
        <w:t xml:space="preserve"> The second paragraph s</w:t>
      </w:r>
      <w:r w:rsidR="004C0760">
        <w:t>tates</w:t>
      </w:r>
      <w:r w:rsidR="00C470E8" w:rsidRPr="004C771B">
        <w:t xml:space="preserve"> ‘</w:t>
      </w:r>
      <w:r w:rsidR="00C470E8" w:rsidRPr="004C771B">
        <w:rPr>
          <w:lang w:val="en-US"/>
        </w:rPr>
        <w:t xml:space="preserve">[the telco] identifies financial hardship as a </w:t>
      </w:r>
      <w:r w:rsidR="00C470E8" w:rsidRPr="004C771B">
        <w:rPr>
          <w:i/>
          <w:lang w:val="en-US"/>
        </w:rPr>
        <w:t>genuine</w:t>
      </w:r>
      <w:r w:rsidR="00C470E8" w:rsidRPr="004C771B">
        <w:rPr>
          <w:lang w:val="en-US"/>
        </w:rPr>
        <w:t xml:space="preserve"> inability to meet your financial commitments, rather than an unwillingness to do so.’</w:t>
      </w:r>
      <w:r w:rsidR="0093140A" w:rsidRPr="004C771B">
        <w:rPr>
          <w:lang w:val="en-US"/>
        </w:rPr>
        <w:t xml:space="preserve"> </w:t>
      </w:r>
    </w:p>
    <w:p w14:paraId="71DD407F" w14:textId="6A89144A" w:rsidR="008B0000" w:rsidRPr="004C771B" w:rsidRDefault="002F658E" w:rsidP="004C771B">
      <w:pPr>
        <w:rPr>
          <w:lang w:val="en-US"/>
        </w:rPr>
      </w:pPr>
      <w:r w:rsidRPr="004C771B">
        <w:rPr>
          <w:lang w:val="en-US"/>
        </w:rPr>
        <w:t xml:space="preserve">In contrast, the language used by other companies in other industries is non-judgmental and respectful. </w:t>
      </w:r>
      <w:r w:rsidR="009834EF" w:rsidRPr="004C771B">
        <w:rPr>
          <w:lang w:val="en-US"/>
        </w:rPr>
        <w:t xml:space="preserve">Sydney Water’s web page </w:t>
      </w:r>
      <w:r w:rsidR="004C0760" w:rsidRPr="004C771B">
        <w:rPr>
          <w:lang w:val="en-US"/>
        </w:rPr>
        <w:t>s</w:t>
      </w:r>
      <w:r w:rsidR="004C0760">
        <w:rPr>
          <w:lang w:val="en-US"/>
        </w:rPr>
        <w:t>tates</w:t>
      </w:r>
      <w:r w:rsidR="009834EF" w:rsidRPr="004C771B">
        <w:rPr>
          <w:lang w:val="en-US"/>
        </w:rPr>
        <w:t>:</w:t>
      </w:r>
      <w:r w:rsidR="0048065E">
        <w:rPr>
          <w:lang w:val="en-US"/>
        </w:rPr>
        <w:t xml:space="preserve"> </w:t>
      </w:r>
      <w:r w:rsidR="00DA0C85" w:rsidRPr="004C771B">
        <w:rPr>
          <w:lang w:val="en-US"/>
        </w:rPr>
        <w:t>‘</w:t>
      </w:r>
      <w:r w:rsidR="0093140A" w:rsidRPr="004C771B">
        <w:rPr>
          <w:lang w:val="en-US"/>
        </w:rPr>
        <w:t>Everyone needs essential water services. We understand that people sometimes have financial difficulties.</w:t>
      </w:r>
      <w:r w:rsidR="004C0760">
        <w:rPr>
          <w:lang w:val="en-US"/>
        </w:rPr>
        <w:t xml:space="preserve"> </w:t>
      </w:r>
      <w:r w:rsidR="0093140A" w:rsidRPr="004C771B">
        <w:rPr>
          <w:lang w:val="en-US"/>
        </w:rPr>
        <w:t>If you're having trouble</w:t>
      </w:r>
      <w:r w:rsidR="009834EF" w:rsidRPr="004C771B">
        <w:rPr>
          <w:lang w:val="en-US"/>
        </w:rPr>
        <w:t xml:space="preserve"> paying your bill, we can help</w:t>
      </w:r>
      <w:r w:rsidR="0048065E">
        <w:rPr>
          <w:lang w:val="en-US"/>
        </w:rPr>
        <w:t>.’</w:t>
      </w:r>
      <w:r w:rsidR="009834EF" w:rsidRPr="004C771B">
        <w:rPr>
          <w:rStyle w:val="FootnoteReference"/>
          <w:sz w:val="24"/>
          <w:szCs w:val="24"/>
          <w:lang w:val="en-US"/>
        </w:rPr>
        <w:t xml:space="preserve"> </w:t>
      </w:r>
      <w:r w:rsidR="009834EF" w:rsidRPr="004C771B">
        <w:rPr>
          <w:rStyle w:val="FootnoteReference"/>
          <w:sz w:val="24"/>
          <w:szCs w:val="24"/>
          <w:lang w:val="en-US"/>
        </w:rPr>
        <w:footnoteReference w:id="34"/>
      </w:r>
      <w:r w:rsidR="009834EF" w:rsidRPr="004C771B">
        <w:rPr>
          <w:lang w:val="en-US"/>
        </w:rPr>
        <w:t xml:space="preserve"> The website </w:t>
      </w:r>
      <w:r w:rsidR="0093140A" w:rsidRPr="004C771B">
        <w:rPr>
          <w:lang w:val="en-US"/>
        </w:rPr>
        <w:t xml:space="preserve">provides a phone number and seven links to </w:t>
      </w:r>
      <w:r w:rsidR="009834EF" w:rsidRPr="004C771B">
        <w:rPr>
          <w:lang w:val="en-US"/>
        </w:rPr>
        <w:t xml:space="preserve">the type of assistance available (payment arrangements, </w:t>
      </w:r>
      <w:proofErr w:type="spellStart"/>
      <w:r w:rsidR="009834EF" w:rsidRPr="004C771B">
        <w:rPr>
          <w:lang w:val="en-US"/>
        </w:rPr>
        <w:t>Centrepay</w:t>
      </w:r>
      <w:proofErr w:type="spellEnd"/>
      <w:r w:rsidR="009834EF" w:rsidRPr="004C771B">
        <w:rPr>
          <w:lang w:val="en-US"/>
        </w:rPr>
        <w:t xml:space="preserve">, </w:t>
      </w:r>
      <w:proofErr w:type="spellStart"/>
      <w:r w:rsidR="009834EF" w:rsidRPr="004C771B">
        <w:rPr>
          <w:lang w:val="en-US"/>
        </w:rPr>
        <w:t>BillAssist</w:t>
      </w:r>
      <w:proofErr w:type="spellEnd"/>
      <w:r w:rsidR="009834EF" w:rsidRPr="004C771B">
        <w:rPr>
          <w:lang w:val="en-US"/>
        </w:rPr>
        <w:t xml:space="preserve"> etc)</w:t>
      </w:r>
      <w:r w:rsidR="0093140A" w:rsidRPr="004C771B">
        <w:rPr>
          <w:lang w:val="en-US"/>
        </w:rPr>
        <w:t>.</w:t>
      </w:r>
      <w:r w:rsidR="004C0760">
        <w:rPr>
          <w:lang w:val="en-US"/>
        </w:rPr>
        <w:t>’</w:t>
      </w:r>
    </w:p>
    <w:p w14:paraId="44962495" w14:textId="20A73FEF" w:rsidR="001452B2" w:rsidRPr="0048065E" w:rsidRDefault="009834EF" w:rsidP="004C771B">
      <w:pPr>
        <w:rPr>
          <w:lang w:val="en-US"/>
        </w:rPr>
      </w:pPr>
      <w:r w:rsidRPr="004C771B">
        <w:rPr>
          <w:lang w:val="en-US"/>
        </w:rPr>
        <w:t>The National Australia Bank’s webpage</w:t>
      </w:r>
      <w:r w:rsidR="004C0760">
        <w:rPr>
          <w:lang w:val="en-US"/>
        </w:rPr>
        <w:t xml:space="preserve"> </w:t>
      </w:r>
      <w:r w:rsidRPr="004C771B">
        <w:rPr>
          <w:lang w:val="en-US"/>
        </w:rPr>
        <w:t>s</w:t>
      </w:r>
      <w:r w:rsidR="004C0760">
        <w:rPr>
          <w:lang w:val="en-US"/>
        </w:rPr>
        <w:t>tate</w:t>
      </w:r>
      <w:r w:rsidRPr="004C771B">
        <w:rPr>
          <w:lang w:val="en-US"/>
        </w:rPr>
        <w:t>s:</w:t>
      </w:r>
      <w:r w:rsidR="0048065E">
        <w:rPr>
          <w:lang w:val="en-US"/>
        </w:rPr>
        <w:t xml:space="preserve"> </w:t>
      </w:r>
      <w:r w:rsidR="00DA0C85" w:rsidRPr="004C771B">
        <w:rPr>
          <w:noProof/>
          <w:lang w:eastAsia="en-AU"/>
        </w:rPr>
        <w:t>‘</w:t>
      </w:r>
      <w:r w:rsidR="00E3736E" w:rsidRPr="004C771B">
        <w:rPr>
          <w:noProof/>
          <w:lang w:eastAsia="en-AU"/>
        </w:rPr>
        <w:t>Experiencing financial difficulty? Life can be unpredictable. If you are struggling to meet your loan or credit card repayments, we can offer you more help, more often.</w:t>
      </w:r>
      <w:r w:rsidR="0048065E">
        <w:rPr>
          <w:noProof/>
          <w:lang w:eastAsia="en-AU"/>
        </w:rPr>
        <w:t>’</w:t>
      </w:r>
      <w:r w:rsidR="00E3736E" w:rsidRPr="004C771B">
        <w:rPr>
          <w:rStyle w:val="FootnoteReference"/>
          <w:sz w:val="24"/>
          <w:szCs w:val="24"/>
        </w:rPr>
        <w:footnoteReference w:id="35"/>
      </w:r>
      <w:r w:rsidR="00E3736E" w:rsidRPr="004C771B">
        <w:t xml:space="preserve"> </w:t>
      </w:r>
      <w:r w:rsidR="00E3736E" w:rsidRPr="004C771B">
        <w:rPr>
          <w:lang w:val="en-US"/>
        </w:rPr>
        <w:t xml:space="preserve"> </w:t>
      </w:r>
    </w:p>
    <w:p w14:paraId="4F0631DC" w14:textId="7964A1A2" w:rsidR="00780A1A" w:rsidRPr="005D31EB" w:rsidRDefault="008E1BFD" w:rsidP="00231A16">
      <w:pPr>
        <w:pStyle w:val="Heading1"/>
        <w:numPr>
          <w:ilvl w:val="1"/>
          <w:numId w:val="10"/>
        </w:numPr>
        <w:ind w:left="709" w:hanging="709"/>
        <w:rPr>
          <w:lang w:val="en-US" w:eastAsia="ja-JP"/>
        </w:rPr>
      </w:pPr>
      <w:r>
        <w:rPr>
          <w:lang w:val="en-US" w:eastAsia="ja-JP"/>
        </w:rPr>
        <w:lastRenderedPageBreak/>
        <w:t xml:space="preserve"> </w:t>
      </w:r>
      <w:bookmarkStart w:id="59" w:name="_Toc387144767"/>
      <w:r w:rsidR="008A6307">
        <w:rPr>
          <w:lang w:val="en-US" w:eastAsia="ja-JP"/>
        </w:rPr>
        <w:t>Affordable payment arrangements are d</w:t>
      </w:r>
      <w:r w:rsidR="00780A1A">
        <w:rPr>
          <w:lang w:val="en-US" w:eastAsia="ja-JP"/>
        </w:rPr>
        <w:t xml:space="preserve">ifficult to </w:t>
      </w:r>
      <w:r w:rsidR="008A6307">
        <w:rPr>
          <w:lang w:val="en-US" w:eastAsia="ja-JP"/>
        </w:rPr>
        <w:t>a</w:t>
      </w:r>
      <w:r w:rsidR="008154E7">
        <w:rPr>
          <w:lang w:val="en-US" w:eastAsia="ja-JP"/>
        </w:rPr>
        <w:t>rrange</w:t>
      </w:r>
      <w:bookmarkEnd w:id="59"/>
    </w:p>
    <w:p w14:paraId="0EDEA6FE" w14:textId="77777777" w:rsidR="008E4E7C" w:rsidRPr="004C771B" w:rsidRDefault="008E4E7C" w:rsidP="00780A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p>
    <w:p w14:paraId="750F4E4F" w14:textId="24C32825" w:rsidR="00B374A6" w:rsidRPr="004C771B" w:rsidRDefault="00DA0C85" w:rsidP="004C771B">
      <w:pPr>
        <w:ind w:left="567"/>
        <w:rPr>
          <w:i/>
        </w:rPr>
      </w:pPr>
      <w:r w:rsidRPr="004C771B">
        <w:rPr>
          <w:i/>
        </w:rPr>
        <w:t>‘</w:t>
      </w:r>
      <w:r w:rsidR="00A329E5" w:rsidRPr="004C771B">
        <w:rPr>
          <w:i/>
        </w:rPr>
        <w:t>What is happening is just bill smoothing … That is not hardship. It is not taking into account capacity to pay.</w:t>
      </w:r>
      <w:r w:rsidRPr="004C771B">
        <w:rPr>
          <w:i/>
        </w:rPr>
        <w:t>’</w:t>
      </w:r>
    </w:p>
    <w:p w14:paraId="0B820102" w14:textId="66B7438A" w:rsidR="00B374A6" w:rsidRPr="004C771B" w:rsidRDefault="008E1BFD" w:rsidP="008E1BFD">
      <w:pPr>
        <w:ind w:left="567"/>
      </w:pPr>
      <w:r>
        <w:t>Consumer advocate interviewee</w:t>
      </w:r>
    </w:p>
    <w:p w14:paraId="156D6DEA" w14:textId="7402A649" w:rsidR="00B374A6" w:rsidRPr="004C771B" w:rsidRDefault="00DA0C85" w:rsidP="004C771B">
      <w:pPr>
        <w:ind w:left="567"/>
        <w:rPr>
          <w:i/>
          <w:lang w:val="en-US"/>
        </w:rPr>
      </w:pPr>
      <w:r w:rsidRPr="004C771B">
        <w:rPr>
          <w:i/>
          <w:lang w:val="en-US"/>
        </w:rPr>
        <w:t>‘</w:t>
      </w:r>
      <w:r w:rsidR="00693645" w:rsidRPr="004C771B">
        <w:rPr>
          <w:i/>
          <w:lang w:val="en-US"/>
        </w:rPr>
        <w:t>[</w:t>
      </w:r>
      <w:r w:rsidR="00286495" w:rsidRPr="004C771B">
        <w:rPr>
          <w:i/>
          <w:lang w:val="en-US"/>
        </w:rPr>
        <w:t xml:space="preserve">An </w:t>
      </w:r>
      <w:r w:rsidR="00693645" w:rsidRPr="004C771B">
        <w:rPr>
          <w:i/>
          <w:lang w:val="en-US"/>
        </w:rPr>
        <w:t>affordable payment plan] gives people the dignity to be able to pay - people want to pay.</w:t>
      </w:r>
      <w:r w:rsidRPr="004C771B">
        <w:rPr>
          <w:i/>
          <w:lang w:val="en-US"/>
        </w:rPr>
        <w:t>’</w:t>
      </w:r>
    </w:p>
    <w:p w14:paraId="03A45C53" w14:textId="1FA6FD8B" w:rsidR="00A329E5" w:rsidRPr="004C771B" w:rsidRDefault="00693645" w:rsidP="008E1BFD">
      <w:pPr>
        <w:ind w:left="567"/>
      </w:pPr>
      <w:r w:rsidRPr="004C771B">
        <w:rPr>
          <w:lang w:val="en-US"/>
        </w:rPr>
        <w:t xml:space="preserve">Financial </w:t>
      </w:r>
      <w:proofErr w:type="spellStart"/>
      <w:r w:rsidRPr="004C771B">
        <w:rPr>
          <w:lang w:val="en-US"/>
        </w:rPr>
        <w:t>counsellor</w:t>
      </w:r>
      <w:proofErr w:type="spellEnd"/>
      <w:r w:rsidRPr="004C771B">
        <w:rPr>
          <w:lang w:val="en-US"/>
        </w:rPr>
        <w:t xml:space="preserve"> interviewee</w:t>
      </w:r>
    </w:p>
    <w:p w14:paraId="05B8ED71" w14:textId="279CB56E" w:rsidR="009764AD" w:rsidRPr="004C771B" w:rsidRDefault="00780A1A" w:rsidP="004C771B">
      <w:r w:rsidRPr="004C771B">
        <w:t>F</w:t>
      </w:r>
      <w:r w:rsidR="00A329E5" w:rsidRPr="004C771B">
        <w:t xml:space="preserve">inancial counsellors, as well as a number of the telco focus group participants, </w:t>
      </w:r>
      <w:r w:rsidR="004C0760">
        <w:t>noted</w:t>
      </w:r>
      <w:r w:rsidR="004C0760" w:rsidRPr="004C771B">
        <w:t xml:space="preserve"> </w:t>
      </w:r>
      <w:r w:rsidR="00A329E5" w:rsidRPr="004C771B">
        <w:t xml:space="preserve">that affordable payment arrangements were </w:t>
      </w:r>
      <w:r w:rsidR="00286495" w:rsidRPr="004C771B">
        <w:t>difficult to arrange</w:t>
      </w:r>
      <w:r w:rsidR="00A329E5" w:rsidRPr="004C771B">
        <w:t xml:space="preserve">. </w:t>
      </w:r>
      <w:r w:rsidR="00595F12" w:rsidRPr="004C771B">
        <w:t>Some of the industry interviewees were also aware of this problem, noting that sometimes customers could be too optimistic about what they could afford. They recognised that customers may agree to an arrangement simply to terminate the call.</w:t>
      </w:r>
    </w:p>
    <w:p w14:paraId="3252C4C5" w14:textId="2DBC712F" w:rsidR="009764AD" w:rsidRPr="004C771B" w:rsidRDefault="009764AD" w:rsidP="004C771B">
      <w:r w:rsidRPr="004C771B">
        <w:t xml:space="preserve">One telco consumer spoke of her difficulties in </w:t>
      </w:r>
      <w:r w:rsidR="004C0760">
        <w:t>attaining</w:t>
      </w:r>
      <w:r w:rsidR="004C0760" w:rsidRPr="004C771B">
        <w:t xml:space="preserve"> </w:t>
      </w:r>
      <w:r w:rsidRPr="004C771B">
        <w:t xml:space="preserve">an arrangement that she could afford, one that would allow her to buy food and meet her other living needs. She had to be forceful </w:t>
      </w:r>
      <w:r w:rsidR="004C0760">
        <w:t xml:space="preserve">in order </w:t>
      </w:r>
      <w:r w:rsidRPr="004C771B">
        <w:t xml:space="preserve">to </w:t>
      </w:r>
      <w:r w:rsidR="00ED180A" w:rsidRPr="004C771B">
        <w:t>negotiate</w:t>
      </w:r>
      <w:r w:rsidRPr="004C771B">
        <w:t xml:space="preserve"> an affordable arrangement</w:t>
      </w:r>
      <w:r w:rsidR="004C0760">
        <w:t xml:space="preserve"> – </w:t>
      </w:r>
      <w:r w:rsidR="003935FA" w:rsidRPr="004C771B">
        <w:t>more forceful than most other c</w:t>
      </w:r>
      <w:r w:rsidR="00286495" w:rsidRPr="004C771B">
        <w:t xml:space="preserve">onsumers might be. </w:t>
      </w:r>
    </w:p>
    <w:p w14:paraId="2C538086" w14:textId="51C59796" w:rsidR="003935FA" w:rsidRPr="004C771B" w:rsidRDefault="004C0760" w:rsidP="004C771B">
      <w:pPr>
        <w:ind w:left="567"/>
        <w:rPr>
          <w:i/>
          <w:lang w:val="en-US"/>
        </w:rPr>
      </w:pPr>
      <w:r w:rsidRPr="004C771B">
        <w:rPr>
          <w:i/>
          <w:lang w:val="en-US"/>
        </w:rPr>
        <w:t>‘</w:t>
      </w:r>
      <w:r w:rsidR="009764AD" w:rsidRPr="004C771B">
        <w:rPr>
          <w:i/>
          <w:lang w:val="en-US"/>
        </w:rPr>
        <w:t xml:space="preserve">I was slapped with international roaming charges. I came back home and had a $1500 bill and nearly had a heart attack. I called and asked for a payment plan. </w:t>
      </w:r>
    </w:p>
    <w:p w14:paraId="1A766F0C" w14:textId="5DA1930F" w:rsidR="009764AD" w:rsidRPr="004C771B" w:rsidRDefault="009764AD" w:rsidP="004C771B">
      <w:pPr>
        <w:ind w:left="567"/>
        <w:rPr>
          <w:i/>
          <w:lang w:val="en-US"/>
        </w:rPr>
      </w:pPr>
      <w:r w:rsidRPr="004C771B">
        <w:rPr>
          <w:i/>
          <w:lang w:val="en-US"/>
        </w:rPr>
        <w:t xml:space="preserve">The girl on the phone said, </w:t>
      </w:r>
      <w:r w:rsidR="004C0760" w:rsidRPr="004C771B">
        <w:rPr>
          <w:i/>
          <w:lang w:val="en-US"/>
        </w:rPr>
        <w:t>“</w:t>
      </w:r>
      <w:r w:rsidRPr="004C771B">
        <w:rPr>
          <w:i/>
          <w:lang w:val="en-US"/>
        </w:rPr>
        <w:t>I have no authority</w:t>
      </w:r>
      <w:r w:rsidR="004C0760" w:rsidRPr="004C771B">
        <w:rPr>
          <w:i/>
          <w:lang w:val="en-US"/>
        </w:rPr>
        <w:t>”</w:t>
      </w:r>
      <w:r w:rsidRPr="004C771B">
        <w:rPr>
          <w:i/>
          <w:lang w:val="en-US"/>
        </w:rPr>
        <w:t>.</w:t>
      </w:r>
    </w:p>
    <w:p w14:paraId="4C8ED515" w14:textId="06963395" w:rsidR="003935FA" w:rsidRPr="004C771B" w:rsidRDefault="009764AD" w:rsidP="004C771B">
      <w:pPr>
        <w:ind w:left="567"/>
        <w:rPr>
          <w:i/>
          <w:lang w:val="en-US"/>
        </w:rPr>
      </w:pPr>
      <w:r w:rsidRPr="004C771B">
        <w:rPr>
          <w:i/>
          <w:lang w:val="en-US"/>
        </w:rPr>
        <w:t xml:space="preserve">I said, </w:t>
      </w:r>
      <w:r w:rsidR="004C0760" w:rsidRPr="004C771B">
        <w:rPr>
          <w:i/>
          <w:lang w:val="en-US"/>
        </w:rPr>
        <w:t>“</w:t>
      </w:r>
      <w:r w:rsidRPr="004C771B">
        <w:rPr>
          <w:i/>
          <w:lang w:val="en-US"/>
        </w:rPr>
        <w:t>I can’t pay it</w:t>
      </w:r>
      <w:r w:rsidR="0048065E">
        <w:rPr>
          <w:i/>
          <w:lang w:val="en-US"/>
        </w:rPr>
        <w:t>.</w:t>
      </w:r>
      <w:r w:rsidR="004C0760" w:rsidRPr="004C771B">
        <w:rPr>
          <w:i/>
          <w:lang w:val="en-US"/>
        </w:rPr>
        <w:t>”</w:t>
      </w:r>
    </w:p>
    <w:p w14:paraId="1E916989" w14:textId="4EE0969D" w:rsidR="009764AD" w:rsidRPr="004C771B" w:rsidRDefault="003935FA" w:rsidP="004C771B">
      <w:pPr>
        <w:ind w:left="567"/>
        <w:rPr>
          <w:i/>
          <w:lang w:val="en-US"/>
        </w:rPr>
      </w:pPr>
      <w:r w:rsidRPr="004C771B">
        <w:rPr>
          <w:i/>
          <w:lang w:val="en-US"/>
        </w:rPr>
        <w:t>A</w:t>
      </w:r>
      <w:r w:rsidR="009764AD" w:rsidRPr="004C771B">
        <w:rPr>
          <w:i/>
          <w:lang w:val="en-US"/>
        </w:rPr>
        <w:t xml:space="preserve">nd she said </w:t>
      </w:r>
      <w:r w:rsidR="004C0760" w:rsidRPr="004C771B">
        <w:rPr>
          <w:i/>
          <w:lang w:val="en-US"/>
        </w:rPr>
        <w:t>“Y</w:t>
      </w:r>
      <w:r w:rsidR="009764AD" w:rsidRPr="004C771B">
        <w:rPr>
          <w:i/>
          <w:lang w:val="en-US"/>
        </w:rPr>
        <w:t>ou’re going to have to</w:t>
      </w:r>
      <w:r w:rsidR="0048065E">
        <w:rPr>
          <w:i/>
          <w:lang w:val="en-US"/>
        </w:rPr>
        <w:t>.</w:t>
      </w:r>
      <w:r w:rsidR="004C0760" w:rsidRPr="004C771B">
        <w:rPr>
          <w:i/>
          <w:lang w:val="en-US"/>
        </w:rPr>
        <w:t>”</w:t>
      </w:r>
    </w:p>
    <w:p w14:paraId="4B8A7D9E" w14:textId="4CB13797" w:rsidR="009764AD" w:rsidRPr="004C771B" w:rsidRDefault="009764AD" w:rsidP="004C771B">
      <w:pPr>
        <w:ind w:left="567"/>
        <w:rPr>
          <w:i/>
          <w:lang w:val="en-US"/>
        </w:rPr>
      </w:pPr>
      <w:r w:rsidRPr="004C771B">
        <w:rPr>
          <w:i/>
          <w:lang w:val="en-US"/>
        </w:rPr>
        <w:t xml:space="preserve">I said </w:t>
      </w:r>
      <w:r w:rsidR="004C0760" w:rsidRPr="004C771B">
        <w:rPr>
          <w:i/>
          <w:lang w:val="en-US"/>
        </w:rPr>
        <w:t>“T</w:t>
      </w:r>
      <w:r w:rsidRPr="004C771B">
        <w:rPr>
          <w:i/>
          <w:lang w:val="en-US"/>
        </w:rPr>
        <w:t>his is the amount you’ll have to accept each week</w:t>
      </w:r>
      <w:r w:rsidR="0048065E">
        <w:rPr>
          <w:i/>
          <w:lang w:val="en-US"/>
        </w:rPr>
        <w:t>.</w:t>
      </w:r>
      <w:r w:rsidR="004C0760" w:rsidRPr="004C771B">
        <w:rPr>
          <w:i/>
          <w:lang w:val="en-US"/>
        </w:rPr>
        <w:t>”</w:t>
      </w:r>
      <w:r w:rsidRPr="004C771B">
        <w:rPr>
          <w:i/>
          <w:lang w:val="en-US"/>
        </w:rPr>
        <w:t xml:space="preserve"> </w:t>
      </w:r>
    </w:p>
    <w:p w14:paraId="1B01EFDE" w14:textId="518A93F3" w:rsidR="009764AD" w:rsidRPr="004C771B" w:rsidRDefault="009764AD" w:rsidP="004C771B">
      <w:pPr>
        <w:ind w:left="567"/>
        <w:rPr>
          <w:i/>
          <w:lang w:val="en-US"/>
        </w:rPr>
      </w:pPr>
      <w:r w:rsidRPr="004C771B">
        <w:rPr>
          <w:i/>
          <w:lang w:val="en-US"/>
        </w:rPr>
        <w:t xml:space="preserve">She said </w:t>
      </w:r>
      <w:r w:rsidR="004C0760" w:rsidRPr="004C771B">
        <w:rPr>
          <w:i/>
          <w:lang w:val="en-US"/>
        </w:rPr>
        <w:t>“</w:t>
      </w:r>
      <w:r w:rsidRPr="004C771B">
        <w:rPr>
          <w:i/>
          <w:lang w:val="en-US"/>
        </w:rPr>
        <w:t>I have no authority</w:t>
      </w:r>
      <w:r w:rsidR="0048065E">
        <w:rPr>
          <w:i/>
          <w:lang w:val="en-US"/>
        </w:rPr>
        <w:t>.</w:t>
      </w:r>
      <w:r w:rsidR="004C0760" w:rsidRPr="004C771B">
        <w:rPr>
          <w:i/>
          <w:lang w:val="en-US"/>
        </w:rPr>
        <w:t>”</w:t>
      </w:r>
      <w:r w:rsidRPr="004C771B">
        <w:rPr>
          <w:i/>
          <w:lang w:val="en-US"/>
        </w:rPr>
        <w:t xml:space="preserve"> </w:t>
      </w:r>
    </w:p>
    <w:p w14:paraId="3ADF9FFB" w14:textId="476297A2" w:rsidR="004C0760" w:rsidRPr="004C771B" w:rsidRDefault="009764AD" w:rsidP="004C771B">
      <w:pPr>
        <w:ind w:left="567"/>
        <w:rPr>
          <w:i/>
          <w:lang w:val="en-US"/>
        </w:rPr>
      </w:pPr>
      <w:r w:rsidRPr="004C771B">
        <w:rPr>
          <w:i/>
          <w:lang w:val="en-US"/>
        </w:rPr>
        <w:t xml:space="preserve">I said </w:t>
      </w:r>
      <w:r w:rsidR="004C0760" w:rsidRPr="004C771B">
        <w:rPr>
          <w:i/>
          <w:lang w:val="en-US"/>
        </w:rPr>
        <w:t>“W</w:t>
      </w:r>
      <w:r w:rsidRPr="004C771B">
        <w:rPr>
          <w:i/>
          <w:lang w:val="en-US"/>
        </w:rPr>
        <w:t>ell put me on the phone with someone who does have it. I can’t buy groceries if I pay that</w:t>
      </w:r>
      <w:r w:rsidR="0048065E">
        <w:rPr>
          <w:i/>
          <w:lang w:val="en-US"/>
        </w:rPr>
        <w:t>.</w:t>
      </w:r>
      <w:r w:rsidR="004C0760" w:rsidRPr="004C771B">
        <w:rPr>
          <w:i/>
          <w:lang w:val="en-US"/>
        </w:rPr>
        <w:t>”</w:t>
      </w:r>
      <w:r w:rsidRPr="004C771B">
        <w:rPr>
          <w:i/>
          <w:lang w:val="en-US"/>
        </w:rPr>
        <w:t xml:space="preserve"> It was $200 or something. </w:t>
      </w:r>
    </w:p>
    <w:p w14:paraId="345BC67B" w14:textId="4BA165C3" w:rsidR="009764AD" w:rsidRPr="004C771B" w:rsidRDefault="009764AD" w:rsidP="004C771B">
      <w:pPr>
        <w:ind w:left="567"/>
        <w:rPr>
          <w:i/>
          <w:lang w:val="en-US"/>
        </w:rPr>
      </w:pPr>
      <w:r w:rsidRPr="004C771B">
        <w:rPr>
          <w:i/>
          <w:lang w:val="en-US"/>
        </w:rPr>
        <w:t xml:space="preserve">She put me on to her supervisor and they called me back, and lo and behold they said </w:t>
      </w:r>
      <w:r w:rsidR="004C0760" w:rsidRPr="004C771B">
        <w:rPr>
          <w:i/>
          <w:lang w:val="en-US"/>
        </w:rPr>
        <w:t>“T</w:t>
      </w:r>
      <w:r w:rsidRPr="004C771B">
        <w:rPr>
          <w:i/>
          <w:lang w:val="en-US"/>
        </w:rPr>
        <w:t>hat’s fine – you can pay installments</w:t>
      </w:r>
      <w:r w:rsidR="0048065E">
        <w:rPr>
          <w:i/>
          <w:lang w:val="en-US"/>
        </w:rPr>
        <w:t>.</w:t>
      </w:r>
      <w:r w:rsidR="004C0760" w:rsidRPr="004C771B">
        <w:rPr>
          <w:i/>
          <w:lang w:val="en-US"/>
        </w:rPr>
        <w:t>”</w:t>
      </w:r>
      <w:r w:rsidR="0048065E">
        <w:rPr>
          <w:i/>
          <w:lang w:val="en-US"/>
        </w:rPr>
        <w:t xml:space="preserve"> </w:t>
      </w:r>
      <w:r w:rsidR="004C0760" w:rsidRPr="004C771B">
        <w:rPr>
          <w:i/>
          <w:lang w:val="en-US"/>
        </w:rPr>
        <w:t>’</w:t>
      </w:r>
    </w:p>
    <w:p w14:paraId="2EB003C7" w14:textId="6BFE4937" w:rsidR="00595F12" w:rsidRPr="004C771B" w:rsidRDefault="003935FA" w:rsidP="004C771B">
      <w:pPr>
        <w:ind w:left="567"/>
      </w:pPr>
      <w:r w:rsidRPr="004C771B">
        <w:rPr>
          <w:lang w:val="en-US"/>
        </w:rPr>
        <w:t>Telco consumer focus group participant</w:t>
      </w:r>
      <w:r w:rsidR="00C73018" w:rsidRPr="004C771B">
        <w:rPr>
          <w:lang w:val="en-US"/>
        </w:rPr>
        <w:t xml:space="preserve"> (4 Dec)</w:t>
      </w:r>
    </w:p>
    <w:p w14:paraId="270ADAF2" w14:textId="0E4656AF" w:rsidR="0065605F" w:rsidRPr="004C771B" w:rsidRDefault="00595F12" w:rsidP="004C771B">
      <w:r w:rsidRPr="004C771B">
        <w:t xml:space="preserve">Financial counsellors also </w:t>
      </w:r>
      <w:r w:rsidR="004C0760">
        <w:t>discussed</w:t>
      </w:r>
      <w:r w:rsidRPr="004C771B">
        <w:t xml:space="preserve"> the difficulties in assisting clients with long term problems. Short term arrangements were </w:t>
      </w:r>
      <w:r w:rsidR="004C0760">
        <w:t>beneficial</w:t>
      </w:r>
      <w:r w:rsidRPr="004C771B">
        <w:t>, but only if the client’s problem was of the same duration.</w:t>
      </w:r>
    </w:p>
    <w:p w14:paraId="166D54CC" w14:textId="27647E41" w:rsidR="0091591A" w:rsidRPr="004C771B" w:rsidRDefault="00CF192D" w:rsidP="004C771B">
      <w:pPr>
        <w:rPr>
          <w:lang w:val="en-US"/>
        </w:rPr>
      </w:pPr>
      <w:r w:rsidRPr="004C771B">
        <w:t>Flexible</w:t>
      </w:r>
      <w:r w:rsidR="00610039" w:rsidRPr="004C771B">
        <w:t xml:space="preserve"> payment timing </w:t>
      </w:r>
      <w:r w:rsidR="00D01760" w:rsidRPr="004C771B">
        <w:t xml:space="preserve">was also </w:t>
      </w:r>
      <w:r w:rsidR="004C0760">
        <w:t>a</w:t>
      </w:r>
      <w:r w:rsidR="004C0760" w:rsidRPr="004C0760">
        <w:t xml:space="preserve"> </w:t>
      </w:r>
      <w:r w:rsidR="00D01760" w:rsidRPr="004C771B">
        <w:t xml:space="preserve">critical </w:t>
      </w:r>
      <w:r w:rsidR="004C0760">
        <w:t xml:space="preserve">factor </w:t>
      </w:r>
      <w:r w:rsidR="00D01760" w:rsidRPr="004C771B">
        <w:t xml:space="preserve">for some </w:t>
      </w:r>
      <w:r w:rsidR="004C0760">
        <w:t>individuals</w:t>
      </w:r>
      <w:r w:rsidR="00610039" w:rsidRPr="004C771B">
        <w:t xml:space="preserve">. A financial counsellor </w:t>
      </w:r>
      <w:r w:rsidR="00D01760" w:rsidRPr="004C771B">
        <w:t xml:space="preserve">said that </w:t>
      </w:r>
      <w:r w:rsidR="00610039" w:rsidRPr="004C771B">
        <w:t xml:space="preserve">some low-income clients </w:t>
      </w:r>
      <w:r w:rsidR="00D01760" w:rsidRPr="004C771B">
        <w:t xml:space="preserve">managed </w:t>
      </w:r>
      <w:r w:rsidR="00610039" w:rsidRPr="004C771B">
        <w:t xml:space="preserve">their payments </w:t>
      </w:r>
      <w:r w:rsidR="00D01760" w:rsidRPr="004C771B">
        <w:t xml:space="preserve">so that they synchronised with receipt of their </w:t>
      </w:r>
      <w:r w:rsidR="00D01760" w:rsidRPr="004C771B">
        <w:lastRenderedPageBreak/>
        <w:t>Centrelink benefit. However</w:t>
      </w:r>
      <w:r w:rsidR="00610039" w:rsidRPr="004C771B">
        <w:t xml:space="preserve"> </w:t>
      </w:r>
      <w:r w:rsidR="00DA0C85" w:rsidRPr="004C771B">
        <w:rPr>
          <w:lang w:val="en-US"/>
        </w:rPr>
        <w:t>‘</w:t>
      </w:r>
      <w:r w:rsidR="00610039" w:rsidRPr="004C771B">
        <w:rPr>
          <w:lang w:val="en-US"/>
        </w:rPr>
        <w:t>with some companies, you can’t make fortnightly pay</w:t>
      </w:r>
      <w:r w:rsidR="00973AF1" w:rsidRPr="004C771B">
        <w:rPr>
          <w:lang w:val="en-US"/>
        </w:rPr>
        <w:t xml:space="preserve">ments until you’re in arrears … </w:t>
      </w:r>
      <w:r w:rsidR="00610039" w:rsidRPr="004C771B">
        <w:rPr>
          <w:lang w:val="en-US"/>
        </w:rPr>
        <w:t>it is diabolical as it sets people up to enter hardship.</w:t>
      </w:r>
      <w:r w:rsidR="00DA0C85" w:rsidRPr="004C771B">
        <w:rPr>
          <w:lang w:val="en-US"/>
        </w:rPr>
        <w:t>’</w:t>
      </w:r>
      <w:r w:rsidR="00BF1529" w:rsidRPr="004C771B">
        <w:rPr>
          <w:lang w:val="en-US"/>
        </w:rPr>
        <w:t xml:space="preserve"> </w:t>
      </w:r>
      <w:r w:rsidR="007D0848" w:rsidRPr="004C771B">
        <w:rPr>
          <w:lang w:val="en-US"/>
        </w:rPr>
        <w:t>F</w:t>
      </w:r>
      <w:r w:rsidR="00BF1529" w:rsidRPr="004C771B">
        <w:rPr>
          <w:lang w:val="en-US"/>
        </w:rPr>
        <w:t xml:space="preserve">ortnightly payments </w:t>
      </w:r>
      <w:r w:rsidR="007D0848" w:rsidRPr="004C771B">
        <w:rPr>
          <w:lang w:val="en-US"/>
        </w:rPr>
        <w:t>will result in</w:t>
      </w:r>
      <w:r w:rsidR="00BF1529" w:rsidRPr="004C771B">
        <w:rPr>
          <w:lang w:val="en-US"/>
        </w:rPr>
        <w:t xml:space="preserve"> increased cost</w:t>
      </w:r>
      <w:r w:rsidR="007D0848" w:rsidRPr="004C771B">
        <w:rPr>
          <w:lang w:val="en-US"/>
        </w:rPr>
        <w:t>s</w:t>
      </w:r>
      <w:r w:rsidR="00BF1529" w:rsidRPr="004C771B">
        <w:rPr>
          <w:lang w:val="en-US"/>
        </w:rPr>
        <w:t xml:space="preserve"> </w:t>
      </w:r>
      <w:r w:rsidR="007D0848" w:rsidRPr="004C771B">
        <w:rPr>
          <w:lang w:val="en-US"/>
        </w:rPr>
        <w:t>for</w:t>
      </w:r>
      <w:r w:rsidR="00BF1529" w:rsidRPr="004C771B">
        <w:rPr>
          <w:lang w:val="en-US"/>
        </w:rPr>
        <w:t xml:space="preserve"> industry but a</w:t>
      </w:r>
      <w:r w:rsidR="007D0848" w:rsidRPr="004C771B">
        <w:rPr>
          <w:lang w:val="en-US"/>
        </w:rPr>
        <w:t>re a</w:t>
      </w:r>
      <w:r w:rsidR="00BF1529" w:rsidRPr="004C771B">
        <w:rPr>
          <w:lang w:val="en-US"/>
        </w:rPr>
        <w:t xml:space="preserve"> significant preventative measure for some customers</w:t>
      </w:r>
      <w:r w:rsidR="004C0760">
        <w:rPr>
          <w:lang w:val="en-US"/>
        </w:rPr>
        <w:t xml:space="preserve"> in financial difficulty</w:t>
      </w:r>
      <w:r w:rsidR="00BF1529" w:rsidRPr="004C771B">
        <w:rPr>
          <w:lang w:val="en-US"/>
        </w:rPr>
        <w:t xml:space="preserve">. </w:t>
      </w:r>
    </w:p>
    <w:p w14:paraId="66C8DC15" w14:textId="09C9B718" w:rsidR="0091591A" w:rsidRPr="004C771B" w:rsidRDefault="00D01760" w:rsidP="004C771B">
      <w:pPr>
        <w:rPr>
          <w:lang w:val="en-US"/>
        </w:rPr>
      </w:pPr>
      <w:r w:rsidRPr="004C771B">
        <w:rPr>
          <w:lang w:val="en-US"/>
        </w:rPr>
        <w:t>O</w:t>
      </w:r>
      <w:r w:rsidR="0091591A" w:rsidRPr="004C771B">
        <w:rPr>
          <w:lang w:val="en-US"/>
        </w:rPr>
        <w:t xml:space="preserve">ne financial </w:t>
      </w:r>
      <w:proofErr w:type="spellStart"/>
      <w:r w:rsidR="0091591A" w:rsidRPr="004C771B">
        <w:rPr>
          <w:lang w:val="en-US"/>
        </w:rPr>
        <w:t>counsellor</w:t>
      </w:r>
      <w:proofErr w:type="spellEnd"/>
      <w:r w:rsidR="0091591A" w:rsidRPr="004C771B">
        <w:rPr>
          <w:lang w:val="en-US"/>
        </w:rPr>
        <w:t xml:space="preserve"> stressed that payment arrangements are not necessarily suitable for </w:t>
      </w:r>
      <w:r w:rsidR="004C0760">
        <w:rPr>
          <w:lang w:val="en-US"/>
        </w:rPr>
        <w:t>every hardship case</w:t>
      </w:r>
      <w:r w:rsidR="0091591A" w:rsidRPr="004C771B">
        <w:rPr>
          <w:lang w:val="en-US"/>
        </w:rPr>
        <w:t xml:space="preserve"> and </w:t>
      </w:r>
      <w:r w:rsidR="00040BDB" w:rsidRPr="004C771B">
        <w:rPr>
          <w:lang w:val="en-US"/>
        </w:rPr>
        <w:t>there</w:t>
      </w:r>
      <w:r w:rsidR="0091591A" w:rsidRPr="004C771B">
        <w:rPr>
          <w:lang w:val="en-US"/>
        </w:rPr>
        <w:t xml:space="preserve"> need</w:t>
      </w:r>
      <w:r w:rsidR="00040BDB" w:rsidRPr="004C771B">
        <w:rPr>
          <w:lang w:val="en-US"/>
        </w:rPr>
        <w:t>s to be</w:t>
      </w:r>
      <w:r w:rsidR="0091591A" w:rsidRPr="004C771B">
        <w:rPr>
          <w:lang w:val="en-US"/>
        </w:rPr>
        <w:t xml:space="preserve"> both flexibility and leniency.  </w:t>
      </w:r>
    </w:p>
    <w:p w14:paraId="42AFFDE7" w14:textId="6FEAE775" w:rsidR="0091591A" w:rsidRPr="004C771B" w:rsidRDefault="004C0760" w:rsidP="004C771B">
      <w:pPr>
        <w:ind w:left="567"/>
        <w:rPr>
          <w:i/>
          <w:lang w:val="en-US"/>
        </w:rPr>
      </w:pPr>
      <w:r w:rsidRPr="004C771B">
        <w:rPr>
          <w:i/>
          <w:lang w:val="en-US"/>
        </w:rPr>
        <w:t>‘</w:t>
      </w:r>
      <w:r w:rsidR="00973AF1" w:rsidRPr="004C771B">
        <w:rPr>
          <w:i/>
          <w:lang w:val="en-US"/>
        </w:rPr>
        <w:t>I</w:t>
      </w:r>
      <w:r w:rsidR="0091591A" w:rsidRPr="004C771B">
        <w:rPr>
          <w:i/>
          <w:lang w:val="en-US"/>
        </w:rPr>
        <w:t xml:space="preserve">f someone hasn’t made a payment in a long period, and are </w:t>
      </w:r>
      <w:r w:rsidR="00040BDB" w:rsidRPr="004C771B">
        <w:rPr>
          <w:i/>
          <w:lang w:val="en-US"/>
        </w:rPr>
        <w:t>[</w:t>
      </w:r>
      <w:r w:rsidR="007D0848" w:rsidRPr="004C771B">
        <w:rPr>
          <w:i/>
          <w:lang w:val="en-US"/>
        </w:rPr>
        <w:t xml:space="preserve">then </w:t>
      </w:r>
      <w:r w:rsidR="00040BDB" w:rsidRPr="004C771B">
        <w:rPr>
          <w:i/>
          <w:lang w:val="en-US"/>
        </w:rPr>
        <w:t xml:space="preserve">put on] </w:t>
      </w:r>
      <w:r w:rsidR="0048065E">
        <w:rPr>
          <w:i/>
          <w:lang w:val="en-US"/>
        </w:rPr>
        <w:t>a payment arrangement –</w:t>
      </w:r>
      <w:r w:rsidR="0091591A" w:rsidRPr="004C771B">
        <w:rPr>
          <w:i/>
          <w:lang w:val="en-US"/>
        </w:rPr>
        <w:t xml:space="preserve"> we set people up for failure. Why do we think that they will be able to do it now</w:t>
      </w:r>
      <w:r w:rsidR="00F92EA7" w:rsidRPr="004C771B">
        <w:rPr>
          <w:i/>
          <w:lang w:val="en-US"/>
        </w:rPr>
        <w:t>?</w:t>
      </w:r>
      <w:r w:rsidR="0091591A" w:rsidRPr="004C771B">
        <w:rPr>
          <w:i/>
          <w:lang w:val="en-US"/>
        </w:rPr>
        <w:t xml:space="preserve"> </w:t>
      </w:r>
      <w:r w:rsidR="00040BDB" w:rsidRPr="004C771B">
        <w:rPr>
          <w:i/>
          <w:lang w:val="en-US"/>
        </w:rPr>
        <w:t>I liken</w:t>
      </w:r>
      <w:r w:rsidR="0091591A" w:rsidRPr="004C771B">
        <w:rPr>
          <w:i/>
          <w:lang w:val="en-US"/>
        </w:rPr>
        <w:t xml:space="preserve"> </w:t>
      </w:r>
      <w:r w:rsidR="00040BDB" w:rsidRPr="004C771B">
        <w:rPr>
          <w:i/>
          <w:lang w:val="en-US"/>
        </w:rPr>
        <w:t xml:space="preserve">it </w:t>
      </w:r>
      <w:r w:rsidR="0091591A" w:rsidRPr="004C771B">
        <w:rPr>
          <w:i/>
          <w:lang w:val="en-US"/>
        </w:rPr>
        <w:t>to weight loss program</w:t>
      </w:r>
      <w:r w:rsidR="00040BDB" w:rsidRPr="004C771B">
        <w:rPr>
          <w:i/>
          <w:lang w:val="en-US"/>
        </w:rPr>
        <w:t>s</w:t>
      </w:r>
      <w:r w:rsidR="0091591A" w:rsidRPr="004C771B">
        <w:rPr>
          <w:i/>
          <w:lang w:val="en-US"/>
        </w:rPr>
        <w:t xml:space="preserve"> </w:t>
      </w:r>
      <w:r w:rsidRPr="004C771B">
        <w:rPr>
          <w:i/>
          <w:lang w:val="en-US"/>
        </w:rPr>
        <w:t xml:space="preserve">– </w:t>
      </w:r>
      <w:r w:rsidR="0091591A" w:rsidRPr="004C771B">
        <w:rPr>
          <w:i/>
          <w:lang w:val="en-US"/>
        </w:rPr>
        <w:t>we set people up for failure with strict guidelines.</w:t>
      </w:r>
      <w:r w:rsidRPr="004C771B">
        <w:rPr>
          <w:i/>
          <w:lang w:val="en-US"/>
        </w:rPr>
        <w:t>’</w:t>
      </w:r>
    </w:p>
    <w:p w14:paraId="10FDC733" w14:textId="44B85D95" w:rsidR="00610039" w:rsidRPr="007C5F3D" w:rsidRDefault="00040BDB" w:rsidP="007C5F3D">
      <w:pPr>
        <w:ind w:left="567"/>
        <w:rPr>
          <w:lang w:val="en-US"/>
        </w:rPr>
      </w:pPr>
      <w:r w:rsidRPr="004C771B">
        <w:rPr>
          <w:lang w:val="en-US"/>
        </w:rPr>
        <w:t>Financi</w:t>
      </w:r>
      <w:r w:rsidR="007C5F3D">
        <w:rPr>
          <w:lang w:val="en-US"/>
        </w:rPr>
        <w:t xml:space="preserve">al </w:t>
      </w:r>
      <w:proofErr w:type="spellStart"/>
      <w:r w:rsidR="007C5F3D">
        <w:rPr>
          <w:lang w:val="en-US"/>
        </w:rPr>
        <w:t>counsellor</w:t>
      </w:r>
      <w:proofErr w:type="spellEnd"/>
      <w:r w:rsidR="007C5F3D">
        <w:rPr>
          <w:lang w:val="en-US"/>
        </w:rPr>
        <w:t xml:space="preserve"> interviewee</w:t>
      </w:r>
    </w:p>
    <w:p w14:paraId="2342A850" w14:textId="12AAD0C0" w:rsidR="0039788B" w:rsidRPr="004C771B" w:rsidRDefault="0039788B" w:rsidP="004C771B">
      <w:r w:rsidRPr="004C771B">
        <w:t>Another p</w:t>
      </w:r>
      <w:r w:rsidR="00973AF1" w:rsidRPr="004C771B">
        <w:t xml:space="preserve">roblem was </w:t>
      </w:r>
      <w:r w:rsidR="004C0760">
        <w:t>deducing</w:t>
      </w:r>
      <w:r w:rsidR="00973AF1" w:rsidRPr="004C771B">
        <w:t xml:space="preserve"> what is </w:t>
      </w:r>
      <w:r w:rsidR="00DA0C85" w:rsidRPr="004C771B">
        <w:t>‘</w:t>
      </w:r>
      <w:r w:rsidR="00973AF1" w:rsidRPr="004C771B">
        <w:t>affordable</w:t>
      </w:r>
      <w:r w:rsidR="00DA0C85" w:rsidRPr="004C771B">
        <w:t>’</w:t>
      </w:r>
      <w:r w:rsidR="00973AF1" w:rsidRPr="004C771B">
        <w:t xml:space="preserve"> or what is the customer’s </w:t>
      </w:r>
      <w:r w:rsidR="00DA0C85" w:rsidRPr="004C771B">
        <w:t>‘</w:t>
      </w:r>
      <w:r w:rsidR="00973AF1" w:rsidRPr="004C771B">
        <w:t>capacity to pay</w:t>
      </w:r>
      <w:r w:rsidR="00DA0C85" w:rsidRPr="004C771B">
        <w:t>’</w:t>
      </w:r>
      <w:r w:rsidRPr="004C771B">
        <w:t>. A consumer advocate interview</w:t>
      </w:r>
      <w:r w:rsidR="00973AF1" w:rsidRPr="004C771B">
        <w:t>ee</w:t>
      </w:r>
      <w:r w:rsidRPr="004C771B">
        <w:t xml:space="preserve"> </w:t>
      </w:r>
      <w:r w:rsidR="00E33407">
        <w:t>emphasised</w:t>
      </w:r>
      <w:r w:rsidR="00E33407" w:rsidRPr="004C771B">
        <w:t xml:space="preserve"> </w:t>
      </w:r>
      <w:r w:rsidRPr="004C771B">
        <w:t xml:space="preserve">that regulators need to articulate what </w:t>
      </w:r>
      <w:r w:rsidR="00E33407">
        <w:t xml:space="preserve">practical methods are needed to solve </w:t>
      </w:r>
      <w:r w:rsidRPr="004C771B">
        <w:t>this</w:t>
      </w:r>
      <w:r w:rsidR="00E33407">
        <w:t xml:space="preserve"> problem</w:t>
      </w:r>
      <w:r w:rsidRPr="004C771B">
        <w:t xml:space="preserve">. </w:t>
      </w:r>
      <w:r w:rsidR="00E33407">
        <w:t>This is important as</w:t>
      </w:r>
      <w:r w:rsidR="00E33407" w:rsidRPr="00061050">
        <w:t xml:space="preserve"> consumers will often agree to whatever </w:t>
      </w:r>
      <w:r w:rsidR="00E33407">
        <w:t xml:space="preserve">payment plan </w:t>
      </w:r>
      <w:r w:rsidR="0048065E">
        <w:t xml:space="preserve">is </w:t>
      </w:r>
      <w:r w:rsidR="00E33407">
        <w:t>suggested</w:t>
      </w:r>
      <w:r w:rsidR="00E33407" w:rsidRPr="00E33407">
        <w:t xml:space="preserve"> </w:t>
      </w:r>
      <w:r w:rsidR="00E33407" w:rsidRPr="00C36E5A">
        <w:t>in the first instance</w:t>
      </w:r>
      <w:r w:rsidR="00E33407" w:rsidRPr="00E33407" w:rsidDel="00E33407">
        <w:t xml:space="preserve"> </w:t>
      </w:r>
      <w:r w:rsidR="00E33407">
        <w:t>and i</w:t>
      </w:r>
      <w:r w:rsidRPr="004C771B">
        <w:t>ndustry staff</w:t>
      </w:r>
      <w:r w:rsidR="00E33407">
        <w:t xml:space="preserve"> subsequently</w:t>
      </w:r>
      <w:r w:rsidRPr="004C771B">
        <w:t xml:space="preserve"> </w:t>
      </w:r>
      <w:r w:rsidR="00E33407">
        <w:t>must</w:t>
      </w:r>
      <w:r w:rsidRPr="004C771B">
        <w:t xml:space="preserve"> assist consumers in </w:t>
      </w:r>
      <w:r w:rsidR="00E33407">
        <w:t>formulating</w:t>
      </w:r>
      <w:r w:rsidR="00E33407" w:rsidRPr="004C771B">
        <w:t xml:space="preserve"> </w:t>
      </w:r>
      <w:r w:rsidR="00E33407">
        <w:t>a more effective</w:t>
      </w:r>
      <w:r w:rsidRPr="004C771B">
        <w:t xml:space="preserve"> payment</w:t>
      </w:r>
      <w:r w:rsidR="00E33407">
        <w:t xml:space="preserve"> plan.</w:t>
      </w:r>
      <w:r w:rsidRPr="004C771B">
        <w:t xml:space="preserve"> </w:t>
      </w:r>
      <w:proofErr w:type="gramStart"/>
      <w:r w:rsidRPr="004C771B">
        <w:t xml:space="preserve">As the financial counsellor explained: </w:t>
      </w:r>
      <w:r w:rsidR="00DA0C85" w:rsidRPr="004C771B">
        <w:t>‘</w:t>
      </w:r>
      <w:r w:rsidRPr="004C771B">
        <w:t xml:space="preserve">the </w:t>
      </w:r>
      <w:r w:rsidRPr="004C771B">
        <w:rPr>
          <w:lang w:val="en-US"/>
        </w:rPr>
        <w:t>client will agree as they want the power on to cook dinner.</w:t>
      </w:r>
      <w:r w:rsidR="0048065E">
        <w:rPr>
          <w:lang w:val="en-US"/>
        </w:rPr>
        <w:t>’</w:t>
      </w:r>
      <w:proofErr w:type="gramEnd"/>
      <w:r w:rsidRPr="004C771B">
        <w:rPr>
          <w:lang w:val="en-US"/>
        </w:rPr>
        <w:t xml:space="preserve"> However, unaffordable payment arrangements are not sustainable</w:t>
      </w:r>
      <w:r w:rsidR="004C31CA" w:rsidRPr="004C771B">
        <w:rPr>
          <w:lang w:val="en-US"/>
        </w:rPr>
        <w:t>.</w:t>
      </w:r>
    </w:p>
    <w:p w14:paraId="4F3FC81F" w14:textId="317F4206" w:rsidR="0026427A" w:rsidRDefault="0065605F" w:rsidP="004C771B">
      <w:pPr>
        <w:rPr>
          <w:lang w:val="en-US"/>
        </w:rPr>
      </w:pPr>
      <w:r w:rsidRPr="004C771B">
        <w:t xml:space="preserve">Why are affordable payment arrangements so important? A financial counsellor identified </w:t>
      </w:r>
      <w:r w:rsidR="00E33407">
        <w:t>the ability</w:t>
      </w:r>
      <w:r w:rsidRPr="004C771B">
        <w:t xml:space="preserve"> to pay as being inextricably tied </w:t>
      </w:r>
      <w:r w:rsidR="006B35BD">
        <w:t>to human dignity:</w:t>
      </w:r>
      <w:r w:rsidRPr="004C771B">
        <w:t xml:space="preserve"> </w:t>
      </w:r>
      <w:r w:rsidR="00DA0C85" w:rsidRPr="004C771B">
        <w:t>‘</w:t>
      </w:r>
      <w:r w:rsidR="00E33407">
        <w:t xml:space="preserve">[it] </w:t>
      </w:r>
      <w:r w:rsidRPr="004C771B">
        <w:rPr>
          <w:lang w:val="en-US"/>
        </w:rPr>
        <w:t xml:space="preserve">gives people the dignity to be able to pay </w:t>
      </w:r>
      <w:r w:rsidR="00E33407">
        <w:rPr>
          <w:lang w:val="en-US"/>
        </w:rPr>
        <w:t>–</w:t>
      </w:r>
      <w:r w:rsidRPr="004C771B">
        <w:rPr>
          <w:lang w:val="en-US"/>
        </w:rPr>
        <w:t xml:space="preserve"> people want to pay</w:t>
      </w:r>
      <w:r w:rsidR="007D0848" w:rsidRPr="004C771B">
        <w:rPr>
          <w:lang w:val="en-US"/>
        </w:rPr>
        <w:t>.</w:t>
      </w:r>
      <w:r w:rsidR="00DA0C85" w:rsidRPr="004C771B">
        <w:rPr>
          <w:lang w:val="en-US"/>
        </w:rPr>
        <w:t>’</w:t>
      </w:r>
      <w:r w:rsidR="007D0848" w:rsidRPr="004C771B">
        <w:rPr>
          <w:lang w:val="en-US"/>
        </w:rPr>
        <w:t xml:space="preserve"> This was a</w:t>
      </w:r>
      <w:r w:rsidRPr="004C771B">
        <w:rPr>
          <w:lang w:val="en-US"/>
        </w:rPr>
        <w:t xml:space="preserve"> theme </w:t>
      </w:r>
      <w:r w:rsidR="007D0848" w:rsidRPr="004C771B">
        <w:rPr>
          <w:lang w:val="en-US"/>
        </w:rPr>
        <w:t>repeated by</w:t>
      </w:r>
      <w:r w:rsidR="00587933" w:rsidRPr="004C771B">
        <w:rPr>
          <w:lang w:val="en-US"/>
        </w:rPr>
        <w:t xml:space="preserve"> financial counsellors</w:t>
      </w:r>
      <w:r w:rsidR="0026427A" w:rsidRPr="004C771B">
        <w:rPr>
          <w:lang w:val="en-US"/>
        </w:rPr>
        <w:t>.</w:t>
      </w:r>
      <w:r w:rsidR="0019442E" w:rsidRPr="004C771B">
        <w:rPr>
          <w:lang w:val="en-US"/>
        </w:rPr>
        <w:t xml:space="preserve"> We also heard from industry that </w:t>
      </w:r>
      <w:r w:rsidR="00E33407">
        <w:rPr>
          <w:lang w:val="en-US"/>
        </w:rPr>
        <w:t xml:space="preserve">an unwillingness to engage by </w:t>
      </w:r>
      <w:r w:rsidR="0019442E" w:rsidRPr="004C771B">
        <w:rPr>
          <w:lang w:val="en-US"/>
        </w:rPr>
        <w:t xml:space="preserve">customers </w:t>
      </w:r>
      <w:r w:rsidR="00E67C03" w:rsidRPr="004C771B">
        <w:rPr>
          <w:lang w:val="en-US"/>
        </w:rPr>
        <w:t xml:space="preserve">is a </w:t>
      </w:r>
      <w:r w:rsidR="00E33407">
        <w:rPr>
          <w:lang w:val="en-US"/>
        </w:rPr>
        <w:t>major</w:t>
      </w:r>
      <w:r w:rsidR="00E33407" w:rsidRPr="004C771B">
        <w:rPr>
          <w:lang w:val="en-US"/>
        </w:rPr>
        <w:t xml:space="preserve"> </w:t>
      </w:r>
      <w:r w:rsidR="00E67C03" w:rsidRPr="004C771B">
        <w:rPr>
          <w:lang w:val="en-US"/>
        </w:rPr>
        <w:t>issue,</w:t>
      </w:r>
      <w:r w:rsidR="0019442E" w:rsidRPr="004C771B">
        <w:rPr>
          <w:lang w:val="en-US"/>
        </w:rPr>
        <w:t xml:space="preserve"> particularly when </w:t>
      </w:r>
      <w:r w:rsidR="00E33407">
        <w:rPr>
          <w:lang w:val="en-US"/>
        </w:rPr>
        <w:t>industry staff</w:t>
      </w:r>
      <w:r w:rsidR="00E33407" w:rsidRPr="004C771B">
        <w:rPr>
          <w:lang w:val="en-US"/>
        </w:rPr>
        <w:t xml:space="preserve"> </w:t>
      </w:r>
      <w:r w:rsidR="0019442E" w:rsidRPr="004C771B">
        <w:rPr>
          <w:lang w:val="en-US"/>
        </w:rPr>
        <w:t xml:space="preserve">believed </w:t>
      </w:r>
      <w:r w:rsidR="00E67C03" w:rsidRPr="004C771B">
        <w:rPr>
          <w:lang w:val="en-US"/>
        </w:rPr>
        <w:t>the company’s</w:t>
      </w:r>
      <w:r w:rsidR="0048065E">
        <w:rPr>
          <w:lang w:val="en-US"/>
        </w:rPr>
        <w:t xml:space="preserve"> hardship program could help. </w:t>
      </w:r>
    </w:p>
    <w:tbl>
      <w:tblPr>
        <w:tblStyle w:val="TableGrid"/>
        <w:tblW w:w="5000" w:type="pct"/>
        <w:tblLook w:val="04A0" w:firstRow="1" w:lastRow="0" w:firstColumn="1" w:lastColumn="0" w:noHBand="0" w:noVBand="1"/>
        <w:tblDescription w:val="Good idea: Arrears Management Plans (AMPS) successfully trialled in Massachusetts US – ‘win-win-win for consumers, regulators and utility companies’&#10;This innovative program is a combination of an incentive program and an affordable payment plan.&#10;The Massachusetts AMP programs provide relief for low-income gas and electric utility customers who have significant past debts (arrears) on their utility bills. Each time an AMP participant makes a monthly payment, the arrearage is reduced (an element of debt forgiveness) until it is completely eliminated. The AMP program has recently been evaluated and hailed as a great success by everyone, including industry and government. The benefits are that customers avoid disconnection and can obtain a fresh start by making affordable payments during the plan. Just as importantly, the customer enters into a cooperative relationship with the utility, instead of not opening mail and ceasing to make payments altogether. The positive relationship allows the company to direct the customer to concessions, financial counselling and other services. &#10;There is evidence that the AMPs are revenue positive—customers in the plan make higher payments than if they were not in the plan and continue to make higher payments even after completing the plan. The company’s administration costs are offset by reduced collection and disconnection costs. The various companies have piloted different program lengths, and worked out the optimal period of the AMP payment-debt forgiveness plans – shorter seems to work better. &#10;The companies are embracing the program, evidence that it seems to be a great idea. For the full story, read the report , which has a best practice guide and full review of this program.&#10;"/>
      </w:tblPr>
      <w:tblGrid>
        <w:gridCol w:w="9242"/>
      </w:tblGrid>
      <w:tr w:rsidR="00031074" w:rsidRPr="004C771B" w14:paraId="43FC575B" w14:textId="77777777" w:rsidTr="00031074">
        <w:trPr>
          <w:trHeight w:val="4372"/>
        </w:trPr>
        <w:tc>
          <w:tcPr>
            <w:tcW w:w="5000" w:type="pct"/>
          </w:tcPr>
          <w:p w14:paraId="01783415" w14:textId="77777777" w:rsidR="00031074" w:rsidRPr="004C771B" w:rsidRDefault="00031074" w:rsidP="00031074">
            <w:pPr>
              <w:pStyle w:val="Heading4"/>
              <w:outlineLvl w:val="3"/>
            </w:pPr>
            <w:r w:rsidRPr="004C771B">
              <w:lastRenderedPageBreak/>
              <w:t>Good idea: Arrears Management Plans (AMPS) successfully trialled in Massachusetts US – ‘win-win-win for consumers, regulators and utility companies</w:t>
            </w:r>
            <w:r>
              <w:t>’</w:t>
            </w:r>
          </w:p>
          <w:p w14:paraId="3543AD58" w14:textId="77777777" w:rsidR="00031074" w:rsidRPr="00031074" w:rsidRDefault="00031074" w:rsidP="00031074">
            <w:pPr>
              <w:rPr>
                <w:bCs/>
                <w:lang w:val="en-US"/>
              </w:rPr>
            </w:pPr>
            <w:r w:rsidRPr="00031074">
              <w:rPr>
                <w:bCs/>
                <w:lang w:val="en-US"/>
              </w:rPr>
              <w:t>This innovative program is a combination of an incentive program and an affordable payment plan.</w:t>
            </w:r>
          </w:p>
          <w:p w14:paraId="005DD39A" w14:textId="77777777" w:rsidR="00031074" w:rsidRPr="00031074" w:rsidRDefault="00031074" w:rsidP="00031074">
            <w:pPr>
              <w:rPr>
                <w:bCs/>
                <w:lang w:val="en-US"/>
              </w:rPr>
            </w:pPr>
            <w:r w:rsidRPr="00031074">
              <w:rPr>
                <w:bCs/>
                <w:lang w:val="en-US"/>
              </w:rPr>
              <w:t xml:space="preserve">The Massachusetts AMP programs provide relief for low-income gas and electric utility customers who have significant past debts (arrears) on their utility bills. Each time an AMP participant makes a monthly payment, the arrearage is reduced (an element of debt forgiveness) until it is completely eliminated. The AMP program has recently been evaluated and hailed as a great success by everyone, including industry and government. The benefits are that customers avoid disconnection and can obtain a fresh start by making affordable payments during the plan. Just as importantly, the customer enters into a cooperative relationship with the utility, instead of not opening mail and ceasing to make payments altogether. The positive relationship allows the company to direct the customer to concessions, financial </w:t>
            </w:r>
            <w:proofErr w:type="spellStart"/>
            <w:r w:rsidRPr="00031074">
              <w:rPr>
                <w:bCs/>
                <w:lang w:val="en-US"/>
              </w:rPr>
              <w:t>counselling</w:t>
            </w:r>
            <w:proofErr w:type="spellEnd"/>
            <w:r w:rsidRPr="00031074">
              <w:rPr>
                <w:bCs/>
                <w:lang w:val="en-US"/>
              </w:rPr>
              <w:t xml:space="preserve"> and other services. </w:t>
            </w:r>
          </w:p>
          <w:p w14:paraId="2A8B6B20" w14:textId="77777777" w:rsidR="00031074" w:rsidRPr="00031074" w:rsidRDefault="00031074" w:rsidP="00031074">
            <w:pPr>
              <w:rPr>
                <w:bCs/>
                <w:lang w:val="en-US"/>
              </w:rPr>
            </w:pPr>
            <w:r w:rsidRPr="00031074">
              <w:rPr>
                <w:bCs/>
                <w:lang w:val="en-US"/>
              </w:rPr>
              <w:t xml:space="preserve">There is evidence that the </w:t>
            </w:r>
            <w:proofErr w:type="spellStart"/>
            <w:r w:rsidRPr="00031074">
              <w:rPr>
                <w:bCs/>
                <w:lang w:val="en-US"/>
              </w:rPr>
              <w:t>AMPs</w:t>
            </w:r>
            <w:proofErr w:type="spellEnd"/>
            <w:r w:rsidRPr="00031074">
              <w:rPr>
                <w:bCs/>
                <w:lang w:val="en-US"/>
              </w:rPr>
              <w:t xml:space="preserve"> are revenue positive—customers in the plan make higher payments than if they were not in the plan and continue to make higher payments even after completing the plan. The company’s administration costs are offset by reduced collection and disconnection costs. The various companies have piloted different program lengths, and worked out the optimal period of the AMP payment-debt forgiveness plans – shorter seems to work better. </w:t>
            </w:r>
          </w:p>
          <w:p w14:paraId="6C324B5F" w14:textId="77777777" w:rsidR="00031074" w:rsidRDefault="00031074" w:rsidP="00031074">
            <w:pPr>
              <w:rPr>
                <w:bCs/>
                <w:lang w:val="en-US"/>
              </w:rPr>
            </w:pPr>
            <w:r w:rsidRPr="00031074">
              <w:rPr>
                <w:bCs/>
                <w:lang w:val="en-US"/>
              </w:rPr>
              <w:t>The companies are embracing the program, evidence that it seems to be a great idea. For the full story, read the report</w:t>
            </w:r>
            <w:r w:rsidRPr="00031074">
              <w:rPr>
                <w:bCs/>
                <w:vertAlign w:val="superscript"/>
                <w:lang w:val="en-US"/>
              </w:rPr>
              <w:footnoteReference w:id="36"/>
            </w:r>
            <w:r w:rsidRPr="00031074">
              <w:rPr>
                <w:bCs/>
                <w:lang w:val="en-US"/>
              </w:rPr>
              <w:t>, which has a best practice guide and full review of this program.</w:t>
            </w:r>
          </w:p>
          <w:p w14:paraId="0F4422EB" w14:textId="04DEA37B" w:rsidR="00031074" w:rsidRPr="00031074" w:rsidRDefault="00031074" w:rsidP="00031074">
            <w:pPr>
              <w:rPr>
                <w:b/>
                <w:bCs/>
              </w:rPr>
            </w:pPr>
          </w:p>
        </w:tc>
      </w:tr>
    </w:tbl>
    <w:p w14:paraId="28A24865" w14:textId="77777777" w:rsidR="00A7270E" w:rsidRPr="00031074" w:rsidRDefault="00A7270E" w:rsidP="00031074">
      <w:pPr>
        <w:spacing w:after="0" w:line="240" w:lineRule="auto"/>
        <w:rPr>
          <w:sz w:val="24"/>
          <w:szCs w:val="24"/>
        </w:rPr>
      </w:pPr>
    </w:p>
    <w:p w14:paraId="06E7EDE1" w14:textId="77777777" w:rsidR="00A7270E" w:rsidRPr="004C771B" w:rsidRDefault="00A7270E" w:rsidP="00E67C03">
      <w:pPr>
        <w:spacing w:after="0" w:line="240" w:lineRule="auto"/>
        <w:ind w:left="851"/>
        <w:rPr>
          <w:sz w:val="24"/>
          <w:szCs w:val="24"/>
          <w:lang w:val="en-US"/>
        </w:rPr>
      </w:pPr>
    </w:p>
    <w:p w14:paraId="5CED3CE7" w14:textId="3692F2E2" w:rsidR="000A4ECE" w:rsidRDefault="00C761DF" w:rsidP="00231A16">
      <w:pPr>
        <w:pStyle w:val="Heading1"/>
        <w:numPr>
          <w:ilvl w:val="1"/>
          <w:numId w:val="10"/>
        </w:numPr>
        <w:ind w:left="709"/>
        <w:rPr>
          <w:lang w:val="en-US" w:eastAsia="ja-JP"/>
        </w:rPr>
      </w:pPr>
      <w:r>
        <w:rPr>
          <w:lang w:val="en-US" w:eastAsia="ja-JP"/>
        </w:rPr>
        <w:lastRenderedPageBreak/>
        <w:t xml:space="preserve"> </w:t>
      </w:r>
      <w:bookmarkStart w:id="60" w:name="_Toc387144768"/>
      <w:r w:rsidR="008A6307">
        <w:rPr>
          <w:lang w:val="en-US" w:eastAsia="ja-JP"/>
        </w:rPr>
        <w:t>Incentive arrangements w</w:t>
      </w:r>
      <w:r w:rsidR="000A4ECE">
        <w:rPr>
          <w:lang w:val="en-US" w:eastAsia="ja-JP"/>
        </w:rPr>
        <w:t>ork</w:t>
      </w:r>
      <w:bookmarkEnd w:id="60"/>
    </w:p>
    <w:p w14:paraId="6D35810F" w14:textId="77777777" w:rsidR="008E4E7C" w:rsidRPr="004C771B" w:rsidRDefault="008E4E7C" w:rsidP="004C771B">
      <w:pPr>
        <w:rPr>
          <w:lang w:val="en-US" w:eastAsia="ja-JP"/>
        </w:rPr>
      </w:pPr>
    </w:p>
    <w:p w14:paraId="1F887A1E" w14:textId="52F348B2" w:rsidR="0026427A" w:rsidRPr="004C771B" w:rsidRDefault="0026427A" w:rsidP="004C771B">
      <w:pPr>
        <w:rPr>
          <w:lang w:val="en-US"/>
        </w:rPr>
      </w:pPr>
      <w:r w:rsidRPr="004C771B">
        <w:rPr>
          <w:lang w:val="en-US"/>
        </w:rPr>
        <w:t xml:space="preserve">Many financial counsellors </w:t>
      </w:r>
      <w:r w:rsidR="000A4ECE" w:rsidRPr="004C771B">
        <w:rPr>
          <w:lang w:val="en-US"/>
        </w:rPr>
        <w:t>said</w:t>
      </w:r>
      <w:r w:rsidRPr="004C771B">
        <w:rPr>
          <w:lang w:val="en-US"/>
        </w:rPr>
        <w:t xml:space="preserve"> that </w:t>
      </w:r>
      <w:r w:rsidRPr="004C771B">
        <w:rPr>
          <w:lang w:val="en-AU"/>
        </w:rPr>
        <w:t>incentive</w:t>
      </w:r>
      <w:r w:rsidRPr="004C771B">
        <w:rPr>
          <w:lang w:val="en-US"/>
        </w:rPr>
        <w:t xml:space="preserve"> payments work really well as a component of affordable payment plans. Some </w:t>
      </w:r>
      <w:r w:rsidR="00E67C03" w:rsidRPr="004C771B">
        <w:rPr>
          <w:lang w:val="en-US"/>
        </w:rPr>
        <w:t>financial counsellors argued that</w:t>
      </w:r>
      <w:r w:rsidRPr="004C771B">
        <w:rPr>
          <w:lang w:val="en-US"/>
        </w:rPr>
        <w:t xml:space="preserve"> </w:t>
      </w:r>
      <w:r w:rsidR="000A4ECE" w:rsidRPr="004C771B">
        <w:rPr>
          <w:lang w:val="en-US"/>
        </w:rPr>
        <w:t>these arrangements were</w:t>
      </w:r>
      <w:r w:rsidRPr="004C771B">
        <w:rPr>
          <w:lang w:val="en-US"/>
        </w:rPr>
        <w:t xml:space="preserve"> more productive and dignified than waiving debts for some clients.</w:t>
      </w:r>
      <w:r w:rsidR="008127E2" w:rsidRPr="004C771B">
        <w:rPr>
          <w:lang w:val="en-US"/>
        </w:rPr>
        <w:t xml:space="preserve"> The example below </w:t>
      </w:r>
      <w:r w:rsidR="0042351C">
        <w:rPr>
          <w:lang w:val="en-US"/>
        </w:rPr>
        <w:t>outlines</w:t>
      </w:r>
      <w:r w:rsidR="008127E2" w:rsidRPr="004C771B">
        <w:rPr>
          <w:lang w:val="en-US"/>
        </w:rPr>
        <w:t xml:space="preserve"> a </w:t>
      </w:r>
      <w:r w:rsidR="00E67C03" w:rsidRPr="004C771B">
        <w:rPr>
          <w:lang w:val="en-US"/>
        </w:rPr>
        <w:t>two to one</w:t>
      </w:r>
      <w:r w:rsidR="008127E2" w:rsidRPr="004C771B">
        <w:rPr>
          <w:lang w:val="en-US"/>
        </w:rPr>
        <w:t xml:space="preserve"> incentive</w:t>
      </w:r>
      <w:r w:rsidR="0042351C">
        <w:rPr>
          <w:lang w:val="en-US"/>
        </w:rPr>
        <w:t>:</w:t>
      </w:r>
      <w:r w:rsidR="008127E2" w:rsidRPr="004C771B">
        <w:rPr>
          <w:lang w:val="en-US"/>
        </w:rPr>
        <w:t xml:space="preserve"> the client makes two payments and the company </w:t>
      </w:r>
      <w:r w:rsidR="00DB7DA7" w:rsidRPr="004C771B">
        <w:rPr>
          <w:lang w:val="en-US"/>
        </w:rPr>
        <w:t>credits</w:t>
      </w:r>
      <w:r w:rsidR="008127E2" w:rsidRPr="004C771B">
        <w:rPr>
          <w:lang w:val="en-US"/>
        </w:rPr>
        <w:t xml:space="preserve"> a payment. </w:t>
      </w:r>
      <w:r w:rsidR="00F233FC" w:rsidRPr="004C771B">
        <w:rPr>
          <w:lang w:val="en-US"/>
        </w:rPr>
        <w:t xml:space="preserve">Other companies </w:t>
      </w:r>
      <w:r w:rsidR="0042351C">
        <w:rPr>
          <w:lang w:val="en-US"/>
        </w:rPr>
        <w:t xml:space="preserve">can </w:t>
      </w:r>
      <w:r w:rsidR="002075A4">
        <w:rPr>
          <w:lang w:val="en-US"/>
        </w:rPr>
        <w:t>start</w:t>
      </w:r>
      <w:r w:rsidR="00E67C03" w:rsidRPr="004C771B">
        <w:rPr>
          <w:lang w:val="en-US"/>
        </w:rPr>
        <w:t xml:space="preserve"> </w:t>
      </w:r>
      <w:r w:rsidR="0042351C">
        <w:rPr>
          <w:lang w:val="en-US"/>
        </w:rPr>
        <w:t>as high as</w:t>
      </w:r>
      <w:r w:rsidR="00E67C03" w:rsidRPr="004C771B">
        <w:rPr>
          <w:lang w:val="en-US"/>
        </w:rPr>
        <w:t xml:space="preserve"> six to one</w:t>
      </w:r>
      <w:r w:rsidR="0042351C">
        <w:rPr>
          <w:lang w:val="en-US"/>
        </w:rPr>
        <w:t xml:space="preserve"> incentives</w:t>
      </w:r>
      <w:r w:rsidR="00F233FC" w:rsidRPr="004C771B">
        <w:rPr>
          <w:lang w:val="en-US"/>
        </w:rPr>
        <w:t>.</w:t>
      </w:r>
    </w:p>
    <w:p w14:paraId="078A4DDA" w14:textId="475AECBA" w:rsidR="008127E2" w:rsidRPr="000A4ECE" w:rsidRDefault="00DA0C85" w:rsidP="004C771B">
      <w:pPr>
        <w:ind w:left="567"/>
        <w:rPr>
          <w:bCs/>
          <w:i/>
          <w:lang w:val="en-US"/>
        </w:rPr>
      </w:pPr>
      <w:r w:rsidRPr="004C771B">
        <w:rPr>
          <w:i/>
          <w:lang w:val="en-US"/>
        </w:rPr>
        <w:t>‘</w:t>
      </w:r>
      <w:r w:rsidR="0026427A" w:rsidRPr="004C771B">
        <w:rPr>
          <w:i/>
          <w:lang w:val="en-US"/>
        </w:rPr>
        <w:t xml:space="preserve">I had a client with a speech impediment, </w:t>
      </w:r>
      <w:r w:rsidR="000A4ECE" w:rsidRPr="004C771B">
        <w:rPr>
          <w:i/>
          <w:lang w:val="en-US"/>
        </w:rPr>
        <w:t>four</w:t>
      </w:r>
      <w:r w:rsidR="0026427A" w:rsidRPr="004C771B">
        <w:rPr>
          <w:i/>
          <w:lang w:val="en-US"/>
        </w:rPr>
        <w:t xml:space="preserve"> kids on a </w:t>
      </w:r>
      <w:r w:rsidR="000A4ECE" w:rsidRPr="004C771B">
        <w:rPr>
          <w:i/>
          <w:lang w:val="en-US"/>
        </w:rPr>
        <w:t>Disability Support Pension</w:t>
      </w:r>
      <w:r w:rsidR="0026427A" w:rsidRPr="004C771B">
        <w:rPr>
          <w:i/>
          <w:lang w:val="en-US"/>
        </w:rPr>
        <w:t>. He has health issues and came with a very large electricity account. We started negotiating with [the energy company</w:t>
      </w:r>
      <w:r w:rsidR="00DB7DA7" w:rsidRPr="004C771B">
        <w:rPr>
          <w:i/>
          <w:lang w:val="en-US"/>
        </w:rPr>
        <w:t>]</w:t>
      </w:r>
      <w:r w:rsidR="0026427A" w:rsidRPr="004C771B">
        <w:rPr>
          <w:i/>
          <w:lang w:val="en-US"/>
        </w:rPr>
        <w:t>. He had limited capacity to increase payments in future… [</w:t>
      </w:r>
      <w:proofErr w:type="gramStart"/>
      <w:r w:rsidR="0026427A" w:rsidRPr="004C771B">
        <w:rPr>
          <w:i/>
          <w:lang w:val="en-US"/>
        </w:rPr>
        <w:t>the</w:t>
      </w:r>
      <w:proofErr w:type="gramEnd"/>
      <w:r w:rsidR="0026427A" w:rsidRPr="004C771B">
        <w:rPr>
          <w:i/>
          <w:lang w:val="en-US"/>
        </w:rPr>
        <w:t xml:space="preserve"> energy company] came back with a 2:1 offer. Client had difficulty believing that initially. He was ecstatic as he could see his bill coming down. He could see the </w:t>
      </w:r>
      <w:r w:rsidR="00DB7DA7" w:rsidRPr="004C771B">
        <w:rPr>
          <w:i/>
          <w:lang w:val="en-US"/>
        </w:rPr>
        <w:t>third</w:t>
      </w:r>
      <w:r w:rsidR="0026427A" w:rsidRPr="004C771B">
        <w:rPr>
          <w:i/>
          <w:lang w:val="en-US"/>
        </w:rPr>
        <w:t xml:space="preserve"> payment. He started out with a $1300 debt and almost got it down to </w:t>
      </w:r>
      <w:r w:rsidR="00DB7DA7" w:rsidRPr="004C771B">
        <w:rPr>
          <w:i/>
          <w:lang w:val="en-US"/>
        </w:rPr>
        <w:t>zero</w:t>
      </w:r>
      <w:r w:rsidR="0026427A" w:rsidRPr="004C771B">
        <w:rPr>
          <w:i/>
          <w:lang w:val="en-US"/>
        </w:rPr>
        <w:t xml:space="preserve">. He was happy. He had no prospect of getting it down without help. It is not always in the best interest of clients to write the debt off. </w:t>
      </w:r>
      <w:r w:rsidR="0026427A" w:rsidRPr="004C771B">
        <w:rPr>
          <w:bCs/>
          <w:i/>
          <w:lang w:val="en-US"/>
        </w:rPr>
        <w:t xml:space="preserve">They don’t want to be considered hardship cases … </w:t>
      </w:r>
      <w:r w:rsidR="00DB7DA7" w:rsidRPr="004C771B">
        <w:rPr>
          <w:bCs/>
          <w:i/>
          <w:lang w:val="en-US"/>
        </w:rPr>
        <w:t xml:space="preserve">they </w:t>
      </w:r>
      <w:r w:rsidR="0026427A" w:rsidRPr="004C771B">
        <w:rPr>
          <w:bCs/>
          <w:i/>
          <w:lang w:val="en-US"/>
        </w:rPr>
        <w:t xml:space="preserve">want to do something about it. </w:t>
      </w:r>
    </w:p>
    <w:p w14:paraId="3246F92A" w14:textId="5A38BE76" w:rsidR="00F768ED" w:rsidRPr="004C771B" w:rsidRDefault="0026427A" w:rsidP="004C771B">
      <w:pPr>
        <w:ind w:left="567"/>
        <w:rPr>
          <w:i/>
          <w:lang w:val="en-US"/>
        </w:rPr>
      </w:pPr>
      <w:r w:rsidRPr="004C771B">
        <w:rPr>
          <w:bCs/>
          <w:i/>
          <w:lang w:val="en-US"/>
        </w:rPr>
        <w:t xml:space="preserve">The client was then able to do all the other negotiations. He is not a client now. The psychological impact </w:t>
      </w:r>
      <w:r w:rsidR="002075A4">
        <w:rPr>
          <w:bCs/>
          <w:i/>
          <w:lang w:val="en-US"/>
        </w:rPr>
        <w:t xml:space="preserve">was </w:t>
      </w:r>
      <w:r w:rsidRPr="004C771B">
        <w:rPr>
          <w:bCs/>
          <w:i/>
          <w:lang w:val="en-US"/>
        </w:rPr>
        <w:t xml:space="preserve">that he could see he was getting somewhere, and he was being assisted </w:t>
      </w:r>
      <w:r w:rsidR="0042351C">
        <w:rPr>
          <w:bCs/>
          <w:i/>
          <w:lang w:val="en-US"/>
        </w:rPr>
        <w:t>–</w:t>
      </w:r>
      <w:r w:rsidRPr="004C771B">
        <w:rPr>
          <w:bCs/>
          <w:i/>
          <w:lang w:val="en-US"/>
        </w:rPr>
        <w:t xml:space="preserve"> given a hand up</w:t>
      </w:r>
      <w:r w:rsidR="00DB7DA7" w:rsidRPr="004C771B">
        <w:rPr>
          <w:bCs/>
          <w:i/>
          <w:lang w:val="en-US"/>
        </w:rPr>
        <w:t>,</w:t>
      </w:r>
      <w:r w:rsidRPr="004C771B">
        <w:rPr>
          <w:bCs/>
          <w:i/>
          <w:lang w:val="en-US"/>
        </w:rPr>
        <w:t xml:space="preserve"> not being put down. He was being rewarded for working hard to get the bill down</w:t>
      </w:r>
      <w:r w:rsidRPr="004C771B">
        <w:rPr>
          <w:i/>
          <w:lang w:val="en-US"/>
        </w:rPr>
        <w:t>. The</w:t>
      </w:r>
      <w:r w:rsidR="008127E2" w:rsidRPr="004C771B">
        <w:rPr>
          <w:i/>
          <w:lang w:val="en-US"/>
        </w:rPr>
        <w:t>y</w:t>
      </w:r>
      <w:r w:rsidRPr="004C771B">
        <w:rPr>
          <w:i/>
          <w:lang w:val="en-US"/>
        </w:rPr>
        <w:t xml:space="preserve"> went from </w:t>
      </w:r>
      <w:r w:rsidR="00DB7DA7" w:rsidRPr="004C771B">
        <w:rPr>
          <w:i/>
          <w:lang w:val="en-US"/>
        </w:rPr>
        <w:t>three to one</w:t>
      </w:r>
      <w:r w:rsidRPr="004C771B">
        <w:rPr>
          <w:i/>
          <w:lang w:val="en-US"/>
        </w:rPr>
        <w:t xml:space="preserve"> and he didn’t mind as he was close to the end. Saved and got himself a solar deal, and now his bill is not an issue. This is because he got the encouragement so he started doing something proactively.</w:t>
      </w:r>
      <w:r w:rsidR="0042351C">
        <w:rPr>
          <w:i/>
          <w:lang w:val="en-US"/>
        </w:rPr>
        <w:t>’</w:t>
      </w:r>
    </w:p>
    <w:p w14:paraId="6B994AB7" w14:textId="1C847EF0" w:rsidR="00587933" w:rsidRPr="004C771B" w:rsidRDefault="00F768ED" w:rsidP="004C771B">
      <w:pPr>
        <w:ind w:left="567"/>
        <w:rPr>
          <w:lang w:val="en-US"/>
        </w:rPr>
      </w:pPr>
      <w:r w:rsidRPr="004C771B">
        <w:rPr>
          <w:lang w:val="en-US"/>
        </w:rPr>
        <w:t xml:space="preserve">Financial </w:t>
      </w:r>
      <w:proofErr w:type="spellStart"/>
      <w:r w:rsidRPr="004C771B">
        <w:rPr>
          <w:lang w:val="en-US"/>
        </w:rPr>
        <w:t>counsellor</w:t>
      </w:r>
      <w:proofErr w:type="spellEnd"/>
      <w:r w:rsidRPr="004C771B">
        <w:rPr>
          <w:lang w:val="en-US"/>
        </w:rPr>
        <w:t xml:space="preserve"> </w:t>
      </w:r>
    </w:p>
    <w:p w14:paraId="72D42F49" w14:textId="1D4C0B5A" w:rsidR="002D0559" w:rsidRPr="004C771B" w:rsidRDefault="004A705B" w:rsidP="004C771B">
      <w:pPr>
        <w:rPr>
          <w:bCs/>
          <w:lang w:val="en-US"/>
        </w:rPr>
      </w:pPr>
      <w:r w:rsidRPr="004C771B">
        <w:rPr>
          <w:bCs/>
          <w:lang w:val="en-US"/>
        </w:rPr>
        <w:t xml:space="preserve">An </w:t>
      </w:r>
      <w:proofErr w:type="spellStart"/>
      <w:r w:rsidRPr="004C771B">
        <w:rPr>
          <w:bCs/>
          <w:lang w:val="en-US"/>
        </w:rPr>
        <w:t>EDR</w:t>
      </w:r>
      <w:proofErr w:type="spellEnd"/>
      <w:r w:rsidRPr="004C771B">
        <w:rPr>
          <w:bCs/>
          <w:lang w:val="en-US"/>
        </w:rPr>
        <w:t xml:space="preserve"> scheme interviewee</w:t>
      </w:r>
      <w:r w:rsidR="002D0559" w:rsidRPr="004C771B">
        <w:rPr>
          <w:bCs/>
          <w:lang w:val="en-US"/>
        </w:rPr>
        <w:t xml:space="preserve"> </w:t>
      </w:r>
      <w:r w:rsidR="003F19B0" w:rsidRPr="004C771B">
        <w:rPr>
          <w:bCs/>
          <w:lang w:val="en-US"/>
        </w:rPr>
        <w:t xml:space="preserve">said that </w:t>
      </w:r>
      <w:r w:rsidR="00DB7DA7" w:rsidRPr="004C771B">
        <w:rPr>
          <w:bCs/>
          <w:lang w:val="en-US"/>
        </w:rPr>
        <w:t>another</w:t>
      </w:r>
      <w:r w:rsidR="002D0559" w:rsidRPr="004C771B">
        <w:rPr>
          <w:bCs/>
          <w:lang w:val="en-US"/>
        </w:rPr>
        <w:t xml:space="preserve"> client benefit </w:t>
      </w:r>
      <w:r w:rsidR="00DB7DA7" w:rsidRPr="004C771B">
        <w:rPr>
          <w:bCs/>
          <w:lang w:val="en-US"/>
        </w:rPr>
        <w:t>from incentive programs was</w:t>
      </w:r>
      <w:r w:rsidR="003F19B0" w:rsidRPr="004C771B">
        <w:rPr>
          <w:bCs/>
          <w:lang w:val="en-US"/>
        </w:rPr>
        <w:t xml:space="preserve"> </w:t>
      </w:r>
      <w:r w:rsidR="002D0559" w:rsidRPr="004C771B">
        <w:rPr>
          <w:bCs/>
          <w:lang w:val="en-US"/>
        </w:rPr>
        <w:t xml:space="preserve">that no forms needed to be filled. </w:t>
      </w:r>
      <w:r w:rsidRPr="004C771B">
        <w:rPr>
          <w:bCs/>
          <w:lang w:val="en-US"/>
        </w:rPr>
        <w:t>The interviewee</w:t>
      </w:r>
      <w:r w:rsidR="003F19B0" w:rsidRPr="004C771B">
        <w:rPr>
          <w:bCs/>
          <w:lang w:val="en-US"/>
        </w:rPr>
        <w:t xml:space="preserve"> observed that </w:t>
      </w:r>
      <w:r w:rsidR="00DA0C85" w:rsidRPr="004C771B">
        <w:rPr>
          <w:bCs/>
          <w:lang w:val="en-US"/>
        </w:rPr>
        <w:t>‘</w:t>
      </w:r>
      <w:r w:rsidR="003F19B0" w:rsidRPr="004C771B">
        <w:rPr>
          <w:bCs/>
          <w:lang w:val="en-US"/>
        </w:rPr>
        <w:t>incentives get the same outcom</w:t>
      </w:r>
      <w:r w:rsidR="002D0559" w:rsidRPr="004C771B">
        <w:rPr>
          <w:bCs/>
          <w:lang w:val="en-US"/>
        </w:rPr>
        <w:t>e as a waiver</w:t>
      </w:r>
      <w:r w:rsidRPr="004C771B">
        <w:rPr>
          <w:bCs/>
          <w:lang w:val="en-US"/>
        </w:rPr>
        <w:t>,</w:t>
      </w:r>
      <w:r w:rsidR="002D0559" w:rsidRPr="004C771B">
        <w:rPr>
          <w:bCs/>
          <w:lang w:val="en-US"/>
        </w:rPr>
        <w:t xml:space="preserve"> but positive </w:t>
      </w:r>
      <w:r w:rsidR="002D0559" w:rsidRPr="004C771B">
        <w:rPr>
          <w:bCs/>
          <w:lang w:val="en-AU"/>
        </w:rPr>
        <w:t>behaviour</w:t>
      </w:r>
      <w:r w:rsidR="002D0559" w:rsidRPr="004C771B">
        <w:rPr>
          <w:bCs/>
          <w:lang w:val="en-US"/>
        </w:rPr>
        <w:t xml:space="preserve"> changes</w:t>
      </w:r>
      <w:r w:rsidR="003F19B0" w:rsidRPr="004C771B">
        <w:rPr>
          <w:bCs/>
          <w:lang w:val="en-US"/>
        </w:rPr>
        <w:t xml:space="preserve"> mean</w:t>
      </w:r>
      <w:r w:rsidR="002D0559" w:rsidRPr="004C771B">
        <w:rPr>
          <w:bCs/>
          <w:lang w:val="en-US"/>
        </w:rPr>
        <w:t xml:space="preserve"> it is better.</w:t>
      </w:r>
      <w:r w:rsidR="00DA0C85" w:rsidRPr="004C771B">
        <w:rPr>
          <w:bCs/>
          <w:lang w:val="en-US"/>
        </w:rPr>
        <w:t>’</w:t>
      </w:r>
    </w:p>
    <w:tbl>
      <w:tblPr>
        <w:tblStyle w:val="TableGrid"/>
        <w:tblW w:w="5000" w:type="pct"/>
        <w:tblLook w:val="04A0" w:firstRow="1" w:lastRow="0" w:firstColumn="1" w:lastColumn="0" w:noHBand="0" w:noVBand="1"/>
        <w:tblDescription w:val="Some energy and water companies offer incentive payments – they change customer behaviour&#10;Incentive payments implemented to encourage customers with significant arrears to begin paying regularly. They are particularly useful when a customer has given up and stopped paying, possibly because their bills have become too big for them to cope. The customer makes regular affordable payments, and the company gifts/credits an equivalent payment on a regular basis. In this way, the customer is rewarded for sticking to the agreement. &#10;&#10;Financial counsellors describe this initiative as behaviour changing and as being appreciated by customers. It has been described as an example of a program of shared responsibility that can work in the interests of both the hardship customer and the retailer.&#10;&#10;One water company offers an incentive arrangement automatically to hardship customers who are meeting their current consumption payments as well as agreed payments for a previous debt. &#10;&#10;One energy company quietly rewards good customer behaviour. Case managers have the discretion to offer credit incentives, matching payments or write-off incentives (up to $2,000) when a customer does everything the energy company asks them to do. The company monitors the case managers so the company knows which staff members are making use of the incentives.&#10;"/>
      </w:tblPr>
      <w:tblGrid>
        <w:gridCol w:w="9242"/>
      </w:tblGrid>
      <w:tr w:rsidR="00C761DF" w:rsidRPr="004C771B" w14:paraId="7F4C78BF" w14:textId="77777777" w:rsidTr="00981AD0">
        <w:trPr>
          <w:trHeight w:val="4372"/>
        </w:trPr>
        <w:tc>
          <w:tcPr>
            <w:tcW w:w="5000" w:type="pct"/>
          </w:tcPr>
          <w:p w14:paraId="611C59C1" w14:textId="503E480A" w:rsidR="00C761DF" w:rsidRPr="004C771B" w:rsidRDefault="00C761DF" w:rsidP="00981AD0">
            <w:pPr>
              <w:pStyle w:val="Heading4"/>
              <w:outlineLvl w:val="3"/>
            </w:pPr>
            <w:r>
              <w:lastRenderedPageBreak/>
              <w:t>Some energy and water companies offer incentive payments – they change customer behaviour</w:t>
            </w:r>
          </w:p>
          <w:p w14:paraId="627A29A9" w14:textId="77777777" w:rsidR="00C761DF" w:rsidRPr="00C761DF" w:rsidRDefault="00C761DF" w:rsidP="00C761DF">
            <w:pPr>
              <w:rPr>
                <w:bCs/>
              </w:rPr>
            </w:pPr>
            <w:r w:rsidRPr="00C761DF">
              <w:rPr>
                <w:bCs/>
              </w:rPr>
              <w:t xml:space="preserve">Incentive payments implemented to encourage customers with significant arrears to begin paying regularly. They are particularly useful when a customer has given up and stopped paying, possibly because their bills have become too big for them to cope. The customer makes regular affordable payments, and the company gifts/credits an equivalent payment on a regular basis. In this way, the customer is rewarded for sticking to the agreement. </w:t>
            </w:r>
          </w:p>
          <w:p w14:paraId="389DE8F5" w14:textId="77777777" w:rsidR="00C761DF" w:rsidRDefault="00C761DF" w:rsidP="00C761DF">
            <w:pPr>
              <w:rPr>
                <w:bCs/>
              </w:rPr>
            </w:pPr>
          </w:p>
          <w:p w14:paraId="039D34B4" w14:textId="77777777" w:rsidR="00C761DF" w:rsidRPr="00C761DF" w:rsidRDefault="00C761DF" w:rsidP="00C761DF">
            <w:pPr>
              <w:rPr>
                <w:bCs/>
              </w:rPr>
            </w:pPr>
            <w:r w:rsidRPr="00C761DF">
              <w:rPr>
                <w:bCs/>
              </w:rPr>
              <w:t>Financial counsellors describe this initiative as behaviour changing and as being appreciated by customers. It has been described as an example of a program of shared responsibility that can work in the interests of both the hardship customer and the retailer.</w:t>
            </w:r>
          </w:p>
          <w:p w14:paraId="1CFEC72A" w14:textId="77777777" w:rsidR="00C761DF" w:rsidRDefault="00C761DF" w:rsidP="00C761DF">
            <w:pPr>
              <w:rPr>
                <w:bCs/>
              </w:rPr>
            </w:pPr>
          </w:p>
          <w:p w14:paraId="40FB9DFB" w14:textId="77777777" w:rsidR="00C761DF" w:rsidRPr="00C761DF" w:rsidRDefault="00C761DF" w:rsidP="00C761DF">
            <w:pPr>
              <w:rPr>
                <w:bCs/>
              </w:rPr>
            </w:pPr>
            <w:r w:rsidRPr="00C761DF">
              <w:rPr>
                <w:bCs/>
              </w:rPr>
              <w:t xml:space="preserve">One water company offers an incentive arrangement automatically to hardship customers who are meeting their current consumption payments as well as agreed payments for a previous debt. </w:t>
            </w:r>
          </w:p>
          <w:p w14:paraId="752B46A9" w14:textId="77777777" w:rsidR="00C761DF" w:rsidRDefault="00C761DF" w:rsidP="00C761DF">
            <w:pPr>
              <w:rPr>
                <w:bCs/>
              </w:rPr>
            </w:pPr>
          </w:p>
          <w:p w14:paraId="1842A846" w14:textId="77777777" w:rsidR="00C761DF" w:rsidRDefault="00C761DF" w:rsidP="00C761DF">
            <w:pPr>
              <w:rPr>
                <w:bCs/>
              </w:rPr>
            </w:pPr>
            <w:r w:rsidRPr="00C761DF">
              <w:rPr>
                <w:bCs/>
              </w:rPr>
              <w:t xml:space="preserve">One energy company quietly rewards good customer behaviour. Case managers have the discretion to offer credit incentives, matching payments or write-off incentives (up to $2,000) when a customer does everything the energy company asks them to do. The company monitors the case managers so the company knows which staff members are </w:t>
            </w:r>
            <w:r>
              <w:rPr>
                <w:bCs/>
              </w:rPr>
              <w:t>making use of the incentives.</w:t>
            </w:r>
          </w:p>
          <w:p w14:paraId="57BCC132" w14:textId="0FE86FB1" w:rsidR="00C761DF" w:rsidRPr="00031074" w:rsidRDefault="00C761DF" w:rsidP="00C761DF">
            <w:pPr>
              <w:rPr>
                <w:b/>
                <w:bCs/>
              </w:rPr>
            </w:pPr>
          </w:p>
        </w:tc>
      </w:tr>
    </w:tbl>
    <w:p w14:paraId="5EEF3729" w14:textId="77777777" w:rsidR="005859B9" w:rsidRPr="00C761DF" w:rsidRDefault="005859B9" w:rsidP="00C761DF">
      <w:pPr>
        <w:spacing w:after="0" w:line="240" w:lineRule="auto"/>
      </w:pPr>
    </w:p>
    <w:p w14:paraId="4AE35AD1" w14:textId="77777777" w:rsidR="00C761DF" w:rsidRDefault="00C761DF" w:rsidP="00C761DF">
      <w:pPr>
        <w:spacing w:after="0" w:line="240" w:lineRule="auto"/>
        <w:rPr>
          <w:lang w:val="en-US"/>
        </w:rPr>
      </w:pPr>
    </w:p>
    <w:p w14:paraId="701EE261" w14:textId="0DEC3E44" w:rsidR="00595F12" w:rsidRDefault="00595F12" w:rsidP="004F307A">
      <w:pPr>
        <w:spacing w:after="0" w:line="240" w:lineRule="auto"/>
        <w:ind w:left="720"/>
      </w:pPr>
    </w:p>
    <w:p w14:paraId="6BDF9893" w14:textId="5C5CA82B" w:rsidR="00595F12" w:rsidRDefault="00C761DF" w:rsidP="00231A16">
      <w:pPr>
        <w:pStyle w:val="Heading1"/>
        <w:numPr>
          <w:ilvl w:val="1"/>
          <w:numId w:val="10"/>
        </w:numPr>
        <w:ind w:left="709"/>
        <w:rPr>
          <w:lang w:val="en-US" w:eastAsia="ja-JP"/>
        </w:rPr>
      </w:pPr>
      <w:r>
        <w:rPr>
          <w:lang w:val="en-US" w:eastAsia="ja-JP"/>
        </w:rPr>
        <w:lastRenderedPageBreak/>
        <w:t xml:space="preserve"> </w:t>
      </w:r>
      <w:bookmarkStart w:id="61" w:name="_Toc387144769"/>
      <w:r w:rsidR="008A6307">
        <w:rPr>
          <w:lang w:val="en-US" w:eastAsia="ja-JP"/>
        </w:rPr>
        <w:t>Staff t</w:t>
      </w:r>
      <w:r w:rsidR="00595F12">
        <w:rPr>
          <w:lang w:val="en-US" w:eastAsia="ja-JP"/>
        </w:rPr>
        <w:t>raining</w:t>
      </w:r>
      <w:r w:rsidR="008A6307">
        <w:rPr>
          <w:lang w:val="en-US" w:eastAsia="ja-JP"/>
        </w:rPr>
        <w:t xml:space="preserve"> and s</w:t>
      </w:r>
      <w:r w:rsidR="007C0B61">
        <w:rPr>
          <w:lang w:val="en-US" w:eastAsia="ja-JP"/>
        </w:rPr>
        <w:t xml:space="preserve">kills </w:t>
      </w:r>
      <w:r w:rsidR="00AF06DE">
        <w:rPr>
          <w:lang w:val="en-US" w:eastAsia="ja-JP"/>
        </w:rPr>
        <w:t>are</w:t>
      </w:r>
      <w:r w:rsidR="008A6307">
        <w:rPr>
          <w:lang w:val="en-US" w:eastAsia="ja-JP"/>
        </w:rPr>
        <w:t xml:space="preserve"> c</w:t>
      </w:r>
      <w:r w:rsidR="007C0B61">
        <w:rPr>
          <w:lang w:val="en-US" w:eastAsia="ja-JP"/>
        </w:rPr>
        <w:t>ritical</w:t>
      </w:r>
      <w:bookmarkEnd w:id="61"/>
    </w:p>
    <w:p w14:paraId="6B6CA221" w14:textId="77777777" w:rsidR="00C761DF" w:rsidRDefault="00C761DF" w:rsidP="004C771B">
      <w:pPr>
        <w:rPr>
          <w:lang w:val="en-US" w:eastAsia="ja-JP"/>
        </w:rPr>
      </w:pPr>
    </w:p>
    <w:p w14:paraId="54891344" w14:textId="3B1D7EC9" w:rsidR="005625BD" w:rsidRPr="004C771B" w:rsidRDefault="00595F12" w:rsidP="004C771B">
      <w:r w:rsidRPr="004C771B">
        <w:t xml:space="preserve">There was a strong consensus between interviewees about the importance of staff training in </w:t>
      </w:r>
      <w:r w:rsidR="007C0B61" w:rsidRPr="004C771B">
        <w:t xml:space="preserve">collections, </w:t>
      </w:r>
      <w:r w:rsidRPr="004C771B">
        <w:t xml:space="preserve">hardship teams and </w:t>
      </w:r>
      <w:r w:rsidR="007C0B61" w:rsidRPr="004C771B">
        <w:t>in</w:t>
      </w:r>
      <w:r w:rsidRPr="004C771B">
        <w:t xml:space="preserve"> </w:t>
      </w:r>
      <w:proofErr w:type="spellStart"/>
      <w:r w:rsidRPr="004C771B">
        <w:t>EDR</w:t>
      </w:r>
      <w:proofErr w:type="spellEnd"/>
      <w:r w:rsidRPr="004C771B">
        <w:t xml:space="preserve"> schemes.</w:t>
      </w:r>
      <w:r w:rsidR="007C0B61" w:rsidRPr="004C771B">
        <w:t xml:space="preserve"> Training needed to be </w:t>
      </w:r>
      <w:proofErr w:type="spellStart"/>
      <w:r w:rsidR="007C0B61" w:rsidRPr="004C771B">
        <w:t>ongoing</w:t>
      </w:r>
      <w:proofErr w:type="spellEnd"/>
      <w:r w:rsidR="007C0B61" w:rsidRPr="004C771B">
        <w:t xml:space="preserve"> and to explain in a meaningful way what it can be like to experience financial hardship.</w:t>
      </w:r>
      <w:r w:rsidR="00A30AB3" w:rsidRPr="004C771B">
        <w:t xml:space="preserve"> </w:t>
      </w:r>
      <w:r w:rsidR="00AF06DE" w:rsidRPr="004C771B">
        <w:t xml:space="preserve">Good practices included training </w:t>
      </w:r>
      <w:r w:rsidR="005625BD" w:rsidRPr="004C771B">
        <w:t>about</w:t>
      </w:r>
      <w:r w:rsidR="00AF06DE" w:rsidRPr="004C771B">
        <w:t xml:space="preserve"> mental illness/suicide</w:t>
      </w:r>
      <w:r w:rsidR="00A30AB3" w:rsidRPr="004C771B">
        <w:t xml:space="preserve">, </w:t>
      </w:r>
      <w:r w:rsidR="005625BD" w:rsidRPr="004C771B">
        <w:t>open-</w:t>
      </w:r>
      <w:r w:rsidR="00A30AB3" w:rsidRPr="004C771B">
        <w:t>ended questioning techniques, and solutions focused training</w:t>
      </w:r>
      <w:r w:rsidR="005625BD" w:rsidRPr="004C771B">
        <w:t xml:space="preserve">. </w:t>
      </w:r>
      <w:proofErr w:type="spellStart"/>
      <w:r w:rsidR="005625BD" w:rsidRPr="004C771B">
        <w:t>O</w:t>
      </w:r>
      <w:r w:rsidR="00A30AB3" w:rsidRPr="004C771B">
        <w:t>ngoing</w:t>
      </w:r>
      <w:proofErr w:type="spellEnd"/>
      <w:r w:rsidR="00A30AB3" w:rsidRPr="004C771B">
        <w:t xml:space="preserve"> monitoring </w:t>
      </w:r>
      <w:r w:rsidR="005625BD" w:rsidRPr="004C771B">
        <w:t>of</w:t>
      </w:r>
      <w:r w:rsidR="00A30AB3" w:rsidRPr="004C771B">
        <w:t xml:space="preserve"> staff </w:t>
      </w:r>
      <w:r w:rsidR="00575DC9" w:rsidRPr="004C771B">
        <w:t xml:space="preserve">after training was also needed </w:t>
      </w:r>
      <w:r w:rsidR="005625BD" w:rsidRPr="004C771B">
        <w:t xml:space="preserve">to ensure that </w:t>
      </w:r>
      <w:r w:rsidR="00575DC9" w:rsidRPr="004C771B">
        <w:t>the training was actually applied</w:t>
      </w:r>
      <w:r w:rsidR="00A30AB3" w:rsidRPr="004C771B">
        <w:t>.</w:t>
      </w:r>
    </w:p>
    <w:p w14:paraId="1F13229E" w14:textId="7595B4D1" w:rsidR="00921FB2" w:rsidRPr="004C771B" w:rsidRDefault="00A30AB3" w:rsidP="004C771B">
      <w:r w:rsidRPr="004C771B">
        <w:t>R</w:t>
      </w:r>
      <w:r w:rsidR="00AF06DE" w:rsidRPr="004C771B">
        <w:t>egular opportunities for debriefing</w:t>
      </w:r>
      <w:r w:rsidRPr="004C771B">
        <w:t xml:space="preserve"> </w:t>
      </w:r>
      <w:r w:rsidR="00921FB2" w:rsidRPr="004C771B">
        <w:t xml:space="preserve">and individual coaching </w:t>
      </w:r>
      <w:r w:rsidR="005625BD" w:rsidRPr="004C771B">
        <w:t>are also important</w:t>
      </w:r>
      <w:r w:rsidR="00AF06DE" w:rsidRPr="004C771B">
        <w:t xml:space="preserve">. </w:t>
      </w:r>
      <w:r w:rsidRPr="004C771B">
        <w:t xml:space="preserve">Some organisations had developed a close relationship with a community sector training provider and jointly developed an </w:t>
      </w:r>
      <w:proofErr w:type="spellStart"/>
      <w:r w:rsidRPr="004C771B">
        <w:t>ongoing</w:t>
      </w:r>
      <w:proofErr w:type="spellEnd"/>
      <w:r w:rsidRPr="004C771B">
        <w:t xml:space="preserve"> training program.</w:t>
      </w:r>
    </w:p>
    <w:p w14:paraId="4323A545" w14:textId="7465A3C7" w:rsidR="00921FB2" w:rsidRDefault="00921FB2" w:rsidP="00981AD0">
      <w:r w:rsidRPr="004C771B">
        <w:t>One company spoke of their training program</w:t>
      </w:r>
      <w:r w:rsidR="002075A4">
        <w:t xml:space="preserve"> that</w:t>
      </w:r>
      <w:r w:rsidRPr="004C771B">
        <w:t xml:space="preserve"> includ</w:t>
      </w:r>
      <w:r w:rsidR="002075A4">
        <w:t>ed</w:t>
      </w:r>
      <w:r w:rsidRPr="004C771B">
        <w:t xml:space="preserve"> a consumer </w:t>
      </w:r>
      <w:r w:rsidR="00981AD0">
        <w:t>talking about their experience.</w:t>
      </w:r>
    </w:p>
    <w:tbl>
      <w:tblPr>
        <w:tblStyle w:val="TableGrid"/>
        <w:tblW w:w="4883" w:type="pct"/>
        <w:tblLook w:val="04A0" w:firstRow="1" w:lastRow="0" w:firstColumn="1" w:lastColumn="0" w:noHBand="0" w:noVBand="1"/>
        <w:tblDescription w:val="All staff in a hardship team have tertiary qualifications in a human services discipline&#10;Sydney Water requires its entire hardship team to have a tertiary qualification in a discipline relevant to community services, such as social work or psychology. The company deliberately avoids employing hardship team candidates that have collections or contact centre experience. There is a strong emphasis on communication skills and the ability to have difficult conversations in a respectful and sensitive way. &#10;"/>
      </w:tblPr>
      <w:tblGrid>
        <w:gridCol w:w="9026"/>
      </w:tblGrid>
      <w:tr w:rsidR="00913068" w:rsidRPr="004C771B" w14:paraId="38B5F1DF" w14:textId="77777777" w:rsidTr="00913068">
        <w:trPr>
          <w:trHeight w:val="2314"/>
        </w:trPr>
        <w:tc>
          <w:tcPr>
            <w:tcW w:w="5000" w:type="pct"/>
          </w:tcPr>
          <w:p w14:paraId="032C447F" w14:textId="77777777" w:rsidR="00913068" w:rsidRPr="00913068" w:rsidRDefault="00913068" w:rsidP="00913068">
            <w:pPr>
              <w:pStyle w:val="Heading4"/>
              <w:outlineLvl w:val="3"/>
            </w:pPr>
            <w:r w:rsidRPr="00913068">
              <w:lastRenderedPageBreak/>
              <w:t>All staff in a hardship team have tertiary qualifications in a human services discipline</w:t>
            </w:r>
          </w:p>
          <w:p w14:paraId="68379E04" w14:textId="15C4104C" w:rsidR="00913068" w:rsidRPr="00913068" w:rsidRDefault="00913068" w:rsidP="00030D77">
            <w:pPr>
              <w:rPr>
                <w:bCs/>
              </w:rPr>
            </w:pPr>
            <w:r w:rsidRPr="00913068">
              <w:rPr>
                <w:bCs/>
              </w:rPr>
              <w:t xml:space="preserve">Sydney Water requires its entire hardship team to have a tertiary qualification in a discipline relevant to community services, such as social work or psychology. The company deliberately avoids employing hardship team candidates that have collections or contact centre experience. There is a strong emphasis on communication skills and the ability to have difficult conversations in a respectful and sensitive way. </w:t>
            </w:r>
          </w:p>
        </w:tc>
      </w:tr>
    </w:tbl>
    <w:p w14:paraId="2022FC0B" w14:textId="77777777" w:rsidR="0089536C" w:rsidRDefault="0089536C" w:rsidP="000608A0">
      <w:pPr>
        <w:pStyle w:val="Heading4"/>
        <w:jc w:val="center"/>
      </w:pPr>
    </w:p>
    <w:tbl>
      <w:tblPr>
        <w:tblStyle w:val="TableGrid"/>
        <w:tblW w:w="4883" w:type="pct"/>
        <w:tblLook w:val="04A0" w:firstRow="1" w:lastRow="0" w:firstColumn="1" w:lastColumn="0" w:noHBand="0" w:noVBand="1"/>
        <w:tblDescription w:val="Hardship training&#10;Sydney Water employs an external consultant who specialises in community service training. The training includes anecdotes from the company’s hardship clients. The format is practical based, and includes generating a budget to apply for a No Interest Loan. &#10;&#10;Participants come away with a good understanding of the actual income levels of the client base, to the implications of living on a Centrelink payment and why clients can end up in financial difficulties. Data from the Australian Bureau of Statistics are used to explain the context of hardship. &#10;&#10;The company has developed teaching aids such as ‘coaching cards’ which are similar to flash cards – customer hardship scenarios are on one side, with the reverse describing appropriate assistance options. The course also includes a teaching booklet that the trainer can use as a reference. It includes relevant data on rental and living costs.&#10;&#10;Sydney Water has also produced a ‘cheat sheet’ for contact centre staff in hard copy format. This contains information about relevant referral services. This means that call centre staff are not wading through multiple computer screens to find information, and are instead using a physical flip chart. &#10;"/>
      </w:tblPr>
      <w:tblGrid>
        <w:gridCol w:w="9026"/>
      </w:tblGrid>
      <w:tr w:rsidR="000608A0" w:rsidRPr="004C771B" w14:paraId="049BA70A" w14:textId="77777777" w:rsidTr="00030D77">
        <w:trPr>
          <w:trHeight w:val="2314"/>
        </w:trPr>
        <w:tc>
          <w:tcPr>
            <w:tcW w:w="5000" w:type="pct"/>
          </w:tcPr>
          <w:p w14:paraId="6A8C7CC8" w14:textId="77777777" w:rsidR="000608A0" w:rsidRPr="000608A0" w:rsidRDefault="000608A0" w:rsidP="000608A0">
            <w:pPr>
              <w:pStyle w:val="Heading4"/>
              <w:outlineLvl w:val="3"/>
            </w:pPr>
            <w:r w:rsidRPr="000608A0">
              <w:t>Hardship training</w:t>
            </w:r>
          </w:p>
          <w:p w14:paraId="1F1C4989" w14:textId="77777777" w:rsidR="000608A0" w:rsidRPr="000608A0" w:rsidRDefault="000608A0" w:rsidP="000608A0">
            <w:pPr>
              <w:rPr>
                <w:bCs/>
              </w:rPr>
            </w:pPr>
            <w:r w:rsidRPr="000608A0">
              <w:rPr>
                <w:bCs/>
              </w:rPr>
              <w:t xml:space="preserve">Sydney Water employs an external consultant who specialises in community service training. The training includes anecdotes from the company’s hardship clients. The format is practical based, and includes generating a budget to apply for a No Interest Loan. </w:t>
            </w:r>
          </w:p>
          <w:p w14:paraId="1B3DD4C7" w14:textId="77777777" w:rsidR="000608A0" w:rsidRPr="000608A0" w:rsidRDefault="000608A0" w:rsidP="000608A0">
            <w:pPr>
              <w:rPr>
                <w:bCs/>
              </w:rPr>
            </w:pPr>
          </w:p>
          <w:p w14:paraId="2E189F20" w14:textId="77777777" w:rsidR="000608A0" w:rsidRPr="000608A0" w:rsidRDefault="000608A0" w:rsidP="000608A0">
            <w:pPr>
              <w:rPr>
                <w:bCs/>
              </w:rPr>
            </w:pPr>
            <w:r w:rsidRPr="000608A0">
              <w:rPr>
                <w:bCs/>
              </w:rPr>
              <w:t xml:space="preserve">Participants come away with a good understanding of the actual income levels of the client base, to the implications of living on a Centrelink payment and why clients can end up in financial difficulties. Data from the Australian Bureau of Statistics are used to explain the context of hardship. </w:t>
            </w:r>
          </w:p>
          <w:p w14:paraId="019D5762" w14:textId="77777777" w:rsidR="000608A0" w:rsidRPr="000608A0" w:rsidRDefault="000608A0" w:rsidP="000608A0">
            <w:pPr>
              <w:rPr>
                <w:bCs/>
              </w:rPr>
            </w:pPr>
          </w:p>
          <w:p w14:paraId="0C2E0C64" w14:textId="77777777" w:rsidR="000608A0" w:rsidRPr="000608A0" w:rsidRDefault="000608A0" w:rsidP="000608A0">
            <w:pPr>
              <w:rPr>
                <w:bCs/>
              </w:rPr>
            </w:pPr>
            <w:r w:rsidRPr="000608A0">
              <w:rPr>
                <w:bCs/>
              </w:rPr>
              <w:t>The company has developed teaching aids such as ‘coaching cards’ which are similar to flash cards – customer hardship scenarios are on one side, with the reverse describing appropriate assistance options. The course also includes a teaching booklet that the trainer can use as a reference. It includes relevant data on rental and living costs.</w:t>
            </w:r>
          </w:p>
          <w:p w14:paraId="5D9E1E3C" w14:textId="77777777" w:rsidR="000608A0" w:rsidRPr="000608A0" w:rsidRDefault="000608A0" w:rsidP="000608A0">
            <w:pPr>
              <w:rPr>
                <w:bCs/>
              </w:rPr>
            </w:pPr>
          </w:p>
          <w:p w14:paraId="15FADB33" w14:textId="77777777" w:rsidR="000608A0" w:rsidRPr="000608A0" w:rsidRDefault="000608A0" w:rsidP="000608A0">
            <w:pPr>
              <w:rPr>
                <w:bCs/>
              </w:rPr>
            </w:pPr>
            <w:r w:rsidRPr="000608A0">
              <w:rPr>
                <w:bCs/>
              </w:rPr>
              <w:t xml:space="preserve">Sydney Water has also produced a ‘cheat sheet’ for contact centre staff in hard copy format. This contains information about relevant referral services. This means that call centre staff are not wading through multiple computer screens to find information, and are instead using a physical flip chart. </w:t>
            </w:r>
          </w:p>
          <w:p w14:paraId="73865C9B" w14:textId="2108D8B8" w:rsidR="000608A0" w:rsidRPr="00913068" w:rsidRDefault="000608A0" w:rsidP="00030D77">
            <w:pPr>
              <w:rPr>
                <w:bCs/>
              </w:rPr>
            </w:pPr>
          </w:p>
        </w:tc>
      </w:tr>
    </w:tbl>
    <w:p w14:paraId="4625E564" w14:textId="77777777" w:rsidR="000608A0" w:rsidRDefault="000608A0" w:rsidP="000608A0"/>
    <w:p w14:paraId="36DDFAE1" w14:textId="77777777" w:rsidR="000608A0" w:rsidRPr="000608A0" w:rsidRDefault="000608A0" w:rsidP="000608A0"/>
    <w:p w14:paraId="238D9A10" w14:textId="1FC73F61" w:rsidR="00AF06DE" w:rsidRPr="005D31EB" w:rsidRDefault="008A6307" w:rsidP="00231A16">
      <w:pPr>
        <w:pStyle w:val="Heading1"/>
        <w:numPr>
          <w:ilvl w:val="1"/>
          <w:numId w:val="10"/>
        </w:numPr>
        <w:ind w:left="709"/>
        <w:rPr>
          <w:lang w:val="en-US" w:eastAsia="ja-JP"/>
        </w:rPr>
      </w:pPr>
      <w:r>
        <w:rPr>
          <w:lang w:val="en-US" w:eastAsia="ja-JP"/>
        </w:rPr>
        <w:lastRenderedPageBreak/>
        <w:t xml:space="preserve"> </w:t>
      </w:r>
      <w:bookmarkStart w:id="62" w:name="_Toc387144770"/>
      <w:r w:rsidR="00E3265E">
        <w:rPr>
          <w:lang w:val="en-US" w:eastAsia="ja-JP"/>
        </w:rPr>
        <w:t xml:space="preserve">The </w:t>
      </w:r>
      <w:r>
        <w:rPr>
          <w:lang w:val="en-US" w:eastAsia="ja-JP"/>
        </w:rPr>
        <w:t>c</w:t>
      </w:r>
      <w:r w:rsidR="00AF06DE">
        <w:rPr>
          <w:lang w:val="en-US" w:eastAsia="ja-JP"/>
        </w:rPr>
        <w:t>ollections a</w:t>
      </w:r>
      <w:r>
        <w:rPr>
          <w:lang w:val="en-US" w:eastAsia="ja-JP"/>
        </w:rPr>
        <w:t>nd hardship functions are w</w:t>
      </w:r>
      <w:r w:rsidR="00B56EA3">
        <w:rPr>
          <w:lang w:val="en-US" w:eastAsia="ja-JP"/>
        </w:rPr>
        <w:t>orld</w:t>
      </w:r>
      <w:r>
        <w:rPr>
          <w:lang w:val="en-US" w:eastAsia="ja-JP"/>
        </w:rPr>
        <w:t>s a</w:t>
      </w:r>
      <w:r w:rsidR="00AF06DE">
        <w:rPr>
          <w:lang w:val="en-US" w:eastAsia="ja-JP"/>
        </w:rPr>
        <w:t>part</w:t>
      </w:r>
      <w:bookmarkEnd w:id="62"/>
    </w:p>
    <w:p w14:paraId="3D5C25F0" w14:textId="77777777" w:rsidR="008E4E7C" w:rsidRDefault="008E4E7C" w:rsidP="004C771B"/>
    <w:p w14:paraId="0A5C2EE2" w14:textId="6AA62753" w:rsidR="00C83576" w:rsidRPr="004C771B" w:rsidRDefault="00E3265E" w:rsidP="004C771B">
      <w:r w:rsidRPr="004C771B">
        <w:t>There appear</w:t>
      </w:r>
      <w:r w:rsidR="00700729">
        <w:t>s</w:t>
      </w:r>
      <w:r w:rsidR="00DC6619" w:rsidRPr="004C771B">
        <w:t xml:space="preserve"> to be</w:t>
      </w:r>
      <w:r w:rsidR="00700729">
        <w:t xml:space="preserve"> inconsistency in</w:t>
      </w:r>
      <w:r w:rsidR="00DC6619" w:rsidRPr="004C771B">
        <w:t xml:space="preserve"> </w:t>
      </w:r>
      <w:r w:rsidR="00700729">
        <w:t xml:space="preserve">the method of </w:t>
      </w:r>
      <w:r w:rsidR="00DC6619" w:rsidRPr="004C771B">
        <w:t>financial hardship</w:t>
      </w:r>
      <w:r w:rsidR="00700729">
        <w:t xml:space="preserve"> assistance</w:t>
      </w:r>
      <w:r w:rsidR="00DC6619" w:rsidRPr="004C771B">
        <w:t xml:space="preserve"> </w:t>
      </w:r>
      <w:r w:rsidR="00700729">
        <w:t xml:space="preserve">received </w:t>
      </w:r>
      <w:r w:rsidR="00DC6619" w:rsidRPr="004C771B">
        <w:t>depending on whether a customer</w:t>
      </w:r>
      <w:r w:rsidR="009D38E7" w:rsidRPr="004C771B">
        <w:t xml:space="preserve"> contacts collections or</w:t>
      </w:r>
      <w:r w:rsidR="00DC6619" w:rsidRPr="004C771B">
        <w:t xml:space="preserve"> the hardship team. The collections conversation </w:t>
      </w:r>
      <w:r w:rsidR="00700729">
        <w:t xml:space="preserve">commonly reflects a </w:t>
      </w:r>
      <w:r w:rsidR="00DA0C85" w:rsidRPr="004C771B">
        <w:t>‘</w:t>
      </w:r>
      <w:r w:rsidR="00DC6619" w:rsidRPr="004C771B">
        <w:t>what can you pay and when</w:t>
      </w:r>
      <w:r w:rsidR="00700729">
        <w:t>?</w:t>
      </w:r>
      <w:r w:rsidR="00DA0C85" w:rsidRPr="004C771B">
        <w:t>’</w:t>
      </w:r>
      <w:r w:rsidR="00700729">
        <w:t xml:space="preserve"> tone</w:t>
      </w:r>
      <w:r w:rsidR="00DC6619" w:rsidRPr="004C771B">
        <w:t>, whereas hardship arrangements are more flexible.</w:t>
      </w:r>
      <w:r w:rsidR="009D38E7" w:rsidRPr="004C771B">
        <w:t xml:space="preserve"> </w:t>
      </w:r>
    </w:p>
    <w:p w14:paraId="674B860A" w14:textId="35E8FB3B" w:rsidR="00C83576" w:rsidRPr="004C771B" w:rsidRDefault="00DA0C85" w:rsidP="004C771B">
      <w:pPr>
        <w:ind w:left="567"/>
        <w:rPr>
          <w:i/>
          <w:lang w:val="en-US"/>
        </w:rPr>
      </w:pPr>
      <w:r w:rsidRPr="004C771B">
        <w:rPr>
          <w:i/>
          <w:lang w:val="en-US"/>
        </w:rPr>
        <w:t>‘</w:t>
      </w:r>
      <w:r w:rsidR="00C83576" w:rsidRPr="004C771B">
        <w:rPr>
          <w:i/>
          <w:lang w:val="en-US"/>
        </w:rPr>
        <w:t xml:space="preserve">The collections department’s only role is to collect money </w:t>
      </w:r>
      <w:r w:rsidR="00700729">
        <w:rPr>
          <w:i/>
          <w:lang w:val="en-US"/>
        </w:rPr>
        <w:t>–</w:t>
      </w:r>
      <w:r w:rsidR="00C83576" w:rsidRPr="004C771B">
        <w:rPr>
          <w:i/>
          <w:lang w:val="en-US"/>
        </w:rPr>
        <w:t xml:space="preserve"> so I never talk to them … only the hardship department. Collection departments don’t listen </w:t>
      </w:r>
      <w:r w:rsidR="00700729">
        <w:rPr>
          <w:i/>
          <w:lang w:val="en-US"/>
        </w:rPr>
        <w:t>–</w:t>
      </w:r>
      <w:r w:rsidR="00C83576" w:rsidRPr="004C771B">
        <w:rPr>
          <w:i/>
          <w:lang w:val="en-US"/>
        </w:rPr>
        <w:t xml:space="preserve"> across all of the sectors.</w:t>
      </w:r>
      <w:r w:rsidRPr="004C771B">
        <w:rPr>
          <w:i/>
          <w:lang w:val="en-US"/>
        </w:rPr>
        <w:t>’</w:t>
      </w:r>
    </w:p>
    <w:p w14:paraId="68B3E862" w14:textId="4C8592A2" w:rsidR="00C83576" w:rsidRPr="004C771B" w:rsidRDefault="00A64F7B" w:rsidP="00030D77">
      <w:pPr>
        <w:ind w:left="567"/>
      </w:pPr>
      <w:r w:rsidRPr="004C771B">
        <w:rPr>
          <w:lang w:val="en-US"/>
        </w:rPr>
        <w:t xml:space="preserve">Financial </w:t>
      </w:r>
      <w:proofErr w:type="spellStart"/>
      <w:r w:rsidRPr="004C771B">
        <w:rPr>
          <w:lang w:val="en-US"/>
        </w:rPr>
        <w:t>Counsellor</w:t>
      </w:r>
      <w:proofErr w:type="spellEnd"/>
      <w:r w:rsidRPr="004C771B">
        <w:rPr>
          <w:lang w:val="en-US"/>
        </w:rPr>
        <w:t xml:space="preserve"> </w:t>
      </w:r>
    </w:p>
    <w:p w14:paraId="2CEECBD7" w14:textId="45FAE511" w:rsidR="002A271D" w:rsidRPr="004C771B" w:rsidRDefault="004C2D77" w:rsidP="004C771B">
      <w:pPr>
        <w:rPr>
          <w:lang w:val="en-US"/>
        </w:rPr>
      </w:pPr>
      <w:r w:rsidRPr="004C771B">
        <w:rPr>
          <w:lang w:val="en-US"/>
        </w:rPr>
        <w:t>Financial counsellors said that</w:t>
      </w:r>
      <w:r w:rsidR="002A271D" w:rsidRPr="004C771B">
        <w:rPr>
          <w:lang w:val="en-US"/>
        </w:rPr>
        <w:t xml:space="preserve"> collections departments </w:t>
      </w:r>
      <w:r w:rsidR="008F2ABD" w:rsidRPr="004C771B">
        <w:rPr>
          <w:lang w:val="en-US"/>
        </w:rPr>
        <w:t xml:space="preserve">can </w:t>
      </w:r>
      <w:r w:rsidR="002A271D" w:rsidRPr="004C771B">
        <w:rPr>
          <w:lang w:val="en-US"/>
        </w:rPr>
        <w:t>set people up to fail and</w:t>
      </w:r>
      <w:r w:rsidR="008F2ABD" w:rsidRPr="004C771B">
        <w:rPr>
          <w:lang w:val="en-US"/>
        </w:rPr>
        <w:t xml:space="preserve">, as noted </w:t>
      </w:r>
      <w:proofErr w:type="gramStart"/>
      <w:r w:rsidR="008F2ABD" w:rsidRPr="004C771B">
        <w:rPr>
          <w:lang w:val="en-US"/>
        </w:rPr>
        <w:t>earlier,</w:t>
      </w:r>
      <w:proofErr w:type="gramEnd"/>
      <w:r w:rsidR="008F2ABD" w:rsidRPr="004C771B">
        <w:rPr>
          <w:lang w:val="en-US"/>
        </w:rPr>
        <w:t xml:space="preserve"> </w:t>
      </w:r>
      <w:r w:rsidR="00755104">
        <w:rPr>
          <w:lang w:val="en-US"/>
        </w:rPr>
        <w:t xml:space="preserve">they </w:t>
      </w:r>
      <w:r w:rsidR="008F2ABD" w:rsidRPr="004C771B">
        <w:rPr>
          <w:lang w:val="en-US"/>
        </w:rPr>
        <w:t xml:space="preserve">make it hard </w:t>
      </w:r>
      <w:r w:rsidR="00E3265E" w:rsidRPr="004C771B">
        <w:rPr>
          <w:lang w:val="en-US"/>
        </w:rPr>
        <w:t xml:space="preserve">for consumers </w:t>
      </w:r>
      <w:r w:rsidR="008F2ABD" w:rsidRPr="004C771B">
        <w:rPr>
          <w:lang w:val="en-US"/>
        </w:rPr>
        <w:t>to negotiate affordable payment arrangements</w:t>
      </w:r>
      <w:r w:rsidR="002A271D" w:rsidRPr="004C771B">
        <w:rPr>
          <w:lang w:val="en-US"/>
        </w:rPr>
        <w:t>:</w:t>
      </w:r>
    </w:p>
    <w:p w14:paraId="328CAFEF" w14:textId="306C1F6D" w:rsidR="002A271D" w:rsidRPr="00561A32" w:rsidRDefault="00DA0C85" w:rsidP="00561A32">
      <w:pPr>
        <w:ind w:left="567"/>
        <w:rPr>
          <w:i/>
          <w:lang w:val="en-US"/>
        </w:rPr>
      </w:pPr>
      <w:r w:rsidRPr="004C771B">
        <w:rPr>
          <w:i/>
          <w:lang w:val="en-US"/>
        </w:rPr>
        <w:t>‘</w:t>
      </w:r>
      <w:r w:rsidR="002A271D" w:rsidRPr="004C771B">
        <w:rPr>
          <w:i/>
          <w:lang w:val="en-US"/>
        </w:rPr>
        <w:t xml:space="preserve">Originally, she [the client] wrote her own letters, but </w:t>
      </w:r>
      <w:r w:rsidR="008F2ABD" w:rsidRPr="004C771B">
        <w:rPr>
          <w:i/>
          <w:lang w:val="en-US"/>
        </w:rPr>
        <w:t>the</w:t>
      </w:r>
      <w:r w:rsidR="002A271D" w:rsidRPr="004C771B">
        <w:rPr>
          <w:i/>
          <w:lang w:val="en-US"/>
        </w:rPr>
        <w:t xml:space="preserve"> collections </w:t>
      </w:r>
      <w:proofErr w:type="gramStart"/>
      <w:r w:rsidR="002A271D" w:rsidRPr="004C771B">
        <w:rPr>
          <w:i/>
          <w:lang w:val="en-US"/>
        </w:rPr>
        <w:t>department were</w:t>
      </w:r>
      <w:proofErr w:type="gramEnd"/>
      <w:r w:rsidR="002A271D" w:rsidRPr="004C771B">
        <w:rPr>
          <w:i/>
          <w:lang w:val="en-US"/>
        </w:rPr>
        <w:t xml:space="preserve"> bullying her. The amount was unaffordable when she was on the dole. She was locked into an amount that she was going to fail at. I then put it into hardship … They did give her hardship. She couldn’t do around $450 month on the dole. She was eating </w:t>
      </w:r>
      <w:r w:rsidR="008F2ABD" w:rsidRPr="004C771B">
        <w:rPr>
          <w:i/>
          <w:lang w:val="en-US"/>
        </w:rPr>
        <w:t>two</w:t>
      </w:r>
      <w:r w:rsidR="002A271D" w:rsidRPr="004C771B">
        <w:rPr>
          <w:i/>
          <w:lang w:val="en-US"/>
        </w:rPr>
        <w:t xml:space="preserve"> min</w:t>
      </w:r>
      <w:r w:rsidR="008F2ABD" w:rsidRPr="004C771B">
        <w:rPr>
          <w:i/>
          <w:lang w:val="en-US"/>
        </w:rPr>
        <w:t>ute</w:t>
      </w:r>
      <w:r w:rsidR="002A271D" w:rsidRPr="004C771B">
        <w:rPr>
          <w:i/>
          <w:lang w:val="en-US"/>
        </w:rPr>
        <w:t xml:space="preserve"> noodles and losing weight.</w:t>
      </w:r>
      <w:r w:rsidRPr="004C771B">
        <w:rPr>
          <w:i/>
          <w:lang w:val="en-US"/>
        </w:rPr>
        <w:t>’</w:t>
      </w:r>
    </w:p>
    <w:p w14:paraId="5151501B" w14:textId="33D1F9F1" w:rsidR="004807F4" w:rsidRPr="004C771B" w:rsidRDefault="004807F4" w:rsidP="004C771B">
      <w:pPr>
        <w:rPr>
          <w:lang w:val="en-US"/>
        </w:rPr>
      </w:pPr>
      <w:r w:rsidRPr="004C771B">
        <w:rPr>
          <w:lang w:val="en-US"/>
        </w:rPr>
        <w:t xml:space="preserve">One financial </w:t>
      </w:r>
      <w:proofErr w:type="spellStart"/>
      <w:r w:rsidRPr="004C771B">
        <w:rPr>
          <w:lang w:val="en-US"/>
        </w:rPr>
        <w:t>counsellor</w:t>
      </w:r>
      <w:proofErr w:type="spellEnd"/>
      <w:r w:rsidRPr="004C771B">
        <w:rPr>
          <w:lang w:val="en-US"/>
        </w:rPr>
        <w:t xml:space="preserve"> explained the difference </w:t>
      </w:r>
      <w:r w:rsidR="008F2ABD" w:rsidRPr="004C771B">
        <w:rPr>
          <w:lang w:val="en-US"/>
        </w:rPr>
        <w:t>for</w:t>
      </w:r>
      <w:r w:rsidRPr="004C771B">
        <w:rPr>
          <w:lang w:val="en-US"/>
        </w:rPr>
        <w:t xml:space="preserve"> clients</w:t>
      </w:r>
      <w:r w:rsidR="00E266A5" w:rsidRPr="004C771B">
        <w:rPr>
          <w:lang w:val="en-US"/>
        </w:rPr>
        <w:t xml:space="preserve"> </w:t>
      </w:r>
      <w:r w:rsidRPr="004C771B">
        <w:rPr>
          <w:lang w:val="en-US"/>
        </w:rPr>
        <w:t xml:space="preserve">being </w:t>
      </w:r>
      <w:r w:rsidR="008F2ABD" w:rsidRPr="004C771B">
        <w:rPr>
          <w:lang w:val="en-US"/>
        </w:rPr>
        <w:t>in</w:t>
      </w:r>
      <w:r w:rsidRPr="004C771B">
        <w:rPr>
          <w:lang w:val="en-US"/>
        </w:rPr>
        <w:t xml:space="preserve"> a hardship program </w:t>
      </w:r>
      <w:r w:rsidR="00755104">
        <w:rPr>
          <w:lang w:val="en-US"/>
        </w:rPr>
        <w:t>to those</w:t>
      </w:r>
      <w:r w:rsidRPr="004C771B">
        <w:rPr>
          <w:lang w:val="en-US"/>
        </w:rPr>
        <w:t xml:space="preserve"> remaining in collections</w:t>
      </w:r>
      <w:r w:rsidR="007F095D" w:rsidRPr="004C771B">
        <w:rPr>
          <w:lang w:val="en-US"/>
        </w:rPr>
        <w:t>. B</w:t>
      </w:r>
      <w:r w:rsidRPr="004C771B">
        <w:rPr>
          <w:lang w:val="en-US"/>
        </w:rPr>
        <w:t>eing in the hardship program means:</w:t>
      </w:r>
    </w:p>
    <w:p w14:paraId="030C3488" w14:textId="33D45FCF" w:rsidR="004807F4" w:rsidRPr="004C771B" w:rsidRDefault="00DA0C85" w:rsidP="004C771B">
      <w:pPr>
        <w:ind w:left="567"/>
        <w:rPr>
          <w:i/>
          <w:lang w:val="en-US"/>
        </w:rPr>
      </w:pPr>
      <w:r w:rsidRPr="004C771B">
        <w:rPr>
          <w:i/>
          <w:lang w:val="en-US"/>
        </w:rPr>
        <w:t>‘</w:t>
      </w:r>
      <w:r w:rsidR="00B5701F">
        <w:rPr>
          <w:i/>
          <w:lang w:val="en-US"/>
        </w:rPr>
        <w:t>N</w:t>
      </w:r>
      <w:r w:rsidR="004807F4" w:rsidRPr="004C771B">
        <w:rPr>
          <w:i/>
          <w:lang w:val="en-US"/>
        </w:rPr>
        <w:t>ot getting harassed by collections with</w:t>
      </w:r>
      <w:r w:rsidR="002075A4">
        <w:rPr>
          <w:i/>
          <w:lang w:val="en-US"/>
        </w:rPr>
        <w:t xml:space="preserve"> a script</w:t>
      </w:r>
      <w:r w:rsidR="004807F4" w:rsidRPr="004C771B">
        <w:rPr>
          <w:i/>
          <w:lang w:val="en-US"/>
        </w:rPr>
        <w:t xml:space="preserve">… </w:t>
      </w:r>
      <w:r w:rsidR="00B5701F">
        <w:rPr>
          <w:i/>
          <w:lang w:val="en-US"/>
        </w:rPr>
        <w:t>“</w:t>
      </w:r>
      <w:r w:rsidR="004807F4" w:rsidRPr="004C771B">
        <w:rPr>
          <w:i/>
          <w:lang w:val="en-US"/>
        </w:rPr>
        <w:t>I want $400 by tomorrow</w:t>
      </w:r>
      <w:r w:rsidR="00B5701F">
        <w:rPr>
          <w:i/>
          <w:lang w:val="en-US"/>
        </w:rPr>
        <w:t>”.</w:t>
      </w:r>
      <w:r w:rsidR="004807F4" w:rsidRPr="004C771B">
        <w:rPr>
          <w:i/>
          <w:lang w:val="en-US"/>
        </w:rPr>
        <w:t xml:space="preserve"> The clien</w:t>
      </w:r>
      <w:r w:rsidR="007C5242" w:rsidRPr="004C771B">
        <w:rPr>
          <w:i/>
          <w:lang w:val="en-US"/>
        </w:rPr>
        <w:t xml:space="preserve">t says </w:t>
      </w:r>
      <w:r w:rsidR="00B5701F">
        <w:rPr>
          <w:i/>
          <w:lang w:val="en-US"/>
        </w:rPr>
        <w:t>“</w:t>
      </w:r>
      <w:r w:rsidR="007C5242" w:rsidRPr="004C771B">
        <w:rPr>
          <w:i/>
          <w:lang w:val="en-US"/>
        </w:rPr>
        <w:t>yep</w:t>
      </w:r>
      <w:r w:rsidR="00B5701F">
        <w:rPr>
          <w:i/>
          <w:lang w:val="en-US"/>
        </w:rPr>
        <w:t>”</w:t>
      </w:r>
      <w:r w:rsidR="007C5242" w:rsidRPr="004C771B">
        <w:rPr>
          <w:i/>
          <w:lang w:val="en-US"/>
        </w:rPr>
        <w:t xml:space="preserve"> and doesn’t do it. Ne</w:t>
      </w:r>
      <w:r w:rsidR="004807F4" w:rsidRPr="004C771B">
        <w:rPr>
          <w:i/>
          <w:lang w:val="en-US"/>
        </w:rPr>
        <w:t xml:space="preserve">xt week </w:t>
      </w:r>
      <w:r w:rsidR="007F095D" w:rsidRPr="004C771B">
        <w:rPr>
          <w:i/>
          <w:lang w:val="en-US"/>
        </w:rPr>
        <w:t xml:space="preserve">the </w:t>
      </w:r>
      <w:r w:rsidR="002075A4">
        <w:rPr>
          <w:i/>
          <w:lang w:val="en-US"/>
        </w:rPr>
        <w:t>client says “I can put $100”</w:t>
      </w:r>
      <w:r w:rsidR="004807F4" w:rsidRPr="004C771B">
        <w:rPr>
          <w:i/>
          <w:lang w:val="en-US"/>
        </w:rPr>
        <w:t xml:space="preserve"> but it won’t make a difference to the debt with extra interest, so I will use that money for other utilities.</w:t>
      </w:r>
    </w:p>
    <w:p w14:paraId="06480387" w14:textId="48401709" w:rsidR="004807F4" w:rsidRPr="004C771B" w:rsidRDefault="004807F4" w:rsidP="004C771B">
      <w:pPr>
        <w:ind w:left="567"/>
        <w:rPr>
          <w:i/>
          <w:lang w:val="en-US"/>
        </w:rPr>
      </w:pPr>
      <w:r w:rsidRPr="004C771B">
        <w:rPr>
          <w:i/>
          <w:lang w:val="en-US"/>
        </w:rPr>
        <w:t xml:space="preserve">If </w:t>
      </w:r>
      <w:r w:rsidR="007C5242" w:rsidRPr="004C771B">
        <w:rPr>
          <w:i/>
          <w:lang w:val="en-US"/>
        </w:rPr>
        <w:t>(the account)</w:t>
      </w:r>
      <w:r w:rsidRPr="004C771B">
        <w:rPr>
          <w:i/>
          <w:lang w:val="en-US"/>
        </w:rPr>
        <w:t xml:space="preserve"> goes out from collections to the hardship program, it is a whole different story. They can grant a moratorium or payment plan </w:t>
      </w:r>
      <w:r w:rsidR="00755104">
        <w:rPr>
          <w:i/>
          <w:lang w:val="en-US"/>
        </w:rPr>
        <w:t>–</w:t>
      </w:r>
      <w:r w:rsidRPr="004C771B">
        <w:rPr>
          <w:i/>
          <w:lang w:val="en-US"/>
        </w:rPr>
        <w:t xml:space="preserve"> gives the client a sense of time and relief. It can work for a short relief period, and they can get themselves back on track. It doesn’t always work. We have to see what we can do long term, but not a lot around. With the floods and bush-fires there were different phone numbers, so more options.</w:t>
      </w:r>
      <w:r w:rsidR="00DA0C85" w:rsidRPr="004C771B">
        <w:rPr>
          <w:i/>
          <w:lang w:val="en-US"/>
        </w:rPr>
        <w:t>’</w:t>
      </w:r>
    </w:p>
    <w:p w14:paraId="2CC2A3CA" w14:textId="3EFE6BB2" w:rsidR="00937BE9" w:rsidRPr="004C771B" w:rsidRDefault="004807F4" w:rsidP="00561A32">
      <w:pPr>
        <w:ind w:left="567"/>
        <w:rPr>
          <w:lang w:val="en-US"/>
        </w:rPr>
      </w:pPr>
      <w:r w:rsidRPr="004C771B">
        <w:rPr>
          <w:lang w:val="en-US"/>
        </w:rPr>
        <w:t xml:space="preserve">Financial </w:t>
      </w:r>
      <w:proofErr w:type="spellStart"/>
      <w:r w:rsidRPr="004C771B">
        <w:rPr>
          <w:lang w:val="en-US"/>
        </w:rPr>
        <w:t>counsellor</w:t>
      </w:r>
      <w:proofErr w:type="spellEnd"/>
    </w:p>
    <w:p w14:paraId="51596EC9" w14:textId="568A52E1" w:rsidR="00937BE9" w:rsidRPr="004C771B" w:rsidRDefault="00937BE9" w:rsidP="004C771B">
      <w:pPr>
        <w:rPr>
          <w:lang w:val="en-US"/>
        </w:rPr>
      </w:pPr>
      <w:r w:rsidRPr="004C771B">
        <w:rPr>
          <w:lang w:val="en-US"/>
        </w:rPr>
        <w:t xml:space="preserve">Even financial counsellors </w:t>
      </w:r>
      <w:r w:rsidR="00755104">
        <w:rPr>
          <w:lang w:val="en-US"/>
        </w:rPr>
        <w:t xml:space="preserve">have </w:t>
      </w:r>
      <w:r w:rsidRPr="004C771B">
        <w:rPr>
          <w:lang w:val="en-US"/>
        </w:rPr>
        <w:t>expe</w:t>
      </w:r>
      <w:r w:rsidR="002075A4">
        <w:rPr>
          <w:lang w:val="en-US"/>
        </w:rPr>
        <w:t xml:space="preserve">rienced the difference between </w:t>
      </w:r>
      <w:r w:rsidRPr="004C771B">
        <w:rPr>
          <w:lang w:val="en-US"/>
        </w:rPr>
        <w:t>the hardship and collections department</w:t>
      </w:r>
      <w:r w:rsidR="00755104" w:rsidRPr="00755104">
        <w:rPr>
          <w:lang w:val="en-US"/>
        </w:rPr>
        <w:t xml:space="preserve"> </w:t>
      </w:r>
      <w:r w:rsidR="00755104" w:rsidRPr="00887677">
        <w:rPr>
          <w:lang w:val="en-US"/>
        </w:rPr>
        <w:t>cultures</w:t>
      </w:r>
      <w:r w:rsidRPr="004C771B">
        <w:rPr>
          <w:lang w:val="en-US"/>
        </w:rPr>
        <w:t>:</w:t>
      </w:r>
    </w:p>
    <w:p w14:paraId="6EFBE471" w14:textId="25FB11D9" w:rsidR="00937BE9" w:rsidRPr="004C771B" w:rsidRDefault="00DA0C85" w:rsidP="004C771B">
      <w:pPr>
        <w:ind w:left="567"/>
        <w:rPr>
          <w:i/>
          <w:lang w:val="en-US"/>
        </w:rPr>
      </w:pPr>
      <w:r w:rsidRPr="004C771B">
        <w:rPr>
          <w:i/>
          <w:lang w:val="en-US"/>
        </w:rPr>
        <w:t>‘</w:t>
      </w:r>
      <w:r w:rsidR="00937BE9" w:rsidRPr="004C771B">
        <w:rPr>
          <w:i/>
          <w:lang w:val="en-US"/>
        </w:rPr>
        <w:t xml:space="preserve">[When </w:t>
      </w:r>
      <w:r w:rsidR="00937BE9" w:rsidRPr="004C771B">
        <w:rPr>
          <w:i/>
          <w:u w:val="single"/>
          <w:lang w:val="en-US"/>
        </w:rPr>
        <w:t>we</w:t>
      </w:r>
      <w:r w:rsidR="00937BE9" w:rsidRPr="004C771B">
        <w:rPr>
          <w:i/>
          <w:lang w:val="en-US"/>
        </w:rPr>
        <w:t xml:space="preserve"> ring collections] they tend to be more aggressive …</w:t>
      </w:r>
      <w:r w:rsidRPr="004C771B">
        <w:rPr>
          <w:i/>
          <w:lang w:val="en-US"/>
        </w:rPr>
        <w:t>’</w:t>
      </w:r>
    </w:p>
    <w:p w14:paraId="4B809037" w14:textId="2BE87305" w:rsidR="008E4E7C" w:rsidRPr="004C771B" w:rsidRDefault="00937BE9" w:rsidP="004C771B">
      <w:pPr>
        <w:ind w:left="567"/>
        <w:rPr>
          <w:lang w:val="en-US"/>
        </w:rPr>
      </w:pPr>
      <w:r w:rsidRPr="004C771B">
        <w:rPr>
          <w:lang w:val="en-US"/>
        </w:rPr>
        <w:t xml:space="preserve">Financial </w:t>
      </w:r>
      <w:proofErr w:type="spellStart"/>
      <w:r w:rsidRPr="004C771B">
        <w:rPr>
          <w:lang w:val="en-US"/>
        </w:rPr>
        <w:t>counsellor</w:t>
      </w:r>
      <w:proofErr w:type="spellEnd"/>
    </w:p>
    <w:p w14:paraId="389C1995" w14:textId="77777777" w:rsidR="004807F4" w:rsidRDefault="004807F4" w:rsidP="004C771B">
      <w:pPr>
        <w:ind w:left="567"/>
      </w:pPr>
    </w:p>
    <w:p w14:paraId="094FA2E3" w14:textId="122821CC" w:rsidR="00152D99" w:rsidRPr="004C771B" w:rsidRDefault="00E266A5" w:rsidP="004C771B">
      <w:pPr>
        <w:rPr>
          <w:szCs w:val="24"/>
        </w:rPr>
      </w:pPr>
      <w:r w:rsidRPr="004C771B">
        <w:rPr>
          <w:szCs w:val="24"/>
        </w:rPr>
        <w:lastRenderedPageBreak/>
        <w:t>Many c</w:t>
      </w:r>
      <w:r w:rsidR="009D38E7" w:rsidRPr="004C771B">
        <w:rPr>
          <w:szCs w:val="24"/>
        </w:rPr>
        <w:t xml:space="preserve">ollection departments </w:t>
      </w:r>
      <w:r w:rsidR="00755104">
        <w:rPr>
          <w:szCs w:val="24"/>
        </w:rPr>
        <w:t>measure the</w:t>
      </w:r>
      <w:r w:rsidRPr="004C771B">
        <w:rPr>
          <w:szCs w:val="24"/>
        </w:rPr>
        <w:t xml:space="preserve"> length of each call</w:t>
      </w:r>
      <w:r w:rsidR="00755104">
        <w:rPr>
          <w:szCs w:val="24"/>
        </w:rPr>
        <w:t xml:space="preserve"> –</w:t>
      </w:r>
      <w:r w:rsidRPr="004C771B">
        <w:rPr>
          <w:szCs w:val="24"/>
        </w:rPr>
        <w:t xml:space="preserve"> </w:t>
      </w:r>
      <w:proofErr w:type="spellStart"/>
      <w:r w:rsidRPr="004C771B">
        <w:rPr>
          <w:szCs w:val="24"/>
        </w:rPr>
        <w:t>KPIs</w:t>
      </w:r>
      <w:proofErr w:type="spellEnd"/>
      <w:r w:rsidRPr="004C771B">
        <w:rPr>
          <w:szCs w:val="24"/>
        </w:rPr>
        <w:t xml:space="preserve"> </w:t>
      </w:r>
      <w:r w:rsidR="00755104" w:rsidRPr="004C771B">
        <w:rPr>
          <w:szCs w:val="24"/>
        </w:rPr>
        <w:t>includ</w:t>
      </w:r>
      <w:r w:rsidR="00755104">
        <w:rPr>
          <w:szCs w:val="24"/>
        </w:rPr>
        <w:t>e</w:t>
      </w:r>
      <w:r w:rsidR="00755104" w:rsidRPr="004C771B">
        <w:rPr>
          <w:szCs w:val="24"/>
        </w:rPr>
        <w:t xml:space="preserve"> </w:t>
      </w:r>
      <w:r w:rsidR="009D38E7" w:rsidRPr="004C771B">
        <w:rPr>
          <w:szCs w:val="24"/>
        </w:rPr>
        <w:t xml:space="preserve">targets </w:t>
      </w:r>
      <w:r w:rsidR="007C5242" w:rsidRPr="004C771B">
        <w:rPr>
          <w:szCs w:val="24"/>
        </w:rPr>
        <w:t>for</w:t>
      </w:r>
      <w:r w:rsidR="009D38E7" w:rsidRPr="004C771B">
        <w:rPr>
          <w:szCs w:val="24"/>
        </w:rPr>
        <w:t xml:space="preserve"> the number of calls and </w:t>
      </w:r>
      <w:r w:rsidRPr="004C771B">
        <w:rPr>
          <w:szCs w:val="24"/>
        </w:rPr>
        <w:t xml:space="preserve">the number of </w:t>
      </w:r>
      <w:r w:rsidR="009D38E7" w:rsidRPr="004C771B">
        <w:rPr>
          <w:szCs w:val="24"/>
        </w:rPr>
        <w:t>promises to</w:t>
      </w:r>
      <w:r w:rsidR="008E4F27">
        <w:rPr>
          <w:szCs w:val="24"/>
        </w:rPr>
        <w:t xml:space="preserve"> pay. One collection department </w:t>
      </w:r>
      <w:r w:rsidR="00755104" w:rsidRPr="004C771B">
        <w:rPr>
          <w:szCs w:val="24"/>
        </w:rPr>
        <w:t>allow</w:t>
      </w:r>
      <w:r w:rsidR="00755104">
        <w:rPr>
          <w:szCs w:val="24"/>
        </w:rPr>
        <w:t>s</w:t>
      </w:r>
      <w:r w:rsidR="00755104" w:rsidRPr="004C771B">
        <w:rPr>
          <w:szCs w:val="24"/>
        </w:rPr>
        <w:t xml:space="preserve"> </w:t>
      </w:r>
      <w:r w:rsidR="007C5242" w:rsidRPr="004C771B">
        <w:rPr>
          <w:szCs w:val="24"/>
        </w:rPr>
        <w:t>three and a half</w:t>
      </w:r>
      <w:r w:rsidR="009D38E7" w:rsidRPr="004C771B">
        <w:rPr>
          <w:szCs w:val="24"/>
        </w:rPr>
        <w:t xml:space="preserve"> minutes per call and expressed frustration that staff typically only </w:t>
      </w:r>
      <w:r w:rsidR="00755104">
        <w:rPr>
          <w:szCs w:val="24"/>
        </w:rPr>
        <w:t>found out</w:t>
      </w:r>
      <w:r w:rsidR="00755104" w:rsidRPr="004C771B">
        <w:rPr>
          <w:szCs w:val="24"/>
        </w:rPr>
        <w:t xml:space="preserve"> </w:t>
      </w:r>
      <w:r w:rsidR="009D38E7" w:rsidRPr="004C771B">
        <w:rPr>
          <w:szCs w:val="24"/>
        </w:rPr>
        <w:t xml:space="preserve">the true reason for non-payment around the fourth phone-call. From an external perspective it </w:t>
      </w:r>
      <w:r w:rsidR="00755104">
        <w:rPr>
          <w:szCs w:val="24"/>
        </w:rPr>
        <w:t>is</w:t>
      </w:r>
      <w:r w:rsidR="009D38E7" w:rsidRPr="004C771B">
        <w:rPr>
          <w:szCs w:val="24"/>
        </w:rPr>
        <w:t xml:space="preserve"> unsurprising that a </w:t>
      </w:r>
      <w:r w:rsidR="004C2D77" w:rsidRPr="004C771B">
        <w:rPr>
          <w:szCs w:val="24"/>
        </w:rPr>
        <w:t>three and a half</w:t>
      </w:r>
      <w:r w:rsidR="009D38E7" w:rsidRPr="004C771B">
        <w:rPr>
          <w:szCs w:val="24"/>
        </w:rPr>
        <w:t xml:space="preserve"> minute conversation </w:t>
      </w:r>
      <w:r w:rsidR="00755104">
        <w:rPr>
          <w:szCs w:val="24"/>
        </w:rPr>
        <w:t xml:space="preserve">commonly </w:t>
      </w:r>
      <w:r w:rsidRPr="004C771B">
        <w:rPr>
          <w:szCs w:val="24"/>
        </w:rPr>
        <w:t>does not result in a customer disclosing</w:t>
      </w:r>
      <w:r w:rsidR="00152D99" w:rsidRPr="004C771B">
        <w:rPr>
          <w:szCs w:val="24"/>
        </w:rPr>
        <w:t xml:space="preserve"> </w:t>
      </w:r>
      <w:r w:rsidR="00755104" w:rsidRPr="00250D1B">
        <w:rPr>
          <w:szCs w:val="24"/>
        </w:rPr>
        <w:t>difficult</w:t>
      </w:r>
      <w:r w:rsidR="00755104" w:rsidRPr="00755104">
        <w:rPr>
          <w:szCs w:val="24"/>
        </w:rPr>
        <w:t xml:space="preserve"> </w:t>
      </w:r>
      <w:r w:rsidR="00152D99" w:rsidRPr="004C771B">
        <w:rPr>
          <w:szCs w:val="24"/>
        </w:rPr>
        <w:t>personal</w:t>
      </w:r>
      <w:r w:rsidR="00755104">
        <w:rPr>
          <w:szCs w:val="24"/>
        </w:rPr>
        <w:t xml:space="preserve"> </w:t>
      </w:r>
      <w:r w:rsidR="004C2D77" w:rsidRPr="004C771B">
        <w:rPr>
          <w:szCs w:val="24"/>
        </w:rPr>
        <w:t>matters.</w:t>
      </w:r>
    </w:p>
    <w:p w14:paraId="6434080C" w14:textId="218BD94E" w:rsidR="00152D99" w:rsidRPr="004C771B" w:rsidRDefault="00152D99" w:rsidP="004C771B">
      <w:pPr>
        <w:rPr>
          <w:szCs w:val="24"/>
        </w:rPr>
      </w:pPr>
      <w:r w:rsidRPr="004C771B">
        <w:rPr>
          <w:szCs w:val="24"/>
        </w:rPr>
        <w:t>One industry interviewee said:</w:t>
      </w:r>
    </w:p>
    <w:p w14:paraId="2C203CF1" w14:textId="41765000" w:rsidR="00DC6619" w:rsidRPr="008E4F27" w:rsidRDefault="00755104" w:rsidP="00561A32">
      <w:pPr>
        <w:ind w:left="567"/>
        <w:rPr>
          <w:i/>
          <w:szCs w:val="24"/>
          <w:lang w:val="en-US"/>
        </w:rPr>
      </w:pPr>
      <w:r>
        <w:rPr>
          <w:i/>
          <w:szCs w:val="24"/>
          <w:lang w:val="en-US"/>
        </w:rPr>
        <w:t>‘</w:t>
      </w:r>
      <w:r w:rsidR="00152D99" w:rsidRPr="004C771B">
        <w:rPr>
          <w:i/>
          <w:szCs w:val="24"/>
          <w:lang w:val="en-US"/>
        </w:rPr>
        <w:t xml:space="preserve">Collections </w:t>
      </w:r>
      <w:proofErr w:type="gramStart"/>
      <w:r w:rsidR="00152D99" w:rsidRPr="004C771B">
        <w:rPr>
          <w:i/>
          <w:szCs w:val="24"/>
          <w:lang w:val="en-US"/>
        </w:rPr>
        <w:t>is</w:t>
      </w:r>
      <w:proofErr w:type="gramEnd"/>
      <w:r w:rsidR="00152D99" w:rsidRPr="004C771B">
        <w:rPr>
          <w:i/>
          <w:szCs w:val="24"/>
          <w:lang w:val="en-US"/>
        </w:rPr>
        <w:t xml:space="preserve"> good here. </w:t>
      </w:r>
      <w:r w:rsidR="00152D99" w:rsidRPr="004C771B">
        <w:rPr>
          <w:bCs/>
          <w:i/>
          <w:szCs w:val="24"/>
          <w:lang w:val="en-US"/>
        </w:rPr>
        <w:t>They used to just let people go. Just assumed people in categories couldn’t pay. It is not true and not respectful to the customer in being self-sufficient. They were too soft. It wasn’t the best commercial outcome for the company and industry costs jumped year on year. They now have a bunch of plans to help people early.</w:t>
      </w:r>
      <w:r>
        <w:rPr>
          <w:bCs/>
          <w:i/>
          <w:szCs w:val="24"/>
          <w:lang w:val="en-US"/>
        </w:rPr>
        <w:t>’</w:t>
      </w:r>
    </w:p>
    <w:p w14:paraId="6BCEA903" w14:textId="47964375" w:rsidR="00651587" w:rsidRDefault="005A54B0" w:rsidP="004C771B">
      <w:pPr>
        <w:rPr>
          <w:szCs w:val="24"/>
        </w:rPr>
      </w:pPr>
      <w:r w:rsidRPr="004C771B">
        <w:rPr>
          <w:szCs w:val="24"/>
        </w:rPr>
        <w:t>Some collection</w:t>
      </w:r>
      <w:r w:rsidR="00152D99" w:rsidRPr="004C771B">
        <w:rPr>
          <w:szCs w:val="24"/>
        </w:rPr>
        <w:t xml:space="preserve"> departments have a host of strategies to identify people who are at risk of </w:t>
      </w:r>
      <w:r w:rsidRPr="004C771B">
        <w:rPr>
          <w:szCs w:val="24"/>
        </w:rPr>
        <w:t>financial</w:t>
      </w:r>
      <w:r w:rsidR="00152D99" w:rsidRPr="004C771B">
        <w:rPr>
          <w:szCs w:val="24"/>
        </w:rPr>
        <w:t xml:space="preserve"> hardship</w:t>
      </w:r>
      <w:r w:rsidR="00755104">
        <w:rPr>
          <w:szCs w:val="24"/>
        </w:rPr>
        <w:t>. These</w:t>
      </w:r>
      <w:r w:rsidR="00152D99" w:rsidRPr="004C771B">
        <w:rPr>
          <w:szCs w:val="24"/>
        </w:rPr>
        <w:t xml:space="preserve"> includ</w:t>
      </w:r>
      <w:r w:rsidR="00755104">
        <w:rPr>
          <w:szCs w:val="24"/>
        </w:rPr>
        <w:t>e</w:t>
      </w:r>
      <w:r w:rsidR="00152D99" w:rsidRPr="004C771B">
        <w:rPr>
          <w:szCs w:val="24"/>
        </w:rPr>
        <w:t xml:space="preserve"> soph</w:t>
      </w:r>
      <w:r w:rsidRPr="004C771B">
        <w:rPr>
          <w:szCs w:val="24"/>
        </w:rPr>
        <w:t>isticated customer segmentation</w:t>
      </w:r>
      <w:r w:rsidR="00152D99" w:rsidRPr="004C771B">
        <w:rPr>
          <w:szCs w:val="24"/>
        </w:rPr>
        <w:t xml:space="preserve">, approaching </w:t>
      </w:r>
      <w:r w:rsidR="00755104">
        <w:rPr>
          <w:szCs w:val="24"/>
        </w:rPr>
        <w:t xml:space="preserve">vulnerable </w:t>
      </w:r>
      <w:r w:rsidR="00152D99" w:rsidRPr="004C771B">
        <w:rPr>
          <w:szCs w:val="24"/>
        </w:rPr>
        <w:t xml:space="preserve">customers, </w:t>
      </w:r>
      <w:r w:rsidR="00755104">
        <w:rPr>
          <w:szCs w:val="24"/>
        </w:rPr>
        <w:t xml:space="preserve">and </w:t>
      </w:r>
      <w:r w:rsidR="00152D99" w:rsidRPr="004C771B">
        <w:rPr>
          <w:szCs w:val="24"/>
        </w:rPr>
        <w:t xml:space="preserve">easier payment channels including online payments and payment modes that suit people </w:t>
      </w:r>
      <w:r w:rsidR="00755104">
        <w:rPr>
          <w:szCs w:val="24"/>
        </w:rPr>
        <w:t xml:space="preserve">who </w:t>
      </w:r>
      <w:r w:rsidR="00152D99" w:rsidRPr="004C771B">
        <w:rPr>
          <w:szCs w:val="24"/>
        </w:rPr>
        <w:t>n</w:t>
      </w:r>
      <w:r w:rsidRPr="004C771B">
        <w:rPr>
          <w:szCs w:val="24"/>
        </w:rPr>
        <w:t>eed to make smaller payments</w:t>
      </w:r>
      <w:r w:rsidR="00152D99" w:rsidRPr="004C771B">
        <w:rPr>
          <w:szCs w:val="24"/>
        </w:rPr>
        <w:t xml:space="preserve">. Some </w:t>
      </w:r>
      <w:r w:rsidRPr="004C771B">
        <w:rPr>
          <w:szCs w:val="24"/>
        </w:rPr>
        <w:t xml:space="preserve">collection departments </w:t>
      </w:r>
      <w:r w:rsidR="00152D99" w:rsidRPr="004C771B">
        <w:rPr>
          <w:szCs w:val="24"/>
        </w:rPr>
        <w:t xml:space="preserve">can also </w:t>
      </w:r>
      <w:r w:rsidRPr="004C771B">
        <w:rPr>
          <w:szCs w:val="24"/>
        </w:rPr>
        <w:t>link</w:t>
      </w:r>
      <w:r w:rsidR="00152D99" w:rsidRPr="004C771B">
        <w:rPr>
          <w:szCs w:val="24"/>
        </w:rPr>
        <w:t xml:space="preserve"> people up to </w:t>
      </w:r>
      <w:proofErr w:type="spellStart"/>
      <w:r w:rsidR="00152D99" w:rsidRPr="004C771B">
        <w:rPr>
          <w:szCs w:val="24"/>
        </w:rPr>
        <w:t>Centrepay</w:t>
      </w:r>
      <w:proofErr w:type="spellEnd"/>
      <w:r w:rsidRPr="004C771B">
        <w:rPr>
          <w:rStyle w:val="FootnoteReference"/>
          <w:sz w:val="24"/>
          <w:szCs w:val="24"/>
        </w:rPr>
        <w:footnoteReference w:id="37"/>
      </w:r>
      <w:r w:rsidR="00152D99" w:rsidRPr="004C771B">
        <w:rPr>
          <w:szCs w:val="24"/>
        </w:rPr>
        <w:t xml:space="preserve"> on the spot. </w:t>
      </w:r>
      <w:r w:rsidR="00B20615" w:rsidRPr="004C771B">
        <w:rPr>
          <w:szCs w:val="24"/>
        </w:rPr>
        <w:t xml:space="preserve">Industry interviewees </w:t>
      </w:r>
      <w:r w:rsidR="00755104">
        <w:rPr>
          <w:szCs w:val="24"/>
        </w:rPr>
        <w:t>emphasised</w:t>
      </w:r>
      <w:r w:rsidR="00755104" w:rsidRPr="004C771B">
        <w:rPr>
          <w:szCs w:val="24"/>
        </w:rPr>
        <w:t xml:space="preserve"> </w:t>
      </w:r>
      <w:r w:rsidR="00755104">
        <w:rPr>
          <w:szCs w:val="24"/>
        </w:rPr>
        <w:t xml:space="preserve">the </w:t>
      </w:r>
      <w:r w:rsidR="00755104" w:rsidRPr="00083FF7">
        <w:rPr>
          <w:szCs w:val="24"/>
        </w:rPr>
        <w:t>essential</w:t>
      </w:r>
      <w:r w:rsidR="00755104">
        <w:rPr>
          <w:szCs w:val="24"/>
        </w:rPr>
        <w:t xml:space="preserve"> nature of collaborative work between </w:t>
      </w:r>
      <w:r w:rsidR="00152D99" w:rsidRPr="004C771B">
        <w:rPr>
          <w:szCs w:val="24"/>
        </w:rPr>
        <w:t>collections and hardship teams</w:t>
      </w:r>
      <w:r w:rsidR="00755104">
        <w:rPr>
          <w:szCs w:val="24"/>
        </w:rPr>
        <w:t xml:space="preserve"> and the importance of a good relationship between the two functions.</w:t>
      </w:r>
      <w:r w:rsidR="00755104" w:rsidRPr="00565AF3">
        <w:rPr>
          <w:szCs w:val="24"/>
        </w:rPr>
        <w:t xml:space="preserve"> </w:t>
      </w:r>
    </w:p>
    <w:tbl>
      <w:tblPr>
        <w:tblStyle w:val="TableGrid"/>
        <w:tblW w:w="4883" w:type="pct"/>
        <w:tblLook w:val="04A0" w:firstRow="1" w:lastRow="0" w:firstColumn="1" w:lastColumn="0" w:noHBand="0" w:noVBand="1"/>
        <w:tblDescription w:val="Small company with a combined collections and hardship team&#10;A smaller regional water company has a combined collections and hardship team of seven staff members. The local financial counsellor reported that this setup works beautifully as the whole team meet regularly with the local financial counsellors to talk about issues and changes. They alternate between meeting at the water company and the financial counsellor’s offices. &#10;&#10;The credit management team spent a full day with financial counsellors, and with client permission, attended some sessions. These staff developed an appreciation of the fact that the clients present with multiple debts, not just with the water company. They also learned about the difficult situations and lives of some clients. The company has had financial counsellors on their consultative committee for many years and the financial counsellor reports a highly respectful relationship:&#10;&#10;‘They are people, not voices on the end of the phone.’  &#10;&#10;‘They’re very flexible and we want the same thing – they want their customers to pay their accounts and we want them to be out of debt.’&#10;"/>
      </w:tblPr>
      <w:tblGrid>
        <w:gridCol w:w="9026"/>
      </w:tblGrid>
      <w:tr w:rsidR="008E4F27" w:rsidRPr="004C771B" w14:paraId="66E103D5" w14:textId="77777777" w:rsidTr="002D527D">
        <w:trPr>
          <w:trHeight w:val="2314"/>
        </w:trPr>
        <w:tc>
          <w:tcPr>
            <w:tcW w:w="5000" w:type="pct"/>
          </w:tcPr>
          <w:p w14:paraId="0BA7B267" w14:textId="458F9E73" w:rsidR="008E4F27" w:rsidRPr="00913068" w:rsidRDefault="008E4F27" w:rsidP="002D527D">
            <w:pPr>
              <w:pStyle w:val="Heading4"/>
              <w:outlineLvl w:val="3"/>
            </w:pPr>
            <w:r>
              <w:t>Small company with a combined collections and hardship team</w:t>
            </w:r>
          </w:p>
          <w:p w14:paraId="5C18631B" w14:textId="77777777" w:rsidR="008E4F27" w:rsidRDefault="008E4F27" w:rsidP="008E4F27">
            <w:r>
              <w:t xml:space="preserve">A </w:t>
            </w:r>
            <w:r w:rsidRPr="004C771B">
              <w:t>smaller regional water company has a combined collections and hardship team of seven staff members. The local financial counsellor reported that this setup works beautifully as the whole team meet regularly with the local financial counsellors to talk about issues and changes. They alternate between meeting at the water company and the financial counsellor’s offices.</w:t>
            </w:r>
            <w:r w:rsidRPr="008E4F27">
              <w:t xml:space="preserve"> </w:t>
            </w:r>
          </w:p>
          <w:p w14:paraId="1F21E260" w14:textId="77777777" w:rsidR="008E4F27" w:rsidRDefault="008E4F27" w:rsidP="008E4F27"/>
          <w:p w14:paraId="6C8E2E7E" w14:textId="2E9EDA1A" w:rsidR="008E4F27" w:rsidRDefault="008E4F27" w:rsidP="008E4F27">
            <w:r w:rsidRPr="008E4F27">
              <w:t>The credit management team spent a full day with financial counsellors, and with client permission, attended some sessions. These staff developed an appreciation of the fact that the clients present with multiple debts, not just with the water company. They also learned about the difficult situations and lives of some clients. The company has had financial counsellors on their consultative committee for many years and the financial counsellor reports a highly respectful relationship:</w:t>
            </w:r>
          </w:p>
          <w:p w14:paraId="4E442795" w14:textId="77777777" w:rsidR="008E4F27" w:rsidRDefault="008E4F27" w:rsidP="008E4F27">
            <w:pPr>
              <w:rPr>
                <w:i/>
              </w:rPr>
            </w:pPr>
          </w:p>
          <w:p w14:paraId="7FEFFF60" w14:textId="35F92E20" w:rsidR="008E4F27" w:rsidRPr="008E4F27" w:rsidRDefault="008E4F27" w:rsidP="008E4F27">
            <w:r w:rsidRPr="008E4F27">
              <w:rPr>
                <w:i/>
              </w:rPr>
              <w:t>‘They are people, not voices on the end of the phone.</w:t>
            </w:r>
            <w:r>
              <w:rPr>
                <w:i/>
              </w:rPr>
              <w:t>’</w:t>
            </w:r>
            <w:r w:rsidRPr="008E4F27">
              <w:rPr>
                <w:i/>
              </w:rPr>
              <w:t xml:space="preserve">  </w:t>
            </w:r>
          </w:p>
          <w:p w14:paraId="07151145" w14:textId="77777777" w:rsidR="008E4F27" w:rsidRDefault="008E4F27" w:rsidP="008E4F27">
            <w:pPr>
              <w:rPr>
                <w:bCs/>
                <w:i/>
                <w:lang w:val="en-US"/>
              </w:rPr>
            </w:pPr>
          </w:p>
          <w:p w14:paraId="3130A1D4" w14:textId="35250B06" w:rsidR="008E4F27" w:rsidRPr="008E4F27" w:rsidRDefault="008E4F27" w:rsidP="008E4F27">
            <w:r w:rsidRPr="008E4F27">
              <w:rPr>
                <w:bCs/>
                <w:i/>
                <w:lang w:val="en-US"/>
              </w:rPr>
              <w:t>‘They’re very flexible and we want the same thing – they want their customers to pay their accounts and we want them to be out of debt.’</w:t>
            </w:r>
          </w:p>
          <w:p w14:paraId="3B73DC8E" w14:textId="2B36F4A9" w:rsidR="008E4F27" w:rsidRPr="00913068" w:rsidRDefault="008E4F27" w:rsidP="002D527D">
            <w:pPr>
              <w:rPr>
                <w:bCs/>
              </w:rPr>
            </w:pPr>
          </w:p>
        </w:tc>
      </w:tr>
    </w:tbl>
    <w:p w14:paraId="5DFB2A23" w14:textId="77777777" w:rsidR="007D795F" w:rsidRDefault="007D795F" w:rsidP="008E4F27">
      <w:pPr>
        <w:spacing w:after="0" w:line="240" w:lineRule="auto"/>
      </w:pPr>
    </w:p>
    <w:p w14:paraId="078C730F" w14:textId="08774F29" w:rsidR="00F1791A" w:rsidRPr="005D31EB" w:rsidRDefault="008E4F27" w:rsidP="00231A16">
      <w:pPr>
        <w:pStyle w:val="Heading1"/>
        <w:numPr>
          <w:ilvl w:val="1"/>
          <w:numId w:val="10"/>
        </w:numPr>
        <w:ind w:left="709"/>
        <w:rPr>
          <w:lang w:val="en-US" w:eastAsia="ja-JP"/>
        </w:rPr>
      </w:pPr>
      <w:r>
        <w:rPr>
          <w:lang w:val="en-US" w:eastAsia="ja-JP"/>
        </w:rPr>
        <w:lastRenderedPageBreak/>
        <w:t xml:space="preserve"> </w:t>
      </w:r>
      <w:bookmarkStart w:id="63" w:name="_Toc387144771"/>
      <w:r w:rsidR="008A6307">
        <w:rPr>
          <w:lang w:val="en-US" w:eastAsia="ja-JP"/>
        </w:rPr>
        <w:t>A growing c</w:t>
      </w:r>
      <w:r w:rsidR="00780A1A">
        <w:rPr>
          <w:lang w:val="en-US" w:eastAsia="ja-JP"/>
        </w:rPr>
        <w:t xml:space="preserve">onsensus about </w:t>
      </w:r>
      <w:r w:rsidR="00DA0C85">
        <w:rPr>
          <w:lang w:val="en-US" w:eastAsia="ja-JP"/>
        </w:rPr>
        <w:t>‘</w:t>
      </w:r>
      <w:r w:rsidR="008A6307">
        <w:rPr>
          <w:lang w:val="en-US" w:eastAsia="ja-JP"/>
        </w:rPr>
        <w:t>bulk d</w:t>
      </w:r>
      <w:r w:rsidR="00780A1A">
        <w:rPr>
          <w:lang w:val="en-US" w:eastAsia="ja-JP"/>
        </w:rPr>
        <w:t>ebt</w:t>
      </w:r>
      <w:r w:rsidR="00DA0C85">
        <w:rPr>
          <w:lang w:val="en-US" w:eastAsia="ja-JP"/>
        </w:rPr>
        <w:t>’</w:t>
      </w:r>
      <w:r w:rsidR="008A6307">
        <w:rPr>
          <w:lang w:val="en-US" w:eastAsia="ja-JP"/>
        </w:rPr>
        <w:t xml:space="preserve"> c</w:t>
      </w:r>
      <w:r w:rsidR="00780A1A">
        <w:rPr>
          <w:lang w:val="en-US" w:eastAsia="ja-JP"/>
        </w:rPr>
        <w:t>lients</w:t>
      </w:r>
      <w:bookmarkEnd w:id="63"/>
    </w:p>
    <w:p w14:paraId="3226C0F8" w14:textId="77777777" w:rsidR="00F1791A" w:rsidRDefault="00F1791A" w:rsidP="00F2608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242E62AE" w14:textId="1316DF6C" w:rsidR="00AF43A9" w:rsidRPr="004C771B" w:rsidRDefault="00D6792E" w:rsidP="004C771B">
      <w:pPr>
        <w:rPr>
          <w:lang w:val="en-AU"/>
        </w:rPr>
      </w:pPr>
      <w:r w:rsidRPr="004C771B">
        <w:rPr>
          <w:lang w:val="en-AU"/>
        </w:rPr>
        <w:t>As evidenced in the interviews, t</w:t>
      </w:r>
      <w:r w:rsidR="00C560E6" w:rsidRPr="004C771B">
        <w:rPr>
          <w:lang w:val="en-AU"/>
        </w:rPr>
        <w:t xml:space="preserve">here is an emerging consensus </w:t>
      </w:r>
      <w:r w:rsidR="00182A58">
        <w:rPr>
          <w:lang w:val="en-AU"/>
        </w:rPr>
        <w:t>pertaining to</w:t>
      </w:r>
      <w:r w:rsidR="00182A58" w:rsidRPr="004C771B">
        <w:rPr>
          <w:lang w:val="en-AU"/>
        </w:rPr>
        <w:t xml:space="preserve"> </w:t>
      </w:r>
      <w:r w:rsidR="00C560E6" w:rsidRPr="004C771B">
        <w:rPr>
          <w:lang w:val="en-AU"/>
        </w:rPr>
        <w:t xml:space="preserve">the treatment of </w:t>
      </w:r>
      <w:r w:rsidR="00DA0C85" w:rsidRPr="004C771B">
        <w:rPr>
          <w:lang w:val="en-AU"/>
        </w:rPr>
        <w:t>‘</w:t>
      </w:r>
      <w:r w:rsidR="00F6517F" w:rsidRPr="004C771B">
        <w:rPr>
          <w:lang w:val="en-AU"/>
        </w:rPr>
        <w:t>bulk debt clients</w:t>
      </w:r>
      <w:r w:rsidR="00DA0C85" w:rsidRPr="004C771B">
        <w:rPr>
          <w:lang w:val="en-AU"/>
        </w:rPr>
        <w:t>’</w:t>
      </w:r>
      <w:r w:rsidR="00F6517F" w:rsidRPr="004C771B">
        <w:rPr>
          <w:lang w:val="en-AU"/>
        </w:rPr>
        <w:t xml:space="preserve">. The term </w:t>
      </w:r>
      <w:r w:rsidR="00DA0C85" w:rsidRPr="004C771B">
        <w:rPr>
          <w:lang w:val="en-AU"/>
        </w:rPr>
        <w:t>‘</w:t>
      </w:r>
      <w:r w:rsidR="00F6517F" w:rsidRPr="004C771B">
        <w:rPr>
          <w:lang w:val="en-AU"/>
        </w:rPr>
        <w:t>bulk debt</w:t>
      </w:r>
      <w:r w:rsidR="00DA0C85" w:rsidRPr="004C771B">
        <w:rPr>
          <w:lang w:val="en-AU"/>
        </w:rPr>
        <w:t>’</w:t>
      </w:r>
      <w:r w:rsidR="00F6517F" w:rsidRPr="004C771B">
        <w:rPr>
          <w:lang w:val="en-AU"/>
        </w:rPr>
        <w:t xml:space="preserve"> refers to </w:t>
      </w:r>
      <w:r w:rsidR="00BF6F89" w:rsidRPr="004C771B">
        <w:rPr>
          <w:lang w:val="en-AU"/>
        </w:rPr>
        <w:t>the bulk debt</w:t>
      </w:r>
      <w:r w:rsidR="00F6517F" w:rsidRPr="004C771B">
        <w:rPr>
          <w:lang w:val="en-AU"/>
        </w:rPr>
        <w:t xml:space="preserve"> project set up </w:t>
      </w:r>
      <w:r w:rsidR="00BF6F89" w:rsidRPr="004C771B">
        <w:rPr>
          <w:lang w:val="en-AU"/>
        </w:rPr>
        <w:t xml:space="preserve">originally </w:t>
      </w:r>
      <w:r w:rsidR="00F6517F" w:rsidRPr="004C771B">
        <w:rPr>
          <w:lang w:val="en-AU"/>
        </w:rPr>
        <w:t xml:space="preserve">by </w:t>
      </w:r>
      <w:r w:rsidR="00AF43A9" w:rsidRPr="004C771B">
        <w:rPr>
          <w:lang w:val="en-AU"/>
        </w:rPr>
        <w:t xml:space="preserve">West Heidelberg Community Legal Service </w:t>
      </w:r>
      <w:r w:rsidR="00BF6F89" w:rsidRPr="004C771B">
        <w:rPr>
          <w:lang w:val="en-AU"/>
        </w:rPr>
        <w:t xml:space="preserve">and </w:t>
      </w:r>
      <w:r w:rsidR="00F6517F" w:rsidRPr="004C771B">
        <w:rPr>
          <w:lang w:val="en-AU"/>
        </w:rPr>
        <w:t xml:space="preserve">later </w:t>
      </w:r>
      <w:r w:rsidR="00BF6F89" w:rsidRPr="004C771B">
        <w:rPr>
          <w:lang w:val="en-AU"/>
        </w:rPr>
        <w:t>including</w:t>
      </w:r>
      <w:r w:rsidR="00F6517F" w:rsidRPr="004C771B">
        <w:rPr>
          <w:lang w:val="en-AU"/>
        </w:rPr>
        <w:t xml:space="preserve"> Legal Aid New South Wales and </w:t>
      </w:r>
      <w:r w:rsidR="00BF6F89" w:rsidRPr="004C771B">
        <w:rPr>
          <w:lang w:val="en-AU"/>
        </w:rPr>
        <w:t xml:space="preserve">Victoria Legal Aid. </w:t>
      </w:r>
    </w:p>
    <w:p w14:paraId="01EF88E0" w14:textId="607B09F1" w:rsidR="006629FC" w:rsidRPr="004C771B" w:rsidRDefault="00BF6F89" w:rsidP="004C771B">
      <w:pPr>
        <w:rPr>
          <w:lang w:val="en-AU"/>
        </w:rPr>
      </w:pPr>
      <w:r w:rsidRPr="004C771B">
        <w:rPr>
          <w:lang w:val="en-AU"/>
        </w:rPr>
        <w:t xml:space="preserve">Bulk debt clients are a very specific category of customer – those who are on very low incomes, with no assets and where neither of those factors is likely to change in the longer term. These customers may want to pay their debts, but simply do not have the </w:t>
      </w:r>
      <w:r w:rsidR="00182A58">
        <w:rPr>
          <w:lang w:val="en-AU"/>
        </w:rPr>
        <w:t>available funds</w:t>
      </w:r>
      <w:r w:rsidRPr="004C771B">
        <w:rPr>
          <w:lang w:val="en-AU"/>
        </w:rPr>
        <w:t xml:space="preserve">. </w:t>
      </w:r>
      <w:r w:rsidR="00D6792E" w:rsidRPr="004C771B">
        <w:rPr>
          <w:lang w:val="en-AU"/>
        </w:rPr>
        <w:t xml:space="preserve"> </w:t>
      </w:r>
    </w:p>
    <w:p w14:paraId="5D62B29E" w14:textId="4DA5767C" w:rsidR="00D733C5" w:rsidRPr="004C771B" w:rsidRDefault="006629FC" w:rsidP="004C771B">
      <w:pPr>
        <w:rPr>
          <w:lang w:val="en-AU"/>
        </w:rPr>
      </w:pPr>
      <w:r w:rsidRPr="004C771B">
        <w:rPr>
          <w:lang w:val="en-AU"/>
        </w:rPr>
        <w:t>Interviewees recognised that from a commercial and social perspective</w:t>
      </w:r>
      <w:r w:rsidR="00182A58">
        <w:rPr>
          <w:lang w:val="en-AU"/>
        </w:rPr>
        <w:t>,</w:t>
      </w:r>
      <w:r w:rsidR="00AF43A9" w:rsidRPr="004C771B">
        <w:rPr>
          <w:lang w:val="en-AU"/>
        </w:rPr>
        <w:t xml:space="preserve"> debt waiver</w:t>
      </w:r>
      <w:r w:rsidR="00182A58">
        <w:rPr>
          <w:lang w:val="en-AU"/>
        </w:rPr>
        <w:t xml:space="preserve"> –</w:t>
      </w:r>
      <w:r w:rsidR="003D3960" w:rsidRPr="004C771B">
        <w:rPr>
          <w:lang w:val="en-AU"/>
        </w:rPr>
        <w:t xml:space="preserve"> </w:t>
      </w:r>
      <w:r w:rsidR="00AF43A9" w:rsidRPr="004C771B">
        <w:rPr>
          <w:lang w:val="en-AU"/>
        </w:rPr>
        <w:t>or at least c</w:t>
      </w:r>
      <w:r w:rsidR="003D3960" w:rsidRPr="004C771B">
        <w:rPr>
          <w:lang w:val="en-AU"/>
        </w:rPr>
        <w:t>easing debt collection activity</w:t>
      </w:r>
      <w:r w:rsidR="00182A58">
        <w:rPr>
          <w:lang w:val="en-AU"/>
        </w:rPr>
        <w:t xml:space="preserve"> –</w:t>
      </w:r>
      <w:r w:rsidR="00AF43A9" w:rsidRPr="004C771B">
        <w:rPr>
          <w:lang w:val="en-AU"/>
        </w:rPr>
        <w:t xml:space="preserve"> is an appropriate response. </w:t>
      </w:r>
      <w:r w:rsidR="00346B67" w:rsidRPr="004C771B">
        <w:rPr>
          <w:lang w:val="en-AU"/>
        </w:rPr>
        <w:t xml:space="preserve"> </w:t>
      </w:r>
    </w:p>
    <w:p w14:paraId="2E6B4EEA" w14:textId="77777777" w:rsidR="00346B67" w:rsidRPr="004C771B" w:rsidRDefault="00346B67" w:rsidP="00C560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eastAsiaTheme="minorHAnsi" w:hAnsiTheme="minorHAnsi" w:cstheme="minorBidi"/>
          <w:color w:val="auto"/>
          <w:szCs w:val="24"/>
          <w:lang w:val="en-AU" w:eastAsia="en-US"/>
        </w:rPr>
      </w:pPr>
    </w:p>
    <w:p w14:paraId="65BF269F" w14:textId="0043BBEF" w:rsidR="000F6D40" w:rsidRPr="006E0200" w:rsidRDefault="00D60EC2" w:rsidP="00231A16">
      <w:pPr>
        <w:pStyle w:val="Heading1"/>
        <w:numPr>
          <w:ilvl w:val="1"/>
          <w:numId w:val="10"/>
        </w:numPr>
        <w:ind w:left="709"/>
        <w:rPr>
          <w:lang w:val="en-US" w:eastAsia="ja-JP"/>
        </w:rPr>
      </w:pPr>
      <w:r>
        <w:rPr>
          <w:lang w:val="en-US" w:eastAsia="ja-JP"/>
        </w:rPr>
        <w:lastRenderedPageBreak/>
        <w:t xml:space="preserve"> </w:t>
      </w:r>
      <w:bookmarkStart w:id="64" w:name="_Toc387144772"/>
      <w:r w:rsidR="008A6307">
        <w:rPr>
          <w:lang w:val="en-US" w:eastAsia="ja-JP"/>
        </w:rPr>
        <w:t>Better outcomes with debt c</w:t>
      </w:r>
      <w:r w:rsidR="000F6D40">
        <w:rPr>
          <w:lang w:val="en-US" w:eastAsia="ja-JP"/>
        </w:rPr>
        <w:t>ollectors</w:t>
      </w:r>
      <w:bookmarkEnd w:id="64"/>
    </w:p>
    <w:p w14:paraId="713983C4" w14:textId="77777777" w:rsidR="000F6D40" w:rsidRDefault="000F6D40" w:rsidP="004C771B"/>
    <w:p w14:paraId="5A1860F2" w14:textId="05515A08" w:rsidR="00946D61" w:rsidRPr="00D60EC2" w:rsidRDefault="00DA0C85" w:rsidP="004C771B">
      <w:pPr>
        <w:ind w:left="567"/>
        <w:rPr>
          <w:i/>
        </w:rPr>
      </w:pPr>
      <w:r w:rsidRPr="00D60EC2">
        <w:rPr>
          <w:i/>
        </w:rPr>
        <w:t>‘</w:t>
      </w:r>
      <w:r w:rsidR="00946D61" w:rsidRPr="00D60EC2">
        <w:rPr>
          <w:i/>
        </w:rPr>
        <w:t xml:space="preserve">I discretely inquire who the creditor will sell the debt to. If it is (x debt collector) I love it. They accept whatever payments the consumer can afford. Consumers get the same outcome whether or not they’re with a financial counsellor. When a client says </w:t>
      </w:r>
      <w:r w:rsidR="00B5701F" w:rsidRPr="00D60EC2">
        <w:rPr>
          <w:i/>
        </w:rPr>
        <w:t>“</w:t>
      </w:r>
      <w:r w:rsidR="00946D61" w:rsidRPr="00D60EC2">
        <w:rPr>
          <w:i/>
        </w:rPr>
        <w:t>I’m out of</w:t>
      </w:r>
      <w:r w:rsidR="00182A58" w:rsidRPr="00D60EC2">
        <w:rPr>
          <w:i/>
        </w:rPr>
        <w:t xml:space="preserve"> </w:t>
      </w:r>
      <w:r w:rsidR="00946D61" w:rsidRPr="00D60EC2">
        <w:rPr>
          <w:i/>
        </w:rPr>
        <w:t>work and have no money</w:t>
      </w:r>
      <w:r w:rsidR="00B5701F" w:rsidRPr="00D60EC2">
        <w:rPr>
          <w:i/>
        </w:rPr>
        <w:t>”</w:t>
      </w:r>
      <w:r w:rsidR="00946D61" w:rsidRPr="00D60EC2">
        <w:rPr>
          <w:i/>
        </w:rPr>
        <w:t xml:space="preserve"> (x debt</w:t>
      </w:r>
      <w:r w:rsidR="00C560E6" w:rsidRPr="00D60EC2">
        <w:rPr>
          <w:i/>
        </w:rPr>
        <w:t xml:space="preserve"> </w:t>
      </w:r>
      <w:r w:rsidR="00946D61" w:rsidRPr="00D60EC2">
        <w:rPr>
          <w:i/>
        </w:rPr>
        <w:t xml:space="preserve">collector) says </w:t>
      </w:r>
      <w:r w:rsidR="00B5701F" w:rsidRPr="00D60EC2">
        <w:rPr>
          <w:i/>
        </w:rPr>
        <w:t>“</w:t>
      </w:r>
      <w:r w:rsidR="00946D61" w:rsidRPr="00D60EC2">
        <w:rPr>
          <w:i/>
        </w:rPr>
        <w:t>ok we’ll contact you in three months</w:t>
      </w:r>
      <w:r w:rsidR="00B5701F" w:rsidRPr="00D60EC2">
        <w:rPr>
          <w:i/>
        </w:rPr>
        <w:t>”</w:t>
      </w:r>
      <w:r w:rsidR="00946D61" w:rsidRPr="00D60EC2">
        <w:rPr>
          <w:i/>
        </w:rPr>
        <w:t>. They end up with the money the others didn’t get. They get everyone to pay.</w:t>
      </w:r>
      <w:r w:rsidRPr="00D60EC2">
        <w:rPr>
          <w:i/>
        </w:rPr>
        <w:t>’</w:t>
      </w:r>
    </w:p>
    <w:p w14:paraId="21FF4A8A" w14:textId="5B95E310" w:rsidR="00946D61" w:rsidRPr="00D60EC2" w:rsidRDefault="00D60EC2" w:rsidP="00D60EC2">
      <w:pPr>
        <w:ind w:left="567"/>
      </w:pPr>
      <w:r w:rsidRPr="00D60EC2">
        <w:t>Financial Counsellor</w:t>
      </w:r>
    </w:p>
    <w:p w14:paraId="4C58C25C" w14:textId="111CDA02" w:rsidR="000C7D20" w:rsidRDefault="000F6D40" w:rsidP="004C771B">
      <w:r w:rsidRPr="004C771B">
        <w:t xml:space="preserve">Financial counsellors </w:t>
      </w:r>
      <w:r w:rsidR="00182A58">
        <w:t>reasoned</w:t>
      </w:r>
      <w:r w:rsidR="00182A58" w:rsidRPr="004C771B">
        <w:t xml:space="preserve"> </w:t>
      </w:r>
      <w:r w:rsidRPr="004C771B">
        <w:t xml:space="preserve">that it is easier to get better outcomes with some debt collectors/buyers than the original company. The arrangements are affordable, can </w:t>
      </w:r>
      <w:r w:rsidR="00C560E6" w:rsidRPr="004C771B">
        <w:t xml:space="preserve">be </w:t>
      </w:r>
      <w:r w:rsidR="00182A58">
        <w:t xml:space="preserve">carried </w:t>
      </w:r>
      <w:r w:rsidR="00C560E6" w:rsidRPr="004C771B">
        <w:t>over</w:t>
      </w:r>
      <w:r w:rsidRPr="004C771B">
        <w:t xml:space="preserve"> a longer </w:t>
      </w:r>
      <w:r w:rsidR="00182A58">
        <w:t>period</w:t>
      </w:r>
      <w:r w:rsidR="00182A58" w:rsidRPr="004C771B">
        <w:t xml:space="preserve"> </w:t>
      </w:r>
      <w:r w:rsidRPr="004C771B">
        <w:t xml:space="preserve">and are generally more flexible. They noted that some debt collection companies </w:t>
      </w:r>
      <w:r w:rsidR="00946D61" w:rsidRPr="004C771B">
        <w:t xml:space="preserve">now have much better relationships with financial </w:t>
      </w:r>
      <w:r w:rsidR="00C560E6" w:rsidRPr="004C771B">
        <w:t>counsellors</w:t>
      </w:r>
      <w:r w:rsidR="00182A58">
        <w:t xml:space="preserve"> and </w:t>
      </w:r>
      <w:r w:rsidR="00946D61" w:rsidRPr="004C771B">
        <w:t xml:space="preserve">consumers than </w:t>
      </w:r>
      <w:r w:rsidR="00C560E6" w:rsidRPr="004C771B">
        <w:t>in the past</w:t>
      </w:r>
      <w:r w:rsidR="00182A58">
        <w:t>.</w:t>
      </w:r>
      <w:r w:rsidR="00C560E6" w:rsidRPr="004C771B">
        <w:t xml:space="preserve"> </w:t>
      </w:r>
      <w:r w:rsidR="00182A58">
        <w:t>T</w:t>
      </w:r>
      <w:r w:rsidR="00C560E6" w:rsidRPr="004C771B">
        <w:t>his is</w:t>
      </w:r>
      <w:r w:rsidR="00946D61" w:rsidRPr="004C771B">
        <w:t xml:space="preserve"> based on listening to what clients are saying.</w:t>
      </w:r>
    </w:p>
    <w:p w14:paraId="04252475" w14:textId="42214723" w:rsidR="000C7D20" w:rsidRPr="004C771B" w:rsidRDefault="00DA0C85" w:rsidP="004C771B">
      <w:pPr>
        <w:ind w:left="567"/>
        <w:rPr>
          <w:i/>
          <w:lang w:val="en-US"/>
        </w:rPr>
      </w:pPr>
      <w:r w:rsidRPr="004C771B">
        <w:rPr>
          <w:i/>
        </w:rPr>
        <w:t>‘</w:t>
      </w:r>
      <w:r w:rsidR="00594C65" w:rsidRPr="004C771B">
        <w:rPr>
          <w:i/>
        </w:rPr>
        <w:t xml:space="preserve">Debt collectors are </w:t>
      </w:r>
      <w:r w:rsidR="00594C65" w:rsidRPr="004C771B">
        <w:rPr>
          <w:i/>
          <w:lang w:val="en-US"/>
        </w:rPr>
        <w:t>much better at having a smaller payment.</w:t>
      </w:r>
      <w:r w:rsidRPr="004C771B">
        <w:rPr>
          <w:i/>
          <w:lang w:val="en-US"/>
        </w:rPr>
        <w:t>’</w:t>
      </w:r>
    </w:p>
    <w:p w14:paraId="7BF7B2FB" w14:textId="6145803D" w:rsidR="00594C65" w:rsidRDefault="00594C65" w:rsidP="00671856">
      <w:pPr>
        <w:ind w:left="567"/>
      </w:pPr>
      <w:r w:rsidRPr="004C771B">
        <w:t>Financial Counsellor</w:t>
      </w:r>
    </w:p>
    <w:tbl>
      <w:tblPr>
        <w:tblStyle w:val="TableGrid"/>
        <w:tblW w:w="5000" w:type="pct"/>
        <w:tblLook w:val="04A0" w:firstRow="1" w:lastRow="0" w:firstColumn="1" w:lastColumn="0" w:noHBand="0" w:noVBand="1"/>
        <w:tblDescription w:val="Debt collectors engaging with financial counsellors&#10;Some debt collectors are actively engaging with financial counsellors and building relationships. They are attending national and state financial counselling conferences or interacting with financial counselling creditor liaison committees and working parties. There are mutual benefits from engaging with and learning from other sectors.&#10;"/>
      </w:tblPr>
      <w:tblGrid>
        <w:gridCol w:w="9242"/>
      </w:tblGrid>
      <w:tr w:rsidR="005B3A37" w:rsidRPr="004C771B" w14:paraId="03662643" w14:textId="77777777" w:rsidTr="002D527D">
        <w:trPr>
          <w:trHeight w:val="1802"/>
        </w:trPr>
        <w:tc>
          <w:tcPr>
            <w:tcW w:w="5000" w:type="pct"/>
          </w:tcPr>
          <w:p w14:paraId="126CBB14" w14:textId="77777777" w:rsidR="005B3A37" w:rsidRPr="005B3A37" w:rsidRDefault="005B3A37" w:rsidP="005B3A37">
            <w:pPr>
              <w:pStyle w:val="Heading4"/>
              <w:outlineLvl w:val="3"/>
            </w:pPr>
            <w:r w:rsidRPr="005B3A37">
              <w:t>Debt collectors engaging with financial counsellors</w:t>
            </w:r>
          </w:p>
          <w:p w14:paraId="1E64282E" w14:textId="5BFEAC8D" w:rsidR="005B3A37" w:rsidRPr="00913068" w:rsidRDefault="005B3A37" w:rsidP="005B3A37">
            <w:pPr>
              <w:rPr>
                <w:bCs/>
              </w:rPr>
            </w:pPr>
            <w:r w:rsidRPr="005B3A37">
              <w:rPr>
                <w:bCs/>
              </w:rPr>
              <w:t>Some debt collectors are actively engaging with financial counsellors and building relationships. They are attending national and state financial counselling conferences or interacting with financial counselling creditor liaison committees and working parties. There are mutual benefits from engaging with and learning from other sectors.</w:t>
            </w:r>
          </w:p>
        </w:tc>
      </w:tr>
    </w:tbl>
    <w:p w14:paraId="689A395F" w14:textId="77777777" w:rsidR="00427B23" w:rsidRDefault="00427B23" w:rsidP="005B3A37">
      <w:pPr>
        <w:spacing w:after="0" w:line="240" w:lineRule="auto"/>
      </w:pPr>
    </w:p>
    <w:p w14:paraId="4CF570AE" w14:textId="77777777" w:rsidR="005B3A37" w:rsidRDefault="005B3A37" w:rsidP="000F6D40">
      <w:pPr>
        <w:spacing w:after="0" w:line="240" w:lineRule="auto"/>
        <w:ind w:left="709"/>
      </w:pPr>
    </w:p>
    <w:p w14:paraId="7EF0AF54" w14:textId="77777777" w:rsidR="005B3A37" w:rsidRDefault="005B3A37" w:rsidP="000F6D40">
      <w:pPr>
        <w:spacing w:after="0" w:line="240" w:lineRule="auto"/>
        <w:ind w:left="709"/>
      </w:pPr>
    </w:p>
    <w:p w14:paraId="59390C9A" w14:textId="51BCD19E" w:rsidR="00D733C5" w:rsidRPr="005D31EB" w:rsidRDefault="002D527D" w:rsidP="00231A16">
      <w:pPr>
        <w:pStyle w:val="Heading1"/>
        <w:numPr>
          <w:ilvl w:val="1"/>
          <w:numId w:val="10"/>
        </w:numPr>
        <w:ind w:left="709"/>
        <w:rPr>
          <w:lang w:val="en-US" w:eastAsia="ja-JP"/>
        </w:rPr>
      </w:pPr>
      <w:r>
        <w:rPr>
          <w:lang w:val="en-US" w:eastAsia="ja-JP"/>
        </w:rPr>
        <w:lastRenderedPageBreak/>
        <w:t xml:space="preserve"> </w:t>
      </w:r>
      <w:bookmarkStart w:id="65" w:name="_Toc387144773"/>
      <w:r w:rsidR="00370BFD">
        <w:rPr>
          <w:lang w:val="en-US" w:eastAsia="ja-JP"/>
        </w:rPr>
        <w:t xml:space="preserve">Some </w:t>
      </w:r>
      <w:r w:rsidR="008A6307">
        <w:rPr>
          <w:lang w:val="en-US" w:eastAsia="ja-JP"/>
        </w:rPr>
        <w:t>m</w:t>
      </w:r>
      <w:r w:rsidR="00625575">
        <w:rPr>
          <w:lang w:val="en-US" w:eastAsia="ja-JP"/>
        </w:rPr>
        <w:t xml:space="preserve">ore </w:t>
      </w:r>
      <w:r w:rsidR="008A6307">
        <w:rPr>
          <w:lang w:val="en-US" w:eastAsia="ja-JP"/>
        </w:rPr>
        <w:t>good i</w:t>
      </w:r>
      <w:r w:rsidR="00D733C5" w:rsidRPr="005D31EB">
        <w:rPr>
          <w:lang w:val="en-US" w:eastAsia="ja-JP"/>
        </w:rPr>
        <w:t>deas</w:t>
      </w:r>
      <w:bookmarkEnd w:id="65"/>
    </w:p>
    <w:p w14:paraId="7CA559F7" w14:textId="77777777" w:rsidR="00D733C5" w:rsidRDefault="00D733C5" w:rsidP="00F2608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tbl>
      <w:tblPr>
        <w:tblStyle w:val="TableGrid"/>
        <w:tblW w:w="4966" w:type="pct"/>
        <w:tblLook w:val="04A0" w:firstRow="1" w:lastRow="0" w:firstColumn="1" w:lastColumn="0" w:noHBand="0" w:noVBand="1"/>
        <w:tblDescription w:val="Referrals&#10;Some Victorian utility businesses  refer customers in hardship (with customer consent) to the hardship team of an allied sector (e.g. a water provider referring to an electricity retailer). Acceptance into one hardship program qualifies the customer to enter the hardship program of the other utility. When a customer has debt with their water company, they are also likely to have problems in paying other bills. This innovative program is designed to minimise barriers to customers accessing other hardship processes, and also means that multiple companies are providing assistance. &#10;"/>
      </w:tblPr>
      <w:tblGrid>
        <w:gridCol w:w="9179"/>
      </w:tblGrid>
      <w:tr w:rsidR="00D733C5" w14:paraId="5F565E53" w14:textId="77777777" w:rsidTr="002D527D">
        <w:trPr>
          <w:trHeight w:val="2592"/>
        </w:trPr>
        <w:tc>
          <w:tcPr>
            <w:tcW w:w="5000" w:type="pct"/>
          </w:tcPr>
          <w:p w14:paraId="40753939" w14:textId="7DF9B3BB" w:rsidR="00D733C5" w:rsidRPr="002D527D" w:rsidRDefault="00D733C5" w:rsidP="002D527D">
            <w:pPr>
              <w:pStyle w:val="Heading4"/>
              <w:outlineLvl w:val="3"/>
            </w:pPr>
            <w:r w:rsidRPr="004C771B">
              <w:t>Referrals</w:t>
            </w:r>
          </w:p>
          <w:p w14:paraId="4DDAD626" w14:textId="42CAED2D" w:rsidR="00D733C5" w:rsidRPr="002D527D" w:rsidRDefault="00D733C5" w:rsidP="002D52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r w:rsidRPr="004C771B">
              <w:rPr>
                <w:rFonts w:asciiTheme="minorHAnsi" w:eastAsiaTheme="minorHAnsi" w:hAnsiTheme="minorHAnsi" w:cstheme="minorBidi"/>
                <w:color w:val="auto"/>
                <w:sz w:val="22"/>
                <w:szCs w:val="22"/>
                <w:lang w:val="en-AU" w:eastAsia="en-US"/>
              </w:rPr>
              <w:t>Some Victorian utility businesses</w:t>
            </w:r>
            <w:r w:rsidRPr="004C771B">
              <w:rPr>
                <w:rFonts w:asciiTheme="minorHAnsi" w:eastAsiaTheme="minorHAnsi" w:hAnsiTheme="minorHAnsi" w:cstheme="minorBidi"/>
                <w:color w:val="auto"/>
                <w:sz w:val="22"/>
                <w:szCs w:val="22"/>
                <w:vertAlign w:val="superscript"/>
                <w:lang w:val="en-AU" w:eastAsia="en-US"/>
              </w:rPr>
              <w:footnoteReference w:id="38"/>
            </w:r>
            <w:r w:rsidRPr="004C771B">
              <w:rPr>
                <w:rFonts w:asciiTheme="minorHAnsi" w:eastAsiaTheme="minorHAnsi" w:hAnsiTheme="minorHAnsi" w:cstheme="minorBidi"/>
                <w:color w:val="auto"/>
                <w:sz w:val="22"/>
                <w:szCs w:val="22"/>
                <w:lang w:val="en-AU" w:eastAsia="en-US"/>
              </w:rPr>
              <w:t xml:space="preserve"> refer customers in hardship (with </w:t>
            </w:r>
            <w:r w:rsidR="00182A58" w:rsidRPr="004C771B">
              <w:rPr>
                <w:rFonts w:asciiTheme="minorHAnsi" w:eastAsiaTheme="minorHAnsi" w:hAnsiTheme="minorHAnsi" w:cstheme="minorBidi"/>
                <w:color w:val="auto"/>
                <w:sz w:val="22"/>
                <w:szCs w:val="22"/>
                <w:lang w:val="en-AU" w:eastAsia="en-US"/>
              </w:rPr>
              <w:t>customer</w:t>
            </w:r>
            <w:r w:rsidRPr="004C771B">
              <w:rPr>
                <w:rFonts w:asciiTheme="minorHAnsi" w:eastAsiaTheme="minorHAnsi" w:hAnsiTheme="minorHAnsi" w:cstheme="minorBidi"/>
                <w:color w:val="auto"/>
                <w:sz w:val="22"/>
                <w:szCs w:val="22"/>
                <w:lang w:val="en-AU" w:eastAsia="en-US"/>
              </w:rPr>
              <w:t xml:space="preserve"> consent) to the hardship team of an allied sector (e.g. </w:t>
            </w:r>
            <w:r w:rsidR="00845C8E" w:rsidRPr="004C771B">
              <w:rPr>
                <w:rFonts w:asciiTheme="minorHAnsi" w:eastAsiaTheme="minorHAnsi" w:hAnsiTheme="minorHAnsi" w:cstheme="minorBidi"/>
                <w:color w:val="auto"/>
                <w:sz w:val="22"/>
                <w:szCs w:val="22"/>
                <w:lang w:val="en-AU" w:eastAsia="en-US"/>
              </w:rPr>
              <w:t>a water provider referring to an electricity retailer</w:t>
            </w:r>
            <w:r w:rsidRPr="004C771B">
              <w:rPr>
                <w:rFonts w:asciiTheme="minorHAnsi" w:eastAsiaTheme="minorHAnsi" w:hAnsiTheme="minorHAnsi" w:cstheme="minorBidi"/>
                <w:color w:val="auto"/>
                <w:sz w:val="22"/>
                <w:szCs w:val="22"/>
                <w:lang w:val="en-AU" w:eastAsia="en-US"/>
              </w:rPr>
              <w:t xml:space="preserve">). </w:t>
            </w:r>
            <w:r w:rsidR="00845C8E" w:rsidRPr="004C771B">
              <w:rPr>
                <w:rFonts w:asciiTheme="minorHAnsi" w:eastAsiaTheme="minorHAnsi" w:hAnsiTheme="minorHAnsi" w:cstheme="minorBidi"/>
                <w:color w:val="auto"/>
                <w:sz w:val="22"/>
                <w:szCs w:val="22"/>
                <w:lang w:val="en-AU" w:eastAsia="en-US"/>
              </w:rPr>
              <w:t>A</w:t>
            </w:r>
            <w:r w:rsidRPr="004C771B">
              <w:rPr>
                <w:rFonts w:asciiTheme="minorHAnsi" w:eastAsiaTheme="minorHAnsi" w:hAnsiTheme="minorHAnsi" w:cstheme="minorBidi"/>
                <w:color w:val="auto"/>
                <w:sz w:val="22"/>
                <w:szCs w:val="22"/>
                <w:lang w:val="en-AU" w:eastAsia="en-US"/>
              </w:rPr>
              <w:t xml:space="preserve">cceptance </w:t>
            </w:r>
            <w:r w:rsidR="00845C8E" w:rsidRPr="004C771B">
              <w:rPr>
                <w:rFonts w:asciiTheme="minorHAnsi" w:eastAsiaTheme="minorHAnsi" w:hAnsiTheme="minorHAnsi" w:cstheme="minorBidi"/>
                <w:color w:val="auto"/>
                <w:sz w:val="22"/>
                <w:szCs w:val="22"/>
                <w:lang w:val="en-AU" w:eastAsia="en-US"/>
              </w:rPr>
              <w:t>into one hardship program qualifies</w:t>
            </w:r>
            <w:r w:rsidRPr="004C771B">
              <w:rPr>
                <w:rFonts w:asciiTheme="minorHAnsi" w:eastAsiaTheme="minorHAnsi" w:hAnsiTheme="minorHAnsi" w:cstheme="minorBidi"/>
                <w:color w:val="auto"/>
                <w:sz w:val="22"/>
                <w:szCs w:val="22"/>
                <w:lang w:val="en-AU" w:eastAsia="en-US"/>
              </w:rPr>
              <w:t xml:space="preserve"> the customer to </w:t>
            </w:r>
            <w:r w:rsidR="00845C8E" w:rsidRPr="004C771B">
              <w:rPr>
                <w:rFonts w:asciiTheme="minorHAnsi" w:eastAsiaTheme="minorHAnsi" w:hAnsiTheme="minorHAnsi" w:cstheme="minorBidi"/>
                <w:color w:val="auto"/>
                <w:sz w:val="22"/>
                <w:szCs w:val="22"/>
                <w:lang w:val="en-AU" w:eastAsia="en-US"/>
              </w:rPr>
              <w:t>enter</w:t>
            </w:r>
            <w:r w:rsidRPr="004C771B">
              <w:rPr>
                <w:rFonts w:asciiTheme="minorHAnsi" w:eastAsiaTheme="minorHAnsi" w:hAnsiTheme="minorHAnsi" w:cstheme="minorBidi"/>
                <w:color w:val="auto"/>
                <w:sz w:val="22"/>
                <w:szCs w:val="22"/>
                <w:lang w:val="en-AU" w:eastAsia="en-US"/>
              </w:rPr>
              <w:t xml:space="preserve"> the hardship program</w:t>
            </w:r>
            <w:r w:rsidR="00845C8E" w:rsidRPr="004C771B">
              <w:rPr>
                <w:rFonts w:asciiTheme="minorHAnsi" w:eastAsiaTheme="minorHAnsi" w:hAnsiTheme="minorHAnsi" w:cstheme="minorBidi"/>
                <w:color w:val="auto"/>
                <w:sz w:val="22"/>
                <w:szCs w:val="22"/>
                <w:lang w:val="en-AU" w:eastAsia="en-US"/>
              </w:rPr>
              <w:t xml:space="preserve"> of the other utility</w:t>
            </w:r>
            <w:r w:rsidRPr="004C771B">
              <w:rPr>
                <w:rFonts w:asciiTheme="minorHAnsi" w:eastAsiaTheme="minorHAnsi" w:hAnsiTheme="minorHAnsi" w:cstheme="minorBidi"/>
                <w:color w:val="auto"/>
                <w:sz w:val="22"/>
                <w:szCs w:val="22"/>
                <w:lang w:val="en-AU" w:eastAsia="en-US"/>
              </w:rPr>
              <w:t xml:space="preserve">. </w:t>
            </w:r>
            <w:r w:rsidR="00182A58" w:rsidRPr="004C771B">
              <w:rPr>
                <w:rFonts w:asciiTheme="minorHAnsi" w:eastAsiaTheme="minorHAnsi" w:hAnsiTheme="minorHAnsi" w:cstheme="minorBidi"/>
                <w:color w:val="auto"/>
                <w:sz w:val="22"/>
                <w:szCs w:val="22"/>
                <w:lang w:val="en-AU" w:eastAsia="en-US"/>
              </w:rPr>
              <w:t>W</w:t>
            </w:r>
            <w:r w:rsidRPr="004C771B">
              <w:rPr>
                <w:rFonts w:asciiTheme="minorHAnsi" w:eastAsiaTheme="minorHAnsi" w:hAnsiTheme="minorHAnsi" w:cstheme="minorBidi"/>
                <w:color w:val="auto"/>
                <w:sz w:val="22"/>
                <w:szCs w:val="22"/>
                <w:lang w:val="en-AU" w:eastAsia="en-US"/>
              </w:rPr>
              <w:t xml:space="preserve">hen </w:t>
            </w:r>
            <w:r w:rsidR="00182A58" w:rsidRPr="004C771B">
              <w:rPr>
                <w:rFonts w:asciiTheme="minorHAnsi" w:eastAsiaTheme="minorHAnsi" w:hAnsiTheme="minorHAnsi" w:cstheme="minorBidi"/>
                <w:color w:val="auto"/>
                <w:sz w:val="22"/>
                <w:szCs w:val="22"/>
                <w:lang w:val="en-AU" w:eastAsia="en-US"/>
              </w:rPr>
              <w:t xml:space="preserve">a customer </w:t>
            </w:r>
            <w:r w:rsidR="00671856">
              <w:rPr>
                <w:rFonts w:asciiTheme="minorHAnsi" w:eastAsiaTheme="minorHAnsi" w:hAnsiTheme="minorHAnsi" w:cstheme="minorBidi"/>
                <w:color w:val="auto"/>
                <w:sz w:val="22"/>
                <w:szCs w:val="22"/>
                <w:lang w:val="en-AU" w:eastAsia="en-US"/>
              </w:rPr>
              <w:t xml:space="preserve">has </w:t>
            </w:r>
            <w:r w:rsidRPr="004C771B">
              <w:rPr>
                <w:rFonts w:asciiTheme="minorHAnsi" w:eastAsiaTheme="minorHAnsi" w:hAnsiTheme="minorHAnsi" w:cstheme="minorBidi"/>
                <w:color w:val="auto"/>
                <w:sz w:val="22"/>
                <w:szCs w:val="22"/>
                <w:lang w:val="en-AU" w:eastAsia="en-US"/>
              </w:rPr>
              <w:t>debt with their water company, they are also likely to have problems in paying other bills. This innovative program is designed to minimise barriers to customers accessing other hardship processes, and also means that multiple companies are providin</w:t>
            </w:r>
            <w:r w:rsidR="002D527D">
              <w:rPr>
                <w:rFonts w:asciiTheme="minorHAnsi" w:eastAsiaTheme="minorHAnsi" w:hAnsiTheme="minorHAnsi" w:cstheme="minorBidi"/>
                <w:color w:val="auto"/>
                <w:sz w:val="22"/>
                <w:szCs w:val="22"/>
                <w:lang w:val="en-AU" w:eastAsia="en-US"/>
              </w:rPr>
              <w:t xml:space="preserve">g assistance. </w:t>
            </w:r>
          </w:p>
        </w:tc>
      </w:tr>
    </w:tbl>
    <w:p w14:paraId="19AB0BCA" w14:textId="77777777" w:rsidR="00F1791A" w:rsidRDefault="00F1791A" w:rsidP="00F1791A">
      <w:pPr>
        <w:rPr>
          <w:rFonts w:ascii="Arial" w:eastAsia="Arial Unicode MS" w:hAnsi="Arial" w:cs="Times New Roman"/>
          <w:b/>
          <w:bCs/>
          <w:color w:val="42865E"/>
          <w:sz w:val="24"/>
          <w:szCs w:val="20"/>
        </w:rPr>
      </w:pPr>
    </w:p>
    <w:tbl>
      <w:tblPr>
        <w:tblStyle w:val="TableGrid"/>
        <w:tblW w:w="5045" w:type="pct"/>
        <w:tblLook w:val="04A0" w:firstRow="1" w:lastRow="0" w:firstColumn="1" w:lastColumn="0" w:noHBand="0" w:noVBand="1"/>
        <w:tblDescription w:val="Accessing extra money&#10;Financial counsellors can sometimes assist their clients in finding money from other sources, for example, from Centrelink entitlements, insurance policies or workers’ compensation schemes. One financial counsellor discovered that his client’s father had recently died and, consequently, he was entitled to a payment under his father’s superannuation policy. These potential fund sources may take time to finalise – the sooner applications are put in motion, the earlier the assistance materialises.&#10;&#10;The Sydney Water hardship team also helps customers find money from other sources. They actively identify concessions, grants and payments that people may qualify for, and may do the administration on the spot. Their staff have regular and comprehensive training in eight key areas, so they have a really good understanding how these other services work&#10;"/>
      </w:tblPr>
      <w:tblGrid>
        <w:gridCol w:w="9325"/>
      </w:tblGrid>
      <w:tr w:rsidR="00F1791A" w14:paraId="528F6469" w14:textId="77777777" w:rsidTr="007817BF">
        <w:trPr>
          <w:trHeight w:val="3692"/>
        </w:trPr>
        <w:tc>
          <w:tcPr>
            <w:tcW w:w="5000" w:type="pct"/>
          </w:tcPr>
          <w:p w14:paraId="7FB970EF" w14:textId="7C26801E" w:rsidR="00F1791A" w:rsidRPr="002D527D" w:rsidRDefault="008A6307" w:rsidP="002D527D">
            <w:pPr>
              <w:pStyle w:val="Heading4"/>
              <w:outlineLvl w:val="3"/>
            </w:pPr>
            <w:r>
              <w:t>Accessing extra m</w:t>
            </w:r>
            <w:r w:rsidR="00F1791A" w:rsidRPr="004C771B">
              <w:t>oney</w:t>
            </w:r>
          </w:p>
          <w:p w14:paraId="226F9C04" w14:textId="6194586C" w:rsidR="008E4E7C" w:rsidRPr="004C771B" w:rsidRDefault="00F1791A" w:rsidP="00F179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r w:rsidRPr="004C771B">
              <w:rPr>
                <w:rFonts w:asciiTheme="minorHAnsi" w:eastAsiaTheme="minorHAnsi" w:hAnsiTheme="minorHAnsi" w:cstheme="minorBidi"/>
                <w:color w:val="auto"/>
                <w:sz w:val="22"/>
                <w:szCs w:val="22"/>
                <w:lang w:val="en-AU" w:eastAsia="en-US"/>
              </w:rPr>
              <w:t>Financial counsellors can sometimes assist their clients</w:t>
            </w:r>
            <w:r w:rsidR="008257A1" w:rsidRPr="004C771B">
              <w:rPr>
                <w:rFonts w:asciiTheme="minorHAnsi" w:eastAsiaTheme="minorHAnsi" w:hAnsiTheme="minorHAnsi" w:cstheme="minorBidi"/>
                <w:color w:val="auto"/>
                <w:sz w:val="22"/>
                <w:szCs w:val="22"/>
                <w:lang w:val="en-AU" w:eastAsia="en-US"/>
              </w:rPr>
              <w:t xml:space="preserve"> </w:t>
            </w:r>
            <w:r w:rsidR="00671856">
              <w:rPr>
                <w:rFonts w:asciiTheme="minorHAnsi" w:eastAsiaTheme="minorHAnsi" w:hAnsiTheme="minorHAnsi" w:cstheme="minorBidi"/>
                <w:color w:val="auto"/>
                <w:sz w:val="22"/>
                <w:szCs w:val="22"/>
                <w:lang w:val="en-AU" w:eastAsia="en-US"/>
              </w:rPr>
              <w:t xml:space="preserve">in </w:t>
            </w:r>
            <w:r w:rsidR="008257A1" w:rsidRPr="004C771B">
              <w:rPr>
                <w:rFonts w:asciiTheme="minorHAnsi" w:eastAsiaTheme="minorHAnsi" w:hAnsiTheme="minorHAnsi" w:cstheme="minorBidi"/>
                <w:color w:val="auto"/>
                <w:sz w:val="22"/>
                <w:szCs w:val="22"/>
                <w:lang w:val="en-AU" w:eastAsia="en-US"/>
              </w:rPr>
              <w:t>find</w:t>
            </w:r>
            <w:r w:rsidR="00182A58" w:rsidRPr="004C771B">
              <w:rPr>
                <w:rFonts w:asciiTheme="minorHAnsi" w:eastAsiaTheme="minorHAnsi" w:hAnsiTheme="minorHAnsi" w:cstheme="minorBidi"/>
                <w:color w:val="auto"/>
                <w:sz w:val="22"/>
                <w:szCs w:val="22"/>
                <w:lang w:val="en-AU" w:eastAsia="en-US"/>
              </w:rPr>
              <w:t>ing</w:t>
            </w:r>
            <w:r w:rsidR="008257A1" w:rsidRPr="004C771B">
              <w:rPr>
                <w:rFonts w:asciiTheme="minorHAnsi" w:eastAsiaTheme="minorHAnsi" w:hAnsiTheme="minorHAnsi" w:cstheme="minorBidi"/>
                <w:color w:val="auto"/>
                <w:sz w:val="22"/>
                <w:szCs w:val="22"/>
                <w:lang w:val="en-AU" w:eastAsia="en-US"/>
              </w:rPr>
              <w:t xml:space="preserve"> money </w:t>
            </w:r>
            <w:r w:rsidRPr="004C771B">
              <w:rPr>
                <w:rFonts w:asciiTheme="minorHAnsi" w:eastAsiaTheme="minorHAnsi" w:hAnsiTheme="minorHAnsi" w:cstheme="minorBidi"/>
                <w:color w:val="auto"/>
                <w:sz w:val="22"/>
                <w:szCs w:val="22"/>
                <w:lang w:val="en-AU" w:eastAsia="en-US"/>
              </w:rPr>
              <w:t>from other sources</w:t>
            </w:r>
            <w:r w:rsidR="00182A58" w:rsidRPr="004C771B">
              <w:rPr>
                <w:rFonts w:asciiTheme="minorHAnsi" w:eastAsiaTheme="minorHAnsi" w:hAnsiTheme="minorHAnsi" w:cstheme="minorBidi"/>
                <w:color w:val="auto"/>
                <w:sz w:val="22"/>
                <w:szCs w:val="22"/>
                <w:lang w:val="en-AU" w:eastAsia="en-US"/>
              </w:rPr>
              <w:t>,</w:t>
            </w:r>
            <w:r w:rsidRPr="004C771B">
              <w:rPr>
                <w:rFonts w:asciiTheme="minorHAnsi" w:eastAsiaTheme="minorHAnsi" w:hAnsiTheme="minorHAnsi" w:cstheme="minorBidi"/>
                <w:color w:val="auto"/>
                <w:sz w:val="22"/>
                <w:szCs w:val="22"/>
                <w:lang w:val="en-AU" w:eastAsia="en-US"/>
              </w:rPr>
              <w:t xml:space="preserve"> </w:t>
            </w:r>
            <w:r w:rsidR="00E27F3F" w:rsidRPr="004C771B">
              <w:rPr>
                <w:rFonts w:asciiTheme="minorHAnsi" w:eastAsiaTheme="minorHAnsi" w:hAnsiTheme="minorHAnsi" w:cstheme="minorBidi"/>
                <w:color w:val="auto"/>
                <w:sz w:val="22"/>
                <w:szCs w:val="22"/>
                <w:lang w:val="en-AU" w:eastAsia="en-US"/>
              </w:rPr>
              <w:t>for example</w:t>
            </w:r>
            <w:r w:rsidR="00182A58" w:rsidRPr="004C771B">
              <w:rPr>
                <w:rFonts w:asciiTheme="minorHAnsi" w:eastAsiaTheme="minorHAnsi" w:hAnsiTheme="minorHAnsi" w:cstheme="minorBidi"/>
                <w:color w:val="auto"/>
                <w:sz w:val="22"/>
                <w:szCs w:val="22"/>
                <w:lang w:val="en-AU" w:eastAsia="en-US"/>
              </w:rPr>
              <w:t>,</w:t>
            </w:r>
            <w:r w:rsidRPr="004C771B">
              <w:rPr>
                <w:rFonts w:asciiTheme="minorHAnsi" w:eastAsiaTheme="minorHAnsi" w:hAnsiTheme="minorHAnsi" w:cstheme="minorBidi"/>
                <w:color w:val="auto"/>
                <w:sz w:val="22"/>
                <w:szCs w:val="22"/>
                <w:lang w:val="en-AU" w:eastAsia="en-US"/>
              </w:rPr>
              <w:t xml:space="preserve"> from Centrelink entitlements, i</w:t>
            </w:r>
            <w:r w:rsidR="00E27F3F" w:rsidRPr="004C771B">
              <w:rPr>
                <w:rFonts w:asciiTheme="minorHAnsi" w:eastAsiaTheme="minorHAnsi" w:hAnsiTheme="minorHAnsi" w:cstheme="minorBidi"/>
                <w:color w:val="auto"/>
                <w:sz w:val="22"/>
                <w:szCs w:val="22"/>
                <w:lang w:val="en-AU" w:eastAsia="en-US"/>
              </w:rPr>
              <w:t xml:space="preserve">nsurance policies or </w:t>
            </w:r>
            <w:r w:rsidR="008257A1" w:rsidRPr="004C771B">
              <w:rPr>
                <w:rFonts w:asciiTheme="minorHAnsi" w:eastAsiaTheme="minorHAnsi" w:hAnsiTheme="minorHAnsi" w:cstheme="minorBidi"/>
                <w:color w:val="auto"/>
                <w:sz w:val="22"/>
                <w:szCs w:val="22"/>
                <w:lang w:val="en-AU" w:eastAsia="en-US"/>
              </w:rPr>
              <w:t xml:space="preserve">workers’ compensation schemes. </w:t>
            </w:r>
            <w:r w:rsidRPr="004C771B">
              <w:rPr>
                <w:rFonts w:asciiTheme="minorHAnsi" w:eastAsiaTheme="minorHAnsi" w:hAnsiTheme="minorHAnsi" w:cstheme="minorBidi"/>
                <w:color w:val="auto"/>
                <w:sz w:val="22"/>
                <w:szCs w:val="22"/>
                <w:lang w:val="en-AU" w:eastAsia="en-US"/>
              </w:rPr>
              <w:t>One financial counsellor discovered that his client’s father had recently died and</w:t>
            </w:r>
            <w:r w:rsidR="00182A58" w:rsidRPr="004C771B">
              <w:rPr>
                <w:rFonts w:asciiTheme="minorHAnsi" w:eastAsiaTheme="minorHAnsi" w:hAnsiTheme="minorHAnsi" w:cstheme="minorBidi"/>
                <w:color w:val="auto"/>
                <w:sz w:val="22"/>
                <w:szCs w:val="22"/>
                <w:lang w:val="en-AU" w:eastAsia="en-US"/>
              </w:rPr>
              <w:t>, consequently,</w:t>
            </w:r>
            <w:r w:rsidRPr="004C771B">
              <w:rPr>
                <w:rFonts w:asciiTheme="minorHAnsi" w:eastAsiaTheme="minorHAnsi" w:hAnsiTheme="minorHAnsi" w:cstheme="minorBidi"/>
                <w:color w:val="auto"/>
                <w:sz w:val="22"/>
                <w:szCs w:val="22"/>
                <w:lang w:val="en-AU" w:eastAsia="en-US"/>
              </w:rPr>
              <w:t xml:space="preserve"> he was entitled to a payment under his father’s superannuation policy. These potential </w:t>
            </w:r>
            <w:r w:rsidR="00262ABF" w:rsidRPr="004C771B">
              <w:rPr>
                <w:rFonts w:asciiTheme="minorHAnsi" w:eastAsiaTheme="minorHAnsi" w:hAnsiTheme="minorHAnsi" w:cstheme="minorBidi"/>
                <w:color w:val="auto"/>
                <w:sz w:val="22"/>
                <w:szCs w:val="22"/>
                <w:lang w:val="en-AU" w:eastAsia="en-US"/>
              </w:rPr>
              <w:t xml:space="preserve">fund </w:t>
            </w:r>
            <w:r w:rsidR="00182A58" w:rsidRPr="004C771B">
              <w:rPr>
                <w:rFonts w:asciiTheme="minorHAnsi" w:eastAsiaTheme="minorHAnsi" w:hAnsiTheme="minorHAnsi" w:cstheme="minorBidi"/>
                <w:color w:val="auto"/>
                <w:sz w:val="22"/>
                <w:szCs w:val="22"/>
                <w:lang w:val="en-AU" w:eastAsia="en-US"/>
              </w:rPr>
              <w:t xml:space="preserve">sources </w:t>
            </w:r>
            <w:r w:rsidR="00262ABF" w:rsidRPr="004C771B">
              <w:rPr>
                <w:rFonts w:asciiTheme="minorHAnsi" w:eastAsiaTheme="minorHAnsi" w:hAnsiTheme="minorHAnsi" w:cstheme="minorBidi"/>
                <w:color w:val="auto"/>
                <w:sz w:val="22"/>
                <w:szCs w:val="22"/>
                <w:lang w:val="en-AU" w:eastAsia="en-US"/>
              </w:rPr>
              <w:t xml:space="preserve">may take time </w:t>
            </w:r>
            <w:r w:rsidR="00CF43FF">
              <w:rPr>
                <w:rFonts w:asciiTheme="minorHAnsi" w:eastAsiaTheme="minorHAnsi" w:hAnsiTheme="minorHAnsi" w:cstheme="minorBidi"/>
                <w:color w:val="auto"/>
                <w:sz w:val="22"/>
                <w:szCs w:val="22"/>
                <w:lang w:val="en-AU" w:eastAsia="en-US"/>
              </w:rPr>
              <w:t xml:space="preserve">to </w:t>
            </w:r>
            <w:r w:rsidR="003D09C3" w:rsidRPr="004C771B">
              <w:rPr>
                <w:rFonts w:asciiTheme="minorHAnsi" w:eastAsiaTheme="minorHAnsi" w:hAnsiTheme="minorHAnsi" w:cstheme="minorBidi"/>
                <w:color w:val="auto"/>
                <w:sz w:val="22"/>
                <w:szCs w:val="22"/>
                <w:lang w:val="en-AU" w:eastAsia="en-US"/>
              </w:rPr>
              <w:t>finalise</w:t>
            </w:r>
            <w:r w:rsidRPr="004C771B">
              <w:rPr>
                <w:rFonts w:asciiTheme="minorHAnsi" w:eastAsiaTheme="minorHAnsi" w:hAnsiTheme="minorHAnsi" w:cstheme="minorBidi"/>
                <w:color w:val="auto"/>
                <w:sz w:val="22"/>
                <w:szCs w:val="22"/>
                <w:lang w:val="en-AU" w:eastAsia="en-US"/>
              </w:rPr>
              <w:t xml:space="preserve"> </w:t>
            </w:r>
            <w:r w:rsidR="003D09C3" w:rsidRPr="004C771B">
              <w:rPr>
                <w:rFonts w:asciiTheme="minorHAnsi" w:eastAsiaTheme="minorHAnsi" w:hAnsiTheme="minorHAnsi" w:cstheme="minorBidi"/>
                <w:color w:val="auto"/>
                <w:sz w:val="22"/>
                <w:szCs w:val="22"/>
                <w:lang w:val="en-AU" w:eastAsia="en-US"/>
              </w:rPr>
              <w:t xml:space="preserve">– </w:t>
            </w:r>
            <w:r w:rsidRPr="004C771B">
              <w:rPr>
                <w:rFonts w:asciiTheme="minorHAnsi" w:eastAsiaTheme="minorHAnsi" w:hAnsiTheme="minorHAnsi" w:cstheme="minorBidi"/>
                <w:color w:val="auto"/>
                <w:sz w:val="22"/>
                <w:szCs w:val="22"/>
                <w:lang w:val="en-AU" w:eastAsia="en-US"/>
              </w:rPr>
              <w:t xml:space="preserve">the sooner </w:t>
            </w:r>
            <w:r w:rsidR="00262ABF" w:rsidRPr="004C771B">
              <w:rPr>
                <w:rFonts w:asciiTheme="minorHAnsi" w:eastAsiaTheme="minorHAnsi" w:hAnsiTheme="minorHAnsi" w:cstheme="minorBidi"/>
                <w:color w:val="auto"/>
                <w:sz w:val="22"/>
                <w:szCs w:val="22"/>
                <w:lang w:val="en-AU" w:eastAsia="en-US"/>
              </w:rPr>
              <w:t>applications</w:t>
            </w:r>
            <w:r w:rsidRPr="004C771B">
              <w:rPr>
                <w:rFonts w:asciiTheme="minorHAnsi" w:eastAsiaTheme="minorHAnsi" w:hAnsiTheme="minorHAnsi" w:cstheme="minorBidi"/>
                <w:color w:val="auto"/>
                <w:sz w:val="22"/>
                <w:szCs w:val="22"/>
                <w:lang w:val="en-AU" w:eastAsia="en-US"/>
              </w:rPr>
              <w:t xml:space="preserve"> are put in motion, the earlier the assistance materialises.</w:t>
            </w:r>
          </w:p>
          <w:p w14:paraId="792491CA" w14:textId="77777777" w:rsidR="00F1791A" w:rsidRPr="004C771B" w:rsidRDefault="00F1791A" w:rsidP="004C77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rPr>
            </w:pPr>
          </w:p>
          <w:p w14:paraId="31101F59" w14:textId="5EDB2BD8" w:rsidR="00F1791A" w:rsidRPr="002D527D" w:rsidRDefault="00F1791A" w:rsidP="002D52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r w:rsidRPr="004C771B">
              <w:rPr>
                <w:rFonts w:asciiTheme="minorHAnsi" w:eastAsiaTheme="minorHAnsi" w:hAnsiTheme="minorHAnsi" w:cstheme="minorBidi"/>
                <w:color w:val="auto"/>
                <w:sz w:val="22"/>
                <w:szCs w:val="22"/>
                <w:lang w:val="en-AU" w:eastAsia="en-US"/>
              </w:rPr>
              <w:t>The Sydney Water hard</w:t>
            </w:r>
            <w:r w:rsidR="00291B4F" w:rsidRPr="004C771B">
              <w:rPr>
                <w:rFonts w:asciiTheme="minorHAnsi" w:eastAsiaTheme="minorHAnsi" w:hAnsiTheme="minorHAnsi" w:cstheme="minorBidi"/>
                <w:color w:val="auto"/>
                <w:sz w:val="22"/>
                <w:szCs w:val="22"/>
                <w:lang w:val="en-AU" w:eastAsia="en-US"/>
              </w:rPr>
              <w:t xml:space="preserve">ship team also helps customers find money </w:t>
            </w:r>
            <w:r w:rsidRPr="004C771B">
              <w:rPr>
                <w:rFonts w:asciiTheme="minorHAnsi" w:eastAsiaTheme="minorHAnsi" w:hAnsiTheme="minorHAnsi" w:cstheme="minorBidi"/>
                <w:color w:val="auto"/>
                <w:sz w:val="22"/>
                <w:szCs w:val="22"/>
                <w:lang w:val="en-AU" w:eastAsia="en-US"/>
              </w:rPr>
              <w:t>from other sources. They actively identify concessions, grant</w:t>
            </w:r>
            <w:r w:rsidR="003D09C3" w:rsidRPr="004C771B">
              <w:rPr>
                <w:rFonts w:asciiTheme="minorHAnsi" w:eastAsiaTheme="minorHAnsi" w:hAnsiTheme="minorHAnsi" w:cstheme="minorBidi"/>
                <w:color w:val="auto"/>
                <w:sz w:val="22"/>
                <w:szCs w:val="22"/>
                <w:lang w:val="en-AU" w:eastAsia="en-US"/>
              </w:rPr>
              <w:t>s</w:t>
            </w:r>
            <w:r w:rsidRPr="004C771B">
              <w:rPr>
                <w:rFonts w:asciiTheme="minorHAnsi" w:eastAsiaTheme="minorHAnsi" w:hAnsiTheme="minorHAnsi" w:cstheme="minorBidi"/>
                <w:color w:val="auto"/>
                <w:sz w:val="22"/>
                <w:szCs w:val="22"/>
                <w:lang w:val="en-AU" w:eastAsia="en-US"/>
              </w:rPr>
              <w:t xml:space="preserve"> and payments that people m</w:t>
            </w:r>
            <w:r w:rsidR="003D09C3" w:rsidRPr="004C771B">
              <w:rPr>
                <w:rFonts w:asciiTheme="minorHAnsi" w:eastAsiaTheme="minorHAnsi" w:hAnsiTheme="minorHAnsi" w:cstheme="minorBidi"/>
                <w:color w:val="auto"/>
                <w:sz w:val="22"/>
                <w:szCs w:val="22"/>
                <w:lang w:val="en-AU" w:eastAsia="en-US"/>
              </w:rPr>
              <w:t xml:space="preserve">ay qualify for, </w:t>
            </w:r>
            <w:r w:rsidRPr="004C771B">
              <w:rPr>
                <w:rFonts w:asciiTheme="minorHAnsi" w:eastAsiaTheme="minorHAnsi" w:hAnsiTheme="minorHAnsi" w:cstheme="minorBidi"/>
                <w:color w:val="auto"/>
                <w:sz w:val="22"/>
                <w:szCs w:val="22"/>
                <w:lang w:val="en-AU" w:eastAsia="en-US"/>
              </w:rPr>
              <w:t>and may do th</w:t>
            </w:r>
            <w:r w:rsidR="00E27F3F" w:rsidRPr="004C771B">
              <w:rPr>
                <w:rFonts w:asciiTheme="minorHAnsi" w:eastAsiaTheme="minorHAnsi" w:hAnsiTheme="minorHAnsi" w:cstheme="minorBidi"/>
                <w:color w:val="auto"/>
                <w:sz w:val="22"/>
                <w:szCs w:val="22"/>
                <w:lang w:val="en-AU" w:eastAsia="en-US"/>
              </w:rPr>
              <w:t xml:space="preserve">e administration on the spot. </w:t>
            </w:r>
            <w:r w:rsidR="00DD59F8" w:rsidRPr="004C771B">
              <w:rPr>
                <w:rFonts w:asciiTheme="minorHAnsi" w:eastAsiaTheme="minorHAnsi" w:hAnsiTheme="minorHAnsi" w:cstheme="minorBidi"/>
                <w:color w:val="auto"/>
                <w:sz w:val="22"/>
                <w:szCs w:val="22"/>
                <w:lang w:val="en-AU" w:eastAsia="en-US"/>
              </w:rPr>
              <w:t xml:space="preserve">Their </w:t>
            </w:r>
            <w:proofErr w:type="gramStart"/>
            <w:r w:rsidR="00DD59F8" w:rsidRPr="004C771B">
              <w:rPr>
                <w:rFonts w:asciiTheme="minorHAnsi" w:eastAsiaTheme="minorHAnsi" w:hAnsiTheme="minorHAnsi" w:cstheme="minorBidi"/>
                <w:color w:val="auto"/>
                <w:sz w:val="22"/>
                <w:szCs w:val="22"/>
                <w:lang w:val="en-AU" w:eastAsia="en-US"/>
              </w:rPr>
              <w:t>staff have</w:t>
            </w:r>
            <w:proofErr w:type="gramEnd"/>
            <w:r w:rsidR="00DD59F8" w:rsidRPr="004C771B">
              <w:rPr>
                <w:rFonts w:asciiTheme="minorHAnsi" w:eastAsiaTheme="minorHAnsi" w:hAnsiTheme="minorHAnsi" w:cstheme="minorBidi"/>
                <w:color w:val="auto"/>
                <w:sz w:val="22"/>
                <w:szCs w:val="22"/>
                <w:lang w:val="en-AU" w:eastAsia="en-US"/>
              </w:rPr>
              <w:t xml:space="preserve"> regular and comprehensive training in eight key areas, so they have a really good understanding how these other services work.</w:t>
            </w:r>
            <w:r w:rsidR="00E27F3F" w:rsidRPr="004C771B">
              <w:rPr>
                <w:rFonts w:asciiTheme="minorHAnsi" w:eastAsiaTheme="minorHAnsi" w:hAnsiTheme="minorHAnsi" w:cstheme="minorBidi"/>
                <w:color w:val="auto"/>
                <w:sz w:val="22"/>
                <w:szCs w:val="22"/>
                <w:lang w:val="en-AU" w:eastAsia="en-US"/>
              </w:rPr>
              <w:t xml:space="preserve"> </w:t>
            </w:r>
          </w:p>
        </w:tc>
      </w:tr>
    </w:tbl>
    <w:p w14:paraId="7E21F9F5" w14:textId="77777777" w:rsidR="00784407" w:rsidRDefault="00784407" w:rsidP="00784407">
      <w:pPr>
        <w:rPr>
          <w:rFonts w:ascii="Arial" w:eastAsia="Arial Unicode MS" w:hAnsi="Arial" w:cs="Times New Roman"/>
          <w:b/>
          <w:bCs/>
          <w:color w:val="42865E"/>
          <w:sz w:val="24"/>
          <w:szCs w:val="20"/>
        </w:rPr>
      </w:pPr>
    </w:p>
    <w:tbl>
      <w:tblPr>
        <w:tblStyle w:val="TableGrid"/>
        <w:tblW w:w="5026" w:type="pct"/>
        <w:tblLook w:val="04A0" w:firstRow="1" w:lastRow="0" w:firstColumn="1" w:lastColumn="0" w:noHBand="0" w:noVBand="1"/>
        <w:tblDescription w:val="Real time resolutions&#10;Real time resolutions are possible. As noted, Sydney Water organise on-the-spot assistance in relation to concessions and credits. &#10;&#10;EWOV’s processes can include simultaneous conversations with consumers and retailers. &#10;&#10;Westpac has a ‘get it right the first time’ policy. They review cases where the customer needs to return for further assistance, to see whether the right choice was made in the first place.&#10;"/>
      </w:tblPr>
      <w:tblGrid>
        <w:gridCol w:w="9290"/>
      </w:tblGrid>
      <w:tr w:rsidR="00784407" w14:paraId="08CB964A" w14:textId="77777777" w:rsidTr="007817BF">
        <w:trPr>
          <w:trHeight w:val="2616"/>
        </w:trPr>
        <w:tc>
          <w:tcPr>
            <w:tcW w:w="5000" w:type="pct"/>
          </w:tcPr>
          <w:p w14:paraId="40824E01" w14:textId="5CDDD8EA" w:rsidR="00784407" w:rsidRPr="007817BF" w:rsidRDefault="00291B4F" w:rsidP="007817BF">
            <w:pPr>
              <w:pStyle w:val="Heading4"/>
              <w:outlineLvl w:val="3"/>
            </w:pPr>
            <w:r w:rsidRPr="004C771B">
              <w:t>Real time r</w:t>
            </w:r>
            <w:r w:rsidR="00784407" w:rsidRPr="004C771B">
              <w:t>esolutions</w:t>
            </w:r>
          </w:p>
          <w:p w14:paraId="61F7481D" w14:textId="633AB148" w:rsidR="00E3206F" w:rsidRPr="004C771B" w:rsidRDefault="00E3206F" w:rsidP="00E320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r w:rsidRPr="004C771B">
              <w:rPr>
                <w:rFonts w:asciiTheme="minorHAnsi" w:eastAsiaTheme="minorHAnsi" w:hAnsiTheme="minorHAnsi" w:cstheme="minorBidi"/>
                <w:color w:val="auto"/>
                <w:sz w:val="22"/>
                <w:szCs w:val="22"/>
                <w:lang w:val="en-AU" w:eastAsia="en-US"/>
              </w:rPr>
              <w:t xml:space="preserve">Real time resolutions are possible. </w:t>
            </w:r>
            <w:r w:rsidR="003D09C3" w:rsidRPr="004C771B">
              <w:rPr>
                <w:rFonts w:asciiTheme="minorHAnsi" w:eastAsiaTheme="minorHAnsi" w:hAnsiTheme="minorHAnsi" w:cstheme="minorBidi"/>
                <w:color w:val="auto"/>
                <w:sz w:val="22"/>
                <w:szCs w:val="22"/>
                <w:lang w:val="en-AU" w:eastAsia="en-US"/>
              </w:rPr>
              <w:t xml:space="preserve">As noted, </w:t>
            </w:r>
            <w:r w:rsidRPr="004C771B">
              <w:rPr>
                <w:rFonts w:asciiTheme="minorHAnsi" w:eastAsiaTheme="minorHAnsi" w:hAnsiTheme="minorHAnsi" w:cstheme="minorBidi"/>
                <w:color w:val="auto"/>
                <w:sz w:val="22"/>
                <w:szCs w:val="22"/>
                <w:lang w:val="en-AU" w:eastAsia="en-US"/>
              </w:rPr>
              <w:t xml:space="preserve">Sydney Water organise on-the-spot assistance in relation to concessions and credits. </w:t>
            </w:r>
          </w:p>
          <w:p w14:paraId="669672E0" w14:textId="77777777" w:rsidR="00E3206F" w:rsidRPr="004C771B" w:rsidRDefault="00E3206F" w:rsidP="00E320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p>
          <w:p w14:paraId="34C1DC42" w14:textId="77777777" w:rsidR="00784407" w:rsidRPr="004C771B" w:rsidRDefault="00E3206F" w:rsidP="00262AB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proofErr w:type="spellStart"/>
            <w:r w:rsidRPr="004C771B">
              <w:rPr>
                <w:rFonts w:asciiTheme="minorHAnsi" w:eastAsiaTheme="minorHAnsi" w:hAnsiTheme="minorHAnsi" w:cstheme="minorBidi"/>
                <w:color w:val="auto"/>
                <w:sz w:val="22"/>
                <w:szCs w:val="22"/>
                <w:lang w:val="en-AU" w:eastAsia="en-US"/>
              </w:rPr>
              <w:t>EWOV’s</w:t>
            </w:r>
            <w:proofErr w:type="spellEnd"/>
            <w:r w:rsidRPr="004C771B">
              <w:rPr>
                <w:rFonts w:asciiTheme="minorHAnsi" w:eastAsiaTheme="minorHAnsi" w:hAnsiTheme="minorHAnsi" w:cstheme="minorBidi"/>
                <w:color w:val="auto"/>
                <w:sz w:val="22"/>
                <w:szCs w:val="22"/>
                <w:lang w:val="en-AU" w:eastAsia="en-US"/>
              </w:rPr>
              <w:t xml:space="preserve"> processes can include simultaneous conversations with consumers and retailers. </w:t>
            </w:r>
          </w:p>
          <w:p w14:paraId="0C2BA480" w14:textId="77777777" w:rsidR="00E859C4" w:rsidRPr="004C771B" w:rsidRDefault="00E859C4" w:rsidP="00262AB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Cs w:val="24"/>
                <w:lang w:val="en-AU" w:eastAsia="en-US"/>
              </w:rPr>
            </w:pPr>
          </w:p>
          <w:p w14:paraId="52E3D0BC" w14:textId="6B2A6519" w:rsidR="00784407" w:rsidRPr="00671856" w:rsidRDefault="00291B4F" w:rsidP="004C77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Arial Unicode MS" w:hAnsi="Arial"/>
                <w:b/>
                <w:bCs/>
                <w:color w:val="42865E"/>
                <w:sz w:val="22"/>
                <w:szCs w:val="22"/>
              </w:rPr>
            </w:pPr>
            <w:r w:rsidRPr="00671856">
              <w:rPr>
                <w:rFonts w:asciiTheme="minorHAnsi" w:eastAsiaTheme="minorHAnsi" w:hAnsiTheme="minorHAnsi" w:cstheme="minorBidi"/>
                <w:color w:val="auto"/>
                <w:sz w:val="22"/>
                <w:szCs w:val="22"/>
                <w:lang w:val="en-AU" w:eastAsia="en-US"/>
              </w:rPr>
              <w:t xml:space="preserve">Westpac has </w:t>
            </w:r>
            <w:r w:rsidR="00E859C4" w:rsidRPr="00671856">
              <w:rPr>
                <w:rFonts w:asciiTheme="minorHAnsi" w:eastAsiaTheme="minorHAnsi" w:hAnsiTheme="minorHAnsi" w:cstheme="minorBidi"/>
                <w:color w:val="auto"/>
                <w:sz w:val="22"/>
                <w:szCs w:val="22"/>
                <w:lang w:val="en-AU" w:eastAsia="en-US"/>
              </w:rPr>
              <w:t xml:space="preserve">a </w:t>
            </w:r>
            <w:r w:rsidR="00DA0C85" w:rsidRPr="00671856">
              <w:rPr>
                <w:rFonts w:asciiTheme="minorHAnsi" w:eastAsiaTheme="minorHAnsi" w:hAnsiTheme="minorHAnsi" w:cstheme="minorBidi"/>
                <w:color w:val="auto"/>
                <w:sz w:val="22"/>
                <w:szCs w:val="22"/>
                <w:lang w:val="en-AU" w:eastAsia="en-US"/>
              </w:rPr>
              <w:t>‘</w:t>
            </w:r>
            <w:r w:rsidR="00E859C4" w:rsidRPr="00671856">
              <w:rPr>
                <w:rFonts w:asciiTheme="minorHAnsi" w:eastAsiaTheme="minorHAnsi" w:hAnsiTheme="minorHAnsi" w:cstheme="minorBidi"/>
                <w:color w:val="auto"/>
                <w:sz w:val="22"/>
                <w:szCs w:val="22"/>
                <w:lang w:val="en-AU" w:eastAsia="en-US"/>
              </w:rPr>
              <w:t>get it right</w:t>
            </w:r>
            <w:r w:rsidR="003D09C3" w:rsidRPr="00671856">
              <w:rPr>
                <w:rFonts w:asciiTheme="minorHAnsi" w:eastAsiaTheme="minorHAnsi" w:hAnsiTheme="minorHAnsi" w:cstheme="minorBidi"/>
                <w:color w:val="auto"/>
                <w:sz w:val="22"/>
                <w:szCs w:val="22"/>
                <w:lang w:val="en-AU" w:eastAsia="en-US"/>
              </w:rPr>
              <w:t xml:space="preserve"> the</w:t>
            </w:r>
            <w:r w:rsidR="00E859C4" w:rsidRPr="00671856">
              <w:rPr>
                <w:rFonts w:asciiTheme="minorHAnsi" w:eastAsiaTheme="minorHAnsi" w:hAnsiTheme="minorHAnsi" w:cstheme="minorBidi"/>
                <w:color w:val="auto"/>
                <w:sz w:val="22"/>
                <w:szCs w:val="22"/>
                <w:lang w:val="en-AU" w:eastAsia="en-US"/>
              </w:rPr>
              <w:t xml:space="preserve"> first time</w:t>
            </w:r>
            <w:r w:rsidR="00DA0C85" w:rsidRPr="00671856">
              <w:rPr>
                <w:rFonts w:asciiTheme="minorHAnsi" w:eastAsiaTheme="minorHAnsi" w:hAnsiTheme="minorHAnsi" w:cstheme="minorBidi"/>
                <w:color w:val="auto"/>
                <w:sz w:val="22"/>
                <w:szCs w:val="22"/>
                <w:lang w:val="en-AU" w:eastAsia="en-US"/>
              </w:rPr>
              <w:t>’</w:t>
            </w:r>
            <w:r w:rsidR="00E859C4" w:rsidRPr="00671856">
              <w:rPr>
                <w:rFonts w:asciiTheme="minorHAnsi" w:eastAsiaTheme="minorHAnsi" w:hAnsiTheme="minorHAnsi" w:cstheme="minorBidi"/>
                <w:color w:val="auto"/>
                <w:sz w:val="22"/>
                <w:szCs w:val="22"/>
                <w:lang w:val="en-AU" w:eastAsia="en-US"/>
              </w:rPr>
              <w:t xml:space="preserve"> policy. They review cases where the customer needs to return for further assistance, to see whether the</w:t>
            </w:r>
            <w:r w:rsidR="00FA4E47" w:rsidRPr="00671856">
              <w:rPr>
                <w:rFonts w:asciiTheme="minorHAnsi" w:eastAsiaTheme="minorHAnsi" w:hAnsiTheme="minorHAnsi" w:cstheme="minorBidi"/>
                <w:color w:val="auto"/>
                <w:sz w:val="22"/>
                <w:szCs w:val="22"/>
                <w:lang w:val="en-AU" w:eastAsia="en-US"/>
              </w:rPr>
              <w:t xml:space="preserve"> right choice was made in the first place.</w:t>
            </w:r>
          </w:p>
        </w:tc>
      </w:tr>
    </w:tbl>
    <w:p w14:paraId="05515999" w14:textId="7B3529D6" w:rsidR="007817BF" w:rsidRDefault="007817BF">
      <w:pPr>
        <w:rPr>
          <w:color w:val="42865E"/>
          <w:sz w:val="24"/>
        </w:rPr>
      </w:pPr>
    </w:p>
    <w:p w14:paraId="1CE6E55A" w14:textId="27DD7E46" w:rsidR="00213013" w:rsidRDefault="00213013">
      <w:pPr>
        <w:rPr>
          <w:color w:val="42865E"/>
          <w:sz w:val="24"/>
        </w:rPr>
      </w:pPr>
    </w:p>
    <w:p w14:paraId="7742165F" w14:textId="77777777" w:rsidR="007817BF" w:rsidRPr="007817BF" w:rsidRDefault="007817BF">
      <w:pPr>
        <w:rPr>
          <w:color w:val="42865E"/>
          <w:sz w:val="24"/>
        </w:rPr>
      </w:pPr>
    </w:p>
    <w:tbl>
      <w:tblPr>
        <w:tblStyle w:val="TableGrid"/>
        <w:tblW w:w="5000" w:type="pct"/>
        <w:tblLook w:val="04A0" w:firstRow="1" w:lastRow="0" w:firstColumn="1" w:lastColumn="0" w:noHBand="0" w:noVBand="1"/>
        <w:tblDescription w:val="Innovative payment arrangements&#10;In NSW, the State Debt Recovery Office calls consumers who are about to have their drivers licences cancelled due to outstanding fines. Consumers are asked to identify an affordable payment arrangement. As a result of this strategy the licence cancellation is suspended, even if the payment is only of a minimal amount.  &#10;&#10;There are also other options for consumers to ‘pay off their debts’ including seeking help for underlying problems. Consumers are given credits for seeing a financial counsellor, mental health worker or staff in other rehabilitation programs. &#10;"/>
      </w:tblPr>
      <w:tblGrid>
        <w:gridCol w:w="9242"/>
      </w:tblGrid>
      <w:tr w:rsidR="0083551B" w14:paraId="0AA95BCA" w14:textId="77777777" w:rsidTr="007817BF">
        <w:tc>
          <w:tcPr>
            <w:tcW w:w="5000" w:type="pct"/>
          </w:tcPr>
          <w:p w14:paraId="5BAF9408" w14:textId="3D613DA3" w:rsidR="0083551B" w:rsidRPr="007817BF" w:rsidRDefault="00262ABF" w:rsidP="007817BF">
            <w:pPr>
              <w:pStyle w:val="Heading4"/>
              <w:outlineLvl w:val="3"/>
            </w:pPr>
            <w:r w:rsidRPr="004C771B">
              <w:lastRenderedPageBreak/>
              <w:t>Innovat</w:t>
            </w:r>
            <w:r w:rsidR="00291B4F" w:rsidRPr="004C771B">
              <w:t>ive payment a</w:t>
            </w:r>
            <w:r w:rsidRPr="004C771B">
              <w:t>rrangements</w:t>
            </w:r>
          </w:p>
          <w:p w14:paraId="79CEE4AC" w14:textId="5A5EF723" w:rsidR="00CB7494" w:rsidRPr="004C771B" w:rsidRDefault="00413E95" w:rsidP="002E1A9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r w:rsidRPr="004C771B">
              <w:rPr>
                <w:rFonts w:asciiTheme="minorHAnsi" w:eastAsiaTheme="minorHAnsi" w:hAnsiTheme="minorHAnsi" w:cstheme="minorBidi"/>
                <w:color w:val="auto"/>
                <w:sz w:val="22"/>
                <w:szCs w:val="22"/>
                <w:lang w:val="en-AU" w:eastAsia="en-US"/>
              </w:rPr>
              <w:t>In</w:t>
            </w:r>
            <w:r w:rsidR="002E1A96" w:rsidRPr="004C771B">
              <w:rPr>
                <w:rFonts w:asciiTheme="minorHAnsi" w:eastAsiaTheme="minorHAnsi" w:hAnsiTheme="minorHAnsi" w:cstheme="minorBidi"/>
                <w:color w:val="auto"/>
                <w:sz w:val="22"/>
                <w:szCs w:val="22"/>
                <w:lang w:val="en-AU" w:eastAsia="en-US"/>
              </w:rPr>
              <w:t xml:space="preserve"> NSW</w:t>
            </w:r>
            <w:r w:rsidRPr="004C771B">
              <w:rPr>
                <w:rFonts w:asciiTheme="minorHAnsi" w:eastAsiaTheme="minorHAnsi" w:hAnsiTheme="minorHAnsi" w:cstheme="minorBidi"/>
                <w:color w:val="auto"/>
                <w:sz w:val="22"/>
                <w:szCs w:val="22"/>
                <w:lang w:val="en-AU" w:eastAsia="en-US"/>
              </w:rPr>
              <w:t xml:space="preserve">, the </w:t>
            </w:r>
            <w:r w:rsidR="002E1A96" w:rsidRPr="004C771B">
              <w:rPr>
                <w:rFonts w:asciiTheme="minorHAnsi" w:eastAsiaTheme="minorHAnsi" w:hAnsiTheme="minorHAnsi" w:cstheme="minorBidi"/>
                <w:color w:val="auto"/>
                <w:sz w:val="22"/>
                <w:szCs w:val="22"/>
                <w:lang w:val="en-AU" w:eastAsia="en-US"/>
              </w:rPr>
              <w:t xml:space="preserve">State Debt Recovery </w:t>
            </w:r>
            <w:r w:rsidRPr="004C771B">
              <w:rPr>
                <w:rFonts w:asciiTheme="minorHAnsi" w:eastAsiaTheme="minorHAnsi" w:hAnsiTheme="minorHAnsi" w:cstheme="minorBidi"/>
                <w:color w:val="auto"/>
                <w:sz w:val="22"/>
                <w:szCs w:val="22"/>
                <w:lang w:val="en-AU" w:eastAsia="en-US"/>
              </w:rPr>
              <w:t>Office</w:t>
            </w:r>
            <w:r w:rsidR="002E1A96" w:rsidRPr="004C771B">
              <w:rPr>
                <w:rFonts w:asciiTheme="minorHAnsi" w:eastAsiaTheme="minorHAnsi" w:hAnsiTheme="minorHAnsi" w:cstheme="minorBidi"/>
                <w:color w:val="auto"/>
                <w:sz w:val="22"/>
                <w:szCs w:val="22"/>
                <w:lang w:val="en-AU" w:eastAsia="en-US"/>
              </w:rPr>
              <w:t xml:space="preserve"> </w:t>
            </w:r>
            <w:r w:rsidRPr="004C771B">
              <w:rPr>
                <w:rFonts w:asciiTheme="minorHAnsi" w:eastAsiaTheme="minorHAnsi" w:hAnsiTheme="minorHAnsi" w:cstheme="minorBidi"/>
                <w:color w:val="auto"/>
                <w:sz w:val="22"/>
                <w:szCs w:val="22"/>
                <w:lang w:val="en-AU" w:eastAsia="en-US"/>
              </w:rPr>
              <w:t xml:space="preserve">calls </w:t>
            </w:r>
            <w:r w:rsidR="002E1A96" w:rsidRPr="004C771B">
              <w:rPr>
                <w:rFonts w:asciiTheme="minorHAnsi" w:eastAsiaTheme="minorHAnsi" w:hAnsiTheme="minorHAnsi" w:cstheme="minorBidi"/>
                <w:color w:val="auto"/>
                <w:sz w:val="22"/>
                <w:szCs w:val="22"/>
                <w:lang w:val="en-AU" w:eastAsia="en-US"/>
              </w:rPr>
              <w:t>consumers w</w:t>
            </w:r>
            <w:r w:rsidRPr="004C771B">
              <w:rPr>
                <w:rFonts w:asciiTheme="minorHAnsi" w:eastAsiaTheme="minorHAnsi" w:hAnsiTheme="minorHAnsi" w:cstheme="minorBidi"/>
                <w:color w:val="auto"/>
                <w:sz w:val="22"/>
                <w:szCs w:val="22"/>
                <w:lang w:val="en-AU" w:eastAsia="en-US"/>
              </w:rPr>
              <w:t xml:space="preserve">ho are about to have their </w:t>
            </w:r>
            <w:r w:rsidR="003D09C3" w:rsidRPr="004C771B">
              <w:rPr>
                <w:rFonts w:asciiTheme="minorHAnsi" w:eastAsiaTheme="minorHAnsi" w:hAnsiTheme="minorHAnsi" w:cstheme="minorBidi"/>
                <w:color w:val="auto"/>
                <w:sz w:val="22"/>
                <w:szCs w:val="22"/>
                <w:lang w:val="en-AU" w:eastAsia="en-US"/>
              </w:rPr>
              <w:t xml:space="preserve">drivers </w:t>
            </w:r>
            <w:r w:rsidRPr="004C771B">
              <w:rPr>
                <w:rFonts w:asciiTheme="minorHAnsi" w:eastAsiaTheme="minorHAnsi" w:hAnsiTheme="minorHAnsi" w:cstheme="minorBidi"/>
                <w:color w:val="auto"/>
                <w:sz w:val="22"/>
                <w:szCs w:val="22"/>
                <w:lang w:val="en-AU" w:eastAsia="en-US"/>
              </w:rPr>
              <w:t>licenc</w:t>
            </w:r>
            <w:r w:rsidR="002E1A96" w:rsidRPr="004C771B">
              <w:rPr>
                <w:rFonts w:asciiTheme="minorHAnsi" w:eastAsiaTheme="minorHAnsi" w:hAnsiTheme="minorHAnsi" w:cstheme="minorBidi"/>
                <w:color w:val="auto"/>
                <w:sz w:val="22"/>
                <w:szCs w:val="22"/>
                <w:lang w:val="en-AU" w:eastAsia="en-US"/>
              </w:rPr>
              <w:t>e</w:t>
            </w:r>
            <w:r w:rsidRPr="004C771B">
              <w:rPr>
                <w:rFonts w:asciiTheme="minorHAnsi" w:eastAsiaTheme="minorHAnsi" w:hAnsiTheme="minorHAnsi" w:cstheme="minorBidi"/>
                <w:color w:val="auto"/>
                <w:sz w:val="22"/>
                <w:szCs w:val="22"/>
                <w:lang w:val="en-AU" w:eastAsia="en-US"/>
              </w:rPr>
              <w:t>s</w:t>
            </w:r>
            <w:r w:rsidR="002E1A96" w:rsidRPr="004C771B">
              <w:rPr>
                <w:rFonts w:asciiTheme="minorHAnsi" w:eastAsiaTheme="minorHAnsi" w:hAnsiTheme="minorHAnsi" w:cstheme="minorBidi"/>
                <w:color w:val="auto"/>
                <w:sz w:val="22"/>
                <w:szCs w:val="22"/>
                <w:lang w:val="en-AU" w:eastAsia="en-US"/>
              </w:rPr>
              <w:t xml:space="preserve"> cancelled</w:t>
            </w:r>
            <w:r w:rsidRPr="004C771B">
              <w:rPr>
                <w:rFonts w:asciiTheme="minorHAnsi" w:eastAsiaTheme="minorHAnsi" w:hAnsiTheme="minorHAnsi" w:cstheme="minorBidi"/>
                <w:color w:val="auto"/>
                <w:sz w:val="22"/>
                <w:szCs w:val="22"/>
                <w:lang w:val="en-AU" w:eastAsia="en-US"/>
              </w:rPr>
              <w:t xml:space="preserve"> </w:t>
            </w:r>
            <w:r w:rsidR="003D09C3" w:rsidRPr="004C771B">
              <w:rPr>
                <w:rFonts w:asciiTheme="minorHAnsi" w:eastAsiaTheme="minorHAnsi" w:hAnsiTheme="minorHAnsi" w:cstheme="minorBidi"/>
                <w:color w:val="auto"/>
                <w:sz w:val="22"/>
                <w:szCs w:val="22"/>
                <w:lang w:val="en-AU" w:eastAsia="en-US"/>
              </w:rPr>
              <w:t>due to outstanding</w:t>
            </w:r>
            <w:r w:rsidRPr="004C771B">
              <w:rPr>
                <w:rFonts w:asciiTheme="minorHAnsi" w:eastAsiaTheme="minorHAnsi" w:hAnsiTheme="minorHAnsi" w:cstheme="minorBidi"/>
                <w:color w:val="auto"/>
                <w:sz w:val="22"/>
                <w:szCs w:val="22"/>
                <w:lang w:val="en-AU" w:eastAsia="en-US"/>
              </w:rPr>
              <w:t xml:space="preserve"> fines</w:t>
            </w:r>
            <w:r w:rsidR="002E1A96" w:rsidRPr="004C771B">
              <w:rPr>
                <w:rFonts w:asciiTheme="minorHAnsi" w:eastAsiaTheme="minorHAnsi" w:hAnsiTheme="minorHAnsi" w:cstheme="minorBidi"/>
                <w:color w:val="auto"/>
                <w:sz w:val="22"/>
                <w:szCs w:val="22"/>
                <w:lang w:val="en-AU" w:eastAsia="en-US"/>
              </w:rPr>
              <w:t xml:space="preserve">. </w:t>
            </w:r>
            <w:r w:rsidRPr="004C771B">
              <w:rPr>
                <w:rFonts w:asciiTheme="minorHAnsi" w:eastAsiaTheme="minorHAnsi" w:hAnsiTheme="minorHAnsi" w:cstheme="minorBidi"/>
                <w:color w:val="auto"/>
                <w:sz w:val="22"/>
                <w:szCs w:val="22"/>
                <w:lang w:val="en-AU" w:eastAsia="en-US"/>
              </w:rPr>
              <w:t xml:space="preserve">Consumers are asked to </w:t>
            </w:r>
            <w:r w:rsidR="002E1A96" w:rsidRPr="004C771B">
              <w:rPr>
                <w:rFonts w:asciiTheme="minorHAnsi" w:eastAsiaTheme="minorHAnsi" w:hAnsiTheme="minorHAnsi" w:cstheme="minorBidi"/>
                <w:color w:val="auto"/>
                <w:sz w:val="22"/>
                <w:szCs w:val="22"/>
                <w:lang w:val="en-AU" w:eastAsia="en-US"/>
              </w:rPr>
              <w:t xml:space="preserve">identify an affordable </w:t>
            </w:r>
            <w:r w:rsidR="00CB7494" w:rsidRPr="004C771B">
              <w:rPr>
                <w:rFonts w:asciiTheme="minorHAnsi" w:eastAsiaTheme="minorHAnsi" w:hAnsiTheme="minorHAnsi" w:cstheme="minorBidi"/>
                <w:color w:val="auto"/>
                <w:sz w:val="22"/>
                <w:szCs w:val="22"/>
                <w:lang w:val="en-AU" w:eastAsia="en-US"/>
              </w:rPr>
              <w:t xml:space="preserve">payment arrangement. </w:t>
            </w:r>
            <w:r w:rsidR="003D09C3" w:rsidRPr="004C771B">
              <w:rPr>
                <w:rFonts w:asciiTheme="minorHAnsi" w:eastAsiaTheme="minorHAnsi" w:hAnsiTheme="minorHAnsi" w:cstheme="minorBidi"/>
                <w:color w:val="auto"/>
                <w:sz w:val="22"/>
                <w:szCs w:val="22"/>
                <w:lang w:val="en-AU" w:eastAsia="en-US"/>
              </w:rPr>
              <w:t>As a result of this strategy t</w:t>
            </w:r>
            <w:r w:rsidR="00CB7494" w:rsidRPr="004C771B">
              <w:rPr>
                <w:rFonts w:asciiTheme="minorHAnsi" w:eastAsiaTheme="minorHAnsi" w:hAnsiTheme="minorHAnsi" w:cstheme="minorBidi"/>
                <w:color w:val="auto"/>
                <w:sz w:val="22"/>
                <w:szCs w:val="22"/>
                <w:lang w:val="en-AU" w:eastAsia="en-US"/>
              </w:rPr>
              <w:t xml:space="preserve">he licence cancellation is suspended, even if the payment is only of a minimal amount. </w:t>
            </w:r>
            <w:r w:rsidR="002E1A96" w:rsidRPr="004C771B">
              <w:rPr>
                <w:rFonts w:asciiTheme="minorHAnsi" w:eastAsiaTheme="minorHAnsi" w:hAnsiTheme="minorHAnsi" w:cstheme="minorBidi"/>
                <w:color w:val="auto"/>
                <w:sz w:val="22"/>
                <w:szCs w:val="22"/>
                <w:lang w:val="en-AU" w:eastAsia="en-US"/>
              </w:rPr>
              <w:t xml:space="preserve"> </w:t>
            </w:r>
          </w:p>
          <w:p w14:paraId="11279EA9" w14:textId="77777777" w:rsidR="00CB7494" w:rsidRPr="004C771B" w:rsidRDefault="00CB7494" w:rsidP="002E1A9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p>
          <w:p w14:paraId="37FE7CC2" w14:textId="18130166" w:rsidR="002E1A96" w:rsidRPr="004C771B" w:rsidRDefault="00CB7494" w:rsidP="002E1A9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r w:rsidRPr="004C771B">
              <w:rPr>
                <w:rFonts w:asciiTheme="minorHAnsi" w:eastAsiaTheme="minorHAnsi" w:hAnsiTheme="minorHAnsi" w:cstheme="minorBidi"/>
                <w:color w:val="auto"/>
                <w:sz w:val="22"/>
                <w:szCs w:val="22"/>
                <w:lang w:val="en-AU" w:eastAsia="en-US"/>
              </w:rPr>
              <w:t xml:space="preserve">There are also other options for consumers to </w:t>
            </w:r>
            <w:r w:rsidR="00DA0C85" w:rsidRPr="004C771B">
              <w:rPr>
                <w:rFonts w:asciiTheme="minorHAnsi" w:eastAsiaTheme="minorHAnsi" w:hAnsiTheme="minorHAnsi" w:cstheme="minorBidi"/>
                <w:color w:val="auto"/>
                <w:sz w:val="22"/>
                <w:szCs w:val="22"/>
                <w:lang w:val="en-AU" w:eastAsia="en-US"/>
              </w:rPr>
              <w:t>‘</w:t>
            </w:r>
            <w:r w:rsidRPr="004C771B">
              <w:rPr>
                <w:rFonts w:asciiTheme="minorHAnsi" w:eastAsiaTheme="minorHAnsi" w:hAnsiTheme="minorHAnsi" w:cstheme="minorBidi"/>
                <w:color w:val="auto"/>
                <w:sz w:val="22"/>
                <w:szCs w:val="22"/>
                <w:lang w:val="en-AU" w:eastAsia="en-US"/>
              </w:rPr>
              <w:t>pay off their debts</w:t>
            </w:r>
            <w:r w:rsidR="00DA0C85" w:rsidRPr="004C771B">
              <w:rPr>
                <w:rFonts w:asciiTheme="minorHAnsi" w:eastAsiaTheme="minorHAnsi" w:hAnsiTheme="minorHAnsi" w:cstheme="minorBidi"/>
                <w:color w:val="auto"/>
                <w:sz w:val="22"/>
                <w:szCs w:val="22"/>
                <w:lang w:val="en-AU" w:eastAsia="en-US"/>
              </w:rPr>
              <w:t>’</w:t>
            </w:r>
            <w:r w:rsidR="002E1A96" w:rsidRPr="004C771B">
              <w:rPr>
                <w:rFonts w:asciiTheme="minorHAnsi" w:eastAsiaTheme="minorHAnsi" w:hAnsiTheme="minorHAnsi" w:cstheme="minorBidi"/>
                <w:color w:val="auto"/>
                <w:sz w:val="22"/>
                <w:szCs w:val="22"/>
                <w:lang w:val="en-AU" w:eastAsia="en-US"/>
              </w:rPr>
              <w:t xml:space="preserve"> including </w:t>
            </w:r>
            <w:r w:rsidRPr="004C771B">
              <w:rPr>
                <w:rFonts w:asciiTheme="minorHAnsi" w:eastAsiaTheme="minorHAnsi" w:hAnsiTheme="minorHAnsi" w:cstheme="minorBidi"/>
                <w:color w:val="auto"/>
                <w:sz w:val="22"/>
                <w:szCs w:val="22"/>
                <w:lang w:val="en-AU" w:eastAsia="en-US"/>
              </w:rPr>
              <w:t>seeking</w:t>
            </w:r>
            <w:r w:rsidR="002E1A96" w:rsidRPr="004C771B">
              <w:rPr>
                <w:rFonts w:asciiTheme="minorHAnsi" w:eastAsiaTheme="minorHAnsi" w:hAnsiTheme="minorHAnsi" w:cstheme="minorBidi"/>
                <w:color w:val="auto"/>
                <w:sz w:val="22"/>
                <w:szCs w:val="22"/>
                <w:lang w:val="en-AU" w:eastAsia="en-US"/>
              </w:rPr>
              <w:t xml:space="preserve"> help for underlying problems. </w:t>
            </w:r>
            <w:r w:rsidRPr="004C771B">
              <w:rPr>
                <w:rFonts w:asciiTheme="minorHAnsi" w:eastAsiaTheme="minorHAnsi" w:hAnsiTheme="minorHAnsi" w:cstheme="minorBidi"/>
                <w:color w:val="auto"/>
                <w:sz w:val="22"/>
                <w:szCs w:val="22"/>
                <w:lang w:val="en-AU" w:eastAsia="en-US"/>
              </w:rPr>
              <w:t>Consumers are given</w:t>
            </w:r>
            <w:r w:rsidR="002E1A96" w:rsidRPr="004C771B">
              <w:rPr>
                <w:rFonts w:asciiTheme="minorHAnsi" w:eastAsiaTheme="minorHAnsi" w:hAnsiTheme="minorHAnsi" w:cstheme="minorBidi"/>
                <w:color w:val="auto"/>
                <w:sz w:val="22"/>
                <w:szCs w:val="22"/>
                <w:lang w:val="en-AU" w:eastAsia="en-US"/>
              </w:rPr>
              <w:t xml:space="preserve"> credits for seeing a financial co</w:t>
            </w:r>
            <w:r w:rsidRPr="004C771B">
              <w:rPr>
                <w:rFonts w:asciiTheme="minorHAnsi" w:eastAsiaTheme="minorHAnsi" w:hAnsiTheme="minorHAnsi" w:cstheme="minorBidi"/>
                <w:color w:val="auto"/>
                <w:sz w:val="22"/>
                <w:szCs w:val="22"/>
                <w:lang w:val="en-AU" w:eastAsia="en-US"/>
              </w:rPr>
              <w:t xml:space="preserve">unsellor, mental health worker or staff in </w:t>
            </w:r>
            <w:r w:rsidR="002E1A96" w:rsidRPr="004C771B">
              <w:rPr>
                <w:rFonts w:asciiTheme="minorHAnsi" w:eastAsiaTheme="minorHAnsi" w:hAnsiTheme="minorHAnsi" w:cstheme="minorBidi"/>
                <w:color w:val="auto"/>
                <w:sz w:val="22"/>
                <w:szCs w:val="22"/>
                <w:lang w:val="en-AU" w:eastAsia="en-US"/>
              </w:rPr>
              <w:t xml:space="preserve">other rehabilitation programs. </w:t>
            </w:r>
          </w:p>
          <w:p w14:paraId="3904DD44" w14:textId="77777777" w:rsidR="0083551B" w:rsidRDefault="0083551B">
            <w:pPr>
              <w:rPr>
                <w:rFonts w:ascii="Arial" w:eastAsia="Arial Unicode MS" w:hAnsi="Arial" w:cs="Times New Roman"/>
                <w:b/>
                <w:bCs/>
                <w:color w:val="42865E"/>
                <w:sz w:val="24"/>
                <w:szCs w:val="20"/>
              </w:rPr>
            </w:pPr>
          </w:p>
        </w:tc>
      </w:tr>
    </w:tbl>
    <w:p w14:paraId="1E32FEF2" w14:textId="77777777" w:rsidR="000922E9" w:rsidRDefault="000922E9">
      <w:pPr>
        <w:rPr>
          <w:rFonts w:ascii="Arial" w:eastAsia="Arial Unicode MS" w:hAnsi="Arial" w:cs="Times New Roman"/>
          <w:b/>
          <w:bCs/>
          <w:color w:val="42865E"/>
          <w:sz w:val="24"/>
          <w:szCs w:val="20"/>
        </w:rPr>
      </w:pPr>
    </w:p>
    <w:tbl>
      <w:tblPr>
        <w:tblStyle w:val="TableGrid"/>
        <w:tblW w:w="5000" w:type="pct"/>
        <w:tblLook w:val="04A0" w:firstRow="1" w:lastRow="0" w:firstColumn="1" w:lastColumn="0" w:noHBand="0" w:noVBand="1"/>
        <w:tblDescription w:val="Industry forums&#10;Some sectors are beginning to organise regular meetings to discuss hardship practices. These appear to work best when they are relatively informal and are non-competitive. &#10;"/>
      </w:tblPr>
      <w:tblGrid>
        <w:gridCol w:w="9242"/>
      </w:tblGrid>
      <w:tr w:rsidR="00247B6F" w14:paraId="585EB1CF" w14:textId="77777777" w:rsidTr="007817BF">
        <w:tc>
          <w:tcPr>
            <w:tcW w:w="5000" w:type="pct"/>
          </w:tcPr>
          <w:p w14:paraId="1F1BEB9F" w14:textId="7DEAFA83" w:rsidR="00247B6F" w:rsidRPr="007817BF" w:rsidRDefault="008A6307" w:rsidP="007817BF">
            <w:pPr>
              <w:pStyle w:val="Heading4"/>
              <w:outlineLvl w:val="3"/>
            </w:pPr>
            <w:r>
              <w:t>Industry f</w:t>
            </w:r>
            <w:r w:rsidR="00247B6F" w:rsidRPr="004C771B">
              <w:t>orums</w:t>
            </w:r>
          </w:p>
          <w:p w14:paraId="0D2AFAC5" w14:textId="77777777" w:rsidR="00247B6F" w:rsidRPr="004C771B" w:rsidRDefault="00247B6F" w:rsidP="00247B6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heme="minorHAnsi" w:hAnsiTheme="minorHAnsi" w:cstheme="minorBidi"/>
                <w:color w:val="auto"/>
                <w:sz w:val="22"/>
                <w:szCs w:val="22"/>
                <w:lang w:val="en-AU" w:eastAsia="en-US"/>
              </w:rPr>
            </w:pPr>
            <w:r w:rsidRPr="004C771B">
              <w:rPr>
                <w:rFonts w:asciiTheme="minorHAnsi" w:eastAsiaTheme="minorHAnsi" w:hAnsiTheme="minorHAnsi" w:cstheme="minorBidi"/>
                <w:color w:val="auto"/>
                <w:sz w:val="22"/>
                <w:szCs w:val="22"/>
                <w:lang w:val="en-AU" w:eastAsia="en-US"/>
              </w:rPr>
              <w:t>Some sectors are beginning to organise regular meetings to discuss hardship practices. These appear to work best when they are relatively informal</w:t>
            </w:r>
            <w:r w:rsidR="005162CE" w:rsidRPr="004C771B">
              <w:rPr>
                <w:rFonts w:asciiTheme="minorHAnsi" w:eastAsiaTheme="minorHAnsi" w:hAnsiTheme="minorHAnsi" w:cstheme="minorBidi"/>
                <w:color w:val="auto"/>
                <w:sz w:val="22"/>
                <w:szCs w:val="22"/>
                <w:lang w:val="en-AU" w:eastAsia="en-US"/>
              </w:rPr>
              <w:t xml:space="preserve"> and are non-competitive. </w:t>
            </w:r>
          </w:p>
          <w:p w14:paraId="44E32066" w14:textId="77777777" w:rsidR="00247B6F" w:rsidRDefault="00247B6F">
            <w:pPr>
              <w:rPr>
                <w:rFonts w:ascii="Arial" w:eastAsia="Arial Unicode MS" w:hAnsi="Arial" w:cs="Times New Roman"/>
                <w:b/>
                <w:bCs/>
                <w:color w:val="42865E"/>
                <w:sz w:val="24"/>
                <w:szCs w:val="20"/>
              </w:rPr>
            </w:pPr>
          </w:p>
        </w:tc>
      </w:tr>
    </w:tbl>
    <w:p w14:paraId="43D83A5A" w14:textId="77777777" w:rsidR="001F562A" w:rsidRDefault="001F562A" w:rsidP="00027BC3">
      <w:pPr>
        <w:pStyle w:val="Heading11"/>
      </w:pPr>
      <w:bookmarkStart w:id="66" w:name="_Toc370048398"/>
      <w:bookmarkStart w:id="67" w:name="_Toc370047453"/>
    </w:p>
    <w:p w14:paraId="5943549A" w14:textId="77777777" w:rsidR="00A12BFE" w:rsidRDefault="00A12BFE">
      <w:pPr>
        <w:rPr>
          <w:rFonts w:eastAsia="Times New Roman" w:cs="Times New Roman"/>
          <w:b/>
          <w:bCs/>
          <w:caps/>
          <w:color w:val="265176"/>
          <w:kern w:val="32"/>
          <w:sz w:val="28"/>
          <w:szCs w:val="28"/>
          <w:lang w:val="en-US"/>
        </w:rPr>
      </w:pPr>
      <w:r>
        <w:rPr>
          <w:rFonts w:eastAsia="Times New Roman"/>
          <w:bCs/>
          <w:caps/>
          <w:color w:val="265176"/>
          <w:kern w:val="32"/>
          <w:sz w:val="28"/>
          <w:szCs w:val="28"/>
        </w:rPr>
        <w:br w:type="page"/>
      </w:r>
    </w:p>
    <w:p w14:paraId="45FBBE86" w14:textId="54F464DD" w:rsidR="001B6369" w:rsidRDefault="001A1DE7" w:rsidP="00027BC3">
      <w:pPr>
        <w:pStyle w:val="Heading11"/>
      </w:pPr>
      <w:bookmarkStart w:id="68" w:name="_Toc387144774"/>
      <w:r>
        <w:lastRenderedPageBreak/>
        <w:t>Section</w:t>
      </w:r>
      <w:r w:rsidR="001B6369" w:rsidRPr="001B6369">
        <w:t xml:space="preserve"> </w:t>
      </w:r>
      <w:r w:rsidR="00C30F8F">
        <w:t>4</w:t>
      </w:r>
      <w:r w:rsidR="001B6369" w:rsidRPr="001B6369">
        <w:t xml:space="preserve"> – </w:t>
      </w:r>
      <w:r w:rsidR="00B07147">
        <w:t>com</w:t>
      </w:r>
      <w:r w:rsidR="007817BF">
        <w:t>P</w:t>
      </w:r>
      <w:r w:rsidR="00B07147">
        <w:t>aring</w:t>
      </w:r>
      <w:r w:rsidR="00A66E40">
        <w:t xml:space="preserve"> hardship</w:t>
      </w:r>
      <w:r w:rsidR="00BE06CF">
        <w:t xml:space="preserve"> PRACTICES</w:t>
      </w:r>
      <w:bookmarkEnd w:id="66"/>
      <w:bookmarkEnd w:id="68"/>
    </w:p>
    <w:p w14:paraId="65C8F857" w14:textId="59A23067" w:rsidR="002A7652" w:rsidRPr="00BF36A4" w:rsidRDefault="001A1DE7" w:rsidP="007817BF">
      <w:pPr>
        <w:pStyle w:val="Heading1"/>
        <w:keepNext w:val="0"/>
        <w:pageBreakBefore w:val="0"/>
        <w:widowControl w:val="0"/>
        <w:rPr>
          <w:lang w:val="en-US" w:eastAsia="ja-JP"/>
        </w:rPr>
      </w:pPr>
      <w:bookmarkStart w:id="69" w:name="_Toc387144775"/>
      <w:r>
        <w:rPr>
          <w:lang w:val="en-US" w:eastAsia="ja-JP"/>
        </w:rPr>
        <w:t>4.</w:t>
      </w:r>
      <w:r w:rsidR="007817BF">
        <w:rPr>
          <w:lang w:val="en-US" w:eastAsia="ja-JP"/>
        </w:rPr>
        <w:t xml:space="preserve">1 </w:t>
      </w:r>
      <w:r w:rsidR="008A6307">
        <w:rPr>
          <w:lang w:val="en-US" w:eastAsia="ja-JP"/>
        </w:rPr>
        <w:t>Telco focus g</w:t>
      </w:r>
      <w:r w:rsidR="00DE3DD9" w:rsidRPr="00BF36A4">
        <w:rPr>
          <w:lang w:val="en-US" w:eastAsia="ja-JP"/>
        </w:rPr>
        <w:t>roups</w:t>
      </w:r>
      <w:bookmarkEnd w:id="69"/>
      <w:r w:rsidR="00DE3DD9" w:rsidRPr="00BF36A4">
        <w:rPr>
          <w:lang w:val="en-US" w:eastAsia="ja-JP"/>
        </w:rPr>
        <w:t xml:space="preserve"> </w:t>
      </w:r>
    </w:p>
    <w:p w14:paraId="1D64D2BA" w14:textId="5F7CCF76" w:rsidR="00D902B1" w:rsidRDefault="001A1DE7" w:rsidP="007817BF">
      <w:pPr>
        <w:pStyle w:val="Heading2"/>
      </w:pPr>
      <w:bookmarkStart w:id="70" w:name="_Toc387144776"/>
      <w:r>
        <w:t>4.</w:t>
      </w:r>
      <w:r w:rsidR="00DC7175">
        <w:t>1.1</w:t>
      </w:r>
      <w:r w:rsidR="00DC7175">
        <w:tab/>
      </w:r>
      <w:r w:rsidR="007817BF">
        <w:t xml:space="preserve"> </w:t>
      </w:r>
      <w:r w:rsidR="00802FBD">
        <w:t>Introduction</w:t>
      </w:r>
      <w:bookmarkEnd w:id="70"/>
      <w:r w:rsidR="007817BF">
        <w:t xml:space="preserve"> </w:t>
      </w:r>
    </w:p>
    <w:p w14:paraId="30F05A1A" w14:textId="7351BE2B" w:rsidR="00802FBD" w:rsidRPr="007817BF" w:rsidRDefault="00A813F0" w:rsidP="0097482E">
      <w:r w:rsidRPr="004C771B">
        <w:t xml:space="preserve">As </w:t>
      </w:r>
      <w:r w:rsidR="001F53CC">
        <w:t>outlined</w:t>
      </w:r>
      <w:r w:rsidRPr="004C771B">
        <w:t xml:space="preserve"> in the methodology, the research </w:t>
      </w:r>
      <w:r w:rsidR="001F53CC">
        <w:t xml:space="preserve">study </w:t>
      </w:r>
      <w:r w:rsidRPr="004C771B">
        <w:t xml:space="preserve">included three focus groups </w:t>
      </w:r>
      <w:r w:rsidR="001F53CC">
        <w:t xml:space="preserve">conducted </w:t>
      </w:r>
      <w:r w:rsidRPr="004C771B">
        <w:t xml:space="preserve">with consumers who had difficulty in paying telco bills </w:t>
      </w:r>
      <w:r w:rsidR="00BF14B9" w:rsidRPr="004C771B">
        <w:t>and had attempted to work through their issues with the telco.</w:t>
      </w:r>
      <w:r w:rsidRPr="004C771B">
        <w:t xml:space="preserve"> </w:t>
      </w:r>
      <w:r w:rsidR="001F53CC">
        <w:t>The</w:t>
      </w:r>
      <w:r w:rsidR="003805D0" w:rsidRPr="004C771B">
        <w:t xml:space="preserve"> discussion </w:t>
      </w:r>
      <w:r w:rsidR="00D902B1" w:rsidRPr="004C771B">
        <w:t xml:space="preserve">in this paper has </w:t>
      </w:r>
      <w:r w:rsidR="001F53CC">
        <w:t>highlighted several</w:t>
      </w:r>
      <w:r w:rsidR="003805D0" w:rsidRPr="004C771B">
        <w:t xml:space="preserve"> </w:t>
      </w:r>
      <w:r w:rsidR="001F53CC">
        <w:t>key</w:t>
      </w:r>
      <w:r w:rsidR="003805D0" w:rsidRPr="004C771B">
        <w:t xml:space="preserve"> findings from the</w:t>
      </w:r>
      <w:r w:rsidR="00D902B1" w:rsidRPr="004C771B">
        <w:t>se</w:t>
      </w:r>
      <w:r w:rsidR="003805D0" w:rsidRPr="004C771B">
        <w:t xml:space="preserve"> focus groups. </w:t>
      </w:r>
      <w:r w:rsidR="00D902B1" w:rsidRPr="004C771B">
        <w:t xml:space="preserve">This section provides </w:t>
      </w:r>
      <w:r w:rsidR="00CA4D26" w:rsidRPr="004C771B">
        <w:t xml:space="preserve">a more </w:t>
      </w:r>
      <w:r w:rsidR="00F848BC" w:rsidRPr="004C771B">
        <w:t>in-depth</w:t>
      </w:r>
      <w:r w:rsidR="008F46AD" w:rsidRPr="004C771B">
        <w:t xml:space="preserve"> analysis </w:t>
      </w:r>
      <w:r w:rsidR="001F53E0" w:rsidRPr="004C771B">
        <w:t>of the focus group data</w:t>
      </w:r>
      <w:r w:rsidR="00CA4D26" w:rsidRPr="004C771B">
        <w:t xml:space="preserve"> </w:t>
      </w:r>
      <w:r w:rsidR="001F53CC">
        <w:t>and</w:t>
      </w:r>
      <w:r w:rsidR="003805D0" w:rsidRPr="004C771B">
        <w:t xml:space="preserve"> is directly relevant to </w:t>
      </w:r>
      <w:r w:rsidR="00A075AD" w:rsidRPr="004C771B">
        <w:t xml:space="preserve">the telecommunications industry. </w:t>
      </w:r>
      <w:r w:rsidR="00CA4D26" w:rsidRPr="004C771B">
        <w:t xml:space="preserve"> </w:t>
      </w:r>
    </w:p>
    <w:p w14:paraId="6D5A411C" w14:textId="75A2535D" w:rsidR="008F46AD" w:rsidRPr="00745723" w:rsidRDefault="00745723" w:rsidP="00745723">
      <w:pPr>
        <w:pStyle w:val="Heading2"/>
      </w:pPr>
      <w:bookmarkStart w:id="71" w:name="_Toc387144777"/>
      <w:r w:rsidRPr="00745723">
        <w:rPr>
          <w:b w:val="0"/>
          <w:iCs w:val="0"/>
        </w:rPr>
        <w:t>4.</w:t>
      </w:r>
      <w:r>
        <w:t>1.2</w:t>
      </w:r>
      <w:r>
        <w:tab/>
        <w:t xml:space="preserve"> </w:t>
      </w:r>
      <w:r w:rsidR="001F53CC">
        <w:t xml:space="preserve">Main </w:t>
      </w:r>
      <w:r w:rsidR="008A6307">
        <w:t>f</w:t>
      </w:r>
      <w:r w:rsidR="00802FBD">
        <w:t>inding</w:t>
      </w:r>
      <w:r w:rsidR="008A6307">
        <w:t>: Please help u</w:t>
      </w:r>
      <w:r w:rsidR="00A12BFE">
        <w:t>s</w:t>
      </w:r>
      <w:bookmarkEnd w:id="71"/>
    </w:p>
    <w:p w14:paraId="777B8BD4" w14:textId="586AFF2D" w:rsidR="004042D6" w:rsidRPr="00671856" w:rsidRDefault="00802FBD" w:rsidP="004C771B">
      <w:r w:rsidRPr="004C771B">
        <w:t xml:space="preserve">The </w:t>
      </w:r>
      <w:r w:rsidR="001F53CC">
        <w:t>take home message from</w:t>
      </w:r>
      <w:r w:rsidR="00042ED2" w:rsidRPr="004C771B">
        <w:t xml:space="preserve"> the</w:t>
      </w:r>
      <w:r w:rsidRPr="004C771B">
        <w:t xml:space="preserve"> focus group</w:t>
      </w:r>
      <w:r w:rsidR="001F53CC">
        <w:t xml:space="preserve"> data</w:t>
      </w:r>
      <w:r w:rsidRPr="004C771B">
        <w:t xml:space="preserve"> </w:t>
      </w:r>
      <w:r w:rsidR="00042ED2" w:rsidRPr="004C771B">
        <w:t>is very simple</w:t>
      </w:r>
      <w:r w:rsidR="001F53CC">
        <w:t xml:space="preserve"> and can be summed up as</w:t>
      </w:r>
      <w:r w:rsidR="00671856">
        <w:t xml:space="preserve"> </w:t>
      </w:r>
      <w:r w:rsidR="001F53CC">
        <w:t xml:space="preserve">– </w:t>
      </w:r>
      <w:r w:rsidR="00DA0C85" w:rsidRPr="004C771B">
        <w:t>‘</w:t>
      </w:r>
      <w:r w:rsidRPr="004C771B">
        <w:t>please help us</w:t>
      </w:r>
      <w:r w:rsidR="00DA0C85" w:rsidRPr="004C771B">
        <w:t>’</w:t>
      </w:r>
      <w:r w:rsidRPr="004C771B">
        <w:t xml:space="preserve">. </w:t>
      </w:r>
      <w:r w:rsidR="001F53CC">
        <w:t>As an overwhelming theme,</w:t>
      </w:r>
      <w:r w:rsidR="001F53CC" w:rsidRPr="001F53CC">
        <w:t xml:space="preserve"> </w:t>
      </w:r>
      <w:r w:rsidR="001F53CC">
        <w:t>p</w:t>
      </w:r>
      <w:r w:rsidRPr="004C771B">
        <w:t xml:space="preserve">articipants found the experience of dealing with a telco about their debt </w:t>
      </w:r>
      <w:r w:rsidR="001F53CC">
        <w:t xml:space="preserve">both </w:t>
      </w:r>
      <w:r w:rsidR="00042ED2" w:rsidRPr="004C771B">
        <w:t>exhausting and stressful.</w:t>
      </w:r>
      <w:r w:rsidR="004042D6" w:rsidRPr="004C771B">
        <w:t xml:space="preserve"> The conversation below is from focus group 2 (low income group).</w:t>
      </w:r>
    </w:p>
    <w:p w14:paraId="5BA2F9BD" w14:textId="5B1C2B98" w:rsidR="00E3460E" w:rsidRPr="00671856" w:rsidRDefault="004042D6" w:rsidP="00671856">
      <w:pPr>
        <w:ind w:left="567"/>
        <w:rPr>
          <w:i/>
        </w:rPr>
      </w:pPr>
      <w:r w:rsidRPr="00671856">
        <w:rPr>
          <w:i/>
        </w:rPr>
        <w:t>S: I can’t sleep when I have something hanging over my head. It’s only when I’ve got a payment plan set in place that I can relax.</w:t>
      </w:r>
    </w:p>
    <w:p w14:paraId="257AEE3A" w14:textId="62C14D3E" w:rsidR="00E3460E" w:rsidRPr="00671856" w:rsidRDefault="004042D6" w:rsidP="00671856">
      <w:pPr>
        <w:ind w:left="567"/>
        <w:rPr>
          <w:i/>
        </w:rPr>
      </w:pPr>
      <w:r w:rsidRPr="00671856">
        <w:rPr>
          <w:i/>
        </w:rPr>
        <w:t>E: I just like taking action, getting a payment plan, then I feel a little more ok but it still hangs over your head.</w:t>
      </w:r>
    </w:p>
    <w:p w14:paraId="65B11CB4" w14:textId="2CBD3A5C" w:rsidR="00E3460E" w:rsidRPr="00671856" w:rsidRDefault="004042D6" w:rsidP="00671856">
      <w:pPr>
        <w:ind w:left="567"/>
        <w:rPr>
          <w:i/>
        </w:rPr>
      </w:pPr>
      <w:r w:rsidRPr="00671856">
        <w:rPr>
          <w:i/>
        </w:rPr>
        <w:t>L: I don’t think we reali</w:t>
      </w:r>
      <w:r w:rsidR="00D902B1" w:rsidRPr="00671856">
        <w:rPr>
          <w:i/>
        </w:rPr>
        <w:t>s</w:t>
      </w:r>
      <w:r w:rsidRPr="00671856">
        <w:rPr>
          <w:i/>
        </w:rPr>
        <w:t>e how much it affects us until someone helps us and then you feel a huge weight.</w:t>
      </w:r>
    </w:p>
    <w:p w14:paraId="61663769" w14:textId="02D35796" w:rsidR="00E3460E" w:rsidRPr="00671856" w:rsidRDefault="004042D6" w:rsidP="00671856">
      <w:pPr>
        <w:ind w:left="567"/>
        <w:rPr>
          <w:i/>
        </w:rPr>
      </w:pPr>
      <w:r w:rsidRPr="00671856">
        <w:rPr>
          <w:i/>
        </w:rPr>
        <w:t xml:space="preserve">E: You feel alone </w:t>
      </w:r>
      <w:r w:rsidR="001F53CC" w:rsidRPr="00671856">
        <w:rPr>
          <w:i/>
        </w:rPr>
        <w:t>–</w:t>
      </w:r>
      <w:r w:rsidRPr="00671856">
        <w:rPr>
          <w:i/>
        </w:rPr>
        <w:t xml:space="preserve"> people don’t like talking about finances.</w:t>
      </w:r>
    </w:p>
    <w:p w14:paraId="30297032" w14:textId="00D3B4E4" w:rsidR="00E3460E" w:rsidRPr="00671856" w:rsidRDefault="004042D6" w:rsidP="00671856">
      <w:pPr>
        <w:ind w:left="567"/>
        <w:rPr>
          <w:i/>
        </w:rPr>
      </w:pPr>
      <w:r w:rsidRPr="00671856">
        <w:rPr>
          <w:i/>
        </w:rPr>
        <w:t>L</w:t>
      </w:r>
      <w:r w:rsidR="002F2CE4" w:rsidRPr="00671856">
        <w:rPr>
          <w:i/>
        </w:rPr>
        <w:t>: Y</w:t>
      </w:r>
      <w:r w:rsidRPr="00671856">
        <w:rPr>
          <w:i/>
        </w:rPr>
        <w:t>es it</w:t>
      </w:r>
      <w:r w:rsidR="001F53CC" w:rsidRPr="00671856">
        <w:rPr>
          <w:i/>
        </w:rPr>
        <w:t>’</w:t>
      </w:r>
      <w:r w:rsidRPr="00671856">
        <w:rPr>
          <w:i/>
        </w:rPr>
        <w:t>s embarrassing.</w:t>
      </w:r>
    </w:p>
    <w:p w14:paraId="6E6963A7" w14:textId="532AABEB" w:rsidR="004042D6" w:rsidRPr="001A6CEF" w:rsidRDefault="004042D6" w:rsidP="001A6CEF">
      <w:pPr>
        <w:ind w:left="567"/>
        <w:rPr>
          <w:i/>
        </w:rPr>
      </w:pPr>
      <w:r w:rsidRPr="00671856">
        <w:rPr>
          <w:i/>
        </w:rPr>
        <w:t xml:space="preserve">S: I broke down to my mother for the first time and told her what was going on. People see you </w:t>
      </w:r>
      <w:r w:rsidR="002F2CE4" w:rsidRPr="00671856">
        <w:rPr>
          <w:i/>
        </w:rPr>
        <w:t xml:space="preserve">as </w:t>
      </w:r>
      <w:r w:rsidRPr="00671856">
        <w:rPr>
          <w:i/>
        </w:rPr>
        <w:t>reasonably high functioning and it’s not that you’re trying to hide anything – you’re trying to still cope in the real world, present yourself in a manner that doesn’t affect your self-esteem. It’s fear. I’ve got extremely high blood p</w:t>
      </w:r>
      <w:r w:rsidR="001A6CEF">
        <w:rPr>
          <w:i/>
        </w:rPr>
        <w:t xml:space="preserve">ressure now. I’m not sleeping. </w:t>
      </w:r>
    </w:p>
    <w:p w14:paraId="78B26604" w14:textId="5AA54BC6" w:rsidR="009A4A46" w:rsidRPr="001A6CEF" w:rsidRDefault="001A1DE7" w:rsidP="001A6CEF">
      <w:pPr>
        <w:pStyle w:val="Heading2"/>
      </w:pPr>
      <w:bookmarkStart w:id="72" w:name="_Toc387144778"/>
      <w:r>
        <w:t>4.</w:t>
      </w:r>
      <w:r w:rsidR="00DC7175">
        <w:t>1.3</w:t>
      </w:r>
      <w:r w:rsidR="00DC7175">
        <w:tab/>
      </w:r>
      <w:r w:rsidR="001A6CEF">
        <w:t xml:space="preserve"> </w:t>
      </w:r>
      <w:r w:rsidR="008A6307">
        <w:t>Hardship a</w:t>
      </w:r>
      <w:r w:rsidR="00042ED2">
        <w:t>rrangements</w:t>
      </w:r>
      <w:bookmarkEnd w:id="72"/>
      <w:r w:rsidR="001A6CEF">
        <w:t xml:space="preserve"> </w:t>
      </w:r>
    </w:p>
    <w:p w14:paraId="03A33272" w14:textId="54CF466D" w:rsidR="007E6C24" w:rsidRPr="004C771B" w:rsidRDefault="002F2CE4" w:rsidP="004C771B">
      <w:r w:rsidRPr="004C771B">
        <w:t>Many focus</w:t>
      </w:r>
      <w:r w:rsidR="00042ED2" w:rsidRPr="004C771B">
        <w:t xml:space="preserve"> group participants </w:t>
      </w:r>
      <w:r w:rsidRPr="004C771B">
        <w:t>found it difficult to negotiate</w:t>
      </w:r>
      <w:r w:rsidR="00DD3CB2" w:rsidRPr="004C771B">
        <w:t xml:space="preserve"> </w:t>
      </w:r>
      <w:r w:rsidR="001F53CC">
        <w:t xml:space="preserve">effective, </w:t>
      </w:r>
      <w:r w:rsidR="00DD3CB2" w:rsidRPr="004C771B">
        <w:t>affordable</w:t>
      </w:r>
      <w:r w:rsidR="00633389" w:rsidRPr="004C771B">
        <w:t xml:space="preserve"> repayment arrangement</w:t>
      </w:r>
      <w:r w:rsidR="00DD3CB2" w:rsidRPr="004C771B">
        <w:t>s</w:t>
      </w:r>
      <w:r w:rsidR="00633389" w:rsidRPr="004C771B">
        <w:t>.</w:t>
      </w:r>
    </w:p>
    <w:p w14:paraId="26D2EC4C" w14:textId="234830EE" w:rsidR="009909F6" w:rsidRPr="004C771B" w:rsidRDefault="00DA0C85" w:rsidP="004C771B">
      <w:pPr>
        <w:ind w:left="567"/>
        <w:rPr>
          <w:i/>
        </w:rPr>
      </w:pPr>
      <w:r w:rsidRPr="004C771B">
        <w:rPr>
          <w:i/>
        </w:rPr>
        <w:t>‘</w:t>
      </w:r>
      <w:r w:rsidR="009909F6" w:rsidRPr="004C771B">
        <w:rPr>
          <w:i/>
        </w:rPr>
        <w:t xml:space="preserve">I always ring and ask for an extension and they give you a </w:t>
      </w:r>
      <w:r w:rsidR="00BD7859" w:rsidRPr="004C771B">
        <w:rPr>
          <w:i/>
        </w:rPr>
        <w:t xml:space="preserve">three, four </w:t>
      </w:r>
      <w:r w:rsidR="009909F6" w:rsidRPr="004C771B">
        <w:rPr>
          <w:i/>
        </w:rPr>
        <w:t xml:space="preserve">week extension. But the system </w:t>
      </w:r>
      <w:r w:rsidR="00D902B1" w:rsidRPr="004C771B">
        <w:rPr>
          <w:i/>
        </w:rPr>
        <w:t xml:space="preserve">doesn't register the extension </w:t>
      </w:r>
      <w:r w:rsidR="009909F6" w:rsidRPr="004C771B">
        <w:rPr>
          <w:i/>
        </w:rPr>
        <w:t xml:space="preserve">... and they cut me off </w:t>
      </w:r>
      <w:r w:rsidR="00BD7859" w:rsidRPr="004C771B">
        <w:rPr>
          <w:i/>
        </w:rPr>
        <w:t>three</w:t>
      </w:r>
      <w:r w:rsidR="009909F6" w:rsidRPr="004C771B">
        <w:rPr>
          <w:i/>
        </w:rPr>
        <w:t xml:space="preserve"> times in t</w:t>
      </w:r>
      <w:r w:rsidR="00E3460E" w:rsidRPr="004C771B">
        <w:rPr>
          <w:i/>
        </w:rPr>
        <w:t xml:space="preserve">he </w:t>
      </w:r>
      <w:r w:rsidR="00BD7859" w:rsidRPr="004C771B">
        <w:rPr>
          <w:i/>
        </w:rPr>
        <w:t>four</w:t>
      </w:r>
      <w:r w:rsidR="00E3460E" w:rsidRPr="004C771B">
        <w:rPr>
          <w:i/>
        </w:rPr>
        <w:t xml:space="preserve"> week extension that I had.</w:t>
      </w:r>
      <w:r w:rsidRPr="004C771B">
        <w:rPr>
          <w:i/>
        </w:rPr>
        <w:t>’</w:t>
      </w:r>
    </w:p>
    <w:p w14:paraId="04BFF1E2" w14:textId="77777777" w:rsidR="009909F6" w:rsidRDefault="009909F6" w:rsidP="004C771B">
      <w:pPr>
        <w:ind w:left="567"/>
      </w:pPr>
      <w:r w:rsidRPr="004C771B">
        <w:t xml:space="preserve">Participant in focus group 1 </w:t>
      </w:r>
    </w:p>
    <w:p w14:paraId="46373C70" w14:textId="77777777" w:rsidR="00E75A5A" w:rsidRPr="004C771B" w:rsidRDefault="00E75A5A" w:rsidP="004C771B">
      <w:pPr>
        <w:ind w:left="567"/>
      </w:pPr>
    </w:p>
    <w:p w14:paraId="52AF2F83" w14:textId="4833335F" w:rsidR="009A4A46" w:rsidRPr="004C771B" w:rsidRDefault="00DA0C85" w:rsidP="004C771B">
      <w:pPr>
        <w:ind w:left="567"/>
        <w:rPr>
          <w:i/>
        </w:rPr>
      </w:pPr>
      <w:r w:rsidRPr="004C771B">
        <w:rPr>
          <w:i/>
        </w:rPr>
        <w:lastRenderedPageBreak/>
        <w:t>‘</w:t>
      </w:r>
      <w:r w:rsidR="009A4A46" w:rsidRPr="004C771B">
        <w:rPr>
          <w:i/>
        </w:rPr>
        <w:t>I said</w:t>
      </w:r>
      <w:r w:rsidR="00671856">
        <w:rPr>
          <w:i/>
        </w:rPr>
        <w:t>,</w:t>
      </w:r>
      <w:r w:rsidR="009A4A46" w:rsidRPr="004C771B">
        <w:rPr>
          <w:i/>
        </w:rPr>
        <w:t xml:space="preserve"> </w:t>
      </w:r>
      <w:r w:rsidR="001F53CC">
        <w:rPr>
          <w:i/>
        </w:rPr>
        <w:t>“</w:t>
      </w:r>
      <w:r w:rsidR="00671856">
        <w:rPr>
          <w:i/>
        </w:rPr>
        <w:t>A</w:t>
      </w:r>
      <w:r w:rsidR="009A4A46" w:rsidRPr="004C771B">
        <w:rPr>
          <w:i/>
        </w:rPr>
        <w:t>m I able to talk to</w:t>
      </w:r>
      <w:r w:rsidR="00C26DD1" w:rsidRPr="004C771B">
        <w:rPr>
          <w:i/>
        </w:rPr>
        <w:t xml:space="preserve"> </w:t>
      </w:r>
      <w:r w:rsidR="009A4A46" w:rsidRPr="004C771B">
        <w:rPr>
          <w:i/>
        </w:rPr>
        <w:t>someone in the hardship</w:t>
      </w:r>
      <w:r w:rsidR="00C26DD1" w:rsidRPr="004C771B">
        <w:rPr>
          <w:i/>
        </w:rPr>
        <w:t xml:space="preserve"> </w:t>
      </w:r>
      <w:r w:rsidR="009A4A46" w:rsidRPr="004C771B">
        <w:rPr>
          <w:i/>
        </w:rPr>
        <w:t>team?</w:t>
      </w:r>
      <w:r w:rsidR="001F53CC">
        <w:rPr>
          <w:i/>
        </w:rPr>
        <w:t>”</w:t>
      </w:r>
      <w:r w:rsidR="009A4A46" w:rsidRPr="004C771B">
        <w:rPr>
          <w:i/>
        </w:rPr>
        <w:t xml:space="preserve"> She said </w:t>
      </w:r>
      <w:r w:rsidR="001F53CC">
        <w:rPr>
          <w:i/>
        </w:rPr>
        <w:t>“</w:t>
      </w:r>
      <w:r w:rsidR="00671856">
        <w:rPr>
          <w:i/>
        </w:rPr>
        <w:t>N</w:t>
      </w:r>
      <w:r w:rsidR="009A4A46" w:rsidRPr="004C771B">
        <w:rPr>
          <w:i/>
        </w:rPr>
        <w:t>o</w:t>
      </w:r>
      <w:r w:rsidR="001F53CC">
        <w:rPr>
          <w:i/>
        </w:rPr>
        <w:t>”</w:t>
      </w:r>
      <w:r w:rsidR="009A4A46" w:rsidRPr="004C771B">
        <w:rPr>
          <w:i/>
        </w:rPr>
        <w:t>.</w:t>
      </w:r>
      <w:r w:rsidRPr="004C771B">
        <w:rPr>
          <w:i/>
        </w:rPr>
        <w:t>’</w:t>
      </w:r>
      <w:r w:rsidR="009A4A46" w:rsidRPr="004C771B">
        <w:rPr>
          <w:i/>
        </w:rPr>
        <w:t xml:space="preserve"> I said</w:t>
      </w:r>
      <w:r w:rsidR="00A075AD" w:rsidRPr="004C771B">
        <w:rPr>
          <w:i/>
        </w:rPr>
        <w:t xml:space="preserve"> </w:t>
      </w:r>
      <w:r w:rsidR="001F53CC">
        <w:rPr>
          <w:i/>
        </w:rPr>
        <w:t>“</w:t>
      </w:r>
      <w:r w:rsidR="009A4A46" w:rsidRPr="004C771B">
        <w:rPr>
          <w:i/>
        </w:rPr>
        <w:t>I want to</w:t>
      </w:r>
      <w:r w:rsidR="001F53CC">
        <w:rPr>
          <w:i/>
        </w:rPr>
        <w:t>”</w:t>
      </w:r>
      <w:r w:rsidR="009A4A46" w:rsidRPr="004C771B">
        <w:rPr>
          <w:i/>
        </w:rPr>
        <w:t xml:space="preserve">. She said </w:t>
      </w:r>
      <w:r w:rsidR="001F53CC">
        <w:rPr>
          <w:i/>
        </w:rPr>
        <w:t>“</w:t>
      </w:r>
      <w:r w:rsidR="009A4A46" w:rsidRPr="004C771B">
        <w:rPr>
          <w:i/>
        </w:rPr>
        <w:t>You’ll</w:t>
      </w:r>
      <w:r w:rsidR="00C26DD1" w:rsidRPr="004C771B">
        <w:rPr>
          <w:i/>
        </w:rPr>
        <w:t xml:space="preserve"> </w:t>
      </w:r>
      <w:r w:rsidR="009A4A46" w:rsidRPr="004C771B">
        <w:rPr>
          <w:i/>
        </w:rPr>
        <w:t>talk to me</w:t>
      </w:r>
      <w:r w:rsidR="001F53CC">
        <w:rPr>
          <w:i/>
        </w:rPr>
        <w:t>”</w:t>
      </w:r>
      <w:r w:rsidR="009A4A46" w:rsidRPr="004C771B">
        <w:rPr>
          <w:i/>
        </w:rPr>
        <w:t>.</w:t>
      </w:r>
      <w:r w:rsidRPr="004C771B">
        <w:rPr>
          <w:i/>
        </w:rPr>
        <w:t>’</w:t>
      </w:r>
    </w:p>
    <w:p w14:paraId="4ACF04E0" w14:textId="2406B502" w:rsidR="005450E0" w:rsidRPr="004C771B" w:rsidRDefault="00A075AD" w:rsidP="001A6CEF">
      <w:pPr>
        <w:ind w:left="567"/>
      </w:pPr>
      <w:r w:rsidRPr="004C771B">
        <w:t xml:space="preserve">Participant in focus group </w:t>
      </w:r>
      <w:r w:rsidR="00EE2484" w:rsidRPr="004C771B">
        <w:t>2</w:t>
      </w:r>
    </w:p>
    <w:p w14:paraId="02FAE79C" w14:textId="2084B64C" w:rsidR="005450E0" w:rsidRPr="004C771B" w:rsidRDefault="00DA0C85" w:rsidP="004C771B">
      <w:pPr>
        <w:ind w:left="567"/>
        <w:rPr>
          <w:i/>
        </w:rPr>
      </w:pPr>
      <w:r w:rsidRPr="004C771B">
        <w:rPr>
          <w:i/>
        </w:rPr>
        <w:t>‘</w:t>
      </w:r>
      <w:r w:rsidR="00593782" w:rsidRPr="004C771B">
        <w:rPr>
          <w:i/>
        </w:rPr>
        <w:t>It was $700 once.</w:t>
      </w:r>
      <w:r w:rsidR="005450E0" w:rsidRPr="004C771B">
        <w:rPr>
          <w:i/>
        </w:rPr>
        <w:t xml:space="preserve"> I said, </w:t>
      </w:r>
      <w:r w:rsidR="001F53CC">
        <w:rPr>
          <w:i/>
        </w:rPr>
        <w:t>“</w:t>
      </w:r>
      <w:r w:rsidR="00671856">
        <w:rPr>
          <w:i/>
        </w:rPr>
        <w:t>C</w:t>
      </w:r>
      <w:r w:rsidR="005450E0" w:rsidRPr="004C771B">
        <w:rPr>
          <w:i/>
        </w:rPr>
        <w:t>an I pay it off in instalments?</w:t>
      </w:r>
      <w:r w:rsidR="001F53CC">
        <w:rPr>
          <w:i/>
        </w:rPr>
        <w:t>”</w:t>
      </w:r>
      <w:r w:rsidR="005450E0" w:rsidRPr="004C771B">
        <w:rPr>
          <w:i/>
        </w:rPr>
        <w:t xml:space="preserve"> They said, </w:t>
      </w:r>
      <w:r w:rsidR="001F53CC">
        <w:rPr>
          <w:i/>
        </w:rPr>
        <w:t>“</w:t>
      </w:r>
      <w:r w:rsidR="00671856">
        <w:rPr>
          <w:i/>
        </w:rPr>
        <w:t>N</w:t>
      </w:r>
      <w:r w:rsidR="005450E0" w:rsidRPr="004C771B">
        <w:rPr>
          <w:i/>
        </w:rPr>
        <w:t>o we’re going to cut off you</w:t>
      </w:r>
      <w:r w:rsidR="00671856">
        <w:rPr>
          <w:i/>
        </w:rPr>
        <w:t>r</w:t>
      </w:r>
      <w:r w:rsidR="005450E0" w:rsidRPr="004C771B">
        <w:rPr>
          <w:i/>
        </w:rPr>
        <w:t xml:space="preserve"> line and you’ll lose your number and you’ll still have to pay your plan</w:t>
      </w:r>
      <w:r w:rsidR="00671856">
        <w:rPr>
          <w:i/>
        </w:rPr>
        <w:t>.</w:t>
      </w:r>
      <w:r w:rsidR="001F53CC">
        <w:rPr>
          <w:i/>
        </w:rPr>
        <w:t>”</w:t>
      </w:r>
      <w:r w:rsidR="005450E0" w:rsidRPr="004C771B">
        <w:rPr>
          <w:i/>
        </w:rPr>
        <w:t xml:space="preserve"> I said </w:t>
      </w:r>
      <w:r w:rsidR="001F53CC">
        <w:rPr>
          <w:i/>
        </w:rPr>
        <w:t>“</w:t>
      </w:r>
      <w:r w:rsidR="00B5701F">
        <w:rPr>
          <w:i/>
        </w:rPr>
        <w:t>I</w:t>
      </w:r>
      <w:r w:rsidR="005450E0" w:rsidRPr="004C771B">
        <w:rPr>
          <w:i/>
        </w:rPr>
        <w:t>f I can’t use it, what’s that then?</w:t>
      </w:r>
      <w:r w:rsidR="001F53CC">
        <w:rPr>
          <w:i/>
        </w:rPr>
        <w:t>”</w:t>
      </w:r>
      <w:r w:rsidR="005450E0" w:rsidRPr="004C771B">
        <w:rPr>
          <w:i/>
        </w:rPr>
        <w:t xml:space="preserve"> They said </w:t>
      </w:r>
      <w:r w:rsidR="001F53CC">
        <w:rPr>
          <w:i/>
        </w:rPr>
        <w:t>“</w:t>
      </w:r>
      <w:r w:rsidR="005450E0" w:rsidRPr="004C771B">
        <w:rPr>
          <w:i/>
        </w:rPr>
        <w:t>well</w:t>
      </w:r>
      <w:r w:rsidR="00671856">
        <w:rPr>
          <w:i/>
        </w:rPr>
        <w:t>,</w:t>
      </w:r>
      <w:r w:rsidR="005450E0" w:rsidRPr="004C771B">
        <w:rPr>
          <w:i/>
        </w:rPr>
        <w:t xml:space="preserve"> just pay the </w:t>
      </w:r>
      <w:r w:rsidR="00593782" w:rsidRPr="004C771B">
        <w:rPr>
          <w:i/>
        </w:rPr>
        <w:t>$</w:t>
      </w:r>
      <w:r w:rsidR="005450E0" w:rsidRPr="004C771B">
        <w:rPr>
          <w:i/>
        </w:rPr>
        <w:t>700</w:t>
      </w:r>
      <w:r w:rsidR="00671856">
        <w:rPr>
          <w:i/>
        </w:rPr>
        <w:t>.</w:t>
      </w:r>
      <w:r w:rsidR="001F53CC">
        <w:rPr>
          <w:i/>
        </w:rPr>
        <w:t>”</w:t>
      </w:r>
      <w:r w:rsidR="005450E0" w:rsidRPr="004C771B">
        <w:rPr>
          <w:i/>
        </w:rPr>
        <w:t xml:space="preserve"> But I said I can’t. I said, </w:t>
      </w:r>
      <w:r w:rsidR="001F53CC">
        <w:rPr>
          <w:i/>
        </w:rPr>
        <w:t>“</w:t>
      </w:r>
      <w:r w:rsidR="00671856">
        <w:rPr>
          <w:i/>
        </w:rPr>
        <w:t>J</w:t>
      </w:r>
      <w:r w:rsidR="005450E0" w:rsidRPr="004C771B">
        <w:rPr>
          <w:i/>
        </w:rPr>
        <w:t xml:space="preserve">ust do what you want. It’s still in arrears – </w:t>
      </w:r>
      <w:r w:rsidR="00593782" w:rsidRPr="004C771B">
        <w:rPr>
          <w:i/>
        </w:rPr>
        <w:t>it’s with the debt collectors</w:t>
      </w:r>
      <w:r w:rsidR="00671856">
        <w:rPr>
          <w:i/>
        </w:rPr>
        <w:t>.</w:t>
      </w:r>
      <w:r w:rsidR="001F53CC">
        <w:rPr>
          <w:i/>
        </w:rPr>
        <w:t>”</w:t>
      </w:r>
      <w:r w:rsidR="00671856">
        <w:rPr>
          <w:i/>
        </w:rPr>
        <w:t xml:space="preserve"> </w:t>
      </w:r>
      <w:r w:rsidRPr="004C771B">
        <w:rPr>
          <w:i/>
        </w:rPr>
        <w:t>’</w:t>
      </w:r>
    </w:p>
    <w:p w14:paraId="3F70BDD0" w14:textId="305AE638" w:rsidR="00B17038" w:rsidRPr="004C771B" w:rsidRDefault="001A6CEF" w:rsidP="001A6CEF">
      <w:pPr>
        <w:ind w:left="567"/>
      </w:pPr>
      <w:r>
        <w:t>Participant in focus group 2</w:t>
      </w:r>
    </w:p>
    <w:p w14:paraId="632EBD63" w14:textId="32A017D8" w:rsidR="00B17038" w:rsidRPr="004C771B" w:rsidRDefault="00DA0C85" w:rsidP="004C771B">
      <w:pPr>
        <w:ind w:left="567"/>
        <w:rPr>
          <w:i/>
        </w:rPr>
      </w:pPr>
      <w:r w:rsidRPr="004C771B">
        <w:rPr>
          <w:i/>
        </w:rPr>
        <w:t>‘</w:t>
      </w:r>
      <w:r w:rsidR="00B17038" w:rsidRPr="004C771B">
        <w:rPr>
          <w:i/>
        </w:rPr>
        <w:t>It seems like there is a scale of how far you can push them. It’s not fair that I could get the whole thing waivered [sic] as I know what to s</w:t>
      </w:r>
      <w:r w:rsidR="001B7270" w:rsidRPr="004C771B">
        <w:rPr>
          <w:i/>
        </w:rPr>
        <w:t>ay, and others can’t.</w:t>
      </w:r>
      <w:r w:rsidRPr="004C771B">
        <w:rPr>
          <w:i/>
        </w:rPr>
        <w:t>’</w:t>
      </w:r>
    </w:p>
    <w:p w14:paraId="751940E0" w14:textId="2A3EB9AD" w:rsidR="001B7270" w:rsidRPr="004C771B" w:rsidRDefault="001A6CEF" w:rsidP="001A6CEF">
      <w:pPr>
        <w:ind w:left="567"/>
      </w:pPr>
      <w:r>
        <w:t>Participant in focus group 3</w:t>
      </w:r>
    </w:p>
    <w:p w14:paraId="37A46396" w14:textId="48D3E2C5" w:rsidR="00C26DD1" w:rsidRPr="004C771B" w:rsidRDefault="002F2CE4" w:rsidP="004C771B">
      <w:r w:rsidRPr="004C771B">
        <w:t>On the other hand, p</w:t>
      </w:r>
      <w:r w:rsidR="007E6C24" w:rsidRPr="004C771B">
        <w:t>eople who felt they had been treated well</w:t>
      </w:r>
      <w:r w:rsidR="00382B9B" w:rsidRPr="004C771B">
        <w:t xml:space="preserve"> when experiencing financial hardship</w:t>
      </w:r>
      <w:r w:rsidR="007E6C24" w:rsidRPr="004C771B">
        <w:t>, reported significant loyalty to those organisations</w:t>
      </w:r>
      <w:r w:rsidR="005450E0" w:rsidRPr="004C771B">
        <w:t xml:space="preserve"> </w:t>
      </w:r>
      <w:r w:rsidR="00D31BE4">
        <w:t>that</w:t>
      </w:r>
      <w:r w:rsidR="005450E0" w:rsidRPr="004C771B">
        <w:t xml:space="preserve"> had assisted them</w:t>
      </w:r>
      <w:r w:rsidR="007E6C24" w:rsidRPr="004C771B">
        <w:t xml:space="preserve">. </w:t>
      </w:r>
    </w:p>
    <w:p w14:paraId="388D53A6" w14:textId="47100CD4" w:rsidR="009A4A46" w:rsidRPr="004C771B" w:rsidRDefault="009A4A46" w:rsidP="004C771B">
      <w:pPr>
        <w:ind w:left="567"/>
        <w:rPr>
          <w:i/>
        </w:rPr>
      </w:pPr>
      <w:r w:rsidRPr="004C771B">
        <w:rPr>
          <w:i/>
        </w:rPr>
        <w:t xml:space="preserve"> </w:t>
      </w:r>
      <w:r w:rsidR="00DA0C85" w:rsidRPr="004C771B">
        <w:rPr>
          <w:i/>
        </w:rPr>
        <w:t>‘</w:t>
      </w:r>
      <w:r w:rsidRPr="004C771B">
        <w:rPr>
          <w:i/>
        </w:rPr>
        <w:t xml:space="preserve">I’ve dealt with </w:t>
      </w:r>
      <w:r w:rsidR="00C7452D">
        <w:rPr>
          <w:i/>
        </w:rPr>
        <w:t xml:space="preserve">them </w:t>
      </w:r>
      <w:r w:rsidRPr="004C771B">
        <w:rPr>
          <w:i/>
        </w:rPr>
        <w:t>(</w:t>
      </w:r>
      <w:proofErr w:type="gramStart"/>
      <w:r w:rsidRPr="004C771B">
        <w:rPr>
          <w:i/>
        </w:rPr>
        <w:t>water</w:t>
      </w:r>
      <w:r w:rsidR="00744E95" w:rsidRPr="004C771B">
        <w:rPr>
          <w:i/>
        </w:rPr>
        <w:t xml:space="preserve"> </w:t>
      </w:r>
      <w:r w:rsidRPr="004C771B">
        <w:rPr>
          <w:i/>
        </w:rPr>
        <w:t>company</w:t>
      </w:r>
      <w:proofErr w:type="gramEnd"/>
      <w:r w:rsidRPr="004C771B">
        <w:rPr>
          <w:i/>
        </w:rPr>
        <w:t xml:space="preserve">) </w:t>
      </w:r>
      <w:r w:rsidR="00EE2484" w:rsidRPr="004C771B">
        <w:rPr>
          <w:i/>
        </w:rPr>
        <w:t xml:space="preserve">too </w:t>
      </w:r>
      <w:r w:rsidRPr="004C771B">
        <w:rPr>
          <w:i/>
        </w:rPr>
        <w:t>and immediately</w:t>
      </w:r>
      <w:r w:rsidR="00744E95" w:rsidRPr="004C771B">
        <w:rPr>
          <w:i/>
        </w:rPr>
        <w:t xml:space="preserve"> </w:t>
      </w:r>
      <w:r w:rsidRPr="004C771B">
        <w:rPr>
          <w:i/>
        </w:rPr>
        <w:t>the stress lifts off and</w:t>
      </w:r>
      <w:r w:rsidR="00744E95" w:rsidRPr="004C771B">
        <w:rPr>
          <w:i/>
        </w:rPr>
        <w:t xml:space="preserve"> </w:t>
      </w:r>
      <w:r w:rsidRPr="004C771B">
        <w:rPr>
          <w:i/>
        </w:rPr>
        <w:t>then you feel committed</w:t>
      </w:r>
      <w:r w:rsidR="00744E95" w:rsidRPr="004C771B">
        <w:rPr>
          <w:i/>
        </w:rPr>
        <w:t xml:space="preserve"> </w:t>
      </w:r>
      <w:r w:rsidRPr="004C771B">
        <w:rPr>
          <w:i/>
        </w:rPr>
        <w:t>to paying it. You make a</w:t>
      </w:r>
      <w:r w:rsidR="00744E95" w:rsidRPr="004C771B">
        <w:rPr>
          <w:i/>
        </w:rPr>
        <w:t xml:space="preserve"> </w:t>
      </w:r>
      <w:r w:rsidRPr="004C771B">
        <w:rPr>
          <w:i/>
        </w:rPr>
        <w:t>commitment and you’re</w:t>
      </w:r>
      <w:r w:rsidR="00744E95" w:rsidRPr="004C771B">
        <w:rPr>
          <w:i/>
        </w:rPr>
        <w:t xml:space="preserve"> </w:t>
      </w:r>
      <w:r w:rsidRPr="004C771B">
        <w:rPr>
          <w:i/>
        </w:rPr>
        <w:t>happy to follow through with</w:t>
      </w:r>
      <w:r w:rsidR="00744E95" w:rsidRPr="004C771B">
        <w:rPr>
          <w:i/>
        </w:rPr>
        <w:t xml:space="preserve"> </w:t>
      </w:r>
      <w:r w:rsidRPr="004C771B">
        <w:rPr>
          <w:i/>
        </w:rPr>
        <w:t>it.</w:t>
      </w:r>
      <w:r w:rsidR="00DA0C85" w:rsidRPr="004C771B">
        <w:rPr>
          <w:i/>
        </w:rPr>
        <w:t>’</w:t>
      </w:r>
    </w:p>
    <w:p w14:paraId="3B555D7A" w14:textId="4365F8B1" w:rsidR="00A12BFE" w:rsidRDefault="001A6CEF" w:rsidP="001A6CEF">
      <w:pPr>
        <w:ind w:left="567"/>
      </w:pPr>
      <w:r>
        <w:t>Participant in focus group 2</w:t>
      </w:r>
    </w:p>
    <w:p w14:paraId="0C039E0E" w14:textId="09078E70" w:rsidR="00E75A5A" w:rsidRDefault="001A1DE7" w:rsidP="001A6CEF">
      <w:pPr>
        <w:pStyle w:val="Heading2"/>
      </w:pPr>
      <w:bookmarkStart w:id="73" w:name="_Toc387144779"/>
      <w:r>
        <w:t>4.</w:t>
      </w:r>
      <w:r w:rsidR="00DC7175">
        <w:t>1.4</w:t>
      </w:r>
      <w:r w:rsidR="00DC7175">
        <w:tab/>
      </w:r>
      <w:r w:rsidR="001A6CEF">
        <w:t xml:space="preserve"> </w:t>
      </w:r>
      <w:r w:rsidR="00AB2BAA">
        <w:t>Collections staff are not listening</w:t>
      </w:r>
      <w:bookmarkEnd w:id="73"/>
    </w:p>
    <w:p w14:paraId="3BFCC4B1" w14:textId="0BC232B0" w:rsidR="00A12BFE" w:rsidRPr="004C771B" w:rsidRDefault="00A12BFE" w:rsidP="004C771B">
      <w:r w:rsidRPr="004C771B">
        <w:t xml:space="preserve">Financial counsellors and consumers in the telco focus groups </w:t>
      </w:r>
      <w:r w:rsidR="00D31BE4">
        <w:t>had observed</w:t>
      </w:r>
      <w:r w:rsidR="00D31BE4" w:rsidRPr="004C771B">
        <w:t xml:space="preserve"> </w:t>
      </w:r>
      <w:r w:rsidRPr="004C771B">
        <w:t xml:space="preserve">that staff in collections (in all industries) </w:t>
      </w:r>
      <w:r w:rsidR="00671856">
        <w:t>neither</w:t>
      </w:r>
      <w:r w:rsidRPr="004C771B">
        <w:t xml:space="preserve"> listen</w:t>
      </w:r>
      <w:r w:rsidR="00D31BE4">
        <w:t>ed</w:t>
      </w:r>
      <w:r w:rsidRPr="004C771B">
        <w:t xml:space="preserve"> </w:t>
      </w:r>
      <w:r w:rsidR="00D31BE4">
        <w:t xml:space="preserve">to cases </w:t>
      </w:r>
      <w:r w:rsidRPr="004C771B">
        <w:t>well, nor remember</w:t>
      </w:r>
      <w:r w:rsidR="00D31BE4">
        <w:t>ed</w:t>
      </w:r>
      <w:r w:rsidRPr="004C771B">
        <w:t xml:space="preserve"> what had been previously discussed. Both groups also referred to instances of inappropriate responses:</w:t>
      </w:r>
    </w:p>
    <w:p w14:paraId="6B1290D7" w14:textId="0A00E313" w:rsidR="00A12BFE" w:rsidRPr="004C771B" w:rsidRDefault="00D31BE4" w:rsidP="004C771B">
      <w:pPr>
        <w:ind w:left="567"/>
        <w:rPr>
          <w:i/>
          <w:lang w:val="en-US"/>
        </w:rPr>
      </w:pPr>
      <w:r>
        <w:rPr>
          <w:i/>
          <w:lang w:val="en-US"/>
        </w:rPr>
        <w:t>‘</w:t>
      </w:r>
      <w:r w:rsidR="00A12BFE" w:rsidRPr="004C771B">
        <w:rPr>
          <w:i/>
          <w:lang w:val="en-US"/>
        </w:rPr>
        <w:t xml:space="preserve">You think all your information is up there. They go, </w:t>
      </w:r>
      <w:r>
        <w:rPr>
          <w:i/>
          <w:lang w:val="en-US"/>
        </w:rPr>
        <w:t>“</w:t>
      </w:r>
      <w:r w:rsidR="00B5701F">
        <w:rPr>
          <w:i/>
          <w:lang w:val="en-US"/>
        </w:rPr>
        <w:t>T</w:t>
      </w:r>
      <w:r w:rsidR="00A12BFE" w:rsidRPr="004C771B">
        <w:rPr>
          <w:i/>
          <w:lang w:val="en-US"/>
        </w:rPr>
        <w:t>here’s nothing on the screen</w:t>
      </w:r>
      <w:r>
        <w:rPr>
          <w:i/>
          <w:lang w:val="en-US"/>
        </w:rPr>
        <w:t>”</w:t>
      </w:r>
      <w:r w:rsidR="00A12BFE" w:rsidRPr="004C771B">
        <w:rPr>
          <w:i/>
          <w:lang w:val="en-US"/>
        </w:rPr>
        <w:t xml:space="preserve">. [I ask] </w:t>
      </w:r>
      <w:r>
        <w:rPr>
          <w:i/>
          <w:lang w:val="en-US"/>
        </w:rPr>
        <w:t>“</w:t>
      </w:r>
      <w:r w:rsidR="00A12BFE" w:rsidRPr="004C771B">
        <w:rPr>
          <w:i/>
          <w:lang w:val="en-US"/>
        </w:rPr>
        <w:t>Can you see that there’s been any communication?</w:t>
      </w:r>
      <w:r>
        <w:rPr>
          <w:i/>
          <w:lang w:val="en-US"/>
        </w:rPr>
        <w:t>”</w:t>
      </w:r>
      <w:r w:rsidR="00A12BFE" w:rsidRPr="004C771B">
        <w:rPr>
          <w:i/>
          <w:lang w:val="en-US"/>
        </w:rPr>
        <w:t xml:space="preserve"> … </w:t>
      </w:r>
      <w:r w:rsidR="00A713AC">
        <w:rPr>
          <w:i/>
          <w:lang w:val="en-US"/>
        </w:rPr>
        <w:t>T</w:t>
      </w:r>
      <w:r w:rsidR="00A12BFE" w:rsidRPr="004C771B">
        <w:rPr>
          <w:i/>
          <w:lang w:val="en-US"/>
        </w:rPr>
        <w:t xml:space="preserve">hey go </w:t>
      </w:r>
      <w:r>
        <w:rPr>
          <w:i/>
          <w:lang w:val="en-US"/>
        </w:rPr>
        <w:t>“</w:t>
      </w:r>
      <w:r w:rsidR="00A713AC">
        <w:rPr>
          <w:i/>
          <w:lang w:val="en-US"/>
        </w:rPr>
        <w:t>O</w:t>
      </w:r>
      <w:r w:rsidR="00A12BFE" w:rsidRPr="004C771B">
        <w:rPr>
          <w:i/>
          <w:lang w:val="en-US"/>
        </w:rPr>
        <w:t>h yes I can see you were communicating but there is nothing on the screen</w:t>
      </w:r>
      <w:r w:rsidR="00671856">
        <w:rPr>
          <w:i/>
          <w:lang w:val="en-US"/>
        </w:rPr>
        <w:t>.</w:t>
      </w:r>
      <w:r>
        <w:rPr>
          <w:i/>
          <w:lang w:val="en-US"/>
        </w:rPr>
        <w:t>”</w:t>
      </w:r>
      <w:r w:rsidR="00671856">
        <w:rPr>
          <w:i/>
          <w:lang w:val="en-US"/>
        </w:rPr>
        <w:t xml:space="preserve"> </w:t>
      </w:r>
      <w:r>
        <w:rPr>
          <w:i/>
          <w:lang w:val="en-US"/>
        </w:rPr>
        <w:t>’</w:t>
      </w:r>
      <w:r w:rsidR="00A12BFE" w:rsidRPr="004C771B">
        <w:rPr>
          <w:i/>
          <w:lang w:val="en-US"/>
        </w:rPr>
        <w:t xml:space="preserve"> </w:t>
      </w:r>
    </w:p>
    <w:p w14:paraId="5F1409E5" w14:textId="2AFB7617" w:rsidR="00671856" w:rsidRPr="00406478" w:rsidRDefault="00A12BFE" w:rsidP="00406478">
      <w:pPr>
        <w:ind w:left="567"/>
        <w:rPr>
          <w:lang w:val="en-US"/>
        </w:rPr>
      </w:pPr>
      <w:r w:rsidRPr="004C771B">
        <w:rPr>
          <w:lang w:val="en-US"/>
        </w:rPr>
        <w:t>Telco focus group consumer</w:t>
      </w:r>
    </w:p>
    <w:p w14:paraId="29DA3720" w14:textId="1D0D0EAB" w:rsidR="00A12BFE" w:rsidRPr="004C771B" w:rsidRDefault="00A12BFE" w:rsidP="004C771B">
      <w:pPr>
        <w:ind w:left="567"/>
      </w:pPr>
      <w:r w:rsidRPr="004C771B">
        <w:rPr>
          <w:i/>
          <w:lang w:val="en-US"/>
        </w:rPr>
        <w:t xml:space="preserve">I was getting angry the other day. I said </w:t>
      </w:r>
      <w:r w:rsidR="00D31BE4">
        <w:rPr>
          <w:i/>
          <w:lang w:val="en-US"/>
        </w:rPr>
        <w:t>“</w:t>
      </w:r>
      <w:r w:rsidR="00A713AC">
        <w:rPr>
          <w:i/>
          <w:lang w:val="en-US"/>
        </w:rPr>
        <w:t>Y</w:t>
      </w:r>
      <w:r w:rsidRPr="004C771B">
        <w:rPr>
          <w:i/>
          <w:lang w:val="en-US"/>
        </w:rPr>
        <w:t>ou should be able to see it on your system because I remember the last time I spoke</w:t>
      </w:r>
      <w:r w:rsidR="00D31BE4">
        <w:rPr>
          <w:i/>
          <w:lang w:val="en-US"/>
        </w:rPr>
        <w:t>,</w:t>
      </w:r>
      <w:r w:rsidRPr="004C771B">
        <w:rPr>
          <w:i/>
          <w:lang w:val="en-US"/>
        </w:rPr>
        <w:t xml:space="preserve"> it should be up there</w:t>
      </w:r>
      <w:r w:rsidR="00671856">
        <w:rPr>
          <w:i/>
          <w:lang w:val="en-US"/>
        </w:rPr>
        <w:t>.</w:t>
      </w:r>
      <w:r w:rsidR="00D31BE4">
        <w:rPr>
          <w:i/>
          <w:lang w:val="en-US"/>
        </w:rPr>
        <w:t>”</w:t>
      </w:r>
      <w:r w:rsidRPr="004C771B">
        <w:rPr>
          <w:i/>
          <w:lang w:val="en-US"/>
        </w:rPr>
        <w:t xml:space="preserve"> She paused – if it was on there she wouldn’t have had to delay.</w:t>
      </w:r>
      <w:r w:rsidR="00671856">
        <w:rPr>
          <w:i/>
          <w:lang w:val="en-US"/>
        </w:rPr>
        <w:t>’</w:t>
      </w:r>
      <w:r w:rsidRPr="004C771B">
        <w:rPr>
          <w:i/>
        </w:rPr>
        <w:t xml:space="preserve"> </w:t>
      </w:r>
      <w:r w:rsidRPr="004C771B">
        <w:t xml:space="preserve"> </w:t>
      </w:r>
    </w:p>
    <w:p w14:paraId="0BD6AADC" w14:textId="0BEE0C87" w:rsidR="00A12BFE" w:rsidRPr="00406478" w:rsidRDefault="00A12BFE" w:rsidP="00406478">
      <w:pPr>
        <w:ind w:left="567"/>
        <w:rPr>
          <w:i/>
        </w:rPr>
      </w:pPr>
      <w:r w:rsidRPr="004C771B">
        <w:rPr>
          <w:lang w:val="en-US"/>
        </w:rPr>
        <w:t>Telco focus group consumer</w:t>
      </w:r>
    </w:p>
    <w:p w14:paraId="5E483D8E" w14:textId="0AC2590B" w:rsidR="00BD7859" w:rsidRDefault="001A1DE7" w:rsidP="00406478">
      <w:pPr>
        <w:pStyle w:val="Heading2"/>
      </w:pPr>
      <w:bookmarkStart w:id="74" w:name="_Toc387144780"/>
      <w:r>
        <w:t>4.</w:t>
      </w:r>
      <w:r w:rsidR="00DC7175">
        <w:t>1.5</w:t>
      </w:r>
      <w:r w:rsidR="00406478">
        <w:t xml:space="preserve"> </w:t>
      </w:r>
      <w:r w:rsidR="008A6307">
        <w:t>Service and sales p</w:t>
      </w:r>
      <w:r w:rsidR="00A91BA9">
        <w:t>roblems</w:t>
      </w:r>
      <w:bookmarkEnd w:id="74"/>
    </w:p>
    <w:p w14:paraId="670A3F2E" w14:textId="383E8A1D" w:rsidR="00B05C1A" w:rsidRPr="00406478" w:rsidRDefault="00FB5E0D" w:rsidP="0097482E">
      <w:r w:rsidRPr="004C771B">
        <w:t>Apart from issues relati</w:t>
      </w:r>
      <w:r w:rsidR="00D31BE4">
        <w:t>ng</w:t>
      </w:r>
      <w:r w:rsidRPr="004C771B">
        <w:t xml:space="preserve"> to </w:t>
      </w:r>
      <w:r w:rsidR="00D31BE4">
        <w:t xml:space="preserve">difficulty in creating </w:t>
      </w:r>
      <w:r w:rsidRPr="004C771B">
        <w:t xml:space="preserve">hardship arrangements, many participants reported </w:t>
      </w:r>
      <w:r w:rsidR="00D31BE4">
        <w:t xml:space="preserve">technical </w:t>
      </w:r>
      <w:r w:rsidRPr="004C771B">
        <w:t xml:space="preserve">problems with the sales process or service issues. These included: </w:t>
      </w:r>
      <w:r w:rsidR="00F625AF" w:rsidRPr="004C771B">
        <w:t xml:space="preserve">difficulties transferring contracts, </w:t>
      </w:r>
      <w:r w:rsidR="002F08F0" w:rsidRPr="004C771B">
        <w:t xml:space="preserve">actual plans not matching what the consumer </w:t>
      </w:r>
      <w:r w:rsidR="00D31BE4">
        <w:t>promised orally</w:t>
      </w:r>
      <w:r w:rsidR="002F08F0" w:rsidRPr="004C771B">
        <w:t xml:space="preserve"> during the sales process, </w:t>
      </w:r>
      <w:r w:rsidR="00182744" w:rsidRPr="004C771B">
        <w:t xml:space="preserve">confusing plans, </w:t>
      </w:r>
      <w:r w:rsidR="002F08F0" w:rsidRPr="004C771B">
        <w:t xml:space="preserve">unexpectedly high bills, services that </w:t>
      </w:r>
      <w:r w:rsidR="00D31BE4">
        <w:t>failed to</w:t>
      </w:r>
      <w:r w:rsidR="002F08F0" w:rsidRPr="004C771B">
        <w:t xml:space="preserve"> work, </w:t>
      </w:r>
      <w:r w:rsidR="00470C1A" w:rsidRPr="004C771B">
        <w:t xml:space="preserve">incorrect bills, </w:t>
      </w:r>
      <w:r w:rsidR="00470C1A" w:rsidRPr="004C771B">
        <w:lastRenderedPageBreak/>
        <w:t>high international roaming charges</w:t>
      </w:r>
      <w:r w:rsidR="00B17038" w:rsidRPr="004C771B">
        <w:t xml:space="preserve">, </w:t>
      </w:r>
      <w:r w:rsidR="00D31BE4" w:rsidRPr="00D31BE4">
        <w:t>and difficulties</w:t>
      </w:r>
      <w:r w:rsidR="00B17038" w:rsidRPr="004C771B">
        <w:t xml:space="preserve"> in arranging disconnections</w:t>
      </w:r>
      <w:r w:rsidR="002F08F0" w:rsidRPr="004C771B">
        <w:t xml:space="preserve">. </w:t>
      </w:r>
      <w:r w:rsidR="00D31BE4">
        <w:t>I</w:t>
      </w:r>
      <w:r w:rsidR="00D31BE4" w:rsidRPr="00B916C7">
        <w:t xml:space="preserve">t took </w:t>
      </w:r>
      <w:r w:rsidR="00D31BE4">
        <w:t xml:space="preserve">an extended period </w:t>
      </w:r>
      <w:r w:rsidR="00D31BE4" w:rsidRPr="00B916C7">
        <w:t xml:space="preserve">to </w:t>
      </w:r>
      <w:r w:rsidR="00D31BE4">
        <w:t>rectify</w:t>
      </w:r>
      <w:r w:rsidR="00D31BE4" w:rsidRPr="00B916C7">
        <w:t xml:space="preserve"> the problems</w:t>
      </w:r>
      <w:r w:rsidR="00D31BE4" w:rsidRPr="00D31BE4">
        <w:t xml:space="preserve"> </w:t>
      </w:r>
      <w:r w:rsidR="00D31BE4">
        <w:t>– this was a</w:t>
      </w:r>
      <w:r w:rsidR="002F08F0" w:rsidRPr="004C771B">
        <w:t xml:space="preserve"> common theme </w:t>
      </w:r>
      <w:r w:rsidR="00D31BE4">
        <w:t xml:space="preserve">among participants. </w:t>
      </w:r>
    </w:p>
    <w:p w14:paraId="5B91478B" w14:textId="572A3D5C" w:rsidR="008B5B5C" w:rsidRDefault="001A1DE7" w:rsidP="00406478">
      <w:pPr>
        <w:pStyle w:val="Heading2"/>
      </w:pPr>
      <w:bookmarkStart w:id="75" w:name="_Toc387144781"/>
      <w:r>
        <w:t>4.</w:t>
      </w:r>
      <w:r w:rsidR="00DC7175">
        <w:t>1.6</w:t>
      </w:r>
      <w:r w:rsidR="00B408E3">
        <w:t xml:space="preserve"> </w:t>
      </w:r>
      <w:r w:rsidR="008A6307">
        <w:t>Access to telecommunications is i</w:t>
      </w:r>
      <w:r w:rsidR="00FB5E0D">
        <w:t>mportant</w:t>
      </w:r>
      <w:bookmarkEnd w:id="75"/>
    </w:p>
    <w:p w14:paraId="32FA3E4D" w14:textId="0AE0EFBD" w:rsidR="00C7452D" w:rsidRPr="004C771B" w:rsidRDefault="00FB5E0D" w:rsidP="004C771B">
      <w:r w:rsidRPr="004C771B">
        <w:t xml:space="preserve">Focus group participants </w:t>
      </w:r>
      <w:r w:rsidR="00D31BE4">
        <w:t>noted that</w:t>
      </w:r>
      <w:r w:rsidR="00D31BE4" w:rsidRPr="004C771B">
        <w:t xml:space="preserve"> </w:t>
      </w:r>
      <w:r w:rsidRPr="004C771B">
        <w:t xml:space="preserve">access to telecommunication services </w:t>
      </w:r>
      <w:r w:rsidR="008A6307">
        <w:t>is</w:t>
      </w:r>
      <w:r w:rsidRPr="004C771B">
        <w:t xml:space="preserve"> very important. Disconnection created </w:t>
      </w:r>
      <w:r w:rsidR="00D31BE4">
        <w:t xml:space="preserve">lifestyle </w:t>
      </w:r>
      <w:r w:rsidRPr="004C771B">
        <w:t xml:space="preserve">problems, including </w:t>
      </w:r>
      <w:r w:rsidR="00363FE6" w:rsidRPr="004C771B">
        <w:t xml:space="preserve">difficulties in </w:t>
      </w:r>
      <w:r w:rsidRPr="004C771B">
        <w:t>communicating with doctors, the job network, friends and family.</w:t>
      </w:r>
    </w:p>
    <w:p w14:paraId="1A3A9B5A" w14:textId="1FBFDE04" w:rsidR="008B5B5C" w:rsidRDefault="001A1DE7" w:rsidP="006136FF">
      <w:pPr>
        <w:pStyle w:val="Heading2"/>
      </w:pPr>
      <w:bookmarkStart w:id="76" w:name="_Toc387144782"/>
      <w:r>
        <w:t>4.</w:t>
      </w:r>
      <w:r w:rsidR="00DC7175">
        <w:t>1.7</w:t>
      </w:r>
      <w:r w:rsidR="00DC7175">
        <w:tab/>
      </w:r>
      <w:r w:rsidR="00B408E3">
        <w:t xml:space="preserve"> </w:t>
      </w:r>
      <w:r w:rsidR="008A6307">
        <w:t>Low a</w:t>
      </w:r>
      <w:r w:rsidR="007B4E0E">
        <w:t xml:space="preserve">wareness of </w:t>
      </w:r>
      <w:proofErr w:type="spellStart"/>
      <w:r w:rsidR="007B4E0E">
        <w:t>EDR</w:t>
      </w:r>
      <w:bookmarkEnd w:id="76"/>
      <w:proofErr w:type="spellEnd"/>
    </w:p>
    <w:p w14:paraId="5A90B0FB" w14:textId="0827D5FA" w:rsidR="00A91BA9" w:rsidRPr="004C771B" w:rsidRDefault="007B4E0E" w:rsidP="004C771B">
      <w:r w:rsidRPr="004C771B">
        <w:t>The m</w:t>
      </w:r>
      <w:r w:rsidR="005348B3" w:rsidRPr="004C771B">
        <w:t>ajority of telco focus group</w:t>
      </w:r>
      <w:r w:rsidRPr="004C771B">
        <w:t xml:space="preserve"> </w:t>
      </w:r>
      <w:r w:rsidR="005348B3" w:rsidRPr="004C771B">
        <w:t xml:space="preserve">consumers did not </w:t>
      </w:r>
      <w:r w:rsidR="00D31BE4">
        <w:t>realise</w:t>
      </w:r>
      <w:r w:rsidR="00D31BE4" w:rsidRPr="004C771B">
        <w:t xml:space="preserve"> </w:t>
      </w:r>
      <w:r w:rsidR="005348B3" w:rsidRPr="004C771B">
        <w:t>there</w:t>
      </w:r>
      <w:r w:rsidRPr="004C771B">
        <w:t xml:space="preserve"> </w:t>
      </w:r>
      <w:r w:rsidR="005348B3" w:rsidRPr="004C771B">
        <w:t xml:space="preserve">was an </w:t>
      </w:r>
      <w:r w:rsidR="00671856">
        <w:t>o</w:t>
      </w:r>
      <w:r w:rsidR="005348B3" w:rsidRPr="004C771B">
        <w:t>mbudsman schem</w:t>
      </w:r>
      <w:r w:rsidR="009909F6" w:rsidRPr="004C771B">
        <w:t>e</w:t>
      </w:r>
      <w:r w:rsidR="00D31BE4">
        <w:t>. Those that did generally</w:t>
      </w:r>
      <w:r w:rsidR="00F848BC" w:rsidRPr="004C771B">
        <w:t xml:space="preserve"> had been working with a financial counsellor or caseworker</w:t>
      </w:r>
      <w:r w:rsidR="00DA3646" w:rsidRPr="004C771B">
        <w:t xml:space="preserve"> and had used the service</w:t>
      </w:r>
      <w:r w:rsidR="00671856">
        <w:t xml:space="preserve">. </w:t>
      </w:r>
      <w:r w:rsidR="00DA3646" w:rsidRPr="004C771B">
        <w:t xml:space="preserve">Some people </w:t>
      </w:r>
      <w:r w:rsidR="00D31BE4">
        <w:t xml:space="preserve">reported </w:t>
      </w:r>
      <w:r w:rsidR="00DA3646" w:rsidRPr="004C771B">
        <w:t xml:space="preserve">that they had to use the threat </w:t>
      </w:r>
      <w:r w:rsidR="00671856">
        <w:t>of escalating a dispute to the o</w:t>
      </w:r>
      <w:r w:rsidR="00DA3646" w:rsidRPr="004C771B">
        <w:t>mbudsman in order to get a result.</w:t>
      </w:r>
      <w:r w:rsidR="001F53E0" w:rsidRPr="004C771B">
        <w:t xml:space="preserve"> </w:t>
      </w:r>
      <w:r w:rsidRPr="004C771B">
        <w:t xml:space="preserve"> </w:t>
      </w:r>
    </w:p>
    <w:p w14:paraId="4A92CC0F" w14:textId="2E34BA34" w:rsidR="00315126" w:rsidRPr="006136FF" w:rsidRDefault="00D31BE4" w:rsidP="006136FF">
      <w:r>
        <w:t>In addition, o</w:t>
      </w:r>
      <w:r w:rsidR="00DA3646" w:rsidRPr="004C771B">
        <w:t xml:space="preserve">ne focus group participant reported that they </w:t>
      </w:r>
      <w:r w:rsidR="001F53E0" w:rsidRPr="004C771B">
        <w:t>asked the telco for information</w:t>
      </w:r>
      <w:r w:rsidR="00671856">
        <w:t xml:space="preserve"> about how to contact the o</w:t>
      </w:r>
      <w:r w:rsidR="00DA3646" w:rsidRPr="004C771B">
        <w:t>mbudsman</w:t>
      </w:r>
      <w:r>
        <w:t xml:space="preserve">. In response, </w:t>
      </w:r>
      <w:r w:rsidR="007B4E0E" w:rsidRPr="004C771B">
        <w:t>the telco employee refused to provide the phone number.</w:t>
      </w:r>
      <w:r w:rsidR="00CD7BAC" w:rsidRPr="004C771B">
        <w:t xml:space="preserve"> This person was told to look it up herself.</w:t>
      </w:r>
      <w:r w:rsidR="001E7571" w:rsidRPr="004C771B">
        <w:rPr>
          <w:rFonts w:ascii="ArialMTPro-Light" w:hAnsi="ArialMTPro-Light" w:cs="ArialMTPro-Light"/>
          <w:color w:val="000000"/>
          <w:sz w:val="24"/>
          <w:szCs w:val="24"/>
        </w:rPr>
        <w:tab/>
      </w:r>
    </w:p>
    <w:p w14:paraId="5044BCC0" w14:textId="2F5F2EB1" w:rsidR="001B7270" w:rsidRDefault="001A1DE7" w:rsidP="006136FF">
      <w:pPr>
        <w:pStyle w:val="Heading2"/>
      </w:pPr>
      <w:bookmarkStart w:id="77" w:name="_Toc387144783"/>
      <w:r>
        <w:t>4.</w:t>
      </w:r>
      <w:r w:rsidR="00881314">
        <w:t>1.8</w:t>
      </w:r>
      <w:r w:rsidR="006136FF">
        <w:t xml:space="preserve"> </w:t>
      </w:r>
      <w:r w:rsidR="008A6307">
        <w:t>Overseas call c</w:t>
      </w:r>
      <w:r w:rsidR="009A4A46">
        <w:t>entres</w:t>
      </w:r>
      <w:bookmarkEnd w:id="77"/>
      <w:r w:rsidR="006136FF">
        <w:t xml:space="preserve"> </w:t>
      </w:r>
    </w:p>
    <w:p w14:paraId="31AAF9FE" w14:textId="3228D1AB" w:rsidR="00DD23B1" w:rsidRPr="004C771B" w:rsidRDefault="00DB6B61" w:rsidP="004C771B">
      <w:pPr>
        <w:rPr>
          <w:sz w:val="24"/>
          <w:szCs w:val="24"/>
        </w:rPr>
      </w:pPr>
      <w:r w:rsidRPr="00E3460E">
        <w:t>Focus group participants found overseas call centres problematic</w:t>
      </w:r>
      <w:r w:rsidR="00671856">
        <w:t>,</w:t>
      </w:r>
      <w:r w:rsidRPr="00E3460E">
        <w:t xml:space="preserve"> reporting language and cultural issues</w:t>
      </w:r>
      <w:r>
        <w:t xml:space="preserve">. There was a lot of animosity to overseas call </w:t>
      </w:r>
      <w:r w:rsidR="00E75A5A">
        <w:t>centre</w:t>
      </w:r>
      <w:r>
        <w:t xml:space="preserve"> staff. Whether this was due to prejudice, discomfort with loss of jobs to overseas workers, or other factors beyond </w:t>
      </w:r>
      <w:r w:rsidR="00A436EA">
        <w:t>the control of the staff member,</w:t>
      </w:r>
      <w:r>
        <w:t xml:space="preserve"> it nevertheless impacted on the consumer experience and appeared to influence how the consumer perceived their issue resolution. Accents were problematic too. Most of the consumers were passionate in expressing that their overseas call centre experience was not a positive one. </w:t>
      </w:r>
    </w:p>
    <w:p w14:paraId="1E3930A2" w14:textId="60C09077" w:rsidR="00E75A5A" w:rsidRDefault="00DA0C85" w:rsidP="004C771B">
      <w:pPr>
        <w:ind w:left="567"/>
      </w:pPr>
      <w:r w:rsidRPr="004C771B">
        <w:rPr>
          <w:i/>
        </w:rPr>
        <w:t>‘</w:t>
      </w:r>
      <w:r w:rsidR="00DD23B1" w:rsidRPr="004C771B">
        <w:rPr>
          <w:i/>
        </w:rPr>
        <w:t>The call centres that deal with new accounts are in Australia, but down the line, the call centres are overseas. It becomes more difficult to understand your scenario.</w:t>
      </w:r>
      <w:r w:rsidRPr="004C771B">
        <w:rPr>
          <w:i/>
        </w:rPr>
        <w:t>’</w:t>
      </w:r>
    </w:p>
    <w:p w14:paraId="37E384C5" w14:textId="45598832" w:rsidR="005A4D13" w:rsidRDefault="00DD23B1" w:rsidP="00E96141">
      <w:pPr>
        <w:ind w:left="567"/>
      </w:pPr>
      <w:r w:rsidRPr="004C771B">
        <w:t>Participant in focus grou</w:t>
      </w:r>
      <w:r w:rsidR="00E96141">
        <w:t>p 3</w:t>
      </w:r>
    </w:p>
    <w:p w14:paraId="1A1909CD" w14:textId="1B1CC988" w:rsidR="005A4D13" w:rsidRDefault="001A1DE7" w:rsidP="00E96141">
      <w:pPr>
        <w:pStyle w:val="Heading2"/>
      </w:pPr>
      <w:bookmarkStart w:id="78" w:name="_Toc387144784"/>
      <w:r>
        <w:t>4.</w:t>
      </w:r>
      <w:r w:rsidR="00881314">
        <w:t>1.9</w:t>
      </w:r>
      <w:r w:rsidR="005A4D13">
        <w:tab/>
      </w:r>
      <w:r w:rsidR="00E96141">
        <w:t xml:space="preserve"> </w:t>
      </w:r>
      <w:r w:rsidR="005A4D13">
        <w:t>Implications</w:t>
      </w:r>
      <w:bookmarkEnd w:id="78"/>
      <w:r w:rsidR="00E96141">
        <w:t xml:space="preserve"> </w:t>
      </w:r>
    </w:p>
    <w:p w14:paraId="4D99B598" w14:textId="2650C91B" w:rsidR="005A4D13" w:rsidRPr="004C771B" w:rsidRDefault="005A4D13" w:rsidP="004C771B">
      <w:r w:rsidRPr="004C771B">
        <w:t xml:space="preserve">While acknowledging that the three focus groups </w:t>
      </w:r>
      <w:r w:rsidR="00914168">
        <w:t>used for</w:t>
      </w:r>
      <w:r w:rsidRPr="004C771B">
        <w:t xml:space="preserve"> this research</w:t>
      </w:r>
      <w:r w:rsidR="00914168">
        <w:t xml:space="preserve"> study</w:t>
      </w:r>
      <w:r w:rsidRPr="004C771B">
        <w:t xml:space="preserve"> </w:t>
      </w:r>
      <w:r w:rsidR="00914168">
        <w:t xml:space="preserve">represent </w:t>
      </w:r>
      <w:r w:rsidRPr="004C771B">
        <w:t>a small sample</w:t>
      </w:r>
      <w:r w:rsidR="00914168">
        <w:t xml:space="preserve"> of telco hardship customers</w:t>
      </w:r>
      <w:r w:rsidRPr="004C771B">
        <w:t xml:space="preserve">, the experiences reported by consumers in those groups may </w:t>
      </w:r>
      <w:r w:rsidR="00914168">
        <w:t>be un</w:t>
      </w:r>
      <w:r w:rsidRPr="004C771B">
        <w:t>surpris</w:t>
      </w:r>
      <w:r w:rsidR="00914168">
        <w:t>ing</w:t>
      </w:r>
      <w:r w:rsidRPr="004C771B">
        <w:t xml:space="preserve"> to the telecommunications industry. The final report of the </w:t>
      </w:r>
      <w:proofErr w:type="spellStart"/>
      <w:r w:rsidRPr="004C771B">
        <w:t>ACMA</w:t>
      </w:r>
      <w:proofErr w:type="spellEnd"/>
      <w:r w:rsidRPr="004C771B">
        <w:t xml:space="preserve"> public inquiry into</w:t>
      </w:r>
      <w:r w:rsidR="00914168">
        <w:t xml:space="preserve"> </w:t>
      </w:r>
      <w:r w:rsidRPr="004C771B">
        <w:t xml:space="preserve">customer service and complaints handling, </w:t>
      </w:r>
      <w:r w:rsidR="00914168">
        <w:t>‘</w:t>
      </w:r>
      <w:r w:rsidRPr="004C771B">
        <w:rPr>
          <w:i/>
        </w:rPr>
        <w:t>Reconnecting the Customer</w:t>
      </w:r>
      <w:r w:rsidR="00914168">
        <w:rPr>
          <w:i/>
        </w:rPr>
        <w:t>’</w:t>
      </w:r>
      <w:r w:rsidRPr="004C771B">
        <w:t>, reflected similar customer experiences.</w:t>
      </w:r>
      <w:r w:rsidRPr="004C771B">
        <w:rPr>
          <w:rStyle w:val="FootnoteReference"/>
          <w:sz w:val="24"/>
          <w:szCs w:val="24"/>
        </w:rPr>
        <w:footnoteReference w:id="39"/>
      </w:r>
      <w:r w:rsidRPr="004C771B">
        <w:t xml:space="preserve"> </w:t>
      </w:r>
    </w:p>
    <w:p w14:paraId="1CD863EF" w14:textId="77777777" w:rsidR="005A4D13" w:rsidRPr="00E3460E" w:rsidRDefault="005A4D13" w:rsidP="00E3460E">
      <w:pPr>
        <w:spacing w:after="0" w:line="240" w:lineRule="auto"/>
        <w:ind w:left="709"/>
        <w:jc w:val="right"/>
        <w:rPr>
          <w:i/>
        </w:rPr>
      </w:pPr>
    </w:p>
    <w:p w14:paraId="347E87E4" w14:textId="2634C0E3" w:rsidR="002F24CF" w:rsidRPr="00CF48E8" w:rsidRDefault="00441554" w:rsidP="00CF48E8">
      <w:pPr>
        <w:pStyle w:val="Heading1"/>
        <w:rPr>
          <w:lang w:val="en-US" w:eastAsia="ja-JP"/>
        </w:rPr>
      </w:pPr>
      <w:bookmarkStart w:id="79" w:name="_Toc387144785"/>
      <w:r>
        <w:rPr>
          <w:lang w:val="en-US" w:eastAsia="ja-JP"/>
        </w:rPr>
        <w:lastRenderedPageBreak/>
        <w:t>4.</w:t>
      </w:r>
      <w:r w:rsidR="00CF48E8">
        <w:rPr>
          <w:lang w:val="en-US" w:eastAsia="ja-JP"/>
        </w:rPr>
        <w:t>2</w:t>
      </w:r>
      <w:r w:rsidR="00CF48E8">
        <w:rPr>
          <w:lang w:val="en-US" w:eastAsia="ja-JP"/>
        </w:rPr>
        <w:tab/>
      </w:r>
      <w:r w:rsidR="00D62CFD">
        <w:rPr>
          <w:lang w:val="en-US" w:eastAsia="ja-JP"/>
        </w:rPr>
        <w:t xml:space="preserve"> </w:t>
      </w:r>
      <w:r w:rsidR="008A6307">
        <w:rPr>
          <w:lang w:val="en-US" w:eastAsia="ja-JP"/>
        </w:rPr>
        <w:t>Comparing i</w:t>
      </w:r>
      <w:r w:rsidR="008F46AD" w:rsidRPr="00CF48E8">
        <w:rPr>
          <w:lang w:val="en-US" w:eastAsia="ja-JP"/>
        </w:rPr>
        <w:t>ndustries</w:t>
      </w:r>
      <w:bookmarkEnd w:id="79"/>
    </w:p>
    <w:p w14:paraId="752FF4EA" w14:textId="77777777" w:rsidR="002F24CF" w:rsidRPr="009D7C41" w:rsidRDefault="002F24CF" w:rsidP="002F24CF">
      <w:pPr>
        <w:pStyle w:val="Body"/>
        <w:rPr>
          <w:lang w:eastAsia="en-US"/>
        </w:rPr>
      </w:pPr>
    </w:p>
    <w:p w14:paraId="13856E3F" w14:textId="2022D61F" w:rsidR="002A7652" w:rsidRPr="004C771B" w:rsidRDefault="00F576A6" w:rsidP="004C771B">
      <w:r w:rsidRPr="004C771B">
        <w:t xml:space="preserve">The research </w:t>
      </w:r>
      <w:r w:rsidR="00C614F1">
        <w:t>demonstrates</w:t>
      </w:r>
      <w:r w:rsidR="00C614F1" w:rsidRPr="004C771B">
        <w:t xml:space="preserve"> </w:t>
      </w:r>
      <w:r w:rsidRPr="004C771B">
        <w:t xml:space="preserve">that </w:t>
      </w:r>
      <w:r w:rsidR="002B20BD" w:rsidRPr="004C771B">
        <w:t xml:space="preserve">that there are different approaches to hardship between the banking, </w:t>
      </w:r>
      <w:r w:rsidR="00436A36" w:rsidRPr="004C771B">
        <w:t>utility</w:t>
      </w:r>
      <w:r w:rsidR="002B20BD" w:rsidRPr="004C771B">
        <w:t xml:space="preserve"> and telco sectors.</w:t>
      </w:r>
    </w:p>
    <w:p w14:paraId="25B8F977" w14:textId="221BB5CD" w:rsidR="00F576A6" w:rsidRPr="004C771B" w:rsidRDefault="00F576A6" w:rsidP="004C771B">
      <w:r w:rsidRPr="004C771B">
        <w:t xml:space="preserve">Water companies were generally </w:t>
      </w:r>
      <w:r w:rsidR="00A436EA">
        <w:t>described</w:t>
      </w:r>
      <w:r w:rsidR="00C614F1" w:rsidRPr="004C771B">
        <w:t xml:space="preserve"> </w:t>
      </w:r>
      <w:r w:rsidRPr="004C771B">
        <w:t>as being the most progressive by interviewees</w:t>
      </w:r>
      <w:r w:rsidR="002C6AC2" w:rsidRPr="004C771B">
        <w:t xml:space="preserve"> – however we </w:t>
      </w:r>
      <w:r w:rsidRPr="004C771B">
        <w:t xml:space="preserve">note that these comments were </w:t>
      </w:r>
      <w:r w:rsidR="00C614F1">
        <w:t xml:space="preserve">related to </w:t>
      </w:r>
      <w:r w:rsidRPr="004C771B">
        <w:t>Victorian and New South Wales businesses</w:t>
      </w:r>
      <w:r w:rsidR="002C6AC2" w:rsidRPr="004C771B">
        <w:t xml:space="preserve"> and may not apply </w:t>
      </w:r>
      <w:r w:rsidR="00C614F1">
        <w:t>Australia wide</w:t>
      </w:r>
      <w:r w:rsidR="00CD7BAC" w:rsidRPr="004C771B">
        <w:t xml:space="preserve">. </w:t>
      </w:r>
      <w:r w:rsidRPr="004C771B">
        <w:t xml:space="preserve">A couple of </w:t>
      </w:r>
      <w:r w:rsidR="00AD56A2" w:rsidRPr="004C771B">
        <w:t>the large debt collection</w:t>
      </w:r>
      <w:r w:rsidRPr="004C771B">
        <w:t xml:space="preserve"> companies were also singled out as </w:t>
      </w:r>
      <w:r w:rsidR="00493A96">
        <w:t xml:space="preserve">implementing </w:t>
      </w:r>
      <w:r w:rsidRPr="004C771B">
        <w:t xml:space="preserve">effective </w:t>
      </w:r>
      <w:r w:rsidR="00493A96">
        <w:t>payment strategies</w:t>
      </w:r>
      <w:r w:rsidR="00493A96" w:rsidRPr="00493A96">
        <w:t xml:space="preserve"> </w:t>
      </w:r>
      <w:r w:rsidRPr="004C771B">
        <w:t>with customers in financial hardship.</w:t>
      </w:r>
    </w:p>
    <w:p w14:paraId="74C76BAC" w14:textId="1020B2FE" w:rsidR="008B5259" w:rsidRPr="004C771B" w:rsidRDefault="005E17CB" w:rsidP="004C771B">
      <w:r w:rsidRPr="004C771B">
        <w:t>The banking sector stands out as h</w:t>
      </w:r>
      <w:r w:rsidR="001A7B4A" w:rsidRPr="004C771B">
        <w:t xml:space="preserve">aving made a conscious decision, at </w:t>
      </w:r>
      <w:proofErr w:type="spellStart"/>
      <w:r w:rsidR="001A7B4A" w:rsidRPr="004C771B">
        <w:t>CEO</w:t>
      </w:r>
      <w:proofErr w:type="spellEnd"/>
      <w:r w:rsidR="001A7B4A" w:rsidRPr="004C771B">
        <w:t xml:space="preserve"> and industry level, to engage with consumer </w:t>
      </w:r>
      <w:r w:rsidR="002F68FC" w:rsidRPr="004C771B">
        <w:t>organisations</w:t>
      </w:r>
      <w:r w:rsidR="001A7B4A" w:rsidRPr="004C771B">
        <w:t>. This has resulted in a number of positive initiatives</w:t>
      </w:r>
      <w:r w:rsidR="002A7652" w:rsidRPr="004C771B">
        <w:t xml:space="preserve">: </w:t>
      </w:r>
      <w:r w:rsidR="00493A96">
        <w:t xml:space="preserve">they include </w:t>
      </w:r>
      <w:r w:rsidR="002A7652" w:rsidRPr="004C771B">
        <w:t>a hardship guideline, information about hardship on the home page of bank websites</w:t>
      </w:r>
      <w:r w:rsidR="00493A96">
        <w:t>,</w:t>
      </w:r>
      <w:r w:rsidR="002A7652" w:rsidRPr="004C771B">
        <w:t xml:space="preserve"> and a dedicated </w:t>
      </w:r>
      <w:r w:rsidR="00493A96">
        <w:t xml:space="preserve">hardship </w:t>
      </w:r>
      <w:r w:rsidR="002A7652" w:rsidRPr="004C771B">
        <w:t xml:space="preserve">website. </w:t>
      </w:r>
      <w:r w:rsidR="00493A96">
        <w:t>T</w:t>
      </w:r>
      <w:r w:rsidR="002A7652" w:rsidRPr="004C771B">
        <w:t xml:space="preserve">he four </w:t>
      </w:r>
      <w:r w:rsidR="00493A96">
        <w:t>largest</w:t>
      </w:r>
      <w:r w:rsidR="00493A96" w:rsidRPr="00493A96">
        <w:t xml:space="preserve"> </w:t>
      </w:r>
      <w:r w:rsidR="002A7652" w:rsidRPr="004C771B">
        <w:t>banks also en</w:t>
      </w:r>
      <w:r w:rsidR="00DE3DD9" w:rsidRPr="004C771B">
        <w:t xml:space="preserve">gage with financial counsellors. While it is not all </w:t>
      </w:r>
      <w:r w:rsidR="00DA0C85" w:rsidRPr="004C771B">
        <w:t>‘</w:t>
      </w:r>
      <w:r w:rsidR="00DE3DD9" w:rsidRPr="004C771B">
        <w:t>sweetness and light</w:t>
      </w:r>
      <w:r w:rsidR="00DA0C85" w:rsidRPr="004C771B">
        <w:t>’</w:t>
      </w:r>
      <w:r w:rsidR="00DE3DD9" w:rsidRPr="004C771B">
        <w:t xml:space="preserve"> (as one financial counsellor </w:t>
      </w:r>
      <w:r w:rsidR="00493A96">
        <w:t>described</w:t>
      </w:r>
      <w:r w:rsidR="00DE3DD9" w:rsidRPr="004C771B">
        <w:t xml:space="preserve">), there is a respectful, useful and </w:t>
      </w:r>
      <w:proofErr w:type="spellStart"/>
      <w:r w:rsidR="00DE3DD9" w:rsidRPr="004C771B">
        <w:t>ongoing</w:t>
      </w:r>
      <w:proofErr w:type="spellEnd"/>
      <w:r w:rsidR="00DE3DD9" w:rsidRPr="004C771B">
        <w:t xml:space="preserve"> dialogue.</w:t>
      </w:r>
      <w:r w:rsidR="008B5B5C" w:rsidRPr="004C771B">
        <w:t xml:space="preserve"> </w:t>
      </w:r>
    </w:p>
    <w:p w14:paraId="76B21F72" w14:textId="7EE390D4" w:rsidR="00B862C8" w:rsidRPr="004C771B" w:rsidRDefault="008B5259" w:rsidP="004C771B">
      <w:r w:rsidRPr="004C771B">
        <w:t xml:space="preserve">No </w:t>
      </w:r>
      <w:r w:rsidR="00B27ACE" w:rsidRPr="004C771B">
        <w:t>financial counsellor interviewe</w:t>
      </w:r>
      <w:r w:rsidR="00493A96">
        <w:t>es</w:t>
      </w:r>
      <w:r w:rsidRPr="004C771B">
        <w:t xml:space="preserve"> </w:t>
      </w:r>
      <w:r w:rsidR="00F134B5" w:rsidRPr="004C771B">
        <w:t xml:space="preserve">considered any of the </w:t>
      </w:r>
      <w:r w:rsidR="00447092" w:rsidRPr="004C771B">
        <w:t xml:space="preserve">telecommunication companies to demonstrate good practice. In fact, </w:t>
      </w:r>
      <w:r w:rsidR="00D52BFE" w:rsidRPr="004C771B">
        <w:t xml:space="preserve">they were </w:t>
      </w:r>
      <w:r w:rsidR="00493A96">
        <w:t>viewed</w:t>
      </w:r>
      <w:r w:rsidR="00493A96" w:rsidRPr="004C771B">
        <w:t xml:space="preserve"> </w:t>
      </w:r>
      <w:r w:rsidR="00D52BFE" w:rsidRPr="004C771B">
        <w:t xml:space="preserve">by </w:t>
      </w:r>
      <w:r w:rsidR="00AD56A2" w:rsidRPr="004C771B">
        <w:t>the majority of financial counsellors and consumer advocates</w:t>
      </w:r>
      <w:r w:rsidR="00D52BFE" w:rsidRPr="004C771B">
        <w:t xml:space="preserve"> as the </w:t>
      </w:r>
      <w:r w:rsidR="00493A96">
        <w:t>poorest</w:t>
      </w:r>
      <w:r w:rsidR="00493A96" w:rsidRPr="004C771B">
        <w:t xml:space="preserve"> </w:t>
      </w:r>
      <w:r w:rsidR="00D52BFE" w:rsidRPr="004C771B">
        <w:t>performing sector</w:t>
      </w:r>
      <w:r w:rsidR="00493A96">
        <w:t xml:space="preserve"> in regard to hardship practices</w:t>
      </w:r>
      <w:r w:rsidR="00D52BFE" w:rsidRPr="004C771B">
        <w:t xml:space="preserve">. </w:t>
      </w:r>
      <w:r w:rsidR="00493A96">
        <w:t>While t</w:t>
      </w:r>
      <w:r w:rsidR="00D52BFE" w:rsidRPr="004C771B">
        <w:t xml:space="preserve">here were examples of good client outcomes, </w:t>
      </w:r>
      <w:r w:rsidR="00F134B5" w:rsidRPr="004C771B">
        <w:t xml:space="preserve">this was </w:t>
      </w:r>
      <w:r w:rsidR="00FA2CAE" w:rsidRPr="004C771B">
        <w:t>typically</w:t>
      </w:r>
      <w:r w:rsidR="00F134B5" w:rsidRPr="004C771B">
        <w:t xml:space="preserve"> after clients had</w:t>
      </w:r>
      <w:r w:rsidR="00493A96">
        <w:t xml:space="preserve"> already</w:t>
      </w:r>
      <w:r w:rsidR="00F134B5" w:rsidRPr="004C771B">
        <w:t xml:space="preserve"> tried and failed</w:t>
      </w:r>
      <w:r w:rsidR="00493A96">
        <w:t xml:space="preserve"> at attaining hardship assistance</w:t>
      </w:r>
      <w:r w:rsidR="00F134B5" w:rsidRPr="004C771B">
        <w:t xml:space="preserve">. </w:t>
      </w:r>
    </w:p>
    <w:p w14:paraId="2A6D5672" w14:textId="03F4C69F" w:rsidR="003B721B" w:rsidRPr="004C771B" w:rsidRDefault="007836F5" w:rsidP="004C771B">
      <w:r w:rsidRPr="004C771B">
        <w:t xml:space="preserve">The research also uncovered </w:t>
      </w:r>
      <w:r w:rsidR="00B27ACE" w:rsidRPr="004C771B">
        <w:t xml:space="preserve">a large degree of variability in the size of the hardship teams </w:t>
      </w:r>
      <w:r w:rsidR="00493A96">
        <w:t xml:space="preserve">from </w:t>
      </w:r>
      <w:r w:rsidR="00B27ACE" w:rsidRPr="004C771B">
        <w:t xml:space="preserve">different industries. </w:t>
      </w:r>
      <w:r w:rsidR="00493A96">
        <w:t>In</w:t>
      </w:r>
      <w:r w:rsidR="00B27ACE" w:rsidRPr="004C771B">
        <w:t xml:space="preserve"> the four </w:t>
      </w:r>
      <w:r w:rsidR="00493A96">
        <w:t>largest</w:t>
      </w:r>
      <w:r w:rsidR="00493A96" w:rsidRPr="00493A96">
        <w:t xml:space="preserve"> </w:t>
      </w:r>
      <w:r w:rsidR="00B27ACE" w:rsidRPr="004C771B">
        <w:t xml:space="preserve">banks, hardship teams vary from between 60 to 105 staff. The largest hardship team in a telco </w:t>
      </w:r>
      <w:r w:rsidR="0095246C">
        <w:t>comprised of</w:t>
      </w:r>
      <w:r w:rsidR="00B27ACE" w:rsidRPr="004C771B">
        <w:t xml:space="preserve"> 14 staff. This is</w:t>
      </w:r>
      <w:r w:rsidR="00493A96">
        <w:t xml:space="preserve"> a</w:t>
      </w:r>
      <w:r w:rsidR="00B27ACE" w:rsidRPr="004C771B">
        <w:t xml:space="preserve"> </w:t>
      </w:r>
      <w:r w:rsidR="00493A96">
        <w:t>significant</w:t>
      </w:r>
      <w:r w:rsidR="00B27ACE" w:rsidRPr="004C771B">
        <w:t xml:space="preserve"> </w:t>
      </w:r>
      <w:r w:rsidR="00493A96">
        <w:t>contrast</w:t>
      </w:r>
      <w:r w:rsidR="00493A96" w:rsidRPr="004C771B">
        <w:t xml:space="preserve"> </w:t>
      </w:r>
      <w:r w:rsidR="00062261" w:rsidRPr="004C771B">
        <w:t xml:space="preserve">and </w:t>
      </w:r>
      <w:r w:rsidR="00493A96">
        <w:t xml:space="preserve">is </w:t>
      </w:r>
      <w:r w:rsidR="00062261" w:rsidRPr="004C771B">
        <w:t>not easily explained by</w:t>
      </w:r>
      <w:r w:rsidR="00493A96">
        <w:t xml:space="preserve"> inherent</w:t>
      </w:r>
      <w:r w:rsidR="00062261" w:rsidRPr="004C771B">
        <w:t xml:space="preserve"> differen</w:t>
      </w:r>
      <w:r w:rsidR="00493A96">
        <w:t>ces between</w:t>
      </w:r>
      <w:r w:rsidR="00062261" w:rsidRPr="004C771B">
        <w:t xml:space="preserve"> industr</w:t>
      </w:r>
      <w:r w:rsidR="00493A96">
        <w:t>ies</w:t>
      </w:r>
      <w:r w:rsidR="00062261" w:rsidRPr="004C771B">
        <w:t xml:space="preserve"> or customer numbers.</w:t>
      </w:r>
    </w:p>
    <w:p w14:paraId="3F9A1AF9" w14:textId="6665829C" w:rsidR="002F68FC" w:rsidRPr="00CF48E8" w:rsidRDefault="00441554" w:rsidP="00CF48E8">
      <w:pPr>
        <w:pStyle w:val="Heading1"/>
        <w:rPr>
          <w:lang w:val="en-US" w:eastAsia="ja-JP"/>
        </w:rPr>
      </w:pPr>
      <w:bookmarkStart w:id="80" w:name="_Toc387144786"/>
      <w:r>
        <w:rPr>
          <w:lang w:val="en-US" w:eastAsia="ja-JP"/>
        </w:rPr>
        <w:lastRenderedPageBreak/>
        <w:t>4.</w:t>
      </w:r>
      <w:r w:rsidR="00CF48E8">
        <w:rPr>
          <w:lang w:val="en-US" w:eastAsia="ja-JP"/>
        </w:rPr>
        <w:t>3</w:t>
      </w:r>
      <w:r w:rsidR="00CF48E8">
        <w:rPr>
          <w:lang w:val="en-US" w:eastAsia="ja-JP"/>
        </w:rPr>
        <w:tab/>
      </w:r>
      <w:r w:rsidR="008A6307">
        <w:rPr>
          <w:lang w:val="en-US" w:eastAsia="ja-JP"/>
        </w:rPr>
        <w:t>Drawing the research t</w:t>
      </w:r>
      <w:r w:rsidR="00A64563">
        <w:rPr>
          <w:lang w:val="en-US" w:eastAsia="ja-JP"/>
        </w:rPr>
        <w:t>ogether</w:t>
      </w:r>
      <w:bookmarkEnd w:id="80"/>
    </w:p>
    <w:p w14:paraId="160987D8" w14:textId="77777777" w:rsidR="00B862C8" w:rsidRDefault="00B862C8" w:rsidP="00B862C8">
      <w:pPr>
        <w:spacing w:after="0" w:line="240" w:lineRule="auto"/>
        <w:ind w:left="851"/>
      </w:pPr>
    </w:p>
    <w:p w14:paraId="3B617465" w14:textId="17EA9183" w:rsidR="00BB61C4" w:rsidRDefault="00110E82" w:rsidP="004C771B">
      <w:r w:rsidRPr="004C771B">
        <w:t xml:space="preserve">The purpose of the </w:t>
      </w:r>
      <w:r w:rsidR="00F617FF">
        <w:t xml:space="preserve">study </w:t>
      </w:r>
      <w:r w:rsidRPr="004C771B">
        <w:t xml:space="preserve">was to </w:t>
      </w:r>
      <w:r w:rsidR="00F617FF">
        <w:t>elucidate</w:t>
      </w:r>
      <w:r w:rsidRPr="004C771B">
        <w:t xml:space="preserve"> </w:t>
      </w:r>
      <w:r w:rsidR="00DA0C85" w:rsidRPr="004C771B">
        <w:t>‘</w:t>
      </w:r>
      <w:r w:rsidRPr="004C771B">
        <w:t>what works</w:t>
      </w:r>
      <w:r w:rsidR="00DA0C85" w:rsidRPr="004C771B">
        <w:t>’</w:t>
      </w:r>
      <w:r w:rsidR="00D26B99" w:rsidRPr="004C771B">
        <w:t xml:space="preserve"> </w:t>
      </w:r>
      <w:r w:rsidR="003840F9" w:rsidRPr="004C771B">
        <w:t>when assisting customers in financial hardship</w:t>
      </w:r>
      <w:r w:rsidR="00F617FF">
        <w:t>. The research also endeavoured to pinpoint</w:t>
      </w:r>
      <w:r w:rsidR="00D26B99" w:rsidRPr="004C771B">
        <w:t xml:space="preserve"> what</w:t>
      </w:r>
      <w:r w:rsidR="00373FF0">
        <w:t xml:space="preserve"> strategies</w:t>
      </w:r>
      <w:r w:rsidR="00D26B99" w:rsidRPr="004C771B">
        <w:t xml:space="preserve"> </w:t>
      </w:r>
      <w:r w:rsidR="003840F9" w:rsidRPr="004C771B">
        <w:t>can be</w:t>
      </w:r>
      <w:r w:rsidR="0068045D" w:rsidRPr="004C771B">
        <w:t xml:space="preserve"> applied across industries and specifically</w:t>
      </w:r>
      <w:r w:rsidR="00373FF0">
        <w:t>,</w:t>
      </w:r>
      <w:r w:rsidR="0068045D" w:rsidRPr="004C771B">
        <w:t xml:space="preserve"> telecommunications. What </w:t>
      </w:r>
      <w:r w:rsidR="00373FF0">
        <w:t>was evident</w:t>
      </w:r>
      <w:r w:rsidR="00373FF0" w:rsidRPr="004C771B">
        <w:t xml:space="preserve"> </w:t>
      </w:r>
      <w:r w:rsidR="0068045D" w:rsidRPr="004C771B">
        <w:t xml:space="preserve">from the </w:t>
      </w:r>
      <w:r w:rsidR="00373FF0">
        <w:t>study</w:t>
      </w:r>
      <w:r w:rsidR="00373FF0" w:rsidRPr="004C771B">
        <w:t xml:space="preserve"> </w:t>
      </w:r>
      <w:r w:rsidR="00A77755" w:rsidRPr="004C771B">
        <w:t>is</w:t>
      </w:r>
      <w:r w:rsidR="0068045D" w:rsidRPr="004C771B">
        <w:t xml:space="preserve"> </w:t>
      </w:r>
      <w:r w:rsidR="00373FF0">
        <w:t>th</w:t>
      </w:r>
      <w:r w:rsidR="00A436EA">
        <w:t xml:space="preserve">e prevalence of certain topics </w:t>
      </w:r>
      <w:r w:rsidR="00373FF0">
        <w:t>that focus on</w:t>
      </w:r>
      <w:r w:rsidR="0068045D" w:rsidRPr="004C771B">
        <w:t xml:space="preserve"> the importance of </w:t>
      </w:r>
      <w:r w:rsidR="00DA0C85" w:rsidRPr="004C771B">
        <w:t>‘</w:t>
      </w:r>
      <w:r w:rsidR="0068045D" w:rsidRPr="004C771B">
        <w:t>access</w:t>
      </w:r>
      <w:r w:rsidR="00DA0C85" w:rsidRPr="004C771B">
        <w:t>’</w:t>
      </w:r>
      <w:r w:rsidR="00216FE7" w:rsidRPr="004C771B">
        <w:t xml:space="preserve"> </w:t>
      </w:r>
      <w:r w:rsidR="00373FF0">
        <w:t>and</w:t>
      </w:r>
      <w:r w:rsidR="00216FE7" w:rsidRPr="004C771B">
        <w:t xml:space="preserve"> </w:t>
      </w:r>
      <w:r w:rsidR="00DA0C85" w:rsidRPr="004C771B">
        <w:t>‘</w:t>
      </w:r>
      <w:r w:rsidR="00216FE7" w:rsidRPr="004C771B">
        <w:t>attitudes</w:t>
      </w:r>
      <w:r w:rsidR="00DA0C85" w:rsidRPr="004C771B">
        <w:t>’</w:t>
      </w:r>
      <w:r w:rsidR="00373FF0">
        <w:t>.</w:t>
      </w:r>
      <w:r w:rsidR="00A77755" w:rsidRPr="004C771B">
        <w:t xml:space="preserve"> </w:t>
      </w:r>
      <w:r w:rsidR="00373FF0">
        <w:t>The study also extracted several</w:t>
      </w:r>
      <w:r w:rsidR="00A436EA">
        <w:t xml:space="preserve"> </w:t>
      </w:r>
      <w:r w:rsidR="00216FE7" w:rsidRPr="004C771B">
        <w:t xml:space="preserve">examples </w:t>
      </w:r>
      <w:r w:rsidR="00373FF0">
        <w:t xml:space="preserve">that </w:t>
      </w:r>
      <w:r w:rsidR="00373FF0" w:rsidRPr="00AA6566">
        <w:t>showcas</w:t>
      </w:r>
      <w:r w:rsidR="00373FF0">
        <w:t xml:space="preserve">e </w:t>
      </w:r>
      <w:r w:rsidR="00216FE7" w:rsidRPr="004C771B">
        <w:t>what is working</w:t>
      </w:r>
      <w:r w:rsidR="00373FF0">
        <w:t xml:space="preserve"> in the hardship sector</w:t>
      </w:r>
      <w:r w:rsidR="00216FE7" w:rsidRPr="004C771B">
        <w:t xml:space="preserve">. </w:t>
      </w:r>
    </w:p>
    <w:p w14:paraId="3A09D102" w14:textId="4F3EA517" w:rsidR="00A21B69" w:rsidRPr="007E7589" w:rsidRDefault="007E7589" w:rsidP="007E7589">
      <w:r>
        <w:t>We have</w:t>
      </w:r>
      <w:r w:rsidR="00804511" w:rsidRPr="004C771B">
        <w:t xml:space="preserve"> </w:t>
      </w:r>
      <w:r w:rsidR="00373FF0">
        <w:t>extracted</w:t>
      </w:r>
      <w:r w:rsidR="00804511" w:rsidRPr="004C771B">
        <w:t xml:space="preserve"> what </w:t>
      </w:r>
      <w:r w:rsidR="00D43F30" w:rsidRPr="004C771B">
        <w:t xml:space="preserve">we </w:t>
      </w:r>
      <w:r w:rsidR="00373FF0">
        <w:t>view</w:t>
      </w:r>
      <w:r w:rsidR="00373FF0" w:rsidRPr="004C771B">
        <w:t xml:space="preserve"> </w:t>
      </w:r>
      <w:r w:rsidR="00D43F30" w:rsidRPr="004C771B">
        <w:t xml:space="preserve">as key </w:t>
      </w:r>
      <w:proofErr w:type="spellStart"/>
      <w:r w:rsidR="00D43F30" w:rsidRPr="004C771B">
        <w:t>learnings</w:t>
      </w:r>
      <w:proofErr w:type="spellEnd"/>
      <w:r w:rsidR="006000C6" w:rsidRPr="004C771B">
        <w:t xml:space="preserve"> </w:t>
      </w:r>
      <w:r w:rsidR="00373FF0">
        <w:t>relating to</w:t>
      </w:r>
      <w:r w:rsidR="00373FF0" w:rsidRPr="004C771B">
        <w:t xml:space="preserve"> </w:t>
      </w:r>
      <w:r w:rsidR="006000C6" w:rsidRPr="004C771B">
        <w:t>effective hardship programs</w:t>
      </w:r>
      <w:r>
        <w:t>.</w:t>
      </w:r>
    </w:p>
    <w:p w14:paraId="25A41DE8" w14:textId="550DDB92" w:rsidR="002A06DC" w:rsidRPr="004C771B" w:rsidRDefault="009C3018" w:rsidP="00231A16">
      <w:pPr>
        <w:pStyle w:val="ListParagraph"/>
        <w:numPr>
          <w:ilvl w:val="0"/>
          <w:numId w:val="18"/>
        </w:numPr>
        <w:spacing w:after="0" w:line="240" w:lineRule="auto"/>
      </w:pPr>
      <w:r w:rsidRPr="004C771B">
        <w:t xml:space="preserve">The </w:t>
      </w:r>
      <w:r w:rsidR="00373FF0" w:rsidRPr="004C771B">
        <w:t>foundation</w:t>
      </w:r>
      <w:r w:rsidRPr="004C771B">
        <w:t xml:space="preserve"> for a successful hardship program </w:t>
      </w:r>
      <w:r w:rsidR="00373FF0" w:rsidRPr="004C771B">
        <w:t xml:space="preserve">is </w:t>
      </w:r>
      <w:r w:rsidRPr="004C771B">
        <w:t xml:space="preserve">the attitudes and values of the </w:t>
      </w:r>
      <w:r w:rsidR="002A06DC" w:rsidRPr="004C771B">
        <w:t xml:space="preserve">people in the </w:t>
      </w:r>
      <w:r w:rsidRPr="004C771B">
        <w:t xml:space="preserve">organisation. </w:t>
      </w:r>
      <w:r w:rsidR="002A06DC" w:rsidRPr="004C771B">
        <w:t xml:space="preserve">Companies </w:t>
      </w:r>
      <w:r w:rsidR="00373FF0" w:rsidRPr="004C771B">
        <w:t>that effectively</w:t>
      </w:r>
      <w:r w:rsidR="002A06DC" w:rsidRPr="004C771B">
        <w:t xml:space="preserve"> help people overcome financial difficulty start from the </w:t>
      </w:r>
      <w:r w:rsidR="00E75A5A" w:rsidRPr="004C771B">
        <w:t>mind-set</w:t>
      </w:r>
      <w:r w:rsidR="00373FF0" w:rsidRPr="004C771B">
        <w:t xml:space="preserve"> </w:t>
      </w:r>
      <w:r w:rsidR="002A06DC" w:rsidRPr="004C771B">
        <w:t xml:space="preserve">that people want to pay. </w:t>
      </w:r>
      <w:r w:rsidR="00480F90" w:rsidRPr="004C771B">
        <w:t xml:space="preserve">This is an absolutely fundamental point </w:t>
      </w:r>
      <w:r w:rsidR="00373FF0" w:rsidRPr="004C771B">
        <w:t>–</w:t>
      </w:r>
      <w:r w:rsidR="003840F9" w:rsidRPr="004C771B">
        <w:t xml:space="preserve"> organisational values, whether written or unwritten,</w:t>
      </w:r>
      <w:r w:rsidR="00BB6873" w:rsidRPr="004C771B">
        <w:t xml:space="preserve"> </w:t>
      </w:r>
      <w:r w:rsidR="00480F90" w:rsidRPr="004C771B">
        <w:t xml:space="preserve">will shape the way </w:t>
      </w:r>
      <w:r w:rsidR="00373FF0" w:rsidRPr="004C771B">
        <w:t xml:space="preserve">consumers </w:t>
      </w:r>
      <w:r w:rsidR="00480F90" w:rsidRPr="004C771B">
        <w:t>are treated</w:t>
      </w:r>
      <w:r w:rsidR="00E824AB" w:rsidRPr="004C771B">
        <w:t xml:space="preserve"> and </w:t>
      </w:r>
      <w:r w:rsidR="00BB6873" w:rsidRPr="004C771B">
        <w:t xml:space="preserve">influence </w:t>
      </w:r>
      <w:r w:rsidR="00E824AB" w:rsidRPr="004C771B">
        <w:t xml:space="preserve">the </w:t>
      </w:r>
      <w:r w:rsidR="00373FF0" w:rsidRPr="004C771B">
        <w:t>company</w:t>
      </w:r>
      <w:r w:rsidR="00DD5334">
        <w:t>’s</w:t>
      </w:r>
      <w:r w:rsidR="00373FF0" w:rsidRPr="004C771B">
        <w:t xml:space="preserve"> </w:t>
      </w:r>
      <w:r w:rsidR="00E824AB" w:rsidRPr="004C771B">
        <w:t>structures.</w:t>
      </w:r>
    </w:p>
    <w:p w14:paraId="241C2181" w14:textId="77777777" w:rsidR="002A06DC" w:rsidRPr="004C771B" w:rsidRDefault="002A06DC" w:rsidP="00776EF9">
      <w:pPr>
        <w:spacing w:after="0" w:line="240" w:lineRule="auto"/>
        <w:ind w:left="851"/>
      </w:pPr>
    </w:p>
    <w:p w14:paraId="663E0BA2" w14:textId="374A16E3" w:rsidR="009C3018" w:rsidRPr="004C771B" w:rsidRDefault="00352967" w:rsidP="00231A16">
      <w:pPr>
        <w:pStyle w:val="ListParagraph"/>
        <w:numPr>
          <w:ilvl w:val="0"/>
          <w:numId w:val="18"/>
        </w:numPr>
        <w:spacing w:after="0" w:line="240" w:lineRule="auto"/>
      </w:pPr>
      <w:r w:rsidRPr="004C771B">
        <w:t>Just as important</w:t>
      </w:r>
      <w:r w:rsidR="00F227FA" w:rsidRPr="004C771B">
        <w:t>ly</w:t>
      </w:r>
      <w:r w:rsidRPr="004C771B">
        <w:t>,</w:t>
      </w:r>
      <w:r w:rsidR="002A06DC" w:rsidRPr="004C771B">
        <w:t xml:space="preserve"> </w:t>
      </w:r>
      <w:r w:rsidR="00E824AB" w:rsidRPr="004C771B">
        <w:t xml:space="preserve">and linked to values, </w:t>
      </w:r>
      <w:r w:rsidR="002A06DC" w:rsidRPr="004C771B">
        <w:t xml:space="preserve">will be </w:t>
      </w:r>
      <w:r w:rsidR="003840F9" w:rsidRPr="004C771B">
        <w:t xml:space="preserve">the </w:t>
      </w:r>
      <w:r w:rsidR="002A06DC" w:rsidRPr="004C771B">
        <w:t xml:space="preserve">commitment from senior management to the </w:t>
      </w:r>
      <w:r w:rsidR="00BB6873" w:rsidRPr="004C771B">
        <w:t xml:space="preserve">hardship </w:t>
      </w:r>
      <w:r w:rsidR="002A06DC" w:rsidRPr="004C771B">
        <w:t xml:space="preserve">program. </w:t>
      </w:r>
      <w:r w:rsidR="00E824AB" w:rsidRPr="004C771B">
        <w:t xml:space="preserve">Ultimately, sustaining a successful hardship program will depend on </w:t>
      </w:r>
      <w:r w:rsidR="00BB6873" w:rsidRPr="004C771B">
        <w:t xml:space="preserve">the commitment and leadership from senior management and hardship team </w:t>
      </w:r>
      <w:r w:rsidR="00CC5333" w:rsidRPr="004C771B">
        <w:t>staff</w:t>
      </w:r>
      <w:r w:rsidR="00E824AB" w:rsidRPr="004C771B">
        <w:t xml:space="preserve">. </w:t>
      </w:r>
      <w:r w:rsidR="00BB6873" w:rsidRPr="004C771B">
        <w:t>From this commitment</w:t>
      </w:r>
      <w:r w:rsidR="005267A4" w:rsidRPr="004C771B">
        <w:t>,</w:t>
      </w:r>
      <w:r w:rsidR="00BB6873" w:rsidRPr="004C771B">
        <w:t xml:space="preserve"> for example, would flow resources.</w:t>
      </w:r>
    </w:p>
    <w:p w14:paraId="75512169" w14:textId="77777777" w:rsidR="00E824AB" w:rsidRPr="004C771B" w:rsidRDefault="00E824AB" w:rsidP="00776EF9">
      <w:pPr>
        <w:spacing w:after="0" w:line="240" w:lineRule="auto"/>
        <w:ind w:left="851"/>
      </w:pPr>
    </w:p>
    <w:p w14:paraId="447BB800" w14:textId="47641137" w:rsidR="000A58FA" w:rsidRPr="004C771B" w:rsidRDefault="00CC5333" w:rsidP="00231A16">
      <w:pPr>
        <w:pStyle w:val="ListParagraph"/>
        <w:numPr>
          <w:ilvl w:val="0"/>
          <w:numId w:val="18"/>
        </w:numPr>
        <w:spacing w:after="0" w:line="240" w:lineRule="auto"/>
      </w:pPr>
      <w:r w:rsidRPr="004C771B">
        <w:t xml:space="preserve">Moving from the philosophical underpinnings, the next elements </w:t>
      </w:r>
      <w:r w:rsidR="00B82E30" w:rsidRPr="004C771B">
        <w:t xml:space="preserve">of an effective hardship program </w:t>
      </w:r>
      <w:r w:rsidR="008B31BC" w:rsidRPr="004C771B">
        <w:t>concern</w:t>
      </w:r>
      <w:r w:rsidR="00B82E30" w:rsidRPr="004C771B">
        <w:t xml:space="preserve"> systems and processes. </w:t>
      </w:r>
      <w:r w:rsidR="008B31BC" w:rsidRPr="004C771B">
        <w:t xml:space="preserve">The first point is access – as one interviewee said </w:t>
      </w:r>
      <w:r w:rsidR="00DA0C85" w:rsidRPr="004C771B">
        <w:t>‘</w:t>
      </w:r>
      <w:r w:rsidR="008B31BC" w:rsidRPr="004C771B">
        <w:t>you can’t ask for help, if you don’t know it exists</w:t>
      </w:r>
      <w:r w:rsidR="00DA0C85" w:rsidRPr="004C771B">
        <w:t>’</w:t>
      </w:r>
      <w:r w:rsidR="008B31BC" w:rsidRPr="004C771B">
        <w:t xml:space="preserve">. </w:t>
      </w:r>
      <w:r w:rsidR="00E403E0" w:rsidRPr="004C771B">
        <w:t xml:space="preserve">Good hardship programs are promoted and people are encouraged to ask for help. </w:t>
      </w:r>
      <w:r w:rsidR="005267A4" w:rsidRPr="004C771B">
        <w:t xml:space="preserve">In these cases, </w:t>
      </w:r>
      <w:proofErr w:type="gramStart"/>
      <w:r w:rsidR="005267A4" w:rsidRPr="004C771B">
        <w:t>s</w:t>
      </w:r>
      <w:r w:rsidR="00E403E0" w:rsidRPr="004C771B">
        <w:t>taff in collections are</w:t>
      </w:r>
      <w:proofErr w:type="gramEnd"/>
      <w:r w:rsidR="00E403E0" w:rsidRPr="004C771B">
        <w:t xml:space="preserve"> trained to identify when customers </w:t>
      </w:r>
      <w:r w:rsidR="005267A4" w:rsidRPr="004C771B">
        <w:t xml:space="preserve">require </w:t>
      </w:r>
      <w:r w:rsidR="00E403E0" w:rsidRPr="004C771B">
        <w:t>more flexible arrangements</w:t>
      </w:r>
      <w:r w:rsidR="003840F9" w:rsidRPr="004C771B">
        <w:t xml:space="preserve"> and will make the necessary referrals</w:t>
      </w:r>
      <w:r w:rsidR="00E403E0" w:rsidRPr="004C771B">
        <w:t>.</w:t>
      </w:r>
    </w:p>
    <w:p w14:paraId="594E9F68" w14:textId="77777777" w:rsidR="008B31BC" w:rsidRPr="004C771B" w:rsidRDefault="008B31BC" w:rsidP="008B31BC">
      <w:pPr>
        <w:pStyle w:val="ListParagraph"/>
      </w:pPr>
    </w:p>
    <w:p w14:paraId="38463698" w14:textId="26462E61" w:rsidR="008B31BC" w:rsidRPr="004C771B" w:rsidRDefault="005267A4" w:rsidP="00231A16">
      <w:pPr>
        <w:pStyle w:val="ListParagraph"/>
        <w:numPr>
          <w:ilvl w:val="0"/>
          <w:numId w:val="18"/>
        </w:numPr>
        <w:spacing w:after="0" w:line="240" w:lineRule="auto"/>
      </w:pPr>
      <w:r w:rsidRPr="004C771B">
        <w:t>E</w:t>
      </w:r>
      <w:r w:rsidR="008B31BC" w:rsidRPr="004C771B">
        <w:t xml:space="preserve">arly identification of people in financial difficulty is possible, but </w:t>
      </w:r>
      <w:r w:rsidR="00D460E3">
        <w:t>must</w:t>
      </w:r>
      <w:r w:rsidR="00C813E6" w:rsidRPr="004C771B">
        <w:t xml:space="preserve"> be undertaken</w:t>
      </w:r>
      <w:r w:rsidR="008B31BC" w:rsidRPr="004C771B">
        <w:t xml:space="preserve"> </w:t>
      </w:r>
      <w:r w:rsidRPr="004C771B">
        <w:t>with sensitivity</w:t>
      </w:r>
      <w:r w:rsidR="008B31BC" w:rsidRPr="004C771B">
        <w:t xml:space="preserve"> and </w:t>
      </w:r>
      <w:r w:rsidRPr="004C771B">
        <w:t xml:space="preserve">by </w:t>
      </w:r>
      <w:r w:rsidR="008B31BC" w:rsidRPr="004C771B">
        <w:t xml:space="preserve">using appropriate channels. There are some </w:t>
      </w:r>
      <w:r w:rsidRPr="004C771B">
        <w:t xml:space="preserve">hardship </w:t>
      </w:r>
      <w:r w:rsidR="00D347F9">
        <w:t>groups</w:t>
      </w:r>
      <w:r w:rsidR="008B31BC" w:rsidRPr="004C771B">
        <w:t xml:space="preserve"> </w:t>
      </w:r>
      <w:r w:rsidR="0049498F">
        <w:t>that</w:t>
      </w:r>
      <w:r w:rsidR="00D11294" w:rsidRPr="004C771B">
        <w:t xml:space="preserve"> </w:t>
      </w:r>
      <w:r w:rsidR="00E403E0" w:rsidRPr="004C771B">
        <w:t>find it very difficult to contact a supplier</w:t>
      </w:r>
      <w:r w:rsidRPr="004C771B">
        <w:t xml:space="preserve"> or </w:t>
      </w:r>
      <w:r w:rsidR="00E403E0" w:rsidRPr="004C771B">
        <w:t xml:space="preserve">creditor and </w:t>
      </w:r>
      <w:r w:rsidRPr="004C771B">
        <w:t>admit</w:t>
      </w:r>
      <w:r w:rsidR="00E403E0" w:rsidRPr="004C771B">
        <w:t xml:space="preserve"> they are struggling</w:t>
      </w:r>
      <w:r w:rsidRPr="004C771B">
        <w:t>. This may be due to feelings of shame, fear, stress or uncertainty</w:t>
      </w:r>
      <w:r w:rsidR="00E403E0" w:rsidRPr="004C771B">
        <w:t xml:space="preserve">. </w:t>
      </w:r>
      <w:r w:rsidR="00D11294" w:rsidRPr="004C771B">
        <w:t xml:space="preserve">Early identification </w:t>
      </w:r>
      <w:r w:rsidRPr="004C771B">
        <w:t>is</w:t>
      </w:r>
      <w:r w:rsidR="00D11294" w:rsidRPr="004C771B">
        <w:t xml:space="preserve"> particularly important for this group.</w:t>
      </w:r>
    </w:p>
    <w:p w14:paraId="78A92893" w14:textId="77777777" w:rsidR="00D11294" w:rsidRPr="004C771B" w:rsidRDefault="00D11294" w:rsidP="00D11294">
      <w:pPr>
        <w:pStyle w:val="ListParagraph"/>
      </w:pPr>
    </w:p>
    <w:p w14:paraId="0C869AEC" w14:textId="4DD6C2D8" w:rsidR="00D11294" w:rsidRPr="004C771B" w:rsidRDefault="00A1419F" w:rsidP="00231A16">
      <w:pPr>
        <w:pStyle w:val="ListParagraph"/>
        <w:numPr>
          <w:ilvl w:val="0"/>
          <w:numId w:val="18"/>
        </w:numPr>
        <w:spacing w:after="0" w:line="240" w:lineRule="auto"/>
      </w:pPr>
      <w:r w:rsidRPr="004C771B">
        <w:t xml:space="preserve">Hardship programs operate within a regulatory framework. One interesting finding from the research was </w:t>
      </w:r>
      <w:r w:rsidR="009E1282" w:rsidRPr="004C771B">
        <w:t>the</w:t>
      </w:r>
      <w:r w:rsidRPr="004C771B">
        <w:t xml:space="preserve"> importan</w:t>
      </w:r>
      <w:r w:rsidR="009E1282" w:rsidRPr="004C771B">
        <w:t>ce</w:t>
      </w:r>
      <w:r w:rsidRPr="004C771B">
        <w:t xml:space="preserve"> </w:t>
      </w:r>
      <w:r w:rsidR="009E1282" w:rsidRPr="004C771B">
        <w:t xml:space="preserve">placed on </w:t>
      </w:r>
      <w:r w:rsidRPr="004C771B">
        <w:t>framework</w:t>
      </w:r>
      <w:r w:rsidR="009E1282" w:rsidRPr="004C771B">
        <w:t>s</w:t>
      </w:r>
      <w:r w:rsidRPr="004C771B">
        <w:t xml:space="preserve"> </w:t>
      </w:r>
      <w:r w:rsidR="00A436EA">
        <w:t>as</w:t>
      </w:r>
      <w:r w:rsidRPr="004C771B">
        <w:t xml:space="preserve"> influenc</w:t>
      </w:r>
      <w:r w:rsidR="009E1282" w:rsidRPr="004C771B">
        <w:t>ers of</w:t>
      </w:r>
      <w:r w:rsidRPr="004C771B">
        <w:t xml:space="preserve"> behaviour.</w:t>
      </w:r>
      <w:r w:rsidR="00F227FA" w:rsidRPr="004C771B">
        <w:t xml:space="preserve"> In other words, stronger </w:t>
      </w:r>
      <w:r w:rsidR="00D347F9" w:rsidRPr="004C771B">
        <w:t>regulation (and a stronger regulator) makes</w:t>
      </w:r>
      <w:r w:rsidR="00F227FA" w:rsidRPr="004C771B">
        <w:t xml:space="preserve"> a difference.</w:t>
      </w:r>
    </w:p>
    <w:p w14:paraId="22F20B9B" w14:textId="77777777" w:rsidR="00F227FA" w:rsidRPr="004C771B" w:rsidRDefault="00F227FA" w:rsidP="00F227FA">
      <w:pPr>
        <w:pStyle w:val="ListParagraph"/>
      </w:pPr>
    </w:p>
    <w:p w14:paraId="3AB3F1CE" w14:textId="6112C821" w:rsidR="00F227FA" w:rsidRPr="004C771B" w:rsidRDefault="00F227FA" w:rsidP="00231A16">
      <w:pPr>
        <w:pStyle w:val="ListParagraph"/>
        <w:numPr>
          <w:ilvl w:val="0"/>
          <w:numId w:val="18"/>
        </w:numPr>
        <w:spacing w:after="0" w:line="240" w:lineRule="auto"/>
      </w:pPr>
      <w:r w:rsidRPr="004C771B">
        <w:t xml:space="preserve">However, self-regulatory initiatives can also play a significant part in shaping the way an industry responds to hardship. The initiatives from the banking sector are a </w:t>
      </w:r>
      <w:r w:rsidR="009E1282" w:rsidRPr="004C771B">
        <w:t>good example</w:t>
      </w:r>
      <w:r w:rsidRPr="004C771B">
        <w:t>.</w:t>
      </w:r>
    </w:p>
    <w:p w14:paraId="24504407" w14:textId="77777777" w:rsidR="00F227FA" w:rsidRPr="004C771B" w:rsidRDefault="00F227FA" w:rsidP="00F227FA">
      <w:pPr>
        <w:pStyle w:val="ListParagraph"/>
      </w:pPr>
    </w:p>
    <w:p w14:paraId="364E925E" w14:textId="72AD05E0" w:rsidR="00F227FA" w:rsidRPr="004C771B" w:rsidRDefault="00A436EA" w:rsidP="00231A16">
      <w:pPr>
        <w:pStyle w:val="ListParagraph"/>
        <w:numPr>
          <w:ilvl w:val="0"/>
          <w:numId w:val="18"/>
        </w:numPr>
        <w:spacing w:after="0" w:line="240" w:lineRule="auto"/>
      </w:pPr>
      <w:r>
        <w:t>One</w:t>
      </w:r>
      <w:r w:rsidR="006000C6" w:rsidRPr="004C771B">
        <w:t xml:space="preserve"> change that could make </w:t>
      </w:r>
      <w:r w:rsidR="009E1282" w:rsidRPr="004C771B">
        <w:t xml:space="preserve">a major positive impact </w:t>
      </w:r>
      <w:r w:rsidR="006000C6" w:rsidRPr="004C771B">
        <w:t xml:space="preserve">for consumers struggling to </w:t>
      </w:r>
      <w:r w:rsidR="009E1282" w:rsidRPr="004C771B">
        <w:t>overcome</w:t>
      </w:r>
      <w:r w:rsidR="006000C6" w:rsidRPr="004C771B">
        <w:t xml:space="preserve"> financial </w:t>
      </w:r>
      <w:proofErr w:type="gramStart"/>
      <w:r w:rsidR="006000C6" w:rsidRPr="004C771B">
        <w:t>difficulty,</w:t>
      </w:r>
      <w:proofErr w:type="gramEnd"/>
      <w:r w:rsidR="006000C6" w:rsidRPr="004C771B">
        <w:t xml:space="preserve"> would be </w:t>
      </w:r>
      <w:r w:rsidR="009E1282" w:rsidRPr="004C771B">
        <w:t xml:space="preserve">the acceptance of </w:t>
      </w:r>
      <w:r w:rsidR="006000C6" w:rsidRPr="004C771B">
        <w:t>more affordable payment plans</w:t>
      </w:r>
      <w:r w:rsidR="009E1282" w:rsidRPr="004C771B">
        <w:t xml:space="preserve"> by industry</w:t>
      </w:r>
      <w:r w:rsidR="006000C6" w:rsidRPr="004C771B">
        <w:t xml:space="preserve">. A key theme from this research was that people want </w:t>
      </w:r>
      <w:r w:rsidR="006000C6" w:rsidRPr="004C771B">
        <w:lastRenderedPageBreak/>
        <w:t xml:space="preserve">to </w:t>
      </w:r>
      <w:r w:rsidR="00A54450" w:rsidRPr="004C771B">
        <w:t>pay, but are set up to fail if a payment plan is unrealistic. A related lesson is the value of incentive schemes. They work well in the water industry in particular – why not in banking or telcos?</w:t>
      </w:r>
      <w:r w:rsidR="00A54450" w:rsidRPr="004C771B">
        <w:rPr>
          <w:rStyle w:val="FootnoteReference"/>
        </w:rPr>
        <w:footnoteReference w:id="40"/>
      </w:r>
    </w:p>
    <w:p w14:paraId="7F51E11C" w14:textId="77777777" w:rsidR="00A54450" w:rsidRPr="004C771B" w:rsidRDefault="00A54450" w:rsidP="00A54450">
      <w:pPr>
        <w:pStyle w:val="ListParagraph"/>
      </w:pPr>
    </w:p>
    <w:p w14:paraId="0335DB86" w14:textId="652E186D" w:rsidR="00A54450" w:rsidRPr="004C771B" w:rsidRDefault="00A54450" w:rsidP="00231A16">
      <w:pPr>
        <w:pStyle w:val="ListParagraph"/>
        <w:numPr>
          <w:ilvl w:val="0"/>
          <w:numId w:val="18"/>
        </w:numPr>
        <w:spacing w:after="0" w:line="240" w:lineRule="auto"/>
      </w:pPr>
      <w:r w:rsidRPr="004C771B">
        <w:t>Huge gains can also be made by better training of staff</w:t>
      </w:r>
      <w:r w:rsidR="009E1282" w:rsidRPr="004C771B">
        <w:t xml:space="preserve"> both</w:t>
      </w:r>
      <w:r w:rsidRPr="004C771B">
        <w:t xml:space="preserve"> in hardship teams </w:t>
      </w:r>
      <w:r w:rsidR="009E1282" w:rsidRPr="004C771B">
        <w:t xml:space="preserve">and </w:t>
      </w:r>
      <w:r w:rsidR="00C813E6" w:rsidRPr="004C771B">
        <w:t xml:space="preserve">in collections. Ideally </w:t>
      </w:r>
      <w:r w:rsidRPr="004C771B">
        <w:t xml:space="preserve">collections and hardship teams </w:t>
      </w:r>
      <w:r w:rsidR="00C813E6" w:rsidRPr="004C771B">
        <w:t>would</w:t>
      </w:r>
      <w:r w:rsidRPr="004C771B">
        <w:t xml:space="preserve"> not </w:t>
      </w:r>
      <w:r w:rsidR="00C813E6" w:rsidRPr="004C771B">
        <w:t xml:space="preserve">be </w:t>
      </w:r>
      <w:r w:rsidR="00DA0C85" w:rsidRPr="004C771B">
        <w:t>‘</w:t>
      </w:r>
      <w:r w:rsidR="00E75A5A" w:rsidRPr="004C771B">
        <w:t>worlds</w:t>
      </w:r>
      <w:r w:rsidRPr="004C771B">
        <w:t xml:space="preserve"> apart</w:t>
      </w:r>
      <w:r w:rsidR="00DA0C85" w:rsidRPr="004C771B">
        <w:t>’</w:t>
      </w:r>
      <w:r w:rsidRPr="004C771B">
        <w:t>.</w:t>
      </w:r>
    </w:p>
    <w:p w14:paraId="443349F8" w14:textId="77777777" w:rsidR="00B82E30" w:rsidRDefault="00B82E30" w:rsidP="00B82E30">
      <w:pPr>
        <w:pStyle w:val="ListParagraph"/>
      </w:pPr>
    </w:p>
    <w:p w14:paraId="7EA981F7" w14:textId="5ED1814D" w:rsidR="00E501BA" w:rsidRPr="00CF48E8" w:rsidRDefault="00441554" w:rsidP="00E501BA">
      <w:pPr>
        <w:pStyle w:val="Heading1"/>
        <w:rPr>
          <w:lang w:val="en-US" w:eastAsia="ja-JP"/>
        </w:rPr>
      </w:pPr>
      <w:bookmarkStart w:id="81" w:name="_Toc387144787"/>
      <w:bookmarkStart w:id="82" w:name="_Toc370048399"/>
      <w:r>
        <w:rPr>
          <w:lang w:val="en-US" w:eastAsia="ja-JP"/>
        </w:rPr>
        <w:lastRenderedPageBreak/>
        <w:t>4.4</w:t>
      </w:r>
      <w:r w:rsidR="00E501BA">
        <w:rPr>
          <w:lang w:val="en-US" w:eastAsia="ja-JP"/>
        </w:rPr>
        <w:tab/>
      </w:r>
      <w:r w:rsidR="00D347F9">
        <w:rPr>
          <w:lang w:val="en-US" w:eastAsia="ja-JP"/>
        </w:rPr>
        <w:t xml:space="preserve"> </w:t>
      </w:r>
      <w:r w:rsidR="008A6307">
        <w:rPr>
          <w:lang w:val="en-US" w:eastAsia="ja-JP"/>
        </w:rPr>
        <w:t>A final word and what happens n</w:t>
      </w:r>
      <w:r w:rsidR="00E501BA">
        <w:rPr>
          <w:lang w:val="en-US" w:eastAsia="ja-JP"/>
        </w:rPr>
        <w:t>ext</w:t>
      </w:r>
      <w:bookmarkEnd w:id="81"/>
    </w:p>
    <w:p w14:paraId="4D6DD16A" w14:textId="77777777" w:rsidR="00E75A5A" w:rsidRDefault="00E75A5A" w:rsidP="004C771B"/>
    <w:p w14:paraId="3C3883FE" w14:textId="075F6252" w:rsidR="008820D0" w:rsidRPr="004C771B" w:rsidRDefault="00C813E6" w:rsidP="004C771B">
      <w:r w:rsidRPr="004C771B">
        <w:t>Some of findings from this research will not surprise stakeholders who have been involv</w:t>
      </w:r>
      <w:r w:rsidR="00AF549E" w:rsidRPr="004C771B">
        <w:t xml:space="preserve">ed in this field for some time – but it is useful </w:t>
      </w:r>
      <w:r w:rsidR="002C449A" w:rsidRPr="004C771B">
        <w:t xml:space="preserve">to confirm </w:t>
      </w:r>
      <w:r w:rsidR="009E1282">
        <w:t xml:space="preserve">general knowledge </w:t>
      </w:r>
      <w:r w:rsidR="002C449A" w:rsidRPr="004C771B">
        <w:t xml:space="preserve">and reinforce </w:t>
      </w:r>
      <w:r w:rsidR="009E1282">
        <w:t>good practices</w:t>
      </w:r>
      <w:r w:rsidR="002C449A" w:rsidRPr="004C771B">
        <w:t xml:space="preserve">. </w:t>
      </w:r>
      <w:r w:rsidR="00AF549E" w:rsidRPr="004C771B">
        <w:t xml:space="preserve">Other </w:t>
      </w:r>
      <w:r w:rsidR="009E1282">
        <w:t>results</w:t>
      </w:r>
      <w:r w:rsidR="00D6300F" w:rsidRPr="004C771B">
        <w:t xml:space="preserve"> or ideas</w:t>
      </w:r>
      <w:r w:rsidR="009E1282">
        <w:t xml:space="preserve"> arising from the study may</w:t>
      </w:r>
      <w:r w:rsidR="00A436EA">
        <w:t>,</w:t>
      </w:r>
      <w:r w:rsidRPr="004C771B">
        <w:t xml:space="preserve"> however</w:t>
      </w:r>
      <w:r w:rsidR="00A436EA">
        <w:t>,</w:t>
      </w:r>
      <w:r w:rsidRPr="004C771B">
        <w:t xml:space="preserve"> </w:t>
      </w:r>
      <w:r w:rsidR="00AF549E" w:rsidRPr="004C771B">
        <w:t>come as</w:t>
      </w:r>
      <w:r w:rsidR="008820D0" w:rsidRPr="004C771B">
        <w:t xml:space="preserve"> a surprise</w:t>
      </w:r>
      <w:r w:rsidR="009E1282">
        <w:t xml:space="preserve"> to stakeholders</w:t>
      </w:r>
      <w:r w:rsidR="008820D0" w:rsidRPr="004C771B">
        <w:t>.</w:t>
      </w:r>
      <w:r w:rsidR="009E1282">
        <w:t xml:space="preserve"> </w:t>
      </w:r>
      <w:r w:rsidR="008820D0" w:rsidRPr="004C771B">
        <w:t>Overall, we hope that the research</w:t>
      </w:r>
      <w:r w:rsidR="009E1282">
        <w:t xml:space="preserve"> findings</w:t>
      </w:r>
      <w:r w:rsidR="008820D0" w:rsidRPr="004C771B">
        <w:t xml:space="preserve"> will prompt </w:t>
      </w:r>
      <w:r w:rsidR="00EE0B4F">
        <w:t>the implementation of</w:t>
      </w:r>
      <w:r w:rsidR="008820D0" w:rsidRPr="004C771B">
        <w:t xml:space="preserve"> new approaches </w:t>
      </w:r>
      <w:r w:rsidR="00AF549E" w:rsidRPr="004C771B">
        <w:t>as well as</w:t>
      </w:r>
      <w:r w:rsidR="008820D0" w:rsidRPr="004C771B">
        <w:t xml:space="preserve"> </w:t>
      </w:r>
      <w:r w:rsidR="00EE0B4F">
        <w:t xml:space="preserve">encourage </w:t>
      </w:r>
      <w:r w:rsidR="008820D0" w:rsidRPr="004C771B">
        <w:t>greater cross-industry collaboration.</w:t>
      </w:r>
    </w:p>
    <w:p w14:paraId="44889FE6" w14:textId="2722C0F5" w:rsidR="00D1104C" w:rsidRDefault="008820D0" w:rsidP="004C771B">
      <w:r w:rsidRPr="004C771B">
        <w:t xml:space="preserve">Over the last decade, industry, consumer, government and </w:t>
      </w:r>
      <w:proofErr w:type="spellStart"/>
      <w:r w:rsidRPr="004C771B">
        <w:t>EDR</w:t>
      </w:r>
      <w:proofErr w:type="spellEnd"/>
      <w:r w:rsidRPr="004C771B">
        <w:t xml:space="preserve"> stakeholders, have been involved in numerous discussions </w:t>
      </w:r>
      <w:r w:rsidR="00EE0B4F">
        <w:t xml:space="preserve">relating to providing </w:t>
      </w:r>
      <w:r w:rsidRPr="004C771B">
        <w:t>assist</w:t>
      </w:r>
      <w:r w:rsidR="00EE0B4F">
        <w:t>ance for</w:t>
      </w:r>
      <w:r w:rsidRPr="004C771B">
        <w:t xml:space="preserve"> customers in hardship. </w:t>
      </w:r>
      <w:r w:rsidR="00EE0B4F">
        <w:t>It is clear</w:t>
      </w:r>
      <w:r w:rsidRPr="004C771B">
        <w:t xml:space="preserve"> that policies and practices have improved and in many instances, there is a</w:t>
      </w:r>
      <w:r w:rsidR="00A436EA">
        <w:t>n improved</w:t>
      </w:r>
      <w:r w:rsidRPr="004C771B">
        <w:t xml:space="preserve"> understanding of both the causes of financial difficulty and appropriate responses. </w:t>
      </w:r>
      <w:r w:rsidR="00EE0B4F">
        <w:t>H</w:t>
      </w:r>
      <w:r w:rsidR="000D3FFF" w:rsidRPr="004C771B">
        <w:t>owever</w:t>
      </w:r>
      <w:r w:rsidR="00C410B5" w:rsidRPr="004C771B">
        <w:t xml:space="preserve">, </w:t>
      </w:r>
      <w:r w:rsidR="00EE0B4F">
        <w:t xml:space="preserve">the introduction of </w:t>
      </w:r>
      <w:r w:rsidR="00C410B5" w:rsidRPr="004C771B">
        <w:t xml:space="preserve">new and </w:t>
      </w:r>
      <w:r w:rsidR="00EE0B4F">
        <w:t>improved methods</w:t>
      </w:r>
      <w:r w:rsidR="00C410B5" w:rsidRPr="004C771B">
        <w:t xml:space="preserve"> of </w:t>
      </w:r>
      <w:r w:rsidR="00EE0B4F">
        <w:t>addressing this issue</w:t>
      </w:r>
      <w:r w:rsidR="000D3FFF" w:rsidRPr="004C771B">
        <w:t xml:space="preserve"> </w:t>
      </w:r>
      <w:r w:rsidR="00EE0B4F">
        <w:t>is</w:t>
      </w:r>
      <w:r w:rsidR="00EE0B4F" w:rsidRPr="004C771B">
        <w:t xml:space="preserve"> </w:t>
      </w:r>
      <w:r w:rsidR="000D3FFF" w:rsidRPr="004C771B">
        <w:t>always possible</w:t>
      </w:r>
      <w:r w:rsidR="00C410B5" w:rsidRPr="004C771B">
        <w:t xml:space="preserve">. </w:t>
      </w:r>
      <w:r w:rsidR="00EE0B4F">
        <w:t>It</w:t>
      </w:r>
      <w:r w:rsidR="00C410B5" w:rsidRPr="004C771B">
        <w:t xml:space="preserve"> is absolutely critical that we remain open to these possibilities and continue the dialogue. </w:t>
      </w:r>
    </w:p>
    <w:p w14:paraId="484B33C0" w14:textId="66285A6B" w:rsidR="00C410B5" w:rsidRPr="004C771B" w:rsidRDefault="00D1104C" w:rsidP="004C771B">
      <w:r>
        <w:t>We have noticed a huge amount of goodwill from key people working in the hardship area from industry, regulators, ombudsmen and community sector professionals. The people working in this area want to make a difference. They’re happy to share their knowledge gained from the proj</w:t>
      </w:r>
      <w:r w:rsidR="00A436EA">
        <w:t>ects and approaches that they have</w:t>
      </w:r>
      <w:r>
        <w:t xml:space="preserve"> trialled. In some cases, it is knowledge about what doesn’t work, which is just as valuable as ‘what works’. They are keen to have other interested people in the space to meet with and compare notes. There is a huge amount of interest and generosity. Let’s harness that. </w:t>
      </w:r>
    </w:p>
    <w:p w14:paraId="7DE7057F" w14:textId="4F8C1816" w:rsidR="002C449A" w:rsidRDefault="00C410B5" w:rsidP="004C771B">
      <w:r w:rsidRPr="004C771B">
        <w:t xml:space="preserve">As the </w:t>
      </w:r>
      <w:r w:rsidR="00DB6B61">
        <w:t>peak</w:t>
      </w:r>
      <w:r w:rsidR="00EE0B4F" w:rsidRPr="004C771B">
        <w:t xml:space="preserve"> </w:t>
      </w:r>
      <w:r w:rsidRPr="004C771B">
        <w:t xml:space="preserve">body for financial counsellors, </w:t>
      </w:r>
      <w:proofErr w:type="spellStart"/>
      <w:r w:rsidRPr="004C771B">
        <w:t>FCA</w:t>
      </w:r>
      <w:proofErr w:type="spellEnd"/>
      <w:r w:rsidRPr="004C771B">
        <w:t xml:space="preserve"> will continue its work in this area. In the immediate future, we </w:t>
      </w:r>
      <w:r w:rsidR="006D4F91" w:rsidRPr="004C771B">
        <w:t xml:space="preserve">look forward to the finalisation of the telco industry hardship framework and to working with that industry as </w:t>
      </w:r>
      <w:r w:rsidR="00EE0B4F" w:rsidRPr="004C771B">
        <w:t>th</w:t>
      </w:r>
      <w:r w:rsidR="00EE0B4F">
        <w:t>e</w:t>
      </w:r>
      <w:r w:rsidR="00EE0B4F" w:rsidRPr="004C771B">
        <w:t xml:space="preserve"> </w:t>
      </w:r>
      <w:r w:rsidR="006D4F91" w:rsidRPr="004C771B">
        <w:t>framework is implemented. We are also very keen to continue</w:t>
      </w:r>
      <w:r w:rsidR="00A436EA">
        <w:t xml:space="preserve"> to</w:t>
      </w:r>
      <w:r w:rsidR="006D4F91" w:rsidRPr="004C771B">
        <w:t xml:space="preserve"> </w:t>
      </w:r>
      <w:r w:rsidR="00EE0B4F">
        <w:t>investigate</w:t>
      </w:r>
      <w:r w:rsidR="00A436EA">
        <w:t xml:space="preserve"> </w:t>
      </w:r>
      <w:r w:rsidR="006D4F91" w:rsidRPr="004C771B">
        <w:t xml:space="preserve">areas identified by workshop participants, and </w:t>
      </w:r>
      <w:r w:rsidR="00EE0B4F">
        <w:t xml:space="preserve">as </w:t>
      </w:r>
      <w:r w:rsidR="006D4F91" w:rsidRPr="004C771B">
        <w:t xml:space="preserve">outlined in Section </w:t>
      </w:r>
      <w:r w:rsidR="00B07147" w:rsidRPr="004C771B">
        <w:t>2</w:t>
      </w:r>
      <w:r w:rsidR="006D4F91" w:rsidRPr="004C771B">
        <w:t xml:space="preserve"> of this paper. </w:t>
      </w:r>
      <w:r w:rsidR="00BB330D" w:rsidRPr="004C771B">
        <w:t xml:space="preserve">The summary of the workshop, distributed separately to participants in October 2013, included a number of </w:t>
      </w:r>
      <w:r w:rsidR="00EE0B4F">
        <w:t xml:space="preserve">suggested </w:t>
      </w:r>
      <w:r w:rsidR="00BB330D" w:rsidRPr="004C771B">
        <w:t xml:space="preserve">actions </w:t>
      </w:r>
      <w:r w:rsidR="00EE0B4F">
        <w:t>for stakeholders</w:t>
      </w:r>
      <w:r w:rsidR="00BB330D" w:rsidRPr="004C771B">
        <w:t xml:space="preserve"> as well as the group’s response</w:t>
      </w:r>
      <w:r w:rsidR="000D3FFF" w:rsidRPr="004C771B">
        <w:t xml:space="preserve"> to the workshop question </w:t>
      </w:r>
      <w:r w:rsidR="00DA0C85" w:rsidRPr="004C771B">
        <w:t>‘</w:t>
      </w:r>
      <w:r w:rsidR="000D3FFF" w:rsidRPr="004C771B">
        <w:t>what can each of our sectors do?</w:t>
      </w:r>
      <w:r w:rsidR="00DA0C85" w:rsidRPr="004C771B">
        <w:t>’</w:t>
      </w:r>
      <w:r w:rsidR="00641B41" w:rsidRPr="004C771B">
        <w:t xml:space="preserve"> </w:t>
      </w:r>
      <w:r w:rsidR="003240F7" w:rsidRPr="004C771B">
        <w:t>These</w:t>
      </w:r>
      <w:r w:rsidR="003240F7" w:rsidRPr="004C771B">
        <w:rPr>
          <w:sz w:val="28"/>
        </w:rPr>
        <w:t xml:space="preserve"> </w:t>
      </w:r>
      <w:r w:rsidR="003240F7" w:rsidRPr="004C771B">
        <w:t>actions are</w:t>
      </w:r>
      <w:r w:rsidR="00BB330D" w:rsidRPr="004C771B">
        <w:t xml:space="preserve"> included in the box below. We look forward to pursuing these steps</w:t>
      </w:r>
      <w:r w:rsidR="003240F7" w:rsidRPr="004C771B">
        <w:t>, individually and collectively</w:t>
      </w:r>
      <w:r w:rsidR="00BB330D" w:rsidRPr="004C771B">
        <w:t>.</w:t>
      </w:r>
    </w:p>
    <w:p w14:paraId="2919D37F" w14:textId="54136136" w:rsidR="00565E3B" w:rsidRDefault="00565E3B">
      <w:r>
        <w:br w:type="page"/>
      </w:r>
    </w:p>
    <w:p w14:paraId="06854623" w14:textId="77777777" w:rsidR="00E75A5A" w:rsidRDefault="00E75A5A" w:rsidP="002C449A">
      <w:pPr>
        <w:autoSpaceDE w:val="0"/>
        <w:autoSpaceDN w:val="0"/>
        <w:adjustRightInd w:val="0"/>
        <w:spacing w:after="0" w:line="240" w:lineRule="auto"/>
      </w:pPr>
    </w:p>
    <w:p w14:paraId="58576F14" w14:textId="77777777" w:rsidR="008820D0" w:rsidRDefault="008820D0" w:rsidP="000A58FA">
      <w:pPr>
        <w:spacing w:after="0" w:line="240" w:lineRule="auto"/>
        <w:ind w:left="851"/>
      </w:pPr>
    </w:p>
    <w:tbl>
      <w:tblPr>
        <w:tblStyle w:val="TableGrid"/>
        <w:tblW w:w="5000" w:type="pct"/>
        <w:tblLook w:val="04A0" w:firstRow="1" w:lastRow="0" w:firstColumn="1" w:lastColumn="0" w:noHBand="0" w:noVBand="1"/>
        <w:tblDescription w:val="What workshop participants said they could do&#10;For the final session of the workshop, we gathered in our sector groupings to discuss what each sector could do to progress the discussion. &#10;• Financial counsellors— we can work with industry and EDR schemes on joint approaches to government regarding some of these issues, e.g. a concession framework. Our collective voice could have a significant impact.&#10;&#10;• Banks—bank websites could include information about the existence of hardship programs in other industries eg. Telcos, utilities.&#10;&#10;• EDR—can share their experiences to improve education and attitudes and can assist in developing the business case.&#10;&#10;• Telcos—we need to include more service providers in conversations like these (including the smaller companies) and to finalise the telco financial hardship framework.&#10;&#10;• Regulators—we can improve our monitoring, reporting, and enforcement activities. We can initiate reviews and research, both industry-wide and with a comparative focus. We could also support future forums that would encourage collaborative learning. We can help consumers know what help is available across industries by raising awareness.&#10;&#10;&#10;• Utilities—can work on improved sharing of information and ideas. &#10;&#10;&#10;• Consumer advocates—can conduct cross-industry education, eg. Educate utilities about bank hardship practices and vice versa and champion an integrated service delivery model.&#10;"/>
      </w:tblPr>
      <w:tblGrid>
        <w:gridCol w:w="9242"/>
      </w:tblGrid>
      <w:tr w:rsidR="001E7571" w14:paraId="2B58E478" w14:textId="77777777" w:rsidTr="00097146">
        <w:tc>
          <w:tcPr>
            <w:tcW w:w="5000" w:type="pct"/>
          </w:tcPr>
          <w:p w14:paraId="265A4190" w14:textId="6F91FBF0" w:rsidR="008A6307" w:rsidRDefault="008A6307" w:rsidP="00097146">
            <w:pPr>
              <w:pStyle w:val="Heading4"/>
              <w:outlineLvl w:val="3"/>
            </w:pPr>
            <w:r>
              <w:t>What workshop participants said they could do</w:t>
            </w:r>
          </w:p>
          <w:p w14:paraId="0772FDAF" w14:textId="4C84F62F" w:rsidR="001E7571" w:rsidRPr="004C771B" w:rsidRDefault="001E7571" w:rsidP="001E7571">
            <w:pPr>
              <w:autoSpaceDE w:val="0"/>
              <w:autoSpaceDN w:val="0"/>
              <w:adjustRightInd w:val="0"/>
              <w:spacing w:after="200" w:line="276" w:lineRule="auto"/>
            </w:pPr>
            <w:r w:rsidRPr="004C771B">
              <w:t xml:space="preserve">For the final session of the workshop, we gathered in our sector groupings to discuss what each sector could do to progress the discussion. </w:t>
            </w:r>
          </w:p>
          <w:p w14:paraId="7D6A3161" w14:textId="0A0DBA92" w:rsidR="00A436EA" w:rsidRDefault="001E7571" w:rsidP="00373DEC">
            <w:pPr>
              <w:pStyle w:val="ListParagraph"/>
              <w:numPr>
                <w:ilvl w:val="0"/>
                <w:numId w:val="19"/>
              </w:numPr>
              <w:autoSpaceDE w:val="0"/>
              <w:autoSpaceDN w:val="0"/>
              <w:adjustRightInd w:val="0"/>
              <w:spacing w:after="200" w:line="276" w:lineRule="auto"/>
            </w:pPr>
            <w:r w:rsidRPr="004C771B">
              <w:t xml:space="preserve">Financial counsellors— we can work with industry and </w:t>
            </w:r>
            <w:proofErr w:type="spellStart"/>
            <w:r w:rsidRPr="004C771B">
              <w:t>EDR</w:t>
            </w:r>
            <w:proofErr w:type="spellEnd"/>
            <w:r w:rsidRPr="004C771B">
              <w:t xml:space="preserve"> schemes on joint approaches to government </w:t>
            </w:r>
            <w:r w:rsidR="00BE2A4F" w:rsidRPr="004C771B">
              <w:t xml:space="preserve">regarding </w:t>
            </w:r>
            <w:r w:rsidRPr="004C771B">
              <w:t>some of these issues</w:t>
            </w:r>
            <w:r w:rsidR="00A436EA">
              <w:t>,</w:t>
            </w:r>
            <w:r w:rsidRPr="004C771B">
              <w:t xml:space="preserve"> </w:t>
            </w:r>
            <w:r w:rsidR="00151B50" w:rsidRPr="004C771B">
              <w:t>e.</w:t>
            </w:r>
            <w:r w:rsidR="00151B50">
              <w:t>g.</w:t>
            </w:r>
            <w:r w:rsidRPr="004C771B">
              <w:t xml:space="preserve"> a concession framework. Our collective voice could </w:t>
            </w:r>
            <w:r w:rsidR="00BE2A4F" w:rsidRPr="004C771B">
              <w:t>have a significant impact.</w:t>
            </w:r>
          </w:p>
          <w:p w14:paraId="72DBE52A" w14:textId="77777777" w:rsidR="00A436EA" w:rsidRPr="004C771B" w:rsidRDefault="00A436EA" w:rsidP="00A436EA">
            <w:pPr>
              <w:autoSpaceDE w:val="0"/>
              <w:autoSpaceDN w:val="0"/>
              <w:adjustRightInd w:val="0"/>
            </w:pPr>
          </w:p>
          <w:p w14:paraId="1377499F" w14:textId="03948F1C" w:rsidR="00A436EA" w:rsidRDefault="001E7571" w:rsidP="00A436EA">
            <w:pPr>
              <w:pStyle w:val="ListParagraph"/>
              <w:numPr>
                <w:ilvl w:val="0"/>
                <w:numId w:val="19"/>
              </w:numPr>
              <w:autoSpaceDE w:val="0"/>
              <w:autoSpaceDN w:val="0"/>
              <w:adjustRightInd w:val="0"/>
              <w:spacing w:after="200" w:line="276" w:lineRule="auto"/>
            </w:pPr>
            <w:r w:rsidRPr="004C771B">
              <w:t xml:space="preserve">Banks—bank websites could include information about the existence of hardship programs in other industries </w:t>
            </w:r>
            <w:proofErr w:type="spellStart"/>
            <w:r w:rsidRPr="004C771B">
              <w:t>eg</w:t>
            </w:r>
            <w:proofErr w:type="spellEnd"/>
            <w:r w:rsidR="00BE2A4F" w:rsidRPr="004C771B">
              <w:t>.</w:t>
            </w:r>
            <w:r w:rsidRPr="004C771B">
              <w:t xml:space="preserve"> </w:t>
            </w:r>
            <w:r w:rsidR="00A436EA" w:rsidRPr="004C771B">
              <w:t>T</w:t>
            </w:r>
            <w:r w:rsidRPr="004C771B">
              <w:t>elcos, utilities</w:t>
            </w:r>
            <w:r w:rsidR="00151B50">
              <w:t>.</w:t>
            </w:r>
          </w:p>
          <w:p w14:paraId="13A0948F" w14:textId="77777777" w:rsidR="00A436EA" w:rsidRPr="004C771B" w:rsidRDefault="00A436EA" w:rsidP="00A436EA">
            <w:pPr>
              <w:autoSpaceDE w:val="0"/>
              <w:autoSpaceDN w:val="0"/>
              <w:adjustRightInd w:val="0"/>
            </w:pPr>
          </w:p>
          <w:p w14:paraId="67FA3703" w14:textId="1B2BEADC" w:rsidR="001E7571" w:rsidRDefault="001E7571" w:rsidP="001E7571">
            <w:pPr>
              <w:pStyle w:val="ListParagraph"/>
              <w:numPr>
                <w:ilvl w:val="0"/>
                <w:numId w:val="19"/>
              </w:numPr>
              <w:autoSpaceDE w:val="0"/>
              <w:autoSpaceDN w:val="0"/>
              <w:adjustRightInd w:val="0"/>
              <w:spacing w:after="200" w:line="276" w:lineRule="auto"/>
            </w:pPr>
            <w:proofErr w:type="spellStart"/>
            <w:r w:rsidRPr="004C771B">
              <w:t>EDR</w:t>
            </w:r>
            <w:proofErr w:type="spellEnd"/>
            <w:r w:rsidRPr="004C771B">
              <w:t xml:space="preserve">—can share their experiences to improve education and attitudes and can </w:t>
            </w:r>
            <w:r w:rsidR="00BE2A4F" w:rsidRPr="004C771B">
              <w:t xml:space="preserve">assist </w:t>
            </w:r>
            <w:r w:rsidRPr="004C771B">
              <w:t xml:space="preserve">in </w:t>
            </w:r>
            <w:r w:rsidR="00BE2A4F" w:rsidRPr="004C771B">
              <w:t xml:space="preserve">developing </w:t>
            </w:r>
            <w:r w:rsidRPr="004C771B">
              <w:t>the business case.</w:t>
            </w:r>
          </w:p>
          <w:p w14:paraId="7EDDB03E" w14:textId="77777777" w:rsidR="00A436EA" w:rsidRPr="004C771B" w:rsidRDefault="00A436EA" w:rsidP="00A436EA">
            <w:pPr>
              <w:autoSpaceDE w:val="0"/>
              <w:autoSpaceDN w:val="0"/>
              <w:adjustRightInd w:val="0"/>
            </w:pPr>
          </w:p>
          <w:p w14:paraId="54BB4950" w14:textId="2884B780" w:rsidR="001E7571" w:rsidRDefault="001E7571" w:rsidP="001E7571">
            <w:pPr>
              <w:pStyle w:val="ListParagraph"/>
              <w:numPr>
                <w:ilvl w:val="0"/>
                <w:numId w:val="19"/>
              </w:numPr>
              <w:autoSpaceDE w:val="0"/>
              <w:autoSpaceDN w:val="0"/>
              <w:adjustRightInd w:val="0"/>
              <w:spacing w:after="200" w:line="276" w:lineRule="auto"/>
            </w:pPr>
            <w:r w:rsidRPr="004C771B">
              <w:t xml:space="preserve">Telcos—we need to include more service providers in conversations like these (including the smaller </w:t>
            </w:r>
            <w:r w:rsidR="00BE2A4F" w:rsidRPr="004C771B">
              <w:t>companies</w:t>
            </w:r>
            <w:r w:rsidRPr="004C771B">
              <w:t>) and to finalise the telco financial hardship framework.</w:t>
            </w:r>
          </w:p>
          <w:p w14:paraId="06808391" w14:textId="77777777" w:rsidR="00A436EA" w:rsidRPr="004C771B" w:rsidRDefault="00A436EA" w:rsidP="00A436EA">
            <w:pPr>
              <w:autoSpaceDE w:val="0"/>
              <w:autoSpaceDN w:val="0"/>
              <w:adjustRightInd w:val="0"/>
            </w:pPr>
          </w:p>
          <w:p w14:paraId="18854227" w14:textId="1FD6E897" w:rsidR="00A436EA" w:rsidRDefault="001E7571" w:rsidP="00373DEC">
            <w:pPr>
              <w:pStyle w:val="ListParagraph"/>
              <w:numPr>
                <w:ilvl w:val="0"/>
                <w:numId w:val="19"/>
              </w:numPr>
              <w:autoSpaceDE w:val="0"/>
              <w:autoSpaceDN w:val="0"/>
              <w:adjustRightInd w:val="0"/>
              <w:spacing w:after="200" w:line="276" w:lineRule="auto"/>
            </w:pPr>
            <w:r w:rsidRPr="004C771B">
              <w:t>Regulators—we can improve our monitoring, reporting, and enforcement activities. We can initiate reviews and research, both industry</w:t>
            </w:r>
            <w:r w:rsidR="00355CEA">
              <w:t>-</w:t>
            </w:r>
            <w:r w:rsidRPr="004C771B">
              <w:t xml:space="preserve">wide and with a comparative focus. We </w:t>
            </w:r>
            <w:r w:rsidR="00BE2A4F" w:rsidRPr="004C771B">
              <w:t xml:space="preserve">could </w:t>
            </w:r>
            <w:r w:rsidRPr="004C771B">
              <w:t>also support fu</w:t>
            </w:r>
            <w:r w:rsidR="00BE2A4F" w:rsidRPr="004C771B">
              <w:t>ture</w:t>
            </w:r>
            <w:r w:rsidRPr="004C771B">
              <w:t xml:space="preserve"> forums </w:t>
            </w:r>
            <w:r w:rsidR="00BE2A4F" w:rsidRPr="004C771B">
              <w:t>that would encourage collaborative learning</w:t>
            </w:r>
            <w:r w:rsidRPr="004C771B">
              <w:t>. We can help consumers</w:t>
            </w:r>
            <w:r w:rsidR="003240F7" w:rsidRPr="004C771B">
              <w:t xml:space="preserve"> </w:t>
            </w:r>
            <w:r w:rsidRPr="004C771B">
              <w:t>know what help is available across industries by raising awareness.</w:t>
            </w:r>
          </w:p>
          <w:p w14:paraId="140F6366" w14:textId="77777777" w:rsidR="00A436EA" w:rsidRDefault="00A436EA" w:rsidP="00A436EA">
            <w:pPr>
              <w:pStyle w:val="ListParagraph"/>
            </w:pPr>
          </w:p>
          <w:p w14:paraId="2ED189D3" w14:textId="77777777" w:rsidR="00A436EA" w:rsidRDefault="00A436EA" w:rsidP="00A436EA"/>
          <w:p w14:paraId="38DC2ED3" w14:textId="77777777" w:rsidR="00A436EA" w:rsidRDefault="001E7571" w:rsidP="00373DEC">
            <w:pPr>
              <w:pStyle w:val="ListParagraph"/>
              <w:numPr>
                <w:ilvl w:val="0"/>
                <w:numId w:val="19"/>
              </w:numPr>
              <w:autoSpaceDE w:val="0"/>
              <w:autoSpaceDN w:val="0"/>
              <w:adjustRightInd w:val="0"/>
              <w:spacing w:after="200" w:line="276" w:lineRule="auto"/>
            </w:pPr>
            <w:r w:rsidRPr="004C771B">
              <w:t>Utilities—</w:t>
            </w:r>
            <w:r w:rsidR="00BE2A4F" w:rsidRPr="004C771B">
              <w:t>can work on</w:t>
            </w:r>
            <w:r w:rsidRPr="004C771B">
              <w:t xml:space="preserve"> </w:t>
            </w:r>
            <w:r w:rsidR="00BE2A4F" w:rsidRPr="004C771B">
              <w:t>improved</w:t>
            </w:r>
            <w:r w:rsidRPr="004C771B">
              <w:t xml:space="preserve"> sharing</w:t>
            </w:r>
            <w:r w:rsidR="00BE2A4F" w:rsidRPr="004C771B">
              <w:t xml:space="preserve"> of</w:t>
            </w:r>
            <w:r w:rsidRPr="004C771B">
              <w:t xml:space="preserve"> information and ideas. </w:t>
            </w:r>
          </w:p>
          <w:p w14:paraId="157DD106" w14:textId="77777777" w:rsidR="00A436EA" w:rsidRDefault="00A436EA" w:rsidP="00A436EA">
            <w:pPr>
              <w:pStyle w:val="ListParagraph"/>
              <w:autoSpaceDE w:val="0"/>
              <w:autoSpaceDN w:val="0"/>
              <w:adjustRightInd w:val="0"/>
              <w:spacing w:after="200" w:line="276" w:lineRule="auto"/>
            </w:pPr>
          </w:p>
          <w:p w14:paraId="652C7025" w14:textId="77777777" w:rsidR="00A436EA" w:rsidRDefault="00A436EA" w:rsidP="00A436EA">
            <w:pPr>
              <w:pStyle w:val="ListParagraph"/>
              <w:autoSpaceDE w:val="0"/>
              <w:autoSpaceDN w:val="0"/>
              <w:adjustRightInd w:val="0"/>
              <w:spacing w:after="200" w:line="276" w:lineRule="auto"/>
            </w:pPr>
          </w:p>
          <w:p w14:paraId="4D853851" w14:textId="74D7368C" w:rsidR="001E7571" w:rsidRPr="004C771B" w:rsidRDefault="001E7571" w:rsidP="00A436EA">
            <w:pPr>
              <w:pStyle w:val="ListParagraph"/>
              <w:numPr>
                <w:ilvl w:val="0"/>
                <w:numId w:val="19"/>
              </w:numPr>
              <w:autoSpaceDE w:val="0"/>
              <w:autoSpaceDN w:val="0"/>
              <w:adjustRightInd w:val="0"/>
              <w:spacing w:after="200" w:line="276" w:lineRule="auto"/>
            </w:pPr>
            <w:r w:rsidRPr="004C771B">
              <w:t>Consumer advocates—</w:t>
            </w:r>
            <w:r w:rsidR="00BE2A4F" w:rsidRPr="004C771B">
              <w:t xml:space="preserve">can conduct </w:t>
            </w:r>
            <w:r w:rsidRPr="004C771B">
              <w:t>cross-industry education</w:t>
            </w:r>
            <w:r w:rsidR="00A436EA">
              <w:t>,</w:t>
            </w:r>
            <w:r w:rsidRPr="004C771B">
              <w:t xml:space="preserve"> </w:t>
            </w:r>
            <w:proofErr w:type="spellStart"/>
            <w:r w:rsidRPr="004C771B">
              <w:t>eg</w:t>
            </w:r>
            <w:proofErr w:type="spellEnd"/>
            <w:r w:rsidR="00BE2A4F" w:rsidRPr="004C771B">
              <w:t>.</w:t>
            </w:r>
            <w:r w:rsidRPr="004C771B">
              <w:t xml:space="preserve"> </w:t>
            </w:r>
            <w:r w:rsidR="00A713AC" w:rsidRPr="004C771B">
              <w:t>Educate</w:t>
            </w:r>
            <w:r w:rsidRPr="004C771B">
              <w:t xml:space="preserve"> utilities about bank hardship practices and vice versa and champion an integrated service delivery model</w:t>
            </w:r>
            <w:r w:rsidR="00BE2A4F" w:rsidRPr="004C771B">
              <w:t>.</w:t>
            </w:r>
          </w:p>
          <w:p w14:paraId="0ACE672D" w14:textId="77777777" w:rsidR="001E7571" w:rsidRDefault="001E7571" w:rsidP="000A58FA"/>
        </w:tc>
      </w:tr>
    </w:tbl>
    <w:p w14:paraId="7601E1F6" w14:textId="4F539DF6" w:rsidR="00A436EA" w:rsidRDefault="00C813E6" w:rsidP="00880D0A">
      <w:pPr>
        <w:spacing w:after="0" w:line="240" w:lineRule="auto"/>
        <w:ind w:left="851"/>
      </w:pPr>
      <w:r>
        <w:t xml:space="preserve"> </w:t>
      </w:r>
    </w:p>
    <w:p w14:paraId="41469D6B" w14:textId="77777777" w:rsidR="00A436EA" w:rsidRDefault="00A436EA" w:rsidP="000A58FA">
      <w:pPr>
        <w:spacing w:after="0" w:line="240" w:lineRule="auto"/>
        <w:ind w:left="851"/>
      </w:pPr>
    </w:p>
    <w:tbl>
      <w:tblPr>
        <w:tblStyle w:val="TableGrid"/>
        <w:tblW w:w="5000" w:type="pct"/>
        <w:tblLook w:val="04A0" w:firstRow="1" w:lastRow="0" w:firstColumn="1" w:lastColumn="0" w:noHBand="0" w:noVBand="1"/>
        <w:tblDescription w:val="What FCA committed to do after the workshop&#10;• Access—we will add appropriate links and information to the FCA website as well as the consumer website we manage: www.debtselfhelp.org.au&#10;&#10;• Early identification—we will include examples of successful early identification strategies in the research paper. We will talk to peak industry bodies and regulators to explore whether more guidance could be provided.&#10;&#10;• Sustaining good performance—we will include examples of (mainly de-identified) effective and non-effective hardship practices in the final research report. We will consider organising a cross-industry discussion, with regulators, focussing on what needs to be measured, bringing in those people who have expertise in this area.&#10;&#10;• Attitudes and culture—this is a harder area to suggest a direct action. FCA’s research report will help continue the conversations and we hope shape responses. One idea we are keen to explore is taking senior industry and regulatory staff to meet and talk to vulnerable consumers at first hand.&#10;&#10;• Making the business case—we will ask workshop participants for any information they have (possibly de-identified) about the impact of hardship policies, collate this data and share it with this group. If there is participant support, FCA could also organise a forum and invite participants to share their business cases &#10;&#10;• Grants and concessions—the issue of a concessions framework for utilities has been raised in other forums in recent months. We will contact ACOSS and industry bodies to explore the potential for a joint approach to government.&#10;"/>
      </w:tblPr>
      <w:tblGrid>
        <w:gridCol w:w="9242"/>
      </w:tblGrid>
      <w:tr w:rsidR="003240F7" w14:paraId="1816ABCF" w14:textId="77777777" w:rsidTr="00880D0A">
        <w:tc>
          <w:tcPr>
            <w:tcW w:w="5000" w:type="pct"/>
          </w:tcPr>
          <w:p w14:paraId="4E7B2318" w14:textId="04623213" w:rsidR="008A6307" w:rsidRDefault="008A6307" w:rsidP="00880D0A">
            <w:pPr>
              <w:pStyle w:val="Heading4"/>
              <w:outlineLvl w:val="3"/>
            </w:pPr>
            <w:r>
              <w:lastRenderedPageBreak/>
              <w:t xml:space="preserve">What </w:t>
            </w:r>
            <w:proofErr w:type="spellStart"/>
            <w:r>
              <w:t>FCA</w:t>
            </w:r>
            <w:proofErr w:type="spellEnd"/>
            <w:r>
              <w:t xml:space="preserve"> committed to do after the workshop</w:t>
            </w:r>
          </w:p>
          <w:p w14:paraId="43F400CD" w14:textId="347EEDD3" w:rsidR="00D847ED" w:rsidRPr="004C771B" w:rsidRDefault="00D847ED" w:rsidP="00231A16">
            <w:pPr>
              <w:pStyle w:val="ListParagraph"/>
              <w:numPr>
                <w:ilvl w:val="0"/>
                <w:numId w:val="20"/>
              </w:numPr>
              <w:autoSpaceDE w:val="0"/>
              <w:autoSpaceDN w:val="0"/>
              <w:adjustRightInd w:val="0"/>
              <w:spacing w:after="200" w:line="276" w:lineRule="auto"/>
            </w:pPr>
            <w:r w:rsidRPr="004C771B">
              <w:rPr>
                <w:b/>
              </w:rPr>
              <w:t>Access</w:t>
            </w:r>
            <w:r w:rsidR="00BE2A4F" w:rsidRPr="004C771B">
              <w:t>—</w:t>
            </w:r>
            <w:r w:rsidR="000A0EE4">
              <w:t>w</w:t>
            </w:r>
            <w:r w:rsidRPr="004C771B">
              <w:t xml:space="preserve">e will add appropriate links and information to the </w:t>
            </w:r>
            <w:proofErr w:type="spellStart"/>
            <w:r w:rsidRPr="004C771B">
              <w:t>FCA</w:t>
            </w:r>
            <w:proofErr w:type="spellEnd"/>
            <w:r w:rsidRPr="004C771B">
              <w:t xml:space="preserve"> website as well as the consumer website we manage: www.debtselfhelp.org.au</w:t>
            </w:r>
          </w:p>
          <w:p w14:paraId="02CF989C" w14:textId="77777777" w:rsidR="00D847ED" w:rsidRPr="004C771B" w:rsidRDefault="00D847ED" w:rsidP="003240F7">
            <w:pPr>
              <w:autoSpaceDE w:val="0"/>
              <w:autoSpaceDN w:val="0"/>
              <w:adjustRightInd w:val="0"/>
              <w:spacing w:after="200" w:line="276" w:lineRule="auto"/>
            </w:pPr>
          </w:p>
          <w:p w14:paraId="711E4DDE" w14:textId="095C3FDC" w:rsidR="00D847ED" w:rsidRPr="004C771B" w:rsidRDefault="00D847ED" w:rsidP="00231A16">
            <w:pPr>
              <w:pStyle w:val="ListParagraph"/>
              <w:numPr>
                <w:ilvl w:val="0"/>
                <w:numId w:val="20"/>
              </w:numPr>
              <w:autoSpaceDE w:val="0"/>
              <w:autoSpaceDN w:val="0"/>
              <w:adjustRightInd w:val="0"/>
              <w:spacing w:after="200" w:line="276" w:lineRule="auto"/>
            </w:pPr>
            <w:r w:rsidRPr="004C771B">
              <w:rPr>
                <w:b/>
              </w:rPr>
              <w:t>Early identification</w:t>
            </w:r>
            <w:r w:rsidR="00BE2A4F" w:rsidRPr="004C771B">
              <w:t>—</w:t>
            </w:r>
            <w:r w:rsidR="000A0EE4" w:rsidRPr="004C771B">
              <w:t>we</w:t>
            </w:r>
            <w:r w:rsidRPr="004C771B">
              <w:t xml:space="preserve"> will include examples of successful early identification strategies in the research paper. We will talk to peak industry bodies and regulators to explore whether more guidance could be provided.</w:t>
            </w:r>
          </w:p>
          <w:p w14:paraId="329E3C81" w14:textId="77777777" w:rsidR="00D847ED" w:rsidRPr="004C771B" w:rsidRDefault="00D847ED" w:rsidP="003240F7">
            <w:pPr>
              <w:autoSpaceDE w:val="0"/>
              <w:autoSpaceDN w:val="0"/>
              <w:adjustRightInd w:val="0"/>
              <w:spacing w:after="200" w:line="276" w:lineRule="auto"/>
            </w:pPr>
          </w:p>
          <w:p w14:paraId="7B83FF32" w14:textId="703E5D5F" w:rsidR="00D847ED" w:rsidRPr="004C771B" w:rsidRDefault="00D847ED" w:rsidP="00231A16">
            <w:pPr>
              <w:pStyle w:val="ListParagraph"/>
              <w:numPr>
                <w:ilvl w:val="0"/>
                <w:numId w:val="20"/>
              </w:numPr>
              <w:autoSpaceDE w:val="0"/>
              <w:autoSpaceDN w:val="0"/>
              <w:adjustRightInd w:val="0"/>
              <w:spacing w:after="200" w:line="276" w:lineRule="auto"/>
            </w:pPr>
            <w:r w:rsidRPr="004C771B">
              <w:rPr>
                <w:b/>
              </w:rPr>
              <w:t>Sustaining good performance</w:t>
            </w:r>
            <w:r w:rsidR="00BE2A4F" w:rsidRPr="004C771B">
              <w:t>—</w:t>
            </w:r>
            <w:r w:rsidR="000A0EE4" w:rsidRPr="004C771B">
              <w:t>we</w:t>
            </w:r>
            <w:r w:rsidRPr="004C771B">
              <w:t xml:space="preserve"> will include examples of (mainly de-identified) </w:t>
            </w:r>
            <w:r w:rsidR="00BE2A4F" w:rsidRPr="004C771B">
              <w:t xml:space="preserve">effective </w:t>
            </w:r>
            <w:r w:rsidRPr="004C771B">
              <w:t xml:space="preserve">and </w:t>
            </w:r>
            <w:r w:rsidR="00BE2A4F" w:rsidRPr="004C771B">
              <w:t>non-effective</w:t>
            </w:r>
            <w:r w:rsidRPr="004C771B">
              <w:t xml:space="preserve"> hardship practices in the final research report. We will consider organising</w:t>
            </w:r>
            <w:r w:rsidR="00715DA6" w:rsidRPr="004C771B">
              <w:t xml:space="preserve"> </w:t>
            </w:r>
            <w:r w:rsidRPr="004C771B">
              <w:t xml:space="preserve">a cross-industry discussion, with regulators, </w:t>
            </w:r>
            <w:r w:rsidR="00BE2A4F" w:rsidRPr="004C771B">
              <w:t xml:space="preserve">focussing on </w:t>
            </w:r>
            <w:r w:rsidRPr="004C771B">
              <w:t>what needs to be measured, bringing</w:t>
            </w:r>
            <w:r w:rsidR="00715DA6" w:rsidRPr="004C771B">
              <w:t xml:space="preserve"> </w:t>
            </w:r>
            <w:r w:rsidRPr="004C771B">
              <w:t>in those people who have expertise in this area.</w:t>
            </w:r>
          </w:p>
          <w:p w14:paraId="11E2154E" w14:textId="77777777" w:rsidR="00D847ED" w:rsidRPr="004C771B" w:rsidRDefault="00D847ED" w:rsidP="003240F7">
            <w:pPr>
              <w:autoSpaceDE w:val="0"/>
              <w:autoSpaceDN w:val="0"/>
              <w:adjustRightInd w:val="0"/>
              <w:spacing w:after="200" w:line="276" w:lineRule="auto"/>
            </w:pPr>
          </w:p>
          <w:p w14:paraId="295819CB" w14:textId="61A46A0F" w:rsidR="00D847ED" w:rsidRPr="004C771B" w:rsidRDefault="00D847ED" w:rsidP="00231A16">
            <w:pPr>
              <w:pStyle w:val="ListParagraph"/>
              <w:numPr>
                <w:ilvl w:val="0"/>
                <w:numId w:val="20"/>
              </w:numPr>
              <w:autoSpaceDE w:val="0"/>
              <w:autoSpaceDN w:val="0"/>
              <w:adjustRightInd w:val="0"/>
              <w:spacing w:after="200" w:line="276" w:lineRule="auto"/>
            </w:pPr>
            <w:r w:rsidRPr="004C771B">
              <w:rPr>
                <w:b/>
              </w:rPr>
              <w:t>Attitudes and culture</w:t>
            </w:r>
            <w:r w:rsidR="00BE2A4F" w:rsidRPr="004C771B">
              <w:t>—</w:t>
            </w:r>
            <w:r w:rsidR="009F6C27">
              <w:t>t</w:t>
            </w:r>
            <w:r w:rsidRPr="004C771B">
              <w:t xml:space="preserve">his is a harder area to suggest a direct action. </w:t>
            </w:r>
            <w:proofErr w:type="spellStart"/>
            <w:r w:rsidRPr="004C771B">
              <w:t>FCA’s</w:t>
            </w:r>
            <w:proofErr w:type="spellEnd"/>
            <w:r w:rsidRPr="004C771B">
              <w:t xml:space="preserve"> research</w:t>
            </w:r>
            <w:r w:rsidR="00715DA6" w:rsidRPr="004C771B">
              <w:t xml:space="preserve"> </w:t>
            </w:r>
            <w:r w:rsidRPr="004C771B">
              <w:t>report will help continue the conversations and we hope shape responses. One idea we are keen to explore is taking senior industry and regulatory staff to meet and talk to vulnerable consumers at first hand.</w:t>
            </w:r>
          </w:p>
          <w:p w14:paraId="33E24D06" w14:textId="77777777" w:rsidR="00D847ED" w:rsidRPr="004C771B" w:rsidRDefault="00D847ED" w:rsidP="003240F7">
            <w:pPr>
              <w:autoSpaceDE w:val="0"/>
              <w:autoSpaceDN w:val="0"/>
              <w:adjustRightInd w:val="0"/>
              <w:spacing w:after="200" w:line="276" w:lineRule="auto"/>
            </w:pPr>
          </w:p>
          <w:p w14:paraId="0BB1B593" w14:textId="53914A4A" w:rsidR="003240F7" w:rsidRPr="004C771B" w:rsidRDefault="003240F7" w:rsidP="00231A16">
            <w:pPr>
              <w:pStyle w:val="ListParagraph"/>
              <w:numPr>
                <w:ilvl w:val="0"/>
                <w:numId w:val="20"/>
              </w:numPr>
              <w:autoSpaceDE w:val="0"/>
              <w:autoSpaceDN w:val="0"/>
              <w:adjustRightInd w:val="0"/>
              <w:spacing w:after="200" w:line="276" w:lineRule="auto"/>
            </w:pPr>
            <w:r w:rsidRPr="004C771B">
              <w:rPr>
                <w:b/>
              </w:rPr>
              <w:t>Making the business case</w:t>
            </w:r>
            <w:r w:rsidR="00BE2A4F" w:rsidRPr="004C771B">
              <w:t>—</w:t>
            </w:r>
            <w:r w:rsidR="009F6C27">
              <w:t>w</w:t>
            </w:r>
            <w:r w:rsidRPr="004C771B">
              <w:t>e will ask workshop participants for any information they have (possibly de-identified) about the impact of</w:t>
            </w:r>
            <w:r w:rsidR="00D847ED" w:rsidRPr="004C771B">
              <w:t xml:space="preserve"> </w:t>
            </w:r>
            <w:r w:rsidRPr="004C771B">
              <w:t xml:space="preserve">hardship policies, collate this data and share </w:t>
            </w:r>
            <w:r w:rsidR="00BE2A4F" w:rsidRPr="004C771B">
              <w:t xml:space="preserve">it </w:t>
            </w:r>
            <w:r w:rsidRPr="004C771B">
              <w:t xml:space="preserve">with this group. If there is participant support, </w:t>
            </w:r>
            <w:proofErr w:type="spellStart"/>
            <w:r w:rsidRPr="004C771B">
              <w:t>FCA</w:t>
            </w:r>
            <w:proofErr w:type="spellEnd"/>
            <w:r w:rsidRPr="004C771B">
              <w:t xml:space="preserve"> could also organise a forum and invite participants to share their business cases </w:t>
            </w:r>
          </w:p>
          <w:p w14:paraId="3B8F8C70" w14:textId="77777777" w:rsidR="00D847ED" w:rsidRPr="004C771B" w:rsidRDefault="00D847ED" w:rsidP="003240F7">
            <w:pPr>
              <w:autoSpaceDE w:val="0"/>
              <w:autoSpaceDN w:val="0"/>
              <w:adjustRightInd w:val="0"/>
              <w:spacing w:after="200" w:line="276" w:lineRule="auto"/>
            </w:pPr>
          </w:p>
          <w:p w14:paraId="0D0B7BD5" w14:textId="55402B90" w:rsidR="00D847ED" w:rsidRPr="004C771B" w:rsidRDefault="00D847ED" w:rsidP="00231A16">
            <w:pPr>
              <w:pStyle w:val="ListParagraph"/>
              <w:numPr>
                <w:ilvl w:val="0"/>
                <w:numId w:val="20"/>
              </w:numPr>
              <w:autoSpaceDE w:val="0"/>
              <w:autoSpaceDN w:val="0"/>
              <w:adjustRightInd w:val="0"/>
              <w:spacing w:after="200" w:line="276" w:lineRule="auto"/>
            </w:pPr>
            <w:r w:rsidRPr="004C771B">
              <w:rPr>
                <w:b/>
              </w:rPr>
              <w:t>Grants and concessions</w:t>
            </w:r>
            <w:r w:rsidR="00BE2A4F" w:rsidRPr="004C771B">
              <w:t>—</w:t>
            </w:r>
            <w:r w:rsidR="00082832">
              <w:t>t</w:t>
            </w:r>
            <w:r w:rsidRPr="004C771B">
              <w:t>he issue of a concessions framework for utilities has been raised in other for</w:t>
            </w:r>
            <w:r w:rsidR="00BE2A4F" w:rsidRPr="004C771B">
              <w:t>ums</w:t>
            </w:r>
            <w:r w:rsidRPr="004C771B">
              <w:t xml:space="preserve"> in recent months. We will contact </w:t>
            </w:r>
            <w:proofErr w:type="spellStart"/>
            <w:r w:rsidRPr="004C771B">
              <w:t>ACOSS</w:t>
            </w:r>
            <w:proofErr w:type="spellEnd"/>
            <w:r w:rsidRPr="004C771B">
              <w:t xml:space="preserve"> and industry bodies to explore the potential for a joint approach to government.</w:t>
            </w:r>
          </w:p>
          <w:p w14:paraId="0C9A5760" w14:textId="77777777" w:rsidR="003240F7" w:rsidRPr="004C771B" w:rsidRDefault="003240F7" w:rsidP="003240F7">
            <w:pPr>
              <w:rPr>
                <w:rFonts w:eastAsia="Times New Roman" w:cs="Times New Roman"/>
                <w:b/>
                <w:bCs/>
                <w:color w:val="265176"/>
                <w:kern w:val="32"/>
                <w:lang w:val="en-US"/>
              </w:rPr>
            </w:pPr>
          </w:p>
        </w:tc>
      </w:tr>
    </w:tbl>
    <w:p w14:paraId="38C9E4F0" w14:textId="77777777" w:rsidR="00E501BA" w:rsidRDefault="00E501BA">
      <w:pPr>
        <w:rPr>
          <w:rFonts w:eastAsia="Times New Roman" w:cs="Times New Roman"/>
          <w:b/>
          <w:bCs/>
          <w:color w:val="265176"/>
          <w:kern w:val="32"/>
          <w:sz w:val="28"/>
          <w:szCs w:val="28"/>
          <w:lang w:val="en-US"/>
        </w:rPr>
      </w:pPr>
    </w:p>
    <w:p w14:paraId="3460A2A1" w14:textId="77777777" w:rsidR="000A58FA" w:rsidRDefault="000A58FA">
      <w:pPr>
        <w:rPr>
          <w:rFonts w:eastAsia="Times New Roman" w:cs="Times New Roman"/>
          <w:b/>
          <w:bCs/>
          <w:color w:val="265176"/>
          <w:kern w:val="32"/>
          <w:sz w:val="28"/>
          <w:szCs w:val="28"/>
          <w:lang w:val="en-US"/>
        </w:rPr>
      </w:pPr>
      <w:r>
        <w:rPr>
          <w:rFonts w:eastAsia="Times New Roman"/>
          <w:bCs/>
          <w:color w:val="265176"/>
          <w:kern w:val="32"/>
          <w:sz w:val="28"/>
          <w:szCs w:val="28"/>
        </w:rPr>
        <w:br w:type="page"/>
      </w:r>
    </w:p>
    <w:p w14:paraId="7A4BD35A" w14:textId="77777777" w:rsidR="00F5114B" w:rsidRPr="001F62EA" w:rsidRDefault="001B6369" w:rsidP="00027BC3">
      <w:pPr>
        <w:pStyle w:val="Heading11"/>
      </w:pPr>
      <w:bookmarkStart w:id="83" w:name="_Toc387144788"/>
      <w:r>
        <w:lastRenderedPageBreak/>
        <w:t>Appendix</w:t>
      </w:r>
      <w:r w:rsidR="00F5114B">
        <w:t xml:space="preserve"> 1 – </w:t>
      </w:r>
      <w:bookmarkEnd w:id="67"/>
      <w:r>
        <w:t>People Interviewed</w:t>
      </w:r>
      <w:bookmarkEnd w:id="82"/>
      <w:bookmarkEnd w:id="83"/>
      <w:r w:rsidR="00F5114B">
        <w:t xml:space="preserve"> </w:t>
      </w:r>
    </w:p>
    <w:p w14:paraId="49F80DDE" w14:textId="77777777" w:rsidR="00F5114B" w:rsidRDefault="00F5114B" w:rsidP="00467CC0">
      <w:pPr>
        <w:spacing w:after="0" w:line="240" w:lineRule="auto"/>
      </w:pPr>
    </w:p>
    <w:tbl>
      <w:tblPr>
        <w:tblStyle w:val="TableGrid"/>
        <w:tblpPr w:leftFromText="180" w:rightFromText="180" w:vertAnchor="text" w:tblpXSpec="right" w:tblpY="1"/>
        <w:tblOverlap w:val="never"/>
        <w:tblW w:w="0" w:type="auto"/>
        <w:tblLook w:val="04A0" w:firstRow="1" w:lastRow="0" w:firstColumn="1" w:lastColumn="0" w:noHBand="0" w:noVBand="1"/>
        <w:tblDescription w:val="Table of individuals interviewed for the project"/>
      </w:tblPr>
      <w:tblGrid>
        <w:gridCol w:w="3085"/>
        <w:gridCol w:w="6157"/>
      </w:tblGrid>
      <w:tr w:rsidR="001B6369" w:rsidRPr="001B6369" w14:paraId="2745ED5F" w14:textId="77777777" w:rsidTr="003F3E4C">
        <w:tc>
          <w:tcPr>
            <w:tcW w:w="3085" w:type="dxa"/>
            <w:tcBorders>
              <w:top w:val="dashed" w:sz="4" w:space="0" w:color="auto"/>
              <w:left w:val="nil"/>
              <w:bottom w:val="dashed" w:sz="4" w:space="0" w:color="auto"/>
              <w:right w:val="nil"/>
            </w:tcBorders>
            <w:shd w:val="clear" w:color="auto" w:fill="000000" w:themeFill="text1"/>
          </w:tcPr>
          <w:p w14:paraId="4C38E653" w14:textId="77777777" w:rsidR="001B6369" w:rsidRPr="000E7AF7" w:rsidRDefault="001B6369" w:rsidP="003F3E4C">
            <w:pPr>
              <w:spacing w:before="60" w:after="60"/>
              <w:rPr>
                <w:rFonts w:cs="Arial"/>
                <w:b/>
                <w:sz w:val="24"/>
                <w:szCs w:val="24"/>
              </w:rPr>
            </w:pPr>
            <w:r w:rsidRPr="000E7AF7">
              <w:rPr>
                <w:rFonts w:cs="Arial"/>
                <w:b/>
                <w:sz w:val="24"/>
                <w:szCs w:val="24"/>
              </w:rPr>
              <w:t>Name</w:t>
            </w:r>
          </w:p>
        </w:tc>
        <w:tc>
          <w:tcPr>
            <w:tcW w:w="6157" w:type="dxa"/>
            <w:tcBorders>
              <w:top w:val="dashed" w:sz="4" w:space="0" w:color="auto"/>
              <w:left w:val="nil"/>
              <w:bottom w:val="dashed" w:sz="4" w:space="0" w:color="auto"/>
              <w:right w:val="nil"/>
            </w:tcBorders>
            <w:shd w:val="clear" w:color="auto" w:fill="000000" w:themeFill="text1"/>
          </w:tcPr>
          <w:p w14:paraId="3DE8CE7A" w14:textId="77777777" w:rsidR="001B6369" w:rsidRPr="000E7AF7" w:rsidRDefault="001B6369" w:rsidP="003F3E4C">
            <w:pPr>
              <w:spacing w:before="60" w:after="60"/>
              <w:rPr>
                <w:rFonts w:cs="Arial"/>
                <w:b/>
                <w:sz w:val="24"/>
                <w:szCs w:val="24"/>
              </w:rPr>
            </w:pPr>
            <w:r w:rsidRPr="000E7AF7">
              <w:rPr>
                <w:rFonts w:cs="Arial"/>
                <w:b/>
                <w:sz w:val="24"/>
                <w:szCs w:val="24"/>
              </w:rPr>
              <w:t>Organisation</w:t>
            </w:r>
          </w:p>
        </w:tc>
      </w:tr>
      <w:tr w:rsidR="00426461" w14:paraId="3FF619CF" w14:textId="77777777" w:rsidTr="003F3E4C">
        <w:tc>
          <w:tcPr>
            <w:tcW w:w="9242" w:type="dxa"/>
            <w:gridSpan w:val="2"/>
            <w:tcBorders>
              <w:top w:val="dashed" w:sz="4" w:space="0" w:color="auto"/>
              <w:left w:val="nil"/>
              <w:bottom w:val="dashed" w:sz="4" w:space="0" w:color="auto"/>
              <w:right w:val="nil"/>
            </w:tcBorders>
            <w:shd w:val="clear" w:color="auto" w:fill="D9D9D9" w:themeFill="background1" w:themeFillShade="D9"/>
          </w:tcPr>
          <w:p w14:paraId="40B02131" w14:textId="77777777" w:rsidR="00426461" w:rsidRPr="000E7AF7" w:rsidRDefault="00426461" w:rsidP="003F3E4C">
            <w:pPr>
              <w:spacing w:before="60" w:after="60"/>
              <w:rPr>
                <w:rFonts w:cs="Arial"/>
                <w:sz w:val="24"/>
                <w:szCs w:val="24"/>
              </w:rPr>
            </w:pPr>
            <w:r w:rsidRPr="000E7AF7">
              <w:rPr>
                <w:rFonts w:cs="Arial"/>
                <w:sz w:val="24"/>
                <w:szCs w:val="24"/>
              </w:rPr>
              <w:t>Financial Counsellors</w:t>
            </w:r>
          </w:p>
        </w:tc>
      </w:tr>
      <w:tr w:rsidR="001B6369" w14:paraId="76B92C6E" w14:textId="77777777" w:rsidTr="003F3E4C">
        <w:tc>
          <w:tcPr>
            <w:tcW w:w="3085" w:type="dxa"/>
            <w:tcBorders>
              <w:top w:val="dashed" w:sz="4" w:space="0" w:color="auto"/>
              <w:left w:val="nil"/>
              <w:bottom w:val="dashed" w:sz="4" w:space="0" w:color="auto"/>
              <w:right w:val="nil"/>
            </w:tcBorders>
          </w:tcPr>
          <w:p w14:paraId="5F48FF33" w14:textId="77777777" w:rsidR="001B6369" w:rsidRPr="000E7AF7" w:rsidRDefault="00426461" w:rsidP="003F3E4C">
            <w:pPr>
              <w:spacing w:before="60" w:after="60"/>
              <w:rPr>
                <w:rFonts w:cs="Arial"/>
                <w:sz w:val="24"/>
                <w:szCs w:val="24"/>
              </w:rPr>
            </w:pPr>
            <w:r w:rsidRPr="000E7AF7">
              <w:rPr>
                <w:rFonts w:cs="Arial"/>
                <w:sz w:val="24"/>
                <w:szCs w:val="24"/>
              </w:rPr>
              <w:t>Graham Shakespeare</w:t>
            </w:r>
          </w:p>
        </w:tc>
        <w:tc>
          <w:tcPr>
            <w:tcW w:w="6157" w:type="dxa"/>
            <w:tcBorders>
              <w:top w:val="dashed" w:sz="4" w:space="0" w:color="auto"/>
              <w:left w:val="nil"/>
              <w:bottom w:val="dashed" w:sz="4" w:space="0" w:color="auto"/>
              <w:right w:val="nil"/>
            </w:tcBorders>
          </w:tcPr>
          <w:p w14:paraId="0E73420A" w14:textId="77777777" w:rsidR="001B6369" w:rsidRPr="000E7AF7" w:rsidRDefault="00426461" w:rsidP="006D7593">
            <w:pPr>
              <w:spacing w:before="60" w:after="60"/>
              <w:rPr>
                <w:rFonts w:cs="Arial"/>
                <w:sz w:val="24"/>
                <w:szCs w:val="24"/>
              </w:rPr>
            </w:pPr>
            <w:r w:rsidRPr="000E7AF7">
              <w:rPr>
                <w:rFonts w:cs="Arial"/>
                <w:sz w:val="24"/>
                <w:szCs w:val="24"/>
              </w:rPr>
              <w:t xml:space="preserve">Salvation Army, Sydney (inner </w:t>
            </w:r>
            <w:r w:rsidR="006D7593" w:rsidRPr="000E7AF7">
              <w:rPr>
                <w:rFonts w:cs="Arial"/>
                <w:sz w:val="24"/>
                <w:szCs w:val="24"/>
              </w:rPr>
              <w:t>West</w:t>
            </w:r>
            <w:r w:rsidRPr="000E7AF7">
              <w:rPr>
                <w:rFonts w:cs="Arial"/>
                <w:sz w:val="24"/>
                <w:szCs w:val="24"/>
              </w:rPr>
              <w:t>)</w:t>
            </w:r>
          </w:p>
        </w:tc>
      </w:tr>
      <w:tr w:rsidR="001B6369" w14:paraId="33710B32" w14:textId="77777777" w:rsidTr="003F3E4C">
        <w:tc>
          <w:tcPr>
            <w:tcW w:w="3085" w:type="dxa"/>
            <w:tcBorders>
              <w:top w:val="dashed" w:sz="4" w:space="0" w:color="auto"/>
              <w:left w:val="nil"/>
              <w:bottom w:val="dashed" w:sz="4" w:space="0" w:color="auto"/>
              <w:right w:val="nil"/>
            </w:tcBorders>
          </w:tcPr>
          <w:p w14:paraId="38EA7E02" w14:textId="77777777" w:rsidR="001B6369" w:rsidRPr="000E7AF7" w:rsidRDefault="00426461" w:rsidP="003F3E4C">
            <w:pPr>
              <w:spacing w:before="60" w:after="60"/>
              <w:rPr>
                <w:rFonts w:cs="Arial"/>
                <w:sz w:val="24"/>
                <w:szCs w:val="24"/>
              </w:rPr>
            </w:pPr>
            <w:r w:rsidRPr="000E7AF7">
              <w:rPr>
                <w:rFonts w:cs="Arial"/>
                <w:sz w:val="24"/>
                <w:szCs w:val="24"/>
              </w:rPr>
              <w:t>Jim Connolly</w:t>
            </w:r>
          </w:p>
        </w:tc>
        <w:tc>
          <w:tcPr>
            <w:tcW w:w="6157" w:type="dxa"/>
            <w:tcBorders>
              <w:top w:val="dashed" w:sz="4" w:space="0" w:color="auto"/>
              <w:left w:val="nil"/>
              <w:bottom w:val="dashed" w:sz="4" w:space="0" w:color="auto"/>
              <w:right w:val="nil"/>
            </w:tcBorders>
          </w:tcPr>
          <w:p w14:paraId="16F0EAEC" w14:textId="77777777" w:rsidR="001B6369" w:rsidRPr="000E7AF7" w:rsidRDefault="00426461" w:rsidP="003F3E4C">
            <w:pPr>
              <w:spacing w:before="60" w:after="60"/>
              <w:rPr>
                <w:rFonts w:cs="Arial"/>
                <w:sz w:val="24"/>
                <w:szCs w:val="24"/>
              </w:rPr>
            </w:pPr>
            <w:r w:rsidRPr="000E7AF7">
              <w:rPr>
                <w:rFonts w:cs="Arial"/>
                <w:sz w:val="24"/>
                <w:szCs w:val="24"/>
              </w:rPr>
              <w:t>Salvation Army, Sydney (inner Sydney)</w:t>
            </w:r>
          </w:p>
        </w:tc>
      </w:tr>
      <w:tr w:rsidR="00426461" w14:paraId="2B0145F6" w14:textId="77777777" w:rsidTr="003F3E4C">
        <w:tc>
          <w:tcPr>
            <w:tcW w:w="3085" w:type="dxa"/>
            <w:tcBorders>
              <w:top w:val="dashed" w:sz="4" w:space="0" w:color="auto"/>
              <w:left w:val="nil"/>
              <w:bottom w:val="dashed" w:sz="4" w:space="0" w:color="auto"/>
              <w:right w:val="nil"/>
            </w:tcBorders>
          </w:tcPr>
          <w:p w14:paraId="12C73E21" w14:textId="77777777" w:rsidR="00426461" w:rsidRPr="000E7AF7" w:rsidRDefault="00426461" w:rsidP="003F3E4C">
            <w:pPr>
              <w:spacing w:before="60" w:after="60"/>
              <w:rPr>
                <w:rFonts w:cs="Arial"/>
                <w:sz w:val="24"/>
                <w:szCs w:val="24"/>
              </w:rPr>
            </w:pPr>
            <w:r w:rsidRPr="000E7AF7">
              <w:rPr>
                <w:rFonts w:cs="Arial"/>
                <w:sz w:val="24"/>
                <w:szCs w:val="24"/>
              </w:rPr>
              <w:t xml:space="preserve">Lyn </w:t>
            </w:r>
            <w:proofErr w:type="spellStart"/>
            <w:r w:rsidRPr="000E7AF7">
              <w:rPr>
                <w:rFonts w:cs="Arial"/>
                <w:sz w:val="24"/>
                <w:szCs w:val="24"/>
              </w:rPr>
              <w:t>Brailey</w:t>
            </w:r>
            <w:proofErr w:type="spellEnd"/>
          </w:p>
        </w:tc>
        <w:tc>
          <w:tcPr>
            <w:tcW w:w="6157" w:type="dxa"/>
            <w:tcBorders>
              <w:top w:val="dashed" w:sz="4" w:space="0" w:color="auto"/>
              <w:left w:val="nil"/>
              <w:bottom w:val="dashed" w:sz="4" w:space="0" w:color="auto"/>
              <w:right w:val="nil"/>
            </w:tcBorders>
          </w:tcPr>
          <w:p w14:paraId="00A73DFA" w14:textId="77777777" w:rsidR="00426461" w:rsidRPr="000E7AF7" w:rsidRDefault="00426461" w:rsidP="003F3E4C">
            <w:pPr>
              <w:spacing w:before="60" w:after="60"/>
              <w:rPr>
                <w:rFonts w:cs="Arial"/>
                <w:sz w:val="24"/>
                <w:szCs w:val="24"/>
              </w:rPr>
            </w:pPr>
            <w:r w:rsidRPr="000E7AF7">
              <w:rPr>
                <w:rFonts w:cs="Arial"/>
                <w:sz w:val="24"/>
                <w:szCs w:val="24"/>
              </w:rPr>
              <w:t>Salvation Army, Sydney (inner Sydney)</w:t>
            </w:r>
          </w:p>
        </w:tc>
      </w:tr>
      <w:tr w:rsidR="00426461" w14:paraId="2494B441" w14:textId="77777777" w:rsidTr="003F3E4C">
        <w:tc>
          <w:tcPr>
            <w:tcW w:w="3085" w:type="dxa"/>
            <w:tcBorders>
              <w:top w:val="dashed" w:sz="4" w:space="0" w:color="auto"/>
              <w:left w:val="nil"/>
              <w:bottom w:val="dashed" w:sz="4" w:space="0" w:color="auto"/>
              <w:right w:val="nil"/>
            </w:tcBorders>
          </w:tcPr>
          <w:p w14:paraId="6AE5B34D" w14:textId="77777777" w:rsidR="00426461" w:rsidRPr="000E7AF7" w:rsidRDefault="00426461" w:rsidP="003F3E4C">
            <w:pPr>
              <w:spacing w:before="60" w:after="60"/>
              <w:rPr>
                <w:rFonts w:cs="Arial"/>
                <w:sz w:val="24"/>
                <w:szCs w:val="24"/>
              </w:rPr>
            </w:pPr>
            <w:r w:rsidRPr="000E7AF7">
              <w:rPr>
                <w:rFonts w:cs="Arial"/>
                <w:sz w:val="24"/>
                <w:szCs w:val="24"/>
              </w:rPr>
              <w:t xml:space="preserve">Phil Powell </w:t>
            </w:r>
          </w:p>
        </w:tc>
        <w:tc>
          <w:tcPr>
            <w:tcW w:w="6157" w:type="dxa"/>
            <w:tcBorders>
              <w:top w:val="dashed" w:sz="4" w:space="0" w:color="auto"/>
              <w:left w:val="nil"/>
              <w:bottom w:val="dashed" w:sz="4" w:space="0" w:color="auto"/>
              <w:right w:val="nil"/>
            </w:tcBorders>
          </w:tcPr>
          <w:p w14:paraId="091C7A83" w14:textId="77777777" w:rsidR="00426461" w:rsidRPr="000E7AF7" w:rsidRDefault="00426461" w:rsidP="003F3E4C">
            <w:pPr>
              <w:spacing w:before="60" w:after="60"/>
              <w:rPr>
                <w:rFonts w:cs="Arial"/>
                <w:sz w:val="24"/>
                <w:szCs w:val="24"/>
              </w:rPr>
            </w:pPr>
            <w:r w:rsidRPr="000E7AF7">
              <w:rPr>
                <w:rFonts w:cs="Arial"/>
                <w:sz w:val="24"/>
                <w:szCs w:val="24"/>
              </w:rPr>
              <w:t>Anglicare, Tasmania</w:t>
            </w:r>
          </w:p>
        </w:tc>
      </w:tr>
      <w:tr w:rsidR="00426461" w14:paraId="7313EAB1" w14:textId="77777777" w:rsidTr="003F3E4C">
        <w:tc>
          <w:tcPr>
            <w:tcW w:w="3085" w:type="dxa"/>
            <w:tcBorders>
              <w:top w:val="dashed" w:sz="4" w:space="0" w:color="auto"/>
              <w:left w:val="nil"/>
              <w:bottom w:val="dashed" w:sz="4" w:space="0" w:color="auto"/>
              <w:right w:val="nil"/>
            </w:tcBorders>
          </w:tcPr>
          <w:p w14:paraId="77D3F215" w14:textId="77777777" w:rsidR="00426461" w:rsidRPr="000E7AF7" w:rsidRDefault="00426461" w:rsidP="003F3E4C">
            <w:pPr>
              <w:spacing w:before="60" w:after="60"/>
              <w:rPr>
                <w:rFonts w:cs="Arial"/>
                <w:sz w:val="24"/>
                <w:szCs w:val="24"/>
              </w:rPr>
            </w:pPr>
            <w:r w:rsidRPr="000E7AF7">
              <w:rPr>
                <w:rFonts w:cs="Arial"/>
                <w:sz w:val="24"/>
                <w:szCs w:val="24"/>
              </w:rPr>
              <w:t>Mark Phillips</w:t>
            </w:r>
          </w:p>
        </w:tc>
        <w:tc>
          <w:tcPr>
            <w:tcW w:w="6157" w:type="dxa"/>
            <w:tcBorders>
              <w:top w:val="dashed" w:sz="4" w:space="0" w:color="auto"/>
              <w:left w:val="nil"/>
              <w:bottom w:val="dashed" w:sz="4" w:space="0" w:color="auto"/>
              <w:right w:val="nil"/>
            </w:tcBorders>
          </w:tcPr>
          <w:p w14:paraId="18FB12FB" w14:textId="77777777" w:rsidR="00426461" w:rsidRPr="000E7AF7" w:rsidRDefault="00662C48" w:rsidP="003F3E4C">
            <w:pPr>
              <w:spacing w:before="60" w:after="60"/>
              <w:rPr>
                <w:rFonts w:cs="Arial"/>
                <w:sz w:val="24"/>
                <w:szCs w:val="24"/>
              </w:rPr>
            </w:pPr>
            <w:r w:rsidRPr="000E7AF7">
              <w:rPr>
                <w:rFonts w:cs="Arial"/>
                <w:sz w:val="24"/>
                <w:szCs w:val="24"/>
              </w:rPr>
              <w:t>Uniting Care Community, Queensland</w:t>
            </w:r>
            <w:r w:rsidRPr="000E7AF7">
              <w:rPr>
                <w:rStyle w:val="FootnoteReference"/>
                <w:rFonts w:cs="Arial"/>
                <w:sz w:val="24"/>
                <w:szCs w:val="24"/>
              </w:rPr>
              <w:footnoteReference w:id="41"/>
            </w:r>
          </w:p>
        </w:tc>
      </w:tr>
      <w:tr w:rsidR="00426461" w14:paraId="7F7A944A" w14:textId="77777777" w:rsidTr="003F3E4C">
        <w:tc>
          <w:tcPr>
            <w:tcW w:w="3085" w:type="dxa"/>
            <w:tcBorders>
              <w:top w:val="dashed" w:sz="4" w:space="0" w:color="auto"/>
              <w:left w:val="nil"/>
              <w:bottom w:val="dashed" w:sz="4" w:space="0" w:color="auto"/>
              <w:right w:val="nil"/>
            </w:tcBorders>
          </w:tcPr>
          <w:p w14:paraId="5E1F7B64" w14:textId="77777777" w:rsidR="00426461" w:rsidRPr="000E7AF7" w:rsidRDefault="00662C48" w:rsidP="003F3E4C">
            <w:pPr>
              <w:spacing w:before="60" w:after="60"/>
              <w:rPr>
                <w:rFonts w:cs="Arial"/>
                <w:sz w:val="24"/>
                <w:szCs w:val="24"/>
              </w:rPr>
            </w:pPr>
            <w:r w:rsidRPr="000E7AF7">
              <w:rPr>
                <w:rFonts w:cs="Arial"/>
                <w:sz w:val="24"/>
                <w:szCs w:val="24"/>
              </w:rPr>
              <w:t xml:space="preserve">Rene </w:t>
            </w:r>
            <w:proofErr w:type="spellStart"/>
            <w:r w:rsidRPr="000E7AF7">
              <w:rPr>
                <w:rFonts w:cs="Arial"/>
                <w:sz w:val="24"/>
                <w:szCs w:val="24"/>
              </w:rPr>
              <w:t>Ploegmakers</w:t>
            </w:r>
            <w:proofErr w:type="spellEnd"/>
          </w:p>
        </w:tc>
        <w:tc>
          <w:tcPr>
            <w:tcW w:w="6157" w:type="dxa"/>
            <w:tcBorders>
              <w:top w:val="dashed" w:sz="4" w:space="0" w:color="auto"/>
              <w:left w:val="nil"/>
              <w:bottom w:val="dashed" w:sz="4" w:space="0" w:color="auto"/>
              <w:right w:val="nil"/>
            </w:tcBorders>
          </w:tcPr>
          <w:p w14:paraId="78CD852A" w14:textId="77777777" w:rsidR="00426461" w:rsidRPr="000E7AF7" w:rsidRDefault="00662C48" w:rsidP="003F3E4C">
            <w:pPr>
              <w:spacing w:before="60" w:after="60"/>
              <w:rPr>
                <w:rFonts w:cs="Arial"/>
                <w:sz w:val="24"/>
                <w:szCs w:val="24"/>
              </w:rPr>
            </w:pPr>
            <w:proofErr w:type="spellStart"/>
            <w:r w:rsidRPr="000E7AF7">
              <w:rPr>
                <w:rFonts w:cs="Arial"/>
                <w:sz w:val="24"/>
                <w:szCs w:val="24"/>
              </w:rPr>
              <w:t>Diversitat</w:t>
            </w:r>
            <w:proofErr w:type="spellEnd"/>
            <w:r w:rsidRPr="000E7AF7">
              <w:rPr>
                <w:rFonts w:cs="Arial"/>
                <w:sz w:val="24"/>
                <w:szCs w:val="24"/>
              </w:rPr>
              <w:t>, Victoria (urban/regional)</w:t>
            </w:r>
          </w:p>
        </w:tc>
      </w:tr>
      <w:tr w:rsidR="00426461" w14:paraId="10220775" w14:textId="77777777" w:rsidTr="003F3E4C">
        <w:tc>
          <w:tcPr>
            <w:tcW w:w="3085" w:type="dxa"/>
            <w:tcBorders>
              <w:top w:val="dashed" w:sz="4" w:space="0" w:color="auto"/>
              <w:left w:val="nil"/>
              <w:bottom w:val="dashed" w:sz="4" w:space="0" w:color="auto"/>
              <w:right w:val="nil"/>
            </w:tcBorders>
          </w:tcPr>
          <w:p w14:paraId="1C97DACA" w14:textId="77777777" w:rsidR="00426461" w:rsidRPr="000E7AF7" w:rsidRDefault="00662C48" w:rsidP="003F3E4C">
            <w:pPr>
              <w:spacing w:before="60" w:after="60"/>
              <w:rPr>
                <w:rFonts w:cs="Arial"/>
                <w:sz w:val="24"/>
                <w:szCs w:val="24"/>
              </w:rPr>
            </w:pPr>
            <w:r w:rsidRPr="000E7AF7">
              <w:rPr>
                <w:rFonts w:cs="Arial"/>
                <w:sz w:val="24"/>
                <w:szCs w:val="24"/>
              </w:rPr>
              <w:t>John Mumford</w:t>
            </w:r>
          </w:p>
        </w:tc>
        <w:tc>
          <w:tcPr>
            <w:tcW w:w="6157" w:type="dxa"/>
            <w:tcBorders>
              <w:top w:val="dashed" w:sz="4" w:space="0" w:color="auto"/>
              <w:left w:val="nil"/>
              <w:bottom w:val="dashed" w:sz="4" w:space="0" w:color="auto"/>
              <w:right w:val="nil"/>
            </w:tcBorders>
          </w:tcPr>
          <w:p w14:paraId="08B12D43" w14:textId="77777777" w:rsidR="00426461" w:rsidRPr="000E7AF7" w:rsidRDefault="00662C48" w:rsidP="003F3E4C">
            <w:pPr>
              <w:spacing w:before="60" w:after="60"/>
              <w:rPr>
                <w:rFonts w:cs="Arial"/>
                <w:sz w:val="24"/>
                <w:szCs w:val="24"/>
              </w:rPr>
            </w:pPr>
            <w:r w:rsidRPr="000E7AF7">
              <w:rPr>
                <w:rFonts w:cs="Arial"/>
                <w:sz w:val="24"/>
                <w:szCs w:val="24"/>
              </w:rPr>
              <w:t>ORGANISATION, Victoria (rural)</w:t>
            </w:r>
          </w:p>
        </w:tc>
      </w:tr>
      <w:tr w:rsidR="00426461" w14:paraId="3ED1BC1E" w14:textId="77777777" w:rsidTr="003F3E4C">
        <w:tc>
          <w:tcPr>
            <w:tcW w:w="3085" w:type="dxa"/>
            <w:tcBorders>
              <w:top w:val="dashed" w:sz="4" w:space="0" w:color="auto"/>
              <w:left w:val="nil"/>
              <w:bottom w:val="dashed" w:sz="4" w:space="0" w:color="auto"/>
              <w:right w:val="nil"/>
            </w:tcBorders>
          </w:tcPr>
          <w:p w14:paraId="0484DC1D" w14:textId="77777777" w:rsidR="00426461" w:rsidRPr="000E7AF7" w:rsidRDefault="00662C48" w:rsidP="003F3E4C">
            <w:pPr>
              <w:spacing w:before="60" w:after="60"/>
              <w:rPr>
                <w:rFonts w:cs="Arial"/>
                <w:sz w:val="24"/>
                <w:szCs w:val="24"/>
              </w:rPr>
            </w:pPr>
            <w:r w:rsidRPr="000E7AF7">
              <w:rPr>
                <w:rFonts w:cs="Arial"/>
                <w:sz w:val="24"/>
                <w:szCs w:val="24"/>
              </w:rPr>
              <w:t>Ian Liddell</w:t>
            </w:r>
          </w:p>
        </w:tc>
        <w:tc>
          <w:tcPr>
            <w:tcW w:w="6157" w:type="dxa"/>
            <w:tcBorders>
              <w:top w:val="dashed" w:sz="4" w:space="0" w:color="auto"/>
              <w:left w:val="nil"/>
              <w:bottom w:val="dashed" w:sz="4" w:space="0" w:color="auto"/>
              <w:right w:val="nil"/>
            </w:tcBorders>
          </w:tcPr>
          <w:p w14:paraId="77FCF862" w14:textId="77777777" w:rsidR="00426461" w:rsidRPr="000E7AF7" w:rsidRDefault="00662C48" w:rsidP="003F3E4C">
            <w:pPr>
              <w:spacing w:before="60" w:after="60"/>
              <w:rPr>
                <w:rFonts w:cs="Arial"/>
                <w:sz w:val="24"/>
                <w:szCs w:val="24"/>
              </w:rPr>
            </w:pPr>
            <w:r w:rsidRPr="000E7AF7">
              <w:rPr>
                <w:rFonts w:cs="Arial"/>
                <w:sz w:val="24"/>
                <w:szCs w:val="24"/>
              </w:rPr>
              <w:t>ORGANISATION, Victoria (rural)</w:t>
            </w:r>
          </w:p>
        </w:tc>
      </w:tr>
      <w:tr w:rsidR="00426461" w14:paraId="36EE9CE2" w14:textId="77777777" w:rsidTr="003F3E4C">
        <w:tc>
          <w:tcPr>
            <w:tcW w:w="3085" w:type="dxa"/>
            <w:tcBorders>
              <w:top w:val="dashed" w:sz="4" w:space="0" w:color="auto"/>
              <w:left w:val="nil"/>
              <w:bottom w:val="dashed" w:sz="4" w:space="0" w:color="auto"/>
              <w:right w:val="nil"/>
            </w:tcBorders>
          </w:tcPr>
          <w:p w14:paraId="0F2A8FC3" w14:textId="77777777" w:rsidR="00426461" w:rsidRPr="000E7AF7" w:rsidRDefault="00662C48" w:rsidP="003F3E4C">
            <w:pPr>
              <w:spacing w:before="60" w:after="60"/>
              <w:rPr>
                <w:rFonts w:cs="Arial"/>
                <w:sz w:val="24"/>
                <w:szCs w:val="24"/>
              </w:rPr>
            </w:pPr>
            <w:r w:rsidRPr="000E7AF7">
              <w:rPr>
                <w:rFonts w:cs="Arial"/>
                <w:sz w:val="24"/>
                <w:szCs w:val="24"/>
              </w:rPr>
              <w:t xml:space="preserve">Rachael </w:t>
            </w:r>
            <w:proofErr w:type="spellStart"/>
            <w:r w:rsidRPr="000E7AF7">
              <w:rPr>
                <w:rFonts w:cs="Arial"/>
                <w:sz w:val="24"/>
                <w:szCs w:val="24"/>
              </w:rPr>
              <w:t>Milfull</w:t>
            </w:r>
            <w:proofErr w:type="spellEnd"/>
          </w:p>
        </w:tc>
        <w:tc>
          <w:tcPr>
            <w:tcW w:w="6157" w:type="dxa"/>
            <w:tcBorders>
              <w:top w:val="dashed" w:sz="4" w:space="0" w:color="auto"/>
              <w:left w:val="nil"/>
              <w:bottom w:val="dashed" w:sz="4" w:space="0" w:color="auto"/>
              <w:right w:val="nil"/>
            </w:tcBorders>
          </w:tcPr>
          <w:p w14:paraId="6ED9DC8A" w14:textId="77777777" w:rsidR="00426461" w:rsidRPr="000E7AF7" w:rsidRDefault="00662C48" w:rsidP="003F3E4C">
            <w:pPr>
              <w:spacing w:before="60" w:after="60"/>
              <w:rPr>
                <w:rFonts w:cs="Arial"/>
                <w:sz w:val="24"/>
                <w:szCs w:val="24"/>
              </w:rPr>
            </w:pPr>
            <w:r w:rsidRPr="000E7AF7">
              <w:rPr>
                <w:rFonts w:cs="Arial"/>
                <w:sz w:val="24"/>
                <w:szCs w:val="24"/>
              </w:rPr>
              <w:t>CARE Financial Counselling Service, ACT</w:t>
            </w:r>
          </w:p>
        </w:tc>
      </w:tr>
      <w:tr w:rsidR="00426461" w14:paraId="6CB48010" w14:textId="77777777" w:rsidTr="003F3E4C">
        <w:tc>
          <w:tcPr>
            <w:tcW w:w="3085" w:type="dxa"/>
            <w:tcBorders>
              <w:top w:val="dashed" w:sz="4" w:space="0" w:color="auto"/>
              <w:left w:val="nil"/>
              <w:bottom w:val="dashed" w:sz="4" w:space="0" w:color="auto"/>
              <w:right w:val="nil"/>
            </w:tcBorders>
          </w:tcPr>
          <w:p w14:paraId="7B056297" w14:textId="77777777" w:rsidR="00426461" w:rsidRPr="000E7AF7" w:rsidRDefault="00A72581" w:rsidP="007F6577">
            <w:pPr>
              <w:spacing w:before="60" w:after="60"/>
              <w:rPr>
                <w:rFonts w:cs="Arial"/>
                <w:sz w:val="24"/>
                <w:szCs w:val="24"/>
              </w:rPr>
            </w:pPr>
            <w:r w:rsidRPr="000E7AF7">
              <w:rPr>
                <w:rFonts w:cs="Arial"/>
                <w:sz w:val="24"/>
                <w:szCs w:val="24"/>
              </w:rPr>
              <w:t xml:space="preserve">Jocelyn </w:t>
            </w:r>
            <w:r w:rsidR="007F6577" w:rsidRPr="000E7AF7">
              <w:rPr>
                <w:rFonts w:cs="Arial"/>
                <w:sz w:val="24"/>
                <w:szCs w:val="24"/>
              </w:rPr>
              <w:t>McMillan</w:t>
            </w:r>
          </w:p>
        </w:tc>
        <w:tc>
          <w:tcPr>
            <w:tcW w:w="6157" w:type="dxa"/>
            <w:tcBorders>
              <w:top w:val="dashed" w:sz="4" w:space="0" w:color="auto"/>
              <w:left w:val="nil"/>
              <w:bottom w:val="dashed" w:sz="4" w:space="0" w:color="auto"/>
              <w:right w:val="nil"/>
            </w:tcBorders>
          </w:tcPr>
          <w:p w14:paraId="18A4288E" w14:textId="77777777" w:rsidR="00426461" w:rsidRPr="000E7AF7" w:rsidRDefault="00A72581" w:rsidP="003F3E4C">
            <w:pPr>
              <w:spacing w:before="60" w:after="60"/>
              <w:rPr>
                <w:rFonts w:cs="Arial"/>
                <w:sz w:val="24"/>
                <w:szCs w:val="24"/>
              </w:rPr>
            </w:pPr>
            <w:proofErr w:type="spellStart"/>
            <w:r w:rsidRPr="000E7AF7">
              <w:rPr>
                <w:rFonts w:cs="Arial"/>
                <w:sz w:val="24"/>
                <w:szCs w:val="24"/>
              </w:rPr>
              <w:t>Diversitat</w:t>
            </w:r>
            <w:proofErr w:type="spellEnd"/>
            <w:r w:rsidRPr="000E7AF7">
              <w:rPr>
                <w:rFonts w:cs="Arial"/>
                <w:sz w:val="24"/>
                <w:szCs w:val="24"/>
              </w:rPr>
              <w:t>, Victoria (urban/regional)</w:t>
            </w:r>
          </w:p>
        </w:tc>
      </w:tr>
      <w:tr w:rsidR="00426461" w14:paraId="3E61828B" w14:textId="77777777" w:rsidTr="003F3E4C">
        <w:tc>
          <w:tcPr>
            <w:tcW w:w="3085" w:type="dxa"/>
            <w:tcBorders>
              <w:top w:val="dashed" w:sz="4" w:space="0" w:color="auto"/>
              <w:left w:val="nil"/>
              <w:bottom w:val="dashed" w:sz="4" w:space="0" w:color="auto"/>
              <w:right w:val="nil"/>
            </w:tcBorders>
          </w:tcPr>
          <w:p w14:paraId="63A1D3A8" w14:textId="77777777" w:rsidR="00426461" w:rsidRPr="000E7AF7" w:rsidRDefault="00A72581" w:rsidP="003F3E4C">
            <w:pPr>
              <w:spacing w:before="60" w:after="60"/>
              <w:rPr>
                <w:rFonts w:cs="Arial"/>
                <w:sz w:val="24"/>
                <w:szCs w:val="24"/>
              </w:rPr>
            </w:pPr>
            <w:r w:rsidRPr="000E7AF7">
              <w:rPr>
                <w:rFonts w:cs="Arial"/>
                <w:sz w:val="24"/>
                <w:szCs w:val="24"/>
              </w:rPr>
              <w:t xml:space="preserve">Anna </w:t>
            </w:r>
            <w:proofErr w:type="spellStart"/>
            <w:r w:rsidRPr="000E7AF7">
              <w:rPr>
                <w:rFonts w:cs="Arial"/>
                <w:sz w:val="24"/>
                <w:szCs w:val="24"/>
              </w:rPr>
              <w:t>Dooland</w:t>
            </w:r>
            <w:proofErr w:type="spellEnd"/>
          </w:p>
        </w:tc>
        <w:tc>
          <w:tcPr>
            <w:tcW w:w="6157" w:type="dxa"/>
            <w:tcBorders>
              <w:top w:val="dashed" w:sz="4" w:space="0" w:color="auto"/>
              <w:left w:val="nil"/>
              <w:bottom w:val="dashed" w:sz="4" w:space="0" w:color="auto"/>
              <w:right w:val="nil"/>
            </w:tcBorders>
          </w:tcPr>
          <w:p w14:paraId="5241B8F5" w14:textId="77777777" w:rsidR="00426461" w:rsidRPr="000E7AF7" w:rsidRDefault="00A72581" w:rsidP="003F3E4C">
            <w:pPr>
              <w:spacing w:before="60" w:after="60"/>
              <w:rPr>
                <w:rFonts w:cs="Arial"/>
                <w:sz w:val="24"/>
                <w:szCs w:val="24"/>
              </w:rPr>
            </w:pPr>
            <w:r w:rsidRPr="000E7AF7">
              <w:rPr>
                <w:rFonts w:cs="Arial"/>
                <w:sz w:val="24"/>
                <w:szCs w:val="24"/>
              </w:rPr>
              <w:t>Good Shepherd Youth and Family Services, Victoria</w:t>
            </w:r>
            <w:r w:rsidRPr="000E7AF7">
              <w:rPr>
                <w:rStyle w:val="FootnoteReference"/>
                <w:rFonts w:cs="Arial"/>
                <w:sz w:val="24"/>
                <w:szCs w:val="24"/>
              </w:rPr>
              <w:footnoteReference w:id="42"/>
            </w:r>
          </w:p>
        </w:tc>
      </w:tr>
      <w:tr w:rsidR="00A72581" w14:paraId="1D447D5F" w14:textId="77777777" w:rsidTr="003F3E4C">
        <w:tc>
          <w:tcPr>
            <w:tcW w:w="3085" w:type="dxa"/>
            <w:tcBorders>
              <w:top w:val="dashed" w:sz="4" w:space="0" w:color="auto"/>
              <w:left w:val="nil"/>
              <w:bottom w:val="dashed" w:sz="4" w:space="0" w:color="auto"/>
              <w:right w:val="nil"/>
            </w:tcBorders>
          </w:tcPr>
          <w:p w14:paraId="3DD9EBC8" w14:textId="77777777" w:rsidR="00A72581" w:rsidRPr="000E7AF7" w:rsidRDefault="00A72581" w:rsidP="003F3E4C">
            <w:pPr>
              <w:spacing w:before="60" w:after="60"/>
              <w:rPr>
                <w:rFonts w:cs="Arial"/>
                <w:sz w:val="24"/>
                <w:szCs w:val="24"/>
              </w:rPr>
            </w:pPr>
            <w:r w:rsidRPr="000E7AF7">
              <w:rPr>
                <w:rFonts w:cs="Arial"/>
                <w:sz w:val="24"/>
                <w:szCs w:val="24"/>
              </w:rPr>
              <w:t>Shirley Walker</w:t>
            </w:r>
          </w:p>
        </w:tc>
        <w:tc>
          <w:tcPr>
            <w:tcW w:w="6157" w:type="dxa"/>
            <w:tcBorders>
              <w:top w:val="dashed" w:sz="4" w:space="0" w:color="auto"/>
              <w:left w:val="nil"/>
              <w:bottom w:val="dashed" w:sz="4" w:space="0" w:color="auto"/>
              <w:right w:val="nil"/>
            </w:tcBorders>
          </w:tcPr>
          <w:p w14:paraId="6C3736F6" w14:textId="77777777" w:rsidR="00A72581" w:rsidRPr="000E7AF7" w:rsidRDefault="006D7593" w:rsidP="003F3E4C">
            <w:pPr>
              <w:spacing w:before="60" w:after="60"/>
              <w:rPr>
                <w:rFonts w:cs="Arial"/>
                <w:sz w:val="24"/>
                <w:szCs w:val="24"/>
              </w:rPr>
            </w:pPr>
            <w:r w:rsidRPr="000E7AF7">
              <w:rPr>
                <w:rFonts w:cs="Arial"/>
                <w:sz w:val="24"/>
                <w:szCs w:val="24"/>
              </w:rPr>
              <w:t xml:space="preserve">City of </w:t>
            </w:r>
            <w:proofErr w:type="spellStart"/>
            <w:r w:rsidRPr="000E7AF7">
              <w:rPr>
                <w:rFonts w:cs="Arial"/>
                <w:sz w:val="24"/>
                <w:szCs w:val="24"/>
              </w:rPr>
              <w:t>Yarra</w:t>
            </w:r>
            <w:proofErr w:type="spellEnd"/>
            <w:r w:rsidR="00A72581" w:rsidRPr="000E7AF7">
              <w:rPr>
                <w:rFonts w:cs="Arial"/>
                <w:sz w:val="24"/>
                <w:szCs w:val="24"/>
              </w:rPr>
              <w:t>, Victoria (</w:t>
            </w:r>
            <w:r w:rsidRPr="000E7AF7">
              <w:rPr>
                <w:rFonts w:cs="Arial"/>
                <w:sz w:val="24"/>
                <w:szCs w:val="24"/>
              </w:rPr>
              <w:t>inner Melb</w:t>
            </w:r>
            <w:r w:rsidR="00A72581" w:rsidRPr="000E7AF7">
              <w:rPr>
                <w:rFonts w:cs="Arial"/>
                <w:sz w:val="24"/>
                <w:szCs w:val="24"/>
              </w:rPr>
              <w:t>)</w:t>
            </w:r>
          </w:p>
        </w:tc>
      </w:tr>
      <w:tr w:rsidR="00A72581" w14:paraId="57D1A435" w14:textId="77777777" w:rsidTr="003F3E4C">
        <w:tc>
          <w:tcPr>
            <w:tcW w:w="3085" w:type="dxa"/>
            <w:tcBorders>
              <w:top w:val="dashed" w:sz="4" w:space="0" w:color="auto"/>
              <w:left w:val="nil"/>
              <w:bottom w:val="dashed" w:sz="4" w:space="0" w:color="auto"/>
              <w:right w:val="nil"/>
            </w:tcBorders>
          </w:tcPr>
          <w:p w14:paraId="678A5EAE" w14:textId="77777777" w:rsidR="00A72581" w:rsidRPr="000E7AF7" w:rsidRDefault="00A72581" w:rsidP="003F3E4C">
            <w:pPr>
              <w:spacing w:before="60" w:after="60"/>
              <w:rPr>
                <w:rFonts w:cs="Arial"/>
                <w:sz w:val="24"/>
                <w:szCs w:val="24"/>
              </w:rPr>
            </w:pPr>
            <w:r w:rsidRPr="000E7AF7">
              <w:rPr>
                <w:rFonts w:cs="Arial"/>
                <w:sz w:val="24"/>
                <w:szCs w:val="24"/>
              </w:rPr>
              <w:t>Sue Fraser</w:t>
            </w:r>
          </w:p>
        </w:tc>
        <w:tc>
          <w:tcPr>
            <w:tcW w:w="6157" w:type="dxa"/>
            <w:tcBorders>
              <w:top w:val="dashed" w:sz="4" w:space="0" w:color="auto"/>
              <w:left w:val="nil"/>
              <w:bottom w:val="dashed" w:sz="4" w:space="0" w:color="auto"/>
              <w:right w:val="nil"/>
            </w:tcBorders>
          </w:tcPr>
          <w:p w14:paraId="425F29C1" w14:textId="77777777" w:rsidR="00A72581" w:rsidRPr="000E7AF7" w:rsidRDefault="00EC77F0" w:rsidP="003F3E4C">
            <w:pPr>
              <w:spacing w:before="60" w:after="60"/>
              <w:rPr>
                <w:rFonts w:cs="Arial"/>
                <w:sz w:val="24"/>
                <w:szCs w:val="24"/>
              </w:rPr>
            </w:pPr>
            <w:proofErr w:type="spellStart"/>
            <w:r>
              <w:rPr>
                <w:rFonts w:cs="Arial"/>
                <w:sz w:val="24"/>
                <w:szCs w:val="24"/>
              </w:rPr>
              <w:t>Kildonan</w:t>
            </w:r>
            <w:proofErr w:type="spellEnd"/>
            <w:r>
              <w:rPr>
                <w:rFonts w:cs="Arial"/>
                <w:sz w:val="24"/>
                <w:szCs w:val="24"/>
              </w:rPr>
              <w:t xml:space="preserve"> </w:t>
            </w:r>
            <w:proofErr w:type="spellStart"/>
            <w:r>
              <w:rPr>
                <w:rFonts w:cs="Arial"/>
                <w:sz w:val="24"/>
                <w:szCs w:val="24"/>
              </w:rPr>
              <w:t>Uniting</w:t>
            </w:r>
            <w:r w:rsidR="00A72581" w:rsidRPr="000E7AF7">
              <w:rPr>
                <w:rFonts w:cs="Arial"/>
                <w:sz w:val="24"/>
                <w:szCs w:val="24"/>
              </w:rPr>
              <w:t>Care</w:t>
            </w:r>
            <w:proofErr w:type="spellEnd"/>
            <w:r w:rsidR="00A72581" w:rsidRPr="000E7AF7">
              <w:rPr>
                <w:rFonts w:cs="Arial"/>
                <w:sz w:val="24"/>
                <w:szCs w:val="24"/>
              </w:rPr>
              <w:t xml:space="preserve">, Victoria </w:t>
            </w:r>
          </w:p>
        </w:tc>
      </w:tr>
      <w:tr w:rsidR="00A72581" w14:paraId="1FF4B04B" w14:textId="77777777" w:rsidTr="003F3E4C">
        <w:tc>
          <w:tcPr>
            <w:tcW w:w="9242" w:type="dxa"/>
            <w:gridSpan w:val="2"/>
            <w:tcBorders>
              <w:top w:val="dashed" w:sz="4" w:space="0" w:color="auto"/>
              <w:left w:val="nil"/>
              <w:bottom w:val="dashed" w:sz="4" w:space="0" w:color="auto"/>
              <w:right w:val="nil"/>
            </w:tcBorders>
            <w:shd w:val="clear" w:color="auto" w:fill="D9D9D9" w:themeFill="background1" w:themeFillShade="D9"/>
          </w:tcPr>
          <w:p w14:paraId="20956FF4" w14:textId="77777777" w:rsidR="00A72581" w:rsidRPr="000E7AF7" w:rsidRDefault="00A72581" w:rsidP="003F3E4C">
            <w:pPr>
              <w:spacing w:before="60" w:after="60"/>
              <w:rPr>
                <w:rFonts w:cs="Arial"/>
                <w:sz w:val="24"/>
                <w:szCs w:val="24"/>
              </w:rPr>
            </w:pPr>
            <w:r w:rsidRPr="000E7AF7">
              <w:rPr>
                <w:rFonts w:cs="Arial"/>
                <w:sz w:val="24"/>
                <w:szCs w:val="24"/>
              </w:rPr>
              <w:t>Consumer Advocates</w:t>
            </w:r>
          </w:p>
        </w:tc>
      </w:tr>
      <w:tr w:rsidR="00A72581" w14:paraId="55E6E351" w14:textId="77777777" w:rsidTr="003F3E4C">
        <w:tc>
          <w:tcPr>
            <w:tcW w:w="3085" w:type="dxa"/>
            <w:tcBorders>
              <w:top w:val="dashed" w:sz="4" w:space="0" w:color="auto"/>
              <w:left w:val="nil"/>
              <w:bottom w:val="dashed" w:sz="4" w:space="0" w:color="auto"/>
              <w:right w:val="nil"/>
            </w:tcBorders>
          </w:tcPr>
          <w:p w14:paraId="091C001F" w14:textId="77777777" w:rsidR="00A72581" w:rsidRPr="000E7AF7" w:rsidRDefault="003F3E4C" w:rsidP="003F3E4C">
            <w:pPr>
              <w:spacing w:before="60" w:after="60"/>
              <w:rPr>
                <w:rFonts w:cs="Arial"/>
                <w:sz w:val="24"/>
                <w:szCs w:val="24"/>
              </w:rPr>
            </w:pPr>
            <w:r w:rsidRPr="000E7AF7">
              <w:rPr>
                <w:rFonts w:cs="Arial"/>
                <w:sz w:val="24"/>
                <w:szCs w:val="24"/>
              </w:rPr>
              <w:t xml:space="preserve">Jo </w:t>
            </w:r>
            <w:proofErr w:type="spellStart"/>
            <w:r w:rsidRPr="000E7AF7">
              <w:rPr>
                <w:rFonts w:cs="Arial"/>
                <w:sz w:val="24"/>
                <w:szCs w:val="24"/>
              </w:rPr>
              <w:t>Benvenutti</w:t>
            </w:r>
            <w:proofErr w:type="spellEnd"/>
          </w:p>
        </w:tc>
        <w:tc>
          <w:tcPr>
            <w:tcW w:w="6157" w:type="dxa"/>
            <w:tcBorders>
              <w:top w:val="dashed" w:sz="4" w:space="0" w:color="auto"/>
              <w:left w:val="nil"/>
              <w:bottom w:val="dashed" w:sz="4" w:space="0" w:color="auto"/>
              <w:right w:val="nil"/>
            </w:tcBorders>
          </w:tcPr>
          <w:p w14:paraId="123D54B2" w14:textId="77777777" w:rsidR="00A72581" w:rsidRPr="000E7AF7" w:rsidRDefault="003F3E4C" w:rsidP="003F3E4C">
            <w:pPr>
              <w:spacing w:before="60" w:after="60"/>
              <w:rPr>
                <w:rFonts w:cs="Arial"/>
                <w:sz w:val="24"/>
                <w:szCs w:val="24"/>
              </w:rPr>
            </w:pPr>
            <w:r w:rsidRPr="000E7AF7">
              <w:rPr>
                <w:rFonts w:cs="Arial"/>
                <w:b/>
                <w:bCs/>
                <w:sz w:val="24"/>
                <w:szCs w:val="24"/>
                <w:lang w:val="en-US"/>
              </w:rPr>
              <w:t>Consumer Utilities Advocacy Centre</w:t>
            </w:r>
            <w:r w:rsidRPr="000E7AF7">
              <w:rPr>
                <w:rFonts w:cs="Arial"/>
                <w:bCs/>
                <w:sz w:val="24"/>
                <w:szCs w:val="24"/>
                <w:lang w:val="en-US"/>
              </w:rPr>
              <w:t xml:space="preserve"> (</w:t>
            </w:r>
            <w:proofErr w:type="spellStart"/>
            <w:r w:rsidRPr="000E7AF7">
              <w:rPr>
                <w:rFonts w:cs="Arial"/>
                <w:bCs/>
                <w:sz w:val="24"/>
                <w:szCs w:val="24"/>
                <w:lang w:val="en-US"/>
              </w:rPr>
              <w:t>CUAC</w:t>
            </w:r>
            <w:proofErr w:type="spellEnd"/>
            <w:r w:rsidRPr="000E7AF7">
              <w:rPr>
                <w:rFonts w:cs="Arial"/>
                <w:bCs/>
                <w:sz w:val="24"/>
                <w:szCs w:val="24"/>
                <w:lang w:val="en-US"/>
              </w:rPr>
              <w:t>)</w:t>
            </w:r>
          </w:p>
        </w:tc>
      </w:tr>
      <w:tr w:rsidR="00A72581" w14:paraId="7B505E12" w14:textId="77777777" w:rsidTr="003F3E4C">
        <w:tc>
          <w:tcPr>
            <w:tcW w:w="3085" w:type="dxa"/>
            <w:tcBorders>
              <w:top w:val="dashed" w:sz="4" w:space="0" w:color="auto"/>
              <w:left w:val="nil"/>
              <w:bottom w:val="dashed" w:sz="4" w:space="0" w:color="auto"/>
              <w:right w:val="nil"/>
            </w:tcBorders>
          </w:tcPr>
          <w:p w14:paraId="15AB6C2D" w14:textId="77777777" w:rsidR="00A72581" w:rsidRPr="000E7AF7" w:rsidRDefault="00CA5CBB" w:rsidP="003F3E4C">
            <w:pPr>
              <w:spacing w:before="60" w:after="60"/>
              <w:rPr>
                <w:rFonts w:cs="Arial"/>
                <w:sz w:val="24"/>
                <w:szCs w:val="24"/>
              </w:rPr>
            </w:pPr>
            <w:r w:rsidRPr="000E7AF7">
              <w:rPr>
                <w:rFonts w:cs="Arial"/>
                <w:sz w:val="24"/>
                <w:szCs w:val="24"/>
              </w:rPr>
              <w:t>Gerard Brody</w:t>
            </w:r>
          </w:p>
        </w:tc>
        <w:tc>
          <w:tcPr>
            <w:tcW w:w="6157" w:type="dxa"/>
            <w:tcBorders>
              <w:top w:val="dashed" w:sz="4" w:space="0" w:color="auto"/>
              <w:left w:val="nil"/>
              <w:bottom w:val="dashed" w:sz="4" w:space="0" w:color="auto"/>
              <w:right w:val="nil"/>
            </w:tcBorders>
          </w:tcPr>
          <w:p w14:paraId="6C61B457" w14:textId="77777777" w:rsidR="00A72581" w:rsidRPr="000E7AF7" w:rsidRDefault="00CA5CBB" w:rsidP="003F3E4C">
            <w:pPr>
              <w:spacing w:before="60" w:after="60"/>
              <w:rPr>
                <w:rFonts w:cs="Arial"/>
                <w:sz w:val="24"/>
                <w:szCs w:val="24"/>
              </w:rPr>
            </w:pPr>
            <w:r w:rsidRPr="000E7AF7">
              <w:rPr>
                <w:rFonts w:cs="Arial"/>
                <w:sz w:val="24"/>
                <w:szCs w:val="24"/>
              </w:rPr>
              <w:t>Consumer Action Law Centre (</w:t>
            </w:r>
            <w:proofErr w:type="spellStart"/>
            <w:r w:rsidRPr="000E7AF7">
              <w:rPr>
                <w:rFonts w:cs="Arial"/>
                <w:sz w:val="24"/>
                <w:szCs w:val="24"/>
              </w:rPr>
              <w:t>CALC</w:t>
            </w:r>
            <w:proofErr w:type="spellEnd"/>
            <w:r w:rsidRPr="000E7AF7">
              <w:rPr>
                <w:rFonts w:cs="Arial"/>
                <w:sz w:val="24"/>
                <w:szCs w:val="24"/>
              </w:rPr>
              <w:t>)</w:t>
            </w:r>
          </w:p>
        </w:tc>
      </w:tr>
      <w:tr w:rsidR="00A72581" w14:paraId="03D597D4" w14:textId="77777777" w:rsidTr="003F3E4C">
        <w:tc>
          <w:tcPr>
            <w:tcW w:w="3085" w:type="dxa"/>
            <w:tcBorders>
              <w:top w:val="dashed" w:sz="4" w:space="0" w:color="auto"/>
              <w:left w:val="nil"/>
              <w:bottom w:val="dashed" w:sz="4" w:space="0" w:color="auto"/>
              <w:right w:val="nil"/>
            </w:tcBorders>
          </w:tcPr>
          <w:p w14:paraId="5535CB1A" w14:textId="77777777" w:rsidR="00A72581" w:rsidRPr="000E7AF7" w:rsidRDefault="00CA5CBB" w:rsidP="003F3E4C">
            <w:pPr>
              <w:spacing w:before="60" w:after="60"/>
              <w:rPr>
                <w:rFonts w:cs="Arial"/>
                <w:sz w:val="24"/>
                <w:szCs w:val="24"/>
              </w:rPr>
            </w:pPr>
            <w:r w:rsidRPr="000E7AF7">
              <w:rPr>
                <w:rFonts w:cs="Arial"/>
                <w:sz w:val="24"/>
                <w:szCs w:val="24"/>
              </w:rPr>
              <w:t>Una Lawrence</w:t>
            </w:r>
          </w:p>
        </w:tc>
        <w:tc>
          <w:tcPr>
            <w:tcW w:w="6157" w:type="dxa"/>
            <w:tcBorders>
              <w:top w:val="dashed" w:sz="4" w:space="0" w:color="auto"/>
              <w:left w:val="nil"/>
              <w:bottom w:val="dashed" w:sz="4" w:space="0" w:color="auto"/>
              <w:right w:val="nil"/>
            </w:tcBorders>
          </w:tcPr>
          <w:p w14:paraId="0BBD9A50" w14:textId="77777777" w:rsidR="00A72581" w:rsidRPr="000E7AF7" w:rsidRDefault="00CA5CBB" w:rsidP="003F3E4C">
            <w:pPr>
              <w:spacing w:before="60" w:after="60"/>
              <w:rPr>
                <w:rFonts w:cs="Arial"/>
                <w:sz w:val="24"/>
                <w:szCs w:val="24"/>
              </w:rPr>
            </w:pPr>
            <w:r w:rsidRPr="000E7AF7">
              <w:rPr>
                <w:rFonts w:cs="Arial"/>
                <w:sz w:val="24"/>
                <w:szCs w:val="24"/>
                <w:lang w:val="en-US"/>
              </w:rPr>
              <w:t>Australian Communications Consumer Action Network (</w:t>
            </w:r>
            <w:r w:rsidRPr="000E7AF7">
              <w:rPr>
                <w:rFonts w:cs="Arial"/>
                <w:sz w:val="24"/>
                <w:szCs w:val="24"/>
              </w:rPr>
              <w:t>ACCAN)</w:t>
            </w:r>
          </w:p>
        </w:tc>
      </w:tr>
      <w:tr w:rsidR="00A72581" w14:paraId="6F31E6DC" w14:textId="77777777" w:rsidTr="003F3E4C">
        <w:tc>
          <w:tcPr>
            <w:tcW w:w="9242" w:type="dxa"/>
            <w:gridSpan w:val="2"/>
            <w:tcBorders>
              <w:top w:val="dashed" w:sz="4" w:space="0" w:color="auto"/>
              <w:left w:val="nil"/>
              <w:bottom w:val="dashed" w:sz="4" w:space="0" w:color="auto"/>
              <w:right w:val="nil"/>
            </w:tcBorders>
            <w:shd w:val="clear" w:color="auto" w:fill="D9D9D9" w:themeFill="background1" w:themeFillShade="D9"/>
          </w:tcPr>
          <w:p w14:paraId="342E4C4D" w14:textId="77777777" w:rsidR="00A72581" w:rsidRPr="000E7AF7" w:rsidRDefault="00A72581" w:rsidP="003F3E4C">
            <w:pPr>
              <w:spacing w:before="60" w:after="60"/>
              <w:rPr>
                <w:rFonts w:cs="Arial"/>
                <w:sz w:val="24"/>
                <w:szCs w:val="24"/>
              </w:rPr>
            </w:pPr>
            <w:r w:rsidRPr="000E7AF7">
              <w:rPr>
                <w:rFonts w:cs="Arial"/>
                <w:sz w:val="24"/>
                <w:szCs w:val="24"/>
              </w:rPr>
              <w:t>Industry Representatives</w:t>
            </w:r>
          </w:p>
        </w:tc>
      </w:tr>
      <w:tr w:rsidR="00A72581" w14:paraId="60304703" w14:textId="77777777" w:rsidTr="003F3E4C">
        <w:tc>
          <w:tcPr>
            <w:tcW w:w="3085" w:type="dxa"/>
            <w:tcBorders>
              <w:top w:val="dashed" w:sz="4" w:space="0" w:color="auto"/>
              <w:left w:val="nil"/>
              <w:bottom w:val="dashed" w:sz="4" w:space="0" w:color="auto"/>
              <w:right w:val="nil"/>
            </w:tcBorders>
          </w:tcPr>
          <w:p w14:paraId="68726B4C" w14:textId="77777777" w:rsidR="00A72581" w:rsidRPr="000E7AF7" w:rsidRDefault="003F3E4C" w:rsidP="003C08A8">
            <w:pPr>
              <w:spacing w:before="60" w:after="60"/>
              <w:rPr>
                <w:rFonts w:cs="Arial"/>
                <w:sz w:val="24"/>
                <w:szCs w:val="24"/>
              </w:rPr>
            </w:pPr>
            <w:r w:rsidRPr="000E7AF7">
              <w:rPr>
                <w:rFonts w:cs="Arial"/>
                <w:sz w:val="24"/>
                <w:szCs w:val="24"/>
                <w:lang w:val="en-US"/>
              </w:rPr>
              <w:t xml:space="preserve">Caroline Del </w:t>
            </w:r>
            <w:proofErr w:type="spellStart"/>
            <w:r w:rsidRPr="000E7AF7">
              <w:rPr>
                <w:rFonts w:cs="Arial"/>
                <w:sz w:val="24"/>
                <w:szCs w:val="24"/>
                <w:lang w:val="en-US"/>
              </w:rPr>
              <w:t>Ioio</w:t>
            </w:r>
            <w:proofErr w:type="spellEnd"/>
          </w:p>
        </w:tc>
        <w:tc>
          <w:tcPr>
            <w:tcW w:w="6157" w:type="dxa"/>
            <w:tcBorders>
              <w:top w:val="dashed" w:sz="4" w:space="0" w:color="auto"/>
              <w:left w:val="nil"/>
              <w:bottom w:val="dashed" w:sz="4" w:space="0" w:color="auto"/>
              <w:right w:val="nil"/>
            </w:tcBorders>
          </w:tcPr>
          <w:p w14:paraId="088B39AD" w14:textId="77777777" w:rsidR="00A72581" w:rsidRPr="000E7AF7" w:rsidRDefault="003F3E4C" w:rsidP="003F3E4C">
            <w:pPr>
              <w:spacing w:before="60" w:after="60"/>
              <w:rPr>
                <w:rFonts w:cs="Arial"/>
                <w:sz w:val="24"/>
                <w:szCs w:val="24"/>
              </w:rPr>
            </w:pPr>
            <w:r w:rsidRPr="000E7AF7">
              <w:rPr>
                <w:rFonts w:cs="Arial"/>
                <w:sz w:val="24"/>
                <w:szCs w:val="24"/>
              </w:rPr>
              <w:t>National Australia Bank</w:t>
            </w:r>
            <w:r w:rsidR="000E7AF7">
              <w:rPr>
                <w:rStyle w:val="FootnoteReference"/>
                <w:rFonts w:cs="Arial"/>
                <w:sz w:val="24"/>
                <w:szCs w:val="24"/>
              </w:rPr>
              <w:footnoteReference w:id="43"/>
            </w:r>
          </w:p>
        </w:tc>
      </w:tr>
      <w:tr w:rsidR="003F3E4C" w14:paraId="3B40E77E" w14:textId="77777777" w:rsidTr="003F3E4C">
        <w:tc>
          <w:tcPr>
            <w:tcW w:w="3085" w:type="dxa"/>
            <w:tcBorders>
              <w:top w:val="dashed" w:sz="4" w:space="0" w:color="auto"/>
              <w:left w:val="nil"/>
              <w:bottom w:val="dashed" w:sz="4" w:space="0" w:color="auto"/>
              <w:right w:val="nil"/>
            </w:tcBorders>
          </w:tcPr>
          <w:p w14:paraId="37211B87" w14:textId="77777777" w:rsidR="003F3E4C" w:rsidRPr="000E7AF7" w:rsidRDefault="003F3E4C" w:rsidP="003F3E4C">
            <w:pPr>
              <w:spacing w:before="60" w:after="60"/>
              <w:rPr>
                <w:rFonts w:cs="Arial"/>
                <w:sz w:val="24"/>
                <w:szCs w:val="24"/>
              </w:rPr>
            </w:pPr>
            <w:r w:rsidRPr="000E7AF7">
              <w:rPr>
                <w:rFonts w:cs="Arial"/>
                <w:sz w:val="24"/>
                <w:szCs w:val="24"/>
                <w:lang w:val="en-US"/>
              </w:rPr>
              <w:t xml:space="preserve">Norm </w:t>
            </w:r>
            <w:proofErr w:type="spellStart"/>
            <w:r w:rsidRPr="000E7AF7">
              <w:rPr>
                <w:rFonts w:cs="Arial"/>
                <w:sz w:val="24"/>
                <w:szCs w:val="24"/>
                <w:lang w:val="en-US"/>
              </w:rPr>
              <w:t>Kalcovski</w:t>
            </w:r>
            <w:proofErr w:type="spellEnd"/>
          </w:p>
        </w:tc>
        <w:tc>
          <w:tcPr>
            <w:tcW w:w="6157" w:type="dxa"/>
            <w:tcBorders>
              <w:top w:val="dashed" w:sz="4" w:space="0" w:color="auto"/>
              <w:left w:val="nil"/>
              <w:bottom w:val="dashed" w:sz="4" w:space="0" w:color="auto"/>
              <w:right w:val="nil"/>
            </w:tcBorders>
          </w:tcPr>
          <w:p w14:paraId="0C29D0EE" w14:textId="77777777" w:rsidR="003F3E4C" w:rsidRPr="000E7AF7" w:rsidRDefault="003F3E4C" w:rsidP="003F3E4C">
            <w:pPr>
              <w:spacing w:before="60" w:after="60"/>
              <w:rPr>
                <w:rFonts w:cs="Arial"/>
                <w:sz w:val="24"/>
                <w:szCs w:val="24"/>
              </w:rPr>
            </w:pPr>
            <w:r w:rsidRPr="000E7AF7">
              <w:rPr>
                <w:rFonts w:cs="Arial"/>
                <w:sz w:val="24"/>
                <w:szCs w:val="24"/>
              </w:rPr>
              <w:t>National Australia Bank</w:t>
            </w:r>
          </w:p>
        </w:tc>
      </w:tr>
      <w:tr w:rsidR="003F3E4C" w14:paraId="79826FD9" w14:textId="77777777" w:rsidTr="003F3E4C">
        <w:tc>
          <w:tcPr>
            <w:tcW w:w="3085" w:type="dxa"/>
            <w:tcBorders>
              <w:top w:val="dashed" w:sz="4" w:space="0" w:color="auto"/>
              <w:left w:val="nil"/>
              <w:bottom w:val="dashed" w:sz="4" w:space="0" w:color="auto"/>
              <w:right w:val="nil"/>
            </w:tcBorders>
          </w:tcPr>
          <w:p w14:paraId="43FDACFB" w14:textId="77777777" w:rsidR="003F3E4C" w:rsidRPr="000E7AF7" w:rsidRDefault="003F3E4C" w:rsidP="003F3E4C">
            <w:pPr>
              <w:spacing w:before="60" w:after="60"/>
              <w:rPr>
                <w:rFonts w:cs="Arial"/>
                <w:sz w:val="24"/>
                <w:szCs w:val="24"/>
              </w:rPr>
            </w:pPr>
            <w:r w:rsidRPr="000E7AF7">
              <w:rPr>
                <w:rFonts w:cs="Arial"/>
                <w:sz w:val="24"/>
                <w:szCs w:val="24"/>
              </w:rPr>
              <w:t xml:space="preserve">Marco </w:t>
            </w:r>
            <w:proofErr w:type="spellStart"/>
            <w:r w:rsidRPr="000E7AF7">
              <w:rPr>
                <w:rFonts w:cs="Arial"/>
                <w:sz w:val="24"/>
                <w:szCs w:val="24"/>
              </w:rPr>
              <w:t>Kohne</w:t>
            </w:r>
            <w:proofErr w:type="spellEnd"/>
          </w:p>
        </w:tc>
        <w:tc>
          <w:tcPr>
            <w:tcW w:w="6157" w:type="dxa"/>
            <w:tcBorders>
              <w:top w:val="dashed" w:sz="4" w:space="0" w:color="auto"/>
              <w:left w:val="nil"/>
              <w:bottom w:val="dashed" w:sz="4" w:space="0" w:color="auto"/>
              <w:right w:val="nil"/>
            </w:tcBorders>
          </w:tcPr>
          <w:p w14:paraId="75E1FBB6" w14:textId="77777777" w:rsidR="003F3E4C" w:rsidRPr="000E7AF7" w:rsidRDefault="000E7AF7" w:rsidP="006D7593">
            <w:pPr>
              <w:spacing w:before="60" w:after="60"/>
              <w:rPr>
                <w:rFonts w:cs="Arial"/>
                <w:sz w:val="24"/>
                <w:szCs w:val="24"/>
              </w:rPr>
            </w:pPr>
            <w:proofErr w:type="spellStart"/>
            <w:r>
              <w:rPr>
                <w:rFonts w:cs="Arial"/>
                <w:sz w:val="24"/>
                <w:szCs w:val="24"/>
              </w:rPr>
              <w:t>ANZ</w:t>
            </w:r>
            <w:proofErr w:type="spellEnd"/>
          </w:p>
        </w:tc>
      </w:tr>
      <w:tr w:rsidR="003F3E4C" w14:paraId="17C46B0E" w14:textId="77777777" w:rsidTr="003F3E4C">
        <w:tc>
          <w:tcPr>
            <w:tcW w:w="3085" w:type="dxa"/>
            <w:tcBorders>
              <w:top w:val="dashed" w:sz="4" w:space="0" w:color="auto"/>
              <w:left w:val="nil"/>
              <w:bottom w:val="dashed" w:sz="4" w:space="0" w:color="auto"/>
              <w:right w:val="nil"/>
            </w:tcBorders>
          </w:tcPr>
          <w:p w14:paraId="1C09C60E" w14:textId="77777777" w:rsidR="003F3E4C" w:rsidRPr="000E7AF7" w:rsidRDefault="00CA5CBB" w:rsidP="003F3E4C">
            <w:pPr>
              <w:spacing w:before="60" w:after="60"/>
              <w:rPr>
                <w:rFonts w:cs="Arial"/>
                <w:sz w:val="24"/>
                <w:szCs w:val="24"/>
              </w:rPr>
            </w:pPr>
            <w:r w:rsidRPr="000E7AF7">
              <w:rPr>
                <w:rFonts w:cs="Helvetica"/>
                <w:sz w:val="24"/>
                <w:szCs w:val="24"/>
                <w:lang w:val="en-US"/>
              </w:rPr>
              <w:t xml:space="preserve">Christina </w:t>
            </w:r>
            <w:proofErr w:type="spellStart"/>
            <w:r w:rsidRPr="000E7AF7">
              <w:rPr>
                <w:rFonts w:cs="Helvetica"/>
                <w:sz w:val="24"/>
                <w:szCs w:val="24"/>
                <w:lang w:val="en-US"/>
              </w:rPr>
              <w:t>Vergos</w:t>
            </w:r>
            <w:proofErr w:type="spellEnd"/>
          </w:p>
        </w:tc>
        <w:tc>
          <w:tcPr>
            <w:tcW w:w="6157" w:type="dxa"/>
            <w:tcBorders>
              <w:top w:val="dashed" w:sz="4" w:space="0" w:color="auto"/>
              <w:left w:val="nil"/>
              <w:bottom w:val="dashed" w:sz="4" w:space="0" w:color="auto"/>
              <w:right w:val="nil"/>
            </w:tcBorders>
          </w:tcPr>
          <w:p w14:paraId="3DFFC20E" w14:textId="77777777" w:rsidR="003F3E4C" w:rsidRPr="000E7AF7" w:rsidRDefault="00CA5CBB" w:rsidP="003F3E4C">
            <w:pPr>
              <w:spacing w:before="60" w:after="60"/>
              <w:rPr>
                <w:rFonts w:cs="Arial"/>
                <w:sz w:val="24"/>
                <w:szCs w:val="24"/>
              </w:rPr>
            </w:pPr>
            <w:r w:rsidRPr="000E7AF7">
              <w:rPr>
                <w:rFonts w:cs="Arial"/>
                <w:sz w:val="24"/>
                <w:szCs w:val="24"/>
              </w:rPr>
              <w:t>Optus</w:t>
            </w:r>
          </w:p>
        </w:tc>
      </w:tr>
      <w:tr w:rsidR="003F3E4C" w14:paraId="52FFAF29" w14:textId="77777777" w:rsidTr="003F3E4C">
        <w:tc>
          <w:tcPr>
            <w:tcW w:w="3085" w:type="dxa"/>
            <w:tcBorders>
              <w:top w:val="dashed" w:sz="4" w:space="0" w:color="auto"/>
              <w:left w:val="nil"/>
              <w:bottom w:val="dashed" w:sz="4" w:space="0" w:color="auto"/>
              <w:right w:val="nil"/>
            </w:tcBorders>
          </w:tcPr>
          <w:p w14:paraId="654BB500" w14:textId="77777777" w:rsidR="003F3E4C" w:rsidRPr="000E7AF7" w:rsidRDefault="00CA5CBB" w:rsidP="003F3E4C">
            <w:pPr>
              <w:spacing w:before="60" w:after="60"/>
              <w:rPr>
                <w:rFonts w:cs="Arial"/>
                <w:sz w:val="24"/>
                <w:szCs w:val="24"/>
              </w:rPr>
            </w:pPr>
            <w:r w:rsidRPr="000E7AF7">
              <w:rPr>
                <w:rFonts w:cs="Helvetica"/>
                <w:sz w:val="24"/>
                <w:szCs w:val="24"/>
                <w:lang w:val="en-US"/>
              </w:rPr>
              <w:t xml:space="preserve">Beverley </w:t>
            </w:r>
            <w:proofErr w:type="spellStart"/>
            <w:r w:rsidRPr="000E7AF7">
              <w:rPr>
                <w:rFonts w:cs="Helvetica"/>
                <w:sz w:val="24"/>
                <w:szCs w:val="24"/>
                <w:lang w:val="en-US"/>
              </w:rPr>
              <w:t>Faurie</w:t>
            </w:r>
            <w:proofErr w:type="spellEnd"/>
          </w:p>
        </w:tc>
        <w:tc>
          <w:tcPr>
            <w:tcW w:w="6157" w:type="dxa"/>
            <w:tcBorders>
              <w:top w:val="dashed" w:sz="4" w:space="0" w:color="auto"/>
              <w:left w:val="nil"/>
              <w:bottom w:val="dashed" w:sz="4" w:space="0" w:color="auto"/>
              <w:right w:val="nil"/>
            </w:tcBorders>
          </w:tcPr>
          <w:p w14:paraId="246BB4B1" w14:textId="77777777" w:rsidR="006D7593" w:rsidRPr="000E7AF7" w:rsidRDefault="00CA5CBB" w:rsidP="003F3E4C">
            <w:pPr>
              <w:spacing w:before="60" w:after="60"/>
              <w:rPr>
                <w:rFonts w:cs="Arial"/>
                <w:sz w:val="24"/>
                <w:szCs w:val="24"/>
              </w:rPr>
            </w:pPr>
            <w:r w:rsidRPr="000E7AF7">
              <w:rPr>
                <w:rFonts w:cs="Arial"/>
                <w:sz w:val="24"/>
                <w:szCs w:val="24"/>
              </w:rPr>
              <w:t>Optus</w:t>
            </w:r>
          </w:p>
        </w:tc>
      </w:tr>
      <w:tr w:rsidR="003C08A8" w14:paraId="049C7788" w14:textId="77777777" w:rsidTr="003F3E4C">
        <w:tc>
          <w:tcPr>
            <w:tcW w:w="3085" w:type="dxa"/>
            <w:tcBorders>
              <w:top w:val="dashed" w:sz="4" w:space="0" w:color="auto"/>
              <w:left w:val="nil"/>
              <w:bottom w:val="dashed" w:sz="4" w:space="0" w:color="auto"/>
              <w:right w:val="nil"/>
            </w:tcBorders>
          </w:tcPr>
          <w:p w14:paraId="35EF8EF6" w14:textId="77777777" w:rsidR="003C08A8" w:rsidRPr="000E7AF7" w:rsidRDefault="000E7AF7" w:rsidP="000E7AF7">
            <w:pPr>
              <w:keepNext/>
              <w:keepLines/>
              <w:spacing w:before="60" w:after="60" w:line="276" w:lineRule="auto"/>
              <w:outlineLvl w:val="5"/>
              <w:rPr>
                <w:rFonts w:cs="Helvetica"/>
                <w:sz w:val="24"/>
                <w:szCs w:val="24"/>
                <w:lang w:val="en-US"/>
              </w:rPr>
            </w:pPr>
            <w:r>
              <w:rPr>
                <w:rFonts w:cs="Helvetica"/>
                <w:sz w:val="24"/>
                <w:szCs w:val="24"/>
                <w:lang w:val="en-US"/>
              </w:rPr>
              <w:t xml:space="preserve">Sally Forde </w:t>
            </w:r>
          </w:p>
        </w:tc>
        <w:tc>
          <w:tcPr>
            <w:tcW w:w="6157" w:type="dxa"/>
            <w:tcBorders>
              <w:top w:val="dashed" w:sz="4" w:space="0" w:color="auto"/>
              <w:left w:val="nil"/>
              <w:bottom w:val="dashed" w:sz="4" w:space="0" w:color="auto"/>
              <w:right w:val="nil"/>
            </w:tcBorders>
          </w:tcPr>
          <w:p w14:paraId="424C4FC1" w14:textId="77777777" w:rsidR="003C08A8" w:rsidRPr="000E7AF7" w:rsidRDefault="003C08A8" w:rsidP="003F3E4C">
            <w:pPr>
              <w:spacing w:before="60" w:after="60"/>
              <w:rPr>
                <w:rFonts w:cs="Arial"/>
                <w:sz w:val="24"/>
                <w:szCs w:val="24"/>
              </w:rPr>
            </w:pPr>
            <w:r w:rsidRPr="000E7AF7">
              <w:rPr>
                <w:rFonts w:cs="Arial"/>
                <w:sz w:val="24"/>
                <w:szCs w:val="24"/>
              </w:rPr>
              <w:t>Telstra</w:t>
            </w:r>
          </w:p>
        </w:tc>
      </w:tr>
      <w:tr w:rsidR="003C08A8" w14:paraId="0E2C4485" w14:textId="77777777" w:rsidTr="003F3E4C">
        <w:tc>
          <w:tcPr>
            <w:tcW w:w="3085" w:type="dxa"/>
            <w:tcBorders>
              <w:top w:val="dashed" w:sz="4" w:space="0" w:color="auto"/>
              <w:left w:val="nil"/>
              <w:bottom w:val="dashed" w:sz="4" w:space="0" w:color="auto"/>
              <w:right w:val="nil"/>
            </w:tcBorders>
          </w:tcPr>
          <w:p w14:paraId="01A25CC6" w14:textId="77777777" w:rsidR="003C08A8" w:rsidRPr="000E7AF7" w:rsidRDefault="000E7AF7" w:rsidP="000E7AF7">
            <w:pPr>
              <w:keepNext/>
              <w:keepLines/>
              <w:spacing w:before="60" w:after="60" w:line="276" w:lineRule="auto"/>
              <w:outlineLvl w:val="5"/>
              <w:rPr>
                <w:rFonts w:cs="Helvetica"/>
                <w:sz w:val="24"/>
                <w:szCs w:val="24"/>
                <w:lang w:val="en-US"/>
              </w:rPr>
            </w:pPr>
            <w:r>
              <w:rPr>
                <w:rFonts w:cs="Helvetica"/>
                <w:sz w:val="24"/>
                <w:szCs w:val="24"/>
                <w:lang w:val="en-US"/>
              </w:rPr>
              <w:t xml:space="preserve">Tyrone </w:t>
            </w:r>
            <w:proofErr w:type="spellStart"/>
            <w:r>
              <w:rPr>
                <w:rFonts w:cs="Helvetica"/>
                <w:sz w:val="24"/>
                <w:szCs w:val="24"/>
                <w:lang w:val="en-US"/>
              </w:rPr>
              <w:t>Kondis</w:t>
            </w:r>
            <w:proofErr w:type="spellEnd"/>
            <w:r>
              <w:rPr>
                <w:rFonts w:cs="Helvetica"/>
                <w:sz w:val="24"/>
                <w:szCs w:val="24"/>
                <w:lang w:val="en-US"/>
              </w:rPr>
              <w:t xml:space="preserve"> </w:t>
            </w:r>
          </w:p>
        </w:tc>
        <w:tc>
          <w:tcPr>
            <w:tcW w:w="6157" w:type="dxa"/>
            <w:tcBorders>
              <w:top w:val="dashed" w:sz="4" w:space="0" w:color="auto"/>
              <w:left w:val="nil"/>
              <w:bottom w:val="dashed" w:sz="4" w:space="0" w:color="auto"/>
              <w:right w:val="nil"/>
            </w:tcBorders>
          </w:tcPr>
          <w:p w14:paraId="4CCDCC87" w14:textId="77777777" w:rsidR="003C08A8" w:rsidRPr="000E7AF7" w:rsidRDefault="003C08A8" w:rsidP="003F3E4C">
            <w:pPr>
              <w:spacing w:before="60" w:after="60"/>
              <w:rPr>
                <w:rFonts w:cs="Arial"/>
                <w:sz w:val="24"/>
                <w:szCs w:val="24"/>
              </w:rPr>
            </w:pPr>
            <w:r w:rsidRPr="000E7AF7">
              <w:rPr>
                <w:rFonts w:cs="Arial"/>
                <w:sz w:val="24"/>
                <w:szCs w:val="24"/>
              </w:rPr>
              <w:t>Telstra</w:t>
            </w:r>
          </w:p>
        </w:tc>
      </w:tr>
      <w:tr w:rsidR="003C08A8" w14:paraId="4DB01E69" w14:textId="77777777" w:rsidTr="003F3E4C">
        <w:tc>
          <w:tcPr>
            <w:tcW w:w="3085" w:type="dxa"/>
            <w:tcBorders>
              <w:top w:val="dashed" w:sz="4" w:space="0" w:color="auto"/>
              <w:left w:val="nil"/>
              <w:bottom w:val="dashed" w:sz="4" w:space="0" w:color="auto"/>
              <w:right w:val="nil"/>
            </w:tcBorders>
          </w:tcPr>
          <w:p w14:paraId="534D495A" w14:textId="77777777" w:rsidR="003C08A8" w:rsidRPr="000E7AF7" w:rsidRDefault="003C08A8" w:rsidP="003F3E4C">
            <w:pPr>
              <w:spacing w:before="60" w:after="60"/>
              <w:rPr>
                <w:rFonts w:cs="Helvetica"/>
                <w:sz w:val="24"/>
                <w:szCs w:val="24"/>
                <w:lang w:val="en-US"/>
              </w:rPr>
            </w:pPr>
            <w:r w:rsidRPr="000E7AF7">
              <w:rPr>
                <w:rFonts w:cs="Helvetica"/>
                <w:sz w:val="24"/>
                <w:szCs w:val="24"/>
                <w:lang w:val="en-US"/>
              </w:rPr>
              <w:t xml:space="preserve">Robert </w:t>
            </w:r>
            <w:proofErr w:type="spellStart"/>
            <w:r w:rsidRPr="000E7AF7">
              <w:rPr>
                <w:rFonts w:cs="Helvetica"/>
                <w:sz w:val="24"/>
                <w:szCs w:val="24"/>
                <w:lang w:val="en-US"/>
              </w:rPr>
              <w:t>Morsillo</w:t>
            </w:r>
            <w:proofErr w:type="spellEnd"/>
          </w:p>
        </w:tc>
        <w:tc>
          <w:tcPr>
            <w:tcW w:w="6157" w:type="dxa"/>
            <w:tcBorders>
              <w:top w:val="dashed" w:sz="4" w:space="0" w:color="auto"/>
              <w:left w:val="nil"/>
              <w:bottom w:val="dashed" w:sz="4" w:space="0" w:color="auto"/>
              <w:right w:val="nil"/>
            </w:tcBorders>
          </w:tcPr>
          <w:p w14:paraId="5703F3E3" w14:textId="77777777" w:rsidR="003C08A8" w:rsidRPr="000E7AF7" w:rsidRDefault="003C08A8" w:rsidP="003F3E4C">
            <w:pPr>
              <w:spacing w:before="60" w:after="60"/>
              <w:rPr>
                <w:rFonts w:cs="Arial"/>
                <w:sz w:val="24"/>
                <w:szCs w:val="24"/>
              </w:rPr>
            </w:pPr>
            <w:r w:rsidRPr="000E7AF7">
              <w:rPr>
                <w:rFonts w:cs="Arial"/>
                <w:sz w:val="24"/>
                <w:szCs w:val="24"/>
              </w:rPr>
              <w:t>Telstra</w:t>
            </w:r>
          </w:p>
        </w:tc>
      </w:tr>
      <w:tr w:rsidR="003C08A8" w14:paraId="2FA0138C" w14:textId="77777777" w:rsidTr="003F3E4C">
        <w:tc>
          <w:tcPr>
            <w:tcW w:w="3085" w:type="dxa"/>
            <w:tcBorders>
              <w:top w:val="dashed" w:sz="4" w:space="0" w:color="auto"/>
              <w:left w:val="nil"/>
              <w:bottom w:val="dashed" w:sz="4" w:space="0" w:color="auto"/>
              <w:right w:val="nil"/>
            </w:tcBorders>
          </w:tcPr>
          <w:p w14:paraId="788B7EE7" w14:textId="77777777" w:rsidR="003C08A8" w:rsidRPr="000E7AF7" w:rsidRDefault="000E7AF7" w:rsidP="000E7AF7">
            <w:pPr>
              <w:keepNext/>
              <w:keepLines/>
              <w:spacing w:before="60" w:after="60" w:line="276" w:lineRule="auto"/>
              <w:outlineLvl w:val="5"/>
              <w:rPr>
                <w:rFonts w:cs="Helvetica"/>
                <w:sz w:val="24"/>
                <w:szCs w:val="24"/>
                <w:lang w:val="en-US"/>
              </w:rPr>
            </w:pPr>
            <w:r w:rsidRPr="000E7AF7">
              <w:rPr>
                <w:rFonts w:cs="Helvetica"/>
                <w:sz w:val="24"/>
                <w:szCs w:val="24"/>
                <w:lang w:val="en-US"/>
              </w:rPr>
              <w:lastRenderedPageBreak/>
              <w:t xml:space="preserve">Matthew </w:t>
            </w:r>
            <w:proofErr w:type="spellStart"/>
            <w:r w:rsidRPr="000E7AF7">
              <w:rPr>
                <w:rFonts w:cs="Helvetica"/>
                <w:sz w:val="24"/>
                <w:szCs w:val="24"/>
                <w:lang w:val="en-US"/>
              </w:rPr>
              <w:t>Quanchi</w:t>
            </w:r>
            <w:proofErr w:type="spellEnd"/>
            <w:r w:rsidRPr="000E7AF7">
              <w:rPr>
                <w:rFonts w:cs="Helvetica"/>
                <w:sz w:val="24"/>
                <w:szCs w:val="24"/>
                <w:lang w:val="en-US"/>
              </w:rPr>
              <w:t xml:space="preserve"> </w:t>
            </w:r>
          </w:p>
        </w:tc>
        <w:tc>
          <w:tcPr>
            <w:tcW w:w="6157" w:type="dxa"/>
            <w:tcBorders>
              <w:top w:val="dashed" w:sz="4" w:space="0" w:color="auto"/>
              <w:left w:val="nil"/>
              <w:bottom w:val="dashed" w:sz="4" w:space="0" w:color="auto"/>
              <w:right w:val="nil"/>
            </w:tcBorders>
          </w:tcPr>
          <w:p w14:paraId="1A905F2D" w14:textId="77777777" w:rsidR="003C08A8" w:rsidRPr="000E7AF7" w:rsidRDefault="003C08A8" w:rsidP="003F3E4C">
            <w:pPr>
              <w:spacing w:before="60" w:after="60"/>
              <w:rPr>
                <w:rFonts w:cs="Arial"/>
                <w:sz w:val="24"/>
                <w:szCs w:val="24"/>
              </w:rPr>
            </w:pPr>
            <w:r w:rsidRPr="000E7AF7">
              <w:rPr>
                <w:rFonts w:cs="Arial"/>
                <w:sz w:val="24"/>
                <w:szCs w:val="24"/>
              </w:rPr>
              <w:t>Telstra</w:t>
            </w:r>
          </w:p>
        </w:tc>
      </w:tr>
      <w:tr w:rsidR="000E7AF7" w:rsidRPr="000E7AF7" w14:paraId="31B34EDB" w14:textId="77777777" w:rsidTr="003F3E4C">
        <w:tc>
          <w:tcPr>
            <w:tcW w:w="3085" w:type="dxa"/>
            <w:tcBorders>
              <w:top w:val="dashed" w:sz="4" w:space="0" w:color="auto"/>
              <w:left w:val="nil"/>
              <w:bottom w:val="dashed" w:sz="4" w:space="0" w:color="auto"/>
              <w:right w:val="nil"/>
            </w:tcBorders>
          </w:tcPr>
          <w:p w14:paraId="2B1A9F4D" w14:textId="77777777" w:rsidR="000E7AF7" w:rsidRPr="000E7AF7" w:rsidRDefault="000E7AF7" w:rsidP="000E7AF7">
            <w:pPr>
              <w:keepNext/>
              <w:keepLines/>
              <w:spacing w:before="60" w:after="60"/>
              <w:outlineLvl w:val="5"/>
              <w:rPr>
                <w:rFonts w:cs="Helvetica"/>
                <w:sz w:val="24"/>
                <w:szCs w:val="24"/>
                <w:lang w:val="en-US"/>
              </w:rPr>
            </w:pPr>
            <w:r w:rsidRPr="000E7AF7">
              <w:rPr>
                <w:rFonts w:cs="Helvetica"/>
                <w:sz w:val="24"/>
                <w:szCs w:val="24"/>
                <w:lang w:val="en-US"/>
              </w:rPr>
              <w:t>Ciara Sterling</w:t>
            </w:r>
          </w:p>
        </w:tc>
        <w:tc>
          <w:tcPr>
            <w:tcW w:w="6157" w:type="dxa"/>
            <w:tcBorders>
              <w:top w:val="dashed" w:sz="4" w:space="0" w:color="auto"/>
              <w:left w:val="nil"/>
              <w:bottom w:val="dashed" w:sz="4" w:space="0" w:color="auto"/>
              <w:right w:val="nil"/>
            </w:tcBorders>
          </w:tcPr>
          <w:p w14:paraId="375E24B7" w14:textId="77777777" w:rsidR="000E7AF7" w:rsidRPr="000E7AF7" w:rsidRDefault="000E7AF7" w:rsidP="000E7AF7">
            <w:pPr>
              <w:rPr>
                <w:rFonts w:cs="Helvetica"/>
                <w:sz w:val="24"/>
                <w:szCs w:val="24"/>
                <w:lang w:val="en-US"/>
              </w:rPr>
            </w:pPr>
            <w:proofErr w:type="spellStart"/>
            <w:r w:rsidRPr="000E7AF7">
              <w:rPr>
                <w:rFonts w:cs="Helvetica"/>
                <w:sz w:val="24"/>
                <w:szCs w:val="24"/>
                <w:lang w:val="en-US"/>
              </w:rPr>
              <w:t>Yarra</w:t>
            </w:r>
            <w:proofErr w:type="spellEnd"/>
            <w:r w:rsidRPr="000E7AF7">
              <w:rPr>
                <w:rFonts w:cs="Helvetica"/>
                <w:sz w:val="24"/>
                <w:szCs w:val="24"/>
                <w:lang w:val="en-US"/>
              </w:rPr>
              <w:t xml:space="preserve"> Valley Water</w:t>
            </w:r>
          </w:p>
        </w:tc>
      </w:tr>
      <w:tr w:rsidR="000E7AF7" w:rsidRPr="000E7AF7" w14:paraId="3E38202E" w14:textId="77777777" w:rsidTr="003F3E4C">
        <w:tc>
          <w:tcPr>
            <w:tcW w:w="3085" w:type="dxa"/>
            <w:tcBorders>
              <w:top w:val="dashed" w:sz="4" w:space="0" w:color="auto"/>
              <w:left w:val="nil"/>
              <w:bottom w:val="dashed" w:sz="4" w:space="0" w:color="auto"/>
              <w:right w:val="nil"/>
            </w:tcBorders>
          </w:tcPr>
          <w:p w14:paraId="46E5013F" w14:textId="77777777" w:rsidR="000E7AF7" w:rsidRPr="000E7AF7" w:rsidRDefault="000E7AF7" w:rsidP="000E7AF7">
            <w:pPr>
              <w:keepNext/>
              <w:keepLines/>
              <w:spacing w:before="60" w:after="60"/>
              <w:outlineLvl w:val="5"/>
              <w:rPr>
                <w:rFonts w:cs="Helvetica"/>
                <w:sz w:val="24"/>
                <w:szCs w:val="24"/>
                <w:lang w:val="en-US"/>
              </w:rPr>
            </w:pPr>
            <w:r w:rsidRPr="000E7AF7">
              <w:rPr>
                <w:rFonts w:cs="Helvetica"/>
                <w:sz w:val="24"/>
                <w:szCs w:val="24"/>
                <w:lang w:val="en-US"/>
              </w:rPr>
              <w:t>Kerry Edgecombe</w:t>
            </w:r>
          </w:p>
        </w:tc>
        <w:tc>
          <w:tcPr>
            <w:tcW w:w="6157" w:type="dxa"/>
            <w:tcBorders>
              <w:top w:val="dashed" w:sz="4" w:space="0" w:color="auto"/>
              <w:left w:val="nil"/>
              <w:bottom w:val="dashed" w:sz="4" w:space="0" w:color="auto"/>
              <w:right w:val="nil"/>
            </w:tcBorders>
          </w:tcPr>
          <w:p w14:paraId="5A6DB7FC" w14:textId="77777777" w:rsidR="000E7AF7" w:rsidRPr="000E7AF7" w:rsidRDefault="000E7AF7" w:rsidP="000E7AF7">
            <w:pPr>
              <w:rPr>
                <w:rFonts w:cs="Helvetica"/>
                <w:sz w:val="24"/>
                <w:szCs w:val="24"/>
                <w:lang w:val="en-US"/>
              </w:rPr>
            </w:pPr>
            <w:r>
              <w:rPr>
                <w:rFonts w:cs="Helvetica"/>
                <w:sz w:val="24"/>
                <w:szCs w:val="24"/>
                <w:lang w:val="en-US"/>
              </w:rPr>
              <w:t>Sydney Water</w:t>
            </w:r>
          </w:p>
        </w:tc>
      </w:tr>
      <w:tr w:rsidR="000E7AF7" w:rsidRPr="000E7AF7" w14:paraId="74ECA29E" w14:textId="77777777" w:rsidTr="003F3E4C">
        <w:tc>
          <w:tcPr>
            <w:tcW w:w="3085" w:type="dxa"/>
            <w:tcBorders>
              <w:top w:val="dashed" w:sz="4" w:space="0" w:color="auto"/>
              <w:left w:val="nil"/>
              <w:bottom w:val="dashed" w:sz="4" w:space="0" w:color="auto"/>
              <w:right w:val="nil"/>
            </w:tcBorders>
          </w:tcPr>
          <w:p w14:paraId="0A375231" w14:textId="77777777" w:rsidR="000E7AF7" w:rsidRPr="000E7AF7" w:rsidRDefault="000E7AF7" w:rsidP="000E7AF7">
            <w:pPr>
              <w:keepNext/>
              <w:keepLines/>
              <w:spacing w:before="60" w:after="60"/>
              <w:outlineLvl w:val="5"/>
              <w:rPr>
                <w:rFonts w:cs="Helvetica"/>
                <w:sz w:val="24"/>
                <w:szCs w:val="24"/>
                <w:lang w:val="en-US"/>
              </w:rPr>
            </w:pPr>
            <w:r w:rsidRPr="000E7AF7">
              <w:rPr>
                <w:rFonts w:cs="Helvetica"/>
                <w:sz w:val="24"/>
                <w:szCs w:val="24"/>
                <w:lang w:val="en-US"/>
              </w:rPr>
              <w:t>Stephen Blyth</w:t>
            </w:r>
          </w:p>
        </w:tc>
        <w:tc>
          <w:tcPr>
            <w:tcW w:w="6157" w:type="dxa"/>
            <w:tcBorders>
              <w:top w:val="dashed" w:sz="4" w:space="0" w:color="auto"/>
              <w:left w:val="nil"/>
              <w:bottom w:val="dashed" w:sz="4" w:space="0" w:color="auto"/>
              <w:right w:val="nil"/>
            </w:tcBorders>
          </w:tcPr>
          <w:p w14:paraId="0758CE3D" w14:textId="77777777" w:rsidR="000E7AF7" w:rsidRPr="000E7AF7" w:rsidRDefault="000E7AF7" w:rsidP="003F3E4C">
            <w:pPr>
              <w:spacing w:before="60" w:after="60"/>
              <w:rPr>
                <w:rFonts w:cs="Helvetica"/>
                <w:sz w:val="24"/>
                <w:szCs w:val="24"/>
                <w:lang w:val="en-US"/>
              </w:rPr>
            </w:pPr>
            <w:r w:rsidRPr="000E7AF7">
              <w:rPr>
                <w:rFonts w:cs="Helvetica"/>
                <w:sz w:val="24"/>
                <w:szCs w:val="24"/>
                <w:lang w:val="en-US"/>
              </w:rPr>
              <w:t>GE Money</w:t>
            </w:r>
          </w:p>
        </w:tc>
      </w:tr>
      <w:tr w:rsidR="003F3E4C" w:rsidRPr="000E7AF7" w14:paraId="49086B00" w14:textId="77777777" w:rsidTr="003F3E4C">
        <w:tc>
          <w:tcPr>
            <w:tcW w:w="9242" w:type="dxa"/>
            <w:gridSpan w:val="2"/>
            <w:tcBorders>
              <w:top w:val="dashed" w:sz="4" w:space="0" w:color="auto"/>
              <w:left w:val="nil"/>
              <w:bottom w:val="dashed" w:sz="4" w:space="0" w:color="auto"/>
              <w:right w:val="nil"/>
            </w:tcBorders>
            <w:shd w:val="clear" w:color="auto" w:fill="D9D9D9" w:themeFill="background1" w:themeFillShade="D9"/>
          </w:tcPr>
          <w:p w14:paraId="35278AE6" w14:textId="77777777" w:rsidR="003F3E4C" w:rsidRPr="000E7AF7" w:rsidRDefault="003F3E4C" w:rsidP="003F3E4C">
            <w:pPr>
              <w:spacing w:before="60" w:after="60"/>
              <w:rPr>
                <w:rFonts w:cs="Helvetica"/>
                <w:sz w:val="24"/>
                <w:szCs w:val="24"/>
                <w:lang w:val="en-US"/>
              </w:rPr>
            </w:pPr>
            <w:proofErr w:type="spellStart"/>
            <w:r w:rsidRPr="000E7AF7">
              <w:rPr>
                <w:rFonts w:cs="Helvetica"/>
                <w:sz w:val="24"/>
                <w:szCs w:val="24"/>
                <w:lang w:val="en-US"/>
              </w:rPr>
              <w:t>EDR</w:t>
            </w:r>
            <w:proofErr w:type="spellEnd"/>
            <w:r w:rsidRPr="000E7AF7">
              <w:rPr>
                <w:rFonts w:cs="Helvetica"/>
                <w:sz w:val="24"/>
                <w:szCs w:val="24"/>
                <w:lang w:val="en-US"/>
              </w:rPr>
              <w:t xml:space="preserve"> Schemes</w:t>
            </w:r>
          </w:p>
        </w:tc>
      </w:tr>
      <w:tr w:rsidR="00CA5CBB" w:rsidRPr="000E7AF7" w14:paraId="445A4DDD" w14:textId="77777777" w:rsidTr="003F3E4C">
        <w:tc>
          <w:tcPr>
            <w:tcW w:w="3085" w:type="dxa"/>
            <w:tcBorders>
              <w:top w:val="dashed" w:sz="4" w:space="0" w:color="auto"/>
              <w:left w:val="nil"/>
              <w:bottom w:val="dashed" w:sz="4" w:space="0" w:color="auto"/>
              <w:right w:val="nil"/>
            </w:tcBorders>
          </w:tcPr>
          <w:p w14:paraId="62FDC9D9" w14:textId="77777777" w:rsidR="00CA5CBB" w:rsidRPr="000E7AF7" w:rsidRDefault="00CA5CBB" w:rsidP="00CA5CBB">
            <w:pPr>
              <w:spacing w:before="60" w:after="60"/>
              <w:rPr>
                <w:rFonts w:cs="Helvetica"/>
                <w:sz w:val="24"/>
                <w:szCs w:val="24"/>
                <w:lang w:val="en-US"/>
              </w:rPr>
            </w:pPr>
            <w:r w:rsidRPr="000E7AF7">
              <w:rPr>
                <w:rFonts w:cs="Helvetica"/>
                <w:sz w:val="24"/>
                <w:szCs w:val="24"/>
                <w:lang w:val="en-US"/>
              </w:rPr>
              <w:t>Amber Cassidy</w:t>
            </w:r>
          </w:p>
        </w:tc>
        <w:tc>
          <w:tcPr>
            <w:tcW w:w="6157" w:type="dxa"/>
            <w:tcBorders>
              <w:top w:val="dashed" w:sz="4" w:space="0" w:color="auto"/>
              <w:left w:val="nil"/>
              <w:bottom w:val="dashed" w:sz="4" w:space="0" w:color="auto"/>
              <w:right w:val="nil"/>
            </w:tcBorders>
          </w:tcPr>
          <w:p w14:paraId="3D35646C" w14:textId="77777777" w:rsidR="00CA5CBB" w:rsidRPr="000E7AF7" w:rsidRDefault="00CA5CBB" w:rsidP="00CA5CBB">
            <w:pPr>
              <w:spacing w:before="60" w:after="60"/>
              <w:rPr>
                <w:rFonts w:cs="Helvetica"/>
                <w:sz w:val="24"/>
                <w:szCs w:val="24"/>
                <w:lang w:val="en-US"/>
              </w:rPr>
            </w:pPr>
            <w:r w:rsidRPr="000E7AF7">
              <w:rPr>
                <w:rFonts w:cs="Helvetica"/>
                <w:sz w:val="24"/>
                <w:szCs w:val="24"/>
                <w:lang w:val="en-US"/>
              </w:rPr>
              <w:t>Energy &amp; Water Ombudsman Victoria (</w:t>
            </w:r>
            <w:proofErr w:type="spellStart"/>
            <w:r w:rsidRPr="000E7AF7">
              <w:rPr>
                <w:rFonts w:cs="Helvetica"/>
                <w:sz w:val="24"/>
                <w:szCs w:val="24"/>
                <w:lang w:val="en-US"/>
              </w:rPr>
              <w:t>EWOV</w:t>
            </w:r>
            <w:proofErr w:type="spellEnd"/>
            <w:r w:rsidRPr="000E7AF7">
              <w:rPr>
                <w:rFonts w:cs="Helvetica"/>
                <w:sz w:val="24"/>
                <w:szCs w:val="24"/>
                <w:lang w:val="en-US"/>
              </w:rPr>
              <w:t>)</w:t>
            </w:r>
          </w:p>
        </w:tc>
      </w:tr>
      <w:tr w:rsidR="00CA5CBB" w:rsidRPr="000E7AF7" w14:paraId="41CD4BCF" w14:textId="77777777" w:rsidTr="003F3E4C">
        <w:tc>
          <w:tcPr>
            <w:tcW w:w="3085" w:type="dxa"/>
            <w:tcBorders>
              <w:top w:val="dashed" w:sz="4" w:space="0" w:color="auto"/>
              <w:left w:val="nil"/>
              <w:bottom w:val="dashed" w:sz="4" w:space="0" w:color="auto"/>
              <w:right w:val="nil"/>
            </w:tcBorders>
          </w:tcPr>
          <w:p w14:paraId="5769EDD4" w14:textId="77777777" w:rsidR="00CA5CBB" w:rsidRPr="000E7AF7" w:rsidRDefault="00CA5CBB" w:rsidP="00CA5CBB">
            <w:pPr>
              <w:spacing w:before="60" w:after="60"/>
              <w:rPr>
                <w:rFonts w:cs="Helvetica"/>
                <w:sz w:val="24"/>
                <w:szCs w:val="24"/>
                <w:lang w:val="en-US"/>
              </w:rPr>
            </w:pPr>
            <w:r w:rsidRPr="000E7AF7">
              <w:rPr>
                <w:rFonts w:cs="Helvetica"/>
                <w:sz w:val="24"/>
                <w:szCs w:val="24"/>
                <w:lang w:val="en-US"/>
              </w:rPr>
              <w:t>Belinda Sandilands</w:t>
            </w:r>
          </w:p>
        </w:tc>
        <w:tc>
          <w:tcPr>
            <w:tcW w:w="6157" w:type="dxa"/>
            <w:tcBorders>
              <w:top w:val="dashed" w:sz="4" w:space="0" w:color="auto"/>
              <w:left w:val="nil"/>
              <w:bottom w:val="dashed" w:sz="4" w:space="0" w:color="auto"/>
              <w:right w:val="nil"/>
            </w:tcBorders>
          </w:tcPr>
          <w:p w14:paraId="15D5AFFD" w14:textId="77777777" w:rsidR="00CA5CBB" w:rsidRPr="000E7AF7" w:rsidRDefault="00CA5CBB" w:rsidP="00CA5CBB">
            <w:pPr>
              <w:spacing w:before="60" w:after="60"/>
              <w:rPr>
                <w:rFonts w:cs="Helvetica"/>
                <w:sz w:val="24"/>
                <w:szCs w:val="24"/>
                <w:lang w:val="en-US"/>
              </w:rPr>
            </w:pPr>
            <w:r w:rsidRPr="000E7AF7">
              <w:rPr>
                <w:rFonts w:cs="Helvetica"/>
                <w:sz w:val="24"/>
                <w:szCs w:val="24"/>
                <w:lang w:val="en-US"/>
              </w:rPr>
              <w:t>Energy &amp; Water Ombudsman Victoria (</w:t>
            </w:r>
            <w:proofErr w:type="spellStart"/>
            <w:r w:rsidRPr="000E7AF7">
              <w:rPr>
                <w:rFonts w:cs="Helvetica"/>
                <w:sz w:val="24"/>
                <w:szCs w:val="24"/>
                <w:lang w:val="en-US"/>
              </w:rPr>
              <w:t>EWOV</w:t>
            </w:r>
            <w:proofErr w:type="spellEnd"/>
            <w:r w:rsidRPr="000E7AF7">
              <w:rPr>
                <w:rFonts w:cs="Helvetica"/>
                <w:sz w:val="24"/>
                <w:szCs w:val="24"/>
                <w:lang w:val="en-US"/>
              </w:rPr>
              <w:t>)</w:t>
            </w:r>
          </w:p>
        </w:tc>
      </w:tr>
      <w:tr w:rsidR="00CA5CBB" w:rsidRPr="000E7AF7" w14:paraId="67276D71" w14:textId="77777777" w:rsidTr="003F3E4C">
        <w:tc>
          <w:tcPr>
            <w:tcW w:w="3085" w:type="dxa"/>
            <w:tcBorders>
              <w:top w:val="dashed" w:sz="4" w:space="0" w:color="auto"/>
              <w:left w:val="nil"/>
              <w:bottom w:val="dashed" w:sz="4" w:space="0" w:color="auto"/>
              <w:right w:val="nil"/>
            </w:tcBorders>
          </w:tcPr>
          <w:p w14:paraId="7BE2284D" w14:textId="77777777" w:rsidR="00CA5CBB" w:rsidRPr="000E7AF7" w:rsidRDefault="003C08A8" w:rsidP="003C08A8">
            <w:pPr>
              <w:spacing w:before="60" w:after="60"/>
              <w:rPr>
                <w:rFonts w:cs="Helvetica"/>
                <w:sz w:val="24"/>
                <w:szCs w:val="24"/>
                <w:lang w:val="en-US"/>
              </w:rPr>
            </w:pPr>
            <w:r w:rsidRPr="000E7AF7">
              <w:rPr>
                <w:rFonts w:cs="Helvetica"/>
                <w:sz w:val="24"/>
                <w:szCs w:val="24"/>
                <w:lang w:val="en-US"/>
              </w:rPr>
              <w:t>Linda Brown</w:t>
            </w:r>
          </w:p>
        </w:tc>
        <w:tc>
          <w:tcPr>
            <w:tcW w:w="6157" w:type="dxa"/>
            <w:tcBorders>
              <w:top w:val="dashed" w:sz="4" w:space="0" w:color="auto"/>
              <w:left w:val="nil"/>
              <w:bottom w:val="dashed" w:sz="4" w:space="0" w:color="auto"/>
              <w:right w:val="nil"/>
            </w:tcBorders>
          </w:tcPr>
          <w:p w14:paraId="2E310597" w14:textId="77777777" w:rsidR="00CA5CBB" w:rsidRPr="000E7AF7" w:rsidRDefault="007F6577" w:rsidP="00CA5CBB">
            <w:pPr>
              <w:spacing w:before="60" w:after="60"/>
              <w:rPr>
                <w:rFonts w:cs="Helvetica"/>
                <w:sz w:val="24"/>
                <w:szCs w:val="24"/>
                <w:lang w:val="en-US"/>
              </w:rPr>
            </w:pPr>
            <w:r w:rsidRPr="000E7AF7">
              <w:rPr>
                <w:rFonts w:cs="Helvetica"/>
                <w:sz w:val="24"/>
                <w:szCs w:val="24"/>
                <w:lang w:val="en-US"/>
              </w:rPr>
              <w:t>Energy &amp; Water Ombudsman NSW (</w:t>
            </w:r>
            <w:proofErr w:type="spellStart"/>
            <w:r w:rsidRPr="000E7AF7">
              <w:rPr>
                <w:rFonts w:cs="Helvetica"/>
                <w:sz w:val="24"/>
                <w:szCs w:val="24"/>
                <w:lang w:val="en-US"/>
              </w:rPr>
              <w:t>EWON</w:t>
            </w:r>
            <w:proofErr w:type="spellEnd"/>
            <w:r w:rsidRPr="000E7AF7">
              <w:rPr>
                <w:rFonts w:cs="Helvetica"/>
                <w:sz w:val="24"/>
                <w:szCs w:val="24"/>
                <w:lang w:val="en-US"/>
              </w:rPr>
              <w:t>)</w:t>
            </w:r>
          </w:p>
          <w:p w14:paraId="29B02FD3" w14:textId="77777777" w:rsidR="007F6577" w:rsidRPr="000E7AF7" w:rsidRDefault="007F6577" w:rsidP="003C08A8">
            <w:pPr>
              <w:spacing w:before="60" w:after="60"/>
              <w:rPr>
                <w:rFonts w:cs="Helvetica"/>
                <w:sz w:val="24"/>
                <w:szCs w:val="24"/>
                <w:lang w:val="en-US"/>
              </w:rPr>
            </w:pPr>
          </w:p>
        </w:tc>
      </w:tr>
      <w:tr w:rsidR="003C08A8" w:rsidRPr="000E7AF7" w14:paraId="753DC3C0" w14:textId="77777777" w:rsidTr="003F3E4C">
        <w:tc>
          <w:tcPr>
            <w:tcW w:w="3085" w:type="dxa"/>
            <w:tcBorders>
              <w:top w:val="dashed" w:sz="4" w:space="0" w:color="auto"/>
              <w:left w:val="nil"/>
              <w:bottom w:val="dashed" w:sz="4" w:space="0" w:color="auto"/>
              <w:right w:val="nil"/>
            </w:tcBorders>
          </w:tcPr>
          <w:p w14:paraId="6E9E864D" w14:textId="77777777" w:rsidR="003C08A8" w:rsidRPr="000E7AF7" w:rsidRDefault="003C08A8" w:rsidP="00CA5CBB">
            <w:pPr>
              <w:spacing w:before="60" w:after="60"/>
              <w:rPr>
                <w:rFonts w:cs="Helvetica"/>
                <w:sz w:val="24"/>
                <w:szCs w:val="24"/>
                <w:lang w:val="en-US"/>
              </w:rPr>
            </w:pPr>
            <w:r w:rsidRPr="000E7AF7">
              <w:rPr>
                <w:rFonts w:cs="Helvetica"/>
                <w:sz w:val="24"/>
                <w:szCs w:val="24"/>
                <w:lang w:val="en-US"/>
              </w:rPr>
              <w:t>Emma Keene</w:t>
            </w:r>
          </w:p>
        </w:tc>
        <w:tc>
          <w:tcPr>
            <w:tcW w:w="6157" w:type="dxa"/>
            <w:tcBorders>
              <w:top w:val="dashed" w:sz="4" w:space="0" w:color="auto"/>
              <w:left w:val="nil"/>
              <w:bottom w:val="dashed" w:sz="4" w:space="0" w:color="auto"/>
              <w:right w:val="nil"/>
            </w:tcBorders>
          </w:tcPr>
          <w:p w14:paraId="52933AA6" w14:textId="77777777" w:rsidR="003C08A8" w:rsidRPr="000E7AF7" w:rsidRDefault="003C08A8" w:rsidP="003C08A8">
            <w:pPr>
              <w:spacing w:before="60" w:after="60"/>
              <w:rPr>
                <w:rFonts w:cs="Helvetica"/>
                <w:sz w:val="24"/>
                <w:szCs w:val="24"/>
                <w:lang w:val="en-US"/>
              </w:rPr>
            </w:pPr>
            <w:r w:rsidRPr="000E7AF7">
              <w:rPr>
                <w:rFonts w:cs="Helvetica"/>
                <w:sz w:val="24"/>
                <w:szCs w:val="24"/>
                <w:lang w:val="en-US"/>
              </w:rPr>
              <w:t>Energy &amp; Water Ombudsman NSW (</w:t>
            </w:r>
            <w:proofErr w:type="spellStart"/>
            <w:r w:rsidRPr="000E7AF7">
              <w:rPr>
                <w:rFonts w:cs="Helvetica"/>
                <w:sz w:val="24"/>
                <w:szCs w:val="24"/>
                <w:lang w:val="en-US"/>
              </w:rPr>
              <w:t>EWON</w:t>
            </w:r>
            <w:proofErr w:type="spellEnd"/>
            <w:r w:rsidRPr="000E7AF7">
              <w:rPr>
                <w:rFonts w:cs="Helvetica"/>
                <w:sz w:val="24"/>
                <w:szCs w:val="24"/>
                <w:lang w:val="en-US"/>
              </w:rPr>
              <w:t>)</w:t>
            </w:r>
          </w:p>
        </w:tc>
      </w:tr>
      <w:tr w:rsidR="00CA5CBB" w:rsidRPr="000E7AF7" w14:paraId="4CDDD352" w14:textId="77777777" w:rsidTr="003F3E4C">
        <w:tc>
          <w:tcPr>
            <w:tcW w:w="9242" w:type="dxa"/>
            <w:gridSpan w:val="2"/>
            <w:tcBorders>
              <w:top w:val="dashed" w:sz="4" w:space="0" w:color="auto"/>
              <w:left w:val="nil"/>
              <w:bottom w:val="dashed" w:sz="4" w:space="0" w:color="auto"/>
              <w:right w:val="nil"/>
            </w:tcBorders>
            <w:shd w:val="clear" w:color="auto" w:fill="D9D9D9" w:themeFill="background1" w:themeFillShade="D9"/>
          </w:tcPr>
          <w:p w14:paraId="5D8B8799" w14:textId="77777777" w:rsidR="00CA5CBB" w:rsidRPr="000E7AF7" w:rsidRDefault="00CA5CBB" w:rsidP="00CA5CBB">
            <w:pPr>
              <w:spacing w:before="60" w:after="60"/>
              <w:rPr>
                <w:rFonts w:cs="Helvetica"/>
                <w:sz w:val="24"/>
                <w:szCs w:val="24"/>
                <w:lang w:val="en-US"/>
              </w:rPr>
            </w:pPr>
            <w:r w:rsidRPr="000E7AF7">
              <w:rPr>
                <w:rFonts w:cs="Helvetica"/>
                <w:sz w:val="24"/>
                <w:szCs w:val="24"/>
                <w:lang w:val="en-US"/>
              </w:rPr>
              <w:t>Regulators and Government</w:t>
            </w:r>
          </w:p>
        </w:tc>
      </w:tr>
      <w:tr w:rsidR="00CA5CBB" w:rsidRPr="000E7AF7" w14:paraId="497E7A38" w14:textId="77777777" w:rsidTr="003F3E4C">
        <w:tc>
          <w:tcPr>
            <w:tcW w:w="3085" w:type="dxa"/>
            <w:tcBorders>
              <w:top w:val="dashed" w:sz="4" w:space="0" w:color="auto"/>
              <w:left w:val="nil"/>
              <w:bottom w:val="dashed" w:sz="4" w:space="0" w:color="auto"/>
              <w:right w:val="nil"/>
            </w:tcBorders>
          </w:tcPr>
          <w:p w14:paraId="7500C95A" w14:textId="77777777" w:rsidR="00CA5CBB" w:rsidRPr="000E7AF7" w:rsidRDefault="007F6577" w:rsidP="00CA5CBB">
            <w:pPr>
              <w:spacing w:before="60" w:after="60"/>
              <w:rPr>
                <w:rFonts w:cs="Helvetica"/>
                <w:sz w:val="24"/>
                <w:szCs w:val="24"/>
                <w:lang w:val="en-US"/>
              </w:rPr>
            </w:pPr>
            <w:r w:rsidRPr="000E7AF7">
              <w:rPr>
                <w:rFonts w:cs="Helvetica"/>
                <w:sz w:val="24"/>
                <w:szCs w:val="24"/>
                <w:lang w:val="en-US"/>
              </w:rPr>
              <w:t xml:space="preserve">Sarah </w:t>
            </w:r>
            <w:proofErr w:type="spellStart"/>
            <w:r w:rsidRPr="000E7AF7">
              <w:rPr>
                <w:rFonts w:cs="Helvetica"/>
                <w:sz w:val="24"/>
                <w:szCs w:val="24"/>
                <w:lang w:val="en-US"/>
              </w:rPr>
              <w:t>Proudfoot</w:t>
            </w:r>
            <w:proofErr w:type="spellEnd"/>
          </w:p>
        </w:tc>
        <w:tc>
          <w:tcPr>
            <w:tcW w:w="6157" w:type="dxa"/>
            <w:tcBorders>
              <w:top w:val="dashed" w:sz="4" w:space="0" w:color="auto"/>
              <w:left w:val="nil"/>
              <w:bottom w:val="dashed" w:sz="4" w:space="0" w:color="auto"/>
              <w:right w:val="nil"/>
            </w:tcBorders>
          </w:tcPr>
          <w:p w14:paraId="3A39765C" w14:textId="77777777" w:rsidR="00CA5CBB" w:rsidRPr="000E7AF7" w:rsidRDefault="00CA5CBB" w:rsidP="00CA5CBB">
            <w:pPr>
              <w:spacing w:before="60" w:after="60"/>
              <w:rPr>
                <w:rFonts w:cs="Helvetica"/>
                <w:sz w:val="24"/>
                <w:szCs w:val="24"/>
                <w:lang w:val="en-US"/>
              </w:rPr>
            </w:pPr>
            <w:r w:rsidRPr="000E7AF7">
              <w:rPr>
                <w:rFonts w:cs="Helvetica"/>
                <w:sz w:val="24"/>
                <w:szCs w:val="24"/>
                <w:lang w:val="en-US"/>
              </w:rPr>
              <w:t>Australian Energy Regulator</w:t>
            </w:r>
          </w:p>
        </w:tc>
      </w:tr>
      <w:tr w:rsidR="00CA5CBB" w:rsidRPr="000E7AF7" w14:paraId="12D5A6DA" w14:textId="77777777" w:rsidTr="003F3E4C">
        <w:tc>
          <w:tcPr>
            <w:tcW w:w="3085" w:type="dxa"/>
            <w:tcBorders>
              <w:top w:val="dashed" w:sz="4" w:space="0" w:color="auto"/>
              <w:left w:val="nil"/>
              <w:bottom w:val="dashed" w:sz="4" w:space="0" w:color="auto"/>
              <w:right w:val="nil"/>
            </w:tcBorders>
          </w:tcPr>
          <w:p w14:paraId="1423852C" w14:textId="77777777" w:rsidR="00CA5CBB" w:rsidRPr="000E7AF7" w:rsidRDefault="00846AC6" w:rsidP="00CA5CBB">
            <w:pPr>
              <w:spacing w:before="60" w:after="60"/>
              <w:rPr>
                <w:rFonts w:cs="Helvetica"/>
                <w:sz w:val="24"/>
                <w:szCs w:val="24"/>
                <w:lang w:val="en-US"/>
              </w:rPr>
            </w:pPr>
            <w:r w:rsidRPr="000E7AF7">
              <w:rPr>
                <w:rFonts w:cs="Helvetica"/>
                <w:sz w:val="24"/>
                <w:szCs w:val="24"/>
                <w:lang w:val="en-US"/>
              </w:rPr>
              <w:t xml:space="preserve">Marcus </w:t>
            </w:r>
            <w:proofErr w:type="spellStart"/>
            <w:r w:rsidRPr="000E7AF7">
              <w:rPr>
                <w:rFonts w:cs="Helvetica"/>
                <w:sz w:val="24"/>
                <w:szCs w:val="24"/>
                <w:lang w:val="en-US"/>
              </w:rPr>
              <w:t>Crudden</w:t>
            </w:r>
            <w:proofErr w:type="spellEnd"/>
          </w:p>
        </w:tc>
        <w:tc>
          <w:tcPr>
            <w:tcW w:w="6157" w:type="dxa"/>
            <w:tcBorders>
              <w:top w:val="dashed" w:sz="4" w:space="0" w:color="auto"/>
              <w:left w:val="nil"/>
              <w:bottom w:val="dashed" w:sz="4" w:space="0" w:color="auto"/>
              <w:right w:val="nil"/>
            </w:tcBorders>
          </w:tcPr>
          <w:p w14:paraId="31B89FC2" w14:textId="77777777" w:rsidR="00CA5CBB" w:rsidRPr="000E7AF7" w:rsidRDefault="00CA5CBB" w:rsidP="00CA5CBB">
            <w:pPr>
              <w:spacing w:before="60" w:after="60"/>
              <w:rPr>
                <w:rFonts w:cs="Helvetica"/>
                <w:sz w:val="24"/>
                <w:szCs w:val="24"/>
                <w:lang w:val="en-US"/>
              </w:rPr>
            </w:pPr>
            <w:r w:rsidRPr="000E7AF7">
              <w:rPr>
                <w:rFonts w:cs="Helvetica"/>
                <w:sz w:val="24"/>
                <w:szCs w:val="24"/>
                <w:lang w:val="en-US"/>
              </w:rPr>
              <w:t>Essential Services Commission</w:t>
            </w:r>
          </w:p>
        </w:tc>
      </w:tr>
      <w:tr w:rsidR="00CA5CBB" w:rsidRPr="000E7AF7" w14:paraId="7C648944" w14:textId="77777777" w:rsidTr="003F3E4C">
        <w:tc>
          <w:tcPr>
            <w:tcW w:w="3085" w:type="dxa"/>
            <w:tcBorders>
              <w:top w:val="dashed" w:sz="4" w:space="0" w:color="auto"/>
              <w:left w:val="nil"/>
              <w:bottom w:val="dashed" w:sz="4" w:space="0" w:color="auto"/>
              <w:right w:val="nil"/>
            </w:tcBorders>
          </w:tcPr>
          <w:p w14:paraId="296EB6B7" w14:textId="77777777" w:rsidR="00CA5CBB" w:rsidRPr="000E7AF7" w:rsidRDefault="00CA5CBB" w:rsidP="00CA5CBB">
            <w:pPr>
              <w:spacing w:before="60" w:after="60"/>
              <w:rPr>
                <w:rFonts w:cs="Helvetica"/>
                <w:sz w:val="24"/>
                <w:szCs w:val="24"/>
                <w:lang w:val="en-US"/>
              </w:rPr>
            </w:pPr>
          </w:p>
        </w:tc>
        <w:tc>
          <w:tcPr>
            <w:tcW w:w="6157" w:type="dxa"/>
            <w:tcBorders>
              <w:top w:val="dashed" w:sz="4" w:space="0" w:color="auto"/>
              <w:left w:val="nil"/>
              <w:bottom w:val="dashed" w:sz="4" w:space="0" w:color="auto"/>
              <w:right w:val="nil"/>
            </w:tcBorders>
          </w:tcPr>
          <w:p w14:paraId="176442D4" w14:textId="77777777" w:rsidR="00CA5CBB" w:rsidRPr="000E7AF7" w:rsidRDefault="00CA5CBB" w:rsidP="00CA5CBB">
            <w:pPr>
              <w:spacing w:before="60" w:after="60"/>
              <w:rPr>
                <w:rFonts w:cs="Helvetica"/>
                <w:sz w:val="24"/>
                <w:szCs w:val="24"/>
                <w:lang w:val="en-US"/>
              </w:rPr>
            </w:pPr>
          </w:p>
        </w:tc>
      </w:tr>
      <w:tr w:rsidR="00CA5CBB" w:rsidRPr="000E7AF7" w14:paraId="6E14E571" w14:textId="77777777" w:rsidTr="003F3E4C">
        <w:tc>
          <w:tcPr>
            <w:tcW w:w="3085" w:type="dxa"/>
            <w:tcBorders>
              <w:top w:val="dashed" w:sz="4" w:space="0" w:color="auto"/>
              <w:left w:val="nil"/>
              <w:bottom w:val="dashed" w:sz="4" w:space="0" w:color="auto"/>
              <w:right w:val="nil"/>
            </w:tcBorders>
          </w:tcPr>
          <w:p w14:paraId="37F2F622" w14:textId="77777777" w:rsidR="00CA5CBB" w:rsidRPr="000E7AF7" w:rsidRDefault="00CA5CBB" w:rsidP="00CA5CBB">
            <w:pPr>
              <w:spacing w:before="60" w:after="60"/>
              <w:rPr>
                <w:rFonts w:cs="Helvetica"/>
                <w:sz w:val="24"/>
                <w:szCs w:val="24"/>
                <w:lang w:val="en-US"/>
              </w:rPr>
            </w:pPr>
          </w:p>
        </w:tc>
        <w:tc>
          <w:tcPr>
            <w:tcW w:w="6157" w:type="dxa"/>
            <w:tcBorders>
              <w:top w:val="dashed" w:sz="4" w:space="0" w:color="auto"/>
              <w:left w:val="nil"/>
              <w:bottom w:val="dashed" w:sz="4" w:space="0" w:color="auto"/>
              <w:right w:val="nil"/>
            </w:tcBorders>
          </w:tcPr>
          <w:p w14:paraId="7ED936B6" w14:textId="77777777" w:rsidR="00CA5CBB" w:rsidRPr="000E7AF7" w:rsidRDefault="00CA5CBB" w:rsidP="00CA5CBB">
            <w:pPr>
              <w:spacing w:before="60" w:after="60"/>
              <w:rPr>
                <w:rFonts w:cs="Helvetica"/>
                <w:sz w:val="24"/>
                <w:szCs w:val="24"/>
                <w:lang w:val="en-US"/>
              </w:rPr>
            </w:pPr>
          </w:p>
        </w:tc>
      </w:tr>
    </w:tbl>
    <w:p w14:paraId="32B30DAC" w14:textId="77777777" w:rsidR="00417B90" w:rsidRDefault="003F3E4C" w:rsidP="00D57D1B">
      <w:pPr>
        <w:spacing w:after="0" w:line="240" w:lineRule="auto"/>
        <w:rPr>
          <w:i/>
        </w:rPr>
      </w:pPr>
      <w:r>
        <w:rPr>
          <w:i/>
        </w:rPr>
        <w:br w:type="textWrapping" w:clear="all"/>
      </w:r>
    </w:p>
    <w:p w14:paraId="1A204F6F" w14:textId="77777777" w:rsidR="006502FE" w:rsidRDefault="006502FE">
      <w:pPr>
        <w:rPr>
          <w:i/>
        </w:rPr>
      </w:pPr>
      <w:r>
        <w:rPr>
          <w:i/>
        </w:rPr>
        <w:br w:type="page"/>
      </w:r>
    </w:p>
    <w:p w14:paraId="649427E5" w14:textId="77777777" w:rsidR="006502FE" w:rsidRPr="001F62EA" w:rsidRDefault="006502FE" w:rsidP="00027BC3">
      <w:pPr>
        <w:pStyle w:val="Heading11"/>
      </w:pPr>
      <w:bookmarkStart w:id="84" w:name="_Toc387144789"/>
      <w:r>
        <w:lastRenderedPageBreak/>
        <w:t>Appendix 2 – Excerpts from the ESC Business Case Template</w:t>
      </w:r>
      <w:bookmarkEnd w:id="84"/>
      <w:r>
        <w:t xml:space="preserve"> </w:t>
      </w:r>
    </w:p>
    <w:p w14:paraId="22CB5C7A" w14:textId="77777777" w:rsidR="00417B90" w:rsidRDefault="00417B90" w:rsidP="00D57D1B">
      <w:pPr>
        <w:spacing w:after="0" w:line="240" w:lineRule="auto"/>
        <w:rPr>
          <w:i/>
        </w:rPr>
      </w:pPr>
    </w:p>
    <w:p w14:paraId="6EA77774" w14:textId="66278740" w:rsidR="006502FE" w:rsidRDefault="006502FE" w:rsidP="00A436EA">
      <w:r>
        <w:t xml:space="preserve">The following </w:t>
      </w:r>
      <w:proofErr w:type="gramStart"/>
      <w:r>
        <w:t>screen capture</w:t>
      </w:r>
      <w:proofErr w:type="gramEnd"/>
      <w:r>
        <w:t xml:space="preserve"> from the ESC model show the assumptions and data input page. The model allows for a 10 year forecast. Note the numbers input are for illustration purposes only.</w:t>
      </w:r>
    </w:p>
    <w:p w14:paraId="299E93C1" w14:textId="77777777" w:rsidR="006502FE" w:rsidRDefault="006502FE" w:rsidP="006502FE">
      <w:pPr>
        <w:spacing w:after="0" w:line="240" w:lineRule="auto"/>
        <w:ind w:left="990"/>
      </w:pPr>
    </w:p>
    <w:p w14:paraId="43971B45" w14:textId="4BA92A9D" w:rsidR="006502FE" w:rsidRDefault="002E26F5" w:rsidP="002E26F5">
      <w:pPr>
        <w:spacing w:after="0" w:line="240" w:lineRule="auto"/>
        <w:jc w:val="center"/>
      </w:pPr>
      <w:bookmarkStart w:id="85" w:name="_GoBack"/>
      <w:r>
        <w:rPr>
          <w:noProof/>
          <w:lang w:val="en-AU" w:eastAsia="en-AU"/>
        </w:rPr>
        <w:drawing>
          <wp:inline distT="0" distB="0" distL="0" distR="0" wp14:anchorId="33D4B83B" wp14:editId="3BE9097C">
            <wp:extent cx="5140800" cy="3643200"/>
            <wp:effectExtent l="0" t="0" r="3175" b="0"/>
            <wp:docPr id="76" name="Picture 76" descr="Screen shot of the ESC business case templat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0800" cy="3643200"/>
                    </a:xfrm>
                    <a:prstGeom prst="rect">
                      <a:avLst/>
                    </a:prstGeom>
                    <a:noFill/>
                    <a:ln>
                      <a:noFill/>
                    </a:ln>
                  </pic:spPr>
                </pic:pic>
              </a:graphicData>
            </a:graphic>
          </wp:inline>
        </w:drawing>
      </w:r>
      <w:bookmarkEnd w:id="85"/>
    </w:p>
    <w:p w14:paraId="16FDFCD6" w14:textId="77777777" w:rsidR="006502FE" w:rsidRDefault="006502FE" w:rsidP="006502FE">
      <w:pPr>
        <w:spacing w:after="0" w:line="240" w:lineRule="auto"/>
        <w:ind w:left="990"/>
      </w:pPr>
    </w:p>
    <w:p w14:paraId="28D95E42" w14:textId="43BF1FCF" w:rsidR="006502FE" w:rsidRDefault="006502FE" w:rsidP="006502FE">
      <w:pPr>
        <w:spacing w:after="0" w:line="240" w:lineRule="auto"/>
        <w:ind w:left="990"/>
      </w:pPr>
      <w:r>
        <w:t xml:space="preserve">This screen capture shows a sample cost benefit analysis over a 10 year period. The model also generates graphs of analysis </w:t>
      </w:r>
      <w:r w:rsidR="00BB7CC5">
        <w:t xml:space="preserve">data </w:t>
      </w:r>
      <w:r>
        <w:t>(not shown).</w:t>
      </w:r>
    </w:p>
    <w:p w14:paraId="782F1CB8" w14:textId="77777777" w:rsidR="00FA56FC" w:rsidRDefault="00FA56FC" w:rsidP="006502FE">
      <w:pPr>
        <w:spacing w:after="0" w:line="240" w:lineRule="auto"/>
        <w:ind w:left="990"/>
      </w:pPr>
    </w:p>
    <w:p w14:paraId="3601CC84" w14:textId="77777777" w:rsidR="006502FE" w:rsidRDefault="006502FE" w:rsidP="0084325D">
      <w:pPr>
        <w:spacing w:after="0" w:line="240" w:lineRule="auto"/>
        <w:ind w:left="990"/>
      </w:pPr>
      <w:r>
        <w:rPr>
          <w:noProof/>
          <w:lang w:val="en-AU" w:eastAsia="en-AU"/>
        </w:rPr>
        <w:drawing>
          <wp:inline distT="0" distB="0" distL="0" distR="0" wp14:anchorId="69D9084C" wp14:editId="23669923">
            <wp:extent cx="4564380" cy="3428788"/>
            <wp:effectExtent l="0" t="0" r="7620" b="635"/>
            <wp:docPr id="77" name="Picture 77" descr="Screenshot of cost benefit analysis"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6927" cy="3430701"/>
                    </a:xfrm>
                    <a:prstGeom prst="rect">
                      <a:avLst/>
                    </a:prstGeom>
                    <a:noFill/>
                    <a:ln>
                      <a:noFill/>
                    </a:ln>
                  </pic:spPr>
                </pic:pic>
              </a:graphicData>
            </a:graphic>
          </wp:inline>
        </w:drawing>
      </w:r>
    </w:p>
    <w:p w14:paraId="7E0FA2D1" w14:textId="77777777" w:rsidR="00B57A17" w:rsidRDefault="00E07E05" w:rsidP="00027BC3">
      <w:pPr>
        <w:pStyle w:val="Heading11"/>
      </w:pPr>
      <w:bookmarkStart w:id="86" w:name="_Toc387144790"/>
      <w:r>
        <w:lastRenderedPageBreak/>
        <w:t xml:space="preserve">Appendix </w:t>
      </w:r>
      <w:r w:rsidR="00B57A17">
        <w:t>3</w:t>
      </w:r>
      <w:r>
        <w:t xml:space="preserve"> – Summary of the </w:t>
      </w:r>
      <w:r w:rsidR="00B57A17">
        <w:t>Literature Review</w:t>
      </w:r>
      <w:bookmarkEnd w:id="86"/>
      <w:r w:rsidR="00B57A17">
        <w:t xml:space="preserve"> </w:t>
      </w:r>
    </w:p>
    <w:p w14:paraId="67C87F4F" w14:textId="77777777" w:rsidR="001C4AB6" w:rsidRPr="004C771B" w:rsidRDefault="001C4AB6" w:rsidP="00B57A17">
      <w:pPr>
        <w:pStyle w:val="Body"/>
        <w:rPr>
          <w:rFonts w:asciiTheme="minorHAnsi" w:eastAsiaTheme="minorHAnsi" w:hAnsiTheme="minorHAnsi" w:cstheme="minorBidi"/>
          <w:color w:val="auto"/>
          <w:sz w:val="22"/>
          <w:szCs w:val="22"/>
          <w:lang w:val="en-AU" w:eastAsia="en-US"/>
        </w:rPr>
      </w:pPr>
    </w:p>
    <w:p w14:paraId="797E04E0" w14:textId="5F4BED92" w:rsidR="008D7C36" w:rsidRPr="0098428A" w:rsidRDefault="00241B71" w:rsidP="00B57A17">
      <w:pPr>
        <w:pStyle w:val="Body"/>
        <w:rPr>
          <w:rFonts w:asciiTheme="minorHAnsi" w:eastAsiaTheme="minorHAnsi" w:hAnsiTheme="minorHAnsi" w:cstheme="minorBidi"/>
          <w:color w:val="auto"/>
          <w:sz w:val="22"/>
          <w:szCs w:val="22"/>
          <w:lang w:val="en-AU" w:eastAsia="en-US"/>
        </w:rPr>
      </w:pPr>
      <w:r w:rsidRPr="004C771B">
        <w:rPr>
          <w:rFonts w:asciiTheme="minorHAnsi" w:eastAsiaTheme="minorHAnsi" w:hAnsiTheme="minorHAnsi" w:cstheme="minorBidi"/>
          <w:color w:val="auto"/>
          <w:sz w:val="22"/>
          <w:szCs w:val="22"/>
          <w:lang w:val="en-AU" w:eastAsia="en-US"/>
        </w:rPr>
        <w:t xml:space="preserve">This section </w:t>
      </w:r>
      <w:r w:rsidR="00BB7CC5" w:rsidRPr="004C771B">
        <w:rPr>
          <w:rFonts w:asciiTheme="minorHAnsi" w:eastAsiaTheme="minorHAnsi" w:hAnsiTheme="minorHAnsi" w:cstheme="minorBidi"/>
          <w:color w:val="auto"/>
          <w:sz w:val="22"/>
          <w:szCs w:val="22"/>
          <w:lang w:val="en-AU" w:eastAsia="en-US"/>
        </w:rPr>
        <w:t xml:space="preserve">highlights </w:t>
      </w:r>
      <w:r w:rsidR="0010785B" w:rsidRPr="004C771B">
        <w:rPr>
          <w:rFonts w:asciiTheme="minorHAnsi" w:eastAsiaTheme="minorHAnsi" w:hAnsiTheme="minorHAnsi" w:cstheme="minorBidi"/>
          <w:color w:val="auto"/>
          <w:sz w:val="22"/>
          <w:szCs w:val="22"/>
          <w:lang w:val="en-AU" w:eastAsia="en-US"/>
        </w:rPr>
        <w:t xml:space="preserve">specific </w:t>
      </w:r>
      <w:r w:rsidRPr="004C771B">
        <w:rPr>
          <w:rFonts w:asciiTheme="minorHAnsi" w:eastAsiaTheme="minorHAnsi" w:hAnsiTheme="minorHAnsi" w:cstheme="minorBidi"/>
          <w:color w:val="auto"/>
          <w:sz w:val="22"/>
          <w:szCs w:val="22"/>
          <w:lang w:val="en-AU" w:eastAsia="en-US"/>
        </w:rPr>
        <w:t>reports, articles and website</w:t>
      </w:r>
      <w:r w:rsidR="0010785B" w:rsidRPr="004C771B">
        <w:rPr>
          <w:rFonts w:asciiTheme="minorHAnsi" w:eastAsiaTheme="minorHAnsi" w:hAnsiTheme="minorHAnsi" w:cstheme="minorBidi"/>
          <w:color w:val="auto"/>
          <w:sz w:val="22"/>
          <w:szCs w:val="22"/>
          <w:lang w:val="en-AU" w:eastAsia="en-US"/>
        </w:rPr>
        <w:t>s that provide interesting insights into</w:t>
      </w:r>
      <w:r w:rsidRPr="004C771B">
        <w:rPr>
          <w:rFonts w:asciiTheme="minorHAnsi" w:eastAsiaTheme="minorHAnsi" w:hAnsiTheme="minorHAnsi" w:cstheme="minorBidi"/>
          <w:color w:val="auto"/>
          <w:sz w:val="22"/>
          <w:szCs w:val="22"/>
          <w:lang w:val="en-AU" w:eastAsia="en-US"/>
        </w:rPr>
        <w:t xml:space="preserve"> </w:t>
      </w:r>
      <w:r w:rsidR="0010785B" w:rsidRPr="004C771B">
        <w:rPr>
          <w:rFonts w:asciiTheme="minorHAnsi" w:eastAsiaTheme="minorHAnsi" w:hAnsiTheme="minorHAnsi" w:cstheme="minorBidi"/>
          <w:color w:val="auto"/>
          <w:sz w:val="22"/>
          <w:szCs w:val="22"/>
          <w:lang w:val="en-AU" w:eastAsia="en-US"/>
        </w:rPr>
        <w:t>innovations and appr</w:t>
      </w:r>
      <w:r w:rsidR="00B044DC" w:rsidRPr="004C771B">
        <w:rPr>
          <w:rFonts w:asciiTheme="minorHAnsi" w:eastAsiaTheme="minorHAnsi" w:hAnsiTheme="minorHAnsi" w:cstheme="minorBidi"/>
          <w:color w:val="auto"/>
          <w:sz w:val="22"/>
          <w:szCs w:val="22"/>
          <w:lang w:val="en-AU" w:eastAsia="en-US"/>
        </w:rPr>
        <w:t xml:space="preserve">oaches to hardship </w:t>
      </w:r>
      <w:r w:rsidR="00BB7CC5" w:rsidRPr="004C771B">
        <w:rPr>
          <w:rFonts w:asciiTheme="minorHAnsi" w:eastAsiaTheme="minorHAnsi" w:hAnsiTheme="minorHAnsi" w:cstheme="minorBidi"/>
          <w:color w:val="auto"/>
          <w:sz w:val="22"/>
          <w:szCs w:val="22"/>
          <w:lang w:val="en-AU" w:eastAsia="en-US"/>
        </w:rPr>
        <w:t xml:space="preserve">programs </w:t>
      </w:r>
      <w:r w:rsidR="00B044DC" w:rsidRPr="004C771B">
        <w:rPr>
          <w:rFonts w:asciiTheme="minorHAnsi" w:eastAsiaTheme="minorHAnsi" w:hAnsiTheme="minorHAnsi" w:cstheme="minorBidi"/>
          <w:color w:val="auto"/>
          <w:sz w:val="22"/>
          <w:szCs w:val="22"/>
          <w:lang w:val="en-AU" w:eastAsia="en-US"/>
        </w:rPr>
        <w:t>in Australia</w:t>
      </w:r>
      <w:r w:rsidR="0010785B" w:rsidRPr="004C771B">
        <w:rPr>
          <w:rFonts w:asciiTheme="minorHAnsi" w:eastAsiaTheme="minorHAnsi" w:hAnsiTheme="minorHAnsi" w:cstheme="minorBidi"/>
          <w:color w:val="auto"/>
          <w:sz w:val="22"/>
          <w:szCs w:val="22"/>
          <w:lang w:val="en-AU" w:eastAsia="en-US"/>
        </w:rPr>
        <w:t xml:space="preserve"> and North America. The American programs generally extend beyond what is offered in Australia and </w:t>
      </w:r>
      <w:r w:rsidR="00BB7CC5" w:rsidRPr="004C771B">
        <w:rPr>
          <w:rFonts w:asciiTheme="minorHAnsi" w:eastAsiaTheme="minorHAnsi" w:hAnsiTheme="minorHAnsi" w:cstheme="minorBidi"/>
          <w:color w:val="auto"/>
          <w:sz w:val="22"/>
          <w:szCs w:val="22"/>
          <w:lang w:val="en-AU" w:eastAsia="en-US"/>
        </w:rPr>
        <w:t xml:space="preserve">demonstrate </w:t>
      </w:r>
      <w:r w:rsidR="0010785B" w:rsidRPr="004C771B">
        <w:rPr>
          <w:rFonts w:asciiTheme="minorHAnsi" w:eastAsiaTheme="minorHAnsi" w:hAnsiTheme="minorHAnsi" w:cstheme="minorBidi"/>
          <w:color w:val="auto"/>
          <w:sz w:val="22"/>
          <w:szCs w:val="22"/>
          <w:lang w:val="en-AU" w:eastAsia="en-US"/>
        </w:rPr>
        <w:t xml:space="preserve">other ways of approaching customer financial difficulty </w:t>
      </w:r>
      <w:r w:rsidR="008B5FA2">
        <w:rPr>
          <w:rFonts w:asciiTheme="minorHAnsi" w:eastAsiaTheme="minorHAnsi" w:hAnsiTheme="minorHAnsi" w:cstheme="minorBidi"/>
          <w:color w:val="auto"/>
          <w:sz w:val="22"/>
          <w:szCs w:val="22"/>
          <w:lang w:val="en-AU" w:eastAsia="en-US"/>
        </w:rPr>
        <w:t>situations</w:t>
      </w:r>
      <w:r w:rsidR="0010785B" w:rsidRPr="004C771B">
        <w:rPr>
          <w:rFonts w:asciiTheme="minorHAnsi" w:eastAsiaTheme="minorHAnsi" w:hAnsiTheme="minorHAnsi" w:cstheme="minorBidi"/>
          <w:color w:val="auto"/>
          <w:sz w:val="22"/>
          <w:szCs w:val="22"/>
          <w:lang w:val="en-AU" w:eastAsia="en-US"/>
        </w:rPr>
        <w:t xml:space="preserve">. </w:t>
      </w:r>
    </w:p>
    <w:p w14:paraId="78A8CBFB" w14:textId="1B984767" w:rsidR="00B57A17" w:rsidRPr="004C771B" w:rsidRDefault="008A6307" w:rsidP="00931C7D">
      <w:pPr>
        <w:pStyle w:val="Heading2"/>
      </w:pPr>
      <w:bookmarkStart w:id="87" w:name="_Toc387144791"/>
      <w:r>
        <w:t>Reports and a</w:t>
      </w:r>
      <w:r w:rsidR="00B57A17" w:rsidRPr="004C771B">
        <w:t>rticles</w:t>
      </w:r>
      <w:bookmarkEnd w:id="87"/>
    </w:p>
    <w:p w14:paraId="7EA65DF5" w14:textId="7D478669" w:rsidR="009D7198" w:rsidRPr="004C771B" w:rsidRDefault="00B57A17" w:rsidP="00B57A17">
      <w:r w:rsidRPr="004C771B">
        <w:t xml:space="preserve">Applied Public Policy Research Institute for Study and Evaluation (APPRISE), </w:t>
      </w:r>
      <w:r w:rsidR="00D15433" w:rsidRPr="004C771B">
        <w:t>October 2006</w:t>
      </w:r>
      <w:r w:rsidR="00D15433">
        <w:t>,</w:t>
      </w:r>
      <w:r w:rsidR="00D15433" w:rsidRPr="004C771B">
        <w:t xml:space="preserve"> </w:t>
      </w:r>
      <w:hyperlink r:id="rId16" w:history="1">
        <w:r w:rsidRPr="009645B4">
          <w:rPr>
            <w:rStyle w:val="Hyperlink"/>
            <w:i/>
          </w:rPr>
          <w:t xml:space="preserve">PECO Energy Customer Assistance Program for Customers Below 50 </w:t>
        </w:r>
        <w:proofErr w:type="spellStart"/>
        <w:r w:rsidRPr="009645B4">
          <w:rPr>
            <w:rStyle w:val="Hyperlink"/>
            <w:i/>
          </w:rPr>
          <w:t>Percent</w:t>
        </w:r>
        <w:proofErr w:type="spellEnd"/>
        <w:r w:rsidRPr="009645B4">
          <w:rPr>
            <w:rStyle w:val="Hyperlink"/>
            <w:i/>
          </w:rPr>
          <w:t xml:space="preserve"> of Poverty – Final Evaluation Report</w:t>
        </w:r>
      </w:hyperlink>
      <w:r w:rsidRPr="004C771B">
        <w:t xml:space="preserve">. </w:t>
      </w:r>
    </w:p>
    <w:p w14:paraId="4F6F70EC" w14:textId="48F7388D" w:rsidR="00B57A17" w:rsidRPr="004C771B" w:rsidRDefault="00B57A17" w:rsidP="009D7198">
      <w:pPr>
        <w:ind w:left="851"/>
      </w:pPr>
      <w:r w:rsidRPr="004C771B">
        <w:t xml:space="preserve">This </w:t>
      </w:r>
      <w:r w:rsidR="009D7198" w:rsidRPr="004C771B">
        <w:t xml:space="preserve">report </w:t>
      </w:r>
      <w:r w:rsidR="009D777B" w:rsidRPr="004C771B">
        <w:t>is an evaluation of</w:t>
      </w:r>
      <w:r w:rsidR="00CF5546">
        <w:t xml:space="preserve"> Pennsylvania’s</w:t>
      </w:r>
      <w:r w:rsidRPr="004C771B">
        <w:t xml:space="preserve"> Public Utility Commission’s </w:t>
      </w:r>
      <w:r w:rsidR="009D7198" w:rsidRPr="004C771B">
        <w:t>universal service p</w:t>
      </w:r>
      <w:r w:rsidRPr="004C771B">
        <w:t xml:space="preserve">rogram. </w:t>
      </w:r>
      <w:r w:rsidR="008D38BD" w:rsidRPr="004C771B">
        <w:t>N</w:t>
      </w:r>
      <w:r w:rsidR="0010785B" w:rsidRPr="004C771B">
        <w:t>ot-</w:t>
      </w:r>
      <w:r w:rsidR="009D777B" w:rsidRPr="004C771B">
        <w:t>for</w:t>
      </w:r>
      <w:r w:rsidR="0010785B" w:rsidRPr="004C771B">
        <w:t>-</w:t>
      </w:r>
      <w:r w:rsidR="009D777B" w:rsidRPr="004C771B">
        <w:t>profit agencies are part of the service delivery model</w:t>
      </w:r>
      <w:r w:rsidR="008D38BD" w:rsidRPr="004C771B">
        <w:t xml:space="preserve">. They </w:t>
      </w:r>
      <w:r w:rsidR="009D777B" w:rsidRPr="004C771B">
        <w:t xml:space="preserve">register consumers for access and are </w:t>
      </w:r>
      <w:r w:rsidR="00624A6A" w:rsidRPr="004C771B">
        <w:t>remunerated</w:t>
      </w:r>
      <w:r w:rsidR="009D777B" w:rsidRPr="004C771B">
        <w:t xml:space="preserve"> for their services. These agencies also</w:t>
      </w:r>
      <w:r w:rsidRPr="004C771B">
        <w:t xml:space="preserve"> have limited access to energy company payment databases to provide informed advice and </w:t>
      </w:r>
      <w:r w:rsidR="009D777B" w:rsidRPr="004C771B">
        <w:t xml:space="preserve">ensure </w:t>
      </w:r>
      <w:r w:rsidRPr="004C771B">
        <w:t>seamless registration.</w:t>
      </w:r>
      <w:r w:rsidR="0010785B" w:rsidRPr="004C771B">
        <w:t xml:space="preserve"> The report gives a good insight into a state mandated </w:t>
      </w:r>
      <w:proofErr w:type="spellStart"/>
      <w:r w:rsidR="0010785B" w:rsidRPr="004C771B">
        <w:t>USP</w:t>
      </w:r>
      <w:proofErr w:type="spellEnd"/>
      <w:r w:rsidR="0010785B" w:rsidRPr="004C771B">
        <w:t xml:space="preserve"> program. Note that the </w:t>
      </w:r>
      <w:proofErr w:type="spellStart"/>
      <w:r w:rsidR="0010785B" w:rsidRPr="004C771B">
        <w:t>USP</w:t>
      </w:r>
      <w:proofErr w:type="spellEnd"/>
      <w:r w:rsidR="0010785B" w:rsidRPr="004C771B">
        <w:t xml:space="preserve"> obligation in the US is for both utilities and telecommunications.</w:t>
      </w:r>
    </w:p>
    <w:p w14:paraId="014BDD63" w14:textId="04FE2D59" w:rsidR="009D777B" w:rsidRPr="004C771B" w:rsidRDefault="00B57A17" w:rsidP="00B57A17">
      <w:r w:rsidRPr="004C771B">
        <w:t xml:space="preserve">Australian Bankers Association, 2013, </w:t>
      </w:r>
      <w:hyperlink r:id="rId17" w:history="1">
        <w:r w:rsidRPr="00202F66">
          <w:rPr>
            <w:rStyle w:val="Hyperlink"/>
            <w:i/>
          </w:rPr>
          <w:t>Industry Guidelines:</w:t>
        </w:r>
        <w:r w:rsidRPr="00202F66">
          <w:rPr>
            <w:rStyle w:val="Hyperlink"/>
          </w:rPr>
          <w:t xml:space="preserve"> Promoting understanding about banks’ financial hardship programs</w:t>
        </w:r>
      </w:hyperlink>
      <w:r w:rsidR="00202F66">
        <w:t>.</w:t>
      </w:r>
      <w:r w:rsidRPr="004C771B">
        <w:rPr>
          <w:rStyle w:val="Hyperlink"/>
        </w:rPr>
        <w:t xml:space="preserve"> </w:t>
      </w:r>
      <w:r w:rsidRPr="004C771B">
        <w:t xml:space="preserve"> </w:t>
      </w:r>
    </w:p>
    <w:p w14:paraId="5678D5A9" w14:textId="77777777" w:rsidR="00B57A17" w:rsidRPr="004C771B" w:rsidRDefault="00B57A17" w:rsidP="009D777B">
      <w:pPr>
        <w:ind w:left="851"/>
        <w:rPr>
          <w:lang w:val="en-US"/>
        </w:rPr>
      </w:pPr>
      <w:r w:rsidRPr="004C771B">
        <w:t xml:space="preserve">The </w:t>
      </w:r>
      <w:proofErr w:type="spellStart"/>
      <w:r w:rsidRPr="004C771B">
        <w:t>ABA</w:t>
      </w:r>
      <w:proofErr w:type="spellEnd"/>
      <w:r w:rsidRPr="004C771B">
        <w:t xml:space="preserve"> outlines its members’ new (2013) approach to financial hardship. </w:t>
      </w:r>
      <w:r w:rsidR="00C42BB9" w:rsidRPr="004C771B">
        <w:rPr>
          <w:lang w:val="en-US"/>
        </w:rPr>
        <w:t>The</w:t>
      </w:r>
      <w:r w:rsidRPr="004C771B">
        <w:rPr>
          <w:lang w:val="en-US"/>
        </w:rPr>
        <w:t xml:space="preserve"> aim is to provide guidance to banks on how to meet, and in some cases exceed, existing legal obligations and industry standards. </w:t>
      </w:r>
    </w:p>
    <w:p w14:paraId="13D5F5D7" w14:textId="77777777" w:rsidR="00931C7D" w:rsidRDefault="00B57A17" w:rsidP="00B57A17">
      <w:pPr>
        <w:rPr>
          <w:i/>
          <w:lang w:val="en-US"/>
        </w:rPr>
      </w:pPr>
      <w:r w:rsidRPr="004C771B">
        <w:rPr>
          <w:lang w:val="en-US"/>
        </w:rPr>
        <w:t xml:space="preserve">Australian Council of Social Service, August 2011, </w:t>
      </w:r>
      <w:r w:rsidRPr="004C771B">
        <w:rPr>
          <w:i/>
          <w:lang w:val="en-US"/>
        </w:rPr>
        <w:t xml:space="preserve">Poverty in Australia 2012. </w:t>
      </w:r>
    </w:p>
    <w:p w14:paraId="74A9A529" w14:textId="1244F44D" w:rsidR="00B57A17" w:rsidRPr="00E470C5" w:rsidRDefault="00624A6A" w:rsidP="00E470C5">
      <w:pPr>
        <w:ind w:left="851"/>
      </w:pPr>
      <w:r w:rsidRPr="00E470C5">
        <w:t xml:space="preserve">This report examines </w:t>
      </w:r>
      <w:r w:rsidR="00B57A17" w:rsidRPr="00E470C5">
        <w:t>poverty in Australia according to different indicators. It is useful in understanding the different ways poverty manifests.</w:t>
      </w:r>
    </w:p>
    <w:p w14:paraId="2B32095C" w14:textId="77777777" w:rsidR="00C42BB9" w:rsidRPr="004C771B" w:rsidRDefault="00B57A17" w:rsidP="00B57A17">
      <w:pPr>
        <w:rPr>
          <w:bCs/>
          <w:lang w:val="en-US"/>
        </w:rPr>
      </w:pPr>
      <w:r w:rsidRPr="004C771B">
        <w:rPr>
          <w:lang w:val="en-US"/>
        </w:rPr>
        <w:t xml:space="preserve">Australian Securities &amp; Investment Commission &amp; Consumer Affairs Victoria, May 2009, </w:t>
      </w:r>
      <w:hyperlink r:id="rId18" w:history="1">
        <w:proofErr w:type="gramStart"/>
        <w:r w:rsidRPr="009645B4">
          <w:rPr>
            <w:rStyle w:val="Hyperlink"/>
            <w:i/>
            <w:lang w:val="en-US"/>
          </w:rPr>
          <w:t>Helping</w:t>
        </w:r>
        <w:proofErr w:type="gramEnd"/>
        <w:r w:rsidRPr="009645B4">
          <w:rPr>
            <w:rStyle w:val="Hyperlink"/>
            <w:i/>
            <w:lang w:val="en-US"/>
          </w:rPr>
          <w:t xml:space="preserve"> home borrowers in financial hardship</w:t>
        </w:r>
      </w:hyperlink>
      <w:r w:rsidRPr="004C771B">
        <w:rPr>
          <w:bCs/>
          <w:lang w:val="en-US"/>
        </w:rPr>
        <w:t xml:space="preserve">. </w:t>
      </w:r>
    </w:p>
    <w:p w14:paraId="399DE4D1" w14:textId="7A5CF47A" w:rsidR="00B57A17" w:rsidRPr="004C771B" w:rsidRDefault="00B57A17" w:rsidP="00C42BB9">
      <w:pPr>
        <w:ind w:left="851"/>
        <w:rPr>
          <w:bCs/>
          <w:lang w:val="en-US"/>
        </w:rPr>
      </w:pPr>
      <w:r w:rsidRPr="004C771B">
        <w:rPr>
          <w:bCs/>
          <w:lang w:val="en-US"/>
        </w:rPr>
        <w:t>This report examines the processes and procedures</w:t>
      </w:r>
      <w:r w:rsidR="00931C7D">
        <w:rPr>
          <w:bCs/>
          <w:lang w:val="en-US"/>
        </w:rPr>
        <w:t xml:space="preserve"> that</w:t>
      </w:r>
      <w:r w:rsidRPr="004C771B">
        <w:rPr>
          <w:bCs/>
          <w:lang w:val="en-US"/>
        </w:rPr>
        <w:t xml:space="preserve"> lenders and brokers </w:t>
      </w:r>
      <w:r w:rsidR="00330B1C" w:rsidRPr="004C771B">
        <w:rPr>
          <w:bCs/>
          <w:lang w:val="en-US"/>
        </w:rPr>
        <w:t>implement</w:t>
      </w:r>
      <w:r w:rsidRPr="004C771B">
        <w:rPr>
          <w:bCs/>
          <w:lang w:val="en-US"/>
        </w:rPr>
        <w:t xml:space="preserve"> to deal with borrowers experiencing difficulties in meeting the repayments on their mortgage. </w:t>
      </w:r>
      <w:r w:rsidR="00C42BB9" w:rsidRPr="004C771B">
        <w:rPr>
          <w:bCs/>
          <w:lang w:val="en-US"/>
        </w:rPr>
        <w:t>The report indicates a wide range of variability between programs and includes guidance for improving approaches</w:t>
      </w:r>
      <w:r w:rsidRPr="004C771B">
        <w:rPr>
          <w:bCs/>
          <w:lang w:val="en-US"/>
        </w:rPr>
        <w:t xml:space="preserve">. </w:t>
      </w:r>
    </w:p>
    <w:p w14:paraId="795FE9F5" w14:textId="77777777" w:rsidR="00B57A17" w:rsidRPr="004C771B" w:rsidRDefault="00B57A17" w:rsidP="00B57A17">
      <w:pPr>
        <w:rPr>
          <w:i/>
          <w:lang w:val="en-US"/>
        </w:rPr>
      </w:pPr>
      <w:r w:rsidRPr="004C771B">
        <w:rPr>
          <w:lang w:val="en-US"/>
        </w:rPr>
        <w:t xml:space="preserve">Jennifer </w:t>
      </w:r>
      <w:proofErr w:type="spellStart"/>
      <w:r w:rsidRPr="004C771B">
        <w:rPr>
          <w:lang w:val="en-US"/>
        </w:rPr>
        <w:t>Borrell</w:t>
      </w:r>
      <w:proofErr w:type="spellEnd"/>
      <w:r w:rsidRPr="004C771B">
        <w:rPr>
          <w:lang w:val="en-US"/>
        </w:rPr>
        <w:t xml:space="preserve">, November 2012, Report on </w:t>
      </w:r>
      <w:proofErr w:type="spellStart"/>
      <w:r w:rsidRPr="004C771B">
        <w:rPr>
          <w:lang w:val="en-US"/>
        </w:rPr>
        <w:t>Kildonan’s</w:t>
      </w:r>
      <w:proofErr w:type="spellEnd"/>
      <w:r w:rsidRPr="004C771B">
        <w:rPr>
          <w:lang w:val="en-US"/>
        </w:rPr>
        <w:t xml:space="preserve"> Hardship Forum, </w:t>
      </w:r>
      <w:proofErr w:type="gramStart"/>
      <w:r w:rsidRPr="004C771B">
        <w:rPr>
          <w:i/>
          <w:lang w:val="en-US"/>
        </w:rPr>
        <w:t>Keeping</w:t>
      </w:r>
      <w:proofErr w:type="gramEnd"/>
      <w:r w:rsidRPr="004C771B">
        <w:rPr>
          <w:i/>
          <w:lang w:val="en-US"/>
        </w:rPr>
        <w:t xml:space="preserve"> Ahead of the Game: Responding to Changing Environments. </w:t>
      </w:r>
    </w:p>
    <w:p w14:paraId="40649CBB" w14:textId="00724CA6" w:rsidR="00D1104C" w:rsidRPr="004C771B" w:rsidRDefault="00D1104C" w:rsidP="00D1104C">
      <w:pPr>
        <w:ind w:left="851"/>
      </w:pPr>
      <w:proofErr w:type="spellStart"/>
      <w:r w:rsidRPr="004C771B">
        <w:rPr>
          <w:lang w:val="en-US"/>
        </w:rPr>
        <w:t>Kildonan</w:t>
      </w:r>
      <w:proofErr w:type="spellEnd"/>
      <w:r w:rsidRPr="004C771B">
        <w:rPr>
          <w:lang w:val="en-US"/>
        </w:rPr>
        <w:t xml:space="preserve"> has been invited into a range of businesses to consult on approaches to hardship. This report brings together themes from a 2012 Hardship Forum where many of these companies shared their experiences. </w:t>
      </w:r>
      <w:r w:rsidRPr="004C771B">
        <w:t xml:space="preserve">The approach talks about how important it is to become a ‘learning organisation’ in the context </w:t>
      </w:r>
      <w:r w:rsidR="00624A6A">
        <w:t>of collaborative relationships –</w:t>
      </w:r>
      <w:r w:rsidRPr="004C771B">
        <w:t xml:space="preserve"> this involves having new conversations, information sharing, and collective planning. Another aspect is </w:t>
      </w:r>
      <w:r w:rsidRPr="004C771B">
        <w:lastRenderedPageBreak/>
        <w:t>developing a big enough range of responses for the organisation’s hardship toolkit to deal with the diverse needs of the community being serviced. It also discusses giving the staff enough ‘elbow room’ in their organisational roles and task</w:t>
      </w:r>
      <w:r w:rsidR="00624A6A">
        <w:t>s</w:t>
      </w:r>
      <w:r w:rsidRPr="004C771B">
        <w:t xml:space="preserve"> to adapt their customer responses appropriately and</w:t>
      </w:r>
      <w:r w:rsidR="00624A6A">
        <w:t>,</w:t>
      </w:r>
      <w:r w:rsidRPr="004C771B">
        <w:t xml:space="preserve"> if need be</w:t>
      </w:r>
      <w:r w:rsidR="00624A6A">
        <w:t>,</w:t>
      </w:r>
      <w:r w:rsidRPr="004C771B">
        <w:t xml:space="preserve"> creatively. This latter </w:t>
      </w:r>
      <w:r w:rsidR="003036E1">
        <w:t xml:space="preserve">approach </w:t>
      </w:r>
      <w:r w:rsidRPr="004C771B">
        <w:t xml:space="preserve">was important at all levels of management. Finally, they recognised that it is important and valuable for there to be regular conversations about how to balance </w:t>
      </w:r>
      <w:r w:rsidR="00324FA0">
        <w:t>optimal</w:t>
      </w:r>
      <w:r w:rsidRPr="004C771B">
        <w:t xml:space="preserve"> profit with supporting customers.</w:t>
      </w:r>
    </w:p>
    <w:p w14:paraId="4F39B3A8" w14:textId="0EB2D2A4" w:rsidR="003E6D74" w:rsidRPr="004C771B" w:rsidRDefault="00324FA0" w:rsidP="003E6D74">
      <w:pPr>
        <w:rPr>
          <w:i/>
          <w:lang w:val="en-US"/>
        </w:rPr>
      </w:pPr>
      <w:r>
        <w:rPr>
          <w:lang w:val="en-US"/>
        </w:rPr>
        <w:t xml:space="preserve">Nancy Brockway, </w:t>
      </w:r>
      <w:r w:rsidR="00B57A17" w:rsidRPr="004C771B">
        <w:rPr>
          <w:lang w:val="en-US"/>
        </w:rPr>
        <w:t>Feb</w:t>
      </w:r>
      <w:r>
        <w:rPr>
          <w:lang w:val="en-US"/>
        </w:rPr>
        <w:t>ruary 1998,</w:t>
      </w:r>
      <w:r w:rsidR="009645B4">
        <w:rPr>
          <w:lang w:val="en-US"/>
        </w:rPr>
        <w:t xml:space="preserve"> </w:t>
      </w:r>
      <w:hyperlink r:id="rId19" w:history="1">
        <w:r w:rsidR="00B57A17" w:rsidRPr="009645B4">
          <w:rPr>
            <w:rStyle w:val="Hyperlink"/>
            <w:i/>
            <w:iCs/>
            <w:lang w:val="en-US"/>
          </w:rPr>
          <w:t xml:space="preserve">Statewide Administration of Low-Income Programs </w:t>
        </w:r>
        <w:proofErr w:type="gramStart"/>
        <w:r w:rsidR="00B57A17" w:rsidRPr="009645B4">
          <w:rPr>
            <w:rStyle w:val="Hyperlink"/>
            <w:i/>
            <w:iCs/>
            <w:lang w:val="en-US"/>
          </w:rPr>
          <w:t>Under</w:t>
        </w:r>
        <w:proofErr w:type="gramEnd"/>
        <w:r w:rsidR="00B57A17" w:rsidRPr="009645B4">
          <w:rPr>
            <w:rStyle w:val="Hyperlink"/>
            <w:i/>
            <w:iCs/>
            <w:lang w:val="en-US"/>
          </w:rPr>
          <w:t xml:space="preserve"> Energy Utility Restructur</w:t>
        </w:r>
        <w:r w:rsidR="009645B4" w:rsidRPr="009645B4">
          <w:rPr>
            <w:rStyle w:val="Hyperlink"/>
            <w:i/>
            <w:iCs/>
            <w:lang w:val="en-US"/>
          </w:rPr>
          <w:t>ing: Opportunities and Pitfalls</w:t>
        </w:r>
      </w:hyperlink>
      <w:r w:rsidR="00B57A17" w:rsidRPr="004C771B">
        <w:rPr>
          <w:lang w:val="en-US"/>
        </w:rPr>
        <w:t xml:space="preserve">, National Consumer Law Center. </w:t>
      </w:r>
      <w:r w:rsidR="003E6D74" w:rsidRPr="004C771B">
        <w:rPr>
          <w:lang w:val="en-US"/>
        </w:rPr>
        <w:t xml:space="preserve"> </w:t>
      </w:r>
    </w:p>
    <w:p w14:paraId="73AE0F5E" w14:textId="7A43CAF4" w:rsidR="00B57A17" w:rsidRPr="004C771B" w:rsidRDefault="003E6D74" w:rsidP="00C42BB9">
      <w:pPr>
        <w:ind w:left="851"/>
        <w:rPr>
          <w:i/>
          <w:lang w:val="en-US"/>
        </w:rPr>
      </w:pPr>
      <w:r w:rsidRPr="004C771B">
        <w:rPr>
          <w:lang w:val="en-US"/>
        </w:rPr>
        <w:t>Some</w:t>
      </w:r>
      <w:r w:rsidR="00B57A17" w:rsidRPr="004C771B">
        <w:rPr>
          <w:lang w:val="en-US"/>
        </w:rPr>
        <w:t xml:space="preserve"> </w:t>
      </w:r>
      <w:r w:rsidR="004E1195" w:rsidRPr="004C771B">
        <w:rPr>
          <w:lang w:val="en-US"/>
        </w:rPr>
        <w:t>states in the USA</w:t>
      </w:r>
      <w:r w:rsidR="00B57A17" w:rsidRPr="004C771B">
        <w:rPr>
          <w:lang w:val="en-US"/>
        </w:rPr>
        <w:t xml:space="preserve"> </w:t>
      </w:r>
      <w:r w:rsidRPr="004C771B">
        <w:rPr>
          <w:lang w:val="en-US"/>
        </w:rPr>
        <w:t xml:space="preserve">have </w:t>
      </w:r>
      <w:proofErr w:type="spellStart"/>
      <w:r w:rsidRPr="004C771B">
        <w:rPr>
          <w:lang w:val="en-US"/>
        </w:rPr>
        <w:t>centralis</w:t>
      </w:r>
      <w:r w:rsidR="00B57A17" w:rsidRPr="004C771B">
        <w:rPr>
          <w:lang w:val="en-US"/>
        </w:rPr>
        <w:t>ed</w:t>
      </w:r>
      <w:proofErr w:type="spellEnd"/>
      <w:r w:rsidR="00B57A17" w:rsidRPr="004C771B">
        <w:rPr>
          <w:lang w:val="en-US"/>
        </w:rPr>
        <w:t xml:space="preserve"> the administration of utility low-income/hardship program</w:t>
      </w:r>
      <w:r w:rsidRPr="004C771B">
        <w:rPr>
          <w:lang w:val="en-US"/>
        </w:rPr>
        <w:t>s</w:t>
      </w:r>
      <w:r w:rsidR="00330B1C" w:rsidRPr="004C771B">
        <w:rPr>
          <w:lang w:val="en-US"/>
        </w:rPr>
        <w:t>,</w:t>
      </w:r>
      <w:r w:rsidR="00B57A17" w:rsidRPr="004C771B">
        <w:rPr>
          <w:lang w:val="en-US"/>
        </w:rPr>
        <w:t xml:space="preserve"> </w:t>
      </w:r>
      <w:r w:rsidRPr="004C771B">
        <w:rPr>
          <w:lang w:val="en-US"/>
        </w:rPr>
        <w:t>rather than being managed by individual utilities</w:t>
      </w:r>
      <w:r w:rsidR="00B57A17" w:rsidRPr="004C771B">
        <w:rPr>
          <w:lang w:val="en-US"/>
        </w:rPr>
        <w:t xml:space="preserve">. </w:t>
      </w:r>
      <w:r w:rsidRPr="004C771B">
        <w:rPr>
          <w:lang w:val="en-US"/>
        </w:rPr>
        <w:t xml:space="preserve">This report </w:t>
      </w:r>
      <w:r w:rsidR="00B57A17" w:rsidRPr="004C771B">
        <w:rPr>
          <w:lang w:val="en-US"/>
        </w:rPr>
        <w:t xml:space="preserve">describes the opportunities and pitfalls. The author notes that </w:t>
      </w:r>
      <w:r w:rsidR="004E1195" w:rsidRPr="004C771B">
        <w:rPr>
          <w:lang w:val="en-US"/>
        </w:rPr>
        <w:t xml:space="preserve">a move to statewide programs has coincided in </w:t>
      </w:r>
      <w:r w:rsidR="00B57A17" w:rsidRPr="004C771B">
        <w:rPr>
          <w:lang w:val="en-US"/>
        </w:rPr>
        <w:t xml:space="preserve">many states with regulatory restructuring. </w:t>
      </w:r>
      <w:r w:rsidR="00330B1C" w:rsidRPr="004C771B">
        <w:rPr>
          <w:lang w:val="en-US"/>
        </w:rPr>
        <w:t>U</w:t>
      </w:r>
      <w:r w:rsidR="00B54602" w:rsidRPr="004C771B">
        <w:rPr>
          <w:lang w:val="en-US"/>
        </w:rPr>
        <w:t>tilities are not committed to these programs a</w:t>
      </w:r>
      <w:r w:rsidR="009F2853">
        <w:rPr>
          <w:lang w:val="en-US"/>
        </w:rPr>
        <w:t xml:space="preserve">nd may not run them effectively. The report explains </w:t>
      </w:r>
      <w:r w:rsidR="00B54602" w:rsidRPr="004C771B">
        <w:rPr>
          <w:lang w:val="en-US"/>
        </w:rPr>
        <w:t>that a st</w:t>
      </w:r>
      <w:r w:rsidR="00310520" w:rsidRPr="004C771B">
        <w:rPr>
          <w:lang w:val="en-US"/>
        </w:rPr>
        <w:t>atewide program allows for subsidies to be better targeted</w:t>
      </w:r>
      <w:r w:rsidR="00F50339">
        <w:rPr>
          <w:lang w:val="en-US"/>
        </w:rPr>
        <w:t xml:space="preserve">. </w:t>
      </w:r>
      <w:r w:rsidR="00303883" w:rsidRPr="004C771B">
        <w:rPr>
          <w:lang w:val="en-US"/>
        </w:rPr>
        <w:t xml:space="preserve">Although this is not a recent article, it documents the thinking behind taking hardship programs from a company </w:t>
      </w:r>
      <w:r w:rsidR="00A15A1E" w:rsidRPr="004C771B">
        <w:rPr>
          <w:lang w:val="en-US"/>
        </w:rPr>
        <w:t>administered</w:t>
      </w:r>
      <w:r w:rsidR="00303883" w:rsidRPr="004C771B">
        <w:rPr>
          <w:lang w:val="en-US"/>
        </w:rPr>
        <w:t xml:space="preserve"> level to a state-wide centrally administered level. This is something </w:t>
      </w:r>
      <w:r w:rsidR="00A15A1E" w:rsidRPr="004C771B">
        <w:rPr>
          <w:lang w:val="en-US"/>
        </w:rPr>
        <w:t>novel that</w:t>
      </w:r>
      <w:r w:rsidR="00303883" w:rsidRPr="004C771B">
        <w:rPr>
          <w:lang w:val="en-US"/>
        </w:rPr>
        <w:t xml:space="preserve"> has not been explored to</w:t>
      </w:r>
      <w:r w:rsidR="00624A6A">
        <w:rPr>
          <w:lang w:val="en-US"/>
        </w:rPr>
        <w:t xml:space="preserve"> date in Australia</w:t>
      </w:r>
      <w:r w:rsidR="00303883" w:rsidRPr="004C771B">
        <w:rPr>
          <w:lang w:val="en-US"/>
        </w:rPr>
        <w:t xml:space="preserve">. </w:t>
      </w:r>
    </w:p>
    <w:p w14:paraId="77907318" w14:textId="2961E27E" w:rsidR="00310520" w:rsidRPr="004C771B" w:rsidRDefault="00B57A17" w:rsidP="00B57A17">
      <w:pPr>
        <w:rPr>
          <w:lang w:val="en-US"/>
        </w:rPr>
      </w:pPr>
      <w:proofErr w:type="spellStart"/>
      <w:r w:rsidRPr="004C771B">
        <w:rPr>
          <w:lang w:val="en-US"/>
        </w:rPr>
        <w:t>C</w:t>
      </w:r>
      <w:r w:rsidR="00303883" w:rsidRPr="004C771B">
        <w:rPr>
          <w:lang w:val="en-US"/>
        </w:rPr>
        <w:t>ol</w:t>
      </w:r>
      <w:r w:rsidRPr="004C771B">
        <w:rPr>
          <w:lang w:val="en-US"/>
        </w:rPr>
        <w:t>lton</w:t>
      </w:r>
      <w:proofErr w:type="spellEnd"/>
      <w:r w:rsidRPr="004C771B">
        <w:rPr>
          <w:lang w:val="en-US"/>
        </w:rPr>
        <w:t xml:space="preserve">, Roger D, Sheehan and Colton Public Finance and General Economics, July </w:t>
      </w:r>
      <w:r w:rsidRPr="004D7279">
        <w:rPr>
          <w:lang w:val="en-US"/>
        </w:rPr>
        <w:t>1994,</w:t>
      </w:r>
      <w:r w:rsidR="009645B4">
        <w:rPr>
          <w:lang w:val="en-US"/>
        </w:rPr>
        <w:t xml:space="preserve"> </w:t>
      </w:r>
      <w:hyperlink r:id="rId20" w:history="1">
        <w:r w:rsidRPr="009645B4">
          <w:rPr>
            <w:rStyle w:val="Hyperlink"/>
            <w:i/>
            <w:lang w:val="en-US"/>
          </w:rPr>
          <w:t>Public Utility C</w:t>
        </w:r>
        <w:r w:rsidR="00241FF6" w:rsidRPr="009645B4">
          <w:rPr>
            <w:rStyle w:val="Hyperlink"/>
            <w:i/>
            <w:lang w:val="en-US"/>
          </w:rPr>
          <w:t>redit and Collection Activities</w:t>
        </w:r>
        <w:r w:rsidRPr="009645B4">
          <w:rPr>
            <w:rStyle w:val="Hyperlink"/>
            <w:i/>
            <w:lang w:val="en-US"/>
          </w:rPr>
          <w:t xml:space="preserve"> - Establishing Standards and Applying them to Low-</w:t>
        </w:r>
        <w:r w:rsidR="009645B4" w:rsidRPr="009645B4">
          <w:rPr>
            <w:rStyle w:val="Hyperlink"/>
            <w:i/>
            <w:lang w:val="en-US"/>
          </w:rPr>
          <w:t>Income Utility Programs</w:t>
        </w:r>
        <w:r w:rsidRPr="009645B4">
          <w:rPr>
            <w:rStyle w:val="Hyperlink"/>
            <w:i/>
            <w:lang w:val="en-US"/>
          </w:rPr>
          <w:t>.</w:t>
        </w:r>
      </w:hyperlink>
      <w:r w:rsidRPr="004C771B">
        <w:rPr>
          <w:lang w:val="en-US"/>
        </w:rPr>
        <w:t xml:space="preserve"> </w:t>
      </w:r>
    </w:p>
    <w:p w14:paraId="7B9C59EC" w14:textId="2E278717" w:rsidR="00B57A17" w:rsidRPr="004C771B" w:rsidRDefault="00B57A17" w:rsidP="00310520">
      <w:pPr>
        <w:ind w:left="851"/>
        <w:rPr>
          <w:lang w:val="en-US"/>
        </w:rPr>
      </w:pPr>
      <w:r w:rsidRPr="004C771B">
        <w:rPr>
          <w:lang w:val="en-US"/>
        </w:rPr>
        <w:t>This report es</w:t>
      </w:r>
      <w:r w:rsidR="00310520" w:rsidRPr="004C771B">
        <w:rPr>
          <w:lang w:val="en-US"/>
        </w:rPr>
        <w:t xml:space="preserve">tablishes a framework for </w:t>
      </w:r>
      <w:proofErr w:type="spellStart"/>
      <w:r w:rsidR="00310520" w:rsidRPr="004C771B">
        <w:rPr>
          <w:lang w:val="en-US"/>
        </w:rPr>
        <w:t>analys</w:t>
      </w:r>
      <w:r w:rsidRPr="004C771B">
        <w:rPr>
          <w:lang w:val="en-US"/>
        </w:rPr>
        <w:t>ing</w:t>
      </w:r>
      <w:proofErr w:type="spellEnd"/>
      <w:r w:rsidRPr="004C771B">
        <w:rPr>
          <w:lang w:val="en-US"/>
        </w:rPr>
        <w:t xml:space="preserve"> the cost effectiveness of debt collecti</w:t>
      </w:r>
      <w:r w:rsidR="00310520" w:rsidRPr="004C771B">
        <w:rPr>
          <w:lang w:val="en-US"/>
        </w:rPr>
        <w:t>on in utilities.</w:t>
      </w:r>
      <w:r w:rsidRPr="004C771B">
        <w:rPr>
          <w:lang w:val="en-US"/>
        </w:rPr>
        <w:t xml:space="preserve"> The author </w:t>
      </w:r>
      <w:r w:rsidR="00310520" w:rsidRPr="004C771B">
        <w:rPr>
          <w:lang w:val="en-US"/>
        </w:rPr>
        <w:t>argues</w:t>
      </w:r>
      <w:r w:rsidRPr="004C771B">
        <w:rPr>
          <w:lang w:val="en-US"/>
        </w:rPr>
        <w:t xml:space="preserve"> that failure to inquire </w:t>
      </w:r>
      <w:r w:rsidR="00310520" w:rsidRPr="004C771B">
        <w:rPr>
          <w:lang w:val="en-US"/>
        </w:rPr>
        <w:t xml:space="preserve">as to </w:t>
      </w:r>
      <w:r w:rsidRPr="004C771B">
        <w:rPr>
          <w:lang w:val="en-US"/>
        </w:rPr>
        <w:t xml:space="preserve">why some people do not pay their </w:t>
      </w:r>
      <w:proofErr w:type="gramStart"/>
      <w:r w:rsidRPr="004C771B">
        <w:rPr>
          <w:lang w:val="en-US"/>
        </w:rPr>
        <w:t>bills</w:t>
      </w:r>
      <w:r w:rsidR="00AF084B" w:rsidRPr="004C771B">
        <w:rPr>
          <w:lang w:val="en-US"/>
        </w:rPr>
        <w:t>,</w:t>
      </w:r>
      <w:proofErr w:type="gramEnd"/>
      <w:r w:rsidRPr="004C771B">
        <w:rPr>
          <w:lang w:val="en-US"/>
        </w:rPr>
        <w:t xml:space="preserve"> means that inappropriately severe collection techniques </w:t>
      </w:r>
      <w:r w:rsidR="00310520" w:rsidRPr="004C771B">
        <w:rPr>
          <w:lang w:val="en-US"/>
        </w:rPr>
        <w:t>are</w:t>
      </w:r>
      <w:r w:rsidRPr="004C771B">
        <w:rPr>
          <w:lang w:val="en-US"/>
        </w:rPr>
        <w:t xml:space="preserve"> imposed on </w:t>
      </w:r>
      <w:r w:rsidR="00310520" w:rsidRPr="004C771B">
        <w:rPr>
          <w:lang w:val="en-US"/>
        </w:rPr>
        <w:t>some</w:t>
      </w:r>
      <w:r w:rsidRPr="004C771B">
        <w:rPr>
          <w:lang w:val="en-US"/>
        </w:rPr>
        <w:t xml:space="preserve"> households.</w:t>
      </w:r>
      <w:r w:rsidR="00310520" w:rsidRPr="004C771B">
        <w:rPr>
          <w:lang w:val="en-US"/>
        </w:rPr>
        <w:t xml:space="preserve"> I</w:t>
      </w:r>
      <w:r w:rsidRPr="004C771B">
        <w:rPr>
          <w:lang w:val="en-US"/>
        </w:rPr>
        <w:t xml:space="preserve">nvoluntary disconnection should not be a technique to address temporary inability to pay utility bills. A mismatch between </w:t>
      </w:r>
      <w:r w:rsidR="00AF084B" w:rsidRPr="004C771B">
        <w:rPr>
          <w:lang w:val="en-US"/>
        </w:rPr>
        <w:t>the</w:t>
      </w:r>
      <w:r w:rsidRPr="004C771B">
        <w:rPr>
          <w:lang w:val="en-US"/>
        </w:rPr>
        <w:t xml:space="preserve"> </w:t>
      </w:r>
      <w:r w:rsidR="00846319" w:rsidRPr="004C771B">
        <w:rPr>
          <w:lang w:val="en-US"/>
        </w:rPr>
        <w:t xml:space="preserve">debt </w:t>
      </w:r>
      <w:r w:rsidRPr="004C771B">
        <w:rPr>
          <w:lang w:val="en-US"/>
        </w:rPr>
        <w:t xml:space="preserve">collection method </w:t>
      </w:r>
      <w:r w:rsidR="00AF084B" w:rsidRPr="004C771B">
        <w:rPr>
          <w:lang w:val="en-US"/>
        </w:rPr>
        <w:t>and the type of payment problem,</w:t>
      </w:r>
      <w:r w:rsidRPr="004C771B">
        <w:rPr>
          <w:lang w:val="en-US"/>
        </w:rPr>
        <w:t xml:space="preserve"> potentially leads to less cost effective payment outcomes. The author discusses the statistical foundations behind different collection measures of performance. This article is useful for consumer advocates, industry and regulators </w:t>
      </w:r>
      <w:r w:rsidR="00AF084B" w:rsidRPr="004C771B">
        <w:rPr>
          <w:lang w:val="en-US"/>
        </w:rPr>
        <w:t>as it disc</w:t>
      </w:r>
      <w:r w:rsidR="00F40A57" w:rsidRPr="004C771B">
        <w:rPr>
          <w:lang w:val="en-US"/>
        </w:rPr>
        <w:t xml:space="preserve">usses what measures need to be developed and reported. </w:t>
      </w:r>
    </w:p>
    <w:p w14:paraId="7658F3ED" w14:textId="55F072C6" w:rsidR="00D1104C" w:rsidRPr="004C771B" w:rsidRDefault="00FE7ACC" w:rsidP="00FE7ACC">
      <w:pPr>
        <w:rPr>
          <w:bCs/>
          <w:lang w:val="en-US"/>
        </w:rPr>
      </w:pPr>
      <w:r w:rsidRPr="004C771B">
        <w:rPr>
          <w:lang w:val="en-US"/>
        </w:rPr>
        <w:t>Cole, Allan (</w:t>
      </w:r>
      <w:r w:rsidR="00D1104C" w:rsidRPr="004C771B">
        <w:rPr>
          <w:lang w:val="en-US"/>
        </w:rPr>
        <w:t xml:space="preserve">not </w:t>
      </w:r>
      <w:proofErr w:type="spellStart"/>
      <w:r w:rsidR="00D1104C" w:rsidRPr="004C771B">
        <w:rPr>
          <w:lang w:val="en-US"/>
        </w:rPr>
        <w:t>dated</w:t>
      </w:r>
      <w:proofErr w:type="spellEnd"/>
      <w:r w:rsidRPr="004C771B">
        <w:rPr>
          <w:lang w:val="en-US"/>
        </w:rPr>
        <w:t xml:space="preserve">), </w:t>
      </w:r>
      <w:proofErr w:type="spellStart"/>
      <w:r w:rsidRPr="004C771B">
        <w:rPr>
          <w:lang w:val="en-US"/>
        </w:rPr>
        <w:t>Yarra</w:t>
      </w:r>
      <w:proofErr w:type="spellEnd"/>
      <w:r w:rsidRPr="004C771B">
        <w:rPr>
          <w:lang w:val="en-US"/>
        </w:rPr>
        <w:t xml:space="preserve"> Valley Water, </w:t>
      </w:r>
      <w:r w:rsidRPr="004C771B">
        <w:rPr>
          <w:bCs/>
          <w:i/>
          <w:lang w:val="en-US"/>
        </w:rPr>
        <w:t>Assessing Hardship Issues in Credit &amp; Collec</w:t>
      </w:r>
      <w:r w:rsidR="00241FF6">
        <w:rPr>
          <w:bCs/>
          <w:i/>
          <w:lang w:val="en-US"/>
        </w:rPr>
        <w:t xml:space="preserve">tions </w:t>
      </w:r>
      <w:r w:rsidR="00624A6A">
        <w:rPr>
          <w:bCs/>
          <w:i/>
          <w:lang w:val="en-US"/>
        </w:rPr>
        <w:t>Customer Support Programs</w:t>
      </w:r>
      <w:r w:rsidRPr="004C771B">
        <w:rPr>
          <w:bCs/>
          <w:i/>
          <w:lang w:val="en-US"/>
        </w:rPr>
        <w:t>: Why They Make Good Business &amp; Customer Sense</w:t>
      </w:r>
      <w:r w:rsidRPr="004C771B">
        <w:rPr>
          <w:bCs/>
          <w:lang w:val="en-US"/>
        </w:rPr>
        <w:t xml:space="preserve">. </w:t>
      </w:r>
    </w:p>
    <w:p w14:paraId="0A321416" w14:textId="4607C538" w:rsidR="00FE7ACC" w:rsidRPr="004C771B" w:rsidRDefault="00FE7ACC" w:rsidP="00241FF6">
      <w:pPr>
        <w:ind w:left="720"/>
        <w:rPr>
          <w:lang w:val="en-US"/>
        </w:rPr>
      </w:pPr>
      <w:r w:rsidRPr="004C771B">
        <w:rPr>
          <w:bCs/>
          <w:lang w:val="en-US"/>
        </w:rPr>
        <w:t>This</w:t>
      </w:r>
      <w:r w:rsidRPr="004C771B">
        <w:rPr>
          <w:b/>
          <w:bCs/>
          <w:lang w:val="en-US"/>
        </w:rPr>
        <w:t xml:space="preserve"> </w:t>
      </w:r>
      <w:r w:rsidRPr="004C771B">
        <w:rPr>
          <w:bCs/>
          <w:lang w:val="en-US"/>
        </w:rPr>
        <w:t xml:space="preserve">paper articulates the business case for </w:t>
      </w:r>
      <w:proofErr w:type="spellStart"/>
      <w:r w:rsidRPr="004C771B">
        <w:rPr>
          <w:bCs/>
          <w:lang w:val="en-US"/>
        </w:rPr>
        <w:t>Yarra</w:t>
      </w:r>
      <w:proofErr w:type="spellEnd"/>
      <w:r w:rsidRPr="004C771B">
        <w:rPr>
          <w:bCs/>
          <w:lang w:val="en-US"/>
        </w:rPr>
        <w:t xml:space="preserve"> V</w:t>
      </w:r>
      <w:r w:rsidR="008F0F48" w:rsidRPr="004C771B">
        <w:rPr>
          <w:bCs/>
          <w:lang w:val="en-US"/>
        </w:rPr>
        <w:t xml:space="preserve">alley Water’s hardship approach. It describes the key learning outcomes from the process, what structures and training it put in place, the elements of the customer support, and it </w:t>
      </w:r>
      <w:r w:rsidR="00330B1C" w:rsidRPr="004C771B">
        <w:rPr>
          <w:bCs/>
          <w:lang w:val="en-US"/>
        </w:rPr>
        <w:t xml:space="preserve">outlines </w:t>
      </w:r>
      <w:r w:rsidR="008F0F48" w:rsidRPr="004C771B">
        <w:rPr>
          <w:bCs/>
          <w:lang w:val="en-US"/>
        </w:rPr>
        <w:t>the main benefits from both a customer and the company viewpoint.</w:t>
      </w:r>
    </w:p>
    <w:p w14:paraId="55B88574" w14:textId="77777777" w:rsidR="00241FF6" w:rsidRDefault="00241FF6">
      <w:pPr>
        <w:rPr>
          <w:lang w:val="en-US"/>
        </w:rPr>
      </w:pPr>
      <w:r>
        <w:rPr>
          <w:lang w:val="en-US"/>
        </w:rPr>
        <w:br w:type="page"/>
      </w:r>
    </w:p>
    <w:p w14:paraId="070585FA" w14:textId="0BCE68B5" w:rsidR="00241FF6" w:rsidRPr="00241FF6" w:rsidRDefault="00241FF6" w:rsidP="00241FF6">
      <w:pPr>
        <w:rPr>
          <w:i/>
          <w:iCs/>
          <w:lang w:val="en-AU"/>
        </w:rPr>
      </w:pPr>
      <w:r w:rsidRPr="00241FF6">
        <w:rPr>
          <w:lang w:val="en-AU"/>
        </w:rPr>
        <w:lastRenderedPageBreak/>
        <w:t>Connolly, C and Vaile, D,</w:t>
      </w:r>
      <w:r w:rsidR="00D4462F">
        <w:rPr>
          <w:lang w:val="en-AU"/>
        </w:rPr>
        <w:t xml:space="preserve"> 2012,</w:t>
      </w:r>
      <w:r w:rsidRPr="00241FF6">
        <w:rPr>
          <w:lang w:val="en-AU"/>
        </w:rPr>
        <w:t xml:space="preserve"> </w:t>
      </w:r>
      <w:hyperlink r:id="rId21" w:history="1">
        <w:proofErr w:type="gramStart"/>
        <w:r w:rsidRPr="00241FF6">
          <w:rPr>
            <w:rStyle w:val="Hyperlink"/>
            <w:i/>
            <w:iCs/>
            <w:lang w:val="en-AU"/>
          </w:rPr>
          <w:t>Drowning</w:t>
        </w:r>
        <w:proofErr w:type="gramEnd"/>
        <w:r w:rsidRPr="00241FF6">
          <w:rPr>
            <w:rStyle w:val="Hyperlink"/>
            <w:i/>
            <w:iCs/>
            <w:lang w:val="en-AU"/>
          </w:rPr>
          <w:t xml:space="preserve"> in Codes of Conduct: An analysis of codes of conduct applying to online activity in Australia</w:t>
        </w:r>
      </w:hyperlink>
      <w:r w:rsidRPr="00241FF6">
        <w:rPr>
          <w:i/>
          <w:iCs/>
          <w:lang w:val="en-AU"/>
        </w:rPr>
        <w:t xml:space="preserve">, </w:t>
      </w:r>
      <w:r w:rsidRPr="00241FF6">
        <w:rPr>
          <w:lang w:val="en-AU"/>
        </w:rPr>
        <w:t>Cyberspace Law and Policy Centre,</w:t>
      </w:r>
      <w:r>
        <w:rPr>
          <w:i/>
          <w:iCs/>
          <w:lang w:val="en-AU"/>
        </w:rPr>
        <w:t xml:space="preserve"> </w:t>
      </w:r>
      <w:proofErr w:type="spellStart"/>
      <w:r w:rsidR="00D4462F">
        <w:rPr>
          <w:lang w:val="en-AU"/>
        </w:rPr>
        <w:t>UNSW</w:t>
      </w:r>
      <w:proofErr w:type="spellEnd"/>
      <w:r w:rsidR="00D4462F">
        <w:rPr>
          <w:lang w:val="en-AU"/>
        </w:rPr>
        <w:t>, Sydney</w:t>
      </w:r>
      <w:r w:rsidRPr="00241FF6">
        <w:rPr>
          <w:lang w:val="en-AU"/>
        </w:rPr>
        <w:t>.</w:t>
      </w:r>
    </w:p>
    <w:p w14:paraId="35C7254D" w14:textId="79F16D48" w:rsidR="00B57A17" w:rsidRPr="004C771B" w:rsidRDefault="00B57A17" w:rsidP="00241FF6">
      <w:pPr>
        <w:ind w:left="851"/>
        <w:rPr>
          <w:lang w:val="en-US"/>
        </w:rPr>
      </w:pPr>
      <w:r w:rsidRPr="004C771B">
        <w:rPr>
          <w:lang w:val="en-US"/>
        </w:rPr>
        <w:t xml:space="preserve">This report </w:t>
      </w:r>
      <w:r w:rsidR="00F40A57" w:rsidRPr="004C771B">
        <w:rPr>
          <w:lang w:val="en-US"/>
        </w:rPr>
        <w:t>assesses</w:t>
      </w:r>
      <w:r w:rsidRPr="004C771B">
        <w:rPr>
          <w:lang w:val="en-US"/>
        </w:rPr>
        <w:t xml:space="preserve"> 13 online </w:t>
      </w:r>
      <w:r w:rsidR="00F40A57" w:rsidRPr="004C771B">
        <w:rPr>
          <w:lang w:val="en-US"/>
        </w:rPr>
        <w:t xml:space="preserve">codes of conduct against </w:t>
      </w:r>
      <w:r w:rsidRPr="004C771B">
        <w:rPr>
          <w:lang w:val="en-US"/>
        </w:rPr>
        <w:t xml:space="preserve">best practice criteria. </w:t>
      </w:r>
      <w:r w:rsidR="00F40A57" w:rsidRPr="004C771B">
        <w:rPr>
          <w:lang w:val="en-US"/>
        </w:rPr>
        <w:t>The report</w:t>
      </w:r>
      <w:r w:rsidRPr="004C771B">
        <w:rPr>
          <w:lang w:val="en-US"/>
        </w:rPr>
        <w:t xml:space="preserve"> </w:t>
      </w:r>
      <w:r w:rsidR="009A678E" w:rsidRPr="004C771B">
        <w:rPr>
          <w:lang w:val="en-US"/>
        </w:rPr>
        <w:t>is based on</w:t>
      </w:r>
      <w:r w:rsidRPr="004C771B">
        <w:rPr>
          <w:lang w:val="en-US"/>
        </w:rPr>
        <w:t xml:space="preserve"> four key ‘best practice guides’ for the development of codes of conduct – from </w:t>
      </w:r>
      <w:r w:rsidR="00F40A57" w:rsidRPr="004C771B">
        <w:rPr>
          <w:lang w:val="en-US"/>
        </w:rPr>
        <w:t xml:space="preserve">the </w:t>
      </w:r>
      <w:proofErr w:type="spellStart"/>
      <w:r w:rsidRPr="004C771B">
        <w:rPr>
          <w:lang w:val="en-US"/>
        </w:rPr>
        <w:t>ACC</w:t>
      </w:r>
      <w:r w:rsidR="00F40A57" w:rsidRPr="004C771B">
        <w:rPr>
          <w:lang w:val="en-US"/>
        </w:rPr>
        <w:t>C</w:t>
      </w:r>
      <w:proofErr w:type="spellEnd"/>
      <w:r w:rsidRPr="004C771B">
        <w:rPr>
          <w:lang w:val="en-US"/>
        </w:rPr>
        <w:t xml:space="preserve">, </w:t>
      </w:r>
      <w:proofErr w:type="spellStart"/>
      <w:r w:rsidRPr="004C771B">
        <w:rPr>
          <w:lang w:val="en-US"/>
        </w:rPr>
        <w:t>ACMA</w:t>
      </w:r>
      <w:proofErr w:type="spellEnd"/>
      <w:r w:rsidRPr="004C771B">
        <w:rPr>
          <w:lang w:val="en-US"/>
        </w:rPr>
        <w:t xml:space="preserve">, </w:t>
      </w:r>
      <w:proofErr w:type="spellStart"/>
      <w:r w:rsidRPr="004C771B">
        <w:rPr>
          <w:lang w:val="en-US"/>
        </w:rPr>
        <w:t>ASIC</w:t>
      </w:r>
      <w:proofErr w:type="spellEnd"/>
      <w:r w:rsidRPr="004C771B">
        <w:rPr>
          <w:lang w:val="en-US"/>
        </w:rPr>
        <w:t xml:space="preserve"> </w:t>
      </w:r>
      <w:proofErr w:type="spellStart"/>
      <w:r w:rsidRPr="004C771B">
        <w:rPr>
          <w:lang w:val="en-US"/>
        </w:rPr>
        <w:t>RG</w:t>
      </w:r>
      <w:proofErr w:type="spellEnd"/>
      <w:r w:rsidRPr="004C771B">
        <w:rPr>
          <w:lang w:val="en-US"/>
        </w:rPr>
        <w:t xml:space="preserve"> 183, and </w:t>
      </w:r>
      <w:r w:rsidR="00F40A57" w:rsidRPr="004C771B">
        <w:rPr>
          <w:lang w:val="en-US"/>
        </w:rPr>
        <w:t xml:space="preserve">the </w:t>
      </w:r>
      <w:r w:rsidRPr="004C771B">
        <w:rPr>
          <w:lang w:val="en-US"/>
        </w:rPr>
        <w:t>Office of the Australian Information Commissioner</w:t>
      </w:r>
      <w:r w:rsidR="009A678E" w:rsidRPr="004C771B">
        <w:rPr>
          <w:lang w:val="en-US"/>
        </w:rPr>
        <w:t>.</w:t>
      </w:r>
      <w:r w:rsidRPr="004C771B">
        <w:rPr>
          <w:lang w:val="en-US"/>
        </w:rPr>
        <w:t xml:space="preserve"> </w:t>
      </w:r>
      <w:r w:rsidR="00330B1C" w:rsidRPr="004C771B">
        <w:rPr>
          <w:lang w:val="en-US"/>
        </w:rPr>
        <w:t>Important f</w:t>
      </w:r>
      <w:r w:rsidR="009A678E" w:rsidRPr="004C771B">
        <w:rPr>
          <w:lang w:val="en-US"/>
        </w:rPr>
        <w:t>actors include</w:t>
      </w:r>
      <w:r w:rsidRPr="004C771B">
        <w:rPr>
          <w:lang w:val="en-US"/>
        </w:rPr>
        <w:t xml:space="preserve"> the importance of independent code monitoring, consumer representation in developing codes and code promotion/public awareness</w:t>
      </w:r>
      <w:r w:rsidR="009A678E" w:rsidRPr="004C771B">
        <w:rPr>
          <w:lang w:val="en-US"/>
        </w:rPr>
        <w:t xml:space="preserve">. The research found that all of the online codes had low levels of compliance with best practice. </w:t>
      </w:r>
      <w:r w:rsidR="00AA48EB" w:rsidRPr="004C771B">
        <w:rPr>
          <w:lang w:val="en-US"/>
        </w:rPr>
        <w:t>One finding is that there was</w:t>
      </w:r>
      <w:r w:rsidRPr="004C771B">
        <w:rPr>
          <w:lang w:val="en-US"/>
        </w:rPr>
        <w:t xml:space="preserve"> a focus on scheme design for the convenience of industry instead of consumers.</w:t>
      </w:r>
    </w:p>
    <w:p w14:paraId="33EECEF8" w14:textId="77777777" w:rsidR="00B57A17" w:rsidRPr="004C771B" w:rsidRDefault="00B57A17" w:rsidP="00B57A17">
      <w:pPr>
        <w:rPr>
          <w:i/>
          <w:lang w:val="en-US"/>
        </w:rPr>
      </w:pPr>
      <w:r w:rsidRPr="004C771B">
        <w:rPr>
          <w:lang w:val="en-US"/>
        </w:rPr>
        <w:t xml:space="preserve">Consumer Action Law Center, June 2012, </w:t>
      </w:r>
      <w:r w:rsidRPr="004C771B">
        <w:rPr>
          <w:i/>
          <w:lang w:val="en-US"/>
        </w:rPr>
        <w:t xml:space="preserve">The Pursuit of the Impossible: Consumer experience with external collection of retail energy debts. </w:t>
      </w:r>
    </w:p>
    <w:p w14:paraId="0A20ABE3" w14:textId="3943B0D4" w:rsidR="00D1104C" w:rsidRPr="004C771B" w:rsidRDefault="00D1104C" w:rsidP="00D1104C">
      <w:pPr>
        <w:ind w:left="851"/>
        <w:rPr>
          <w:lang w:val="en-US"/>
        </w:rPr>
      </w:pPr>
      <w:r w:rsidRPr="004C771B">
        <w:rPr>
          <w:lang w:val="en-US"/>
        </w:rPr>
        <w:t>This report p</w:t>
      </w:r>
      <w:r w:rsidR="00624A6A">
        <w:rPr>
          <w:lang w:val="en-US"/>
        </w:rPr>
        <w:t>rovides a snapshot of consumer</w:t>
      </w:r>
      <w:r w:rsidRPr="004C771B">
        <w:rPr>
          <w:lang w:val="en-US"/>
        </w:rPr>
        <w:t xml:space="preserve"> experience</w:t>
      </w:r>
      <w:r w:rsidR="00624A6A">
        <w:rPr>
          <w:lang w:val="en-US"/>
        </w:rPr>
        <w:t>s with</w:t>
      </w:r>
      <w:r w:rsidRPr="004C771B">
        <w:rPr>
          <w:lang w:val="en-US"/>
        </w:rPr>
        <w:t xml:space="preserve"> debt collection practices in the Victorian retail energy sector. Consumers in hardship have significant exposure to debt collection practices and th</w:t>
      </w:r>
      <w:r w:rsidR="00210547">
        <w:rPr>
          <w:lang w:val="en-US"/>
        </w:rPr>
        <w:t>e recommendations in the report</w:t>
      </w:r>
      <w:r w:rsidRPr="004C771B">
        <w:rPr>
          <w:lang w:val="en-US"/>
        </w:rPr>
        <w:t xml:space="preserve"> are pertinent to companies seeking to implement best practice around vulnerable customers. </w:t>
      </w:r>
      <w:r w:rsidR="00C768DB">
        <w:rPr>
          <w:lang w:val="en-US"/>
        </w:rPr>
        <w:t>One recommendation, for example, is ‘t</w:t>
      </w:r>
      <w:r w:rsidRPr="004C771B">
        <w:rPr>
          <w:lang w:val="en-US"/>
        </w:rPr>
        <w:t>hat energy retailers not refer debts to an external collector where they are aware that the debtor's sole source of income is social security</w:t>
      </w:r>
      <w:r w:rsidR="00624A6A">
        <w:rPr>
          <w:lang w:val="en-US"/>
        </w:rPr>
        <w:t>.</w:t>
      </w:r>
      <w:r w:rsidRPr="004C771B">
        <w:rPr>
          <w:lang w:val="en-US"/>
        </w:rPr>
        <w:t xml:space="preserve">’ The rationale is that pursuing many of these customers will be a hollow exercise, and </w:t>
      </w:r>
      <w:proofErr w:type="spellStart"/>
      <w:r w:rsidRPr="004C771B">
        <w:rPr>
          <w:lang w:val="en-US"/>
        </w:rPr>
        <w:t>CALC</w:t>
      </w:r>
      <w:proofErr w:type="spellEnd"/>
      <w:r w:rsidRPr="004C771B">
        <w:rPr>
          <w:lang w:val="en-US"/>
        </w:rPr>
        <w:t xml:space="preserve"> recom</w:t>
      </w:r>
      <w:r w:rsidR="00624A6A">
        <w:rPr>
          <w:lang w:val="en-US"/>
        </w:rPr>
        <w:t>mends they should be</w:t>
      </w:r>
      <w:r w:rsidRPr="004C771B">
        <w:rPr>
          <w:lang w:val="en-US"/>
        </w:rPr>
        <w:t xml:space="preserve"> managed in-house. </w:t>
      </w:r>
    </w:p>
    <w:p w14:paraId="2D32F0B7" w14:textId="77777777" w:rsidR="00AA48EB" w:rsidRPr="004C771B" w:rsidRDefault="00B57A17" w:rsidP="00B57A17">
      <w:pPr>
        <w:rPr>
          <w:bCs/>
          <w:i/>
          <w:lang w:val="en-US"/>
        </w:rPr>
      </w:pPr>
      <w:r w:rsidRPr="004C771B">
        <w:rPr>
          <w:lang w:val="en-US"/>
        </w:rPr>
        <w:t>Consumer Law Center Victoria, 2006,</w:t>
      </w:r>
      <w:r w:rsidRPr="004C771B">
        <w:rPr>
          <w:bCs/>
          <w:i/>
          <w:lang w:val="en-US"/>
        </w:rPr>
        <w:t xml:space="preserve"> </w:t>
      </w:r>
      <w:proofErr w:type="gramStart"/>
      <w:r w:rsidRPr="004C771B">
        <w:rPr>
          <w:bCs/>
          <w:i/>
          <w:lang w:val="en-US"/>
        </w:rPr>
        <w:t>The</w:t>
      </w:r>
      <w:proofErr w:type="gramEnd"/>
      <w:r w:rsidRPr="004C771B">
        <w:rPr>
          <w:bCs/>
          <w:i/>
          <w:lang w:val="en-US"/>
        </w:rPr>
        <w:t xml:space="preserve"> implementation of residential hardship policies by Victorian water businesses: A research report. </w:t>
      </w:r>
    </w:p>
    <w:p w14:paraId="164973ED" w14:textId="77777777" w:rsidR="00B57A17" w:rsidRPr="004C771B" w:rsidRDefault="00B57A17" w:rsidP="0080471F">
      <w:pPr>
        <w:ind w:left="851"/>
        <w:rPr>
          <w:bCs/>
          <w:lang w:val="en-US"/>
        </w:rPr>
      </w:pPr>
      <w:r w:rsidRPr="004C771B">
        <w:rPr>
          <w:bCs/>
          <w:lang w:val="en-US"/>
        </w:rPr>
        <w:t>This was one of the early consumer reports into hardship policies in the water sector. It was informed largely by consulting with water businesses about their hardship policies and practical implementation. It called for many of the same items as this report, including regulator monitoring of hardship policies and industry reporting, proactive promotions of hardship policies, extensive multi-level training in hardship, and demand management being a primary focus of hardship policies.</w:t>
      </w:r>
    </w:p>
    <w:p w14:paraId="1AF0FD9A" w14:textId="77777777" w:rsidR="006B0370" w:rsidRPr="004C771B" w:rsidRDefault="00B57A17" w:rsidP="00B57A17">
      <w:pPr>
        <w:rPr>
          <w:bCs/>
          <w:lang w:val="en-US"/>
        </w:rPr>
      </w:pPr>
      <w:r w:rsidRPr="004C771B">
        <w:rPr>
          <w:bCs/>
          <w:lang w:val="en-US"/>
        </w:rPr>
        <w:t>Electricity Commission (NZ), 23 February 2009,</w:t>
      </w:r>
      <w:hyperlink r:id="rId22" w:history="1">
        <w:r w:rsidRPr="009645B4">
          <w:rPr>
            <w:rStyle w:val="Hyperlink"/>
            <w:i/>
            <w:lang w:val="en-US"/>
          </w:rPr>
          <w:t xml:space="preserve"> Proposed changes to the Guideline on arrangements to assist low income and vulnerable consumers</w:t>
        </w:r>
      </w:hyperlink>
      <w:r w:rsidRPr="004C771B">
        <w:rPr>
          <w:bCs/>
          <w:lang w:val="en-US"/>
        </w:rPr>
        <w:t xml:space="preserve">. </w:t>
      </w:r>
    </w:p>
    <w:p w14:paraId="1E1894B7" w14:textId="132DC8B6" w:rsidR="00BF1D55" w:rsidRPr="00AD4E9E" w:rsidRDefault="006B0370" w:rsidP="00AD4E9E">
      <w:pPr>
        <w:ind w:left="851"/>
        <w:rPr>
          <w:color w:val="0000FF"/>
          <w:lang w:val="en-US" w:eastAsia="ja-JP"/>
        </w:rPr>
      </w:pPr>
      <w:r w:rsidRPr="004C771B">
        <w:rPr>
          <w:bCs/>
          <w:lang w:val="en-US"/>
        </w:rPr>
        <w:t>This gu</w:t>
      </w:r>
      <w:r w:rsidR="00B57A17" w:rsidRPr="004C771B">
        <w:rPr>
          <w:bCs/>
          <w:lang w:val="en-US"/>
        </w:rPr>
        <w:t xml:space="preserve">ideline </w:t>
      </w:r>
      <w:r w:rsidRPr="004C771B">
        <w:rPr>
          <w:bCs/>
          <w:lang w:val="en-US"/>
        </w:rPr>
        <w:t>outlines the New Zealand Electricity Commission’s expectations</w:t>
      </w:r>
      <w:r w:rsidR="0053418E" w:rsidRPr="004C771B">
        <w:rPr>
          <w:bCs/>
          <w:lang w:val="en-US"/>
        </w:rPr>
        <w:t xml:space="preserve"> for electricity retailers when dealing with non-payment of accounts by low income and vulnerable consumers. The guideline was revised following the death of </w:t>
      </w:r>
      <w:proofErr w:type="spellStart"/>
      <w:r w:rsidR="00BF1D55" w:rsidRPr="004C771B">
        <w:rPr>
          <w:bCs/>
          <w:lang w:val="en-US"/>
        </w:rPr>
        <w:t>Mrs</w:t>
      </w:r>
      <w:proofErr w:type="spellEnd"/>
      <w:r w:rsidR="00BF1D55" w:rsidRPr="004C771B">
        <w:rPr>
          <w:bCs/>
          <w:lang w:val="en-US"/>
        </w:rPr>
        <w:t xml:space="preserve"> </w:t>
      </w:r>
      <w:proofErr w:type="spellStart"/>
      <w:r w:rsidR="00BF1D55" w:rsidRPr="004C771B">
        <w:rPr>
          <w:bCs/>
          <w:lang w:val="en-US"/>
        </w:rPr>
        <w:t>Muliaga</w:t>
      </w:r>
      <w:proofErr w:type="spellEnd"/>
      <w:r w:rsidR="00BF1D55" w:rsidRPr="004C771B">
        <w:rPr>
          <w:bCs/>
          <w:lang w:val="en-US"/>
        </w:rPr>
        <w:t>, who died after her electricity dependent oxygen breathing apparatus stopped working. Mercury Energy visited her house to disconnect due to non-payment. After the contractor spoke to her and disconnected, her son tried to call an ambulance but the phone was disconnected too. The light-handed approach to regulation with voluntary codes and little oversight was clearly inadequate and the company had not followed the guidelines. Subsequent regulatory reporting was introduced, with protocols for disconnection, and the requirement to working with welfare groups.</w:t>
      </w:r>
      <w:r w:rsidR="00BF1D55" w:rsidRPr="004C771B">
        <w:rPr>
          <w:rStyle w:val="FootnoteReference"/>
          <w:color w:val="0000FF"/>
          <w:lang w:val="en-US" w:eastAsia="ja-JP"/>
        </w:rPr>
        <w:t xml:space="preserve"> </w:t>
      </w:r>
    </w:p>
    <w:p w14:paraId="300DF9D6" w14:textId="30B37558" w:rsidR="0053418E" w:rsidRPr="004C771B" w:rsidRDefault="00B57A17" w:rsidP="00B57A17">
      <w:pPr>
        <w:rPr>
          <w:bCs/>
          <w:i/>
          <w:lang w:val="en-US"/>
        </w:rPr>
      </w:pPr>
      <w:r w:rsidRPr="004C771B">
        <w:rPr>
          <w:bCs/>
          <w:lang w:val="en-US"/>
        </w:rPr>
        <w:lastRenderedPageBreak/>
        <w:t>Electricity Commission (NZ), 30 January 2008</w:t>
      </w:r>
      <w:r w:rsidR="00624A6A">
        <w:rPr>
          <w:bCs/>
          <w:i/>
          <w:lang w:val="en-US"/>
        </w:rPr>
        <w:t>,</w:t>
      </w:r>
      <w:r w:rsidRPr="004C771B">
        <w:rPr>
          <w:bCs/>
          <w:i/>
          <w:lang w:val="en-US"/>
        </w:rPr>
        <w:t xml:space="preserve"> </w:t>
      </w:r>
      <w:hyperlink r:id="rId23" w:history="1">
        <w:r w:rsidRPr="004C771B">
          <w:rPr>
            <w:rStyle w:val="Hyperlink"/>
            <w:i/>
            <w:lang w:val="en-US"/>
          </w:rPr>
          <w:t>Retailer social agency protocol</w:t>
        </w:r>
      </w:hyperlink>
      <w:r w:rsidRPr="004C771B">
        <w:rPr>
          <w:bCs/>
          <w:i/>
          <w:lang w:val="en-US"/>
        </w:rPr>
        <w:t xml:space="preserve">. </w:t>
      </w:r>
    </w:p>
    <w:p w14:paraId="233659EA" w14:textId="76EA61CA" w:rsidR="00B57A17" w:rsidRPr="004C771B" w:rsidRDefault="00B57A17" w:rsidP="0053418E">
      <w:pPr>
        <w:ind w:left="851"/>
        <w:rPr>
          <w:b/>
          <w:bCs/>
          <w:i/>
          <w:lang w:val="en-US"/>
        </w:rPr>
      </w:pPr>
      <w:r w:rsidRPr="004C771B">
        <w:rPr>
          <w:bCs/>
          <w:lang w:val="en-US"/>
        </w:rPr>
        <w:t xml:space="preserve">The </w:t>
      </w:r>
      <w:r w:rsidR="0009172B" w:rsidRPr="004C771B">
        <w:rPr>
          <w:bCs/>
          <w:lang w:val="en-US"/>
        </w:rPr>
        <w:t xml:space="preserve">New Zealand </w:t>
      </w:r>
      <w:r w:rsidRPr="004C771B">
        <w:rPr>
          <w:bCs/>
          <w:lang w:val="en-US"/>
        </w:rPr>
        <w:t xml:space="preserve">Electricity Commission </w:t>
      </w:r>
      <w:r w:rsidR="0009172B" w:rsidRPr="004C771B">
        <w:rPr>
          <w:bCs/>
          <w:lang w:val="en-US"/>
        </w:rPr>
        <w:t xml:space="preserve">facilitated the development of a </w:t>
      </w:r>
      <w:r w:rsidRPr="004C771B">
        <w:rPr>
          <w:bCs/>
          <w:lang w:val="en-US"/>
        </w:rPr>
        <w:t>protocol between</w:t>
      </w:r>
      <w:r w:rsidR="0009172B" w:rsidRPr="004C771B">
        <w:rPr>
          <w:bCs/>
          <w:lang w:val="en-US"/>
        </w:rPr>
        <w:t xml:space="preserve"> retailers and social agencies. The protocol complements the guideline described above and focuses on consumers who are medically dependent on electricity.</w:t>
      </w:r>
      <w:r w:rsidRPr="004C771B">
        <w:rPr>
          <w:bCs/>
          <w:lang w:val="en-US"/>
        </w:rPr>
        <w:t xml:space="preserve"> The protocol </w:t>
      </w:r>
      <w:r w:rsidR="00330B1C" w:rsidRPr="004C771B">
        <w:rPr>
          <w:bCs/>
          <w:lang w:val="en-US"/>
        </w:rPr>
        <w:t>outlines</w:t>
      </w:r>
      <w:r w:rsidRPr="004C771B">
        <w:rPr>
          <w:bCs/>
          <w:lang w:val="en-US"/>
        </w:rPr>
        <w:t xml:space="preserve"> </w:t>
      </w:r>
      <w:r w:rsidR="00BB15AA" w:rsidRPr="004C771B">
        <w:rPr>
          <w:bCs/>
          <w:lang w:val="en-US"/>
        </w:rPr>
        <w:t>the expectations of the parties</w:t>
      </w:r>
      <w:r w:rsidRPr="004C771B">
        <w:rPr>
          <w:bCs/>
          <w:lang w:val="en-US"/>
        </w:rPr>
        <w:t xml:space="preserve"> and what actions may be undertaken jointly to assist low-income consumers. The objectives of the protocol are to reduce the number of avoidable disconnections through communication between retailers and social agencies and ensure low-income consumers have access to information and tools to assist them in managing their electricity costs.</w:t>
      </w:r>
    </w:p>
    <w:p w14:paraId="7724314F" w14:textId="40CD535A" w:rsidR="00BB15AA" w:rsidRPr="004C771B" w:rsidRDefault="00B57A17" w:rsidP="00B57A17">
      <w:pPr>
        <w:rPr>
          <w:i/>
          <w:lang w:val="en-US"/>
        </w:rPr>
      </w:pPr>
      <w:proofErr w:type="gramStart"/>
      <w:r w:rsidRPr="004C771B">
        <w:rPr>
          <w:lang w:val="en-US"/>
        </w:rPr>
        <w:t>Energy Supply Association of Austr</w:t>
      </w:r>
      <w:r w:rsidR="00B85B53">
        <w:rPr>
          <w:lang w:val="en-US"/>
        </w:rPr>
        <w:t xml:space="preserve">alia, Deloitte, February 2013, </w:t>
      </w:r>
      <w:r w:rsidRPr="00B85B53">
        <w:rPr>
          <w:i/>
          <w:lang w:val="en-US"/>
        </w:rPr>
        <w:t>Improving energy concessions and har</w:t>
      </w:r>
      <w:r w:rsidR="00B85B53" w:rsidRPr="00B85B53">
        <w:rPr>
          <w:i/>
          <w:lang w:val="en-US"/>
        </w:rPr>
        <w:t>dship payments policies</w:t>
      </w:r>
      <w:r w:rsidRPr="004C771B">
        <w:rPr>
          <w:i/>
          <w:lang w:val="en-US"/>
        </w:rPr>
        <w:t>.</w:t>
      </w:r>
      <w:proofErr w:type="gramEnd"/>
      <w:r w:rsidRPr="004C771B">
        <w:rPr>
          <w:i/>
          <w:lang w:val="en-US"/>
        </w:rPr>
        <w:t xml:space="preserve"> </w:t>
      </w:r>
    </w:p>
    <w:p w14:paraId="42849298" w14:textId="24CD67D0" w:rsidR="00B57A17" w:rsidRPr="004C771B" w:rsidRDefault="00B57A17" w:rsidP="00BB15AA">
      <w:pPr>
        <w:ind w:left="851"/>
        <w:rPr>
          <w:lang w:val="en-US"/>
        </w:rPr>
      </w:pPr>
      <w:r w:rsidRPr="004C771B">
        <w:rPr>
          <w:lang w:val="en-US"/>
        </w:rPr>
        <w:t xml:space="preserve">This recent report </w:t>
      </w:r>
      <w:r w:rsidR="00BB15AA" w:rsidRPr="004C771B">
        <w:rPr>
          <w:lang w:val="en-US"/>
        </w:rPr>
        <w:t>compares</w:t>
      </w:r>
      <w:r w:rsidRPr="004C771B">
        <w:rPr>
          <w:lang w:val="en-US"/>
        </w:rPr>
        <w:t xml:space="preserve"> energy concessions across Australia</w:t>
      </w:r>
      <w:r w:rsidR="00BB15AA" w:rsidRPr="004C771B">
        <w:rPr>
          <w:lang w:val="en-US"/>
        </w:rPr>
        <w:t xml:space="preserve">. The report </w:t>
      </w:r>
      <w:r w:rsidRPr="004C771B">
        <w:rPr>
          <w:lang w:val="en-US"/>
        </w:rPr>
        <w:t>recommends a percentage-based framework instead of lump sum payments</w:t>
      </w:r>
      <w:r w:rsidR="00BB15AA" w:rsidRPr="004C771B">
        <w:rPr>
          <w:lang w:val="en-US"/>
        </w:rPr>
        <w:t xml:space="preserve"> and </w:t>
      </w:r>
      <w:r w:rsidRPr="004C771B">
        <w:rPr>
          <w:lang w:val="en-US"/>
        </w:rPr>
        <w:t>an expansion of eligibility criteria to include Family Tax Benefit</w:t>
      </w:r>
      <w:r w:rsidRPr="00624A6A">
        <w:rPr>
          <w:i/>
          <w:lang w:val="en-US"/>
        </w:rPr>
        <w:t xml:space="preserve"> </w:t>
      </w:r>
      <w:proofErr w:type="gramStart"/>
      <w:r w:rsidRPr="00624A6A">
        <w:rPr>
          <w:i/>
          <w:lang w:val="en-US"/>
        </w:rPr>
        <w:t>A</w:t>
      </w:r>
      <w:proofErr w:type="gramEnd"/>
      <w:r w:rsidRPr="004C771B">
        <w:rPr>
          <w:lang w:val="en-US"/>
        </w:rPr>
        <w:t xml:space="preserve"> recipients to meet the need of vulnerable larger families who currently fall through the cracks. </w:t>
      </w:r>
      <w:r w:rsidR="00BB15AA" w:rsidRPr="004C771B">
        <w:rPr>
          <w:lang w:val="en-US"/>
        </w:rPr>
        <w:t>The report</w:t>
      </w:r>
      <w:r w:rsidRPr="004C771B">
        <w:rPr>
          <w:lang w:val="en-US"/>
        </w:rPr>
        <w:t xml:space="preserve"> identifies </w:t>
      </w:r>
      <w:r w:rsidR="00BB15AA" w:rsidRPr="004C771B">
        <w:rPr>
          <w:lang w:val="en-US"/>
        </w:rPr>
        <w:t>four</w:t>
      </w:r>
      <w:r w:rsidRPr="004C771B">
        <w:rPr>
          <w:lang w:val="en-US"/>
        </w:rPr>
        <w:t xml:space="preserve"> vulnerable groups who are not currently eligible for assistance: families with young children, single renters with low-income employment, regional customers with higher energy costs who are not connected to the energy network and who are low-income, and new home buyers with low disposable income</w:t>
      </w:r>
      <w:r w:rsidR="005420E2">
        <w:rPr>
          <w:lang w:val="en-US"/>
        </w:rPr>
        <w:t>s</w:t>
      </w:r>
      <w:r w:rsidRPr="004C771B">
        <w:rPr>
          <w:lang w:val="en-US"/>
        </w:rPr>
        <w:t xml:space="preserve"> after paying house costs.</w:t>
      </w:r>
    </w:p>
    <w:p w14:paraId="72F8A476" w14:textId="4C47CADF" w:rsidR="00BB15AA" w:rsidRPr="004C771B" w:rsidRDefault="00B57A17" w:rsidP="00B57A17">
      <w:pPr>
        <w:rPr>
          <w:lang w:val="en-US"/>
        </w:rPr>
      </w:pPr>
      <w:r w:rsidRPr="004C771B">
        <w:rPr>
          <w:lang w:val="en-US"/>
        </w:rPr>
        <w:t>Energy and Water Ombudsman NSW, June 2010</w:t>
      </w:r>
      <w:r w:rsidR="002777C8">
        <w:rPr>
          <w:lang w:val="en-US"/>
        </w:rPr>
        <w:t>,</w:t>
      </w:r>
      <w:r w:rsidR="00B85B53">
        <w:rPr>
          <w:lang w:val="en-US"/>
        </w:rPr>
        <w:t xml:space="preserve"> </w:t>
      </w:r>
      <w:r w:rsidRPr="00B85B53">
        <w:rPr>
          <w:i/>
          <w:lang w:val="en-US"/>
        </w:rPr>
        <w:t>Response to Australian Energy Regulator: Developi</w:t>
      </w:r>
      <w:r w:rsidR="00B85B53" w:rsidRPr="00B85B53">
        <w:rPr>
          <w:i/>
          <w:lang w:val="en-US"/>
        </w:rPr>
        <w:t>ng National Hardship Indicators</w:t>
      </w:r>
      <w:r w:rsidR="005420E2" w:rsidRPr="00B85B53">
        <w:rPr>
          <w:i/>
          <w:lang w:val="en-US"/>
        </w:rPr>
        <w:t>.</w:t>
      </w:r>
    </w:p>
    <w:p w14:paraId="47CA3B80" w14:textId="77777777" w:rsidR="00B57A17" w:rsidRPr="004C771B" w:rsidRDefault="00B57A17" w:rsidP="00BB15AA">
      <w:pPr>
        <w:ind w:left="851"/>
        <w:rPr>
          <w:lang w:val="en-US"/>
        </w:rPr>
      </w:pPr>
      <w:proofErr w:type="spellStart"/>
      <w:r w:rsidRPr="004C771B">
        <w:rPr>
          <w:lang w:val="en-US"/>
        </w:rPr>
        <w:t>EWON</w:t>
      </w:r>
      <w:proofErr w:type="spellEnd"/>
      <w:r w:rsidRPr="004C771B">
        <w:rPr>
          <w:lang w:val="en-US"/>
        </w:rPr>
        <w:t xml:space="preserve"> </w:t>
      </w:r>
      <w:r w:rsidR="001C4AB6" w:rsidRPr="004C771B">
        <w:rPr>
          <w:lang w:val="en-US"/>
        </w:rPr>
        <w:t xml:space="preserve">suggests a number of </w:t>
      </w:r>
      <w:r w:rsidRPr="004C771B">
        <w:rPr>
          <w:lang w:val="en-US"/>
        </w:rPr>
        <w:t>potential national hardship indicators</w:t>
      </w:r>
      <w:r w:rsidR="001C4AB6" w:rsidRPr="004C771B">
        <w:rPr>
          <w:lang w:val="en-US"/>
        </w:rPr>
        <w:t xml:space="preserve"> including the numbers of people </w:t>
      </w:r>
      <w:r w:rsidRPr="004C771B">
        <w:rPr>
          <w:lang w:val="en-US"/>
        </w:rPr>
        <w:t xml:space="preserve">entering into hardship programs, </w:t>
      </w:r>
      <w:r w:rsidR="001C4AB6" w:rsidRPr="004C771B">
        <w:rPr>
          <w:lang w:val="en-US"/>
        </w:rPr>
        <w:t>the number of people in receipt of</w:t>
      </w:r>
      <w:r w:rsidRPr="004C771B">
        <w:rPr>
          <w:lang w:val="en-US"/>
        </w:rPr>
        <w:t xml:space="preserve"> concessions, </w:t>
      </w:r>
      <w:r w:rsidR="001C4AB6" w:rsidRPr="004C771B">
        <w:rPr>
          <w:lang w:val="en-US"/>
        </w:rPr>
        <w:t xml:space="preserve">the number of </w:t>
      </w:r>
      <w:r w:rsidRPr="004C771B">
        <w:rPr>
          <w:lang w:val="en-US"/>
        </w:rPr>
        <w:t xml:space="preserve">third party referrals, </w:t>
      </w:r>
      <w:r w:rsidR="001C4AB6" w:rsidRPr="004C771B">
        <w:rPr>
          <w:lang w:val="en-US"/>
        </w:rPr>
        <w:t xml:space="preserve">the number of </w:t>
      </w:r>
      <w:r w:rsidRPr="004C771B">
        <w:rPr>
          <w:lang w:val="en-US"/>
        </w:rPr>
        <w:t xml:space="preserve">customers denied access, </w:t>
      </w:r>
      <w:r w:rsidR="001C4AB6" w:rsidRPr="004C771B">
        <w:rPr>
          <w:lang w:val="en-US"/>
        </w:rPr>
        <w:t xml:space="preserve">the </w:t>
      </w:r>
      <w:r w:rsidRPr="004C771B">
        <w:rPr>
          <w:lang w:val="en-US"/>
        </w:rPr>
        <w:t xml:space="preserve">average debt on entry/exit from a hardship program, </w:t>
      </w:r>
      <w:r w:rsidR="001C4AB6" w:rsidRPr="004C771B">
        <w:rPr>
          <w:lang w:val="en-US"/>
        </w:rPr>
        <w:t xml:space="preserve">the </w:t>
      </w:r>
      <w:r w:rsidRPr="004C771B">
        <w:rPr>
          <w:lang w:val="en-US"/>
        </w:rPr>
        <w:t>average length of ‘stay’</w:t>
      </w:r>
      <w:r w:rsidR="001C4AB6" w:rsidRPr="004C771B">
        <w:rPr>
          <w:lang w:val="en-US"/>
        </w:rPr>
        <w:t xml:space="preserve"> in a hardship program</w:t>
      </w:r>
      <w:r w:rsidRPr="004C771B">
        <w:rPr>
          <w:lang w:val="en-US"/>
        </w:rPr>
        <w:t xml:space="preserve">, </w:t>
      </w:r>
      <w:r w:rsidR="001C4AB6" w:rsidRPr="004C771B">
        <w:rPr>
          <w:lang w:val="en-US"/>
        </w:rPr>
        <w:t xml:space="preserve">the total number of </w:t>
      </w:r>
      <w:r w:rsidR="00906103" w:rsidRPr="004C771B">
        <w:rPr>
          <w:lang w:val="en-US"/>
        </w:rPr>
        <w:t>people</w:t>
      </w:r>
      <w:r w:rsidRPr="004C771B">
        <w:rPr>
          <w:lang w:val="en-US"/>
        </w:rPr>
        <w:t xml:space="preserve"> exiting successfully or un</w:t>
      </w:r>
      <w:r w:rsidR="001C4AB6" w:rsidRPr="004C771B">
        <w:rPr>
          <w:lang w:val="en-US"/>
        </w:rPr>
        <w:t>successfully for non-compliance</w:t>
      </w:r>
      <w:r w:rsidRPr="004C771B">
        <w:rPr>
          <w:lang w:val="en-US"/>
        </w:rPr>
        <w:t xml:space="preserve"> and prior hardship customers who were disconnected and reconnected.</w:t>
      </w:r>
    </w:p>
    <w:p w14:paraId="70CDCA40" w14:textId="04C76BE2" w:rsidR="00906103" w:rsidRPr="004C771B" w:rsidRDefault="00B57A17" w:rsidP="00B57A17">
      <w:pPr>
        <w:rPr>
          <w:lang w:val="en-US"/>
        </w:rPr>
      </w:pPr>
      <w:r w:rsidRPr="004C771B">
        <w:rPr>
          <w:lang w:val="en-US"/>
        </w:rPr>
        <w:t>Essential Services Commission</w:t>
      </w:r>
      <w:r w:rsidR="002777C8">
        <w:rPr>
          <w:lang w:val="en-US"/>
        </w:rPr>
        <w:t>,</w:t>
      </w:r>
      <w:r w:rsidR="00AD6AE1">
        <w:rPr>
          <w:lang w:val="en-US"/>
        </w:rPr>
        <w:t xml:space="preserve"> 2013, </w:t>
      </w:r>
      <w:hyperlink r:id="rId24" w:history="1">
        <w:proofErr w:type="gramStart"/>
        <w:r w:rsidRPr="00AD6AE1">
          <w:rPr>
            <w:rStyle w:val="Hyperlink"/>
            <w:lang w:val="en-US"/>
          </w:rPr>
          <w:t>Developing</w:t>
        </w:r>
        <w:proofErr w:type="gramEnd"/>
        <w:r w:rsidRPr="00AD6AE1">
          <w:rPr>
            <w:rStyle w:val="Hyperlink"/>
            <w:lang w:val="en-US"/>
          </w:rPr>
          <w:t xml:space="preserve"> an approach to measure the effects of additional h</w:t>
        </w:r>
        <w:r w:rsidR="00AD6AE1" w:rsidRPr="00AD6AE1">
          <w:rPr>
            <w:rStyle w:val="Hyperlink"/>
            <w:lang w:val="en-US"/>
          </w:rPr>
          <w:t>ardship allowances: Staff paper</w:t>
        </w:r>
      </w:hyperlink>
      <w:r w:rsidR="00AD6AE1">
        <w:rPr>
          <w:lang w:val="en-US"/>
        </w:rPr>
        <w:t>.</w:t>
      </w:r>
    </w:p>
    <w:p w14:paraId="21D4F688" w14:textId="6E862AEB" w:rsidR="00B57A17" w:rsidRPr="004C771B" w:rsidRDefault="00B57A17" w:rsidP="00906103">
      <w:pPr>
        <w:ind w:left="851"/>
        <w:rPr>
          <w:lang w:val="en-US"/>
        </w:rPr>
      </w:pPr>
      <w:r w:rsidRPr="004C771B">
        <w:rPr>
          <w:lang w:val="en-US"/>
        </w:rPr>
        <w:t>In its Metropolitan Water Price Review Final Decision 2013,</w:t>
      </w:r>
      <w:r w:rsidR="00906103" w:rsidRPr="004C771B">
        <w:rPr>
          <w:lang w:val="en-US"/>
        </w:rPr>
        <w:t xml:space="preserve"> </w:t>
      </w:r>
      <w:r w:rsidRPr="004C771B">
        <w:rPr>
          <w:lang w:val="en-US"/>
        </w:rPr>
        <w:t>the ESC allowed $5.25 million for metropolitan retailers to assist customers to manage the impact of price increases. The allowances are to go into customer programs with verifiable and reportable outputs. Businesses must re</w:t>
      </w:r>
      <w:r w:rsidR="00906103" w:rsidRPr="004C771B">
        <w:rPr>
          <w:lang w:val="en-US"/>
        </w:rPr>
        <w:t xml:space="preserve">port regularly on this spending. This paper </w:t>
      </w:r>
      <w:r w:rsidRPr="004C771B">
        <w:rPr>
          <w:lang w:val="en-US"/>
        </w:rPr>
        <w:t xml:space="preserve">discusses a possible methodology for measuring the effectiveness of these allowances. The ESC has existing financial hardship reporting criteria for Victorian energy customers. This paper </w:t>
      </w:r>
      <w:r w:rsidR="00AD2836" w:rsidRPr="004C771B">
        <w:rPr>
          <w:lang w:val="en-US"/>
        </w:rPr>
        <w:t>also includes some</w:t>
      </w:r>
      <w:r w:rsidRPr="004C771B">
        <w:rPr>
          <w:lang w:val="en-US"/>
        </w:rPr>
        <w:t xml:space="preserve"> useful appendices </w:t>
      </w:r>
      <w:r w:rsidR="00624A6A">
        <w:rPr>
          <w:lang w:val="en-US"/>
        </w:rPr>
        <w:t>l</w:t>
      </w:r>
      <w:r w:rsidR="00330B1C" w:rsidRPr="004C771B">
        <w:rPr>
          <w:lang w:val="en-US"/>
        </w:rPr>
        <w:t>i</w:t>
      </w:r>
      <w:r w:rsidR="00AD2836" w:rsidRPr="004C771B">
        <w:rPr>
          <w:lang w:val="en-US"/>
        </w:rPr>
        <w:t>sting</w:t>
      </w:r>
      <w:r w:rsidRPr="004C771B">
        <w:rPr>
          <w:lang w:val="en-US"/>
        </w:rPr>
        <w:t xml:space="preserve"> the gas, electricity and water hardship quantitative indicators from the ESC (water), </w:t>
      </w:r>
      <w:proofErr w:type="spellStart"/>
      <w:r w:rsidR="00AD2836" w:rsidRPr="004C771B">
        <w:rPr>
          <w:lang w:val="en-US"/>
        </w:rPr>
        <w:t>IPART</w:t>
      </w:r>
      <w:proofErr w:type="spellEnd"/>
      <w:r w:rsidRPr="004C771B">
        <w:rPr>
          <w:lang w:val="en-US"/>
        </w:rPr>
        <w:t xml:space="preserve"> the NSW regulator, the Office of t</w:t>
      </w:r>
      <w:r w:rsidR="00AD2836" w:rsidRPr="004C771B">
        <w:rPr>
          <w:lang w:val="en-US"/>
        </w:rPr>
        <w:t>he Tasmanian Economic Regulator</w:t>
      </w:r>
      <w:r w:rsidRPr="004C771B">
        <w:rPr>
          <w:lang w:val="en-US"/>
        </w:rPr>
        <w:t xml:space="preserve"> and the Australian Energy Regulator (gas/electricity). Table 1, page 13 has potential quantitative measures from a water industry brainstorming forum which are </w:t>
      </w:r>
      <w:r w:rsidRPr="004C771B">
        <w:rPr>
          <w:lang w:val="en-US"/>
        </w:rPr>
        <w:lastRenderedPageBreak/>
        <w:t>being canvassed in this consultation paper. It is a good starting point for hardship indicators in the telco sector.</w:t>
      </w:r>
    </w:p>
    <w:p w14:paraId="750B05B0" w14:textId="71C8A29F" w:rsidR="00D1104C" w:rsidRPr="004C771B" w:rsidRDefault="00D1104C" w:rsidP="00D1104C">
      <w:pPr>
        <w:rPr>
          <w:lang w:val="en-US"/>
        </w:rPr>
      </w:pPr>
      <w:r w:rsidRPr="004C771B">
        <w:rPr>
          <w:lang w:val="en-US"/>
        </w:rPr>
        <w:t>Essential Services Commission</w:t>
      </w:r>
      <w:r w:rsidR="002777C8">
        <w:rPr>
          <w:lang w:val="en-US"/>
        </w:rPr>
        <w:t>,</w:t>
      </w:r>
      <w:r w:rsidRPr="004C771B">
        <w:rPr>
          <w:lang w:val="en-US"/>
        </w:rPr>
        <w:t xml:space="preserve"> Sept</w:t>
      </w:r>
      <w:r w:rsidR="002777C8">
        <w:rPr>
          <w:lang w:val="en-US"/>
        </w:rPr>
        <w:t>ember</w:t>
      </w:r>
      <w:r w:rsidRPr="004C771B">
        <w:rPr>
          <w:lang w:val="en-US"/>
        </w:rPr>
        <w:t xml:space="preserve"> 2013, </w:t>
      </w:r>
      <w:hyperlink r:id="rId25" w:history="1">
        <w:proofErr w:type="gramStart"/>
        <w:r w:rsidRPr="004C771B">
          <w:rPr>
            <w:rStyle w:val="Hyperlink"/>
            <w:i/>
            <w:iCs/>
            <w:lang w:val="en-US"/>
          </w:rPr>
          <w:t>Developing</w:t>
        </w:r>
        <w:proofErr w:type="gramEnd"/>
        <w:r w:rsidRPr="004C771B">
          <w:rPr>
            <w:rStyle w:val="Hyperlink"/>
            <w:i/>
            <w:iCs/>
            <w:lang w:val="en-US"/>
          </w:rPr>
          <w:t xml:space="preserve"> an approach to measure the effects of additional hardship al</w:t>
        </w:r>
        <w:r w:rsidR="009A01AC">
          <w:rPr>
            <w:rStyle w:val="Hyperlink"/>
            <w:i/>
            <w:iCs/>
            <w:lang w:val="en-US"/>
          </w:rPr>
          <w:t>lowances: S</w:t>
        </w:r>
        <w:r w:rsidRPr="004C771B">
          <w:rPr>
            <w:rStyle w:val="Hyperlink"/>
            <w:i/>
            <w:iCs/>
            <w:lang w:val="en-US"/>
          </w:rPr>
          <w:t>taff paper</w:t>
        </w:r>
      </w:hyperlink>
      <w:r w:rsidR="009A01AC">
        <w:rPr>
          <w:rStyle w:val="Hyperlink"/>
          <w:i/>
          <w:iCs/>
          <w:lang w:val="en-US"/>
        </w:rPr>
        <w:t>.</w:t>
      </w:r>
    </w:p>
    <w:p w14:paraId="42E6180A" w14:textId="39BEDA2C" w:rsidR="00D1104C" w:rsidRPr="004C771B" w:rsidRDefault="00D1104C" w:rsidP="004C771B">
      <w:pPr>
        <w:ind w:left="720"/>
        <w:rPr>
          <w:lang w:val="en-US"/>
        </w:rPr>
      </w:pPr>
      <w:r w:rsidRPr="004C771B">
        <w:rPr>
          <w:lang w:val="en-US"/>
        </w:rPr>
        <w:t>In 2013 the ESC introduced an allowance of</w:t>
      </w:r>
      <w:r w:rsidR="00E61783">
        <w:rPr>
          <w:lang w:val="en-US"/>
        </w:rPr>
        <w:t xml:space="preserve"> over $5milion</w:t>
      </w:r>
      <w:r w:rsidRPr="004C771B">
        <w:rPr>
          <w:lang w:val="en-US"/>
        </w:rPr>
        <w:t xml:space="preserve"> for metropolitan water businesses to put towards measures that would help them assist their customers to manage the impact of price increases. The allowances are to go into customer programs with verifiable and reportable outputs. Businesses are expected to use the additional revenue to enhance existing hardship policies, expand programs, adopt best practice and improve associated infrastructure. The extra revenue is not intended for direct financial customer assistance. This staff paper discusses methodology to measure the effects of the allowances provided to water businesses to spend on their financial assistance and hardship programs for low income and vulnerable customers. It may be useful when identifying measurable indicators of hardship.</w:t>
      </w:r>
    </w:p>
    <w:p w14:paraId="10350F14" w14:textId="60882ACE" w:rsidR="00D1104C" w:rsidRPr="004C771B" w:rsidRDefault="00D1104C" w:rsidP="00D1104C">
      <w:pPr>
        <w:rPr>
          <w:i/>
          <w:lang w:val="en-US"/>
        </w:rPr>
      </w:pPr>
      <w:r w:rsidRPr="004C771B">
        <w:rPr>
          <w:lang w:val="en-US"/>
        </w:rPr>
        <w:t>Essential Services Commission, May 2012,</w:t>
      </w:r>
      <w:r w:rsidRPr="004C771B">
        <w:rPr>
          <w:i/>
          <w:lang w:val="en-US"/>
        </w:rPr>
        <w:t xml:space="preserve"> </w:t>
      </w:r>
      <w:hyperlink r:id="rId26" w:history="1">
        <w:r w:rsidRPr="004C771B">
          <w:rPr>
            <w:rStyle w:val="Hyperlink"/>
            <w:i/>
            <w:lang w:val="en-US"/>
          </w:rPr>
          <w:t>Hardship related guarantee service level review – Final Decision</w:t>
        </w:r>
      </w:hyperlink>
      <w:r w:rsidR="006E049E">
        <w:rPr>
          <w:rStyle w:val="Hyperlink"/>
          <w:i/>
          <w:lang w:val="en-US"/>
        </w:rPr>
        <w:t>.</w:t>
      </w:r>
    </w:p>
    <w:p w14:paraId="5E9024C4" w14:textId="35562452" w:rsidR="00D1104C" w:rsidRPr="004C771B" w:rsidRDefault="00D1104C" w:rsidP="004C771B">
      <w:pPr>
        <w:ind w:left="720"/>
        <w:rPr>
          <w:lang w:val="en-US"/>
        </w:rPr>
      </w:pPr>
      <w:r w:rsidRPr="004C771B">
        <w:rPr>
          <w:lang w:val="en-US"/>
        </w:rPr>
        <w:t xml:space="preserve">This paper is about a regulatory approach to setting corporate hardship standards in the Victorian water industry. Not long ago, the Victorian water industry introduced a regulatory </w:t>
      </w:r>
      <w:proofErr w:type="spellStart"/>
      <w:r w:rsidRPr="004C771B">
        <w:rPr>
          <w:lang w:val="en-US"/>
        </w:rPr>
        <w:t>GSL</w:t>
      </w:r>
      <w:proofErr w:type="spellEnd"/>
      <w:r w:rsidRPr="004C771B">
        <w:rPr>
          <w:lang w:val="en-US"/>
        </w:rPr>
        <w:t xml:space="preserve"> or ‘guaranteed service level’ hardship commitments with a $300 payment for non-compliance. A </w:t>
      </w:r>
      <w:proofErr w:type="spellStart"/>
      <w:r w:rsidRPr="004C771B">
        <w:rPr>
          <w:lang w:val="en-US"/>
        </w:rPr>
        <w:t>GSL</w:t>
      </w:r>
      <w:proofErr w:type="spellEnd"/>
      <w:r w:rsidRPr="004C771B">
        <w:rPr>
          <w:lang w:val="en-US"/>
        </w:rPr>
        <w:t xml:space="preserve"> payment can be made directly to the customer or through a rebate on the customer's bill (the method of payment is at the discretion of the water business). An assessment of whether a business is liable for a </w:t>
      </w:r>
      <w:proofErr w:type="spellStart"/>
      <w:r w:rsidRPr="004C771B">
        <w:rPr>
          <w:lang w:val="en-US"/>
        </w:rPr>
        <w:t>GSL</w:t>
      </w:r>
      <w:proofErr w:type="spellEnd"/>
      <w:r w:rsidRPr="004C771B">
        <w:rPr>
          <w:lang w:val="en-US"/>
        </w:rPr>
        <w:t xml:space="preserve"> payment can be made by the business or, if a business and a customer cannot arrive at a mutually agreed outcome, the Energy</w:t>
      </w:r>
      <w:r w:rsidR="00B62D49">
        <w:rPr>
          <w:lang w:val="en-US"/>
        </w:rPr>
        <w:t xml:space="preserve"> and Water Ombudsman Victoria. </w:t>
      </w:r>
      <w:r w:rsidRPr="004C771B">
        <w:rPr>
          <w:lang w:val="en-US"/>
        </w:rPr>
        <w:t>This paper discusses the boundaries of the standards that underlie the related minimum service l</w:t>
      </w:r>
      <w:r w:rsidR="006E049E">
        <w:rPr>
          <w:lang w:val="en-US"/>
        </w:rPr>
        <w:t>evels for customers in hardship, such as</w:t>
      </w:r>
      <w:r w:rsidRPr="004C771B">
        <w:rPr>
          <w:lang w:val="en-US"/>
        </w:rPr>
        <w:t xml:space="preserve"> the steps a company has to take before disconnecting a customer.</w:t>
      </w:r>
    </w:p>
    <w:p w14:paraId="5ADF5D60" w14:textId="744BA9F7" w:rsidR="00D1104C" w:rsidRPr="004C771B" w:rsidRDefault="00D1104C" w:rsidP="00D1104C">
      <w:pPr>
        <w:rPr>
          <w:i/>
          <w:lang w:val="en-US"/>
        </w:rPr>
      </w:pPr>
      <w:r w:rsidRPr="004C771B">
        <w:rPr>
          <w:lang w:val="en-US"/>
        </w:rPr>
        <w:t>Essential Services Commission, Feb</w:t>
      </w:r>
      <w:r w:rsidR="00223986">
        <w:rPr>
          <w:lang w:val="en-US"/>
        </w:rPr>
        <w:t>ruary</w:t>
      </w:r>
      <w:r w:rsidRPr="004C771B">
        <w:rPr>
          <w:lang w:val="en-US"/>
        </w:rPr>
        <w:t xml:space="preserve"> 2012</w:t>
      </w:r>
      <w:r w:rsidR="005D3644">
        <w:rPr>
          <w:lang w:val="en-US"/>
        </w:rPr>
        <w:t>,</w:t>
      </w:r>
      <w:r w:rsidR="00223986">
        <w:rPr>
          <w:lang w:val="en-US"/>
        </w:rPr>
        <w:t xml:space="preserve"> </w:t>
      </w:r>
      <w:hyperlink r:id="rId27" w:history="1">
        <w:r w:rsidRPr="00223986">
          <w:rPr>
            <w:rStyle w:val="Hyperlink"/>
            <w:lang w:val="en-US"/>
          </w:rPr>
          <w:t>Improving approaches to customer financial hardship: Summary of Business Responses to Commission Request for Information on Hardship Policie</w:t>
        </w:r>
        <w:r w:rsidRPr="00223986">
          <w:rPr>
            <w:rStyle w:val="Hyperlink"/>
            <w:i/>
            <w:lang w:val="en-US"/>
          </w:rPr>
          <w:t xml:space="preserve">s </w:t>
        </w:r>
        <w:r w:rsidR="00223986" w:rsidRPr="00223986">
          <w:rPr>
            <w:rStyle w:val="Hyperlink"/>
            <w:lang w:val="en-US"/>
          </w:rPr>
          <w:t>and Procedures</w:t>
        </w:r>
      </w:hyperlink>
      <w:r w:rsidR="00223986">
        <w:rPr>
          <w:lang w:val="en-US"/>
        </w:rPr>
        <w:t xml:space="preserve"> and </w:t>
      </w:r>
      <w:hyperlink r:id="rId28" w:history="1">
        <w:r w:rsidRPr="00223986">
          <w:rPr>
            <w:rStyle w:val="Hyperlink"/>
            <w:i/>
            <w:lang w:val="en-US"/>
          </w:rPr>
          <w:t>Report Selected Best Practice Approach in Financial Hardship</w:t>
        </w:r>
      </w:hyperlink>
      <w:r w:rsidR="00223986">
        <w:t>.</w:t>
      </w:r>
    </w:p>
    <w:p w14:paraId="460E147A" w14:textId="0B092CA7" w:rsidR="00D1104C" w:rsidRPr="004C771B" w:rsidRDefault="00D1104C" w:rsidP="004C771B">
      <w:pPr>
        <w:ind w:left="720"/>
        <w:rPr>
          <w:lang w:val="en-US"/>
        </w:rPr>
      </w:pPr>
      <w:r w:rsidRPr="004C771B">
        <w:rPr>
          <w:lang w:val="en-US"/>
        </w:rPr>
        <w:t>These are parts of the same report. In 2010, the ESC commissioned external consultants to find out customer perspectives on their experiences with navigating through energy and water company hardship processes. The companies were each asked to provide information on their approaches and processes through answering five questions. Clearly</w:t>
      </w:r>
      <w:r w:rsidR="00B62D49">
        <w:rPr>
          <w:lang w:val="en-US"/>
        </w:rPr>
        <w:t>,</w:t>
      </w:r>
      <w:r w:rsidRPr="004C771B">
        <w:rPr>
          <w:lang w:val="en-US"/>
        </w:rPr>
        <w:t xml:space="preserve"> we are seeing the same issues and inadequacies now that were present at the time of the initial report. There is a pattern of industry having confidence that they are covering off on the essential elements and doing a reasonable job, o</w:t>
      </w:r>
      <w:r w:rsidR="00B62D49">
        <w:rPr>
          <w:lang w:val="en-US"/>
        </w:rPr>
        <w:t xml:space="preserve">r reporting that they are. </w:t>
      </w:r>
      <w:r w:rsidRPr="004C771B">
        <w:rPr>
          <w:lang w:val="en-US"/>
        </w:rPr>
        <w:t xml:space="preserve">Most things look good on paper but it is the delivery and the end impact on consumers </w:t>
      </w:r>
      <w:r w:rsidR="00ED10B7">
        <w:rPr>
          <w:lang w:val="en-US"/>
        </w:rPr>
        <w:t>that</w:t>
      </w:r>
      <w:r w:rsidRPr="004C771B">
        <w:rPr>
          <w:lang w:val="en-US"/>
        </w:rPr>
        <w:t xml:space="preserve"> matters. The initial ESC commissioned report, which involved interviewing consumers, concluded that much was lacking. A lesson is that the consumer view </w:t>
      </w:r>
      <w:r w:rsidRPr="004C771B">
        <w:rPr>
          <w:i/>
          <w:lang w:val="en-US"/>
        </w:rPr>
        <w:t>has</w:t>
      </w:r>
      <w:r w:rsidRPr="004C771B">
        <w:rPr>
          <w:lang w:val="en-US"/>
        </w:rPr>
        <w:t xml:space="preserve"> to be considered to get a full picture of the efficacy of the codes and practices. </w:t>
      </w:r>
    </w:p>
    <w:p w14:paraId="63C7A104" w14:textId="7A02AE59" w:rsidR="00D1104C" w:rsidRPr="004C771B" w:rsidRDefault="00D1104C" w:rsidP="00D1104C">
      <w:pPr>
        <w:rPr>
          <w:lang w:val="en-US"/>
        </w:rPr>
      </w:pPr>
      <w:proofErr w:type="gramStart"/>
      <w:r w:rsidRPr="004C771B">
        <w:rPr>
          <w:lang w:val="en-US"/>
        </w:rPr>
        <w:lastRenderedPageBreak/>
        <w:t xml:space="preserve">Essential Services Commission, August 2007, </w:t>
      </w:r>
      <w:hyperlink r:id="rId29" w:history="1">
        <w:r w:rsidRPr="00223986">
          <w:rPr>
            <w:rStyle w:val="Hyperlink"/>
            <w:i/>
            <w:lang w:val="en-US"/>
          </w:rPr>
          <w:t>Operating Procedure Compensation for Wrongful Disconnection</w:t>
        </w:r>
      </w:hyperlink>
      <w:r w:rsidR="00ED10B7">
        <w:rPr>
          <w:rStyle w:val="Hyperlink"/>
          <w:lang w:val="en-US"/>
        </w:rPr>
        <w:t>.</w:t>
      </w:r>
      <w:proofErr w:type="gramEnd"/>
    </w:p>
    <w:p w14:paraId="7C79081E" w14:textId="4E293B76" w:rsidR="00D1104C" w:rsidRPr="004C771B" w:rsidRDefault="00D1104C" w:rsidP="00D1104C">
      <w:pPr>
        <w:ind w:left="851"/>
        <w:rPr>
          <w:lang w:val="en-US"/>
        </w:rPr>
      </w:pPr>
      <w:r w:rsidRPr="004C771B">
        <w:rPr>
          <w:lang w:val="en-US"/>
        </w:rPr>
        <w:t xml:space="preserve">Victoria has legislation providing for customers to be compensated for disconnections which are unfair, and in breach of the retailer’s Energy Retail Code obligations. It was designed to strengthen compliance with the Code. There is </w:t>
      </w:r>
      <w:r w:rsidR="00ED10B7">
        <w:rPr>
          <w:lang w:val="en-US"/>
        </w:rPr>
        <w:t>repayment dependent on the number of days</w:t>
      </w:r>
      <w:r w:rsidRPr="004C771B">
        <w:rPr>
          <w:lang w:val="en-US"/>
        </w:rPr>
        <w:t xml:space="preserve"> the customer was wrongly disc</w:t>
      </w:r>
      <w:r w:rsidR="00B62D49">
        <w:rPr>
          <w:lang w:val="en-US"/>
        </w:rPr>
        <w:t xml:space="preserve">onnected and without services. </w:t>
      </w:r>
      <w:r w:rsidRPr="004C771B">
        <w:rPr>
          <w:lang w:val="en-US"/>
        </w:rPr>
        <w:t>This paper sets out the procedures companies have to comply with before a disconnection can take place, and covers complaint handling and regulatory reporting. It also specifies the ombudsman’s role in handling complaints and assessing whether wrongful disconnection has take</w:t>
      </w:r>
      <w:r w:rsidR="00B62D49">
        <w:rPr>
          <w:lang w:val="en-US"/>
        </w:rPr>
        <w:t>n</w:t>
      </w:r>
      <w:r w:rsidRPr="004C771B">
        <w:rPr>
          <w:lang w:val="en-US"/>
        </w:rPr>
        <w:t xml:space="preserve"> place. Assessing capacity to pay, and providing evidence that this has been done adequately is one component.</w:t>
      </w:r>
    </w:p>
    <w:p w14:paraId="65FA1929" w14:textId="1F8F0AF6" w:rsidR="00F86F85" w:rsidRPr="004C771B" w:rsidRDefault="00D1104C" w:rsidP="00E360CE">
      <w:pPr>
        <w:ind w:left="851"/>
        <w:rPr>
          <w:lang w:val="en-US"/>
        </w:rPr>
      </w:pPr>
      <w:r w:rsidRPr="004C771B">
        <w:rPr>
          <w:lang w:val="en-US"/>
        </w:rPr>
        <w:t>Other sectors do not have legislation designed to safeguard consumers from improper disconnect</w:t>
      </w:r>
      <w:r w:rsidR="00E360CE">
        <w:rPr>
          <w:lang w:val="en-US"/>
        </w:rPr>
        <w:t>ion, nor</w:t>
      </w:r>
      <w:r w:rsidR="00E45EF8">
        <w:rPr>
          <w:lang w:val="en-US"/>
        </w:rPr>
        <w:t xml:space="preserve"> that</w:t>
      </w:r>
      <w:r w:rsidR="00E360CE">
        <w:rPr>
          <w:lang w:val="en-US"/>
        </w:rPr>
        <w:t xml:space="preserve"> provide compensation. </w:t>
      </w:r>
    </w:p>
    <w:p w14:paraId="46A418FA" w14:textId="691B25F1" w:rsidR="00F86F85" w:rsidRPr="004C771B" w:rsidRDefault="00B57A17" w:rsidP="00B57A17">
      <w:pPr>
        <w:rPr>
          <w:lang w:val="en-US"/>
        </w:rPr>
      </w:pPr>
      <w:r w:rsidRPr="004C771B">
        <w:rPr>
          <w:lang w:val="en-US"/>
        </w:rPr>
        <w:t>Essential Services Commission, Victoria</w:t>
      </w:r>
      <w:r w:rsidR="00E45EF8">
        <w:rPr>
          <w:lang w:val="en-US"/>
        </w:rPr>
        <w:t>,</w:t>
      </w:r>
      <w:r w:rsidRPr="004C771B">
        <w:rPr>
          <w:lang w:val="en-US"/>
        </w:rPr>
        <w:t xml:space="preserve"> 2006, </w:t>
      </w:r>
      <w:hyperlink r:id="rId30" w:history="1">
        <w:r w:rsidRPr="004C771B">
          <w:rPr>
            <w:rStyle w:val="Hyperlink"/>
            <w:i/>
            <w:iCs/>
            <w:lang w:val="en-US"/>
          </w:rPr>
          <w:t>Energy Retailers’ Financial Hardship Policies: Framework Paper</w:t>
        </w:r>
      </w:hyperlink>
      <w:r w:rsidRPr="004C771B">
        <w:rPr>
          <w:lang w:val="en-US"/>
        </w:rPr>
        <w:t xml:space="preserve">. </w:t>
      </w:r>
    </w:p>
    <w:p w14:paraId="205F1BEB" w14:textId="3D10C87E" w:rsidR="00B57A17" w:rsidRPr="004C771B" w:rsidRDefault="00B57A17" w:rsidP="00F86F85">
      <w:pPr>
        <w:ind w:left="851"/>
        <w:rPr>
          <w:lang w:val="en-US"/>
        </w:rPr>
      </w:pPr>
      <w:r w:rsidRPr="004C771B">
        <w:rPr>
          <w:lang w:val="en-US"/>
        </w:rPr>
        <w:t>In 2006 the Commission undertook a review of all 19 Victorian water businesses’ hardship policies. The review assessed whether policies and practices met the requirements of the Customer Service Code,</w:t>
      </w:r>
      <w:r w:rsidR="00CE3F15">
        <w:rPr>
          <w:lang w:val="en-US"/>
        </w:rPr>
        <w:t xml:space="preserve"> and</w:t>
      </w:r>
      <w:r w:rsidRPr="004C771B">
        <w:rPr>
          <w:lang w:val="en-US"/>
        </w:rPr>
        <w:t xml:space="preserve"> were working efficiently and effectively and being appropriately targeted. The review revealed that businesses’ hardship policies varied in comp</w:t>
      </w:r>
      <w:r w:rsidR="00F86F85" w:rsidRPr="004C771B">
        <w:rPr>
          <w:lang w:val="en-US"/>
        </w:rPr>
        <w:t xml:space="preserve">rehensiveness and effectiveness, noting </w:t>
      </w:r>
      <w:r w:rsidRPr="004C771B">
        <w:rPr>
          <w:lang w:val="en-US"/>
        </w:rPr>
        <w:t>that some businesses implemented processes above the minimum requirements. The most effective policies and practices</w:t>
      </w:r>
      <w:r w:rsidR="00F86F85" w:rsidRPr="004C771B">
        <w:rPr>
          <w:lang w:val="en-US"/>
        </w:rPr>
        <w:t xml:space="preserve">, </w:t>
      </w:r>
      <w:r w:rsidRPr="004C771B">
        <w:rPr>
          <w:lang w:val="en-US"/>
        </w:rPr>
        <w:t>(against the Commission’s criteria) were identified as best practice for the industry. The review also resulted in changes to the Customer Service Code.</w:t>
      </w:r>
    </w:p>
    <w:p w14:paraId="7BBECBD4" w14:textId="77777777" w:rsidR="00506CA8" w:rsidRPr="004C771B" w:rsidRDefault="00B57A17" w:rsidP="00B57A17">
      <w:pPr>
        <w:rPr>
          <w:lang w:val="en-US"/>
        </w:rPr>
      </w:pPr>
      <w:proofErr w:type="spellStart"/>
      <w:r w:rsidRPr="004C771B">
        <w:rPr>
          <w:lang w:val="en-US"/>
        </w:rPr>
        <w:t>Footscray</w:t>
      </w:r>
      <w:proofErr w:type="spellEnd"/>
      <w:r w:rsidRPr="004C771B">
        <w:rPr>
          <w:lang w:val="en-US"/>
        </w:rPr>
        <w:t xml:space="preserve"> Community Legal Centre and Federation of Community Legal </w:t>
      </w:r>
      <w:proofErr w:type="spellStart"/>
      <w:r w:rsidRPr="004C771B">
        <w:rPr>
          <w:lang w:val="en-US"/>
        </w:rPr>
        <w:t>Centres</w:t>
      </w:r>
      <w:proofErr w:type="spellEnd"/>
      <w:r w:rsidRPr="004C771B">
        <w:rPr>
          <w:lang w:val="en-US"/>
        </w:rPr>
        <w:t xml:space="preserve"> Victoria, December 2012, </w:t>
      </w:r>
      <w:hyperlink r:id="rId31" w:history="1">
        <w:r w:rsidRPr="00AC2BAC">
          <w:rPr>
            <w:rStyle w:val="Hyperlink"/>
            <w:i/>
            <w:lang w:val="en-US"/>
          </w:rPr>
          <w:t>Council Debt Collection: Alternatives to suing ratepayers in hardship</w:t>
        </w:r>
      </w:hyperlink>
      <w:r w:rsidRPr="004C771B">
        <w:rPr>
          <w:lang w:val="en-US"/>
        </w:rPr>
        <w:t xml:space="preserve">. </w:t>
      </w:r>
    </w:p>
    <w:p w14:paraId="619E6C77" w14:textId="0410C126" w:rsidR="00B57A17" w:rsidRPr="004C771B" w:rsidRDefault="00B57A17" w:rsidP="00506CA8">
      <w:pPr>
        <w:ind w:left="851"/>
        <w:rPr>
          <w:i/>
          <w:lang w:val="en-US"/>
        </w:rPr>
      </w:pPr>
      <w:r w:rsidRPr="004C771B">
        <w:rPr>
          <w:lang w:val="en-US"/>
        </w:rPr>
        <w:t xml:space="preserve">This paper </w:t>
      </w:r>
      <w:r w:rsidR="00506CA8" w:rsidRPr="004C771B">
        <w:rPr>
          <w:lang w:val="en-US"/>
        </w:rPr>
        <w:t xml:space="preserve">assesses the hardship responses of </w:t>
      </w:r>
      <w:r w:rsidRPr="004C771B">
        <w:rPr>
          <w:lang w:val="en-US"/>
        </w:rPr>
        <w:t>municipal council</w:t>
      </w:r>
      <w:r w:rsidR="00506CA8" w:rsidRPr="004C771B">
        <w:rPr>
          <w:lang w:val="en-US"/>
        </w:rPr>
        <w:t xml:space="preserve">s in Victoria. The </w:t>
      </w:r>
      <w:r w:rsidR="00330B1C" w:rsidRPr="004C771B">
        <w:rPr>
          <w:lang w:val="en-US"/>
        </w:rPr>
        <w:t xml:space="preserve">key </w:t>
      </w:r>
      <w:r w:rsidR="00506CA8" w:rsidRPr="004C771B">
        <w:rPr>
          <w:lang w:val="en-US"/>
        </w:rPr>
        <w:t xml:space="preserve">finding is that </w:t>
      </w:r>
      <w:r w:rsidRPr="004C771B">
        <w:rPr>
          <w:lang w:val="en-US"/>
        </w:rPr>
        <w:t xml:space="preserve">some </w:t>
      </w:r>
      <w:proofErr w:type="gramStart"/>
      <w:r w:rsidRPr="004C771B">
        <w:rPr>
          <w:lang w:val="en-US"/>
        </w:rPr>
        <w:t>councils</w:t>
      </w:r>
      <w:proofErr w:type="gramEnd"/>
      <w:r w:rsidR="00506CA8" w:rsidRPr="004C771B">
        <w:rPr>
          <w:lang w:val="en-US"/>
        </w:rPr>
        <w:t xml:space="preserve"> are</w:t>
      </w:r>
      <w:r w:rsidRPr="004C771B">
        <w:rPr>
          <w:lang w:val="en-US"/>
        </w:rPr>
        <w:t xml:space="preserve"> disproportionately</w:t>
      </w:r>
      <w:r w:rsidR="00506CA8" w:rsidRPr="004C771B">
        <w:rPr>
          <w:lang w:val="en-US"/>
        </w:rPr>
        <w:t xml:space="preserve"> using the court system, </w:t>
      </w:r>
      <w:r w:rsidR="00B62D49">
        <w:rPr>
          <w:lang w:val="en-US"/>
        </w:rPr>
        <w:t xml:space="preserve">and </w:t>
      </w:r>
      <w:r w:rsidR="00506CA8" w:rsidRPr="004C771B">
        <w:rPr>
          <w:lang w:val="en-US"/>
        </w:rPr>
        <w:t>moving quickly to sue ratepayers, rather than considering other hardship options. The paper</w:t>
      </w:r>
      <w:r w:rsidRPr="004C771B">
        <w:rPr>
          <w:lang w:val="en-US"/>
        </w:rPr>
        <w:t xml:space="preserve"> </w:t>
      </w:r>
      <w:r w:rsidR="00FE0A99" w:rsidRPr="004C771B">
        <w:rPr>
          <w:lang w:val="en-US"/>
        </w:rPr>
        <w:t>also compares</w:t>
      </w:r>
      <w:r w:rsidRPr="004C771B">
        <w:rPr>
          <w:lang w:val="en-US"/>
        </w:rPr>
        <w:t xml:space="preserve"> council hardship obligations and practices with </w:t>
      </w:r>
      <w:r w:rsidR="00FE0A99" w:rsidRPr="004C771B">
        <w:rPr>
          <w:lang w:val="en-US"/>
        </w:rPr>
        <w:t>those in the</w:t>
      </w:r>
      <w:r w:rsidRPr="004C771B">
        <w:rPr>
          <w:lang w:val="en-US"/>
        </w:rPr>
        <w:t xml:space="preserve"> utility sector, </w:t>
      </w:r>
      <w:r w:rsidR="00FE0A99" w:rsidRPr="004C771B">
        <w:rPr>
          <w:lang w:val="en-US"/>
        </w:rPr>
        <w:t xml:space="preserve">with </w:t>
      </w:r>
      <w:r w:rsidRPr="004C771B">
        <w:rPr>
          <w:lang w:val="en-US"/>
        </w:rPr>
        <w:t xml:space="preserve">councils </w:t>
      </w:r>
      <w:r w:rsidR="00FE0A99" w:rsidRPr="004C771B">
        <w:rPr>
          <w:lang w:val="en-US"/>
        </w:rPr>
        <w:t>coming out</w:t>
      </w:r>
      <w:r w:rsidRPr="004C771B">
        <w:rPr>
          <w:lang w:val="en-US"/>
        </w:rPr>
        <w:t xml:space="preserve"> unfavorably. </w:t>
      </w:r>
      <w:r w:rsidR="00FE0A99" w:rsidRPr="004C771B">
        <w:rPr>
          <w:lang w:val="en-US"/>
        </w:rPr>
        <w:t xml:space="preserve">The paper includes </w:t>
      </w:r>
      <w:r w:rsidRPr="004C771B">
        <w:rPr>
          <w:lang w:val="en-US"/>
        </w:rPr>
        <w:t>a statement of Financial Hardship Principles (Appendix 3) and proposed Local Government Hardship Code of Practice (Appendix 4).</w:t>
      </w:r>
      <w:r w:rsidRPr="004C771B">
        <w:rPr>
          <w:i/>
          <w:lang w:val="en-US"/>
        </w:rPr>
        <w:t xml:space="preserve"> </w:t>
      </w:r>
    </w:p>
    <w:p w14:paraId="15B3F32A" w14:textId="52F5198E" w:rsidR="00FE0A99" w:rsidRPr="004C771B" w:rsidRDefault="00AC2BAC" w:rsidP="00B57A17">
      <w:pPr>
        <w:rPr>
          <w:lang w:val="en-US"/>
        </w:rPr>
      </w:pPr>
      <w:r>
        <w:rPr>
          <w:lang w:val="en-US"/>
        </w:rPr>
        <w:t>Flanagan, K,</w:t>
      </w:r>
      <w:r w:rsidRPr="004C771B">
        <w:rPr>
          <w:i/>
          <w:lang w:val="en-US"/>
        </w:rPr>
        <w:t xml:space="preserve"> </w:t>
      </w:r>
      <w:proofErr w:type="gramStart"/>
      <w:r w:rsidRPr="004C771B">
        <w:rPr>
          <w:lang w:val="en-US"/>
        </w:rPr>
        <w:t xml:space="preserve">Anglicare </w:t>
      </w:r>
      <w:r>
        <w:rPr>
          <w:lang w:val="en-US"/>
        </w:rPr>
        <w:t>,</w:t>
      </w:r>
      <w:r w:rsidR="00B57A17" w:rsidRPr="004C771B">
        <w:rPr>
          <w:lang w:val="en-US"/>
        </w:rPr>
        <w:t>2009</w:t>
      </w:r>
      <w:proofErr w:type="gramEnd"/>
      <w:r w:rsidR="00B57A17" w:rsidRPr="004C771B">
        <w:rPr>
          <w:lang w:val="en-US"/>
        </w:rPr>
        <w:t>,</w:t>
      </w:r>
      <w:r w:rsidR="00B57A17" w:rsidRPr="004C771B">
        <w:rPr>
          <w:i/>
          <w:lang w:val="en-US"/>
        </w:rPr>
        <w:t xml:space="preserve">  </w:t>
      </w:r>
      <w:hyperlink r:id="rId32" w:history="1">
        <w:r w:rsidR="00B57A17" w:rsidRPr="004C771B">
          <w:rPr>
            <w:rStyle w:val="Hyperlink"/>
            <w:i/>
            <w:lang w:val="en-US"/>
          </w:rPr>
          <w:t>Hard Times: Tasmanians in Financial Crisis</w:t>
        </w:r>
      </w:hyperlink>
      <w:r w:rsidR="00B57A17" w:rsidRPr="004C771B">
        <w:rPr>
          <w:lang w:val="en-US"/>
        </w:rPr>
        <w:t xml:space="preserve">. </w:t>
      </w:r>
    </w:p>
    <w:p w14:paraId="3384553F" w14:textId="4311ED1B" w:rsidR="00B57A17" w:rsidRPr="004C771B" w:rsidRDefault="00B57A17" w:rsidP="00FE0A99">
      <w:pPr>
        <w:ind w:left="851"/>
        <w:rPr>
          <w:lang w:val="en-US"/>
        </w:rPr>
      </w:pPr>
      <w:r w:rsidRPr="004C771B">
        <w:rPr>
          <w:lang w:val="en-US"/>
        </w:rPr>
        <w:t xml:space="preserve">This in-depth report explores the causes of financial crisis in Tasmanian households and </w:t>
      </w:r>
      <w:r w:rsidR="00FE0A99" w:rsidRPr="004C771B">
        <w:rPr>
          <w:lang w:val="en-US"/>
        </w:rPr>
        <w:t>the drivers for</w:t>
      </w:r>
      <w:r w:rsidRPr="004C771B">
        <w:rPr>
          <w:lang w:val="en-US"/>
        </w:rPr>
        <w:t xml:space="preserve"> people </w:t>
      </w:r>
      <w:r w:rsidR="00FE0A99" w:rsidRPr="004C771B">
        <w:rPr>
          <w:lang w:val="en-US"/>
        </w:rPr>
        <w:t>seeking</w:t>
      </w:r>
      <w:r w:rsidRPr="004C771B">
        <w:rPr>
          <w:lang w:val="en-US"/>
        </w:rPr>
        <w:t xml:space="preserve"> assistance from emergency relief and financial </w:t>
      </w:r>
      <w:proofErr w:type="spellStart"/>
      <w:r w:rsidRPr="004C771B">
        <w:rPr>
          <w:lang w:val="en-US"/>
        </w:rPr>
        <w:t>counselling</w:t>
      </w:r>
      <w:proofErr w:type="spellEnd"/>
      <w:r w:rsidRPr="004C771B">
        <w:rPr>
          <w:lang w:val="en-US"/>
        </w:rPr>
        <w:t xml:space="preserve"> services. </w:t>
      </w:r>
      <w:r w:rsidR="00FE0A99" w:rsidRPr="004C771B">
        <w:rPr>
          <w:lang w:val="en-US"/>
        </w:rPr>
        <w:t xml:space="preserve">The paper considers </w:t>
      </w:r>
      <w:r w:rsidRPr="004C771B">
        <w:rPr>
          <w:lang w:val="en-US"/>
        </w:rPr>
        <w:t>specific indicators of</w:t>
      </w:r>
      <w:r w:rsidR="001455A5" w:rsidRPr="004C771B">
        <w:rPr>
          <w:lang w:val="en-US"/>
        </w:rPr>
        <w:t xml:space="preserve"> hardship, </w:t>
      </w:r>
      <w:r w:rsidR="009C2C55">
        <w:rPr>
          <w:lang w:val="en-US"/>
        </w:rPr>
        <w:t>the</w:t>
      </w:r>
      <w:r w:rsidR="001455A5" w:rsidRPr="004C771B">
        <w:rPr>
          <w:lang w:val="en-US"/>
        </w:rPr>
        <w:t xml:space="preserve"> bills</w:t>
      </w:r>
      <w:r w:rsidR="009C2C55">
        <w:rPr>
          <w:lang w:val="en-US"/>
        </w:rPr>
        <w:t xml:space="preserve"> which</w:t>
      </w:r>
      <w:r w:rsidR="001455A5" w:rsidRPr="004C771B">
        <w:rPr>
          <w:lang w:val="en-US"/>
        </w:rPr>
        <w:t xml:space="preserve"> present</w:t>
      </w:r>
      <w:r w:rsidRPr="004C771B">
        <w:rPr>
          <w:lang w:val="en-US"/>
        </w:rPr>
        <w:t xml:space="preserve"> t</w:t>
      </w:r>
      <w:r w:rsidR="001455A5" w:rsidRPr="004C771B">
        <w:rPr>
          <w:lang w:val="en-US"/>
        </w:rPr>
        <w:t>he most problems for client</w:t>
      </w:r>
      <w:r w:rsidR="007D2C25">
        <w:rPr>
          <w:lang w:val="en-US"/>
        </w:rPr>
        <w:t>s</w:t>
      </w:r>
      <w:r w:rsidRPr="004C771B">
        <w:rPr>
          <w:lang w:val="en-US"/>
        </w:rPr>
        <w:t xml:space="preserve"> and underlying issues </w:t>
      </w:r>
      <w:r w:rsidR="001455A5" w:rsidRPr="004C771B">
        <w:rPr>
          <w:lang w:val="en-US"/>
        </w:rPr>
        <w:t>contributing to financial crisis.</w:t>
      </w:r>
      <w:r w:rsidRPr="004C771B">
        <w:rPr>
          <w:lang w:val="en-US"/>
        </w:rPr>
        <w:t xml:space="preserve"> The survey </w:t>
      </w:r>
      <w:r w:rsidR="001455A5" w:rsidRPr="004C771B">
        <w:rPr>
          <w:lang w:val="en-US"/>
        </w:rPr>
        <w:t>draws</w:t>
      </w:r>
      <w:r w:rsidRPr="004C771B">
        <w:rPr>
          <w:lang w:val="en-US"/>
        </w:rPr>
        <w:t xml:space="preserve"> attention to the range and complexity of personal is</w:t>
      </w:r>
      <w:r w:rsidR="001455A5" w:rsidRPr="004C771B">
        <w:rPr>
          <w:lang w:val="en-US"/>
        </w:rPr>
        <w:t>sues that underpin</w:t>
      </w:r>
      <w:r w:rsidRPr="004C771B">
        <w:rPr>
          <w:lang w:val="en-US"/>
        </w:rPr>
        <w:t xml:space="preserve"> people’s experience of</w:t>
      </w:r>
      <w:r w:rsidR="001455A5" w:rsidRPr="004C771B">
        <w:rPr>
          <w:lang w:val="en-US"/>
        </w:rPr>
        <w:t xml:space="preserve"> financial crisis, concluding</w:t>
      </w:r>
      <w:r w:rsidRPr="004C771B">
        <w:rPr>
          <w:lang w:val="en-US"/>
        </w:rPr>
        <w:t xml:space="preserve"> that effectively addressing </w:t>
      </w:r>
      <w:r w:rsidR="001455A5" w:rsidRPr="004C771B">
        <w:rPr>
          <w:lang w:val="en-US"/>
        </w:rPr>
        <w:t>these issues would be</w:t>
      </w:r>
      <w:r w:rsidRPr="004C771B">
        <w:rPr>
          <w:lang w:val="en-US"/>
        </w:rPr>
        <w:t xml:space="preserve"> </w:t>
      </w:r>
      <w:r w:rsidRPr="004C771B">
        <w:rPr>
          <w:lang w:val="en-US"/>
        </w:rPr>
        <w:lastRenderedPageBreak/>
        <w:t>beyond the capacity of smaller service provide</w:t>
      </w:r>
      <w:r w:rsidR="001455A5" w:rsidRPr="004C771B">
        <w:rPr>
          <w:lang w:val="en-US"/>
        </w:rPr>
        <w:t>r</w:t>
      </w:r>
      <w:r w:rsidRPr="004C771B">
        <w:rPr>
          <w:lang w:val="en-US"/>
        </w:rPr>
        <w:t xml:space="preserve">s. </w:t>
      </w:r>
      <w:r w:rsidR="001455A5" w:rsidRPr="004C771B">
        <w:rPr>
          <w:lang w:val="en-US"/>
        </w:rPr>
        <w:t>Low</w:t>
      </w:r>
      <w:r w:rsidRPr="004C771B">
        <w:rPr>
          <w:lang w:val="en-US"/>
        </w:rPr>
        <w:t xml:space="preserve"> income was a </w:t>
      </w:r>
      <w:r w:rsidR="001455A5" w:rsidRPr="004C771B">
        <w:rPr>
          <w:lang w:val="en-US"/>
        </w:rPr>
        <w:t xml:space="preserve">key </w:t>
      </w:r>
      <w:r w:rsidRPr="004C771B">
        <w:rPr>
          <w:lang w:val="en-US"/>
        </w:rPr>
        <w:t>driver of financial crisis.</w:t>
      </w:r>
    </w:p>
    <w:p w14:paraId="76C71432" w14:textId="2833B06C" w:rsidR="001455A5" w:rsidRPr="004C771B" w:rsidRDefault="00B57A17" w:rsidP="00B57A17">
      <w:proofErr w:type="gramStart"/>
      <w:r w:rsidRPr="004C771B">
        <w:t xml:space="preserve">GA Research, July 2013, </w:t>
      </w:r>
      <w:r w:rsidRPr="004C771B">
        <w:rPr>
          <w:i/>
        </w:rPr>
        <w:t>Supporting Vulnerable Customers Report</w:t>
      </w:r>
      <w:r w:rsidR="007D2C25">
        <w:t>.</w:t>
      </w:r>
      <w:proofErr w:type="gramEnd"/>
    </w:p>
    <w:p w14:paraId="4E5EB8DA" w14:textId="45995894" w:rsidR="00B57A17" w:rsidRPr="004C771B" w:rsidRDefault="00B57A17" w:rsidP="001455A5">
      <w:pPr>
        <w:ind w:left="851"/>
      </w:pPr>
      <w:r w:rsidRPr="004C771B">
        <w:t xml:space="preserve">This report </w:t>
      </w:r>
      <w:r w:rsidR="00A61FED" w:rsidRPr="004C771B">
        <w:t>was</w:t>
      </w:r>
      <w:r w:rsidRPr="004C771B">
        <w:t xml:space="preserve"> undertaken on behalf of Melbourne’s four water retailers and the Smart Water Fund. </w:t>
      </w:r>
      <w:r w:rsidR="00A61FED" w:rsidRPr="004C771B">
        <w:t>The report finds that</w:t>
      </w:r>
      <w:r w:rsidRPr="004C771B">
        <w:t xml:space="preserve"> those with the greatest risk of financial vulnera</w:t>
      </w:r>
      <w:r w:rsidR="00A61FED" w:rsidRPr="004C771B">
        <w:t>bility are renters followed by those with mortgages. Families</w:t>
      </w:r>
      <w:r w:rsidRPr="004C771B">
        <w:t xml:space="preserve"> with chil</w:t>
      </w:r>
      <w:r w:rsidR="00A61FED" w:rsidRPr="004C771B">
        <w:t>dren and households</w:t>
      </w:r>
      <w:r w:rsidRPr="004C771B">
        <w:t xml:space="preserve"> without a full-time employee </w:t>
      </w:r>
      <w:r w:rsidR="00A61FED" w:rsidRPr="004C771B">
        <w:t>were also at risk</w:t>
      </w:r>
      <w:r w:rsidRPr="004C771B">
        <w:t xml:space="preserve">. Younger customers were the most vulnerable while </w:t>
      </w:r>
      <w:r w:rsidR="00B364E1" w:rsidRPr="004C771B">
        <w:t xml:space="preserve">in </w:t>
      </w:r>
      <w:proofErr w:type="gramStart"/>
      <w:r w:rsidR="00B364E1" w:rsidRPr="004C771B">
        <w:t>contrast,</w:t>
      </w:r>
      <w:proofErr w:type="gramEnd"/>
      <w:r w:rsidR="00B364E1" w:rsidRPr="004C771B">
        <w:t xml:space="preserve"> </w:t>
      </w:r>
      <w:r w:rsidRPr="004C771B">
        <w:t xml:space="preserve">older customers were less likely to experience difficulty with their water bills. </w:t>
      </w:r>
      <w:r w:rsidR="00B364E1" w:rsidRPr="004C771B">
        <w:t>The report</w:t>
      </w:r>
      <w:r w:rsidRPr="004C771B">
        <w:t xml:space="preserve"> presents a model </w:t>
      </w:r>
      <w:r w:rsidR="00B364E1" w:rsidRPr="004C771B">
        <w:t>describing</w:t>
      </w:r>
      <w:r w:rsidRPr="004C771B">
        <w:t xml:space="preserve"> a spectrum of vulnerability and considers payment and support preferences, in addition to the usual demographic indicators of risk. </w:t>
      </w:r>
      <w:r w:rsidR="00B364E1" w:rsidRPr="004C771B">
        <w:t>The report</w:t>
      </w:r>
      <w:r w:rsidRPr="004C771B">
        <w:t xml:space="preserve"> found that customers struggling with water bills had an average of six outstanding bills</w:t>
      </w:r>
      <w:r w:rsidR="00B364E1" w:rsidRPr="004C771B">
        <w:t xml:space="preserve"> with other suppliers</w:t>
      </w:r>
      <w:r w:rsidRPr="004C771B">
        <w:t xml:space="preserve">. Almost 65% of customers </w:t>
      </w:r>
      <w:r w:rsidR="00034963">
        <w:t xml:space="preserve">that were </w:t>
      </w:r>
      <w:r w:rsidRPr="004C771B">
        <w:t xml:space="preserve">having difficulty </w:t>
      </w:r>
      <w:r w:rsidR="00034963">
        <w:t>paying their bill</w:t>
      </w:r>
      <w:r w:rsidR="00B364E1" w:rsidRPr="004C771B">
        <w:t xml:space="preserve"> </w:t>
      </w:r>
      <w:r w:rsidRPr="004C771B">
        <w:t xml:space="preserve">did not know what help </w:t>
      </w:r>
      <w:proofErr w:type="gramStart"/>
      <w:r w:rsidRPr="004C771B">
        <w:t>was</w:t>
      </w:r>
      <w:proofErr w:type="gramEnd"/>
      <w:r w:rsidRPr="004C771B">
        <w:t xml:space="preserve"> available. </w:t>
      </w:r>
      <w:r w:rsidR="00330B1C" w:rsidRPr="004C771B">
        <w:t>Forty-eight</w:t>
      </w:r>
      <w:r w:rsidR="00034963">
        <w:t xml:space="preserve"> per cent</w:t>
      </w:r>
      <w:r w:rsidRPr="004C771B">
        <w:t xml:space="preserve"> </w:t>
      </w:r>
      <w:r w:rsidR="00034963">
        <w:t xml:space="preserve">commented that they </w:t>
      </w:r>
      <w:r w:rsidRPr="004C771B">
        <w:t xml:space="preserve">would appreciate their water company contacting them to offer support with the bill – </w:t>
      </w:r>
      <w:r w:rsidR="00330B1C" w:rsidRPr="004C771B">
        <w:t xml:space="preserve">this </w:t>
      </w:r>
      <w:r w:rsidRPr="004C771B">
        <w:t>reflect</w:t>
      </w:r>
      <w:r w:rsidR="00330B1C" w:rsidRPr="004C771B">
        <w:t>ed</w:t>
      </w:r>
      <w:r w:rsidRPr="004C771B">
        <w:t xml:space="preserve"> openness to proactive contact.</w:t>
      </w:r>
    </w:p>
    <w:p w14:paraId="22E6523F" w14:textId="7FB5E206" w:rsidR="00B364E1" w:rsidRPr="004C771B" w:rsidRDefault="00B57A17" w:rsidP="00B57A17">
      <w:r w:rsidRPr="004C771B">
        <w:t xml:space="preserve">Gross, Ron, </w:t>
      </w:r>
      <w:r w:rsidR="00034963">
        <w:t>1995, revised 2008,</w:t>
      </w:r>
      <w:r w:rsidR="00034963" w:rsidRPr="004C771B">
        <w:t xml:space="preserve"> </w:t>
      </w:r>
      <w:r w:rsidRPr="00ED5A20">
        <w:rPr>
          <w:i/>
        </w:rPr>
        <w:t>Win-Win Alternative for Credit and Collections</w:t>
      </w:r>
      <w:r w:rsidR="00034963">
        <w:t>.</w:t>
      </w:r>
      <w:r w:rsidRPr="004C771B">
        <w:t xml:space="preserve"> </w:t>
      </w:r>
    </w:p>
    <w:p w14:paraId="78EE0690" w14:textId="30FDD8BD" w:rsidR="00B57A17" w:rsidRPr="004C771B" w:rsidRDefault="00B57A17" w:rsidP="00B364E1">
      <w:pPr>
        <w:ind w:left="851"/>
        <w:rPr>
          <w:lang w:val="en-US"/>
        </w:rPr>
      </w:pPr>
      <w:r w:rsidRPr="004C771B">
        <w:t>This ground-breaking</w:t>
      </w:r>
      <w:r w:rsidR="004A3D7E" w:rsidRPr="004C771B">
        <w:t xml:space="preserve"> </w:t>
      </w:r>
      <w:r w:rsidR="00330B1C" w:rsidRPr="004C771B">
        <w:t xml:space="preserve">study </w:t>
      </w:r>
      <w:r w:rsidR="004A3D7E" w:rsidRPr="004C771B">
        <w:t xml:space="preserve">assesses </w:t>
      </w:r>
      <w:r w:rsidRPr="004C771B">
        <w:t xml:space="preserve">non-paying customers in the </w:t>
      </w:r>
      <w:r w:rsidRPr="004C771B">
        <w:rPr>
          <w:lang w:val="en-US"/>
        </w:rPr>
        <w:t>Wisconsin Public S</w:t>
      </w:r>
      <w:r w:rsidR="004A3D7E" w:rsidRPr="004C771B">
        <w:rPr>
          <w:lang w:val="en-US"/>
        </w:rPr>
        <w:t>ervice Company (</w:t>
      </w:r>
      <w:proofErr w:type="spellStart"/>
      <w:r w:rsidR="004A3D7E" w:rsidRPr="004C771B">
        <w:rPr>
          <w:lang w:val="en-US"/>
        </w:rPr>
        <w:t>WPSC</w:t>
      </w:r>
      <w:proofErr w:type="spellEnd"/>
      <w:r w:rsidR="004A3D7E" w:rsidRPr="004C771B">
        <w:rPr>
          <w:lang w:val="en-US"/>
        </w:rPr>
        <w:t xml:space="preserve">), a large </w:t>
      </w:r>
      <w:r w:rsidRPr="004C771B">
        <w:rPr>
          <w:lang w:val="en-US"/>
        </w:rPr>
        <w:t>US gas and electric</w:t>
      </w:r>
      <w:r w:rsidR="00034963">
        <w:rPr>
          <w:lang w:val="en-US"/>
        </w:rPr>
        <w:t>ity</w:t>
      </w:r>
      <w:r w:rsidRPr="004C771B">
        <w:rPr>
          <w:lang w:val="en-US"/>
        </w:rPr>
        <w:t xml:space="preserve"> utility. The research found that only 12% </w:t>
      </w:r>
      <w:r w:rsidR="004A3D7E" w:rsidRPr="004C771B">
        <w:rPr>
          <w:lang w:val="en-US"/>
        </w:rPr>
        <w:t xml:space="preserve">of customers </w:t>
      </w:r>
      <w:r w:rsidRPr="004C771B">
        <w:rPr>
          <w:lang w:val="en-US"/>
        </w:rPr>
        <w:t xml:space="preserve">had the money to pay </w:t>
      </w:r>
      <w:r w:rsidR="00034963">
        <w:rPr>
          <w:lang w:val="en-US"/>
        </w:rPr>
        <w:t xml:space="preserve">their bill </w:t>
      </w:r>
      <w:r w:rsidRPr="004C771B">
        <w:rPr>
          <w:lang w:val="en-US"/>
        </w:rPr>
        <w:t xml:space="preserve">if threatened with disconnection. </w:t>
      </w:r>
      <w:r w:rsidR="000F0C94" w:rsidRPr="004C771B">
        <w:rPr>
          <w:lang w:val="en-US"/>
        </w:rPr>
        <w:t xml:space="preserve">Other categories of non-paying customers were: those that could pay, but were poor at money management; poor and blame themselves; </w:t>
      </w:r>
      <w:r w:rsidR="00B62D49">
        <w:rPr>
          <w:lang w:val="en-US"/>
        </w:rPr>
        <w:t>poor, angry with life;</w:t>
      </w:r>
      <w:r w:rsidRPr="004C771B">
        <w:rPr>
          <w:lang w:val="en-US"/>
        </w:rPr>
        <w:t xml:space="preserve"> and poor but may recover. This </w:t>
      </w:r>
      <w:r w:rsidR="000F0C94" w:rsidRPr="004C771B">
        <w:rPr>
          <w:lang w:val="en-US"/>
        </w:rPr>
        <w:t xml:space="preserve">group, </w:t>
      </w:r>
      <w:r w:rsidRPr="004C771B">
        <w:rPr>
          <w:lang w:val="en-US"/>
        </w:rPr>
        <w:t xml:space="preserve">88% </w:t>
      </w:r>
      <w:r w:rsidR="000F0C94" w:rsidRPr="004C771B">
        <w:rPr>
          <w:lang w:val="en-US"/>
        </w:rPr>
        <w:t xml:space="preserve">in total, </w:t>
      </w:r>
      <w:r w:rsidRPr="004C771B">
        <w:rPr>
          <w:lang w:val="en-US"/>
        </w:rPr>
        <w:t xml:space="preserve">had very limited resources to respond to a disconnection notice. While these categories </w:t>
      </w:r>
      <w:r w:rsidR="000F0C94" w:rsidRPr="004C771B">
        <w:rPr>
          <w:lang w:val="en-US"/>
        </w:rPr>
        <w:t xml:space="preserve">of customers </w:t>
      </w:r>
      <w:r w:rsidRPr="004C771B">
        <w:rPr>
          <w:lang w:val="en-US"/>
        </w:rPr>
        <w:t xml:space="preserve">may change with different demographics, the need exists to understand and segment the non-payers and respond appropriately. The segmentation is based on </w:t>
      </w:r>
      <w:r w:rsidR="000F0C94" w:rsidRPr="004C771B">
        <w:rPr>
          <w:lang w:val="en-US"/>
        </w:rPr>
        <w:t xml:space="preserve">asking: </w:t>
      </w:r>
      <w:r w:rsidRPr="004C771B">
        <w:rPr>
          <w:lang w:val="en-US"/>
        </w:rPr>
        <w:t>‘why they are not paying</w:t>
      </w:r>
      <w:r w:rsidR="00330B1C" w:rsidRPr="004C771B">
        <w:rPr>
          <w:lang w:val="en-US"/>
        </w:rPr>
        <w:t>?</w:t>
      </w:r>
      <w:r w:rsidR="00B62D49">
        <w:rPr>
          <w:lang w:val="en-US"/>
        </w:rPr>
        <w:t>’</w:t>
      </w:r>
      <w:r w:rsidRPr="004C771B">
        <w:rPr>
          <w:lang w:val="en-US"/>
        </w:rPr>
        <w:t xml:space="preserve"> This report was revise</w:t>
      </w:r>
      <w:r w:rsidR="00F023C9">
        <w:rPr>
          <w:lang w:val="en-US"/>
        </w:rPr>
        <w:t xml:space="preserve">d in 2008 with Nancy Brockway. </w:t>
      </w:r>
    </w:p>
    <w:p w14:paraId="5E7EADAF" w14:textId="77777777" w:rsidR="00B57A17" w:rsidRPr="004C771B" w:rsidRDefault="00B57A17" w:rsidP="00B57A17">
      <w:pPr>
        <w:rPr>
          <w:lang w:val="en-US"/>
        </w:rPr>
      </w:pPr>
      <w:r w:rsidRPr="004C771B">
        <w:rPr>
          <w:lang w:val="en-US"/>
        </w:rPr>
        <w:t xml:space="preserve">Hall &amp; Partners Open Mind, May 2011, </w:t>
      </w:r>
      <w:hyperlink r:id="rId33" w:history="1">
        <w:r w:rsidRPr="004C771B">
          <w:rPr>
            <w:rStyle w:val="Hyperlink"/>
            <w:i/>
            <w:lang w:val="en-US"/>
          </w:rPr>
          <w:t>Customers of water and energy providers in financial hardship: a consumer perspective</w:t>
        </w:r>
      </w:hyperlink>
      <w:r w:rsidRPr="004C771B">
        <w:rPr>
          <w:rStyle w:val="Hyperlink"/>
          <w:i/>
          <w:lang w:val="en-US"/>
        </w:rPr>
        <w:t xml:space="preserve">. </w:t>
      </w:r>
    </w:p>
    <w:p w14:paraId="04A9F4E4" w14:textId="4380A476" w:rsidR="00EC1A0A" w:rsidRPr="004C771B" w:rsidRDefault="00EC1A0A" w:rsidP="00EC1A0A">
      <w:pPr>
        <w:ind w:left="851"/>
        <w:rPr>
          <w:lang w:val="en-US"/>
        </w:rPr>
      </w:pPr>
      <w:r w:rsidRPr="004C771B">
        <w:rPr>
          <w:lang w:val="en-US"/>
        </w:rPr>
        <w:t xml:space="preserve">This research was part of the Essential Services Commission’s work on hardship. Consumers were interviewed for this project. The report echoes many of the sentiments that we heard – a sense of </w:t>
      </w:r>
      <w:proofErr w:type="spellStart"/>
      <w:r w:rsidRPr="004C771B">
        <w:rPr>
          <w:lang w:val="en-US"/>
        </w:rPr>
        <w:t>deja</w:t>
      </w:r>
      <w:proofErr w:type="spellEnd"/>
      <w:r w:rsidR="00B62D49">
        <w:rPr>
          <w:lang w:val="en-US"/>
        </w:rPr>
        <w:t xml:space="preserve"> vu. </w:t>
      </w:r>
      <w:r w:rsidR="00557C7B">
        <w:rPr>
          <w:lang w:val="en-US"/>
        </w:rPr>
        <w:t xml:space="preserve">The research findings: </w:t>
      </w:r>
      <w:r w:rsidR="00B62D49">
        <w:rPr>
          <w:lang w:val="en-US"/>
        </w:rPr>
        <w:t>‘</w:t>
      </w:r>
      <w:r w:rsidRPr="004C771B">
        <w:rPr>
          <w:lang w:val="en-US"/>
        </w:rPr>
        <w:t xml:space="preserve">We would </w:t>
      </w:r>
      <w:proofErr w:type="spellStart"/>
      <w:r w:rsidRPr="004C771B">
        <w:rPr>
          <w:lang w:val="en-US"/>
        </w:rPr>
        <w:t>hypothesise</w:t>
      </w:r>
      <w:proofErr w:type="spellEnd"/>
      <w:r w:rsidRPr="004C771B">
        <w:rPr>
          <w:lang w:val="en-US"/>
        </w:rPr>
        <w:t xml:space="preserve"> that uptake of hardship provisions is both de</w:t>
      </w:r>
      <w:r w:rsidR="00B62D49">
        <w:rPr>
          <w:lang w:val="en-US"/>
        </w:rPr>
        <w:t xml:space="preserve">layed and </w:t>
      </w:r>
      <w:proofErr w:type="spellStart"/>
      <w:r w:rsidR="00B62D49">
        <w:rPr>
          <w:lang w:val="en-US"/>
        </w:rPr>
        <w:t>minimised</w:t>
      </w:r>
      <w:proofErr w:type="spellEnd"/>
      <w:r w:rsidR="00B62D49">
        <w:rPr>
          <w:lang w:val="en-US"/>
        </w:rPr>
        <w:t xml:space="preserve"> as a result… C</w:t>
      </w:r>
      <w:r w:rsidRPr="004C771B">
        <w:rPr>
          <w:lang w:val="en-US"/>
        </w:rPr>
        <w:t xml:space="preserve">ustomers are not looking for too personal a relationship with their providers, and certainly not to be </w:t>
      </w:r>
      <w:proofErr w:type="spellStart"/>
      <w:r w:rsidRPr="004C771B">
        <w:rPr>
          <w:lang w:val="en-US"/>
        </w:rPr>
        <w:t>patronised</w:t>
      </w:r>
      <w:proofErr w:type="spellEnd"/>
      <w:r w:rsidRPr="004C771B">
        <w:rPr>
          <w:lang w:val="en-US"/>
        </w:rPr>
        <w:t xml:space="preserve">. They say they want to be treated with the respect they suspect other customers receive, and not as a lesser human being for as a result of being poor, out of work etc. There is a sense that the most vulnerable cases do want a relationship that is </w:t>
      </w:r>
      <w:proofErr w:type="spellStart"/>
      <w:r w:rsidRPr="004C771B">
        <w:rPr>
          <w:lang w:val="en-US"/>
        </w:rPr>
        <w:t>characterised</w:t>
      </w:r>
      <w:proofErr w:type="spellEnd"/>
      <w:r w:rsidRPr="004C771B">
        <w:rPr>
          <w:lang w:val="en-US"/>
        </w:rPr>
        <w:t xml:space="preserve"> by higher degrees of empathy – and that in their desperation they expec</w:t>
      </w:r>
      <w:r w:rsidR="00B62D49">
        <w:rPr>
          <w:lang w:val="en-US"/>
        </w:rPr>
        <w:t>t a great deal of the utilities</w:t>
      </w:r>
      <w:r w:rsidRPr="004C771B">
        <w:rPr>
          <w:lang w:val="en-US"/>
        </w:rPr>
        <w:t xml:space="preserve"> customer support. Anything less than strongly expressed empathy and absolute transactional tailoring to their needs is likely to </w:t>
      </w:r>
      <w:r w:rsidR="00B62D49">
        <w:rPr>
          <w:lang w:val="en-US"/>
        </w:rPr>
        <w:t>be seen in disappointing terms.’</w:t>
      </w:r>
      <w:r w:rsidRPr="004C771B">
        <w:rPr>
          <w:lang w:val="en-US"/>
        </w:rPr>
        <w:t xml:space="preserve"> (</w:t>
      </w:r>
      <w:proofErr w:type="gramStart"/>
      <w:r w:rsidRPr="004C771B">
        <w:rPr>
          <w:lang w:val="en-US"/>
        </w:rPr>
        <w:t>p</w:t>
      </w:r>
      <w:proofErr w:type="gramEnd"/>
      <w:r w:rsidRPr="004C771B">
        <w:rPr>
          <w:lang w:val="en-US"/>
        </w:rPr>
        <w:t xml:space="preserve"> 4-5)</w:t>
      </w:r>
    </w:p>
    <w:p w14:paraId="10FE9CC9" w14:textId="3DF543FD" w:rsidR="00DF6DF9" w:rsidRPr="004C771B" w:rsidRDefault="00B57A17" w:rsidP="00B57A17">
      <w:pPr>
        <w:rPr>
          <w:lang w:val="en-US"/>
        </w:rPr>
      </w:pPr>
      <w:proofErr w:type="spellStart"/>
      <w:r w:rsidRPr="004C771B">
        <w:rPr>
          <w:lang w:val="en-US"/>
        </w:rPr>
        <w:lastRenderedPageBreak/>
        <w:t>Harak</w:t>
      </w:r>
      <w:proofErr w:type="spellEnd"/>
      <w:r w:rsidRPr="004C771B">
        <w:rPr>
          <w:lang w:val="en-US"/>
        </w:rPr>
        <w:t>, Charlie, National Consumer Law Center, September 2013</w:t>
      </w:r>
      <w:r w:rsidR="00557C7B">
        <w:rPr>
          <w:lang w:val="en-US"/>
        </w:rPr>
        <w:t>,</w:t>
      </w:r>
      <w:r w:rsidR="00547692">
        <w:rPr>
          <w:lang w:val="en-US"/>
        </w:rPr>
        <w:t xml:space="preserve"> </w:t>
      </w:r>
      <w:proofErr w:type="gramStart"/>
      <w:r w:rsidRPr="00547692">
        <w:rPr>
          <w:i/>
          <w:lang w:val="en-US"/>
        </w:rPr>
        <w:t>Helping</w:t>
      </w:r>
      <w:proofErr w:type="gramEnd"/>
      <w:r w:rsidRPr="00547692">
        <w:rPr>
          <w:i/>
          <w:lang w:val="en-US"/>
        </w:rPr>
        <w:t xml:space="preserve"> low-income utility customers manage overdue bills through arrearage management programs (AMP).</w:t>
      </w:r>
      <w:r w:rsidRPr="004C771B">
        <w:rPr>
          <w:lang w:val="en-US"/>
        </w:rPr>
        <w:t xml:space="preserve"> </w:t>
      </w:r>
    </w:p>
    <w:p w14:paraId="12D179B4" w14:textId="4038CFC4" w:rsidR="00B57A17" w:rsidRPr="004C771B" w:rsidRDefault="00B57A17" w:rsidP="00DF6DF9">
      <w:pPr>
        <w:ind w:left="851"/>
        <w:rPr>
          <w:i/>
          <w:lang w:val="en-US"/>
        </w:rPr>
      </w:pPr>
      <w:r w:rsidRPr="004C771B">
        <w:rPr>
          <w:lang w:val="en-US"/>
        </w:rPr>
        <w:t xml:space="preserve">This paper documents an innovative Massachusetts program where customers with high past debts </w:t>
      </w:r>
      <w:r w:rsidR="00A9084C" w:rsidRPr="004C771B">
        <w:rPr>
          <w:lang w:val="en-US"/>
        </w:rPr>
        <w:t>are given</w:t>
      </w:r>
      <w:r w:rsidRPr="004C771B">
        <w:rPr>
          <w:lang w:val="en-US"/>
        </w:rPr>
        <w:t xml:space="preserve"> a fresh start through debt forgiveness, </w:t>
      </w:r>
      <w:r w:rsidR="00A9084C" w:rsidRPr="004C771B">
        <w:rPr>
          <w:lang w:val="en-US"/>
        </w:rPr>
        <w:t>if</w:t>
      </w:r>
      <w:r w:rsidRPr="004C771B">
        <w:rPr>
          <w:lang w:val="en-US"/>
        </w:rPr>
        <w:t xml:space="preserve"> they meet their </w:t>
      </w:r>
      <w:r w:rsidRPr="004C771B">
        <w:rPr>
          <w:i/>
          <w:lang w:val="en-US"/>
        </w:rPr>
        <w:t>current</w:t>
      </w:r>
      <w:r w:rsidRPr="004C771B">
        <w:rPr>
          <w:lang w:val="en-US"/>
        </w:rPr>
        <w:t xml:space="preserve"> payment charges on-time over the period of the payment plan</w:t>
      </w:r>
      <w:r w:rsidR="00A9084C" w:rsidRPr="004C771B">
        <w:rPr>
          <w:lang w:val="en-US"/>
        </w:rPr>
        <w:t xml:space="preserve">. Payment plans </w:t>
      </w:r>
      <w:r w:rsidRPr="004C771B">
        <w:rPr>
          <w:lang w:val="en-US"/>
        </w:rPr>
        <w:t xml:space="preserve">may be one year or longer. The benefit of </w:t>
      </w:r>
      <w:r w:rsidR="00A9084C" w:rsidRPr="004C771B">
        <w:rPr>
          <w:lang w:val="en-US"/>
        </w:rPr>
        <w:t xml:space="preserve">the Arrearage Management Plan (AMP) </w:t>
      </w:r>
      <w:r w:rsidRPr="004C771B">
        <w:rPr>
          <w:lang w:val="en-US"/>
        </w:rPr>
        <w:t xml:space="preserve">is not only the low-income customer’s fresh start but that the person is linked to other support programs, </w:t>
      </w:r>
      <w:r w:rsidR="00A9084C" w:rsidRPr="004C771B">
        <w:rPr>
          <w:lang w:val="en-US"/>
        </w:rPr>
        <w:t>such as</w:t>
      </w:r>
      <w:r w:rsidRPr="004C771B">
        <w:rPr>
          <w:lang w:val="en-US"/>
        </w:rPr>
        <w:t xml:space="preserve"> low-income rates, concessions, demand reduction/efficiency programs and budgeting or financial </w:t>
      </w:r>
      <w:proofErr w:type="spellStart"/>
      <w:r w:rsidRPr="004C771B">
        <w:rPr>
          <w:lang w:val="en-US"/>
        </w:rPr>
        <w:t>counselling</w:t>
      </w:r>
      <w:proofErr w:type="spellEnd"/>
      <w:r w:rsidRPr="004C771B">
        <w:rPr>
          <w:lang w:val="en-US"/>
        </w:rPr>
        <w:t xml:space="preserve"> programs. </w:t>
      </w:r>
      <w:r w:rsidR="00A9084C" w:rsidRPr="004C771B">
        <w:rPr>
          <w:lang w:val="en-US"/>
        </w:rPr>
        <w:t>T</w:t>
      </w:r>
      <w:r w:rsidRPr="004C771B">
        <w:rPr>
          <w:lang w:val="en-US"/>
        </w:rPr>
        <w:t>he AMP changes the relationship that the customer has with the utility company to a positive one</w:t>
      </w:r>
      <w:r w:rsidR="00A9084C" w:rsidRPr="004C771B">
        <w:rPr>
          <w:lang w:val="en-US"/>
        </w:rPr>
        <w:t>, avoiding</w:t>
      </w:r>
      <w:r w:rsidRPr="004C771B">
        <w:rPr>
          <w:lang w:val="en-US"/>
        </w:rPr>
        <w:t xml:space="preserve"> the disengaged-debt spiral relationship. Instead of threats of disconnection, the customer </w:t>
      </w:r>
      <w:r w:rsidR="00A9084C" w:rsidRPr="004C771B">
        <w:rPr>
          <w:lang w:val="en-US"/>
        </w:rPr>
        <w:t>receives</w:t>
      </w:r>
      <w:r w:rsidRPr="004C771B">
        <w:rPr>
          <w:lang w:val="en-US"/>
        </w:rPr>
        <w:t xml:space="preserve"> a bonus for making affordable payments. Utility companies found that low-income customers on the AMP paid 67% of </w:t>
      </w:r>
      <w:r w:rsidR="00D16554" w:rsidRPr="004C771B">
        <w:rPr>
          <w:lang w:val="en-US"/>
        </w:rPr>
        <w:t>their</w:t>
      </w:r>
      <w:r w:rsidRPr="004C771B">
        <w:rPr>
          <w:lang w:val="en-US"/>
        </w:rPr>
        <w:t xml:space="preserve"> bills, compared with 44% for those</w:t>
      </w:r>
      <w:r w:rsidR="00D16554" w:rsidRPr="004C771B">
        <w:rPr>
          <w:lang w:val="en-US"/>
        </w:rPr>
        <w:t xml:space="preserve"> not</w:t>
      </w:r>
      <w:r w:rsidRPr="004C771B">
        <w:rPr>
          <w:lang w:val="en-US"/>
        </w:rPr>
        <w:t xml:space="preserve"> on the program.</w:t>
      </w:r>
    </w:p>
    <w:p w14:paraId="0936A817" w14:textId="77777777" w:rsidR="00B57A17" w:rsidRPr="004C771B" w:rsidRDefault="00B57A17" w:rsidP="00DF6DF9">
      <w:pPr>
        <w:ind w:left="851"/>
        <w:rPr>
          <w:lang w:val="en-US"/>
        </w:rPr>
      </w:pPr>
      <w:r w:rsidRPr="004C771B">
        <w:rPr>
          <w:lang w:val="en-US"/>
        </w:rPr>
        <w:t xml:space="preserve">The article </w:t>
      </w:r>
      <w:r w:rsidR="00D16554" w:rsidRPr="004C771B">
        <w:rPr>
          <w:lang w:val="en-US"/>
        </w:rPr>
        <w:t>also discusses</w:t>
      </w:r>
      <w:r w:rsidRPr="004C771B">
        <w:rPr>
          <w:lang w:val="en-US"/>
        </w:rPr>
        <w:t xml:space="preserve"> design issues, </w:t>
      </w:r>
      <w:r w:rsidR="00D16554" w:rsidRPr="004C771B">
        <w:rPr>
          <w:lang w:val="en-US"/>
        </w:rPr>
        <w:t>such as</w:t>
      </w:r>
      <w:r w:rsidRPr="004C771B">
        <w:rPr>
          <w:lang w:val="en-US"/>
        </w:rPr>
        <w:t xml:space="preserve"> whether an AMP should be opt-in or automatic enrollment</w:t>
      </w:r>
      <w:r w:rsidR="00D16554" w:rsidRPr="004C771B">
        <w:rPr>
          <w:lang w:val="en-US"/>
        </w:rPr>
        <w:t xml:space="preserve"> and </w:t>
      </w:r>
      <w:r w:rsidRPr="004C771B">
        <w:rPr>
          <w:lang w:val="en-US"/>
        </w:rPr>
        <w:t>setting the speed of the program duration</w:t>
      </w:r>
      <w:r w:rsidR="00D16554" w:rsidRPr="004C771B">
        <w:rPr>
          <w:lang w:val="en-US"/>
        </w:rPr>
        <w:t xml:space="preserve">. The research </w:t>
      </w:r>
      <w:r w:rsidRPr="004C771B">
        <w:rPr>
          <w:lang w:val="en-US"/>
        </w:rPr>
        <w:t xml:space="preserve">found that the </w:t>
      </w:r>
      <w:r w:rsidR="00D16554" w:rsidRPr="004C771B">
        <w:rPr>
          <w:lang w:val="en-US"/>
        </w:rPr>
        <w:t>f</w:t>
      </w:r>
      <w:r w:rsidRPr="004C771B">
        <w:rPr>
          <w:lang w:val="en-US"/>
        </w:rPr>
        <w:t xml:space="preserve">aster the </w:t>
      </w:r>
      <w:r w:rsidR="00D16554" w:rsidRPr="004C771B">
        <w:rPr>
          <w:lang w:val="en-US"/>
        </w:rPr>
        <w:t xml:space="preserve">debt </w:t>
      </w:r>
      <w:r w:rsidRPr="004C771B">
        <w:rPr>
          <w:lang w:val="en-US"/>
        </w:rPr>
        <w:t>forgiveness, the more likely it is that the customers will complete the program</w:t>
      </w:r>
      <w:r w:rsidR="00D16554" w:rsidRPr="004C771B">
        <w:rPr>
          <w:lang w:val="en-US"/>
        </w:rPr>
        <w:t>. C</w:t>
      </w:r>
      <w:r w:rsidRPr="004C771B">
        <w:rPr>
          <w:lang w:val="en-US"/>
        </w:rPr>
        <w:t xml:space="preserve">ompanies were </w:t>
      </w:r>
      <w:r w:rsidR="00D16554" w:rsidRPr="004C771B">
        <w:rPr>
          <w:lang w:val="en-US"/>
        </w:rPr>
        <w:t>also</w:t>
      </w:r>
      <w:r w:rsidRPr="004C771B">
        <w:rPr>
          <w:lang w:val="en-US"/>
        </w:rPr>
        <w:t xml:space="preserve"> choosing to train all customer service staff about the </w:t>
      </w:r>
      <w:r w:rsidR="00D16554" w:rsidRPr="004C771B">
        <w:rPr>
          <w:lang w:val="en-US"/>
        </w:rPr>
        <w:t>AMP</w:t>
      </w:r>
      <w:r w:rsidRPr="004C771B">
        <w:rPr>
          <w:lang w:val="en-US"/>
        </w:rPr>
        <w:t xml:space="preserve">, with specialists </w:t>
      </w:r>
      <w:r w:rsidR="00D16554" w:rsidRPr="004C771B">
        <w:rPr>
          <w:lang w:val="en-US"/>
        </w:rPr>
        <w:t xml:space="preserve">receiving more intensive training. </w:t>
      </w:r>
      <w:r w:rsidR="00FC1398" w:rsidRPr="004C771B">
        <w:rPr>
          <w:lang w:val="en-US"/>
        </w:rPr>
        <w:t>All</w:t>
      </w:r>
      <w:r w:rsidRPr="004C771B">
        <w:rPr>
          <w:lang w:val="en-US"/>
        </w:rPr>
        <w:t xml:space="preserve"> of the participating utilities removed customers who missed </w:t>
      </w:r>
      <w:r w:rsidR="00FC1398" w:rsidRPr="004C771B">
        <w:rPr>
          <w:lang w:val="en-US"/>
        </w:rPr>
        <w:t>one to two</w:t>
      </w:r>
      <w:r w:rsidRPr="004C771B">
        <w:rPr>
          <w:lang w:val="en-US"/>
        </w:rPr>
        <w:t xml:space="preserve"> payments</w:t>
      </w:r>
      <w:r w:rsidR="00FC1398" w:rsidRPr="004C771B">
        <w:rPr>
          <w:lang w:val="en-US"/>
        </w:rPr>
        <w:t>,</w:t>
      </w:r>
      <w:r w:rsidRPr="004C771B">
        <w:rPr>
          <w:lang w:val="en-US"/>
        </w:rPr>
        <w:t xml:space="preserve"> but re-instated customers who caught up be</w:t>
      </w:r>
      <w:r w:rsidR="00FC1398" w:rsidRPr="004C771B">
        <w:rPr>
          <w:lang w:val="en-US"/>
        </w:rPr>
        <w:t xml:space="preserve">fore the end of the plan period. The issue as to </w:t>
      </w:r>
      <w:r w:rsidRPr="004C771B">
        <w:rPr>
          <w:lang w:val="en-US"/>
        </w:rPr>
        <w:t>whether people could enroll in an AMP a second time</w:t>
      </w:r>
      <w:r w:rsidR="00FC1398" w:rsidRPr="004C771B">
        <w:rPr>
          <w:lang w:val="en-US"/>
        </w:rPr>
        <w:t xml:space="preserve"> is also explored. T</w:t>
      </w:r>
      <w:r w:rsidRPr="004C771B">
        <w:rPr>
          <w:lang w:val="en-US"/>
        </w:rPr>
        <w:t xml:space="preserve">he argument for ‘yes’ </w:t>
      </w:r>
      <w:r w:rsidR="00FC1398" w:rsidRPr="004C771B">
        <w:rPr>
          <w:lang w:val="en-US"/>
        </w:rPr>
        <w:t>is</w:t>
      </w:r>
      <w:r w:rsidRPr="004C771B">
        <w:rPr>
          <w:lang w:val="en-US"/>
        </w:rPr>
        <w:t xml:space="preserve"> that those in poverty are vulnerable and even with all the exper</w:t>
      </w:r>
      <w:r w:rsidR="00FC1398" w:rsidRPr="004C771B">
        <w:rPr>
          <w:lang w:val="en-US"/>
        </w:rPr>
        <w:t xml:space="preserve">ience of the first AMP, </w:t>
      </w:r>
      <w:r w:rsidRPr="004C771B">
        <w:rPr>
          <w:lang w:val="en-US"/>
        </w:rPr>
        <w:t xml:space="preserve">sometimes individuals need a second chance. The counter argument was that people might build the arrears forgiveness into their payment psychology. Companies used their discretion. </w:t>
      </w:r>
    </w:p>
    <w:p w14:paraId="166BD5C5" w14:textId="78D5426C" w:rsidR="00FC1398" w:rsidRPr="004C771B" w:rsidRDefault="00B57A17" w:rsidP="00B57A17">
      <w:pPr>
        <w:rPr>
          <w:lang w:val="en-US"/>
        </w:rPr>
      </w:pPr>
      <w:proofErr w:type="spellStart"/>
      <w:r w:rsidRPr="004C771B">
        <w:rPr>
          <w:lang w:val="en-US"/>
        </w:rPr>
        <w:t>Kildonan</w:t>
      </w:r>
      <w:proofErr w:type="spellEnd"/>
      <w:r w:rsidRPr="004C771B">
        <w:rPr>
          <w:lang w:val="en-US"/>
        </w:rPr>
        <w:t xml:space="preserve"> </w:t>
      </w:r>
      <w:proofErr w:type="spellStart"/>
      <w:r w:rsidRPr="004C771B">
        <w:rPr>
          <w:lang w:val="en-US"/>
        </w:rPr>
        <w:t>UnitingCar</w:t>
      </w:r>
      <w:r w:rsidR="00F569C2">
        <w:rPr>
          <w:lang w:val="en-US"/>
        </w:rPr>
        <w:t>e</w:t>
      </w:r>
      <w:proofErr w:type="spellEnd"/>
      <w:r w:rsidR="00F569C2">
        <w:rPr>
          <w:lang w:val="en-US"/>
        </w:rPr>
        <w:t>, March 2011</w:t>
      </w:r>
      <w:r w:rsidR="009D1AAE">
        <w:rPr>
          <w:lang w:val="en-US"/>
        </w:rPr>
        <w:t>,</w:t>
      </w:r>
      <w:r w:rsidR="00547692">
        <w:rPr>
          <w:lang w:val="en-US"/>
        </w:rPr>
        <w:t xml:space="preserve"> </w:t>
      </w:r>
      <w:r w:rsidRPr="00547692">
        <w:rPr>
          <w:i/>
          <w:lang w:val="en-US"/>
        </w:rPr>
        <w:t>Western Water Customer Preventative Maintenance: Customer service framework for a changing and expand</w:t>
      </w:r>
      <w:r w:rsidR="00547692" w:rsidRPr="00547692">
        <w:rPr>
          <w:i/>
          <w:lang w:val="en-US"/>
        </w:rPr>
        <w:t>ing customer base</w:t>
      </w:r>
      <w:r w:rsidRPr="004C771B">
        <w:rPr>
          <w:lang w:val="en-US"/>
        </w:rPr>
        <w:t xml:space="preserve">. </w:t>
      </w:r>
    </w:p>
    <w:p w14:paraId="41F49A91" w14:textId="1AEB0AD7" w:rsidR="00B57A17" w:rsidRPr="004C771B" w:rsidRDefault="00B57A17" w:rsidP="00FC1398">
      <w:pPr>
        <w:ind w:left="851"/>
        <w:rPr>
          <w:lang w:val="en-US"/>
        </w:rPr>
      </w:pPr>
      <w:r w:rsidRPr="004C771B">
        <w:rPr>
          <w:lang w:val="en-US"/>
        </w:rPr>
        <w:t xml:space="preserve">Western Water engaged </w:t>
      </w:r>
      <w:proofErr w:type="spellStart"/>
      <w:r w:rsidRPr="004C771B">
        <w:rPr>
          <w:lang w:val="en-US"/>
        </w:rPr>
        <w:t>Kildonan</w:t>
      </w:r>
      <w:proofErr w:type="spellEnd"/>
      <w:r w:rsidRPr="004C771B">
        <w:rPr>
          <w:lang w:val="en-US"/>
        </w:rPr>
        <w:t xml:space="preserve"> to reassess its hardship strategy and implementation, </w:t>
      </w:r>
      <w:r w:rsidR="00FC1398" w:rsidRPr="004C771B">
        <w:rPr>
          <w:lang w:val="en-US"/>
        </w:rPr>
        <w:t>given</w:t>
      </w:r>
      <w:r w:rsidRPr="004C771B">
        <w:rPr>
          <w:lang w:val="en-US"/>
        </w:rPr>
        <w:t xml:space="preserve"> emerging population, social and financial stress issues. This report </w:t>
      </w:r>
      <w:r w:rsidR="003F4027" w:rsidRPr="004C771B">
        <w:rPr>
          <w:lang w:val="en-US"/>
        </w:rPr>
        <w:t>assesses</w:t>
      </w:r>
      <w:r w:rsidRPr="004C771B">
        <w:rPr>
          <w:lang w:val="en-US"/>
        </w:rPr>
        <w:t xml:space="preserve"> the practice rather than the t</w:t>
      </w:r>
      <w:r w:rsidR="003F4027" w:rsidRPr="004C771B">
        <w:rPr>
          <w:lang w:val="en-US"/>
        </w:rPr>
        <w:t>heory of implementing an organisation-</w:t>
      </w:r>
      <w:r w:rsidRPr="004C771B">
        <w:rPr>
          <w:lang w:val="en-US"/>
        </w:rPr>
        <w:t xml:space="preserve">wide approach to hardship. Section 3.3 has a useful table </w:t>
      </w:r>
      <w:r w:rsidR="003F4027" w:rsidRPr="004C771B">
        <w:rPr>
          <w:lang w:val="en-US"/>
        </w:rPr>
        <w:t>providing an</w:t>
      </w:r>
      <w:r w:rsidRPr="004C771B">
        <w:rPr>
          <w:lang w:val="en-US"/>
        </w:rPr>
        <w:t xml:space="preserve"> overview of all the different elements of </w:t>
      </w:r>
      <w:r w:rsidR="003F4027" w:rsidRPr="004C771B">
        <w:rPr>
          <w:lang w:val="en-US"/>
        </w:rPr>
        <w:t>the</w:t>
      </w:r>
      <w:r w:rsidRPr="004C771B">
        <w:rPr>
          <w:lang w:val="en-US"/>
        </w:rPr>
        <w:t xml:space="preserve"> hardship program, including incentive plans, </w:t>
      </w:r>
      <w:r w:rsidR="003F4027" w:rsidRPr="004C771B">
        <w:rPr>
          <w:lang w:val="en-US"/>
        </w:rPr>
        <w:t>the</w:t>
      </w:r>
      <w:r w:rsidRPr="004C771B">
        <w:rPr>
          <w:lang w:val="en-US"/>
        </w:rPr>
        <w:t xml:space="preserve"> audit bonus (</w:t>
      </w:r>
      <w:r w:rsidR="00CC0329">
        <w:rPr>
          <w:lang w:val="en-US"/>
        </w:rPr>
        <w:t xml:space="preserve">a </w:t>
      </w:r>
      <w:r w:rsidRPr="004C771B">
        <w:rPr>
          <w:lang w:val="en-US"/>
        </w:rPr>
        <w:t>monetary bonus if customers agree to a h</w:t>
      </w:r>
      <w:r w:rsidR="00CC0329">
        <w:rPr>
          <w:lang w:val="en-US"/>
        </w:rPr>
        <w:t>ome audit to reduce water usage</w:t>
      </w:r>
      <w:r w:rsidR="003F4027" w:rsidRPr="004C771B">
        <w:rPr>
          <w:lang w:val="en-US"/>
        </w:rPr>
        <w:t>)</w:t>
      </w:r>
      <w:r w:rsidRPr="004C771B">
        <w:rPr>
          <w:lang w:val="en-US"/>
        </w:rPr>
        <w:t xml:space="preserve">, and an articulated and structured policy on waivers. </w:t>
      </w:r>
      <w:r w:rsidR="003F4027" w:rsidRPr="004C771B">
        <w:rPr>
          <w:lang w:val="en-US"/>
        </w:rPr>
        <w:t>The paper</w:t>
      </w:r>
      <w:r w:rsidRPr="004C771B">
        <w:rPr>
          <w:lang w:val="en-US"/>
        </w:rPr>
        <w:t xml:space="preserve"> also sets out policies on interes</w:t>
      </w:r>
      <w:r w:rsidR="003F4027" w:rsidRPr="004C771B">
        <w:rPr>
          <w:lang w:val="en-US"/>
        </w:rPr>
        <w:t xml:space="preserve">t charges, hardship assessments, the </w:t>
      </w:r>
      <w:r w:rsidRPr="004C771B">
        <w:rPr>
          <w:lang w:val="en-US"/>
        </w:rPr>
        <w:t xml:space="preserve">use of an internally developed assessment tool, staff training, and the wide range of payment plans and options. Alongside each item </w:t>
      </w:r>
      <w:r w:rsidR="00447A45">
        <w:rPr>
          <w:lang w:val="en-US"/>
        </w:rPr>
        <w:t>are</w:t>
      </w:r>
      <w:r w:rsidRPr="004C771B">
        <w:rPr>
          <w:lang w:val="en-US"/>
        </w:rPr>
        <w:t xml:space="preserve"> </w:t>
      </w:r>
      <w:proofErr w:type="spellStart"/>
      <w:r w:rsidRPr="004C771B">
        <w:rPr>
          <w:lang w:val="en-US"/>
        </w:rPr>
        <w:t>Kildonan’s</w:t>
      </w:r>
      <w:proofErr w:type="spellEnd"/>
      <w:r w:rsidRPr="004C771B">
        <w:rPr>
          <w:lang w:val="en-US"/>
        </w:rPr>
        <w:t xml:space="preserve"> comments or suggestions for improvements.</w:t>
      </w:r>
    </w:p>
    <w:p w14:paraId="422A045D" w14:textId="77777777" w:rsidR="00E360CE" w:rsidRDefault="00EC1A0A" w:rsidP="00EC1A0A">
      <w:pPr>
        <w:rPr>
          <w:lang w:val="en-US"/>
        </w:rPr>
      </w:pPr>
      <w:r w:rsidRPr="004C771B">
        <w:rPr>
          <w:lang w:val="en-US"/>
        </w:rPr>
        <w:t xml:space="preserve"> </w:t>
      </w:r>
    </w:p>
    <w:p w14:paraId="624DAD4B" w14:textId="77777777" w:rsidR="00E360CE" w:rsidRDefault="00E360CE">
      <w:pPr>
        <w:rPr>
          <w:lang w:val="en-US"/>
        </w:rPr>
      </w:pPr>
      <w:r>
        <w:rPr>
          <w:lang w:val="en-US"/>
        </w:rPr>
        <w:br w:type="page"/>
      </w:r>
    </w:p>
    <w:p w14:paraId="0FE548BD" w14:textId="2D0D53A1" w:rsidR="00EC1A0A" w:rsidRPr="004C771B" w:rsidRDefault="00EC1A0A" w:rsidP="00EC1A0A">
      <w:pPr>
        <w:rPr>
          <w:lang w:val="en-US"/>
        </w:rPr>
      </w:pPr>
      <w:proofErr w:type="gramStart"/>
      <w:r w:rsidRPr="004C771B">
        <w:rPr>
          <w:lang w:val="en-US"/>
        </w:rPr>
        <w:lastRenderedPageBreak/>
        <w:t>Economic Regu</w:t>
      </w:r>
      <w:r w:rsidR="00547692">
        <w:rPr>
          <w:lang w:val="en-US"/>
        </w:rPr>
        <w:t xml:space="preserve">lation Authority, August 2010, </w:t>
      </w:r>
      <w:hyperlink r:id="rId34" w:history="1">
        <w:r w:rsidRPr="00547692">
          <w:rPr>
            <w:rStyle w:val="Hyperlink"/>
            <w:i/>
            <w:lang w:val="en-US"/>
          </w:rPr>
          <w:t>Financial Hardship Policy Guidelines</w:t>
        </w:r>
      </w:hyperlink>
      <w:r w:rsidRPr="004C771B">
        <w:rPr>
          <w:lang w:val="en-US"/>
        </w:rPr>
        <w:t>.</w:t>
      </w:r>
      <w:proofErr w:type="gramEnd"/>
      <w:r w:rsidRPr="004C771B">
        <w:rPr>
          <w:lang w:val="en-US"/>
        </w:rPr>
        <w:t xml:space="preserve"> </w:t>
      </w:r>
    </w:p>
    <w:p w14:paraId="6A244164" w14:textId="1217CE2A" w:rsidR="00EC1A0A" w:rsidRPr="004C771B" w:rsidRDefault="00EC1A0A" w:rsidP="00EC1A0A">
      <w:pPr>
        <w:ind w:left="810"/>
        <w:rPr>
          <w:lang w:val="en-US"/>
        </w:rPr>
      </w:pPr>
      <w:r w:rsidRPr="004C771B">
        <w:rPr>
          <w:lang w:val="en-US"/>
        </w:rPr>
        <w:t xml:space="preserve">This document is a guide to </w:t>
      </w:r>
      <w:proofErr w:type="spellStart"/>
      <w:r w:rsidR="00CC0329">
        <w:rPr>
          <w:lang w:val="en-US"/>
        </w:rPr>
        <w:t>ERA</w:t>
      </w:r>
      <w:r w:rsidRPr="004C771B">
        <w:rPr>
          <w:lang w:val="en-US"/>
        </w:rPr>
        <w:t>WA’s</w:t>
      </w:r>
      <w:proofErr w:type="spellEnd"/>
      <w:r w:rsidRPr="004C771B">
        <w:rPr>
          <w:lang w:val="en-US"/>
        </w:rPr>
        <w:t xml:space="preserve"> codified hardship policy requirements. It covers differentiating between payment difficulties and financial hardship, minimum content of hardship guidelines, requirements of the annual review, staff training requirements, identifying and engaging with customers in financial hardship, flexible payment arrangements, engaging with consumer representatives and financial counsellors and t</w:t>
      </w:r>
      <w:r w:rsidR="00F569C2">
        <w:rPr>
          <w:lang w:val="en-US"/>
        </w:rPr>
        <w:t xml:space="preserve">ransparency and accessibility. </w:t>
      </w:r>
      <w:r w:rsidRPr="004C771B">
        <w:rPr>
          <w:lang w:val="en-US"/>
        </w:rPr>
        <w:t xml:space="preserve">These Guidelines came out of a lengthy consultation process. </w:t>
      </w:r>
    </w:p>
    <w:p w14:paraId="0BED8527" w14:textId="518BB6D8" w:rsidR="00EC1A0A" w:rsidRPr="004C771B" w:rsidRDefault="00EC1A0A" w:rsidP="001A358D">
      <w:pPr>
        <w:rPr>
          <w:lang w:val="en-US"/>
        </w:rPr>
      </w:pPr>
      <w:r w:rsidRPr="004C771B">
        <w:rPr>
          <w:lang w:val="en-US"/>
        </w:rPr>
        <w:t>Office of Energy (WA), Dec 2007</w:t>
      </w:r>
      <w:r w:rsidRPr="004C771B">
        <w:rPr>
          <w:i/>
          <w:lang w:val="en-US"/>
        </w:rPr>
        <w:t xml:space="preserve">, </w:t>
      </w:r>
      <w:r w:rsidRPr="00547692">
        <w:rPr>
          <w:i/>
          <w:lang w:val="en-US"/>
        </w:rPr>
        <w:t>Public Issues Discussion Paper: Utilit</w:t>
      </w:r>
      <w:r w:rsidR="00547692" w:rsidRPr="00547692">
        <w:rPr>
          <w:i/>
          <w:lang w:val="en-US"/>
        </w:rPr>
        <w:t>ies Essential Services Hardship</w:t>
      </w:r>
      <w:r w:rsidRPr="004C771B">
        <w:rPr>
          <w:i/>
          <w:lang w:val="en-US"/>
        </w:rPr>
        <w:t xml:space="preserve"> (</w:t>
      </w:r>
      <w:r w:rsidRPr="004C771B">
        <w:rPr>
          <w:lang w:val="en-US"/>
        </w:rPr>
        <w:t>Government Utilities Essential Services Hardship Inter-Agency Working Group)</w:t>
      </w:r>
      <w:r w:rsidR="001A358D">
        <w:rPr>
          <w:lang w:val="en-US"/>
        </w:rPr>
        <w:t>.</w:t>
      </w:r>
    </w:p>
    <w:p w14:paraId="5DBD83BE" w14:textId="1A45EFD1" w:rsidR="00AD2192" w:rsidRPr="004C771B" w:rsidRDefault="00EC1A0A" w:rsidP="00F569C2">
      <w:pPr>
        <w:ind w:left="851"/>
        <w:rPr>
          <w:lang w:val="en-US"/>
        </w:rPr>
      </w:pPr>
      <w:r w:rsidRPr="004C771B">
        <w:rPr>
          <w:lang w:val="en-US"/>
        </w:rPr>
        <w:t xml:space="preserve">In 2007 the WA Government put together an inter-agency working group to look comprehensively at hardship, and to identify way in which utilities, welfare and government agencies could improve essential services delivery to the financially disadvantaged. Consequently in 2008, the </w:t>
      </w:r>
      <w:proofErr w:type="spellStart"/>
      <w:r w:rsidRPr="004C771B">
        <w:rPr>
          <w:lang w:val="en-US"/>
        </w:rPr>
        <w:t>HUGs</w:t>
      </w:r>
      <w:proofErr w:type="spellEnd"/>
      <w:r w:rsidRPr="004C771B">
        <w:rPr>
          <w:lang w:val="en-US"/>
        </w:rPr>
        <w:t xml:space="preserve"> utility grants scheme was introduced to assist wit</w:t>
      </w:r>
      <w:r w:rsidR="00F569C2">
        <w:rPr>
          <w:lang w:val="en-US"/>
        </w:rPr>
        <w:t>h payment of overdue accounts f</w:t>
      </w:r>
      <w:r w:rsidRPr="004C771B">
        <w:rPr>
          <w:lang w:val="en-US"/>
        </w:rPr>
        <w:t>o</w:t>
      </w:r>
      <w:r w:rsidR="00F569C2">
        <w:rPr>
          <w:lang w:val="en-US"/>
        </w:rPr>
        <w:t>r</w:t>
      </w:r>
      <w:r w:rsidRPr="004C771B">
        <w:rPr>
          <w:lang w:val="en-US"/>
        </w:rPr>
        <w:t xml:space="preserve"> consumers in financial hardship and </w:t>
      </w:r>
      <w:r w:rsidR="00F569C2">
        <w:rPr>
          <w:lang w:val="en-US"/>
        </w:rPr>
        <w:t xml:space="preserve">an </w:t>
      </w:r>
      <w:r w:rsidRPr="004C771B">
        <w:rPr>
          <w:lang w:val="en-US"/>
        </w:rPr>
        <w:t xml:space="preserve">energy efficiency program for these same consumers. Funding for financial </w:t>
      </w:r>
      <w:proofErr w:type="spellStart"/>
      <w:r w:rsidRPr="004C771B">
        <w:rPr>
          <w:lang w:val="en-US"/>
        </w:rPr>
        <w:t>counselling</w:t>
      </w:r>
      <w:proofErr w:type="spellEnd"/>
      <w:r w:rsidRPr="004C771B">
        <w:rPr>
          <w:lang w:val="en-US"/>
        </w:rPr>
        <w:t xml:space="preserve"> was increased across the state</w:t>
      </w:r>
      <w:r w:rsidR="00EA053A">
        <w:rPr>
          <w:lang w:val="en-US"/>
        </w:rPr>
        <w:t>.</w:t>
      </w:r>
    </w:p>
    <w:p w14:paraId="4A74073C" w14:textId="3EDAFBC1" w:rsidR="003F4027" w:rsidRPr="004C771B" w:rsidRDefault="00B57A17" w:rsidP="00B57A17">
      <w:pPr>
        <w:rPr>
          <w:lang w:val="en-US"/>
        </w:rPr>
      </w:pPr>
      <w:proofErr w:type="spellStart"/>
      <w:r w:rsidRPr="004C771B">
        <w:rPr>
          <w:lang w:val="en-US"/>
        </w:rPr>
        <w:t>Simshauser</w:t>
      </w:r>
      <w:proofErr w:type="spellEnd"/>
      <w:r w:rsidRPr="004C771B">
        <w:rPr>
          <w:lang w:val="en-US"/>
        </w:rPr>
        <w:t xml:space="preserve">, P, Nelson, T, June 2012, </w:t>
      </w:r>
      <w:proofErr w:type="gramStart"/>
      <w:r w:rsidR="00EA053A">
        <w:rPr>
          <w:i/>
          <w:lang w:val="en-US"/>
        </w:rPr>
        <w:t>The</w:t>
      </w:r>
      <w:proofErr w:type="gramEnd"/>
      <w:r w:rsidR="00EA053A">
        <w:rPr>
          <w:i/>
          <w:lang w:val="en-US"/>
        </w:rPr>
        <w:t xml:space="preserve"> energy market death spiral: R</w:t>
      </w:r>
      <w:r w:rsidRPr="004C771B">
        <w:rPr>
          <w:i/>
          <w:lang w:val="en-US"/>
        </w:rPr>
        <w:t>ethinking customer hardship</w:t>
      </w:r>
      <w:r w:rsidRPr="004C771B">
        <w:rPr>
          <w:lang w:val="en-US"/>
        </w:rPr>
        <w:t xml:space="preserve">, </w:t>
      </w:r>
      <w:proofErr w:type="spellStart"/>
      <w:r w:rsidRPr="004C771B">
        <w:rPr>
          <w:lang w:val="en-US"/>
        </w:rPr>
        <w:t>AGL</w:t>
      </w:r>
      <w:proofErr w:type="spellEnd"/>
      <w:r w:rsidRPr="004C771B">
        <w:rPr>
          <w:lang w:val="en-US"/>
        </w:rPr>
        <w:t xml:space="preserve"> working paper 31, </w:t>
      </w:r>
      <w:proofErr w:type="spellStart"/>
      <w:r w:rsidRPr="004C771B">
        <w:rPr>
          <w:lang w:val="en-US"/>
        </w:rPr>
        <w:t>AGL</w:t>
      </w:r>
      <w:proofErr w:type="spellEnd"/>
      <w:r w:rsidRPr="004C771B">
        <w:rPr>
          <w:lang w:val="en-US"/>
        </w:rPr>
        <w:t xml:space="preserve"> Applied Economic and Policy Research. </w:t>
      </w:r>
    </w:p>
    <w:p w14:paraId="60466242" w14:textId="1E8C4B09" w:rsidR="00AE6B60" w:rsidRPr="004C771B" w:rsidRDefault="003F4027" w:rsidP="003F4027">
      <w:pPr>
        <w:ind w:left="851"/>
        <w:rPr>
          <w:lang w:val="en-US"/>
        </w:rPr>
      </w:pPr>
      <w:r w:rsidRPr="004C771B">
        <w:rPr>
          <w:lang w:val="en-US"/>
        </w:rPr>
        <w:t>This research project combines</w:t>
      </w:r>
      <w:r w:rsidR="00B57A17" w:rsidRPr="004C771B">
        <w:rPr>
          <w:lang w:val="en-US"/>
        </w:rPr>
        <w:t xml:space="preserve"> </w:t>
      </w:r>
      <w:proofErr w:type="spellStart"/>
      <w:r w:rsidRPr="004C771B">
        <w:rPr>
          <w:lang w:val="en-US"/>
        </w:rPr>
        <w:t>AGL’s</w:t>
      </w:r>
      <w:proofErr w:type="spellEnd"/>
      <w:r w:rsidRPr="004C771B">
        <w:rPr>
          <w:lang w:val="en-US"/>
        </w:rPr>
        <w:t xml:space="preserve"> </w:t>
      </w:r>
      <w:r w:rsidR="00B57A17" w:rsidRPr="004C771B">
        <w:rPr>
          <w:lang w:val="en-US"/>
        </w:rPr>
        <w:t xml:space="preserve">customer energy data </w:t>
      </w:r>
      <w:r w:rsidR="00AE6B60" w:rsidRPr="004C771B">
        <w:rPr>
          <w:lang w:val="en-US"/>
        </w:rPr>
        <w:t>with</w:t>
      </w:r>
      <w:r w:rsidR="00B57A17" w:rsidRPr="004C771B">
        <w:rPr>
          <w:lang w:val="en-US"/>
        </w:rPr>
        <w:t xml:space="preserve"> demographic data</w:t>
      </w:r>
      <w:r w:rsidR="005C1448" w:rsidRPr="004C771B">
        <w:rPr>
          <w:lang w:val="en-US"/>
        </w:rPr>
        <w:t xml:space="preserve">. The research </w:t>
      </w:r>
      <w:r w:rsidR="00B57A17" w:rsidRPr="004C771B">
        <w:rPr>
          <w:lang w:val="en-US"/>
        </w:rPr>
        <w:t xml:space="preserve">found that the largest group </w:t>
      </w:r>
      <w:r w:rsidR="005C1448" w:rsidRPr="004C771B">
        <w:rPr>
          <w:lang w:val="en-US"/>
        </w:rPr>
        <w:t xml:space="preserve">of people </w:t>
      </w:r>
      <w:r w:rsidR="00B57A17" w:rsidRPr="004C771B">
        <w:rPr>
          <w:lang w:val="en-US"/>
        </w:rPr>
        <w:t xml:space="preserve">potentially in hardship was the ‘family formation’ cohort or ‘working poor’, </w:t>
      </w:r>
      <w:r w:rsidR="005C1448" w:rsidRPr="004C771B">
        <w:rPr>
          <w:lang w:val="en-US"/>
        </w:rPr>
        <w:t>rather than</w:t>
      </w:r>
      <w:r w:rsidR="00B57A17" w:rsidRPr="004C771B">
        <w:rPr>
          <w:lang w:val="en-US"/>
        </w:rPr>
        <w:t xml:space="preserve"> aged pensioners. The researchers concluded that hardship policies required re</w:t>
      </w:r>
      <w:r w:rsidR="00AE6B60" w:rsidRPr="004C771B">
        <w:rPr>
          <w:lang w:val="en-US"/>
        </w:rPr>
        <w:t>-</w:t>
      </w:r>
      <w:r w:rsidR="00B57A17" w:rsidRPr="004C771B">
        <w:rPr>
          <w:lang w:val="en-US"/>
        </w:rPr>
        <w:t xml:space="preserve">engineering to meet the requirements of this group </w:t>
      </w:r>
      <w:r w:rsidR="005C1448" w:rsidRPr="004C771B">
        <w:rPr>
          <w:lang w:val="en-US"/>
        </w:rPr>
        <w:t>as they are</w:t>
      </w:r>
      <w:r w:rsidR="00B57A17" w:rsidRPr="004C771B">
        <w:rPr>
          <w:lang w:val="en-US"/>
        </w:rPr>
        <w:t xml:space="preserve"> currently </w:t>
      </w:r>
      <w:r w:rsidR="005C1448" w:rsidRPr="004C771B">
        <w:rPr>
          <w:lang w:val="en-US"/>
        </w:rPr>
        <w:t>receiving very little assistance</w:t>
      </w:r>
      <w:r w:rsidR="00B57A17" w:rsidRPr="004C771B">
        <w:rPr>
          <w:lang w:val="en-US"/>
        </w:rPr>
        <w:t xml:space="preserve">. </w:t>
      </w:r>
    </w:p>
    <w:p w14:paraId="10120F4E" w14:textId="6F6A478E" w:rsidR="004859A9" w:rsidRPr="004C771B" w:rsidRDefault="005C1448" w:rsidP="003F4027">
      <w:pPr>
        <w:ind w:left="851"/>
        <w:rPr>
          <w:lang w:val="en-US"/>
        </w:rPr>
      </w:pPr>
      <w:r w:rsidRPr="004C771B">
        <w:rPr>
          <w:lang w:val="en-US"/>
        </w:rPr>
        <w:t>The report notes that e</w:t>
      </w:r>
      <w:r w:rsidR="00B57A17" w:rsidRPr="004C771B">
        <w:rPr>
          <w:lang w:val="en-US"/>
        </w:rPr>
        <w:t xml:space="preserve">nergy prices will continue to rise to meet the investment costs of responding to peak demand. </w:t>
      </w:r>
      <w:r w:rsidR="00AE6B60" w:rsidRPr="004C771B">
        <w:rPr>
          <w:lang w:val="en-US"/>
        </w:rPr>
        <w:t>A</w:t>
      </w:r>
      <w:r w:rsidR="00B57A17" w:rsidRPr="004C771B">
        <w:rPr>
          <w:lang w:val="en-US"/>
        </w:rPr>
        <w:t xml:space="preserve">nalysis of data such as customer ‘payment speed’ correlates with the </w:t>
      </w:r>
      <w:proofErr w:type="spellStart"/>
      <w:r w:rsidR="00B57A17" w:rsidRPr="004C771B">
        <w:rPr>
          <w:lang w:val="en-US"/>
        </w:rPr>
        <w:t>WMI</w:t>
      </w:r>
      <w:proofErr w:type="spellEnd"/>
      <w:r w:rsidR="00B57A17" w:rsidRPr="004C771B">
        <w:rPr>
          <w:lang w:val="en-US"/>
        </w:rPr>
        <w:t xml:space="preserve"> Consumer Confidence </w:t>
      </w:r>
      <w:proofErr w:type="gramStart"/>
      <w:r w:rsidR="00B57A17" w:rsidRPr="004C771B">
        <w:rPr>
          <w:lang w:val="en-US"/>
        </w:rPr>
        <w:t>Index,</w:t>
      </w:r>
      <w:proofErr w:type="gramEnd"/>
      <w:r w:rsidR="00B57A17" w:rsidRPr="004C771B">
        <w:rPr>
          <w:lang w:val="en-US"/>
        </w:rPr>
        <w:t xml:space="preserve"> rises in interest rates, and rising gas/electricity discon</w:t>
      </w:r>
      <w:r w:rsidR="00884108">
        <w:rPr>
          <w:lang w:val="en-US"/>
        </w:rPr>
        <w:t>nection rates. KPMG demographer,</w:t>
      </w:r>
      <w:r w:rsidR="00B57A17" w:rsidRPr="004C771B">
        <w:rPr>
          <w:lang w:val="en-US"/>
        </w:rPr>
        <w:t xml:space="preserve"> Bernard Salt</w:t>
      </w:r>
      <w:r w:rsidR="00884108">
        <w:rPr>
          <w:lang w:val="en-US"/>
        </w:rPr>
        <w:t>,</w:t>
      </w:r>
      <w:r w:rsidR="00B57A17" w:rsidRPr="004C771B">
        <w:rPr>
          <w:lang w:val="en-US"/>
        </w:rPr>
        <w:t xml:space="preserve"> was commissioned to examine 2.4 million household accounts together with ABS Census data. He found that 16% </w:t>
      </w:r>
      <w:r w:rsidR="00AE6B60" w:rsidRPr="004C771B">
        <w:rPr>
          <w:lang w:val="en-US"/>
        </w:rPr>
        <w:t xml:space="preserve">of households </w:t>
      </w:r>
      <w:r w:rsidR="00B57A17" w:rsidRPr="004C771B">
        <w:rPr>
          <w:lang w:val="en-US"/>
        </w:rPr>
        <w:t>display signs of hardship</w:t>
      </w:r>
      <w:r w:rsidR="00AE6B60" w:rsidRPr="004C771B">
        <w:rPr>
          <w:lang w:val="en-US"/>
        </w:rPr>
        <w:t xml:space="preserve">, </w:t>
      </w:r>
      <w:r w:rsidR="00B57A17" w:rsidRPr="004C771B">
        <w:rPr>
          <w:lang w:val="en-US"/>
        </w:rPr>
        <w:t xml:space="preserve">but this is one in four of the ‘family formation’ cohort </w:t>
      </w:r>
      <w:r w:rsidR="004859A9" w:rsidRPr="004C771B">
        <w:rPr>
          <w:lang w:val="en-US"/>
        </w:rPr>
        <w:t>–</w:t>
      </w:r>
      <w:r w:rsidR="00B57A17" w:rsidRPr="004C771B">
        <w:rPr>
          <w:lang w:val="en-US"/>
        </w:rPr>
        <w:t xml:space="preserve"> who spend more than any other benchmark group. Income is not a proxy for hardship as this group has more income, but it also has more household members and higher housing and living costs. </w:t>
      </w:r>
    </w:p>
    <w:p w14:paraId="07347989" w14:textId="27E18C27" w:rsidR="00B57A17" w:rsidRPr="004C771B" w:rsidRDefault="00B57A17" w:rsidP="003F4027">
      <w:pPr>
        <w:ind w:left="851"/>
        <w:rPr>
          <w:lang w:val="en-US"/>
        </w:rPr>
      </w:pPr>
      <w:r w:rsidRPr="004C771B">
        <w:rPr>
          <w:lang w:val="en-US"/>
        </w:rPr>
        <w:t>Using in</w:t>
      </w:r>
      <w:r w:rsidR="00AE6B60" w:rsidRPr="004C771B">
        <w:rPr>
          <w:lang w:val="en-US"/>
        </w:rPr>
        <w:t xml:space="preserve">come per person in a household, </w:t>
      </w:r>
      <w:r w:rsidRPr="004C771B">
        <w:rPr>
          <w:lang w:val="en-US"/>
        </w:rPr>
        <w:t>instead of hous</w:t>
      </w:r>
      <w:r w:rsidR="00AE6B60" w:rsidRPr="004C771B">
        <w:rPr>
          <w:lang w:val="en-US"/>
        </w:rPr>
        <w:t xml:space="preserve">ehold income, shows </w:t>
      </w:r>
      <w:r w:rsidRPr="004C771B">
        <w:rPr>
          <w:lang w:val="en-US"/>
        </w:rPr>
        <w:t xml:space="preserve">that this group </w:t>
      </w:r>
      <w:r w:rsidR="00AE6B60" w:rsidRPr="004C771B">
        <w:rPr>
          <w:lang w:val="en-US"/>
        </w:rPr>
        <w:t>has a</w:t>
      </w:r>
      <w:r w:rsidRPr="004C771B">
        <w:rPr>
          <w:lang w:val="en-US"/>
        </w:rPr>
        <w:t xml:space="preserve"> low income per person</w:t>
      </w:r>
      <w:r w:rsidR="00303F3F">
        <w:rPr>
          <w:lang w:val="en-US"/>
        </w:rPr>
        <w:t xml:space="preserve"> rate</w:t>
      </w:r>
      <w:r w:rsidRPr="004C771B">
        <w:rPr>
          <w:lang w:val="en-US"/>
        </w:rPr>
        <w:t>. Despite this</w:t>
      </w:r>
      <w:r w:rsidR="00D50760" w:rsidRPr="004C771B">
        <w:rPr>
          <w:lang w:val="en-US"/>
        </w:rPr>
        <w:t xml:space="preserve"> data,</w:t>
      </w:r>
      <w:r w:rsidRPr="004C771B">
        <w:rPr>
          <w:lang w:val="en-US"/>
        </w:rPr>
        <w:t xml:space="preserve"> government concessions and grants were not accessible</w:t>
      </w:r>
      <w:r w:rsidR="00D50760" w:rsidRPr="004C771B">
        <w:rPr>
          <w:lang w:val="en-US"/>
        </w:rPr>
        <w:t xml:space="preserve"> to this group</w:t>
      </w:r>
      <w:r w:rsidRPr="004C771B">
        <w:rPr>
          <w:lang w:val="en-US"/>
        </w:rPr>
        <w:t xml:space="preserve">. One in four of </w:t>
      </w:r>
      <w:r w:rsidR="00D50760" w:rsidRPr="004C771B">
        <w:rPr>
          <w:lang w:val="en-US"/>
        </w:rPr>
        <w:t>these</w:t>
      </w:r>
      <w:r w:rsidRPr="004C771B">
        <w:rPr>
          <w:lang w:val="en-US"/>
        </w:rPr>
        <w:t xml:space="preserve"> household</w:t>
      </w:r>
      <w:r w:rsidR="00D50760" w:rsidRPr="004C771B">
        <w:rPr>
          <w:lang w:val="en-US"/>
        </w:rPr>
        <w:t>s</w:t>
      </w:r>
      <w:r w:rsidRPr="004C771B">
        <w:rPr>
          <w:lang w:val="en-US"/>
        </w:rPr>
        <w:t xml:space="preserve"> </w:t>
      </w:r>
      <w:r w:rsidR="00D50760" w:rsidRPr="004C771B">
        <w:rPr>
          <w:lang w:val="en-US"/>
        </w:rPr>
        <w:t xml:space="preserve">were at risk of </w:t>
      </w:r>
      <w:r w:rsidRPr="004C771B">
        <w:rPr>
          <w:lang w:val="en-US"/>
        </w:rPr>
        <w:t xml:space="preserve">energy default, but they were unrepresented in the company’s hardship program and over-represented in disconnections. Lump sum concessions in most states (except Victoria) meant </w:t>
      </w:r>
      <w:r w:rsidR="00D50760" w:rsidRPr="004C771B">
        <w:rPr>
          <w:lang w:val="en-US"/>
        </w:rPr>
        <w:t xml:space="preserve">concession </w:t>
      </w:r>
      <w:r w:rsidRPr="004C771B">
        <w:rPr>
          <w:lang w:val="en-US"/>
        </w:rPr>
        <w:t xml:space="preserve">payments </w:t>
      </w:r>
      <w:r w:rsidR="00D50760" w:rsidRPr="004C771B">
        <w:rPr>
          <w:lang w:val="en-US"/>
        </w:rPr>
        <w:t xml:space="preserve">are </w:t>
      </w:r>
      <w:r w:rsidRPr="004C771B">
        <w:rPr>
          <w:lang w:val="en-US"/>
        </w:rPr>
        <w:t>skewed tow</w:t>
      </w:r>
      <w:r w:rsidR="00D50760" w:rsidRPr="004C771B">
        <w:rPr>
          <w:lang w:val="en-US"/>
        </w:rPr>
        <w:t>ards smaller households who use</w:t>
      </w:r>
      <w:r w:rsidRPr="004C771B">
        <w:rPr>
          <w:lang w:val="en-US"/>
        </w:rPr>
        <w:t xml:space="preserve"> less energy. The authors suggest linking payments to the number of persons per household and </w:t>
      </w:r>
      <w:r w:rsidRPr="004C771B">
        <w:rPr>
          <w:lang w:val="en-US"/>
        </w:rPr>
        <w:lastRenderedPageBreak/>
        <w:t xml:space="preserve">extending eligibility to those receiving Family Tax Benefits A. This gap is considered to be the ‘yawning gap’ in energy policy hardship frameworks. </w:t>
      </w:r>
    </w:p>
    <w:p w14:paraId="03274468" w14:textId="77777777" w:rsidR="00B57A17" w:rsidRPr="004C771B" w:rsidRDefault="00B57A17" w:rsidP="00D50760">
      <w:pPr>
        <w:ind w:left="851"/>
        <w:rPr>
          <w:lang w:val="en-US"/>
        </w:rPr>
      </w:pPr>
      <w:r w:rsidRPr="004C771B">
        <w:rPr>
          <w:lang w:val="en-US"/>
        </w:rPr>
        <w:t xml:space="preserve">The article also </w:t>
      </w:r>
      <w:r w:rsidR="00D50760" w:rsidRPr="004C771B">
        <w:rPr>
          <w:lang w:val="en-US"/>
        </w:rPr>
        <w:t>discusses</w:t>
      </w:r>
      <w:r w:rsidRPr="004C771B">
        <w:rPr>
          <w:lang w:val="en-US"/>
        </w:rPr>
        <w:t xml:space="preserve"> funding options for hardship policies and efficiency schemes</w:t>
      </w:r>
      <w:r w:rsidR="00D50760" w:rsidRPr="004C771B">
        <w:rPr>
          <w:lang w:val="en-US"/>
        </w:rPr>
        <w:t>,</w:t>
      </w:r>
      <w:r w:rsidRPr="004C771B">
        <w:rPr>
          <w:lang w:val="en-US"/>
        </w:rPr>
        <w:t xml:space="preserve"> but unsurprising</w:t>
      </w:r>
      <w:r w:rsidR="00D50760" w:rsidRPr="004C771B">
        <w:rPr>
          <w:lang w:val="en-US"/>
        </w:rPr>
        <w:t>ly</w:t>
      </w:r>
      <w:r w:rsidRPr="004C771B">
        <w:rPr>
          <w:lang w:val="en-US"/>
        </w:rPr>
        <w:t xml:space="preserve"> concludes that it is more efficient for government to fund them than corporations, as the taxation system is less regressive in obtainin</w:t>
      </w:r>
      <w:r w:rsidR="008D1F69" w:rsidRPr="004C771B">
        <w:rPr>
          <w:lang w:val="en-US"/>
        </w:rPr>
        <w:t>g contributions than a customer-</w:t>
      </w:r>
      <w:r w:rsidRPr="004C771B">
        <w:rPr>
          <w:lang w:val="en-US"/>
        </w:rPr>
        <w:t>based levy on consumption. The authors conclude that a levy on consumers will aggravate hardship as prices rise.</w:t>
      </w:r>
    </w:p>
    <w:p w14:paraId="61BCFA33" w14:textId="236BB696" w:rsidR="00EC1A0A" w:rsidRPr="004C771B" w:rsidRDefault="00EC1A0A" w:rsidP="006E35ED">
      <w:pPr>
        <w:ind w:left="360"/>
        <w:rPr>
          <w:lang w:val="en-US"/>
        </w:rPr>
      </w:pPr>
      <w:r w:rsidRPr="004C771B">
        <w:rPr>
          <w:lang w:val="en-US"/>
        </w:rPr>
        <w:t>Utility Debt Spiral Study Reference Group, Committee for Melbourne, Novembe</w:t>
      </w:r>
      <w:r w:rsidR="00547692">
        <w:rPr>
          <w:lang w:val="en-US"/>
        </w:rPr>
        <w:t xml:space="preserve">r 2004, </w:t>
      </w:r>
      <w:hyperlink r:id="rId35" w:history="1">
        <w:r w:rsidRPr="00547692">
          <w:rPr>
            <w:rStyle w:val="Hyperlink"/>
            <w:i/>
            <w:lang w:val="en-US"/>
          </w:rPr>
          <w:t>Utility Debt Spiral Project – Main Report</w:t>
        </w:r>
      </w:hyperlink>
      <w:r w:rsidRPr="004C771B">
        <w:rPr>
          <w:lang w:val="en-US"/>
        </w:rPr>
        <w:t xml:space="preserve">. </w:t>
      </w:r>
    </w:p>
    <w:p w14:paraId="29D77010" w14:textId="46941B3F" w:rsidR="00EC1A0A" w:rsidRPr="004C771B" w:rsidRDefault="00EC1A0A" w:rsidP="006E35ED">
      <w:pPr>
        <w:ind w:left="810"/>
        <w:rPr>
          <w:lang w:val="en-US"/>
        </w:rPr>
      </w:pPr>
      <w:r w:rsidRPr="004C771B">
        <w:rPr>
          <w:lang w:val="en-US"/>
        </w:rPr>
        <w:t xml:space="preserve">This flagship 254 page report is a compilation of four reports. The project addressed the specific question of: ‘Customers experiencing financial hardship, either temporary or chronic: How should energy and water providers, governments and regulators best respond?’ </w:t>
      </w:r>
    </w:p>
    <w:p w14:paraId="48F2E11D" w14:textId="2A0DF3E1" w:rsidR="00EC1A0A" w:rsidRPr="004C771B" w:rsidRDefault="00EC1A0A" w:rsidP="00EC1A0A">
      <w:pPr>
        <w:ind w:left="810"/>
        <w:rPr>
          <w:lang w:val="en-US"/>
        </w:rPr>
      </w:pPr>
      <w:r w:rsidRPr="004C771B">
        <w:rPr>
          <w:lang w:val="en-US"/>
        </w:rPr>
        <w:t xml:space="preserve">The project </w:t>
      </w:r>
      <w:r w:rsidR="0088638A">
        <w:rPr>
          <w:lang w:val="en-US"/>
        </w:rPr>
        <w:t>objectives</w:t>
      </w:r>
      <w:r w:rsidRPr="004C771B">
        <w:rPr>
          <w:lang w:val="en-US"/>
        </w:rPr>
        <w:t xml:space="preserve"> included:</w:t>
      </w:r>
    </w:p>
    <w:p w14:paraId="28B3046E" w14:textId="77777777" w:rsidR="00EC1A0A" w:rsidRPr="004C771B" w:rsidRDefault="00EC1A0A" w:rsidP="00EC1A0A">
      <w:pPr>
        <w:pStyle w:val="ListParagraph"/>
        <w:numPr>
          <w:ilvl w:val="0"/>
          <w:numId w:val="24"/>
        </w:numPr>
        <w:spacing w:after="120" w:line="240" w:lineRule="auto"/>
        <w:ind w:left="1166"/>
        <w:rPr>
          <w:lang w:val="en-US"/>
        </w:rPr>
      </w:pPr>
      <w:r w:rsidRPr="004C771B">
        <w:rPr>
          <w:lang w:val="en-US"/>
        </w:rPr>
        <w:t>Reduce utility hardship for the financially disadvantaged</w:t>
      </w:r>
    </w:p>
    <w:p w14:paraId="76BDC334" w14:textId="38C5ACA0" w:rsidR="00EC1A0A" w:rsidRPr="004C771B" w:rsidRDefault="006E35ED" w:rsidP="00EC1A0A">
      <w:pPr>
        <w:numPr>
          <w:ilvl w:val="0"/>
          <w:numId w:val="24"/>
        </w:numPr>
        <w:spacing w:after="120" w:line="240" w:lineRule="auto"/>
        <w:ind w:left="1166"/>
        <w:rPr>
          <w:lang w:val="en-US"/>
        </w:rPr>
      </w:pPr>
      <w:r>
        <w:rPr>
          <w:lang w:val="en-US"/>
        </w:rPr>
        <w:t>P</w:t>
      </w:r>
      <w:r w:rsidR="00EC1A0A" w:rsidRPr="004C771B">
        <w:rPr>
          <w:lang w:val="en-US"/>
        </w:rPr>
        <w:t>roduc</w:t>
      </w:r>
      <w:r>
        <w:rPr>
          <w:lang w:val="en-US"/>
        </w:rPr>
        <w:t xml:space="preserve">tion of </w:t>
      </w:r>
      <w:r w:rsidR="00EC1A0A" w:rsidRPr="004C771B">
        <w:rPr>
          <w:lang w:val="en-US"/>
        </w:rPr>
        <w:t>a ‘best practice’ model</w:t>
      </w:r>
    </w:p>
    <w:p w14:paraId="68F69A86" w14:textId="5ECEC3C0" w:rsidR="00EC1A0A" w:rsidRPr="004C771B" w:rsidRDefault="006E35ED" w:rsidP="00EC1A0A">
      <w:pPr>
        <w:numPr>
          <w:ilvl w:val="0"/>
          <w:numId w:val="24"/>
        </w:numPr>
        <w:spacing w:after="120" w:line="240" w:lineRule="auto"/>
        <w:ind w:left="1166"/>
        <w:rPr>
          <w:lang w:val="en-US"/>
        </w:rPr>
      </w:pPr>
      <w:r>
        <w:rPr>
          <w:lang w:val="en-US"/>
        </w:rPr>
        <w:t>Encouragement of</w:t>
      </w:r>
      <w:r w:rsidR="00EC1A0A" w:rsidRPr="004C771B">
        <w:rPr>
          <w:lang w:val="en-US"/>
        </w:rPr>
        <w:t xml:space="preserve"> cross-sector partnership</w:t>
      </w:r>
    </w:p>
    <w:p w14:paraId="5792F19A" w14:textId="5CD6CCA8" w:rsidR="00EC1A0A" w:rsidRPr="004C771B" w:rsidRDefault="00EC1A0A" w:rsidP="006E35ED">
      <w:pPr>
        <w:ind w:left="810"/>
        <w:rPr>
          <w:lang w:val="en-US"/>
        </w:rPr>
      </w:pPr>
      <w:r w:rsidRPr="004C771B">
        <w:rPr>
          <w:lang w:val="en-US"/>
        </w:rPr>
        <w:t xml:space="preserve">Part A is a </w:t>
      </w:r>
      <w:r w:rsidRPr="004C771B">
        <w:rPr>
          <w:i/>
          <w:iCs/>
          <w:lang w:val="en-US"/>
        </w:rPr>
        <w:t xml:space="preserve">Discussion Paper, </w:t>
      </w:r>
      <w:r w:rsidRPr="004C771B">
        <w:rPr>
          <w:lang w:val="en-US"/>
        </w:rPr>
        <w:t xml:space="preserve">prepared by The Allen Consulting Group to prompt discussion among stakeholders at a Phase 2 Workshop in August 2004. The Workshop canvassed issues arising from the three research reports, and next steps to develop recommended improvements to the Victorian arrangements. </w:t>
      </w:r>
      <w:r w:rsidRPr="004C771B">
        <w:rPr>
          <w:iCs/>
          <w:lang w:val="en-US"/>
        </w:rPr>
        <w:t>Part B</w:t>
      </w:r>
      <w:r w:rsidRPr="004C771B">
        <w:rPr>
          <w:i/>
          <w:iCs/>
          <w:lang w:val="en-US"/>
        </w:rPr>
        <w:t xml:space="preserve"> </w:t>
      </w:r>
      <w:r w:rsidRPr="004C771B">
        <w:rPr>
          <w:iCs/>
          <w:lang w:val="en-US"/>
        </w:rPr>
        <w:t>covered</w:t>
      </w:r>
      <w:r w:rsidRPr="004C771B">
        <w:rPr>
          <w:i/>
          <w:iCs/>
          <w:lang w:val="en-US"/>
        </w:rPr>
        <w:t xml:space="preserve"> Poverty, hardship and utilities-related financial stress in Victoria. </w:t>
      </w:r>
      <w:r w:rsidRPr="004C771B">
        <w:rPr>
          <w:lang w:val="en-US"/>
        </w:rPr>
        <w:t xml:space="preserve">This report assesses existing data regarding susceptibility to experiencing hardship, and the relationship between poverty and utility stress. It was written by Peter </w:t>
      </w:r>
      <w:proofErr w:type="spellStart"/>
      <w:r w:rsidRPr="004C771B">
        <w:rPr>
          <w:lang w:val="en-US"/>
        </w:rPr>
        <w:t>Siminski</w:t>
      </w:r>
      <w:proofErr w:type="spellEnd"/>
      <w:r w:rsidRPr="004C771B">
        <w:rPr>
          <w:lang w:val="en-US"/>
        </w:rPr>
        <w:t xml:space="preserve"> of the Social Policy Research Centre, University of New South Wales. </w:t>
      </w:r>
      <w:r w:rsidRPr="004C771B">
        <w:rPr>
          <w:i/>
          <w:iCs/>
          <w:lang w:val="en-US"/>
        </w:rPr>
        <w:t>Part C: Utilit</w:t>
      </w:r>
      <w:r w:rsidR="00500167">
        <w:rPr>
          <w:i/>
          <w:iCs/>
          <w:lang w:val="en-US"/>
        </w:rPr>
        <w:t xml:space="preserve">y regulatory framework mapping </w:t>
      </w:r>
      <w:r w:rsidRPr="004C771B">
        <w:rPr>
          <w:lang w:val="en-US"/>
        </w:rPr>
        <w:t>outlines the existing Victorian regulatory framework for utility debt, and draws conclusions on the characteristics of effective social and economic regulatory fr</w:t>
      </w:r>
      <w:r w:rsidR="006E35ED">
        <w:rPr>
          <w:lang w:val="en-US"/>
        </w:rPr>
        <w:t xml:space="preserve">ameworks and policies to assist </w:t>
      </w:r>
      <w:r w:rsidRPr="004C771B">
        <w:rPr>
          <w:lang w:val="en-US"/>
        </w:rPr>
        <w:t xml:space="preserve">people at risk. </w:t>
      </w:r>
      <w:r w:rsidR="00500167">
        <w:rPr>
          <w:i/>
          <w:iCs/>
          <w:lang w:val="en-US"/>
        </w:rPr>
        <w:t xml:space="preserve">Part D </w:t>
      </w:r>
      <w:r w:rsidRPr="004C771B">
        <w:rPr>
          <w:lang w:val="en-US"/>
        </w:rPr>
        <w:t xml:space="preserve">outlines best practices by Victorian energy and water companies in avoiding disconnection from essential services </w:t>
      </w:r>
      <w:r w:rsidR="00493B1F">
        <w:rPr>
          <w:lang w:val="en-US"/>
        </w:rPr>
        <w:t>due to customers’</w:t>
      </w:r>
      <w:r w:rsidRPr="004C771B">
        <w:rPr>
          <w:lang w:val="en-US"/>
        </w:rPr>
        <w:t xml:space="preserve"> inability to pay. The report was undertaken by the Office of</w:t>
      </w:r>
      <w:r w:rsidR="00493B1F">
        <w:rPr>
          <w:lang w:val="en-US"/>
        </w:rPr>
        <w:t xml:space="preserve"> the Energy and Water Ombudsman </w:t>
      </w:r>
      <w:r w:rsidRPr="004C771B">
        <w:rPr>
          <w:lang w:val="en-US"/>
        </w:rPr>
        <w:t xml:space="preserve">of Victoria. </w:t>
      </w:r>
    </w:p>
    <w:p w14:paraId="631BD7F3" w14:textId="486ABD69" w:rsidR="00EC1A0A" w:rsidRPr="004C771B" w:rsidRDefault="00EC1A0A" w:rsidP="00EC1A0A">
      <w:pPr>
        <w:rPr>
          <w:lang w:val="en-US"/>
        </w:rPr>
      </w:pPr>
      <w:proofErr w:type="spellStart"/>
      <w:r w:rsidRPr="004C771B">
        <w:rPr>
          <w:lang w:val="en-US"/>
        </w:rPr>
        <w:t>Wein</w:t>
      </w:r>
      <w:proofErr w:type="spellEnd"/>
      <w:r w:rsidRPr="004C771B">
        <w:rPr>
          <w:lang w:val="en-US"/>
        </w:rPr>
        <w:t xml:space="preserve">, </w:t>
      </w:r>
      <w:proofErr w:type="spellStart"/>
      <w:r w:rsidRPr="004C771B">
        <w:rPr>
          <w:lang w:val="en-US"/>
        </w:rPr>
        <w:t>Paen</w:t>
      </w:r>
      <w:proofErr w:type="spellEnd"/>
      <w:r w:rsidRPr="004C771B">
        <w:rPr>
          <w:lang w:val="en-US"/>
        </w:rPr>
        <w:t xml:space="preserve">, </w:t>
      </w:r>
      <w:proofErr w:type="spellStart"/>
      <w:r w:rsidRPr="004C771B">
        <w:rPr>
          <w:lang w:val="en-US"/>
        </w:rPr>
        <w:t>Ya</w:t>
      </w:r>
      <w:proofErr w:type="spellEnd"/>
      <w:r w:rsidRPr="004C771B">
        <w:rPr>
          <w:lang w:val="en-US"/>
        </w:rPr>
        <w:t xml:space="preserve"> &amp; </w:t>
      </w:r>
      <w:proofErr w:type="spellStart"/>
      <w:r w:rsidRPr="004C771B">
        <w:rPr>
          <w:lang w:val="en-US"/>
        </w:rPr>
        <w:t>Gim</w:t>
      </w:r>
      <w:proofErr w:type="spellEnd"/>
      <w:r w:rsidRPr="004C771B">
        <w:rPr>
          <w:lang w:val="en-US"/>
        </w:rPr>
        <w:t xml:space="preserve">, Consumer Utilities Advocacy Centre, December 2011, </w:t>
      </w:r>
      <w:hyperlink r:id="rId36" w:history="1">
        <w:r w:rsidRPr="00547692">
          <w:rPr>
            <w:rStyle w:val="Hyperlink"/>
            <w:i/>
            <w:lang w:val="en-US"/>
          </w:rPr>
          <w:t xml:space="preserve">Victorian Aboriginal </w:t>
        </w:r>
        <w:r w:rsidR="00547692" w:rsidRPr="00547692">
          <w:rPr>
            <w:rStyle w:val="Hyperlink"/>
            <w:i/>
            <w:lang w:val="en-US"/>
          </w:rPr>
          <w:t>experiences of energy and water</w:t>
        </w:r>
      </w:hyperlink>
      <w:r w:rsidR="00493B1F">
        <w:rPr>
          <w:lang w:val="en-US"/>
        </w:rPr>
        <w:t>.</w:t>
      </w:r>
    </w:p>
    <w:p w14:paraId="25791D43" w14:textId="1571B8DE" w:rsidR="00EC1A0A" w:rsidRPr="004C771B" w:rsidRDefault="00EC1A0A" w:rsidP="00447A45">
      <w:pPr>
        <w:ind w:left="720"/>
        <w:rPr>
          <w:i/>
          <w:lang w:val="en-US"/>
        </w:rPr>
      </w:pPr>
      <w:r w:rsidRPr="004C771B">
        <w:rPr>
          <w:lang w:val="en-US"/>
        </w:rPr>
        <w:t>This comprehensive report looks at water and energy related hardship for Victoria’s Aboriginal people. It offers practical solutions to the challenges they face. Most of the recommendations</w:t>
      </w:r>
      <w:r w:rsidR="001F3216">
        <w:rPr>
          <w:lang w:val="en-US"/>
        </w:rPr>
        <w:t>,</w:t>
      </w:r>
      <w:r w:rsidRPr="004C771B">
        <w:rPr>
          <w:lang w:val="en-US"/>
        </w:rPr>
        <w:t xml:space="preserve"> if implemented</w:t>
      </w:r>
      <w:r w:rsidR="001F3216">
        <w:rPr>
          <w:lang w:val="en-US"/>
        </w:rPr>
        <w:t>,</w:t>
      </w:r>
      <w:r w:rsidRPr="004C771B">
        <w:rPr>
          <w:lang w:val="en-US"/>
        </w:rPr>
        <w:t xml:space="preserve"> would provide improved outcomes for all Australians facing payment issues. The issue of lack of awareness about hardship programs and missing out on concession entitlements is raised. </w:t>
      </w:r>
    </w:p>
    <w:p w14:paraId="5B7AEF2F" w14:textId="77777777" w:rsidR="00B57A17" w:rsidRPr="004C771B" w:rsidRDefault="00B57A17" w:rsidP="00447A45">
      <w:pPr>
        <w:pStyle w:val="Heading2"/>
      </w:pPr>
      <w:bookmarkStart w:id="88" w:name="_Toc387144792"/>
      <w:r w:rsidRPr="004C771B">
        <w:lastRenderedPageBreak/>
        <w:t>Websites</w:t>
      </w:r>
      <w:bookmarkEnd w:id="88"/>
    </w:p>
    <w:p w14:paraId="1636D570" w14:textId="77777777" w:rsidR="0080471F" w:rsidRPr="004C771B" w:rsidRDefault="005C4362" w:rsidP="00B57A17">
      <w:r w:rsidRPr="004C771B">
        <w:t xml:space="preserve">These </w:t>
      </w:r>
      <w:r w:rsidR="00226A0F" w:rsidRPr="004C771B">
        <w:t xml:space="preserve">US </w:t>
      </w:r>
      <w:r w:rsidRPr="004C771B">
        <w:t xml:space="preserve">websites are included as they showcase innovative programs in the US relating to hardship and affordability. </w:t>
      </w:r>
    </w:p>
    <w:p w14:paraId="7A508B16" w14:textId="77777777" w:rsidR="006E35ED" w:rsidRDefault="00B57A17" w:rsidP="00B57A17">
      <w:proofErr w:type="gramStart"/>
      <w:r w:rsidRPr="004C771B">
        <w:t xml:space="preserve">Assurancewireless.com, </w:t>
      </w:r>
      <w:hyperlink r:id="rId37" w:history="1">
        <w:r w:rsidRPr="004C771B">
          <w:rPr>
            <w:rStyle w:val="Hyperlink"/>
          </w:rPr>
          <w:t>http://www.assurancewireless.com/Public/Welcome.aspx</w:t>
        </w:r>
      </w:hyperlink>
      <w:r w:rsidRPr="004C771B">
        <w:t xml:space="preserve"> (accessed 8 October 2013)</w:t>
      </w:r>
      <w:r w:rsidR="006E35ED">
        <w:t>.</w:t>
      </w:r>
      <w:proofErr w:type="gramEnd"/>
      <w:r w:rsidR="006E35ED">
        <w:t xml:space="preserve"> </w:t>
      </w:r>
    </w:p>
    <w:p w14:paraId="50A6EAB9" w14:textId="4E9E6592" w:rsidR="00B57A17" w:rsidRPr="004C771B" w:rsidRDefault="006E35ED" w:rsidP="006E35ED">
      <w:pPr>
        <w:ind w:left="851"/>
      </w:pPr>
      <w:r>
        <w:t>Assurance Wireless</w:t>
      </w:r>
      <w:r w:rsidR="00C13754" w:rsidRPr="004C771B">
        <w:t xml:space="preserve"> is an example of a </w:t>
      </w:r>
      <w:r w:rsidR="006504A6" w:rsidRPr="004C771B">
        <w:t xml:space="preserve">flexible and affordable </w:t>
      </w:r>
      <w:r>
        <w:t xml:space="preserve">US Government </w:t>
      </w:r>
      <w:r w:rsidR="00C13754" w:rsidRPr="004C771B">
        <w:t xml:space="preserve">mobile </w:t>
      </w:r>
      <w:r w:rsidR="001F3216">
        <w:t>phone program, called Lifeline A</w:t>
      </w:r>
      <w:r w:rsidR="00C13754" w:rsidRPr="004C771B">
        <w:t>ssistance</w:t>
      </w:r>
      <w:r w:rsidR="003F474E" w:rsidRPr="004C771B">
        <w:t xml:space="preserve"> Program. It is </w:t>
      </w:r>
      <w:r w:rsidR="00C13754" w:rsidRPr="004C771B">
        <w:t xml:space="preserve">delivered by a </w:t>
      </w:r>
      <w:r w:rsidR="003F474E" w:rsidRPr="004C771B">
        <w:t xml:space="preserve">number of providers including a </w:t>
      </w:r>
      <w:r w:rsidR="00C13754" w:rsidRPr="004C771B">
        <w:t>mainstream telco, Virgin Mobile</w:t>
      </w:r>
      <w:r w:rsidR="003F474E" w:rsidRPr="004C771B">
        <w:t>. The government program is supported by the federal Universal Service Fund. Currently</w:t>
      </w:r>
      <w:r w:rsidR="00B01214">
        <w:t>,</w:t>
      </w:r>
      <w:r w:rsidR="003F474E" w:rsidRPr="004C771B">
        <w:t xml:space="preserve"> Assurance Wireless offers eligible customers a free mobile phone with 250 free voice minutes and 250 free texts per month, with no contracts or activation fees.</w:t>
      </w:r>
      <w:r w:rsidR="006504A6" w:rsidRPr="004C771B">
        <w:t xml:space="preserve"> The web page outlines</w:t>
      </w:r>
      <w:r w:rsidR="003F474E" w:rsidRPr="004C771B">
        <w:t xml:space="preserve"> eligibility criteria</w:t>
      </w:r>
      <w:r w:rsidR="006504A6" w:rsidRPr="004C771B">
        <w:t xml:space="preserve">, </w:t>
      </w:r>
      <w:r>
        <w:t>and information on</w:t>
      </w:r>
      <w:r w:rsidR="006504A6" w:rsidRPr="004C771B">
        <w:t xml:space="preserve"> eligibility for a host of government programs</w:t>
      </w:r>
      <w:r w:rsidR="003F474E" w:rsidRPr="004C771B">
        <w:t xml:space="preserve">. Note that some states recognise </w:t>
      </w:r>
      <w:r w:rsidR="006504A6" w:rsidRPr="004C771B">
        <w:t>‘</w:t>
      </w:r>
      <w:r w:rsidR="003F474E" w:rsidRPr="004C771B">
        <w:t>income</w:t>
      </w:r>
      <w:r w:rsidR="006504A6" w:rsidRPr="004C771B">
        <w:t>’ not as an absolute amount but</w:t>
      </w:r>
      <w:r w:rsidR="003F474E" w:rsidRPr="004C771B">
        <w:t xml:space="preserve"> relative </w:t>
      </w:r>
      <w:r w:rsidR="006504A6" w:rsidRPr="004C771B">
        <w:t xml:space="preserve">to </w:t>
      </w:r>
      <w:r w:rsidR="003F474E" w:rsidRPr="004C771B">
        <w:t xml:space="preserve">household size, which is a more refined measure than income alone. </w:t>
      </w:r>
      <w:r w:rsidR="006504A6" w:rsidRPr="004C771B">
        <w:t xml:space="preserve">There is a table </w:t>
      </w:r>
      <w:r>
        <w:t>that</w:t>
      </w:r>
      <w:r w:rsidR="006504A6" w:rsidRPr="004C771B">
        <w:t xml:space="preserve"> increases the income limit depending on household size. </w:t>
      </w:r>
      <w:r w:rsidR="003F474E" w:rsidRPr="004C771B">
        <w:t>There are a few affordable plans to choose from if customers need more minutes.</w:t>
      </w:r>
      <w:r w:rsidR="005411EA" w:rsidRPr="004C771B">
        <w:t xml:space="preserve"> The design includes flexibility and affordability.</w:t>
      </w:r>
    </w:p>
    <w:p w14:paraId="0FA9ECF9" w14:textId="77777777" w:rsidR="006E35ED" w:rsidRDefault="00B57A17" w:rsidP="00B57A17">
      <w:proofErr w:type="gramStart"/>
      <w:r w:rsidRPr="004C771B">
        <w:t xml:space="preserve">Massresources.org, ‘Utility and telephone discounts’ </w:t>
      </w:r>
      <w:hyperlink r:id="rId38" w:history="1">
        <w:r w:rsidRPr="004C771B">
          <w:rPr>
            <w:rStyle w:val="Hyperlink"/>
          </w:rPr>
          <w:t>http://www.massresources.org/utility-discounts.html</w:t>
        </w:r>
      </w:hyperlink>
      <w:r w:rsidRPr="004C771B">
        <w:t xml:space="preserve"> (accessed 8 October 2013)</w:t>
      </w:r>
      <w:r w:rsidR="00226A0F" w:rsidRPr="004C771B">
        <w:t>.</w:t>
      </w:r>
      <w:proofErr w:type="gramEnd"/>
      <w:r w:rsidR="00226A0F" w:rsidRPr="004C771B">
        <w:t xml:space="preserve"> </w:t>
      </w:r>
    </w:p>
    <w:p w14:paraId="2E87AE86" w14:textId="04F4B479" w:rsidR="00B57A17" w:rsidRPr="004C771B" w:rsidRDefault="00226A0F" w:rsidP="006E35ED">
      <w:pPr>
        <w:ind w:left="851"/>
      </w:pPr>
      <w:r w:rsidRPr="004C771B">
        <w:t xml:space="preserve">In Massachusetts, there is legislation requiring both utility and phone companies to offer discounted </w:t>
      </w:r>
      <w:r w:rsidRPr="004C771B">
        <w:rPr>
          <w:i/>
        </w:rPr>
        <w:t xml:space="preserve">rates </w:t>
      </w:r>
      <w:r w:rsidRPr="004C771B">
        <w:t xml:space="preserve">to low-income </w:t>
      </w:r>
      <w:proofErr w:type="gramStart"/>
      <w:r w:rsidRPr="004C771B">
        <w:t>customers</w:t>
      </w:r>
      <w:r w:rsidR="002F6351" w:rsidRPr="004C771B">
        <w:t>,</w:t>
      </w:r>
      <w:proofErr w:type="gramEnd"/>
      <w:r w:rsidR="002F6351" w:rsidRPr="004C771B">
        <w:t xml:space="preserve"> however they are required to get the same level of service as customers paying the full rate. It also has information about the Lifeline</w:t>
      </w:r>
      <w:r w:rsidR="006E35ED">
        <w:t xml:space="preserve"> –</w:t>
      </w:r>
      <w:r w:rsidR="00957FA1" w:rsidRPr="004C771B">
        <w:t xml:space="preserve"> a government supported </w:t>
      </w:r>
      <w:r w:rsidR="002F6351" w:rsidRPr="004C771B">
        <w:t xml:space="preserve">program that offers a discounted basic phone service for landline phones or a free mobile phone for customers who have gone solely down the mobile path. </w:t>
      </w:r>
      <w:r w:rsidR="00957FA1" w:rsidRPr="004C771B">
        <w:t xml:space="preserve">There are no contracts or monthly fees – it is an affordable service designed to counter social exclusion. There are a number of different calling plans. </w:t>
      </w:r>
      <w:r w:rsidR="002F6351" w:rsidRPr="004C771B">
        <w:t>In contrast, in Australia the universal service p</w:t>
      </w:r>
      <w:r w:rsidR="00957FA1" w:rsidRPr="004C771B">
        <w:t>rovision only covers landlines and is more limited.</w:t>
      </w:r>
    </w:p>
    <w:p w14:paraId="263F1310" w14:textId="243498EC" w:rsidR="00B57A17" w:rsidRPr="004C771B" w:rsidRDefault="00B57A17" w:rsidP="00B57A17">
      <w:r w:rsidRPr="004C771B">
        <w:t xml:space="preserve">Pennsylvania Public Utility Commission, Energy Assistance Programs, </w:t>
      </w:r>
      <w:hyperlink r:id="rId39" w:history="1">
        <w:r w:rsidRPr="004C771B">
          <w:rPr>
            <w:rStyle w:val="Hyperlink"/>
          </w:rPr>
          <w:t>http://www.puc.state.pa.us/consumer_info/electricity/energy_assistance_programs.aspx</w:t>
        </w:r>
      </w:hyperlink>
      <w:r w:rsidR="00B01214">
        <w:t xml:space="preserve"> (a</w:t>
      </w:r>
      <w:r w:rsidRPr="004C771B">
        <w:t xml:space="preserve">ccessed 10 October 2013). </w:t>
      </w:r>
    </w:p>
    <w:p w14:paraId="5CCB121F" w14:textId="2F5F512D" w:rsidR="00B57A17" w:rsidRPr="004C771B" w:rsidRDefault="00B57A17" w:rsidP="006E35ED">
      <w:pPr>
        <w:ind w:left="851"/>
      </w:pPr>
      <w:r w:rsidRPr="004C771B">
        <w:t xml:space="preserve">This </w:t>
      </w:r>
      <w:r w:rsidR="009F133C" w:rsidRPr="004C771B">
        <w:t xml:space="preserve">website describes the various </w:t>
      </w:r>
      <w:r w:rsidR="00332954" w:rsidRPr="004C771B">
        <w:t>utility a</w:t>
      </w:r>
      <w:r w:rsidRPr="004C771B">
        <w:t xml:space="preserve">ssistance programs </w:t>
      </w:r>
      <w:r w:rsidR="00332954" w:rsidRPr="004C771B">
        <w:t>mandated by regulation in Pennsylvania</w:t>
      </w:r>
      <w:r w:rsidRPr="004C771B">
        <w:t xml:space="preserve">. </w:t>
      </w:r>
      <w:r w:rsidR="00332954" w:rsidRPr="004C771B">
        <w:t>These programs include:</w:t>
      </w:r>
      <w:r w:rsidRPr="004C771B">
        <w:t xml:space="preserve"> bill sm</w:t>
      </w:r>
      <w:r w:rsidR="00332954" w:rsidRPr="004C771B">
        <w:t>oothing (called budget billing); CAP or custo</w:t>
      </w:r>
      <w:r w:rsidR="006E35ED">
        <w:t>mer assistance program –</w:t>
      </w:r>
      <w:r w:rsidR="00332954" w:rsidRPr="004C771B">
        <w:t xml:space="preserve"> </w:t>
      </w:r>
      <w:r w:rsidRPr="004C771B">
        <w:t>a bill subsidy for low-income earners b</w:t>
      </w:r>
      <w:r w:rsidR="00332954" w:rsidRPr="004C771B">
        <w:t>a</w:t>
      </w:r>
      <w:r w:rsidR="006E35ED">
        <w:t>sed on usage and affordability;</w:t>
      </w:r>
      <w:r w:rsidRPr="004C771B">
        <w:t xml:space="preserve"> CARES </w:t>
      </w:r>
      <w:r w:rsidR="004859A9" w:rsidRPr="004C771B">
        <w:t>–</w:t>
      </w:r>
      <w:r w:rsidRPr="004C771B">
        <w:t xml:space="preserve"> a referral program to </w:t>
      </w:r>
      <w:r w:rsidR="00332954" w:rsidRPr="004C771B">
        <w:t xml:space="preserve">a professional equivalent to </w:t>
      </w:r>
      <w:r w:rsidR="00AD2192" w:rsidRPr="004C771B">
        <w:t>what we call a financial counsellor in Australia or to an emergency relief program;</w:t>
      </w:r>
      <w:r w:rsidRPr="004C771B">
        <w:t xml:space="preserve"> a low-income usage </w:t>
      </w:r>
      <w:r w:rsidR="00AD2192" w:rsidRPr="004C771B">
        <w:t xml:space="preserve">reduction program; </w:t>
      </w:r>
      <w:r w:rsidRPr="004C771B">
        <w:t xml:space="preserve">hardship funds </w:t>
      </w:r>
      <w:r w:rsidR="006E35ED">
        <w:t>–</w:t>
      </w:r>
      <w:r w:rsidR="00AD2192" w:rsidRPr="004C771B">
        <w:t xml:space="preserve"> </w:t>
      </w:r>
      <w:r w:rsidRPr="004C771B">
        <w:t>funded in various ways including by donati</w:t>
      </w:r>
      <w:r w:rsidR="00AD2192" w:rsidRPr="004C771B">
        <w:t>ons and matched corporate funds;</w:t>
      </w:r>
      <w:r w:rsidRPr="004C771B">
        <w:t xml:space="preserve"> and </w:t>
      </w:r>
      <w:r w:rsidR="00AD2192" w:rsidRPr="004C771B">
        <w:t xml:space="preserve">facilitated access to federal </w:t>
      </w:r>
      <w:r w:rsidR="006E35ED">
        <w:t>emergency assistance programs.</w:t>
      </w:r>
      <w:r w:rsidRPr="004C771B">
        <w:t xml:space="preserve"> The website also has links to company evaluations and </w:t>
      </w:r>
      <w:r w:rsidR="00AD2192" w:rsidRPr="004C771B">
        <w:t>three</w:t>
      </w:r>
      <w:r w:rsidRPr="004C771B">
        <w:t xml:space="preserve"> year implementation plans.</w:t>
      </w:r>
    </w:p>
    <w:p w14:paraId="3AEB2470" w14:textId="0FAD5FB8" w:rsidR="00A06123" w:rsidRDefault="00B24F38">
      <w:r>
        <w:br w:type="page"/>
      </w:r>
    </w:p>
    <w:p w14:paraId="69E1A48B" w14:textId="77777777" w:rsidR="00A06123" w:rsidRDefault="00A06123" w:rsidP="00A06123">
      <w:pPr>
        <w:pStyle w:val="Heading1"/>
        <w:rPr>
          <w:lang w:val="en-US" w:eastAsia="ja-JP"/>
        </w:rPr>
      </w:pPr>
      <w:bookmarkStart w:id="89" w:name="_Toc387144793"/>
      <w:r>
        <w:rPr>
          <w:lang w:val="en-US" w:eastAsia="ja-JP"/>
        </w:rPr>
        <w:lastRenderedPageBreak/>
        <w:t>Glossary</w:t>
      </w:r>
      <w:bookmarkEnd w:id="89"/>
    </w:p>
    <w:p w14:paraId="107249C2" w14:textId="77777777" w:rsidR="00A06123" w:rsidRDefault="00A06123" w:rsidP="00A06123">
      <w:pPr>
        <w:pStyle w:val="NoSpacing"/>
      </w:pPr>
    </w:p>
    <w:p w14:paraId="0B84421D" w14:textId="77777777" w:rsidR="0085262F" w:rsidRDefault="0085262F" w:rsidP="00A06123">
      <w:pPr>
        <w:pStyle w:val="Glossary"/>
      </w:pPr>
      <w:r>
        <w:t>ABS</w:t>
      </w:r>
      <w:r>
        <w:tab/>
        <w:t>Australian Bureau of Statistics</w:t>
      </w:r>
    </w:p>
    <w:p w14:paraId="6BE91392" w14:textId="77777777" w:rsidR="00E0457A" w:rsidRDefault="00E0457A" w:rsidP="00A06123">
      <w:pPr>
        <w:pStyle w:val="Glossary"/>
      </w:pPr>
      <w:r>
        <w:t>ACCAN</w:t>
      </w:r>
      <w:r>
        <w:tab/>
        <w:t xml:space="preserve">Australian Communications Consumer Action Network </w:t>
      </w:r>
    </w:p>
    <w:p w14:paraId="093DCC9F" w14:textId="22DF9AC6" w:rsidR="006D5E6D" w:rsidRDefault="006D5E6D" w:rsidP="00A06123">
      <w:pPr>
        <w:pStyle w:val="Glossary"/>
      </w:pPr>
      <w:proofErr w:type="spellStart"/>
      <w:r>
        <w:t>AER</w:t>
      </w:r>
      <w:proofErr w:type="spellEnd"/>
      <w:r>
        <w:tab/>
        <w:t>Australian Energy Regulator</w:t>
      </w:r>
    </w:p>
    <w:p w14:paraId="67A0BB5A" w14:textId="77777777" w:rsidR="00140DFC" w:rsidRDefault="00140DFC" w:rsidP="00A06123">
      <w:pPr>
        <w:pStyle w:val="Glossary"/>
      </w:pPr>
      <w:proofErr w:type="spellStart"/>
      <w:r>
        <w:t>ACMA</w:t>
      </w:r>
      <w:proofErr w:type="spellEnd"/>
      <w:r>
        <w:tab/>
        <w:t>Australian Communications and Media Authority</w:t>
      </w:r>
    </w:p>
    <w:p w14:paraId="1C405A84" w14:textId="77777777" w:rsidR="00A06123" w:rsidRDefault="00A06123" w:rsidP="00A06123">
      <w:pPr>
        <w:pStyle w:val="Glossary"/>
      </w:pPr>
      <w:proofErr w:type="spellStart"/>
      <w:r>
        <w:t>ASIC</w:t>
      </w:r>
      <w:proofErr w:type="spellEnd"/>
      <w:r>
        <w:tab/>
        <w:t>Australian Securities and Investments Commission</w:t>
      </w:r>
    </w:p>
    <w:p w14:paraId="6BDD463A" w14:textId="77777777" w:rsidR="00A06123" w:rsidRDefault="00A06123" w:rsidP="00A06123">
      <w:pPr>
        <w:pStyle w:val="Glossary"/>
      </w:pPr>
      <w:proofErr w:type="spellStart"/>
      <w:r>
        <w:t>EWOV</w:t>
      </w:r>
      <w:proofErr w:type="spellEnd"/>
      <w:r>
        <w:tab/>
        <w:t>Energy and Water Ombudsman Victoria</w:t>
      </w:r>
    </w:p>
    <w:p w14:paraId="22DC1BD4" w14:textId="77777777" w:rsidR="00A06123" w:rsidRDefault="00A06123" w:rsidP="00A06123">
      <w:pPr>
        <w:pStyle w:val="Glossary"/>
      </w:pPr>
      <w:r>
        <w:t>FOS</w:t>
      </w:r>
      <w:r>
        <w:tab/>
        <w:t>Financial Ombudsman Service</w:t>
      </w:r>
    </w:p>
    <w:p w14:paraId="7124581F" w14:textId="77777777" w:rsidR="00A06123" w:rsidRDefault="00A06123" w:rsidP="00A06123">
      <w:pPr>
        <w:pStyle w:val="Glossary"/>
      </w:pPr>
      <w:proofErr w:type="spellStart"/>
      <w:r>
        <w:t>TIO</w:t>
      </w:r>
      <w:proofErr w:type="spellEnd"/>
      <w:r>
        <w:tab/>
        <w:t>Telecommunications Industry Ombudsman</w:t>
      </w:r>
    </w:p>
    <w:p w14:paraId="622A8887" w14:textId="77777777" w:rsidR="00A06123" w:rsidRDefault="00A06123" w:rsidP="00A06123">
      <w:pPr>
        <w:pStyle w:val="Glossary"/>
      </w:pPr>
    </w:p>
    <w:p w14:paraId="14C49E14" w14:textId="77777777" w:rsidR="00A06123" w:rsidRDefault="00A06123" w:rsidP="00A06123">
      <w:pPr>
        <w:rPr>
          <w:rFonts w:eastAsia="Times New Roman" w:cs="Times New Roman"/>
          <w:b/>
          <w:bCs/>
          <w:color w:val="265176"/>
          <w:kern w:val="32"/>
          <w:sz w:val="28"/>
          <w:szCs w:val="28"/>
          <w:lang w:val="en-US"/>
        </w:rPr>
      </w:pPr>
      <w:r>
        <w:rPr>
          <w:rFonts w:eastAsia="Times New Roman" w:cs="Times New Roman"/>
          <w:b/>
          <w:bCs/>
          <w:color w:val="265176"/>
          <w:kern w:val="32"/>
          <w:sz w:val="28"/>
          <w:szCs w:val="28"/>
          <w:lang w:val="en-US"/>
        </w:rPr>
        <w:br w:type="page"/>
      </w:r>
    </w:p>
    <w:p w14:paraId="55F1227B" w14:textId="77777777" w:rsidR="00A06123" w:rsidRDefault="00A06123" w:rsidP="00A06123">
      <w:pPr>
        <w:pStyle w:val="Heading1"/>
        <w:rPr>
          <w:lang w:val="en-US" w:eastAsia="ja-JP"/>
        </w:rPr>
      </w:pPr>
      <w:bookmarkStart w:id="90" w:name="_Toc387144794"/>
      <w:r>
        <w:rPr>
          <w:lang w:val="en-US" w:eastAsia="ja-JP"/>
        </w:rPr>
        <w:lastRenderedPageBreak/>
        <w:t>References</w:t>
      </w:r>
      <w:bookmarkEnd w:id="90"/>
    </w:p>
    <w:p w14:paraId="5AF93F51" w14:textId="76E3620B" w:rsidR="00EC1A0A" w:rsidRPr="0036233F" w:rsidRDefault="0004539A" w:rsidP="00447A45">
      <w:pPr>
        <w:pStyle w:val="Heading2"/>
      </w:pPr>
      <w:bookmarkStart w:id="91" w:name="_Toc387144795"/>
      <w:r>
        <w:t>Reports and a</w:t>
      </w:r>
      <w:r w:rsidR="00EC1A0A" w:rsidRPr="0036233F">
        <w:t>rticles</w:t>
      </w:r>
      <w:bookmarkEnd w:id="91"/>
    </w:p>
    <w:p w14:paraId="26FEF7F2" w14:textId="6E31FD9F" w:rsidR="00EC1A0A" w:rsidRDefault="00EC1A0A" w:rsidP="00EC1A0A">
      <w:r>
        <w:t xml:space="preserve">Applied Public Policy Research Institute for Study and Evaluation (APPRISE), </w:t>
      </w:r>
      <w:r w:rsidR="00AA64B6">
        <w:t xml:space="preserve">October 2006, </w:t>
      </w:r>
      <w:hyperlink r:id="rId40" w:history="1">
        <w:r w:rsidRPr="00F63983">
          <w:rPr>
            <w:rStyle w:val="Hyperlink"/>
            <w:i/>
          </w:rPr>
          <w:t xml:space="preserve">PECO Energy Customer Assistance Program for Customers Below 50 </w:t>
        </w:r>
        <w:proofErr w:type="spellStart"/>
        <w:r w:rsidRPr="00F63983">
          <w:rPr>
            <w:rStyle w:val="Hyperlink"/>
            <w:i/>
          </w:rPr>
          <w:t>Percent</w:t>
        </w:r>
        <w:proofErr w:type="spellEnd"/>
        <w:r w:rsidRPr="00F63983">
          <w:rPr>
            <w:rStyle w:val="Hyperlink"/>
            <w:i/>
          </w:rPr>
          <w:t xml:space="preserve"> of Poverty – Final Evaluation Report</w:t>
        </w:r>
      </w:hyperlink>
      <w:r w:rsidRPr="00F63983">
        <w:rPr>
          <w:i/>
        </w:rPr>
        <w:t xml:space="preserve">. </w:t>
      </w:r>
    </w:p>
    <w:p w14:paraId="1E7AB983" w14:textId="659DB4E7" w:rsidR="00EC1A0A" w:rsidRDefault="00EC1A0A" w:rsidP="00EC1A0A">
      <w:r>
        <w:t>Australi</w:t>
      </w:r>
      <w:r w:rsidRPr="00832087">
        <w:t xml:space="preserve">an Bankers Association, 2013, </w:t>
      </w:r>
      <w:hyperlink r:id="rId41" w:history="1">
        <w:r w:rsidRPr="00F63983">
          <w:rPr>
            <w:rStyle w:val="Hyperlink"/>
            <w:i/>
          </w:rPr>
          <w:t>Industry Guidelines:</w:t>
        </w:r>
        <w:r w:rsidRPr="00F63983">
          <w:rPr>
            <w:rStyle w:val="Hyperlink"/>
          </w:rPr>
          <w:t xml:space="preserve"> Promoting understanding about banks’ financial hardship programs</w:t>
        </w:r>
        <w:r w:rsidR="00F63983">
          <w:rPr>
            <w:rStyle w:val="Hyperlink"/>
          </w:rPr>
          <w:t>.</w:t>
        </w:r>
        <w:r w:rsidRPr="00F63983">
          <w:rPr>
            <w:rStyle w:val="Hyperlink"/>
          </w:rPr>
          <w:t xml:space="preserve"> </w:t>
        </w:r>
      </w:hyperlink>
      <w:r>
        <w:t xml:space="preserve"> </w:t>
      </w:r>
    </w:p>
    <w:p w14:paraId="652B8BB6" w14:textId="77777777" w:rsidR="00EC1A0A" w:rsidRDefault="00EC1A0A" w:rsidP="00EC1A0A">
      <w:pPr>
        <w:rPr>
          <w:lang w:val="en-US"/>
        </w:rPr>
      </w:pPr>
      <w:r w:rsidRPr="00AF5D74">
        <w:rPr>
          <w:lang w:val="en-US"/>
        </w:rPr>
        <w:t xml:space="preserve">Australian Council </w:t>
      </w:r>
      <w:r>
        <w:rPr>
          <w:lang w:val="en-US"/>
        </w:rPr>
        <w:t xml:space="preserve">of Social Service, August 2011, </w:t>
      </w:r>
      <w:r w:rsidRPr="00AF5D74">
        <w:rPr>
          <w:i/>
          <w:lang w:val="en-US"/>
        </w:rPr>
        <w:t>Poverty in Australia 2012</w:t>
      </w:r>
      <w:r>
        <w:rPr>
          <w:i/>
          <w:lang w:val="en-US"/>
        </w:rPr>
        <w:t xml:space="preserve">. </w:t>
      </w:r>
    </w:p>
    <w:p w14:paraId="529BBD00" w14:textId="77777777" w:rsidR="00EC1A0A" w:rsidRDefault="00EC1A0A" w:rsidP="00EC1A0A">
      <w:pPr>
        <w:rPr>
          <w:bCs/>
          <w:lang w:val="en-US"/>
        </w:rPr>
      </w:pPr>
      <w:r>
        <w:rPr>
          <w:lang w:val="en-US"/>
        </w:rPr>
        <w:t>Australian Securities &amp; Investment Commission &amp; Consumer Affairs Victoria, May 2009,</w:t>
      </w:r>
      <w:r w:rsidRPr="00504841">
        <w:rPr>
          <w:lang w:val="en-US"/>
        </w:rPr>
        <w:t xml:space="preserve"> </w:t>
      </w:r>
      <w:hyperlink r:id="rId42" w:history="1">
        <w:proofErr w:type="gramStart"/>
        <w:r w:rsidRPr="00F63983">
          <w:rPr>
            <w:rStyle w:val="Hyperlink"/>
            <w:i/>
            <w:lang w:val="en-US"/>
          </w:rPr>
          <w:t>Helping</w:t>
        </w:r>
        <w:proofErr w:type="gramEnd"/>
        <w:r w:rsidRPr="00F63983">
          <w:rPr>
            <w:rStyle w:val="Hyperlink"/>
            <w:i/>
            <w:lang w:val="en-US"/>
          </w:rPr>
          <w:t xml:space="preserve"> home borrowers in financial hardship</w:t>
        </w:r>
      </w:hyperlink>
      <w:r>
        <w:rPr>
          <w:bCs/>
          <w:lang w:val="en-US"/>
        </w:rPr>
        <w:t xml:space="preserve">. </w:t>
      </w:r>
    </w:p>
    <w:p w14:paraId="3BAE9AD1" w14:textId="77777777" w:rsidR="00EC1A0A" w:rsidRPr="002F64B9" w:rsidRDefault="00EC1A0A" w:rsidP="00EC1A0A">
      <w:pPr>
        <w:rPr>
          <w:i/>
          <w:lang w:val="en-US"/>
        </w:rPr>
      </w:pPr>
      <w:r w:rsidRPr="00941ED3">
        <w:rPr>
          <w:lang w:val="en-US"/>
        </w:rPr>
        <w:t xml:space="preserve">Jennifer </w:t>
      </w:r>
      <w:proofErr w:type="spellStart"/>
      <w:r w:rsidRPr="00941ED3">
        <w:rPr>
          <w:lang w:val="en-US"/>
        </w:rPr>
        <w:t>Borrell</w:t>
      </w:r>
      <w:proofErr w:type="spellEnd"/>
      <w:r w:rsidRPr="00941ED3">
        <w:rPr>
          <w:lang w:val="en-US"/>
        </w:rPr>
        <w:t>, November 2012</w:t>
      </w:r>
      <w:r>
        <w:rPr>
          <w:lang w:val="en-US"/>
        </w:rPr>
        <w:t xml:space="preserve">, Report on </w:t>
      </w:r>
      <w:proofErr w:type="spellStart"/>
      <w:r>
        <w:rPr>
          <w:lang w:val="en-US"/>
        </w:rPr>
        <w:t>Kildonan’s</w:t>
      </w:r>
      <w:proofErr w:type="spellEnd"/>
      <w:r>
        <w:rPr>
          <w:lang w:val="en-US"/>
        </w:rPr>
        <w:t xml:space="preserve"> Hardship Forum, </w:t>
      </w:r>
      <w:hyperlink r:id="rId43" w:history="1">
        <w:proofErr w:type="gramStart"/>
        <w:r w:rsidRPr="00A36F30">
          <w:rPr>
            <w:rStyle w:val="Hyperlink"/>
            <w:i/>
            <w:lang w:val="en-US"/>
          </w:rPr>
          <w:t>Keeping</w:t>
        </w:r>
        <w:proofErr w:type="gramEnd"/>
        <w:r w:rsidRPr="00A36F30">
          <w:rPr>
            <w:rStyle w:val="Hyperlink"/>
            <w:i/>
            <w:lang w:val="en-US"/>
          </w:rPr>
          <w:t xml:space="preserve"> Ahead of the Game: Responding to Changing Environments</w:t>
        </w:r>
      </w:hyperlink>
      <w:r>
        <w:rPr>
          <w:i/>
          <w:lang w:val="en-US"/>
        </w:rPr>
        <w:t xml:space="preserve">. </w:t>
      </w:r>
    </w:p>
    <w:p w14:paraId="34761A65" w14:textId="12F0F29E" w:rsidR="00EC1A0A" w:rsidRDefault="00AA64B6" w:rsidP="00EC1A0A">
      <w:pPr>
        <w:rPr>
          <w:i/>
          <w:lang w:val="en-US"/>
        </w:rPr>
      </w:pPr>
      <w:r>
        <w:rPr>
          <w:lang w:val="en-US"/>
        </w:rPr>
        <w:t>Nancy Brockway, Feb 1998,</w:t>
      </w:r>
      <w:r w:rsidR="00F63983">
        <w:rPr>
          <w:lang w:val="en-US"/>
        </w:rPr>
        <w:t xml:space="preserve"> </w:t>
      </w:r>
      <w:r w:rsidR="00EC1A0A" w:rsidRPr="00F63983">
        <w:rPr>
          <w:i/>
          <w:iCs/>
          <w:lang w:val="en-US"/>
        </w:rPr>
        <w:t xml:space="preserve">Statewide Administration of Low-Income Programs </w:t>
      </w:r>
      <w:proofErr w:type="gramStart"/>
      <w:r w:rsidR="00EC1A0A" w:rsidRPr="00F63983">
        <w:rPr>
          <w:i/>
          <w:iCs/>
          <w:lang w:val="en-US"/>
        </w:rPr>
        <w:t>Under</w:t>
      </w:r>
      <w:proofErr w:type="gramEnd"/>
      <w:r w:rsidR="00EC1A0A" w:rsidRPr="00F63983">
        <w:rPr>
          <w:i/>
          <w:iCs/>
          <w:lang w:val="en-US"/>
        </w:rPr>
        <w:t xml:space="preserve"> Energy Utility Restructuring: Opportunities and P</w:t>
      </w:r>
      <w:r w:rsidR="00F63983" w:rsidRPr="00F63983">
        <w:rPr>
          <w:i/>
          <w:iCs/>
          <w:lang w:val="en-US"/>
        </w:rPr>
        <w:t>itfalls</w:t>
      </w:r>
      <w:r w:rsidR="00EC1A0A" w:rsidRPr="0047600D">
        <w:rPr>
          <w:lang w:val="en-US"/>
        </w:rPr>
        <w:t xml:space="preserve">, National Consumer Law Center. </w:t>
      </w:r>
      <w:r w:rsidR="00EC1A0A">
        <w:rPr>
          <w:lang w:val="en-US"/>
        </w:rPr>
        <w:t xml:space="preserve"> </w:t>
      </w:r>
    </w:p>
    <w:p w14:paraId="31DF5FB2" w14:textId="789D0A80" w:rsidR="00EC1A0A" w:rsidRDefault="00EC1A0A" w:rsidP="00EC1A0A">
      <w:pPr>
        <w:rPr>
          <w:lang w:val="en-US"/>
        </w:rPr>
      </w:pPr>
      <w:proofErr w:type="spellStart"/>
      <w:r>
        <w:rPr>
          <w:lang w:val="en-US"/>
        </w:rPr>
        <w:t>Collton</w:t>
      </w:r>
      <w:proofErr w:type="spellEnd"/>
      <w:r>
        <w:rPr>
          <w:lang w:val="en-US"/>
        </w:rPr>
        <w:t>, Roger D</w:t>
      </w:r>
      <w:r w:rsidRPr="00132DC3">
        <w:rPr>
          <w:lang w:val="en-US"/>
        </w:rPr>
        <w:t>, Sheehan and Colton Public Finance and General Economics</w:t>
      </w:r>
      <w:r>
        <w:rPr>
          <w:lang w:val="en-US"/>
        </w:rPr>
        <w:t xml:space="preserve">, July </w:t>
      </w:r>
      <w:r w:rsidRPr="009102E2">
        <w:rPr>
          <w:lang w:val="en-US"/>
        </w:rPr>
        <w:t>1994,</w:t>
      </w:r>
      <w:r w:rsidR="00F63983">
        <w:rPr>
          <w:lang w:val="en-US"/>
        </w:rPr>
        <w:t xml:space="preserve"> </w:t>
      </w:r>
      <w:hyperlink r:id="rId44" w:history="1">
        <w:r w:rsidRPr="00F63983">
          <w:rPr>
            <w:rStyle w:val="Hyperlink"/>
            <w:i/>
            <w:lang w:val="en-US"/>
          </w:rPr>
          <w:t>Public Utility Credit and Collection Activities, - Establishing Standards and Applying them to Low-Income Utility Programs.</w:t>
        </w:r>
      </w:hyperlink>
      <w:r w:rsidRPr="00F63983">
        <w:rPr>
          <w:i/>
          <w:lang w:val="en-US"/>
        </w:rPr>
        <w:t xml:space="preserve"> </w:t>
      </w:r>
    </w:p>
    <w:p w14:paraId="616702AF" w14:textId="76FC696B" w:rsidR="00EC1A0A" w:rsidRPr="00F40A57" w:rsidRDefault="00EC1A0A" w:rsidP="00EC1A0A">
      <w:pPr>
        <w:rPr>
          <w:lang w:val="en-US"/>
        </w:rPr>
      </w:pPr>
      <w:r>
        <w:rPr>
          <w:lang w:val="en-US"/>
        </w:rPr>
        <w:t xml:space="preserve">Cole, Allan (not </w:t>
      </w:r>
      <w:proofErr w:type="spellStart"/>
      <w:r>
        <w:rPr>
          <w:lang w:val="en-US"/>
        </w:rPr>
        <w:t>dated</w:t>
      </w:r>
      <w:proofErr w:type="spellEnd"/>
      <w:r>
        <w:rPr>
          <w:lang w:val="en-US"/>
        </w:rPr>
        <w:t xml:space="preserve">), </w:t>
      </w:r>
      <w:proofErr w:type="spellStart"/>
      <w:r>
        <w:rPr>
          <w:lang w:val="en-US"/>
        </w:rPr>
        <w:t>Yarra</w:t>
      </w:r>
      <w:proofErr w:type="spellEnd"/>
      <w:r>
        <w:rPr>
          <w:lang w:val="en-US"/>
        </w:rPr>
        <w:t xml:space="preserve"> Valley Water</w:t>
      </w:r>
      <w:r w:rsidRPr="00DC469F">
        <w:rPr>
          <w:lang w:val="en-US"/>
        </w:rPr>
        <w:t xml:space="preserve">, </w:t>
      </w:r>
      <w:r w:rsidRPr="00F63983">
        <w:rPr>
          <w:bCs/>
          <w:i/>
          <w:lang w:val="en-US"/>
        </w:rPr>
        <w:t>Assessing Hardship Issues in Credit &amp; Collec</w:t>
      </w:r>
      <w:r w:rsidR="00F63983" w:rsidRPr="00F63983">
        <w:rPr>
          <w:bCs/>
          <w:i/>
          <w:lang w:val="en-US"/>
        </w:rPr>
        <w:t>tions Customer Support Programs</w:t>
      </w:r>
      <w:r w:rsidRPr="00F63983">
        <w:rPr>
          <w:bCs/>
          <w:i/>
          <w:lang w:val="en-US"/>
        </w:rPr>
        <w:t>: Why They Make Good Business &amp; Customer Sense</w:t>
      </w:r>
      <w:r w:rsidRPr="00FE7ACC">
        <w:rPr>
          <w:bCs/>
          <w:lang w:val="en-US"/>
        </w:rPr>
        <w:t xml:space="preserve">. </w:t>
      </w:r>
    </w:p>
    <w:p w14:paraId="3DFA0C99" w14:textId="77777777" w:rsidR="00021736" w:rsidRPr="00241FF6" w:rsidRDefault="00021736" w:rsidP="00021736">
      <w:pPr>
        <w:rPr>
          <w:i/>
          <w:iCs/>
          <w:lang w:val="en-AU"/>
        </w:rPr>
      </w:pPr>
      <w:r w:rsidRPr="00241FF6">
        <w:rPr>
          <w:lang w:val="en-AU"/>
        </w:rPr>
        <w:t>Connolly, C and Vaile, D,</w:t>
      </w:r>
      <w:r>
        <w:rPr>
          <w:lang w:val="en-AU"/>
        </w:rPr>
        <w:t xml:space="preserve"> 2012,</w:t>
      </w:r>
      <w:r w:rsidRPr="00241FF6">
        <w:rPr>
          <w:lang w:val="en-AU"/>
        </w:rPr>
        <w:t xml:space="preserve"> </w:t>
      </w:r>
      <w:hyperlink r:id="rId45" w:history="1">
        <w:proofErr w:type="gramStart"/>
        <w:r w:rsidRPr="00241FF6">
          <w:rPr>
            <w:rStyle w:val="Hyperlink"/>
            <w:i/>
            <w:iCs/>
            <w:lang w:val="en-AU"/>
          </w:rPr>
          <w:t>Drowning</w:t>
        </w:r>
        <w:proofErr w:type="gramEnd"/>
        <w:r w:rsidRPr="00241FF6">
          <w:rPr>
            <w:rStyle w:val="Hyperlink"/>
            <w:i/>
            <w:iCs/>
            <w:lang w:val="en-AU"/>
          </w:rPr>
          <w:t xml:space="preserve"> in Codes of Conduct: An analysis of codes of conduct applying to online activity in Australia</w:t>
        </w:r>
      </w:hyperlink>
      <w:r w:rsidRPr="00241FF6">
        <w:rPr>
          <w:i/>
          <w:iCs/>
          <w:lang w:val="en-AU"/>
        </w:rPr>
        <w:t xml:space="preserve">, </w:t>
      </w:r>
      <w:r w:rsidRPr="00241FF6">
        <w:rPr>
          <w:lang w:val="en-AU"/>
        </w:rPr>
        <w:t>Cyberspace Law and Policy Centre,</w:t>
      </w:r>
      <w:r>
        <w:rPr>
          <w:i/>
          <w:iCs/>
          <w:lang w:val="en-AU"/>
        </w:rPr>
        <w:t xml:space="preserve"> </w:t>
      </w:r>
      <w:proofErr w:type="spellStart"/>
      <w:r>
        <w:rPr>
          <w:lang w:val="en-AU"/>
        </w:rPr>
        <w:t>UNSW</w:t>
      </w:r>
      <w:proofErr w:type="spellEnd"/>
      <w:r>
        <w:rPr>
          <w:lang w:val="en-AU"/>
        </w:rPr>
        <w:t>, Sydney</w:t>
      </w:r>
      <w:r w:rsidRPr="00241FF6">
        <w:rPr>
          <w:lang w:val="en-AU"/>
        </w:rPr>
        <w:t>.</w:t>
      </w:r>
    </w:p>
    <w:p w14:paraId="4AF69C1C" w14:textId="77777777" w:rsidR="00EC1A0A" w:rsidRDefault="00EC1A0A" w:rsidP="00EC1A0A">
      <w:pPr>
        <w:rPr>
          <w:i/>
          <w:lang w:val="en-US"/>
        </w:rPr>
      </w:pPr>
      <w:r>
        <w:rPr>
          <w:lang w:val="en-US"/>
        </w:rPr>
        <w:t>Consumer Action Law Center, June 2012,</w:t>
      </w:r>
      <w:hyperlink r:id="rId46" w:history="1">
        <w:r w:rsidRPr="00DC469F">
          <w:rPr>
            <w:rStyle w:val="Hyperlink"/>
            <w:lang w:val="en-US"/>
          </w:rPr>
          <w:t xml:space="preserve"> </w:t>
        </w:r>
        <w:r w:rsidRPr="00DC469F">
          <w:rPr>
            <w:rStyle w:val="Hyperlink"/>
            <w:i/>
            <w:lang w:val="en-US"/>
          </w:rPr>
          <w:t>The Pursuit of the Impossible: Consumer experience with external collection of retail energy debts</w:t>
        </w:r>
      </w:hyperlink>
      <w:r>
        <w:rPr>
          <w:i/>
          <w:lang w:val="en-US"/>
        </w:rPr>
        <w:t xml:space="preserve">. </w:t>
      </w:r>
    </w:p>
    <w:p w14:paraId="71CFB0AA" w14:textId="77777777" w:rsidR="00EC1A0A" w:rsidRDefault="00EC1A0A" w:rsidP="00EC1A0A">
      <w:pPr>
        <w:rPr>
          <w:bCs/>
          <w:i/>
          <w:lang w:val="en-US"/>
        </w:rPr>
      </w:pPr>
      <w:r w:rsidRPr="00F802B6">
        <w:rPr>
          <w:lang w:val="en-US"/>
        </w:rPr>
        <w:t>Consumer Law Center Victoria, 2006,</w:t>
      </w:r>
      <w:r w:rsidRPr="00F802B6">
        <w:rPr>
          <w:bCs/>
          <w:i/>
          <w:lang w:val="en-US"/>
        </w:rPr>
        <w:t xml:space="preserve"> </w:t>
      </w:r>
      <w:hyperlink r:id="rId47" w:history="1">
        <w:proofErr w:type="gramStart"/>
        <w:r w:rsidRPr="00DC469F">
          <w:rPr>
            <w:rStyle w:val="Hyperlink"/>
            <w:bCs/>
            <w:i/>
            <w:lang w:val="en-US"/>
          </w:rPr>
          <w:t>The</w:t>
        </w:r>
        <w:proofErr w:type="gramEnd"/>
        <w:r w:rsidRPr="00DC469F">
          <w:rPr>
            <w:rStyle w:val="Hyperlink"/>
            <w:bCs/>
            <w:i/>
            <w:lang w:val="en-US"/>
          </w:rPr>
          <w:t xml:space="preserve"> implementation of residential hardship policies by Victorian water businesses: A research report</w:t>
        </w:r>
      </w:hyperlink>
      <w:r>
        <w:rPr>
          <w:bCs/>
          <w:i/>
          <w:lang w:val="en-US"/>
        </w:rPr>
        <w:t xml:space="preserve">. </w:t>
      </w:r>
    </w:p>
    <w:p w14:paraId="47B9696F" w14:textId="77777777" w:rsidR="00EC1A0A" w:rsidRDefault="00EC1A0A" w:rsidP="00EC1A0A">
      <w:pPr>
        <w:rPr>
          <w:bCs/>
          <w:lang w:val="en-US"/>
        </w:rPr>
      </w:pPr>
      <w:r>
        <w:rPr>
          <w:bCs/>
          <w:lang w:val="en-US"/>
        </w:rPr>
        <w:t xml:space="preserve">Electricity Commission (NZ), </w:t>
      </w:r>
      <w:r w:rsidRPr="00606C33">
        <w:rPr>
          <w:bCs/>
          <w:lang w:val="en-US"/>
        </w:rPr>
        <w:t>23 February 2009</w:t>
      </w:r>
      <w:r>
        <w:rPr>
          <w:bCs/>
          <w:lang w:val="en-US"/>
        </w:rPr>
        <w:t>,</w:t>
      </w:r>
      <w:hyperlink r:id="rId48" w:history="1">
        <w:r w:rsidRPr="00606C33">
          <w:rPr>
            <w:rStyle w:val="Hyperlink"/>
            <w:lang w:val="en-US"/>
          </w:rPr>
          <w:t xml:space="preserve"> </w:t>
        </w:r>
        <w:r w:rsidRPr="00021736">
          <w:rPr>
            <w:rStyle w:val="Hyperlink"/>
            <w:i/>
            <w:lang w:val="en-US"/>
          </w:rPr>
          <w:t>Proposed changes to the Guideline on arrangements to assist low income and vulnerable consumers</w:t>
        </w:r>
      </w:hyperlink>
      <w:r>
        <w:rPr>
          <w:bCs/>
          <w:lang w:val="en-US"/>
        </w:rPr>
        <w:t xml:space="preserve">. </w:t>
      </w:r>
    </w:p>
    <w:p w14:paraId="2F0EB4F2" w14:textId="7E8AFB44" w:rsidR="00EC1A0A" w:rsidRDefault="00EC1A0A" w:rsidP="00EC1A0A">
      <w:pPr>
        <w:rPr>
          <w:bCs/>
          <w:i/>
          <w:lang w:val="en-US"/>
        </w:rPr>
      </w:pPr>
      <w:r>
        <w:rPr>
          <w:bCs/>
          <w:lang w:val="en-US"/>
        </w:rPr>
        <w:t xml:space="preserve">Electricity Commission (NZ), </w:t>
      </w:r>
      <w:r w:rsidRPr="00C12B23">
        <w:rPr>
          <w:bCs/>
          <w:lang w:val="en-US"/>
        </w:rPr>
        <w:t>30 January 2008</w:t>
      </w:r>
      <w:r w:rsidR="00021736">
        <w:rPr>
          <w:bCs/>
          <w:i/>
          <w:lang w:val="en-US"/>
        </w:rPr>
        <w:t>,</w:t>
      </w:r>
      <w:r w:rsidRPr="00C12B23">
        <w:rPr>
          <w:bCs/>
          <w:i/>
          <w:lang w:val="en-US"/>
        </w:rPr>
        <w:t xml:space="preserve"> </w:t>
      </w:r>
      <w:hyperlink r:id="rId49" w:history="1">
        <w:r w:rsidRPr="00C12B23">
          <w:rPr>
            <w:rStyle w:val="Hyperlink"/>
            <w:i/>
            <w:lang w:val="en-US"/>
          </w:rPr>
          <w:t>Retailer social agency protocol</w:t>
        </w:r>
      </w:hyperlink>
      <w:r>
        <w:rPr>
          <w:bCs/>
          <w:i/>
          <w:lang w:val="en-US"/>
        </w:rPr>
        <w:t xml:space="preserve">. </w:t>
      </w:r>
    </w:p>
    <w:p w14:paraId="624077C9" w14:textId="1DE82784" w:rsidR="00EC1A0A" w:rsidRDefault="00EC1A0A" w:rsidP="00EC1A0A">
      <w:pPr>
        <w:rPr>
          <w:i/>
          <w:lang w:val="en-US"/>
        </w:rPr>
      </w:pPr>
      <w:proofErr w:type="gramStart"/>
      <w:r w:rsidRPr="00AF5D74">
        <w:rPr>
          <w:lang w:val="en-US"/>
        </w:rPr>
        <w:t xml:space="preserve">Energy Supply Association of Australia, Deloitte, February 2013, </w:t>
      </w:r>
      <w:hyperlink r:id="rId50" w:history="1">
        <w:r w:rsidRPr="00021736">
          <w:rPr>
            <w:rStyle w:val="Hyperlink"/>
            <w:i/>
            <w:lang w:val="en-US"/>
          </w:rPr>
          <w:t>Improving energy concessions and hardship payments policies</w:t>
        </w:r>
      </w:hyperlink>
      <w:r>
        <w:rPr>
          <w:i/>
          <w:lang w:val="en-US"/>
        </w:rPr>
        <w:t>.</w:t>
      </w:r>
      <w:proofErr w:type="gramEnd"/>
      <w:r>
        <w:rPr>
          <w:i/>
          <w:lang w:val="en-US"/>
        </w:rPr>
        <w:t xml:space="preserve"> </w:t>
      </w:r>
    </w:p>
    <w:p w14:paraId="5E404BFC" w14:textId="1639DA48" w:rsidR="00EC1A0A" w:rsidRDefault="00EC1A0A" w:rsidP="00EC1A0A">
      <w:pPr>
        <w:rPr>
          <w:lang w:val="en-US"/>
        </w:rPr>
      </w:pPr>
      <w:r w:rsidRPr="00AF5D74">
        <w:rPr>
          <w:lang w:val="en-US"/>
        </w:rPr>
        <w:t>Energy and Water Ombudsman NSW,</w:t>
      </w:r>
      <w:r>
        <w:rPr>
          <w:lang w:val="en-US"/>
        </w:rPr>
        <w:t xml:space="preserve"> June 2010</w:t>
      </w:r>
      <w:r w:rsidR="00021736">
        <w:rPr>
          <w:lang w:val="en-US"/>
        </w:rPr>
        <w:t xml:space="preserve">, </w:t>
      </w:r>
      <w:r w:rsidRPr="00021736">
        <w:rPr>
          <w:i/>
          <w:lang w:val="en-US"/>
        </w:rPr>
        <w:t>Response to Australian Energy Regulator: Developi</w:t>
      </w:r>
      <w:r w:rsidR="00021736" w:rsidRPr="00021736">
        <w:rPr>
          <w:i/>
          <w:lang w:val="en-US"/>
        </w:rPr>
        <w:t>ng National Hardship Indicators</w:t>
      </w:r>
      <w:r w:rsidR="00021736">
        <w:rPr>
          <w:lang w:val="en-US"/>
        </w:rPr>
        <w:t>.</w:t>
      </w:r>
    </w:p>
    <w:p w14:paraId="6E3BE166" w14:textId="36E34955" w:rsidR="00EC1A0A" w:rsidRDefault="00EC1A0A" w:rsidP="00EC1A0A">
      <w:pPr>
        <w:rPr>
          <w:lang w:val="en-US"/>
        </w:rPr>
      </w:pPr>
      <w:r w:rsidRPr="006A0B6B">
        <w:rPr>
          <w:lang w:val="en-US"/>
        </w:rPr>
        <w:lastRenderedPageBreak/>
        <w:t>Essential Services Commission</w:t>
      </w:r>
      <w:r w:rsidR="00021736">
        <w:rPr>
          <w:lang w:val="en-US"/>
        </w:rPr>
        <w:t>,</w:t>
      </w:r>
      <w:r w:rsidRPr="006A0B6B">
        <w:rPr>
          <w:lang w:val="en-US"/>
        </w:rPr>
        <w:t xml:space="preserve"> </w:t>
      </w:r>
      <w:r>
        <w:rPr>
          <w:lang w:val="en-US"/>
        </w:rPr>
        <w:t>Sept</w:t>
      </w:r>
      <w:r w:rsidR="00021736">
        <w:rPr>
          <w:lang w:val="en-US"/>
        </w:rPr>
        <w:t>ember</w:t>
      </w:r>
      <w:r>
        <w:rPr>
          <w:lang w:val="en-US"/>
        </w:rPr>
        <w:t xml:space="preserve"> </w:t>
      </w:r>
      <w:r w:rsidRPr="006A0B6B">
        <w:rPr>
          <w:lang w:val="en-US"/>
        </w:rPr>
        <w:t xml:space="preserve">2013, </w:t>
      </w:r>
      <w:hyperlink r:id="rId51" w:history="1">
        <w:proofErr w:type="gramStart"/>
        <w:r w:rsidRPr="006A0B6B">
          <w:rPr>
            <w:rStyle w:val="Hyperlink"/>
            <w:i/>
            <w:iCs/>
            <w:lang w:val="en-US"/>
          </w:rPr>
          <w:t>Developing</w:t>
        </w:r>
        <w:proofErr w:type="gramEnd"/>
        <w:r w:rsidRPr="006A0B6B">
          <w:rPr>
            <w:rStyle w:val="Hyperlink"/>
            <w:i/>
            <w:iCs/>
            <w:lang w:val="en-US"/>
          </w:rPr>
          <w:t xml:space="preserve"> an approach to measure the effects of a</w:t>
        </w:r>
        <w:r w:rsidR="00021736">
          <w:rPr>
            <w:rStyle w:val="Hyperlink"/>
            <w:i/>
            <w:iCs/>
            <w:lang w:val="en-US"/>
          </w:rPr>
          <w:t>dditional hardship allowances: S</w:t>
        </w:r>
        <w:r w:rsidRPr="006A0B6B">
          <w:rPr>
            <w:rStyle w:val="Hyperlink"/>
            <w:i/>
            <w:iCs/>
            <w:lang w:val="en-US"/>
          </w:rPr>
          <w:t>taff paper</w:t>
        </w:r>
      </w:hyperlink>
      <w:r w:rsidR="00021736">
        <w:rPr>
          <w:rStyle w:val="Hyperlink"/>
          <w:i/>
          <w:iCs/>
          <w:lang w:val="en-US"/>
        </w:rPr>
        <w:t>.</w:t>
      </w:r>
    </w:p>
    <w:p w14:paraId="0A430031" w14:textId="488111E7" w:rsidR="00EC1A0A" w:rsidRDefault="00EC1A0A" w:rsidP="00EC1A0A">
      <w:pPr>
        <w:rPr>
          <w:i/>
          <w:lang w:val="en-US"/>
        </w:rPr>
      </w:pPr>
      <w:r w:rsidRPr="00AF5D74">
        <w:rPr>
          <w:lang w:val="en-US"/>
        </w:rPr>
        <w:t>Essential Services Commission, May 2012,</w:t>
      </w:r>
      <w:r w:rsidRPr="00AF5D74">
        <w:rPr>
          <w:i/>
          <w:lang w:val="en-US"/>
        </w:rPr>
        <w:t xml:space="preserve"> </w:t>
      </w:r>
      <w:hyperlink r:id="rId52" w:history="1">
        <w:r w:rsidRPr="00AC6619">
          <w:rPr>
            <w:rStyle w:val="Hyperlink"/>
            <w:i/>
            <w:lang w:val="en-US"/>
          </w:rPr>
          <w:t>Hardship related guarantee service level review – Final Decision</w:t>
        </w:r>
      </w:hyperlink>
      <w:r w:rsidR="00021736">
        <w:rPr>
          <w:rStyle w:val="Hyperlink"/>
          <w:i/>
          <w:lang w:val="en-US"/>
        </w:rPr>
        <w:t>.</w:t>
      </w:r>
    </w:p>
    <w:p w14:paraId="476B0E46" w14:textId="609CE403" w:rsidR="00EC1A0A" w:rsidRPr="00CB3788" w:rsidRDefault="00EC1A0A" w:rsidP="00EC1A0A">
      <w:pPr>
        <w:rPr>
          <w:i/>
          <w:lang w:val="en-US"/>
        </w:rPr>
      </w:pPr>
      <w:r w:rsidRPr="00AF5D74">
        <w:rPr>
          <w:lang w:val="en-US"/>
        </w:rPr>
        <w:t xml:space="preserve">Essential Services Commission, </w:t>
      </w:r>
      <w:r>
        <w:rPr>
          <w:lang w:val="en-US"/>
        </w:rPr>
        <w:t>Feb</w:t>
      </w:r>
      <w:r w:rsidR="00021736">
        <w:rPr>
          <w:lang w:val="en-US"/>
        </w:rPr>
        <w:t>ruary</w:t>
      </w:r>
      <w:r>
        <w:rPr>
          <w:lang w:val="en-US"/>
        </w:rPr>
        <w:t xml:space="preserve"> 2012</w:t>
      </w:r>
      <w:r w:rsidR="006E35ED">
        <w:rPr>
          <w:lang w:val="en-US"/>
        </w:rPr>
        <w:t>,</w:t>
      </w:r>
      <w:r>
        <w:rPr>
          <w:lang w:val="en-US"/>
        </w:rPr>
        <w:t xml:space="preserve"> </w:t>
      </w:r>
      <w:hyperlink r:id="rId53" w:history="1">
        <w:r w:rsidRPr="00021736">
          <w:rPr>
            <w:rStyle w:val="Hyperlink"/>
            <w:i/>
            <w:lang w:val="en-US"/>
          </w:rPr>
          <w:t xml:space="preserve">Improving approaches to customer financial hardship: Summary of Business Responses to Commission Request for Information on Hardship Policies </w:t>
        </w:r>
        <w:r w:rsidR="00021736" w:rsidRPr="00021736">
          <w:rPr>
            <w:rStyle w:val="Hyperlink"/>
            <w:i/>
            <w:lang w:val="en-US"/>
          </w:rPr>
          <w:t>and Procedures</w:t>
        </w:r>
      </w:hyperlink>
      <w:r w:rsidR="00021736">
        <w:rPr>
          <w:lang w:val="en-US"/>
        </w:rPr>
        <w:t xml:space="preserve"> and </w:t>
      </w:r>
      <w:hyperlink r:id="rId54" w:history="1">
        <w:r w:rsidRPr="00021736">
          <w:rPr>
            <w:rStyle w:val="Hyperlink"/>
            <w:i/>
            <w:lang w:val="en-US"/>
          </w:rPr>
          <w:t>Report Selected Best Practice Approach in Financial Hardship</w:t>
        </w:r>
      </w:hyperlink>
      <w:r w:rsidR="00021736">
        <w:t>.</w:t>
      </w:r>
    </w:p>
    <w:p w14:paraId="710F6F4A" w14:textId="3825AA37" w:rsidR="00EC1A0A" w:rsidRDefault="00EC1A0A" w:rsidP="00EC1A0A">
      <w:pPr>
        <w:rPr>
          <w:lang w:val="en-US"/>
        </w:rPr>
      </w:pPr>
      <w:proofErr w:type="gramStart"/>
      <w:r w:rsidRPr="00AF5D74">
        <w:rPr>
          <w:lang w:val="en-US"/>
        </w:rPr>
        <w:t>Essential Services Commission,</w:t>
      </w:r>
      <w:r>
        <w:rPr>
          <w:lang w:val="en-US"/>
        </w:rPr>
        <w:t xml:space="preserve"> August 2007, </w:t>
      </w:r>
      <w:hyperlink r:id="rId55" w:history="1">
        <w:r w:rsidRPr="00021736">
          <w:rPr>
            <w:rStyle w:val="Hyperlink"/>
            <w:i/>
            <w:lang w:val="en-US"/>
          </w:rPr>
          <w:t>Operating Procedure Compensation for Wrongful Disconnection</w:t>
        </w:r>
      </w:hyperlink>
      <w:r w:rsidR="00021736">
        <w:rPr>
          <w:rStyle w:val="Hyperlink"/>
          <w:i/>
          <w:lang w:val="en-US"/>
        </w:rPr>
        <w:t>.</w:t>
      </w:r>
      <w:proofErr w:type="gramEnd"/>
    </w:p>
    <w:p w14:paraId="782D5E3E" w14:textId="1417AF70" w:rsidR="00EC1A0A" w:rsidRDefault="00EC1A0A" w:rsidP="00EC1A0A">
      <w:pPr>
        <w:rPr>
          <w:lang w:val="en-US"/>
        </w:rPr>
      </w:pPr>
      <w:r w:rsidRPr="00FC12C4">
        <w:rPr>
          <w:lang w:val="en-US"/>
        </w:rPr>
        <w:t>Essential Services Commission, Victoria</w:t>
      </w:r>
      <w:r w:rsidR="00021736">
        <w:rPr>
          <w:lang w:val="en-US"/>
        </w:rPr>
        <w:t>,</w:t>
      </w:r>
      <w:r w:rsidRPr="00FC12C4">
        <w:rPr>
          <w:lang w:val="en-US"/>
        </w:rPr>
        <w:t xml:space="preserve"> 2006, </w:t>
      </w:r>
      <w:hyperlink r:id="rId56" w:history="1">
        <w:r w:rsidRPr="00FC12C4">
          <w:rPr>
            <w:rStyle w:val="Hyperlink"/>
            <w:i/>
            <w:iCs/>
            <w:lang w:val="en-US"/>
          </w:rPr>
          <w:t>Energy Retailers’ Financial Hardship Policies: Framework Paper</w:t>
        </w:r>
      </w:hyperlink>
      <w:r w:rsidR="00021736">
        <w:rPr>
          <w:i/>
          <w:iCs/>
          <w:lang w:val="en-US"/>
        </w:rPr>
        <w:t>.</w:t>
      </w:r>
      <w:r>
        <w:rPr>
          <w:lang w:val="en-US"/>
        </w:rPr>
        <w:t xml:space="preserve"> </w:t>
      </w:r>
    </w:p>
    <w:p w14:paraId="7F85742B" w14:textId="77777777" w:rsidR="00EC1A0A" w:rsidRDefault="00EC1A0A" w:rsidP="00EC1A0A">
      <w:pPr>
        <w:rPr>
          <w:lang w:val="en-US"/>
        </w:rPr>
      </w:pPr>
      <w:proofErr w:type="spellStart"/>
      <w:r>
        <w:rPr>
          <w:lang w:val="en-US"/>
        </w:rPr>
        <w:t>Footscray</w:t>
      </w:r>
      <w:proofErr w:type="spellEnd"/>
      <w:r>
        <w:rPr>
          <w:lang w:val="en-US"/>
        </w:rPr>
        <w:t xml:space="preserve"> Community Legal Centre and Federation of Community Legal </w:t>
      </w:r>
      <w:proofErr w:type="spellStart"/>
      <w:r>
        <w:rPr>
          <w:lang w:val="en-US"/>
        </w:rPr>
        <w:t>Centres</w:t>
      </w:r>
      <w:proofErr w:type="spellEnd"/>
      <w:r>
        <w:rPr>
          <w:lang w:val="en-US"/>
        </w:rPr>
        <w:t xml:space="preserve"> Victoria, December 2012, </w:t>
      </w:r>
      <w:hyperlink r:id="rId57" w:history="1">
        <w:r w:rsidRPr="00021736">
          <w:rPr>
            <w:rStyle w:val="Hyperlink"/>
            <w:i/>
            <w:lang w:val="en-US"/>
          </w:rPr>
          <w:t>Council Debt Collection: Alternatives to suing ratepayers in hardship</w:t>
        </w:r>
      </w:hyperlink>
      <w:r>
        <w:rPr>
          <w:lang w:val="en-US"/>
        </w:rPr>
        <w:t xml:space="preserve">. </w:t>
      </w:r>
    </w:p>
    <w:p w14:paraId="3DC69B5E" w14:textId="1B6A96B3" w:rsidR="00EC1A0A" w:rsidRDefault="006E35ED" w:rsidP="00EC1A0A">
      <w:pPr>
        <w:rPr>
          <w:lang w:val="en-US"/>
        </w:rPr>
      </w:pPr>
      <w:r>
        <w:rPr>
          <w:lang w:val="en-US"/>
        </w:rPr>
        <w:t>Flanagan, K</w:t>
      </w:r>
      <w:r w:rsidR="00EC1A0A">
        <w:rPr>
          <w:lang w:val="en-US"/>
        </w:rPr>
        <w:t xml:space="preserve">, </w:t>
      </w:r>
      <w:r w:rsidR="00021736" w:rsidRPr="00284A69">
        <w:rPr>
          <w:lang w:val="en-US"/>
        </w:rPr>
        <w:t>Anglicare</w:t>
      </w:r>
      <w:r w:rsidR="00021736">
        <w:rPr>
          <w:lang w:val="en-US"/>
        </w:rPr>
        <w:t>,</w:t>
      </w:r>
      <w:r w:rsidR="00021736" w:rsidRPr="00284A69">
        <w:rPr>
          <w:lang w:val="en-US"/>
        </w:rPr>
        <w:t xml:space="preserve"> </w:t>
      </w:r>
      <w:r w:rsidR="00EC1A0A" w:rsidRPr="00284A69">
        <w:rPr>
          <w:lang w:val="en-US"/>
        </w:rPr>
        <w:t>2009,</w:t>
      </w:r>
      <w:r w:rsidR="00021736">
        <w:rPr>
          <w:i/>
          <w:lang w:val="en-US"/>
        </w:rPr>
        <w:t xml:space="preserve"> </w:t>
      </w:r>
      <w:hyperlink r:id="rId58" w:history="1">
        <w:r w:rsidR="00EC1A0A" w:rsidRPr="007816F1">
          <w:rPr>
            <w:rStyle w:val="Hyperlink"/>
            <w:i/>
            <w:lang w:val="en-US"/>
          </w:rPr>
          <w:t>Hard Times: Tasmanians in Financial Crisis</w:t>
        </w:r>
      </w:hyperlink>
      <w:r w:rsidR="00EC1A0A">
        <w:rPr>
          <w:lang w:val="en-US"/>
        </w:rPr>
        <w:t xml:space="preserve">. </w:t>
      </w:r>
    </w:p>
    <w:p w14:paraId="074347D5" w14:textId="74764F6F" w:rsidR="00EC1A0A" w:rsidRDefault="00EC1A0A" w:rsidP="00EC1A0A">
      <w:proofErr w:type="gramStart"/>
      <w:r>
        <w:t xml:space="preserve">GA Research, July 2013, </w:t>
      </w:r>
      <w:r>
        <w:rPr>
          <w:i/>
        </w:rPr>
        <w:t>Supporting Vulnerable Customers Report</w:t>
      </w:r>
      <w:r>
        <w:t>.</w:t>
      </w:r>
      <w:proofErr w:type="gramEnd"/>
    </w:p>
    <w:p w14:paraId="3B277252" w14:textId="462F1D80" w:rsidR="00EC1A0A" w:rsidRDefault="00EC1A0A" w:rsidP="00EC1A0A">
      <w:r>
        <w:t xml:space="preserve">Gross, Ron, </w:t>
      </w:r>
      <w:r w:rsidR="00237BF4">
        <w:t xml:space="preserve">1995, revised 2008, </w:t>
      </w:r>
      <w:r w:rsidRPr="00237BF4">
        <w:rPr>
          <w:i/>
        </w:rPr>
        <w:t>Win-Win Alternative for Credit and Collections</w:t>
      </w:r>
      <w:r w:rsidR="00237BF4">
        <w:t>.</w:t>
      </w:r>
      <w:r>
        <w:t xml:space="preserve"> </w:t>
      </w:r>
    </w:p>
    <w:p w14:paraId="7359999D" w14:textId="64969E40" w:rsidR="00EC1A0A" w:rsidRDefault="00EC1A0A" w:rsidP="00EC1A0A">
      <w:pPr>
        <w:rPr>
          <w:lang w:val="en-US"/>
        </w:rPr>
      </w:pPr>
      <w:r w:rsidRPr="00A52779">
        <w:rPr>
          <w:lang w:val="en-US"/>
        </w:rPr>
        <w:t>Hall &amp;</w:t>
      </w:r>
      <w:r>
        <w:rPr>
          <w:lang w:val="en-US"/>
        </w:rPr>
        <w:t xml:space="preserve"> Partners Open Mind, May 2011, </w:t>
      </w:r>
      <w:hyperlink r:id="rId59" w:history="1">
        <w:r w:rsidRPr="00832087">
          <w:rPr>
            <w:rStyle w:val="Hyperlink"/>
            <w:i/>
            <w:lang w:val="en-US"/>
          </w:rPr>
          <w:t>Customers of water and energy pr</w:t>
        </w:r>
        <w:r w:rsidR="00237BF4">
          <w:rPr>
            <w:rStyle w:val="Hyperlink"/>
            <w:i/>
            <w:lang w:val="en-US"/>
          </w:rPr>
          <w:t>oviders in financial hardship: A</w:t>
        </w:r>
        <w:r w:rsidRPr="00832087">
          <w:rPr>
            <w:rStyle w:val="Hyperlink"/>
            <w:i/>
            <w:lang w:val="en-US"/>
          </w:rPr>
          <w:t xml:space="preserve"> consumer perspective</w:t>
        </w:r>
      </w:hyperlink>
      <w:r>
        <w:rPr>
          <w:rStyle w:val="Hyperlink"/>
          <w:i/>
          <w:lang w:val="en-US"/>
        </w:rPr>
        <w:t xml:space="preserve">. </w:t>
      </w:r>
    </w:p>
    <w:p w14:paraId="4F671678" w14:textId="2D8937FB" w:rsidR="00EC1A0A" w:rsidRDefault="00EC1A0A" w:rsidP="00EC1A0A">
      <w:pPr>
        <w:rPr>
          <w:lang w:val="en-US"/>
        </w:rPr>
      </w:pPr>
      <w:proofErr w:type="spellStart"/>
      <w:r>
        <w:rPr>
          <w:lang w:val="en-US"/>
        </w:rPr>
        <w:t>Harak</w:t>
      </w:r>
      <w:proofErr w:type="spellEnd"/>
      <w:r>
        <w:rPr>
          <w:lang w:val="en-US"/>
        </w:rPr>
        <w:t>, Charlie, National Consumer Law Center, September 2013</w:t>
      </w:r>
      <w:r w:rsidR="006E35ED">
        <w:rPr>
          <w:lang w:val="en-US"/>
        </w:rPr>
        <w:t>,</w:t>
      </w:r>
      <w:r w:rsidR="00237BF4">
        <w:rPr>
          <w:lang w:val="en-US"/>
        </w:rPr>
        <w:t xml:space="preserve"> </w:t>
      </w:r>
      <w:hyperlink r:id="rId60" w:history="1">
        <w:proofErr w:type="gramStart"/>
        <w:r w:rsidRPr="00237BF4">
          <w:rPr>
            <w:rStyle w:val="Hyperlink"/>
            <w:i/>
            <w:lang w:val="en-US"/>
          </w:rPr>
          <w:t>Helping</w:t>
        </w:r>
        <w:proofErr w:type="gramEnd"/>
        <w:r w:rsidRPr="00237BF4">
          <w:rPr>
            <w:rStyle w:val="Hyperlink"/>
            <w:i/>
            <w:lang w:val="en-US"/>
          </w:rPr>
          <w:t xml:space="preserve"> low-income utility customers manage overdue bills through arrearage management programs</w:t>
        </w:r>
      </w:hyperlink>
      <w:r w:rsidR="00237BF4">
        <w:rPr>
          <w:lang w:val="en-US"/>
        </w:rPr>
        <w:t>.</w:t>
      </w:r>
    </w:p>
    <w:p w14:paraId="40D5CBF1" w14:textId="7ED0DBBE" w:rsidR="00EC1A0A" w:rsidRPr="00433581" w:rsidRDefault="00EC1A0A" w:rsidP="00EC1A0A">
      <w:pPr>
        <w:rPr>
          <w:lang w:val="en-US"/>
        </w:rPr>
      </w:pPr>
      <w:proofErr w:type="spellStart"/>
      <w:r>
        <w:rPr>
          <w:lang w:val="en-US"/>
        </w:rPr>
        <w:t>Kildonan</w:t>
      </w:r>
      <w:proofErr w:type="spellEnd"/>
      <w:r>
        <w:rPr>
          <w:lang w:val="en-US"/>
        </w:rPr>
        <w:t xml:space="preserve"> Uniting C</w:t>
      </w:r>
      <w:r w:rsidRPr="00433581">
        <w:rPr>
          <w:lang w:val="en-US"/>
        </w:rPr>
        <w:t>are, March 2011</w:t>
      </w:r>
      <w:r w:rsidR="006E35ED">
        <w:rPr>
          <w:lang w:val="en-US"/>
        </w:rPr>
        <w:t>,</w:t>
      </w:r>
      <w:r w:rsidR="00237BF4">
        <w:rPr>
          <w:lang w:val="en-US"/>
        </w:rPr>
        <w:t xml:space="preserve"> </w:t>
      </w:r>
      <w:r w:rsidRPr="00237BF4">
        <w:rPr>
          <w:i/>
          <w:lang w:val="en-US"/>
        </w:rPr>
        <w:t>Western Water Customer Preventative Maintenance: Customer service framework for a changing and expanding customer base</w:t>
      </w:r>
      <w:r w:rsidR="00237BF4">
        <w:rPr>
          <w:lang w:val="en-US"/>
        </w:rPr>
        <w:t>.</w:t>
      </w:r>
      <w:r>
        <w:rPr>
          <w:lang w:val="en-US"/>
        </w:rPr>
        <w:t xml:space="preserve"> </w:t>
      </w:r>
    </w:p>
    <w:p w14:paraId="64FDA7ED" w14:textId="2E7BD4B6" w:rsidR="00EC1A0A" w:rsidRDefault="00EC1A0A" w:rsidP="00EC1A0A">
      <w:pPr>
        <w:rPr>
          <w:lang w:val="en-US"/>
        </w:rPr>
      </w:pPr>
      <w:proofErr w:type="gramStart"/>
      <w:r>
        <w:rPr>
          <w:lang w:val="en-US"/>
        </w:rPr>
        <w:t>Economic Regu</w:t>
      </w:r>
      <w:r w:rsidR="00237BF4">
        <w:rPr>
          <w:lang w:val="en-US"/>
        </w:rPr>
        <w:t xml:space="preserve">lation Authority, August 2010, </w:t>
      </w:r>
      <w:hyperlink r:id="rId61" w:history="1">
        <w:r w:rsidRPr="00237BF4">
          <w:rPr>
            <w:rStyle w:val="Hyperlink"/>
            <w:i/>
            <w:lang w:val="en-US"/>
          </w:rPr>
          <w:t>Financial Hardship Policy Guidelines</w:t>
        </w:r>
      </w:hyperlink>
      <w:r w:rsidR="00237BF4">
        <w:rPr>
          <w:lang w:val="en-US"/>
        </w:rPr>
        <w:t>.</w:t>
      </w:r>
      <w:proofErr w:type="gramEnd"/>
      <w:r w:rsidRPr="00D80B83">
        <w:rPr>
          <w:lang w:val="en-US"/>
        </w:rPr>
        <w:t xml:space="preserve"> </w:t>
      </w:r>
    </w:p>
    <w:p w14:paraId="722024F5" w14:textId="01594257" w:rsidR="00EC1A0A" w:rsidRPr="00F40A57" w:rsidRDefault="00EC1A0A" w:rsidP="00EC1A0A">
      <w:pPr>
        <w:rPr>
          <w:lang w:val="en-US"/>
        </w:rPr>
      </w:pPr>
      <w:r w:rsidRPr="00415D3E">
        <w:rPr>
          <w:lang w:val="en-US"/>
        </w:rPr>
        <w:t>Office of Energy (WA), Dec 2007</w:t>
      </w:r>
      <w:r>
        <w:rPr>
          <w:i/>
          <w:lang w:val="en-US"/>
        </w:rPr>
        <w:t xml:space="preserve">, </w:t>
      </w:r>
      <w:r w:rsidRPr="00237BF4">
        <w:rPr>
          <w:i/>
          <w:lang w:val="en-US"/>
        </w:rPr>
        <w:t>Public Issues Discussion Paper: Utilit</w:t>
      </w:r>
      <w:r w:rsidR="00237BF4" w:rsidRPr="00237BF4">
        <w:rPr>
          <w:i/>
          <w:lang w:val="en-US"/>
        </w:rPr>
        <w:t>ies Essential Services Hardship</w:t>
      </w:r>
      <w:r>
        <w:rPr>
          <w:i/>
          <w:lang w:val="en-US"/>
        </w:rPr>
        <w:t xml:space="preserve"> (</w:t>
      </w:r>
      <w:r>
        <w:rPr>
          <w:lang w:val="en-US"/>
        </w:rPr>
        <w:t>Government Utilities Essential Services Hardship Inter-Agency Working Group)</w:t>
      </w:r>
      <w:r w:rsidR="00237BF4">
        <w:rPr>
          <w:lang w:val="en-US"/>
        </w:rPr>
        <w:t>.</w:t>
      </w:r>
    </w:p>
    <w:p w14:paraId="5636C07E" w14:textId="2BF56C27" w:rsidR="00EC1A0A" w:rsidRDefault="00EC1A0A" w:rsidP="00EC1A0A">
      <w:pPr>
        <w:rPr>
          <w:lang w:val="en-US"/>
        </w:rPr>
      </w:pPr>
      <w:proofErr w:type="spellStart"/>
      <w:r w:rsidRPr="00AF5D74">
        <w:rPr>
          <w:lang w:val="en-US"/>
        </w:rPr>
        <w:t>Simsha</w:t>
      </w:r>
      <w:r>
        <w:rPr>
          <w:lang w:val="en-US"/>
        </w:rPr>
        <w:t>user</w:t>
      </w:r>
      <w:proofErr w:type="spellEnd"/>
      <w:r>
        <w:rPr>
          <w:lang w:val="en-US"/>
        </w:rPr>
        <w:t xml:space="preserve">, P, Nelson, T, June 2012, </w:t>
      </w:r>
      <w:hyperlink r:id="rId62" w:history="1">
        <w:proofErr w:type="gramStart"/>
        <w:r w:rsidRPr="00F26F5D">
          <w:rPr>
            <w:rStyle w:val="Hyperlink"/>
            <w:i/>
            <w:lang w:val="en-US"/>
          </w:rPr>
          <w:t>The</w:t>
        </w:r>
        <w:proofErr w:type="gramEnd"/>
        <w:r w:rsidRPr="00F26F5D">
          <w:rPr>
            <w:rStyle w:val="Hyperlink"/>
            <w:i/>
            <w:lang w:val="en-US"/>
          </w:rPr>
          <w:t xml:space="preserve"> energy market death spiral; rethinking customer hardship</w:t>
        </w:r>
        <w:r w:rsidRPr="00FE28A0">
          <w:rPr>
            <w:rStyle w:val="Hyperlink"/>
            <w:lang w:val="en-US"/>
          </w:rPr>
          <w:t>,</w:t>
        </w:r>
      </w:hyperlink>
      <w:r>
        <w:rPr>
          <w:lang w:val="en-US"/>
        </w:rPr>
        <w:t xml:space="preserve"> </w:t>
      </w:r>
      <w:proofErr w:type="spellStart"/>
      <w:r>
        <w:rPr>
          <w:lang w:val="en-US"/>
        </w:rPr>
        <w:t>AGL</w:t>
      </w:r>
      <w:proofErr w:type="spellEnd"/>
      <w:r>
        <w:rPr>
          <w:lang w:val="en-US"/>
        </w:rPr>
        <w:t xml:space="preserve"> working paper 31, </w:t>
      </w:r>
      <w:proofErr w:type="spellStart"/>
      <w:r>
        <w:rPr>
          <w:lang w:val="en-US"/>
        </w:rPr>
        <w:t>AGL</w:t>
      </w:r>
      <w:proofErr w:type="spellEnd"/>
      <w:r>
        <w:rPr>
          <w:lang w:val="en-US"/>
        </w:rPr>
        <w:t xml:space="preserve"> Applied Economic and Policy Research</w:t>
      </w:r>
      <w:r w:rsidR="00F26F5D">
        <w:rPr>
          <w:lang w:val="en-US"/>
        </w:rPr>
        <w:t>.</w:t>
      </w:r>
    </w:p>
    <w:p w14:paraId="0D83746C" w14:textId="6EF6AE85" w:rsidR="00EC1A0A" w:rsidRPr="002F64B9" w:rsidRDefault="00EC1A0A" w:rsidP="004C771B">
      <w:pPr>
        <w:rPr>
          <w:lang w:val="en-US"/>
        </w:rPr>
      </w:pPr>
      <w:r w:rsidRPr="00367689">
        <w:rPr>
          <w:lang w:val="en-US"/>
        </w:rPr>
        <w:t xml:space="preserve">Utility Debt Spiral Study Reference Group, Committee for Melbourne, November 2004, </w:t>
      </w:r>
      <w:hyperlink r:id="rId63" w:history="1">
        <w:r w:rsidRPr="00F26F5D">
          <w:rPr>
            <w:rStyle w:val="Hyperlink"/>
            <w:i/>
            <w:lang w:val="en-US"/>
          </w:rPr>
          <w:t>Utility Debt Spiral Project – Main Report</w:t>
        </w:r>
      </w:hyperlink>
      <w:r w:rsidR="00F26F5D">
        <w:rPr>
          <w:lang w:val="en-US"/>
        </w:rPr>
        <w:t>.</w:t>
      </w:r>
    </w:p>
    <w:p w14:paraId="07161420" w14:textId="7EA666EA" w:rsidR="00EC1A0A" w:rsidRDefault="00EC1A0A" w:rsidP="00EC1A0A">
      <w:pPr>
        <w:rPr>
          <w:lang w:val="en-US"/>
        </w:rPr>
      </w:pPr>
      <w:proofErr w:type="spellStart"/>
      <w:r w:rsidRPr="00AF5D74">
        <w:rPr>
          <w:lang w:val="en-US"/>
        </w:rPr>
        <w:t>Wein</w:t>
      </w:r>
      <w:proofErr w:type="spellEnd"/>
      <w:r w:rsidRPr="00AF5D74">
        <w:rPr>
          <w:lang w:val="en-US"/>
        </w:rPr>
        <w:t xml:space="preserve">, </w:t>
      </w:r>
      <w:proofErr w:type="spellStart"/>
      <w:r w:rsidRPr="00AF5D74">
        <w:rPr>
          <w:lang w:val="en-US"/>
        </w:rPr>
        <w:t>Paen</w:t>
      </w:r>
      <w:proofErr w:type="spellEnd"/>
      <w:r w:rsidRPr="00AF5D74">
        <w:rPr>
          <w:lang w:val="en-US"/>
        </w:rPr>
        <w:t xml:space="preserve">, </w:t>
      </w:r>
      <w:proofErr w:type="spellStart"/>
      <w:r w:rsidRPr="00AF5D74">
        <w:rPr>
          <w:lang w:val="en-US"/>
        </w:rPr>
        <w:t>Ya</w:t>
      </w:r>
      <w:proofErr w:type="spellEnd"/>
      <w:r w:rsidRPr="00AF5D74">
        <w:rPr>
          <w:lang w:val="en-US"/>
        </w:rPr>
        <w:t xml:space="preserve"> &amp; </w:t>
      </w:r>
      <w:proofErr w:type="spellStart"/>
      <w:r w:rsidRPr="00AF5D74">
        <w:rPr>
          <w:lang w:val="en-US"/>
        </w:rPr>
        <w:t>Gim</w:t>
      </w:r>
      <w:proofErr w:type="spellEnd"/>
      <w:r w:rsidRPr="00AF5D74">
        <w:rPr>
          <w:lang w:val="en-US"/>
        </w:rPr>
        <w:t>, Consumer Utilities Advocacy Centre, December 2011,</w:t>
      </w:r>
      <w:r w:rsidRPr="00483C20">
        <w:rPr>
          <w:lang w:val="en-US"/>
        </w:rPr>
        <w:t xml:space="preserve"> </w:t>
      </w:r>
      <w:r w:rsidRPr="00F26F5D">
        <w:rPr>
          <w:i/>
          <w:lang w:val="en-US"/>
        </w:rPr>
        <w:t xml:space="preserve">Victorian Aboriginal </w:t>
      </w:r>
      <w:r w:rsidR="00F26F5D" w:rsidRPr="00F26F5D">
        <w:rPr>
          <w:i/>
          <w:lang w:val="en-US"/>
        </w:rPr>
        <w:t>experiences of energy and water</w:t>
      </w:r>
      <w:r w:rsidR="00F26F5D">
        <w:rPr>
          <w:lang w:val="en-US"/>
        </w:rPr>
        <w:t>.</w:t>
      </w:r>
    </w:p>
    <w:p w14:paraId="750ECEA3" w14:textId="77777777" w:rsidR="00EC1A0A" w:rsidRDefault="00EC1A0A" w:rsidP="00447A45">
      <w:pPr>
        <w:pStyle w:val="Heading2"/>
      </w:pPr>
      <w:bookmarkStart w:id="92" w:name="_Toc387144796"/>
      <w:r w:rsidRPr="0036233F">
        <w:lastRenderedPageBreak/>
        <w:t>Websites</w:t>
      </w:r>
      <w:bookmarkEnd w:id="92"/>
    </w:p>
    <w:p w14:paraId="0D37A174" w14:textId="77777777" w:rsidR="00EC1A0A" w:rsidRDefault="00EC1A0A" w:rsidP="00EC1A0A">
      <w:proofErr w:type="gramStart"/>
      <w:r>
        <w:t xml:space="preserve">Assurancewireless.com, </w:t>
      </w:r>
      <w:hyperlink r:id="rId64" w:history="1">
        <w:r w:rsidRPr="0081280A">
          <w:rPr>
            <w:rStyle w:val="Hyperlink"/>
          </w:rPr>
          <w:t>http://www.assurancewireless.com/Public/Welcome.aspx</w:t>
        </w:r>
      </w:hyperlink>
      <w:r>
        <w:t xml:space="preserve"> (accessed 8 October 2013).</w:t>
      </w:r>
      <w:proofErr w:type="gramEnd"/>
    </w:p>
    <w:p w14:paraId="448E4916" w14:textId="016072FA" w:rsidR="0098607E" w:rsidRPr="00A52779" w:rsidRDefault="0098607E" w:rsidP="0098607E">
      <w:r>
        <w:t xml:space="preserve">Australian Energy Regulator, </w:t>
      </w:r>
      <w:r w:rsidRPr="00F26F5D">
        <w:rPr>
          <w:i/>
          <w:lang w:val="en-US"/>
        </w:rPr>
        <w:t>Energy retailers' customer hardship policies,</w:t>
      </w:r>
      <w:r w:rsidR="00F26F5D">
        <w:rPr>
          <w:rStyle w:val="Hyperlink"/>
          <w:i/>
          <w:lang w:val="en-US"/>
        </w:rPr>
        <w:t xml:space="preserve"> </w:t>
      </w:r>
      <w:r w:rsidR="00F26F5D" w:rsidRPr="00F26F5D">
        <w:rPr>
          <w:rStyle w:val="Hyperlink"/>
          <w:i/>
          <w:lang w:val="en-US"/>
        </w:rPr>
        <w:t>http://www.aer.gov.au/retail-markets/energy-retailers-customer-hardship-policies</w:t>
      </w:r>
      <w:r w:rsidR="00F26F5D">
        <w:rPr>
          <w:b/>
          <w:bCs/>
          <w:lang w:val="en-US"/>
        </w:rPr>
        <w:t xml:space="preserve"> </w:t>
      </w:r>
      <w:r w:rsidR="00F26F5D">
        <w:rPr>
          <w:bCs/>
          <w:lang w:val="en-US"/>
        </w:rPr>
        <w:t>(a</w:t>
      </w:r>
      <w:r>
        <w:rPr>
          <w:bCs/>
          <w:lang w:val="en-US"/>
        </w:rPr>
        <w:t>ccessed 23 Sept 2013)</w:t>
      </w:r>
      <w:r w:rsidR="00F26F5D">
        <w:rPr>
          <w:bCs/>
          <w:lang w:val="en-US"/>
        </w:rPr>
        <w:t>.</w:t>
      </w:r>
      <w:r>
        <w:rPr>
          <w:b/>
          <w:bCs/>
          <w:lang w:val="en-US"/>
        </w:rPr>
        <w:t xml:space="preserve">  </w:t>
      </w:r>
    </w:p>
    <w:p w14:paraId="2A399A56" w14:textId="77777777" w:rsidR="00EC1A0A" w:rsidRPr="00233A93" w:rsidRDefault="00EC1A0A" w:rsidP="00EC1A0A">
      <w:proofErr w:type="gramStart"/>
      <w:r>
        <w:t xml:space="preserve">Massresources.org, ‘Utility and telephone discounts’ </w:t>
      </w:r>
      <w:hyperlink r:id="rId65" w:history="1">
        <w:r w:rsidRPr="0081280A">
          <w:rPr>
            <w:rStyle w:val="Hyperlink"/>
          </w:rPr>
          <w:t>http://www.massresources.org/utility-discounts.html</w:t>
        </w:r>
      </w:hyperlink>
      <w:r>
        <w:t xml:space="preserve"> (accessed 8 October 2013).</w:t>
      </w:r>
      <w:proofErr w:type="gramEnd"/>
      <w:r>
        <w:t xml:space="preserve"> </w:t>
      </w:r>
    </w:p>
    <w:p w14:paraId="7EE29BBF" w14:textId="20600001" w:rsidR="00EC1A0A" w:rsidRDefault="00EC1A0A" w:rsidP="00EC1A0A">
      <w:r>
        <w:t xml:space="preserve">Pennsylvania Public Utility Commission, Energy Assistance Programs, </w:t>
      </w:r>
      <w:hyperlink r:id="rId66" w:history="1">
        <w:r w:rsidRPr="00271DCE">
          <w:rPr>
            <w:rStyle w:val="Hyperlink"/>
          </w:rPr>
          <w:t>http://www.puc.state.pa.us/consumer_info/electricity/energy_assistance_programs.aspx</w:t>
        </w:r>
      </w:hyperlink>
      <w:r w:rsidR="00F26F5D">
        <w:t xml:space="preserve"> (a</w:t>
      </w:r>
      <w:r>
        <w:t xml:space="preserve">ccessed 10 October 2013). </w:t>
      </w:r>
    </w:p>
    <w:p w14:paraId="61EDE701" w14:textId="77777777" w:rsidR="008E488C" w:rsidRDefault="008E488C" w:rsidP="00027BC3">
      <w:pPr>
        <w:pStyle w:val="Heading11"/>
      </w:pPr>
    </w:p>
    <w:sectPr w:rsidR="008E488C" w:rsidSect="00027BC3">
      <w:footerReference w:type="default" r:id="rId6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EAB81" w14:textId="77777777" w:rsidR="00CF0B01" w:rsidRDefault="00CF0B01" w:rsidP="00396B7B">
      <w:pPr>
        <w:spacing w:after="0" w:line="240" w:lineRule="auto"/>
      </w:pPr>
      <w:r>
        <w:separator/>
      </w:r>
    </w:p>
  </w:endnote>
  <w:endnote w:type="continuationSeparator" w:id="0">
    <w:p w14:paraId="19ED0B74" w14:textId="77777777" w:rsidR="00CF0B01" w:rsidRDefault="00CF0B01" w:rsidP="0039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Zapf Dingbats">
    <w:altName w:val="Times New Roman"/>
    <w:charset w:val="00"/>
    <w:family w:val="roman"/>
    <w:pitch w:val="default"/>
  </w:font>
  <w:font w:name="Arial MT Pro Light">
    <w:panose1 w:val="00000000000000000000"/>
    <w:charset w:val="00"/>
    <w:family w:val="swiss"/>
    <w:notTrueType/>
    <w:pitch w:val="variable"/>
    <w:sig w:usb0="00000007" w:usb1="00000001" w:usb2="00000000" w:usb3="00000000" w:csb0="00000093" w:csb1="00000000"/>
  </w:font>
  <w:font w:name="MyriadPro-LightIt">
    <w:altName w:val="Cambria"/>
    <w:panose1 w:val="00000000000000000000"/>
    <w:charset w:val="00"/>
    <w:family w:val="auto"/>
    <w:notTrueType/>
    <w:pitch w:val="default"/>
    <w:sig w:usb0="00000003" w:usb1="00000000" w:usb2="00000000" w:usb3="00000000" w:csb0="00000001" w:csb1="00000000"/>
  </w:font>
  <w:font w:name="Garamond Premr Pro Smbd Disp">
    <w:altName w:val="Baskerville Old Face"/>
    <w:charset w:val="00"/>
    <w:family w:val="auto"/>
    <w:pitch w:val="variable"/>
    <w:sig w:usb0="00000003" w:usb1="00000000" w:usb2="00000000" w:usb3="00000000" w:csb0="00000001" w:csb1="00000000"/>
  </w:font>
  <w:font w:name="ArialMTPro-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92577"/>
      <w:docPartObj>
        <w:docPartGallery w:val="Page Numbers (Bottom of Page)"/>
        <w:docPartUnique/>
      </w:docPartObj>
    </w:sdtPr>
    <w:sdtEndPr/>
    <w:sdtContent>
      <w:p w14:paraId="50B41033" w14:textId="77777777" w:rsidR="00CF0B01" w:rsidRDefault="00CF0B01">
        <w:pPr>
          <w:pStyle w:val="Footer"/>
          <w:jc w:val="right"/>
        </w:pPr>
        <w:r>
          <w:t xml:space="preserve">Page | </w:t>
        </w:r>
        <w:r>
          <w:fldChar w:fldCharType="begin"/>
        </w:r>
        <w:r>
          <w:instrText xml:space="preserve"> PAGE   \* MERGEFORMAT </w:instrText>
        </w:r>
        <w:r>
          <w:fldChar w:fldCharType="separate"/>
        </w:r>
        <w:r w:rsidR="005B36D0">
          <w:rPr>
            <w:noProof/>
          </w:rPr>
          <w:t>84</w:t>
        </w:r>
        <w:r>
          <w:rPr>
            <w:noProof/>
          </w:rPr>
          <w:fldChar w:fldCharType="end"/>
        </w:r>
        <w:r>
          <w:t xml:space="preserve"> </w:t>
        </w:r>
      </w:p>
    </w:sdtContent>
  </w:sdt>
  <w:p w14:paraId="26DE5A5B" w14:textId="77777777" w:rsidR="00CF0B01" w:rsidRDefault="00CF0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910BC" w14:textId="77777777" w:rsidR="00CF0B01" w:rsidRDefault="00CF0B01" w:rsidP="00396B7B">
      <w:pPr>
        <w:spacing w:after="0" w:line="240" w:lineRule="auto"/>
      </w:pPr>
      <w:r>
        <w:separator/>
      </w:r>
    </w:p>
  </w:footnote>
  <w:footnote w:type="continuationSeparator" w:id="0">
    <w:p w14:paraId="5A5C85BD" w14:textId="77777777" w:rsidR="00CF0B01" w:rsidRDefault="00CF0B01" w:rsidP="00396B7B">
      <w:pPr>
        <w:spacing w:after="0" w:line="240" w:lineRule="auto"/>
      </w:pPr>
      <w:r>
        <w:continuationSeparator/>
      </w:r>
    </w:p>
  </w:footnote>
  <w:footnote w:id="1">
    <w:p w14:paraId="47FAAD95" w14:textId="77777777" w:rsidR="00CF0B01" w:rsidRPr="00906769" w:rsidRDefault="00CF0B01" w:rsidP="00E44BBD">
      <w:pPr>
        <w:pStyle w:val="FootnoteText"/>
        <w:rPr>
          <w:rFonts w:asciiTheme="minorHAnsi" w:hAnsiTheme="minorHAnsi" w:cstheme="minorHAnsi"/>
          <w:lang w:val="en-AU"/>
        </w:rPr>
      </w:pPr>
      <w:r w:rsidRPr="00906769">
        <w:rPr>
          <w:rStyle w:val="FootnoteReference"/>
          <w:rFonts w:asciiTheme="minorHAnsi" w:hAnsiTheme="minorHAnsi" w:cstheme="minorHAnsi"/>
        </w:rPr>
        <w:footnoteRef/>
      </w:r>
      <w:r w:rsidRPr="00906769">
        <w:rPr>
          <w:rFonts w:asciiTheme="minorHAnsi" w:hAnsiTheme="minorHAnsi" w:cstheme="minorHAnsi"/>
        </w:rPr>
        <w:t xml:space="preserve"> </w:t>
      </w:r>
      <w:r w:rsidRPr="00906769">
        <w:rPr>
          <w:rFonts w:asciiTheme="minorHAnsi" w:hAnsiTheme="minorHAnsi" w:cstheme="minorHAnsi"/>
          <w:lang w:val="en-AU"/>
        </w:rPr>
        <w:t xml:space="preserve">Consumer advocates were from Consumer Action Law Centre, Consumer Utilities Advocacy Centre, </w:t>
      </w:r>
      <w:proofErr w:type="gramStart"/>
      <w:r w:rsidRPr="00906769">
        <w:rPr>
          <w:rFonts w:asciiTheme="minorHAnsi" w:hAnsiTheme="minorHAnsi" w:cstheme="minorHAnsi"/>
          <w:lang w:val="en-AU"/>
        </w:rPr>
        <w:t>ACCAN</w:t>
      </w:r>
      <w:proofErr w:type="gramEnd"/>
      <w:r w:rsidRPr="00906769">
        <w:rPr>
          <w:rFonts w:asciiTheme="minorHAnsi" w:hAnsiTheme="minorHAnsi" w:cstheme="minorHAnsi"/>
          <w:lang w:val="en-AU"/>
        </w:rPr>
        <w:t>.</w:t>
      </w:r>
    </w:p>
  </w:footnote>
  <w:footnote w:id="2">
    <w:p w14:paraId="76E2102E" w14:textId="77777777" w:rsidR="00CF0B01" w:rsidRPr="00906769" w:rsidRDefault="00CF0B01">
      <w:pPr>
        <w:pStyle w:val="FootnoteText"/>
        <w:rPr>
          <w:rFonts w:asciiTheme="minorHAnsi" w:hAnsiTheme="minorHAnsi" w:cstheme="minorHAnsi"/>
          <w:lang w:val="en-AU"/>
        </w:rPr>
      </w:pPr>
      <w:r w:rsidRPr="00906769">
        <w:rPr>
          <w:rStyle w:val="FootnoteReference"/>
          <w:rFonts w:asciiTheme="minorHAnsi" w:hAnsiTheme="minorHAnsi" w:cstheme="minorHAnsi"/>
        </w:rPr>
        <w:footnoteRef/>
      </w:r>
      <w:r w:rsidRPr="00906769">
        <w:rPr>
          <w:rFonts w:asciiTheme="minorHAnsi" w:hAnsiTheme="minorHAnsi" w:cstheme="minorHAnsi"/>
        </w:rPr>
        <w:t xml:space="preserve"> </w:t>
      </w:r>
      <w:r w:rsidRPr="00906769">
        <w:rPr>
          <w:rFonts w:asciiTheme="minorHAnsi" w:hAnsiTheme="minorHAnsi" w:cstheme="minorHAnsi"/>
          <w:lang w:val="en-AU"/>
        </w:rPr>
        <w:t xml:space="preserve">National Australia Bank, </w:t>
      </w:r>
      <w:proofErr w:type="spellStart"/>
      <w:r w:rsidRPr="00906769">
        <w:rPr>
          <w:rFonts w:asciiTheme="minorHAnsi" w:hAnsiTheme="minorHAnsi" w:cstheme="minorHAnsi"/>
          <w:lang w:val="en-AU"/>
        </w:rPr>
        <w:t>ANZ</w:t>
      </w:r>
      <w:proofErr w:type="spellEnd"/>
      <w:r w:rsidRPr="00906769">
        <w:rPr>
          <w:rFonts w:asciiTheme="minorHAnsi" w:hAnsiTheme="minorHAnsi" w:cstheme="minorHAnsi"/>
          <w:lang w:val="en-AU"/>
        </w:rPr>
        <w:t>, GE, Sydney Water, Yarra Valley Water, Optus, Telstra.</w:t>
      </w:r>
    </w:p>
  </w:footnote>
  <w:footnote w:id="3">
    <w:p w14:paraId="5993B9DB" w14:textId="77777777" w:rsidR="00CF0B01" w:rsidRPr="00DF541C" w:rsidRDefault="00CF0B01">
      <w:pPr>
        <w:pStyle w:val="FootnoteText"/>
        <w:rPr>
          <w:lang w:val="en-AU"/>
        </w:rPr>
      </w:pPr>
      <w:r w:rsidRPr="00906769">
        <w:rPr>
          <w:rStyle w:val="FootnoteReference"/>
          <w:rFonts w:asciiTheme="minorHAnsi" w:hAnsiTheme="minorHAnsi" w:cstheme="minorHAnsi"/>
        </w:rPr>
        <w:footnoteRef/>
      </w:r>
      <w:r w:rsidRPr="00906769">
        <w:rPr>
          <w:rFonts w:asciiTheme="minorHAnsi" w:hAnsiTheme="minorHAnsi" w:cstheme="minorHAnsi"/>
        </w:rPr>
        <w:t xml:space="preserve"> </w:t>
      </w:r>
      <w:r w:rsidRPr="00906769">
        <w:rPr>
          <w:rFonts w:asciiTheme="minorHAnsi" w:hAnsiTheme="minorHAnsi" w:cstheme="minorHAnsi"/>
          <w:lang w:val="en-AU"/>
        </w:rPr>
        <w:t>The Australian Energy Regulator has a national focus, while the Essential Services Commission is a Victorian regulator.</w:t>
      </w:r>
    </w:p>
  </w:footnote>
  <w:footnote w:id="4">
    <w:p w14:paraId="134DFE39" w14:textId="77777777" w:rsidR="00CF0B01" w:rsidRPr="005D1653" w:rsidRDefault="00CF0B01" w:rsidP="00EB7C22">
      <w:pPr>
        <w:pStyle w:val="FootnoteText"/>
        <w:rPr>
          <w:rFonts w:asciiTheme="minorHAnsi" w:hAnsiTheme="minorHAnsi" w:cstheme="minorHAnsi"/>
          <w:lang w:val="en-US"/>
        </w:rPr>
      </w:pPr>
      <w:r w:rsidRPr="005D1653">
        <w:rPr>
          <w:rStyle w:val="FootnoteReference"/>
          <w:rFonts w:asciiTheme="minorHAnsi" w:hAnsiTheme="minorHAnsi" w:cstheme="minorHAnsi"/>
        </w:rPr>
        <w:footnoteRef/>
      </w:r>
      <w:r w:rsidRPr="005D1653">
        <w:rPr>
          <w:rFonts w:asciiTheme="minorHAnsi" w:hAnsiTheme="minorHAnsi" w:cstheme="minorHAnsi"/>
        </w:rPr>
        <w:t xml:space="preserve"> ABS, 4159.0 General Social Survey: Summary Results, 2010 (released 30/09/2011).</w:t>
      </w:r>
      <w:r w:rsidRPr="005D1653">
        <w:rPr>
          <w:rFonts w:asciiTheme="minorHAnsi" w:hAnsiTheme="minorHAnsi" w:cstheme="minorHAnsi"/>
          <w:lang w:val="en-US"/>
        </w:rPr>
        <w:t xml:space="preserve"> </w:t>
      </w:r>
    </w:p>
  </w:footnote>
  <w:footnote w:id="5">
    <w:p w14:paraId="321E8742" w14:textId="77777777" w:rsidR="00CF0B01" w:rsidRPr="005D1653" w:rsidRDefault="00CF0B01" w:rsidP="00F201BD">
      <w:pPr>
        <w:pStyle w:val="FootnoteText"/>
        <w:rPr>
          <w:rFonts w:asciiTheme="minorHAnsi" w:hAnsiTheme="minorHAnsi" w:cstheme="minorHAnsi"/>
          <w:lang w:val="en-US"/>
        </w:rPr>
      </w:pPr>
      <w:r w:rsidRPr="005D1653">
        <w:rPr>
          <w:rStyle w:val="FootnoteReference"/>
          <w:rFonts w:asciiTheme="minorHAnsi" w:hAnsiTheme="minorHAnsi" w:cstheme="minorHAnsi"/>
        </w:rPr>
        <w:footnoteRef/>
      </w:r>
      <w:r w:rsidRPr="005D1653">
        <w:rPr>
          <w:rFonts w:asciiTheme="minorHAnsi" w:hAnsiTheme="minorHAnsi" w:cstheme="minorHAnsi"/>
        </w:rPr>
        <w:t xml:space="preserve"> ABS, 4159.0 General Social Survey: Summary Results, 2010 (released 30/09/2011), Table 45.3 Household financial stress indicators, by selected household composition categories, proportion.</w:t>
      </w:r>
    </w:p>
  </w:footnote>
  <w:footnote w:id="6">
    <w:p w14:paraId="6AB8FE4B" w14:textId="15CD6D51" w:rsidR="00CF0B01" w:rsidRPr="00F3525C" w:rsidRDefault="00CF0B01" w:rsidP="006B6402">
      <w:pPr>
        <w:spacing w:after="0" w:line="240" w:lineRule="auto"/>
        <w:rPr>
          <w:rFonts w:asciiTheme="minorHAnsi" w:hAnsiTheme="minorHAnsi" w:cstheme="minorHAnsi"/>
          <w:sz w:val="20"/>
        </w:rPr>
      </w:pPr>
      <w:r w:rsidRPr="005D1653">
        <w:rPr>
          <w:rStyle w:val="FootnoteReference"/>
          <w:rFonts w:asciiTheme="minorHAnsi" w:hAnsiTheme="minorHAnsi" w:cstheme="minorHAnsi"/>
          <w:sz w:val="20"/>
          <w:szCs w:val="20"/>
        </w:rPr>
        <w:footnoteRef/>
      </w:r>
      <w:r w:rsidRPr="005D1653">
        <w:rPr>
          <w:rFonts w:asciiTheme="minorHAnsi" w:hAnsiTheme="minorHAnsi" w:cstheme="minorHAnsi"/>
          <w:sz w:val="20"/>
          <w:szCs w:val="20"/>
        </w:rPr>
        <w:t xml:space="preserve"> Examples in the survey were: being unable to pay electricity or gas or telephone bills on time; unable to pay mortgage or rent payments on time;  unable to pay car registration or insurance on time;  unable to make the </w:t>
      </w:r>
      <w:r w:rsidRPr="00F3525C">
        <w:rPr>
          <w:rFonts w:asciiTheme="minorHAnsi" w:hAnsiTheme="minorHAnsi" w:cstheme="minorHAnsi"/>
          <w:sz w:val="20"/>
          <w:szCs w:val="20"/>
        </w:rPr>
        <w:t>minimum payment on a credit card; pawned or sold something, went without meals, unable to heat home, sought assistance from friends, family or welfare/community agencies</w:t>
      </w:r>
    </w:p>
  </w:footnote>
  <w:footnote w:id="7">
    <w:p w14:paraId="560060D5" w14:textId="77777777" w:rsidR="00CF0B01" w:rsidRPr="00F3525C" w:rsidRDefault="00CF0B01">
      <w:pPr>
        <w:pStyle w:val="FootnoteText"/>
        <w:rPr>
          <w:rFonts w:asciiTheme="minorHAnsi" w:eastAsiaTheme="minorHAnsi" w:hAnsiTheme="minorHAnsi" w:cstheme="minorHAnsi"/>
          <w:szCs w:val="22"/>
          <w:lang w:val="en-AU"/>
        </w:rPr>
      </w:pPr>
      <w:r w:rsidRPr="00F3525C">
        <w:rPr>
          <w:rStyle w:val="FootnoteReference"/>
          <w:rFonts w:asciiTheme="minorHAnsi" w:hAnsiTheme="minorHAnsi" w:cstheme="minorHAnsi"/>
        </w:rPr>
        <w:footnoteRef/>
      </w:r>
      <w:r w:rsidRPr="00F3525C">
        <w:rPr>
          <w:rFonts w:asciiTheme="minorHAnsi" w:hAnsiTheme="minorHAnsi" w:cstheme="minorHAnsi"/>
        </w:rPr>
        <w:t xml:space="preserve"> </w:t>
      </w:r>
      <w:r w:rsidRPr="00F3525C">
        <w:rPr>
          <w:rFonts w:asciiTheme="minorHAnsi" w:eastAsiaTheme="minorHAnsi" w:hAnsiTheme="minorHAnsi" w:cstheme="minorHAnsi"/>
          <w:szCs w:val="22"/>
          <w:lang w:val="en-AU"/>
        </w:rPr>
        <w:t>Examples include: reducing home loan repayments; drawing on savings, increasing the balance on a credit card by $1,000 or more, taking out a personal loan, selling assets.</w:t>
      </w:r>
    </w:p>
  </w:footnote>
  <w:footnote w:id="8">
    <w:p w14:paraId="678FA032" w14:textId="5BEDC0DC" w:rsidR="00CF0B01" w:rsidRPr="00F3525C" w:rsidRDefault="00CF0B01" w:rsidP="00035500">
      <w:pPr>
        <w:pStyle w:val="FootnoteText"/>
        <w:rPr>
          <w:rFonts w:asciiTheme="minorHAnsi" w:hAnsiTheme="minorHAnsi" w:cstheme="minorHAnsi"/>
          <w:lang w:val="en-AU"/>
        </w:rPr>
      </w:pPr>
      <w:r w:rsidRPr="00F3525C">
        <w:rPr>
          <w:rStyle w:val="FootnoteReference"/>
          <w:rFonts w:asciiTheme="minorHAnsi" w:hAnsiTheme="minorHAnsi" w:cstheme="minorHAnsi"/>
        </w:rPr>
        <w:footnoteRef/>
      </w:r>
      <w:r w:rsidRPr="00F3525C">
        <w:rPr>
          <w:rFonts w:asciiTheme="minorHAnsi" w:hAnsiTheme="minorHAnsi" w:cstheme="minorHAnsi"/>
        </w:rPr>
        <w:t xml:space="preserve"> </w:t>
      </w:r>
      <w:r w:rsidRPr="00F3525C">
        <w:rPr>
          <w:rFonts w:asciiTheme="minorHAnsi" w:hAnsiTheme="minorHAnsi" w:cstheme="minorHAnsi"/>
          <w:lang w:val="en-AU"/>
        </w:rPr>
        <w:t>Australian Council of Social Service, ‘Poverty in Australia’, Paper No 194, 2012.</w:t>
      </w:r>
    </w:p>
  </w:footnote>
  <w:footnote w:id="9">
    <w:p w14:paraId="0C018FAF" w14:textId="3C702557" w:rsidR="00CF0B01" w:rsidRPr="00F3525C" w:rsidRDefault="00CF0B01" w:rsidP="00035500">
      <w:pPr>
        <w:pStyle w:val="FootnoteText"/>
        <w:rPr>
          <w:rFonts w:asciiTheme="minorHAnsi" w:hAnsiTheme="minorHAnsi" w:cstheme="minorHAnsi"/>
          <w:lang w:val="en-AU"/>
        </w:rPr>
      </w:pPr>
      <w:r w:rsidRPr="00F3525C">
        <w:rPr>
          <w:rStyle w:val="FootnoteReference"/>
          <w:rFonts w:asciiTheme="minorHAnsi" w:hAnsiTheme="minorHAnsi" w:cstheme="minorHAnsi"/>
        </w:rPr>
        <w:footnoteRef/>
      </w:r>
      <w:r w:rsidRPr="00F3525C">
        <w:rPr>
          <w:rFonts w:asciiTheme="minorHAnsi" w:hAnsiTheme="minorHAnsi" w:cstheme="minorHAnsi"/>
        </w:rPr>
        <w:t xml:space="preserve"> </w:t>
      </w:r>
      <w:r w:rsidRPr="00F3525C">
        <w:rPr>
          <w:rFonts w:asciiTheme="minorHAnsi" w:hAnsiTheme="minorHAnsi" w:cstheme="minorHAnsi"/>
          <w:lang w:val="en-AU"/>
        </w:rPr>
        <w:t>Australian Social Inclusion Board, ‘Social Inclusion in Australia: How Australia is Faring’, 2010.</w:t>
      </w:r>
    </w:p>
  </w:footnote>
  <w:footnote w:id="10">
    <w:p w14:paraId="18558808" w14:textId="77777777" w:rsidR="00CF0B01" w:rsidRPr="00F3525C" w:rsidRDefault="00CF0B01" w:rsidP="00DB6EA0">
      <w:pPr>
        <w:pStyle w:val="FootnoteText"/>
        <w:rPr>
          <w:rFonts w:asciiTheme="minorHAnsi" w:hAnsiTheme="minorHAnsi" w:cstheme="minorHAnsi"/>
          <w:lang w:val="en-US"/>
        </w:rPr>
      </w:pPr>
      <w:r w:rsidRPr="00F3525C">
        <w:rPr>
          <w:rStyle w:val="FootnoteReference"/>
          <w:rFonts w:asciiTheme="minorHAnsi" w:hAnsiTheme="minorHAnsi" w:cstheme="minorHAnsi"/>
        </w:rPr>
        <w:footnoteRef/>
      </w:r>
      <w:r w:rsidRPr="00F3525C">
        <w:rPr>
          <w:rFonts w:asciiTheme="minorHAnsi" w:hAnsiTheme="minorHAnsi" w:cstheme="minorHAnsi"/>
        </w:rPr>
        <w:t xml:space="preserve"> </w:t>
      </w:r>
      <w:r w:rsidRPr="00F3525C">
        <w:rPr>
          <w:rFonts w:asciiTheme="minorHAnsi" w:hAnsiTheme="minorHAnsi" w:cstheme="minorHAnsi"/>
          <w:lang w:val="en-US"/>
        </w:rPr>
        <w:t xml:space="preserve"> Dun &amp; Bradstreet, March 2012, ‘Consumer Credit Expectations - </w:t>
      </w:r>
      <w:r w:rsidRPr="00F3525C">
        <w:rPr>
          <w:rFonts w:asciiTheme="minorHAnsi" w:hAnsiTheme="minorHAnsi" w:cstheme="minorHAnsi"/>
          <w:bCs/>
          <w:iCs/>
          <w:lang w:val="en-US"/>
        </w:rPr>
        <w:t>Expectations for the June quarter 2012’</w:t>
      </w:r>
    </w:p>
  </w:footnote>
  <w:footnote w:id="11">
    <w:p w14:paraId="384BF23B" w14:textId="542C1E81" w:rsidR="00CF0B01" w:rsidRPr="00F3525C" w:rsidRDefault="00CF0B01" w:rsidP="00DB6EA0">
      <w:pPr>
        <w:pStyle w:val="FootnoteText"/>
        <w:rPr>
          <w:rFonts w:asciiTheme="minorHAnsi" w:hAnsiTheme="minorHAnsi" w:cstheme="minorHAnsi"/>
          <w:lang w:val="en-US"/>
        </w:rPr>
      </w:pPr>
      <w:r w:rsidRPr="00F3525C">
        <w:rPr>
          <w:rStyle w:val="FootnoteReference"/>
          <w:rFonts w:asciiTheme="minorHAnsi" w:hAnsiTheme="minorHAnsi" w:cstheme="minorHAnsi"/>
        </w:rPr>
        <w:footnoteRef/>
      </w:r>
      <w:r w:rsidRPr="00F3525C">
        <w:rPr>
          <w:rFonts w:asciiTheme="minorHAnsi" w:hAnsiTheme="minorHAnsi" w:cstheme="minorHAnsi"/>
        </w:rPr>
        <w:t xml:space="preserve"> </w:t>
      </w:r>
      <w:r w:rsidRPr="00F3525C">
        <w:rPr>
          <w:rFonts w:asciiTheme="minorHAnsi" w:hAnsiTheme="minorHAnsi" w:cstheme="minorHAnsi"/>
          <w:lang w:val="en-US"/>
        </w:rPr>
        <w:t xml:space="preserve">Dun &amp; Bradstreet, 30 October 2013, ‘Financial stress </w:t>
      </w:r>
      <w:proofErr w:type="spellStart"/>
      <w:r w:rsidRPr="00F3525C">
        <w:rPr>
          <w:rFonts w:asciiTheme="minorHAnsi" w:hAnsiTheme="minorHAnsi" w:cstheme="minorHAnsi"/>
          <w:lang w:val="en-US"/>
        </w:rPr>
        <w:t>stabilises</w:t>
      </w:r>
      <w:proofErr w:type="spellEnd"/>
      <w:r w:rsidRPr="00F3525C">
        <w:rPr>
          <w:rFonts w:asciiTheme="minorHAnsi" w:hAnsiTheme="minorHAnsi" w:cstheme="minorHAnsi"/>
          <w:lang w:val="en-US"/>
        </w:rPr>
        <w:t xml:space="preserve"> near two year low’, </w:t>
      </w:r>
      <w:hyperlink r:id="rId1" w:history="1">
        <w:r w:rsidRPr="00F3525C">
          <w:rPr>
            <w:rStyle w:val="Hyperlink"/>
            <w:rFonts w:asciiTheme="minorHAnsi" w:hAnsiTheme="minorHAnsi" w:cstheme="minorHAnsi"/>
            <w:lang w:val="en-US"/>
          </w:rPr>
          <w:t>http://dnb.com.au/Header/News/Financial_stress_stabilises_near_two_year_low/indexdl_10599.aspx</w:t>
        </w:r>
      </w:hyperlink>
      <w:r w:rsidRPr="00F3525C">
        <w:rPr>
          <w:rFonts w:asciiTheme="minorHAnsi" w:hAnsiTheme="minorHAnsi" w:cstheme="minorHAnsi"/>
          <w:lang w:val="en-US"/>
        </w:rPr>
        <w:t xml:space="preserve"> and 28 January 2014, ‘Financial stress forecast to rise: </w:t>
      </w:r>
      <w:r w:rsidRPr="00F3525C">
        <w:rPr>
          <w:rFonts w:asciiTheme="minorHAnsi" w:hAnsiTheme="minorHAnsi" w:cstheme="minorHAnsi"/>
          <w:bCs/>
          <w:lang w:val="en-US"/>
        </w:rPr>
        <w:t xml:space="preserve">Debt problems expected to increase in Q1’ </w:t>
      </w:r>
      <w:hyperlink r:id="rId2" w:history="1">
        <w:r w:rsidRPr="00F3525C">
          <w:rPr>
            <w:rStyle w:val="Hyperlink"/>
            <w:rFonts w:asciiTheme="minorHAnsi" w:hAnsiTheme="minorHAnsi" w:cstheme="minorHAnsi"/>
            <w:bCs/>
            <w:lang w:val="en-US"/>
          </w:rPr>
          <w:t>http://dnb.com.au/Header/News/Financial_stress_forecast_to_rise/indexdl_10722.aspx</w:t>
        </w:r>
      </w:hyperlink>
    </w:p>
  </w:footnote>
  <w:footnote w:id="12">
    <w:p w14:paraId="053E381D" w14:textId="77777777" w:rsidR="00CF0B01" w:rsidRPr="00F95148" w:rsidRDefault="00CF0B01" w:rsidP="003B4140">
      <w:pPr>
        <w:pStyle w:val="FootnoteText"/>
        <w:rPr>
          <w:lang w:val="en-US"/>
        </w:rPr>
      </w:pPr>
      <w:r w:rsidRPr="00F3525C">
        <w:rPr>
          <w:rStyle w:val="FootnoteReference"/>
          <w:rFonts w:asciiTheme="minorHAnsi" w:hAnsiTheme="minorHAnsi" w:cstheme="minorHAnsi"/>
        </w:rPr>
        <w:footnoteRef/>
      </w:r>
      <w:r w:rsidRPr="00F3525C">
        <w:rPr>
          <w:rFonts w:asciiTheme="minorHAnsi" w:hAnsiTheme="minorHAnsi" w:cstheme="minorHAnsi"/>
        </w:rPr>
        <w:t xml:space="preserve"> </w:t>
      </w:r>
      <w:r w:rsidRPr="00F3525C">
        <w:rPr>
          <w:rFonts w:asciiTheme="minorHAnsi" w:hAnsiTheme="minorHAnsi" w:cstheme="minorHAnsi"/>
          <w:lang w:val="en-US"/>
        </w:rPr>
        <w:t>Australian Council of Social Service, August 2011</w:t>
      </w:r>
      <w:proofErr w:type="gramStart"/>
      <w:r w:rsidRPr="00F3525C">
        <w:rPr>
          <w:rFonts w:asciiTheme="minorHAnsi" w:hAnsiTheme="minorHAnsi" w:cstheme="minorHAnsi"/>
          <w:lang w:val="en-US"/>
        </w:rPr>
        <w:t>,‘</w:t>
      </w:r>
      <w:proofErr w:type="gramEnd"/>
      <w:r>
        <w:fldChar w:fldCharType="begin"/>
      </w:r>
      <w:r>
        <w:instrText xml:space="preserve"> HYPERLINK "http://www.acoss.org.au/uploads/ACOSS%20Poverty%20Report%202012_Final.pdf" </w:instrText>
      </w:r>
      <w:r>
        <w:fldChar w:fldCharType="separate"/>
      </w:r>
      <w:r w:rsidRPr="00F3525C">
        <w:rPr>
          <w:rStyle w:val="Hyperlink"/>
          <w:rFonts w:asciiTheme="minorHAnsi" w:eastAsia="Arial Unicode MS" w:hAnsiTheme="minorHAnsi" w:cstheme="minorHAnsi"/>
          <w:lang w:val="en-US"/>
        </w:rPr>
        <w:t>Poverty in Australia 2012</w:t>
      </w:r>
      <w:r>
        <w:rPr>
          <w:rStyle w:val="Hyperlink"/>
          <w:rFonts w:asciiTheme="minorHAnsi" w:eastAsia="Arial Unicode MS" w:hAnsiTheme="minorHAnsi" w:cstheme="minorHAnsi"/>
          <w:lang w:val="en-US"/>
        </w:rPr>
        <w:fldChar w:fldCharType="end"/>
      </w:r>
      <w:r w:rsidRPr="00F3525C">
        <w:rPr>
          <w:rFonts w:asciiTheme="minorHAnsi" w:hAnsiTheme="minorHAnsi" w:cstheme="minorHAnsi"/>
          <w:lang w:val="en-US"/>
        </w:rPr>
        <w:t>’, 26.</w:t>
      </w:r>
    </w:p>
  </w:footnote>
  <w:footnote w:id="13">
    <w:p w14:paraId="3EFB5BB2" w14:textId="013F165E" w:rsidR="00CF0B01" w:rsidRPr="002A3932" w:rsidRDefault="00CF0B01" w:rsidP="003B4140">
      <w:pPr>
        <w:pStyle w:val="FootnoteText"/>
        <w:rPr>
          <w:rFonts w:asciiTheme="minorHAnsi" w:hAnsiTheme="minorHAnsi" w:cstheme="minorHAnsi"/>
          <w:lang w:val="en-US"/>
        </w:rPr>
      </w:pPr>
      <w:r w:rsidRPr="002A3932">
        <w:rPr>
          <w:rStyle w:val="FootnoteReference"/>
          <w:rFonts w:asciiTheme="minorHAnsi" w:hAnsiTheme="minorHAnsi" w:cstheme="minorHAnsi"/>
        </w:rPr>
        <w:footnoteRef/>
      </w:r>
      <w:r w:rsidRPr="002A3932">
        <w:rPr>
          <w:rFonts w:asciiTheme="minorHAnsi" w:hAnsiTheme="minorHAnsi" w:cstheme="minorHAnsi"/>
        </w:rPr>
        <w:t xml:space="preserve"> </w:t>
      </w:r>
      <w:proofErr w:type="gramStart"/>
      <w:r w:rsidRPr="002A3932">
        <w:rPr>
          <w:rFonts w:asciiTheme="minorHAnsi" w:hAnsiTheme="minorHAnsi" w:cstheme="minorHAnsi"/>
          <w:lang w:val="en-US"/>
        </w:rPr>
        <w:t>Australian Council of Social Service, August 2011,</w:t>
      </w:r>
      <w:r>
        <w:rPr>
          <w:rFonts w:asciiTheme="minorHAnsi" w:hAnsiTheme="minorHAnsi" w:cstheme="minorHAnsi"/>
          <w:lang w:val="en-US"/>
        </w:rPr>
        <w:t xml:space="preserve"> </w:t>
      </w:r>
      <w:r w:rsidRPr="002A3932">
        <w:rPr>
          <w:rFonts w:asciiTheme="minorHAnsi" w:hAnsiTheme="minorHAnsi" w:cstheme="minorHAnsi"/>
          <w:lang w:val="en-US"/>
        </w:rPr>
        <w:t>‘</w:t>
      </w:r>
      <w:hyperlink r:id="rId3" w:history="1">
        <w:r w:rsidRPr="002A3932">
          <w:rPr>
            <w:rStyle w:val="Hyperlink"/>
            <w:rFonts w:asciiTheme="minorHAnsi" w:eastAsia="Arial Unicode MS" w:hAnsiTheme="minorHAnsi" w:cstheme="minorHAnsi"/>
            <w:lang w:val="en-US"/>
          </w:rPr>
          <w:t>Poverty in Australia 2012</w:t>
        </w:r>
      </w:hyperlink>
      <w:r w:rsidRPr="002A3932">
        <w:rPr>
          <w:rFonts w:asciiTheme="minorHAnsi" w:hAnsiTheme="minorHAnsi" w:cstheme="minorHAnsi"/>
          <w:lang w:val="en-US"/>
        </w:rPr>
        <w:t>’, 15.</w:t>
      </w:r>
      <w:proofErr w:type="gramEnd"/>
    </w:p>
  </w:footnote>
  <w:footnote w:id="14">
    <w:p w14:paraId="4BF9871E" w14:textId="06E1030F" w:rsidR="00CF0B01" w:rsidRPr="002A3932" w:rsidRDefault="00CF0B01" w:rsidP="003B4140">
      <w:pPr>
        <w:pStyle w:val="FootnoteText"/>
        <w:rPr>
          <w:rFonts w:asciiTheme="minorHAnsi" w:hAnsiTheme="minorHAnsi" w:cstheme="minorHAnsi"/>
          <w:lang w:val="en-US"/>
        </w:rPr>
      </w:pPr>
      <w:r w:rsidRPr="002A3932">
        <w:rPr>
          <w:rStyle w:val="FootnoteReference"/>
          <w:rFonts w:asciiTheme="minorHAnsi" w:hAnsiTheme="minorHAnsi" w:cstheme="minorHAnsi"/>
        </w:rPr>
        <w:footnoteRef/>
      </w:r>
      <w:r w:rsidRPr="002A3932">
        <w:rPr>
          <w:rFonts w:asciiTheme="minorHAnsi" w:hAnsiTheme="minorHAnsi" w:cstheme="minorHAnsi"/>
        </w:rPr>
        <w:t xml:space="preserve"> </w:t>
      </w:r>
      <w:proofErr w:type="gramStart"/>
      <w:r w:rsidRPr="002A3932">
        <w:rPr>
          <w:rFonts w:asciiTheme="minorHAnsi" w:hAnsiTheme="minorHAnsi" w:cstheme="minorHAnsi"/>
          <w:lang w:val="en-US"/>
        </w:rPr>
        <w:t>Australian Council of Social Service, August 2011,</w:t>
      </w:r>
      <w:r>
        <w:rPr>
          <w:rFonts w:asciiTheme="minorHAnsi" w:hAnsiTheme="minorHAnsi" w:cstheme="minorHAnsi"/>
          <w:lang w:val="en-US"/>
        </w:rPr>
        <w:t xml:space="preserve"> </w:t>
      </w:r>
      <w:r w:rsidRPr="002A3932">
        <w:rPr>
          <w:rFonts w:asciiTheme="minorHAnsi" w:hAnsiTheme="minorHAnsi" w:cstheme="minorHAnsi"/>
          <w:lang w:val="en-US"/>
        </w:rPr>
        <w:t>‘</w:t>
      </w:r>
      <w:hyperlink r:id="rId4" w:history="1">
        <w:r w:rsidRPr="002A3932">
          <w:rPr>
            <w:rStyle w:val="Hyperlink"/>
            <w:rFonts w:asciiTheme="minorHAnsi" w:eastAsia="Arial Unicode MS" w:hAnsiTheme="minorHAnsi" w:cstheme="minorHAnsi"/>
            <w:lang w:val="en-US"/>
          </w:rPr>
          <w:t>Poverty in Australia 2012</w:t>
        </w:r>
      </w:hyperlink>
      <w:r w:rsidRPr="002A3932">
        <w:rPr>
          <w:rFonts w:asciiTheme="minorHAnsi" w:hAnsiTheme="minorHAnsi" w:cstheme="minorHAnsi"/>
          <w:lang w:val="en-US"/>
        </w:rPr>
        <w:t>’, 21.</w:t>
      </w:r>
      <w:proofErr w:type="gramEnd"/>
    </w:p>
  </w:footnote>
  <w:footnote w:id="15">
    <w:p w14:paraId="3EC1605E" w14:textId="77777777" w:rsidR="00CF0B01" w:rsidRPr="002A3932" w:rsidRDefault="00CF0B01" w:rsidP="00F25EF7">
      <w:pPr>
        <w:pStyle w:val="FootnoteText"/>
        <w:rPr>
          <w:rFonts w:asciiTheme="minorHAnsi" w:hAnsiTheme="minorHAnsi" w:cstheme="minorHAnsi"/>
          <w:lang w:val="en-AU"/>
        </w:rPr>
      </w:pPr>
      <w:r w:rsidRPr="002A3932">
        <w:rPr>
          <w:rStyle w:val="FootnoteReference"/>
          <w:rFonts w:asciiTheme="minorHAnsi" w:hAnsiTheme="minorHAnsi" w:cstheme="minorHAnsi"/>
        </w:rPr>
        <w:footnoteRef/>
      </w:r>
      <w:r w:rsidRPr="002A3932">
        <w:rPr>
          <w:rFonts w:asciiTheme="minorHAnsi" w:hAnsiTheme="minorHAnsi" w:cstheme="minorHAnsi"/>
        </w:rPr>
        <w:t xml:space="preserve"> </w:t>
      </w:r>
      <w:r w:rsidRPr="002A3932">
        <w:rPr>
          <w:rFonts w:asciiTheme="minorHAnsi" w:hAnsiTheme="minorHAnsi" w:cstheme="minorHAnsi"/>
          <w:lang w:val="en-AU"/>
        </w:rPr>
        <w:t xml:space="preserve">The Australia Institute, </w:t>
      </w:r>
      <w:r w:rsidRPr="002A3932">
        <w:rPr>
          <w:rFonts w:asciiTheme="minorHAnsi" w:hAnsiTheme="minorHAnsi" w:cstheme="minorHAnsi"/>
          <w:i/>
          <w:lang w:val="en-AU"/>
        </w:rPr>
        <w:t>Evidence versus Emotion: How do we really make financial decisions</w:t>
      </w:r>
      <w:r w:rsidRPr="002A3932">
        <w:rPr>
          <w:rFonts w:asciiTheme="minorHAnsi" w:hAnsiTheme="minorHAnsi" w:cstheme="minorHAnsi"/>
          <w:lang w:val="en-AU"/>
        </w:rPr>
        <w:t xml:space="preserve">, December </w:t>
      </w:r>
      <w:proofErr w:type="gramStart"/>
      <w:r w:rsidRPr="002A3932">
        <w:rPr>
          <w:rFonts w:asciiTheme="minorHAnsi" w:hAnsiTheme="minorHAnsi" w:cstheme="minorHAnsi"/>
          <w:lang w:val="en-AU"/>
        </w:rPr>
        <w:t>2010.</w:t>
      </w:r>
      <w:proofErr w:type="gramEnd"/>
    </w:p>
  </w:footnote>
  <w:footnote w:id="16">
    <w:p w14:paraId="1B9AC127" w14:textId="77777777" w:rsidR="00CF0B01" w:rsidRPr="002A3932" w:rsidRDefault="00CF0B01" w:rsidP="00F25EF7">
      <w:pPr>
        <w:pStyle w:val="FootnoteText"/>
        <w:rPr>
          <w:rFonts w:asciiTheme="minorHAnsi" w:hAnsiTheme="minorHAnsi" w:cstheme="minorHAnsi"/>
          <w:lang w:val="en-AU"/>
        </w:rPr>
      </w:pPr>
      <w:r w:rsidRPr="002A3932">
        <w:rPr>
          <w:rStyle w:val="FootnoteReference"/>
          <w:rFonts w:asciiTheme="minorHAnsi" w:hAnsiTheme="minorHAnsi" w:cstheme="minorHAnsi"/>
        </w:rPr>
        <w:footnoteRef/>
      </w:r>
      <w:r w:rsidRPr="002A3932">
        <w:rPr>
          <w:rFonts w:asciiTheme="minorHAnsi" w:hAnsiTheme="minorHAnsi" w:cstheme="minorHAnsi"/>
        </w:rPr>
        <w:t xml:space="preserve"> </w:t>
      </w:r>
      <w:r w:rsidRPr="002A3932">
        <w:rPr>
          <w:rFonts w:asciiTheme="minorHAnsi" w:hAnsiTheme="minorHAnsi" w:cstheme="minorHAnsi"/>
          <w:lang w:val="en-AU"/>
        </w:rPr>
        <w:t xml:space="preserve">Australian Government, Department of Families, Housing, Community Services and Indigenous Affairs, Occasional Paper No. 36, </w:t>
      </w:r>
      <w:r w:rsidRPr="002A3932">
        <w:rPr>
          <w:rFonts w:asciiTheme="minorHAnsi" w:hAnsiTheme="minorHAnsi" w:cstheme="minorHAnsi"/>
          <w:i/>
          <w:lang w:val="en-AU"/>
        </w:rPr>
        <w:t xml:space="preserve">Approaches to Personal Money Management: A population segmentation based on data from the </w:t>
      </w:r>
      <w:proofErr w:type="spellStart"/>
      <w:r w:rsidRPr="002A3932">
        <w:rPr>
          <w:rFonts w:asciiTheme="minorHAnsi" w:hAnsiTheme="minorHAnsi" w:cstheme="minorHAnsi"/>
          <w:i/>
          <w:lang w:val="en-AU"/>
        </w:rPr>
        <w:t>ANZ</w:t>
      </w:r>
      <w:proofErr w:type="spellEnd"/>
      <w:r w:rsidRPr="002A3932">
        <w:rPr>
          <w:rFonts w:asciiTheme="minorHAnsi" w:hAnsiTheme="minorHAnsi" w:cstheme="minorHAnsi"/>
          <w:i/>
          <w:lang w:val="en-AU"/>
        </w:rPr>
        <w:t xml:space="preserve"> Survey of Adult Financial Literacy in Australia (2008),</w:t>
      </w:r>
      <w:r w:rsidRPr="002A3932">
        <w:rPr>
          <w:rFonts w:asciiTheme="minorHAnsi" w:hAnsiTheme="minorHAnsi" w:cstheme="minorHAnsi"/>
          <w:lang w:val="en-AU"/>
        </w:rPr>
        <w:t xml:space="preserve"> The Social Research Centre and Data Analysis Australia, 2011.</w:t>
      </w:r>
    </w:p>
  </w:footnote>
  <w:footnote w:id="17">
    <w:p w14:paraId="3F434B48" w14:textId="3A6BC846" w:rsidR="00CF0B01" w:rsidRPr="002A3932" w:rsidRDefault="00CF0B01">
      <w:pPr>
        <w:pStyle w:val="FootnoteText"/>
        <w:rPr>
          <w:rFonts w:asciiTheme="minorHAnsi" w:hAnsiTheme="minorHAnsi" w:cstheme="minorHAnsi"/>
          <w:lang w:val="en-AU"/>
        </w:rPr>
      </w:pPr>
      <w:r w:rsidRPr="002A3932">
        <w:rPr>
          <w:rStyle w:val="FootnoteReference"/>
          <w:rFonts w:asciiTheme="minorHAnsi" w:hAnsiTheme="minorHAnsi" w:cstheme="minorHAnsi"/>
        </w:rPr>
        <w:footnoteRef/>
      </w:r>
      <w:r w:rsidRPr="002A3932">
        <w:rPr>
          <w:rFonts w:asciiTheme="minorHAnsi" w:hAnsiTheme="minorHAnsi" w:cstheme="minorHAnsi"/>
        </w:rPr>
        <w:t xml:space="preserve"> </w:t>
      </w:r>
      <w:r w:rsidRPr="002A3932">
        <w:rPr>
          <w:rFonts w:asciiTheme="minorHAnsi" w:hAnsiTheme="minorHAnsi" w:cstheme="minorHAnsi"/>
          <w:lang w:val="en-US"/>
        </w:rPr>
        <w:t>Financial Counselling Australia, Dec 2012, ‘</w:t>
      </w:r>
      <w:bookmarkStart w:id="23" w:name="_Toc214445235"/>
      <w:bookmarkStart w:id="24" w:name="_Toc214447643"/>
      <w:bookmarkStart w:id="25" w:name="_Toc214457173"/>
      <w:r w:rsidRPr="002A3932">
        <w:rPr>
          <w:rFonts w:asciiTheme="minorHAnsi" w:hAnsiTheme="minorHAnsi" w:cstheme="minorHAnsi"/>
          <w:lang w:val="en-US"/>
        </w:rPr>
        <w:t xml:space="preserve">Mental Health &amp; Financial Health: how debt makes people </w:t>
      </w:r>
      <w:bookmarkEnd w:id="23"/>
      <w:bookmarkEnd w:id="24"/>
      <w:r w:rsidRPr="002A3932">
        <w:rPr>
          <w:rFonts w:asciiTheme="minorHAnsi" w:hAnsiTheme="minorHAnsi" w:cstheme="minorHAnsi"/>
          <w:lang w:val="en-US"/>
        </w:rPr>
        <w:t>sick</w:t>
      </w:r>
      <w:bookmarkEnd w:id="25"/>
      <w:r w:rsidRPr="002A3932">
        <w:rPr>
          <w:rFonts w:asciiTheme="minorHAnsi" w:hAnsiTheme="minorHAnsi" w:cstheme="minorHAnsi"/>
          <w:lang w:val="en-US"/>
        </w:rPr>
        <w:t xml:space="preserve">’ (unpublished). </w:t>
      </w:r>
      <w:r w:rsidRPr="002A3932">
        <w:rPr>
          <w:rFonts w:asciiTheme="minorHAnsi" w:hAnsiTheme="minorHAnsi" w:cstheme="minorHAnsi"/>
          <w:lang w:val="en-AU"/>
        </w:rPr>
        <w:t>People in debt have three times the rate of common mental disorders than those who are not in debt. The level of debt per se that someone has is not as problematic as the subjective perception that individuals hold about their debt. That is whether they are worried about their debt.</w:t>
      </w:r>
    </w:p>
  </w:footnote>
  <w:footnote w:id="18">
    <w:p w14:paraId="1AF0C831" w14:textId="586BAB8F" w:rsidR="00CF0B01" w:rsidRPr="00BB6B18" w:rsidRDefault="00CF0B01" w:rsidP="003C7308">
      <w:pPr>
        <w:pStyle w:val="FootnoteText"/>
        <w:rPr>
          <w:rStyle w:val="FootnoteReference"/>
        </w:rPr>
      </w:pPr>
      <w:r w:rsidRPr="002A3932">
        <w:rPr>
          <w:rStyle w:val="FootnoteReference"/>
          <w:rFonts w:asciiTheme="minorHAnsi" w:hAnsiTheme="minorHAnsi" w:cstheme="minorHAnsi"/>
        </w:rPr>
        <w:footnoteRef/>
      </w:r>
      <w:r w:rsidRPr="002A3932">
        <w:rPr>
          <w:rStyle w:val="FootnoteReference"/>
          <w:rFonts w:asciiTheme="minorHAnsi" w:hAnsiTheme="minorHAnsi" w:cstheme="minorHAnsi"/>
        </w:rPr>
        <w:t xml:space="preserve"> </w:t>
      </w:r>
      <w:r w:rsidRPr="002A3932">
        <w:rPr>
          <w:rFonts w:asciiTheme="minorHAnsi" w:hAnsiTheme="minorHAnsi" w:cstheme="minorHAnsi"/>
          <w:lang w:val="en-AU"/>
        </w:rPr>
        <w:t xml:space="preserve">See for example, </w:t>
      </w:r>
      <w:proofErr w:type="spellStart"/>
      <w:r w:rsidRPr="002A3932">
        <w:rPr>
          <w:rFonts w:asciiTheme="minorHAnsi" w:hAnsiTheme="minorHAnsi" w:cstheme="minorHAnsi"/>
          <w:lang w:val="en-AU"/>
        </w:rPr>
        <w:t>Brackertz</w:t>
      </w:r>
      <w:proofErr w:type="spellEnd"/>
      <w:r w:rsidRPr="002A3932">
        <w:rPr>
          <w:rFonts w:asciiTheme="minorHAnsi" w:hAnsiTheme="minorHAnsi" w:cstheme="minorHAnsi"/>
          <w:lang w:val="en-AU"/>
        </w:rPr>
        <w:t>, N. ‘</w:t>
      </w:r>
      <w:r w:rsidRPr="002A3932">
        <w:rPr>
          <w:rFonts w:asciiTheme="minorHAnsi" w:hAnsiTheme="minorHAnsi" w:cstheme="minorHAnsi"/>
          <w:i/>
          <w:lang w:val="en-AU"/>
        </w:rPr>
        <w:t>I Wish I’d Known Sooner: The Impact of Financial Counselling on Debt Resolution and Personal Wellbeing</w:t>
      </w:r>
      <w:r w:rsidRPr="002A3932">
        <w:rPr>
          <w:rFonts w:asciiTheme="minorHAnsi" w:hAnsiTheme="minorHAnsi" w:cstheme="minorHAnsi"/>
          <w:lang w:val="en-AU"/>
        </w:rPr>
        <w:t>’, The Salvation Army and Swinburne University of Technology (Melbourne), October 2012.</w:t>
      </w:r>
    </w:p>
  </w:footnote>
  <w:footnote w:id="19">
    <w:p w14:paraId="223CBD2B" w14:textId="0C5B8046" w:rsidR="00CF0B01" w:rsidRPr="00A17DC4" w:rsidRDefault="00CF0B01" w:rsidP="00975AFD">
      <w:pPr>
        <w:pStyle w:val="FootnoteText"/>
        <w:rPr>
          <w:rFonts w:asciiTheme="minorHAnsi" w:hAnsiTheme="minorHAnsi" w:cstheme="minorHAnsi"/>
          <w:lang w:val="en-AU"/>
        </w:rPr>
      </w:pPr>
      <w:r w:rsidRPr="00A17DC4">
        <w:rPr>
          <w:rStyle w:val="FootnoteReference"/>
          <w:rFonts w:asciiTheme="minorHAnsi" w:hAnsiTheme="minorHAnsi" w:cstheme="minorHAnsi"/>
        </w:rPr>
        <w:footnoteRef/>
      </w:r>
      <w:r w:rsidRPr="00A17DC4">
        <w:rPr>
          <w:rFonts w:asciiTheme="minorHAnsi" w:hAnsiTheme="minorHAnsi" w:cstheme="minorHAnsi"/>
        </w:rPr>
        <w:t xml:space="preserve"> </w:t>
      </w:r>
      <w:r w:rsidRPr="00A17DC4">
        <w:rPr>
          <w:rFonts w:asciiTheme="minorHAnsi" w:hAnsiTheme="minorHAnsi" w:cstheme="minorHAnsi"/>
          <w:lang w:val="en-AU"/>
        </w:rPr>
        <w:t>Australian Bankers Association, Media Release, ‘Doing it Tough’, 4</w:t>
      </w:r>
      <w:r w:rsidRPr="00A17DC4">
        <w:rPr>
          <w:rFonts w:asciiTheme="minorHAnsi" w:hAnsiTheme="minorHAnsi" w:cstheme="minorHAnsi"/>
          <w:vertAlign w:val="superscript"/>
          <w:lang w:val="en-AU"/>
        </w:rPr>
        <w:t>th</w:t>
      </w:r>
      <w:r w:rsidRPr="00A17DC4">
        <w:rPr>
          <w:rFonts w:asciiTheme="minorHAnsi" w:hAnsiTheme="minorHAnsi" w:cstheme="minorHAnsi"/>
          <w:lang w:val="en-AU"/>
        </w:rPr>
        <w:t xml:space="preserve"> June 2013.</w:t>
      </w:r>
    </w:p>
  </w:footnote>
  <w:footnote w:id="20">
    <w:p w14:paraId="0F31EB66" w14:textId="77777777" w:rsidR="00CF0B01" w:rsidRPr="006631FF" w:rsidRDefault="00CF0B01" w:rsidP="00B54952">
      <w:pPr>
        <w:pStyle w:val="FootnoteText"/>
        <w:rPr>
          <w:rFonts w:asciiTheme="minorHAnsi" w:hAnsiTheme="minorHAnsi" w:cstheme="minorHAnsi"/>
          <w:lang w:val="en-US"/>
        </w:rPr>
      </w:pPr>
      <w:r w:rsidRPr="006631FF">
        <w:rPr>
          <w:rStyle w:val="FootnoteReference"/>
          <w:rFonts w:asciiTheme="minorHAnsi" w:hAnsiTheme="minorHAnsi" w:cstheme="minorHAnsi"/>
        </w:rPr>
        <w:footnoteRef/>
      </w:r>
      <w:r w:rsidRPr="006631FF">
        <w:rPr>
          <w:rFonts w:asciiTheme="minorHAnsi" w:hAnsiTheme="minorHAnsi" w:cstheme="minorHAnsi"/>
        </w:rPr>
        <w:t xml:space="preserve"> </w:t>
      </w:r>
      <w:r w:rsidRPr="006631FF">
        <w:rPr>
          <w:rFonts w:asciiTheme="minorHAnsi" w:hAnsiTheme="minorHAnsi" w:cstheme="minorHAnsi"/>
          <w:lang w:val="en-AU"/>
        </w:rPr>
        <w:t xml:space="preserve">GA </w:t>
      </w:r>
      <w:proofErr w:type="gramStart"/>
      <w:r w:rsidRPr="006631FF">
        <w:rPr>
          <w:rFonts w:asciiTheme="minorHAnsi" w:hAnsiTheme="minorHAnsi" w:cstheme="minorHAnsi"/>
          <w:lang w:val="en-AU"/>
        </w:rPr>
        <w:t xml:space="preserve">Research  </w:t>
      </w:r>
      <w:r w:rsidRPr="006631FF">
        <w:rPr>
          <w:rFonts w:asciiTheme="minorHAnsi" w:hAnsiTheme="minorHAnsi" w:cstheme="minorHAnsi"/>
          <w:i/>
          <w:lang w:val="en-AU"/>
        </w:rPr>
        <w:t>Supporting</w:t>
      </w:r>
      <w:proofErr w:type="gramEnd"/>
      <w:r w:rsidRPr="006631FF">
        <w:rPr>
          <w:rFonts w:asciiTheme="minorHAnsi" w:hAnsiTheme="minorHAnsi" w:cstheme="minorHAnsi"/>
          <w:i/>
          <w:lang w:val="en-AU"/>
        </w:rPr>
        <w:t xml:space="preserve"> Vulnerable Customers Report</w:t>
      </w:r>
      <w:r w:rsidRPr="006631FF">
        <w:rPr>
          <w:rFonts w:asciiTheme="minorHAnsi" w:hAnsiTheme="minorHAnsi" w:cstheme="minorHAnsi"/>
          <w:lang w:val="en-AU"/>
        </w:rPr>
        <w:t>, July 2013, p 9. The research was on behalf of Melbourne’s four water retailers and the Smart Water Fund.</w:t>
      </w:r>
    </w:p>
  </w:footnote>
  <w:footnote w:id="21">
    <w:p w14:paraId="09205431" w14:textId="77777777" w:rsidR="00CF0B01" w:rsidRPr="006631FF" w:rsidRDefault="00CF0B01">
      <w:pPr>
        <w:pStyle w:val="FootnoteText"/>
        <w:rPr>
          <w:rFonts w:asciiTheme="minorHAnsi" w:hAnsiTheme="minorHAnsi" w:cstheme="minorHAnsi"/>
          <w:lang w:val="en-US"/>
        </w:rPr>
      </w:pPr>
      <w:r w:rsidRPr="006631FF">
        <w:rPr>
          <w:rStyle w:val="FootnoteReference"/>
          <w:rFonts w:asciiTheme="minorHAnsi" w:hAnsiTheme="minorHAnsi" w:cstheme="minorHAnsi"/>
        </w:rPr>
        <w:footnoteRef/>
      </w:r>
      <w:r w:rsidRPr="006631FF">
        <w:rPr>
          <w:rFonts w:asciiTheme="minorHAnsi" w:hAnsiTheme="minorHAnsi" w:cstheme="minorHAnsi"/>
        </w:rPr>
        <w:t xml:space="preserve"> </w:t>
      </w:r>
      <w:proofErr w:type="gramStart"/>
      <w:r w:rsidRPr="006631FF">
        <w:rPr>
          <w:rFonts w:asciiTheme="minorHAnsi" w:hAnsiTheme="minorHAnsi" w:cstheme="minorHAnsi"/>
          <w:lang w:val="en-US"/>
        </w:rPr>
        <w:t>GA Research p 8.</w:t>
      </w:r>
      <w:proofErr w:type="gramEnd"/>
    </w:p>
  </w:footnote>
  <w:footnote w:id="22">
    <w:p w14:paraId="384A8EC1" w14:textId="77777777" w:rsidR="00CF0B01" w:rsidRPr="006631FF" w:rsidRDefault="00CF0B01">
      <w:pPr>
        <w:pStyle w:val="FootnoteText"/>
        <w:rPr>
          <w:rFonts w:asciiTheme="minorHAnsi" w:hAnsiTheme="minorHAnsi" w:cstheme="minorHAnsi"/>
          <w:lang w:val="en-US"/>
        </w:rPr>
      </w:pPr>
      <w:r w:rsidRPr="006631FF">
        <w:rPr>
          <w:rStyle w:val="FootnoteReference"/>
          <w:rFonts w:asciiTheme="minorHAnsi" w:hAnsiTheme="minorHAnsi" w:cstheme="minorHAnsi"/>
        </w:rPr>
        <w:footnoteRef/>
      </w:r>
      <w:r w:rsidRPr="006631FF">
        <w:rPr>
          <w:rFonts w:asciiTheme="minorHAnsi" w:hAnsiTheme="minorHAnsi" w:cstheme="minorHAnsi"/>
        </w:rPr>
        <w:t xml:space="preserve"> </w:t>
      </w:r>
      <w:proofErr w:type="gramStart"/>
      <w:r w:rsidRPr="006631FF">
        <w:rPr>
          <w:rFonts w:asciiTheme="minorHAnsi" w:hAnsiTheme="minorHAnsi" w:cstheme="minorHAnsi"/>
          <w:lang w:val="en-US"/>
        </w:rPr>
        <w:t>GA Research, p 79.</w:t>
      </w:r>
      <w:proofErr w:type="gramEnd"/>
    </w:p>
  </w:footnote>
  <w:footnote w:id="23">
    <w:p w14:paraId="1F53495F" w14:textId="77777777" w:rsidR="00CF0B01" w:rsidRPr="00DD5A8C" w:rsidRDefault="00CF0B01" w:rsidP="00092EDA">
      <w:pPr>
        <w:pStyle w:val="FootnoteText"/>
        <w:rPr>
          <w:lang w:val="en-US"/>
        </w:rPr>
      </w:pPr>
      <w:r w:rsidRPr="006631FF">
        <w:rPr>
          <w:rStyle w:val="FootnoteReference"/>
          <w:rFonts w:asciiTheme="minorHAnsi" w:hAnsiTheme="minorHAnsi" w:cstheme="minorHAnsi"/>
        </w:rPr>
        <w:footnoteRef/>
      </w:r>
      <w:r w:rsidRPr="006631FF">
        <w:rPr>
          <w:rFonts w:asciiTheme="minorHAnsi" w:hAnsiTheme="minorHAnsi" w:cstheme="minorHAnsi"/>
        </w:rPr>
        <w:t xml:space="preserve"> </w:t>
      </w:r>
      <w:proofErr w:type="gramStart"/>
      <w:r w:rsidRPr="006631FF">
        <w:rPr>
          <w:rFonts w:asciiTheme="minorHAnsi" w:hAnsiTheme="minorHAnsi" w:cstheme="minorHAnsi"/>
          <w:lang w:val="en-AU"/>
        </w:rPr>
        <w:t>GA Research, p 67.</w:t>
      </w:r>
      <w:proofErr w:type="gramEnd"/>
    </w:p>
  </w:footnote>
  <w:footnote w:id="24">
    <w:p w14:paraId="59329162" w14:textId="77777777" w:rsidR="00CF0B01" w:rsidRPr="0043681A" w:rsidRDefault="00CF0B01" w:rsidP="00400357">
      <w:pPr>
        <w:pStyle w:val="FootnoteText"/>
        <w:rPr>
          <w:rFonts w:asciiTheme="minorHAnsi" w:hAnsiTheme="minorHAnsi" w:cstheme="minorHAnsi"/>
          <w:lang w:val="en-US"/>
        </w:rPr>
      </w:pPr>
      <w:r w:rsidRPr="0043681A">
        <w:rPr>
          <w:rStyle w:val="FootnoteReference"/>
          <w:rFonts w:asciiTheme="minorHAnsi" w:hAnsiTheme="minorHAnsi" w:cstheme="minorHAnsi"/>
        </w:rPr>
        <w:footnoteRef/>
      </w:r>
      <w:r w:rsidRPr="0043681A">
        <w:rPr>
          <w:rFonts w:asciiTheme="minorHAnsi" w:hAnsiTheme="minorHAnsi" w:cstheme="minorHAnsi"/>
        </w:rPr>
        <w:t xml:space="preserve"> </w:t>
      </w:r>
      <w:hyperlink r:id="rId5" w:history="1">
        <w:proofErr w:type="gramStart"/>
        <w:r w:rsidRPr="0043681A">
          <w:rPr>
            <w:rStyle w:val="Hyperlink"/>
            <w:rFonts w:asciiTheme="minorHAnsi" w:hAnsiTheme="minorHAnsi" w:cstheme="minorHAnsi"/>
            <w:lang w:val="en-US"/>
          </w:rPr>
          <w:t>National Consumer Credit Protection Act 2009</w:t>
        </w:r>
      </w:hyperlink>
      <w:r w:rsidRPr="0043681A">
        <w:rPr>
          <w:rFonts w:asciiTheme="minorHAnsi" w:hAnsiTheme="minorHAnsi" w:cstheme="minorHAnsi"/>
          <w:lang w:val="en-US"/>
        </w:rPr>
        <w:t>.</w:t>
      </w:r>
      <w:proofErr w:type="gramEnd"/>
      <w:r w:rsidRPr="0043681A">
        <w:rPr>
          <w:rFonts w:asciiTheme="minorHAnsi" w:hAnsiTheme="minorHAnsi" w:cstheme="minorHAnsi"/>
          <w:lang w:val="en-US"/>
        </w:rPr>
        <w:t xml:space="preserve"> The </w:t>
      </w:r>
      <w:proofErr w:type="spellStart"/>
      <w:r w:rsidRPr="0043681A">
        <w:rPr>
          <w:rFonts w:asciiTheme="minorHAnsi" w:hAnsiTheme="minorHAnsi" w:cstheme="minorHAnsi"/>
          <w:lang w:val="en-US"/>
        </w:rPr>
        <w:t>NCCP</w:t>
      </w:r>
      <w:proofErr w:type="spellEnd"/>
      <w:r w:rsidRPr="0043681A">
        <w:rPr>
          <w:rFonts w:asciiTheme="minorHAnsi" w:hAnsiTheme="minorHAnsi" w:cstheme="minorHAnsi"/>
          <w:lang w:val="en-US"/>
        </w:rPr>
        <w:t xml:space="preserve"> has a broad range of remedies for breaches of civil provisions including consumer compensation. See Part 4-1, Division 1 Civil Penalty Provisions. There are also criminal provisions.</w:t>
      </w:r>
    </w:p>
  </w:footnote>
  <w:footnote w:id="25">
    <w:p w14:paraId="04004E92" w14:textId="77777777" w:rsidR="00CF0B01" w:rsidRPr="00795100" w:rsidRDefault="00CF0B01">
      <w:pPr>
        <w:pStyle w:val="FootnoteText"/>
        <w:rPr>
          <w:rFonts w:asciiTheme="minorHAnsi" w:hAnsiTheme="minorHAnsi" w:cstheme="minorHAnsi"/>
          <w:lang w:val="en-US"/>
        </w:rPr>
      </w:pPr>
      <w:r w:rsidRPr="00795100">
        <w:rPr>
          <w:rStyle w:val="FootnoteReference"/>
          <w:rFonts w:asciiTheme="minorHAnsi" w:hAnsiTheme="minorHAnsi" w:cstheme="minorHAnsi"/>
        </w:rPr>
        <w:footnoteRef/>
      </w:r>
      <w:r w:rsidRPr="00795100">
        <w:rPr>
          <w:rFonts w:asciiTheme="minorHAnsi" w:hAnsiTheme="minorHAnsi" w:cstheme="minorHAnsi"/>
        </w:rPr>
        <w:t xml:space="preserve"> </w:t>
      </w:r>
      <w:r w:rsidRPr="00795100">
        <w:rPr>
          <w:rFonts w:asciiTheme="minorHAnsi" w:hAnsiTheme="minorHAnsi" w:cstheme="minorHAnsi"/>
          <w:lang w:val="en-US"/>
        </w:rPr>
        <w:t xml:space="preserve">The ESC interviewee stated that well-developed programs had around 5% disconnections for this group, but programs that were not working well had 30-50% concession card holder disconnection rates. </w:t>
      </w:r>
    </w:p>
  </w:footnote>
  <w:footnote w:id="26">
    <w:p w14:paraId="1AD2F515" w14:textId="77777777" w:rsidR="00CF0B01" w:rsidRPr="00906373" w:rsidRDefault="00CF0B01">
      <w:pPr>
        <w:pStyle w:val="FootnoteText"/>
        <w:rPr>
          <w:rFonts w:asciiTheme="minorHAnsi" w:hAnsiTheme="minorHAnsi" w:cstheme="minorHAnsi"/>
          <w:lang w:val="en-US"/>
        </w:rPr>
      </w:pPr>
      <w:r w:rsidRPr="00906373">
        <w:rPr>
          <w:rStyle w:val="FootnoteReference"/>
          <w:rFonts w:asciiTheme="minorHAnsi" w:hAnsiTheme="minorHAnsi" w:cstheme="minorHAnsi"/>
        </w:rPr>
        <w:footnoteRef/>
      </w:r>
      <w:r w:rsidRPr="00906373">
        <w:rPr>
          <w:rFonts w:asciiTheme="minorHAnsi" w:hAnsiTheme="minorHAnsi" w:cstheme="minorHAnsi"/>
        </w:rPr>
        <w:t xml:space="preserve">  </w:t>
      </w:r>
      <w:proofErr w:type="spellStart"/>
      <w:r w:rsidRPr="00906373">
        <w:rPr>
          <w:rFonts w:asciiTheme="minorHAnsi" w:hAnsiTheme="minorHAnsi" w:cstheme="minorHAnsi"/>
        </w:rPr>
        <w:t>E.g</w:t>
      </w:r>
      <w:proofErr w:type="spellEnd"/>
      <w:r w:rsidRPr="00906373">
        <w:rPr>
          <w:rFonts w:asciiTheme="minorHAnsi" w:hAnsiTheme="minorHAnsi" w:cstheme="minorHAnsi"/>
        </w:rPr>
        <w:t xml:space="preserve"> </w:t>
      </w:r>
      <w:r w:rsidRPr="00906373">
        <w:rPr>
          <w:rFonts w:asciiTheme="minorHAnsi" w:hAnsiTheme="minorHAnsi" w:cstheme="minorHAnsi"/>
          <w:bCs/>
          <w:lang w:val="en-US"/>
        </w:rPr>
        <w:t xml:space="preserve"> </w:t>
      </w:r>
      <w:hyperlink r:id="rId6" w:history="1">
        <w:r w:rsidRPr="00906373">
          <w:rPr>
            <w:rStyle w:val="Hyperlink"/>
            <w:rFonts w:asciiTheme="minorHAnsi" w:hAnsiTheme="minorHAnsi" w:cstheme="minorHAnsi"/>
            <w:bCs/>
            <w:lang w:val="en-US"/>
          </w:rPr>
          <w:t>http://www.aer.gov.au/node/16115</w:t>
        </w:r>
      </w:hyperlink>
    </w:p>
  </w:footnote>
  <w:footnote w:id="27">
    <w:p w14:paraId="5E7F0BAC" w14:textId="77777777" w:rsidR="00CF0B01" w:rsidRPr="0009309A" w:rsidRDefault="00CF0B01" w:rsidP="001921E0">
      <w:pPr>
        <w:pStyle w:val="FootnoteText"/>
        <w:rPr>
          <w:lang w:val="en-US"/>
        </w:rPr>
      </w:pPr>
      <w:r w:rsidRPr="00906373">
        <w:rPr>
          <w:rStyle w:val="FootnoteReference"/>
          <w:rFonts w:asciiTheme="minorHAnsi" w:hAnsiTheme="minorHAnsi" w:cstheme="minorHAnsi"/>
        </w:rPr>
        <w:footnoteRef/>
      </w:r>
      <w:r w:rsidRPr="00906373">
        <w:rPr>
          <w:rFonts w:asciiTheme="minorHAnsi" w:hAnsiTheme="minorHAnsi" w:cstheme="minorHAnsi"/>
        </w:rPr>
        <w:t xml:space="preserve"> </w:t>
      </w:r>
      <w:proofErr w:type="spellStart"/>
      <w:r w:rsidRPr="00906373">
        <w:rPr>
          <w:rFonts w:asciiTheme="minorHAnsi" w:hAnsiTheme="minorHAnsi" w:cstheme="minorHAnsi"/>
          <w:lang w:val="en-US"/>
        </w:rPr>
        <w:t>E.g</w:t>
      </w:r>
      <w:proofErr w:type="spellEnd"/>
      <w:r w:rsidRPr="00906373">
        <w:rPr>
          <w:rFonts w:asciiTheme="minorHAnsi" w:hAnsiTheme="minorHAnsi" w:cstheme="minorHAnsi"/>
          <w:lang w:val="en-US"/>
        </w:rPr>
        <w:t xml:space="preserve"> for NSW </w:t>
      </w:r>
      <w:hyperlink r:id="rId7" w:history="1">
        <w:r w:rsidRPr="00906373">
          <w:rPr>
            <w:rStyle w:val="Hyperlink"/>
            <w:rFonts w:asciiTheme="minorHAnsi" w:hAnsiTheme="minorHAnsi" w:cstheme="minorHAnsi"/>
            <w:lang w:val="en-US"/>
          </w:rPr>
          <w:t>http://www.aer.gov.au/node/23435</w:t>
        </w:r>
      </w:hyperlink>
    </w:p>
  </w:footnote>
  <w:footnote w:id="28">
    <w:p w14:paraId="2A10E964" w14:textId="77777777" w:rsidR="00CF0B01" w:rsidRPr="007D58DD" w:rsidRDefault="00CF0B01">
      <w:pPr>
        <w:pStyle w:val="FootnoteText"/>
        <w:rPr>
          <w:rFonts w:asciiTheme="minorHAnsi" w:hAnsiTheme="minorHAnsi" w:cstheme="minorHAnsi"/>
          <w:lang w:val="en-US"/>
        </w:rPr>
      </w:pPr>
      <w:r w:rsidRPr="007D58DD">
        <w:rPr>
          <w:rStyle w:val="FootnoteReference"/>
          <w:rFonts w:asciiTheme="minorHAnsi" w:hAnsiTheme="minorHAnsi" w:cstheme="minorHAnsi"/>
        </w:rPr>
        <w:footnoteRef/>
      </w:r>
      <w:r w:rsidRPr="007D58DD">
        <w:rPr>
          <w:rFonts w:asciiTheme="minorHAnsi" w:hAnsiTheme="minorHAnsi" w:cstheme="minorHAnsi"/>
        </w:rPr>
        <w:t xml:space="preserve"> </w:t>
      </w:r>
      <w:r w:rsidRPr="007D58DD">
        <w:rPr>
          <w:rFonts w:asciiTheme="minorHAnsi" w:hAnsiTheme="minorHAnsi" w:cstheme="minorHAnsi"/>
          <w:lang w:val="en-AU"/>
        </w:rPr>
        <w:t xml:space="preserve">An independent review by </w:t>
      </w:r>
      <w:proofErr w:type="spellStart"/>
      <w:r w:rsidRPr="007D58DD">
        <w:rPr>
          <w:rFonts w:asciiTheme="minorHAnsi" w:hAnsiTheme="minorHAnsi" w:cstheme="minorHAnsi"/>
          <w:lang w:val="en-AU"/>
        </w:rPr>
        <w:t>Allens</w:t>
      </w:r>
      <w:proofErr w:type="spellEnd"/>
      <w:r w:rsidRPr="007D58DD">
        <w:rPr>
          <w:rFonts w:asciiTheme="minorHAnsi" w:hAnsiTheme="minorHAnsi" w:cstheme="minorHAnsi"/>
          <w:lang w:val="en-AU"/>
        </w:rPr>
        <w:t xml:space="preserve"> and </w:t>
      </w:r>
      <w:proofErr w:type="spellStart"/>
      <w:r w:rsidRPr="007D58DD">
        <w:rPr>
          <w:rFonts w:asciiTheme="minorHAnsi" w:hAnsiTheme="minorHAnsi" w:cstheme="minorHAnsi"/>
          <w:lang w:val="en-AU"/>
        </w:rPr>
        <w:t>NERA</w:t>
      </w:r>
      <w:proofErr w:type="spellEnd"/>
      <w:r w:rsidRPr="007D58DD">
        <w:rPr>
          <w:rFonts w:asciiTheme="minorHAnsi" w:hAnsiTheme="minorHAnsi" w:cstheme="minorHAnsi"/>
          <w:lang w:val="en-AU"/>
        </w:rPr>
        <w:t xml:space="preserve"> Economic Consulting of the effectiveness of the enforcement regimes operating within the national energy regulatory framework recommended that the </w:t>
      </w:r>
      <w:proofErr w:type="spellStart"/>
      <w:r w:rsidRPr="007D58DD">
        <w:rPr>
          <w:rFonts w:asciiTheme="minorHAnsi" w:hAnsiTheme="minorHAnsi" w:cstheme="minorHAnsi"/>
          <w:lang w:val="en-AU"/>
        </w:rPr>
        <w:t>AER</w:t>
      </w:r>
      <w:proofErr w:type="spellEnd"/>
      <w:r w:rsidRPr="007D58DD">
        <w:rPr>
          <w:rFonts w:asciiTheme="minorHAnsi" w:hAnsiTheme="minorHAnsi" w:cstheme="minorHAnsi"/>
          <w:lang w:val="en-AU"/>
        </w:rPr>
        <w:t xml:space="preserve"> penalties be increased to meet their deterrent purpose. It recommended that they be increased up to $1m. See p. 85. The review also compared enforcement regimes/penalties of other regulators in Australia and overseas. See </w:t>
      </w:r>
      <w:proofErr w:type="spellStart"/>
      <w:r w:rsidRPr="007D58DD">
        <w:rPr>
          <w:rFonts w:asciiTheme="minorHAnsi" w:hAnsiTheme="minorHAnsi" w:cstheme="minorHAnsi"/>
          <w:lang w:val="en-AU"/>
        </w:rPr>
        <w:t>Nera</w:t>
      </w:r>
      <w:proofErr w:type="spellEnd"/>
      <w:r w:rsidRPr="007D58DD">
        <w:rPr>
          <w:rFonts w:asciiTheme="minorHAnsi" w:hAnsiTheme="minorHAnsi" w:cstheme="minorHAnsi"/>
          <w:lang w:val="en-AU"/>
        </w:rPr>
        <w:t xml:space="preserve"> Economics Consulting and </w:t>
      </w:r>
      <w:proofErr w:type="spellStart"/>
      <w:r w:rsidRPr="007D58DD">
        <w:rPr>
          <w:rFonts w:asciiTheme="minorHAnsi" w:hAnsiTheme="minorHAnsi" w:cstheme="minorHAnsi"/>
          <w:lang w:val="en-AU"/>
        </w:rPr>
        <w:t>Allens</w:t>
      </w:r>
      <w:proofErr w:type="spellEnd"/>
      <w:r w:rsidRPr="007D58DD">
        <w:rPr>
          <w:rFonts w:asciiTheme="minorHAnsi" w:hAnsiTheme="minorHAnsi" w:cstheme="minorHAnsi"/>
          <w:lang w:val="en-AU"/>
        </w:rPr>
        <w:t xml:space="preserve"> (2013</w:t>
      </w:r>
      <w:proofErr w:type="gramStart"/>
      <w:r w:rsidRPr="007D58DD">
        <w:rPr>
          <w:rFonts w:asciiTheme="minorHAnsi" w:hAnsiTheme="minorHAnsi" w:cstheme="minorHAnsi"/>
          <w:lang w:val="en-AU"/>
        </w:rPr>
        <w:t>)‘</w:t>
      </w:r>
      <w:r w:rsidRPr="007D58DD">
        <w:rPr>
          <w:rFonts w:asciiTheme="minorHAnsi" w:hAnsiTheme="minorHAnsi" w:cstheme="minorHAnsi"/>
        </w:rPr>
        <w:t>Review</w:t>
      </w:r>
      <w:proofErr w:type="gramEnd"/>
      <w:r w:rsidRPr="007D58DD">
        <w:rPr>
          <w:rFonts w:asciiTheme="minorHAnsi" w:hAnsiTheme="minorHAnsi" w:cstheme="minorHAnsi"/>
        </w:rPr>
        <w:t xml:space="preserve"> of Enforcement Regimes under the National Energy Laws (the draft report), </w:t>
      </w:r>
      <w:hyperlink r:id="rId8" w:history="1">
        <w:r w:rsidRPr="007D58DD">
          <w:rPr>
            <w:rStyle w:val="Hyperlink"/>
            <w:rFonts w:asciiTheme="minorHAnsi" w:hAnsiTheme="minorHAnsi" w:cstheme="minorHAnsi"/>
          </w:rPr>
          <w:t>http://www.scer.gov.au/files/2013/08/National-Energy-Laws-Enforcement-Regimes-Review-Draft-Report.pdf</w:t>
        </w:r>
      </w:hyperlink>
      <w:r w:rsidRPr="007D58DD">
        <w:rPr>
          <w:rFonts w:asciiTheme="minorHAnsi" w:hAnsiTheme="minorHAnsi" w:cstheme="minorHAnsi"/>
        </w:rPr>
        <w:t xml:space="preserve">  [accessed 28 November 2013].</w:t>
      </w:r>
    </w:p>
  </w:footnote>
  <w:footnote w:id="29">
    <w:p w14:paraId="6F571CC4" w14:textId="77777777" w:rsidR="00CF0B01" w:rsidRPr="00280B59" w:rsidRDefault="00CF0B01" w:rsidP="001D702B">
      <w:pPr>
        <w:pStyle w:val="FootnoteText"/>
        <w:rPr>
          <w:lang w:val="en-US"/>
        </w:rPr>
      </w:pPr>
      <w:r w:rsidRPr="007D58DD">
        <w:rPr>
          <w:rStyle w:val="FootnoteReference"/>
          <w:rFonts w:asciiTheme="minorHAnsi" w:hAnsiTheme="minorHAnsi" w:cstheme="minorHAnsi"/>
        </w:rPr>
        <w:footnoteRef/>
      </w:r>
      <w:r w:rsidRPr="007D58DD">
        <w:rPr>
          <w:rFonts w:asciiTheme="minorHAnsi" w:hAnsiTheme="minorHAnsi" w:cstheme="minorHAnsi"/>
        </w:rPr>
        <w:t xml:space="preserve"> </w:t>
      </w:r>
      <w:r w:rsidRPr="007D58DD">
        <w:rPr>
          <w:rFonts w:asciiTheme="minorHAnsi" w:hAnsiTheme="minorHAnsi" w:cstheme="minorHAnsi"/>
          <w:lang w:val="en-US"/>
        </w:rPr>
        <w:t xml:space="preserve">The </w:t>
      </w:r>
      <w:proofErr w:type="spellStart"/>
      <w:r w:rsidRPr="007D58DD">
        <w:rPr>
          <w:rFonts w:asciiTheme="minorHAnsi" w:hAnsiTheme="minorHAnsi" w:cstheme="minorHAnsi"/>
          <w:lang w:val="en-US"/>
        </w:rPr>
        <w:t>ASIC</w:t>
      </w:r>
      <w:proofErr w:type="spellEnd"/>
      <w:r w:rsidRPr="007D58DD">
        <w:rPr>
          <w:rFonts w:asciiTheme="minorHAnsi" w:hAnsiTheme="minorHAnsi" w:cstheme="minorHAnsi"/>
          <w:lang w:val="en-US"/>
        </w:rPr>
        <w:t xml:space="preserve"> register of enforceable undertakings is easy to use. </w:t>
      </w:r>
      <w:proofErr w:type="spellStart"/>
      <w:r w:rsidRPr="007D58DD">
        <w:rPr>
          <w:rFonts w:asciiTheme="minorHAnsi" w:hAnsiTheme="minorHAnsi" w:cstheme="minorHAnsi"/>
          <w:lang w:val="en-US"/>
        </w:rPr>
        <w:t>ASIC</w:t>
      </w:r>
      <w:proofErr w:type="spellEnd"/>
      <w:r w:rsidRPr="007D58DD">
        <w:rPr>
          <w:rFonts w:asciiTheme="minorHAnsi" w:hAnsiTheme="minorHAnsi" w:cstheme="minorHAnsi"/>
          <w:lang w:val="en-US"/>
        </w:rPr>
        <w:t xml:space="preserve"> often issues a media release announcing an enforceable undertaking. See </w:t>
      </w:r>
      <w:hyperlink r:id="rId9" w:history="1">
        <w:r w:rsidRPr="007D58DD">
          <w:rPr>
            <w:rStyle w:val="Hyperlink"/>
            <w:rFonts w:asciiTheme="minorHAnsi" w:hAnsiTheme="minorHAnsi" w:cstheme="minorHAnsi"/>
            <w:lang w:val="en-US"/>
          </w:rPr>
          <w:t>http://www.asic.gov.au/euregister</w:t>
        </w:r>
      </w:hyperlink>
    </w:p>
  </w:footnote>
  <w:footnote w:id="30">
    <w:p w14:paraId="27D73381" w14:textId="77777777" w:rsidR="00CF0B01" w:rsidRPr="005B7C1E" w:rsidRDefault="00CF0B01" w:rsidP="00D70D9C">
      <w:pPr>
        <w:pStyle w:val="FootnoteText"/>
        <w:rPr>
          <w:rFonts w:asciiTheme="minorHAnsi" w:hAnsiTheme="minorHAnsi" w:cstheme="minorHAnsi"/>
          <w:lang w:val="en-AU"/>
        </w:rPr>
      </w:pPr>
      <w:r w:rsidRPr="005B7C1E">
        <w:rPr>
          <w:rStyle w:val="FootnoteReference"/>
          <w:rFonts w:asciiTheme="minorHAnsi" w:hAnsiTheme="minorHAnsi" w:cstheme="minorHAnsi"/>
        </w:rPr>
        <w:footnoteRef/>
      </w:r>
      <w:r w:rsidRPr="005B7C1E">
        <w:rPr>
          <w:rFonts w:asciiTheme="minorHAnsi" w:hAnsiTheme="minorHAnsi" w:cstheme="minorHAnsi"/>
        </w:rPr>
        <w:t xml:space="preserve"> </w:t>
      </w:r>
      <w:r w:rsidRPr="005B7C1E">
        <w:rPr>
          <w:rFonts w:asciiTheme="minorHAnsi" w:hAnsiTheme="minorHAnsi" w:cstheme="minorHAnsi"/>
          <w:lang w:val="en-AU"/>
        </w:rPr>
        <w:t>www.doingittough.info</w:t>
      </w:r>
    </w:p>
  </w:footnote>
  <w:footnote w:id="31">
    <w:p w14:paraId="60E2DB04" w14:textId="6221FA93" w:rsidR="00CF0B01" w:rsidRPr="000949BA" w:rsidRDefault="00CF0B01" w:rsidP="00D5316E">
      <w:pPr>
        <w:pStyle w:val="FootnoteText"/>
        <w:rPr>
          <w:rFonts w:asciiTheme="minorHAnsi" w:hAnsiTheme="minorHAnsi" w:cstheme="minorHAnsi"/>
          <w:lang w:val="en-AU"/>
        </w:rPr>
      </w:pPr>
      <w:r w:rsidRPr="000949BA">
        <w:rPr>
          <w:rStyle w:val="FootnoteReference"/>
          <w:rFonts w:asciiTheme="minorHAnsi" w:hAnsiTheme="minorHAnsi" w:cstheme="minorHAnsi"/>
        </w:rPr>
        <w:footnoteRef/>
      </w:r>
      <w:r w:rsidRPr="000949BA">
        <w:rPr>
          <w:rFonts w:asciiTheme="minorHAnsi" w:hAnsiTheme="minorHAnsi" w:cstheme="minorHAnsi"/>
        </w:rPr>
        <w:t xml:space="preserve"> </w:t>
      </w:r>
      <w:r w:rsidRPr="000949BA">
        <w:rPr>
          <w:rFonts w:asciiTheme="minorHAnsi" w:hAnsiTheme="minorHAnsi" w:cstheme="minorHAnsi"/>
          <w:lang w:val="en-AU"/>
        </w:rPr>
        <w:t>The Australia Institute, May 2010, Missing Out: Unclaimed Government Assistance and Concession Benefits.</w:t>
      </w:r>
    </w:p>
  </w:footnote>
  <w:footnote w:id="32">
    <w:p w14:paraId="79F904FD" w14:textId="4FEDBB31" w:rsidR="00CF0B01" w:rsidRPr="0040400B" w:rsidRDefault="00CF0B01">
      <w:pPr>
        <w:pStyle w:val="FootnoteText"/>
        <w:rPr>
          <w:lang w:val="en-US"/>
        </w:rPr>
      </w:pPr>
      <w:r w:rsidRPr="000949BA">
        <w:rPr>
          <w:rStyle w:val="FootnoteReference"/>
          <w:rFonts w:asciiTheme="minorHAnsi" w:hAnsiTheme="minorHAnsi" w:cstheme="minorHAnsi"/>
        </w:rPr>
        <w:footnoteRef/>
      </w:r>
      <w:r w:rsidRPr="000949BA">
        <w:rPr>
          <w:rFonts w:asciiTheme="minorHAnsi" w:hAnsiTheme="minorHAnsi" w:cstheme="minorHAnsi"/>
        </w:rPr>
        <w:t xml:space="preserve"> </w:t>
      </w:r>
      <w:r w:rsidRPr="000949BA">
        <w:rPr>
          <w:rFonts w:asciiTheme="minorHAnsi" w:hAnsiTheme="minorHAnsi" w:cstheme="minorHAnsi"/>
          <w:lang w:val="en-US"/>
        </w:rPr>
        <w:t>GA Research</w:t>
      </w:r>
      <w:r>
        <w:rPr>
          <w:lang w:val="en-US"/>
        </w:rPr>
        <w:t xml:space="preserve"> </w:t>
      </w:r>
    </w:p>
  </w:footnote>
  <w:footnote w:id="33">
    <w:p w14:paraId="1E746CAB" w14:textId="77777777" w:rsidR="00CF0B01" w:rsidRPr="00E0654A" w:rsidRDefault="00CF0B01" w:rsidP="00E0654A">
      <w:pPr>
        <w:pStyle w:val="FootnoteText"/>
        <w:rPr>
          <w:rFonts w:asciiTheme="minorHAnsi" w:hAnsiTheme="minorHAnsi" w:cstheme="minorHAnsi"/>
          <w:lang w:val="en-US"/>
        </w:rPr>
      </w:pPr>
      <w:r w:rsidRPr="00E0654A">
        <w:rPr>
          <w:rStyle w:val="FootnoteReference"/>
          <w:rFonts w:asciiTheme="minorHAnsi" w:hAnsiTheme="minorHAnsi" w:cstheme="minorHAnsi"/>
        </w:rPr>
        <w:footnoteRef/>
      </w:r>
      <w:r w:rsidRPr="00E0654A">
        <w:rPr>
          <w:rFonts w:asciiTheme="minorHAnsi" w:hAnsiTheme="minorHAnsi" w:cstheme="minorHAnsi"/>
        </w:rPr>
        <w:t xml:space="preserve"> </w:t>
      </w:r>
      <w:r w:rsidRPr="00E0654A">
        <w:rPr>
          <w:rFonts w:asciiTheme="minorHAnsi" w:hAnsiTheme="minorHAnsi" w:cstheme="minorHAnsi"/>
          <w:lang w:val="en-US"/>
        </w:rPr>
        <w:t xml:space="preserve">For the technical explanation of the assumptions and methodology see </w:t>
      </w:r>
      <w:hyperlink r:id="rId10" w:history="1">
        <w:r w:rsidRPr="00E0654A">
          <w:rPr>
            <w:rStyle w:val="Hyperlink"/>
            <w:rFonts w:asciiTheme="minorHAnsi" w:hAnsiTheme="minorHAnsi" w:cstheme="minorHAnsi"/>
            <w:lang w:val="en-US"/>
          </w:rPr>
          <w:t>http://www.epi.org/publication/wp297-2013-family-budget-calculator-technical-documentation/</w:t>
        </w:r>
      </w:hyperlink>
    </w:p>
  </w:footnote>
  <w:footnote w:id="34">
    <w:p w14:paraId="61414443" w14:textId="77777777" w:rsidR="00CF0B01" w:rsidRPr="000649B5" w:rsidRDefault="00CF0B01" w:rsidP="009834EF">
      <w:pPr>
        <w:pStyle w:val="FootnoteText"/>
        <w:rPr>
          <w:rFonts w:asciiTheme="minorHAnsi" w:hAnsiTheme="minorHAnsi" w:cstheme="minorHAnsi"/>
          <w:lang w:val="en-US"/>
        </w:rPr>
      </w:pPr>
      <w:r w:rsidRPr="000649B5">
        <w:rPr>
          <w:rStyle w:val="FootnoteReference"/>
          <w:rFonts w:asciiTheme="minorHAnsi" w:hAnsiTheme="minorHAnsi" w:cstheme="minorHAnsi"/>
        </w:rPr>
        <w:footnoteRef/>
      </w:r>
      <w:r w:rsidRPr="000649B5">
        <w:rPr>
          <w:rFonts w:asciiTheme="minorHAnsi" w:hAnsiTheme="minorHAnsi" w:cstheme="minorHAnsi"/>
        </w:rPr>
        <w:t xml:space="preserve"> </w:t>
      </w:r>
      <w:r w:rsidRPr="000649B5">
        <w:rPr>
          <w:rFonts w:asciiTheme="minorHAnsi" w:hAnsiTheme="minorHAnsi" w:cstheme="minorHAnsi"/>
          <w:lang w:val="en-US"/>
        </w:rPr>
        <w:t xml:space="preserve">Sydney Water Financial Assistance, </w:t>
      </w:r>
      <w:hyperlink r:id="rId11" w:history="1">
        <w:r w:rsidRPr="000649B5">
          <w:rPr>
            <w:rStyle w:val="Hyperlink"/>
            <w:rFonts w:asciiTheme="minorHAnsi" w:hAnsiTheme="minorHAnsi" w:cstheme="minorHAnsi"/>
            <w:lang w:val="en-US"/>
          </w:rPr>
          <w:t>http://www.sydneywater.com.au/sw/accounts-billing/paying-your-bill/financial-assistance/index.htm</w:t>
        </w:r>
      </w:hyperlink>
      <w:r w:rsidRPr="000649B5">
        <w:rPr>
          <w:rFonts w:asciiTheme="minorHAnsi" w:hAnsiTheme="minorHAnsi" w:cstheme="minorHAnsi"/>
          <w:lang w:val="en-US"/>
        </w:rPr>
        <w:t xml:space="preserve"> [accessed November 28, 2013]</w:t>
      </w:r>
    </w:p>
  </w:footnote>
  <w:footnote w:id="35">
    <w:p w14:paraId="1FE49CFA" w14:textId="77777777" w:rsidR="00CF0B01" w:rsidRPr="0029409E" w:rsidRDefault="00CF0B01" w:rsidP="00E3736E">
      <w:pPr>
        <w:pStyle w:val="FootnoteText"/>
        <w:rPr>
          <w:lang w:val="en-US"/>
        </w:rPr>
      </w:pPr>
      <w:r w:rsidRPr="000649B5">
        <w:rPr>
          <w:rStyle w:val="FootnoteReference"/>
          <w:rFonts w:asciiTheme="minorHAnsi" w:hAnsiTheme="minorHAnsi" w:cstheme="minorHAnsi"/>
        </w:rPr>
        <w:footnoteRef/>
      </w:r>
      <w:r w:rsidRPr="000649B5">
        <w:rPr>
          <w:rFonts w:asciiTheme="minorHAnsi" w:hAnsiTheme="minorHAnsi" w:cstheme="minorHAnsi"/>
        </w:rPr>
        <w:t xml:space="preserve"> </w:t>
      </w:r>
      <w:hyperlink r:id="rId12" w:history="1">
        <w:r w:rsidRPr="000649B5">
          <w:rPr>
            <w:rStyle w:val="Hyperlink"/>
            <w:rFonts w:asciiTheme="minorHAnsi" w:hAnsiTheme="minorHAnsi" w:cstheme="minorHAnsi"/>
          </w:rPr>
          <w:t>http://www.nab.com.au</w:t>
        </w:r>
      </w:hyperlink>
      <w:r w:rsidRPr="000649B5">
        <w:rPr>
          <w:rFonts w:asciiTheme="minorHAnsi" w:hAnsiTheme="minorHAnsi" w:cstheme="minorHAnsi"/>
        </w:rPr>
        <w:t xml:space="preserve"> [accessed 28 November 2013]</w:t>
      </w:r>
    </w:p>
  </w:footnote>
  <w:footnote w:id="36">
    <w:p w14:paraId="384DD6DE" w14:textId="77777777" w:rsidR="00CF0B01" w:rsidRPr="005B4A2D" w:rsidRDefault="00CF0B01" w:rsidP="00031074">
      <w:pPr>
        <w:pStyle w:val="FootnoteText"/>
        <w:rPr>
          <w:lang w:val="en-US"/>
        </w:rPr>
      </w:pPr>
      <w:r>
        <w:rPr>
          <w:rStyle w:val="FootnoteReference"/>
        </w:rPr>
        <w:footnoteRef/>
      </w:r>
      <w:r>
        <w:t xml:space="preserve"> </w:t>
      </w:r>
      <w:r w:rsidRPr="00031074">
        <w:rPr>
          <w:rFonts w:asciiTheme="minorHAnsi" w:hAnsiTheme="minorHAnsi" w:cstheme="minorHAnsi"/>
          <w:lang w:val="en-US"/>
        </w:rPr>
        <w:t xml:space="preserve">Charlie </w:t>
      </w:r>
      <w:proofErr w:type="spellStart"/>
      <w:r w:rsidRPr="00031074">
        <w:rPr>
          <w:rFonts w:asciiTheme="minorHAnsi" w:hAnsiTheme="minorHAnsi" w:cstheme="minorHAnsi"/>
          <w:lang w:val="en-US"/>
        </w:rPr>
        <w:t>Harak</w:t>
      </w:r>
      <w:proofErr w:type="spellEnd"/>
      <w:r w:rsidRPr="00031074">
        <w:rPr>
          <w:rFonts w:asciiTheme="minorHAnsi" w:hAnsiTheme="minorHAnsi" w:cstheme="minorHAnsi"/>
          <w:lang w:val="en-US"/>
        </w:rPr>
        <w:t>, National Consumer Law Center, Sept 2013, ‘Helping Low-Income Utility Customers Manage Overdue Bills through Arrearage Management Programs (AMP)’</w:t>
      </w:r>
      <w:r>
        <w:rPr>
          <w:lang w:val="en-US"/>
        </w:rPr>
        <w:t xml:space="preserve"> </w:t>
      </w:r>
    </w:p>
    <w:p w14:paraId="1D38E1F6" w14:textId="77777777" w:rsidR="00CF0B01" w:rsidRPr="005B4A2D" w:rsidRDefault="00CF0B01" w:rsidP="00031074">
      <w:pPr>
        <w:pStyle w:val="FootnoteText"/>
        <w:rPr>
          <w:lang w:val="en-US"/>
        </w:rPr>
      </w:pPr>
    </w:p>
  </w:footnote>
  <w:footnote w:id="37">
    <w:p w14:paraId="2066E61C" w14:textId="77777777" w:rsidR="00CF0B01" w:rsidRPr="005A54B0" w:rsidRDefault="00CF0B01">
      <w:pPr>
        <w:pStyle w:val="FootnoteText"/>
        <w:rPr>
          <w:lang w:val="en-AU"/>
        </w:rPr>
      </w:pPr>
      <w:r>
        <w:rPr>
          <w:rStyle w:val="FootnoteReference"/>
        </w:rPr>
        <w:footnoteRef/>
      </w:r>
      <w:r>
        <w:t xml:space="preserve"> </w:t>
      </w:r>
      <w:proofErr w:type="spellStart"/>
      <w:r w:rsidRPr="008E4F27">
        <w:rPr>
          <w:rFonts w:asciiTheme="minorHAnsi" w:hAnsiTheme="minorHAnsi" w:cstheme="minorHAnsi"/>
          <w:lang w:val="en-AU"/>
        </w:rPr>
        <w:t>Centrepay</w:t>
      </w:r>
      <w:proofErr w:type="spellEnd"/>
      <w:r w:rsidRPr="008E4F27">
        <w:rPr>
          <w:rFonts w:asciiTheme="minorHAnsi" w:hAnsiTheme="minorHAnsi" w:cstheme="minorHAnsi"/>
          <w:lang w:val="en-AU"/>
        </w:rPr>
        <w:t xml:space="preserve"> is a free bill paying facility for people in receipt of Centrelink payments.</w:t>
      </w:r>
      <w:r>
        <w:rPr>
          <w:lang w:val="en-AU"/>
        </w:rPr>
        <w:t xml:space="preserve"> </w:t>
      </w:r>
    </w:p>
  </w:footnote>
  <w:footnote w:id="38">
    <w:p w14:paraId="269677FF" w14:textId="77777777" w:rsidR="00CF0B01" w:rsidRPr="00671856" w:rsidRDefault="00CF0B01" w:rsidP="00D733C5">
      <w:pPr>
        <w:pStyle w:val="FootnoteText1"/>
        <w:rPr>
          <w:rFonts w:ascii="Times New Roman" w:eastAsia="Times New Roman" w:hAnsi="Times New Roman"/>
          <w:color w:val="auto"/>
          <w:lang w:val="en-AU" w:eastAsia="en-AU" w:bidi="x-none"/>
        </w:rPr>
      </w:pPr>
      <w:r w:rsidRPr="00671856">
        <w:rPr>
          <w:rFonts w:ascii="Times New Roman" w:hAnsi="Times New Roman"/>
          <w:vertAlign w:val="superscript"/>
        </w:rPr>
        <w:footnoteRef/>
      </w:r>
      <w:r w:rsidRPr="00671856">
        <w:rPr>
          <w:rFonts w:ascii="Times New Roman" w:hAnsi="Times New Roman"/>
        </w:rPr>
        <w:t xml:space="preserve"> </w:t>
      </w:r>
      <w:r w:rsidRPr="007817BF">
        <w:rPr>
          <w:rFonts w:asciiTheme="minorHAnsi" w:hAnsiTheme="minorHAnsi" w:cstheme="minorHAnsi"/>
        </w:rPr>
        <w:t xml:space="preserve">‘Improving approaches to customer financial hardship’, Feb 2012, Essential Services Commission, p 12 - </w:t>
      </w:r>
      <w:hyperlink r:id="rId13" w:history="1">
        <w:r w:rsidRPr="007817BF">
          <w:rPr>
            <w:rFonts w:asciiTheme="minorHAnsi" w:hAnsiTheme="minorHAnsi" w:cstheme="minorHAnsi"/>
            <w:color w:val="000099"/>
            <w:u w:val="single"/>
          </w:rPr>
          <w:t>http://www.esc.vic.gov.au/getattachment/1e2fbeb1-bee5-4c34-a9fc-303fd0bf4f52/Summary-Business-responses-to-hardship-policies-an.pdf</w:t>
        </w:r>
      </w:hyperlink>
    </w:p>
  </w:footnote>
  <w:footnote w:id="39">
    <w:p w14:paraId="3824E5DE" w14:textId="77777777" w:rsidR="00CF0B01" w:rsidRPr="00140DFC" w:rsidRDefault="00CF0B01" w:rsidP="005A4D13">
      <w:pPr>
        <w:pStyle w:val="FootnoteText"/>
        <w:rPr>
          <w:lang w:val="en-AU"/>
        </w:rPr>
      </w:pPr>
      <w:r>
        <w:rPr>
          <w:rStyle w:val="FootnoteReference"/>
        </w:rPr>
        <w:footnoteRef/>
      </w:r>
      <w:r>
        <w:t xml:space="preserve"> </w:t>
      </w:r>
      <w:r w:rsidRPr="00B14E6B">
        <w:rPr>
          <w:rFonts w:asciiTheme="minorHAnsi" w:hAnsiTheme="minorHAnsi" w:cstheme="minorHAnsi"/>
          <w:lang w:val="en-AU"/>
        </w:rPr>
        <w:t xml:space="preserve">Australian Communications and Media Authority, September 2011, </w:t>
      </w:r>
      <w:proofErr w:type="gramStart"/>
      <w:r w:rsidRPr="00B14E6B">
        <w:rPr>
          <w:rFonts w:asciiTheme="minorHAnsi" w:hAnsiTheme="minorHAnsi" w:cstheme="minorHAnsi"/>
          <w:i/>
          <w:lang w:val="en-AU"/>
        </w:rPr>
        <w:t>Reconnecting</w:t>
      </w:r>
      <w:proofErr w:type="gramEnd"/>
      <w:r w:rsidRPr="00B14E6B">
        <w:rPr>
          <w:rFonts w:asciiTheme="minorHAnsi" w:hAnsiTheme="minorHAnsi" w:cstheme="minorHAnsi"/>
          <w:i/>
          <w:lang w:val="en-AU"/>
        </w:rPr>
        <w:t xml:space="preserve"> the Customer, Final public inquiry report</w:t>
      </w:r>
      <w:r w:rsidRPr="00B14E6B">
        <w:rPr>
          <w:rFonts w:asciiTheme="minorHAnsi" w:hAnsiTheme="minorHAnsi" w:cstheme="minorHAnsi"/>
          <w:lang w:val="en-AU"/>
        </w:rPr>
        <w:t>, http://www.acma.gov.au/~/media/Consumer%20Interests/Report/pdf/Reconnecting%20the%20Customerfinal%20public%20inquiry%20report.PDF.</w:t>
      </w:r>
    </w:p>
  </w:footnote>
  <w:footnote w:id="40">
    <w:p w14:paraId="7A9359AD" w14:textId="77777777" w:rsidR="00CF0B01" w:rsidRPr="00A54450" w:rsidRDefault="00CF0B01">
      <w:pPr>
        <w:pStyle w:val="FootnoteText"/>
        <w:rPr>
          <w:lang w:val="en-AU"/>
        </w:rPr>
      </w:pPr>
      <w:r>
        <w:rPr>
          <w:rStyle w:val="FootnoteReference"/>
        </w:rPr>
        <w:footnoteRef/>
      </w:r>
      <w:r>
        <w:t xml:space="preserve"> </w:t>
      </w:r>
      <w:r w:rsidRPr="00D347F9">
        <w:rPr>
          <w:rFonts w:asciiTheme="minorHAnsi" w:hAnsiTheme="minorHAnsi" w:cstheme="minorHAnsi"/>
          <w:lang w:val="en-AU"/>
        </w:rPr>
        <w:t>Although we understand one telco is offering these.</w:t>
      </w:r>
    </w:p>
  </w:footnote>
  <w:footnote w:id="41">
    <w:p w14:paraId="01E42E7F" w14:textId="77777777" w:rsidR="00CF0B01" w:rsidRPr="00662C48" w:rsidRDefault="00CF0B01">
      <w:pPr>
        <w:pStyle w:val="FootnoteText"/>
        <w:rPr>
          <w:lang w:val="en-AU"/>
        </w:rPr>
      </w:pPr>
      <w:r>
        <w:rPr>
          <w:rStyle w:val="FootnoteReference"/>
        </w:rPr>
        <w:footnoteRef/>
      </w:r>
      <w:r>
        <w:t xml:space="preserve"> </w:t>
      </w:r>
      <w:proofErr w:type="gramStart"/>
      <w:r>
        <w:rPr>
          <w:lang w:val="en-AU"/>
        </w:rPr>
        <w:t>At the time of the interview.</w:t>
      </w:r>
      <w:proofErr w:type="gramEnd"/>
    </w:p>
  </w:footnote>
  <w:footnote w:id="42">
    <w:p w14:paraId="29D8804D" w14:textId="77777777" w:rsidR="00CF0B01" w:rsidRPr="00A72581" w:rsidRDefault="00CF0B01">
      <w:pPr>
        <w:pStyle w:val="FootnoteText"/>
        <w:rPr>
          <w:lang w:val="en-AU"/>
        </w:rPr>
      </w:pPr>
      <w:r>
        <w:rPr>
          <w:rStyle w:val="FootnoteReference"/>
        </w:rPr>
        <w:footnoteRef/>
      </w:r>
      <w:r>
        <w:t xml:space="preserve"> </w:t>
      </w:r>
      <w:proofErr w:type="gramStart"/>
      <w:r>
        <w:rPr>
          <w:lang w:val="en-AU"/>
        </w:rPr>
        <w:t>At the time of the interview.</w:t>
      </w:r>
      <w:proofErr w:type="gramEnd"/>
    </w:p>
  </w:footnote>
  <w:footnote w:id="43">
    <w:p w14:paraId="71BECC5C" w14:textId="77777777" w:rsidR="00CF0B01" w:rsidRPr="000E7AF7" w:rsidRDefault="00CF0B01">
      <w:pPr>
        <w:pStyle w:val="FootnoteText"/>
        <w:rPr>
          <w:lang w:val="en-AU"/>
        </w:rPr>
      </w:pPr>
      <w:r>
        <w:rPr>
          <w:rStyle w:val="FootnoteReference"/>
        </w:rPr>
        <w:footnoteRef/>
      </w:r>
      <w:r>
        <w:t xml:space="preserve"> </w:t>
      </w:r>
      <w:proofErr w:type="gramStart"/>
      <w:r>
        <w:rPr>
          <w:lang w:val="en-AU"/>
        </w:rPr>
        <w:t>At the time of the interview.</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0128E28"/>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B3526"/>
    <w:multiLevelType w:val="hybridMultilevel"/>
    <w:tmpl w:val="7D7EC782"/>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2">
    <w:nsid w:val="05CD2C4F"/>
    <w:multiLevelType w:val="hybridMultilevel"/>
    <w:tmpl w:val="149CF15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
    <w:nsid w:val="067D19AE"/>
    <w:multiLevelType w:val="hybridMultilevel"/>
    <w:tmpl w:val="A3F20E90"/>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396235B"/>
    <w:multiLevelType w:val="hybridMultilevel"/>
    <w:tmpl w:val="842C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62296F"/>
    <w:multiLevelType w:val="hybridMultilevel"/>
    <w:tmpl w:val="A8C6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D10A3"/>
    <w:multiLevelType w:val="hybridMultilevel"/>
    <w:tmpl w:val="ECF6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14124"/>
    <w:multiLevelType w:val="multilevel"/>
    <w:tmpl w:val="6178D27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BF6115"/>
    <w:multiLevelType w:val="hybridMultilevel"/>
    <w:tmpl w:val="A156D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A3262E"/>
    <w:multiLevelType w:val="hybridMultilevel"/>
    <w:tmpl w:val="E78C821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3B1849C0"/>
    <w:multiLevelType w:val="hybridMultilevel"/>
    <w:tmpl w:val="23EA41E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nsid w:val="3DFA5DD6"/>
    <w:multiLevelType w:val="hybridMultilevel"/>
    <w:tmpl w:val="631EE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BB5DA3"/>
    <w:multiLevelType w:val="hybridMultilevel"/>
    <w:tmpl w:val="05304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F72595"/>
    <w:multiLevelType w:val="hybridMultilevel"/>
    <w:tmpl w:val="11EE3648"/>
    <w:lvl w:ilvl="0" w:tplc="0409000F">
      <w:start w:val="1"/>
      <w:numFmt w:val="decimal"/>
      <w:lvlText w:val="%1."/>
      <w:lvlJc w:val="left"/>
      <w:pPr>
        <w:ind w:left="1170" w:hanging="360"/>
      </w:pPr>
    </w:lvl>
    <w:lvl w:ilvl="1" w:tplc="00000002">
      <w:start w:val="1"/>
      <w:numFmt w:val="bullet"/>
      <w:lvlText w:val=""/>
      <w:lvlJc w:val="left"/>
      <w:pPr>
        <w:ind w:left="18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4401604"/>
    <w:multiLevelType w:val="multilevel"/>
    <w:tmpl w:val="54269FF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2"/>
      <w:numFmt w:val="decimal"/>
      <w:isLgl/>
      <w:lvlText w:val="%1.%2.%3"/>
      <w:lvlJc w:val="left"/>
      <w:pPr>
        <w:ind w:left="2149" w:hanging="108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869" w:hanging="1800"/>
      </w:pPr>
      <w:rPr>
        <w:rFonts w:hint="default"/>
      </w:rPr>
    </w:lvl>
    <w:lvl w:ilvl="6">
      <w:start w:val="1"/>
      <w:numFmt w:val="decimal"/>
      <w:isLgl/>
      <w:lvlText w:val="%1.%2.%3.%4.%5.%6.%7"/>
      <w:lvlJc w:val="left"/>
      <w:pPr>
        <w:ind w:left="3229" w:hanging="216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589" w:hanging="2520"/>
      </w:pPr>
      <w:rPr>
        <w:rFonts w:hint="default"/>
      </w:rPr>
    </w:lvl>
  </w:abstractNum>
  <w:abstractNum w:abstractNumId="15">
    <w:nsid w:val="53047532"/>
    <w:multiLevelType w:val="hybridMultilevel"/>
    <w:tmpl w:val="BFD61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592073"/>
    <w:multiLevelType w:val="hybridMultilevel"/>
    <w:tmpl w:val="50D2E8C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nsid w:val="5AB51D4D"/>
    <w:multiLevelType w:val="hybridMultilevel"/>
    <w:tmpl w:val="7C06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C618FB"/>
    <w:multiLevelType w:val="multilevel"/>
    <w:tmpl w:val="B5FACE14"/>
    <w:lvl w:ilvl="0">
      <w:start w:val="1"/>
      <w:numFmt w:val="decimal"/>
      <w:lvlText w:val="%1."/>
      <w:lvlJc w:val="left"/>
      <w:pPr>
        <w:ind w:left="1571" w:hanging="360"/>
      </w:pPr>
    </w:lvl>
    <w:lvl w:ilvl="1">
      <w:start w:val="2"/>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9">
    <w:nsid w:val="5AC92635"/>
    <w:multiLevelType w:val="hybridMultilevel"/>
    <w:tmpl w:val="CCF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B30FFA"/>
    <w:multiLevelType w:val="hybridMultilevel"/>
    <w:tmpl w:val="34FE5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9D302F"/>
    <w:multiLevelType w:val="hybridMultilevel"/>
    <w:tmpl w:val="5CA4611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nsid w:val="70507AE3"/>
    <w:multiLevelType w:val="hybridMultilevel"/>
    <w:tmpl w:val="73A28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453AEB"/>
    <w:multiLevelType w:val="hybridMultilevel"/>
    <w:tmpl w:val="F922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9259E"/>
    <w:multiLevelType w:val="hybridMultilevel"/>
    <w:tmpl w:val="A838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2"/>
  </w:num>
  <w:num w:numId="5">
    <w:abstractNumId w:val="15"/>
  </w:num>
  <w:num w:numId="6">
    <w:abstractNumId w:val="1"/>
  </w:num>
  <w:num w:numId="7">
    <w:abstractNumId w:val="10"/>
  </w:num>
  <w:num w:numId="8">
    <w:abstractNumId w:val="21"/>
  </w:num>
  <w:num w:numId="9">
    <w:abstractNumId w:val="9"/>
  </w:num>
  <w:num w:numId="10">
    <w:abstractNumId w:val="18"/>
  </w:num>
  <w:num w:numId="11">
    <w:abstractNumId w:val="23"/>
  </w:num>
  <w:num w:numId="12">
    <w:abstractNumId w:val="6"/>
  </w:num>
  <w:num w:numId="13">
    <w:abstractNumId w:val="24"/>
  </w:num>
  <w:num w:numId="14">
    <w:abstractNumId w:val="5"/>
  </w:num>
  <w:num w:numId="15">
    <w:abstractNumId w:val="19"/>
  </w:num>
  <w:num w:numId="16">
    <w:abstractNumId w:val="3"/>
  </w:num>
  <w:num w:numId="17">
    <w:abstractNumId w:val="4"/>
  </w:num>
  <w:num w:numId="18">
    <w:abstractNumId w:val="16"/>
  </w:num>
  <w:num w:numId="19">
    <w:abstractNumId w:val="17"/>
  </w:num>
  <w:num w:numId="20">
    <w:abstractNumId w:val="12"/>
  </w:num>
  <w:num w:numId="21">
    <w:abstractNumId w:val="8"/>
  </w:num>
  <w:num w:numId="22">
    <w:abstractNumId w:val="7"/>
  </w:num>
  <w:num w:numId="23">
    <w:abstractNumId w:val="0"/>
  </w:num>
  <w:num w:numId="24">
    <w:abstractNumId w:val="13"/>
  </w:num>
  <w:num w:numId="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B0"/>
    <w:rsid w:val="00000FB9"/>
    <w:rsid w:val="00003274"/>
    <w:rsid w:val="00003B50"/>
    <w:rsid w:val="00007518"/>
    <w:rsid w:val="00010730"/>
    <w:rsid w:val="00013C61"/>
    <w:rsid w:val="00021736"/>
    <w:rsid w:val="000231E5"/>
    <w:rsid w:val="0002475F"/>
    <w:rsid w:val="0002494A"/>
    <w:rsid w:val="000252ED"/>
    <w:rsid w:val="00027BC3"/>
    <w:rsid w:val="00030D77"/>
    <w:rsid w:val="00031074"/>
    <w:rsid w:val="0003163D"/>
    <w:rsid w:val="00032058"/>
    <w:rsid w:val="00034963"/>
    <w:rsid w:val="00035500"/>
    <w:rsid w:val="00037B16"/>
    <w:rsid w:val="00037E6C"/>
    <w:rsid w:val="00040BDB"/>
    <w:rsid w:val="00041D15"/>
    <w:rsid w:val="00042ED2"/>
    <w:rsid w:val="0004539A"/>
    <w:rsid w:val="000458EA"/>
    <w:rsid w:val="00047E61"/>
    <w:rsid w:val="00050FFF"/>
    <w:rsid w:val="00051464"/>
    <w:rsid w:val="0005179D"/>
    <w:rsid w:val="00052620"/>
    <w:rsid w:val="00053AB9"/>
    <w:rsid w:val="00055E45"/>
    <w:rsid w:val="000608A0"/>
    <w:rsid w:val="00062261"/>
    <w:rsid w:val="0006234D"/>
    <w:rsid w:val="00062737"/>
    <w:rsid w:val="000649B5"/>
    <w:rsid w:val="0006546D"/>
    <w:rsid w:val="0006565D"/>
    <w:rsid w:val="00066AB0"/>
    <w:rsid w:val="00067428"/>
    <w:rsid w:val="00070495"/>
    <w:rsid w:val="000728EA"/>
    <w:rsid w:val="00072E57"/>
    <w:rsid w:val="00072FB4"/>
    <w:rsid w:val="000735FE"/>
    <w:rsid w:val="00074D78"/>
    <w:rsid w:val="00074F18"/>
    <w:rsid w:val="00081FA7"/>
    <w:rsid w:val="00082265"/>
    <w:rsid w:val="00082832"/>
    <w:rsid w:val="00083B6A"/>
    <w:rsid w:val="00085672"/>
    <w:rsid w:val="00086E46"/>
    <w:rsid w:val="00091560"/>
    <w:rsid w:val="0009172B"/>
    <w:rsid w:val="00092177"/>
    <w:rsid w:val="000922E9"/>
    <w:rsid w:val="00092EDA"/>
    <w:rsid w:val="000949BA"/>
    <w:rsid w:val="00097146"/>
    <w:rsid w:val="000978A8"/>
    <w:rsid w:val="00097A2B"/>
    <w:rsid w:val="00097D26"/>
    <w:rsid w:val="000A0A07"/>
    <w:rsid w:val="000A0EE4"/>
    <w:rsid w:val="000A1605"/>
    <w:rsid w:val="000A1F02"/>
    <w:rsid w:val="000A238F"/>
    <w:rsid w:val="000A3643"/>
    <w:rsid w:val="000A3CCE"/>
    <w:rsid w:val="000A4ECE"/>
    <w:rsid w:val="000A58FA"/>
    <w:rsid w:val="000A67E4"/>
    <w:rsid w:val="000A7677"/>
    <w:rsid w:val="000B076B"/>
    <w:rsid w:val="000B0B55"/>
    <w:rsid w:val="000C09A7"/>
    <w:rsid w:val="000C34DE"/>
    <w:rsid w:val="000C4794"/>
    <w:rsid w:val="000C535A"/>
    <w:rsid w:val="000C7D20"/>
    <w:rsid w:val="000C7E82"/>
    <w:rsid w:val="000D076E"/>
    <w:rsid w:val="000D3FFF"/>
    <w:rsid w:val="000D612C"/>
    <w:rsid w:val="000D612F"/>
    <w:rsid w:val="000D6AE6"/>
    <w:rsid w:val="000E0B56"/>
    <w:rsid w:val="000E0BEE"/>
    <w:rsid w:val="000E1E9D"/>
    <w:rsid w:val="000E579D"/>
    <w:rsid w:val="000E7AF7"/>
    <w:rsid w:val="000F0C94"/>
    <w:rsid w:val="000F2F63"/>
    <w:rsid w:val="000F6891"/>
    <w:rsid w:val="000F6D40"/>
    <w:rsid w:val="000F7006"/>
    <w:rsid w:val="001008C9"/>
    <w:rsid w:val="001009BE"/>
    <w:rsid w:val="00102DA7"/>
    <w:rsid w:val="00104541"/>
    <w:rsid w:val="0010459A"/>
    <w:rsid w:val="0010573A"/>
    <w:rsid w:val="0010785B"/>
    <w:rsid w:val="00110AB3"/>
    <w:rsid w:val="00110E82"/>
    <w:rsid w:val="00111630"/>
    <w:rsid w:val="00112EA6"/>
    <w:rsid w:val="001220A0"/>
    <w:rsid w:val="001238E5"/>
    <w:rsid w:val="001245E9"/>
    <w:rsid w:val="00124C9F"/>
    <w:rsid w:val="001260E3"/>
    <w:rsid w:val="00127091"/>
    <w:rsid w:val="00130051"/>
    <w:rsid w:val="00130490"/>
    <w:rsid w:val="00132E4C"/>
    <w:rsid w:val="00133506"/>
    <w:rsid w:val="00133E13"/>
    <w:rsid w:val="00135652"/>
    <w:rsid w:val="00137810"/>
    <w:rsid w:val="00140DFC"/>
    <w:rsid w:val="001452B2"/>
    <w:rsid w:val="00145593"/>
    <w:rsid w:val="001455A5"/>
    <w:rsid w:val="0014690E"/>
    <w:rsid w:val="001503A8"/>
    <w:rsid w:val="001504B0"/>
    <w:rsid w:val="00150F41"/>
    <w:rsid w:val="00151B50"/>
    <w:rsid w:val="00152D99"/>
    <w:rsid w:val="00152DF0"/>
    <w:rsid w:val="00160070"/>
    <w:rsid w:val="001638CF"/>
    <w:rsid w:val="00164220"/>
    <w:rsid w:val="001649CB"/>
    <w:rsid w:val="00166DAE"/>
    <w:rsid w:val="00167907"/>
    <w:rsid w:val="00173000"/>
    <w:rsid w:val="00176CA2"/>
    <w:rsid w:val="00181B48"/>
    <w:rsid w:val="00182744"/>
    <w:rsid w:val="00182A58"/>
    <w:rsid w:val="001849FF"/>
    <w:rsid w:val="00184BFE"/>
    <w:rsid w:val="00186021"/>
    <w:rsid w:val="00191A86"/>
    <w:rsid w:val="001921E0"/>
    <w:rsid w:val="0019442E"/>
    <w:rsid w:val="00194726"/>
    <w:rsid w:val="00194C17"/>
    <w:rsid w:val="00197BAC"/>
    <w:rsid w:val="001A1110"/>
    <w:rsid w:val="001A1DE7"/>
    <w:rsid w:val="001A25F2"/>
    <w:rsid w:val="001A3244"/>
    <w:rsid w:val="001A358D"/>
    <w:rsid w:val="001A41DB"/>
    <w:rsid w:val="001A467B"/>
    <w:rsid w:val="001A6707"/>
    <w:rsid w:val="001A6CEF"/>
    <w:rsid w:val="001A7B4A"/>
    <w:rsid w:val="001B20C8"/>
    <w:rsid w:val="001B3885"/>
    <w:rsid w:val="001B575D"/>
    <w:rsid w:val="001B6369"/>
    <w:rsid w:val="001B7270"/>
    <w:rsid w:val="001B73E6"/>
    <w:rsid w:val="001C0361"/>
    <w:rsid w:val="001C0AA4"/>
    <w:rsid w:val="001C19A8"/>
    <w:rsid w:val="001C4AB6"/>
    <w:rsid w:val="001D0097"/>
    <w:rsid w:val="001D2169"/>
    <w:rsid w:val="001D2198"/>
    <w:rsid w:val="001D3C52"/>
    <w:rsid w:val="001D3F1D"/>
    <w:rsid w:val="001D405F"/>
    <w:rsid w:val="001D4A34"/>
    <w:rsid w:val="001D52AF"/>
    <w:rsid w:val="001D64AB"/>
    <w:rsid w:val="001D702B"/>
    <w:rsid w:val="001D7750"/>
    <w:rsid w:val="001D7FE2"/>
    <w:rsid w:val="001E063E"/>
    <w:rsid w:val="001E1E5F"/>
    <w:rsid w:val="001E2522"/>
    <w:rsid w:val="001E621F"/>
    <w:rsid w:val="001E6F3F"/>
    <w:rsid w:val="001E7571"/>
    <w:rsid w:val="001F0915"/>
    <w:rsid w:val="001F3216"/>
    <w:rsid w:val="001F4DED"/>
    <w:rsid w:val="001F535C"/>
    <w:rsid w:val="001F53CC"/>
    <w:rsid w:val="001F53E0"/>
    <w:rsid w:val="001F562A"/>
    <w:rsid w:val="001F59E6"/>
    <w:rsid w:val="001F62EA"/>
    <w:rsid w:val="00200024"/>
    <w:rsid w:val="00202F66"/>
    <w:rsid w:val="00206821"/>
    <w:rsid w:val="0020727C"/>
    <w:rsid w:val="002075A4"/>
    <w:rsid w:val="00207976"/>
    <w:rsid w:val="00210547"/>
    <w:rsid w:val="002111A6"/>
    <w:rsid w:val="00213013"/>
    <w:rsid w:val="002146BF"/>
    <w:rsid w:val="00216FE7"/>
    <w:rsid w:val="00221D44"/>
    <w:rsid w:val="002237C4"/>
    <w:rsid w:val="00223986"/>
    <w:rsid w:val="00224945"/>
    <w:rsid w:val="00224CEE"/>
    <w:rsid w:val="00226A0F"/>
    <w:rsid w:val="00227E81"/>
    <w:rsid w:val="00231231"/>
    <w:rsid w:val="00231A16"/>
    <w:rsid w:val="00233A93"/>
    <w:rsid w:val="00234F60"/>
    <w:rsid w:val="002355A8"/>
    <w:rsid w:val="00237BF4"/>
    <w:rsid w:val="0024077C"/>
    <w:rsid w:val="002414B5"/>
    <w:rsid w:val="002416F4"/>
    <w:rsid w:val="00241A31"/>
    <w:rsid w:val="00241B71"/>
    <w:rsid w:val="00241FF6"/>
    <w:rsid w:val="00243506"/>
    <w:rsid w:val="00246D3B"/>
    <w:rsid w:val="00247B6F"/>
    <w:rsid w:val="002500C4"/>
    <w:rsid w:val="00250413"/>
    <w:rsid w:val="002545CA"/>
    <w:rsid w:val="00255E0B"/>
    <w:rsid w:val="00256389"/>
    <w:rsid w:val="0026102D"/>
    <w:rsid w:val="00262ABF"/>
    <w:rsid w:val="00262B01"/>
    <w:rsid w:val="0026427A"/>
    <w:rsid w:val="00265201"/>
    <w:rsid w:val="002659F8"/>
    <w:rsid w:val="00266031"/>
    <w:rsid w:val="00270EA1"/>
    <w:rsid w:val="00271325"/>
    <w:rsid w:val="002716CE"/>
    <w:rsid w:val="00272818"/>
    <w:rsid w:val="00273352"/>
    <w:rsid w:val="00275014"/>
    <w:rsid w:val="00275B28"/>
    <w:rsid w:val="00275F90"/>
    <w:rsid w:val="002776BC"/>
    <w:rsid w:val="002777C8"/>
    <w:rsid w:val="00277A04"/>
    <w:rsid w:val="00277A84"/>
    <w:rsid w:val="00277C64"/>
    <w:rsid w:val="002803C5"/>
    <w:rsid w:val="0028085B"/>
    <w:rsid w:val="00280B59"/>
    <w:rsid w:val="00283059"/>
    <w:rsid w:val="002847DE"/>
    <w:rsid w:val="00285CAA"/>
    <w:rsid w:val="00286495"/>
    <w:rsid w:val="00291B4F"/>
    <w:rsid w:val="002920CA"/>
    <w:rsid w:val="0029409E"/>
    <w:rsid w:val="002A06DC"/>
    <w:rsid w:val="002A271D"/>
    <w:rsid w:val="002A3932"/>
    <w:rsid w:val="002A6E29"/>
    <w:rsid w:val="002A751C"/>
    <w:rsid w:val="002A7652"/>
    <w:rsid w:val="002B20BD"/>
    <w:rsid w:val="002B3CB2"/>
    <w:rsid w:val="002B3F82"/>
    <w:rsid w:val="002B4908"/>
    <w:rsid w:val="002B6DD1"/>
    <w:rsid w:val="002C08D3"/>
    <w:rsid w:val="002C0DB8"/>
    <w:rsid w:val="002C1CCE"/>
    <w:rsid w:val="002C449A"/>
    <w:rsid w:val="002C44F9"/>
    <w:rsid w:val="002C6AC2"/>
    <w:rsid w:val="002D0559"/>
    <w:rsid w:val="002D078A"/>
    <w:rsid w:val="002D0E45"/>
    <w:rsid w:val="002D0E7D"/>
    <w:rsid w:val="002D0ED7"/>
    <w:rsid w:val="002D15AD"/>
    <w:rsid w:val="002D2574"/>
    <w:rsid w:val="002D3F66"/>
    <w:rsid w:val="002D527D"/>
    <w:rsid w:val="002D6391"/>
    <w:rsid w:val="002D6C09"/>
    <w:rsid w:val="002E1570"/>
    <w:rsid w:val="002E1A96"/>
    <w:rsid w:val="002E1AFE"/>
    <w:rsid w:val="002E26F5"/>
    <w:rsid w:val="002E3CE5"/>
    <w:rsid w:val="002E407D"/>
    <w:rsid w:val="002E51CF"/>
    <w:rsid w:val="002F08F0"/>
    <w:rsid w:val="002F1715"/>
    <w:rsid w:val="002F1CCB"/>
    <w:rsid w:val="002F24CF"/>
    <w:rsid w:val="002F2CE4"/>
    <w:rsid w:val="002F2F23"/>
    <w:rsid w:val="002F3ECA"/>
    <w:rsid w:val="002F4057"/>
    <w:rsid w:val="002F5AFA"/>
    <w:rsid w:val="002F6351"/>
    <w:rsid w:val="002F658E"/>
    <w:rsid w:val="002F68FC"/>
    <w:rsid w:val="002F6B82"/>
    <w:rsid w:val="00300B3C"/>
    <w:rsid w:val="00300B58"/>
    <w:rsid w:val="003035D8"/>
    <w:rsid w:val="003036E1"/>
    <w:rsid w:val="00303883"/>
    <w:rsid w:val="00303F3F"/>
    <w:rsid w:val="00305457"/>
    <w:rsid w:val="00305B95"/>
    <w:rsid w:val="00310520"/>
    <w:rsid w:val="00314841"/>
    <w:rsid w:val="00315126"/>
    <w:rsid w:val="00316178"/>
    <w:rsid w:val="00317E02"/>
    <w:rsid w:val="003225A7"/>
    <w:rsid w:val="00323BA4"/>
    <w:rsid w:val="003240F7"/>
    <w:rsid w:val="00324FA0"/>
    <w:rsid w:val="00327D7A"/>
    <w:rsid w:val="00327DF4"/>
    <w:rsid w:val="0033007A"/>
    <w:rsid w:val="00330B1C"/>
    <w:rsid w:val="00332954"/>
    <w:rsid w:val="003345C5"/>
    <w:rsid w:val="00336E14"/>
    <w:rsid w:val="00337645"/>
    <w:rsid w:val="00337DBB"/>
    <w:rsid w:val="00341E3A"/>
    <w:rsid w:val="00342630"/>
    <w:rsid w:val="00346051"/>
    <w:rsid w:val="00346B67"/>
    <w:rsid w:val="00346CFA"/>
    <w:rsid w:val="00347477"/>
    <w:rsid w:val="00347AAD"/>
    <w:rsid w:val="003524D0"/>
    <w:rsid w:val="00352967"/>
    <w:rsid w:val="00355CEA"/>
    <w:rsid w:val="00356D2A"/>
    <w:rsid w:val="0035730B"/>
    <w:rsid w:val="003600D7"/>
    <w:rsid w:val="003608E7"/>
    <w:rsid w:val="00360C96"/>
    <w:rsid w:val="0036127A"/>
    <w:rsid w:val="00362110"/>
    <w:rsid w:val="00363FE6"/>
    <w:rsid w:val="00364431"/>
    <w:rsid w:val="00365342"/>
    <w:rsid w:val="00370A0D"/>
    <w:rsid w:val="00370BFD"/>
    <w:rsid w:val="00371FAD"/>
    <w:rsid w:val="00373DEC"/>
    <w:rsid w:val="00373FF0"/>
    <w:rsid w:val="00374802"/>
    <w:rsid w:val="00375587"/>
    <w:rsid w:val="00375DB8"/>
    <w:rsid w:val="003766A0"/>
    <w:rsid w:val="003805D0"/>
    <w:rsid w:val="00382B9B"/>
    <w:rsid w:val="00383B37"/>
    <w:rsid w:val="003840F9"/>
    <w:rsid w:val="003848ED"/>
    <w:rsid w:val="003935FA"/>
    <w:rsid w:val="00394836"/>
    <w:rsid w:val="00394A2F"/>
    <w:rsid w:val="00395A12"/>
    <w:rsid w:val="00396B7B"/>
    <w:rsid w:val="0039788B"/>
    <w:rsid w:val="003A2E64"/>
    <w:rsid w:val="003A2FE1"/>
    <w:rsid w:val="003A55E4"/>
    <w:rsid w:val="003A6E3C"/>
    <w:rsid w:val="003B1883"/>
    <w:rsid w:val="003B3684"/>
    <w:rsid w:val="003B4140"/>
    <w:rsid w:val="003B721B"/>
    <w:rsid w:val="003C0466"/>
    <w:rsid w:val="003C0645"/>
    <w:rsid w:val="003C08A8"/>
    <w:rsid w:val="003C1EBC"/>
    <w:rsid w:val="003C2451"/>
    <w:rsid w:val="003C3419"/>
    <w:rsid w:val="003C3B61"/>
    <w:rsid w:val="003C45A9"/>
    <w:rsid w:val="003C5D0C"/>
    <w:rsid w:val="003C681A"/>
    <w:rsid w:val="003C7308"/>
    <w:rsid w:val="003D09C3"/>
    <w:rsid w:val="003D0F9E"/>
    <w:rsid w:val="003D1C0E"/>
    <w:rsid w:val="003D3113"/>
    <w:rsid w:val="003D3960"/>
    <w:rsid w:val="003D4763"/>
    <w:rsid w:val="003D4C75"/>
    <w:rsid w:val="003D53C9"/>
    <w:rsid w:val="003D75A8"/>
    <w:rsid w:val="003E0AA5"/>
    <w:rsid w:val="003E1A1C"/>
    <w:rsid w:val="003E38AC"/>
    <w:rsid w:val="003E4674"/>
    <w:rsid w:val="003E4C63"/>
    <w:rsid w:val="003E6D74"/>
    <w:rsid w:val="003F19B0"/>
    <w:rsid w:val="003F2AF9"/>
    <w:rsid w:val="003F3E4C"/>
    <w:rsid w:val="003F4027"/>
    <w:rsid w:val="003F4040"/>
    <w:rsid w:val="003F4356"/>
    <w:rsid w:val="003F474E"/>
    <w:rsid w:val="00400357"/>
    <w:rsid w:val="00401246"/>
    <w:rsid w:val="0040400B"/>
    <w:rsid w:val="004042D6"/>
    <w:rsid w:val="00405DB2"/>
    <w:rsid w:val="00405E6D"/>
    <w:rsid w:val="00406478"/>
    <w:rsid w:val="00406FFF"/>
    <w:rsid w:val="0041262D"/>
    <w:rsid w:val="00413E95"/>
    <w:rsid w:val="00416339"/>
    <w:rsid w:val="00417B90"/>
    <w:rsid w:val="0042298F"/>
    <w:rsid w:val="00422C42"/>
    <w:rsid w:val="0042351C"/>
    <w:rsid w:val="00426461"/>
    <w:rsid w:val="00427B23"/>
    <w:rsid w:val="00431880"/>
    <w:rsid w:val="00432922"/>
    <w:rsid w:val="004349C3"/>
    <w:rsid w:val="0043681A"/>
    <w:rsid w:val="00436865"/>
    <w:rsid w:val="00436A36"/>
    <w:rsid w:val="004373F0"/>
    <w:rsid w:val="00437D16"/>
    <w:rsid w:val="00441554"/>
    <w:rsid w:val="0044518C"/>
    <w:rsid w:val="0044606F"/>
    <w:rsid w:val="00447092"/>
    <w:rsid w:val="0044767E"/>
    <w:rsid w:val="00447A45"/>
    <w:rsid w:val="00451C9C"/>
    <w:rsid w:val="0045337D"/>
    <w:rsid w:val="004600FD"/>
    <w:rsid w:val="00460A6D"/>
    <w:rsid w:val="0046121D"/>
    <w:rsid w:val="0046747A"/>
    <w:rsid w:val="00467CC0"/>
    <w:rsid w:val="00470C1A"/>
    <w:rsid w:val="004726A3"/>
    <w:rsid w:val="004768C7"/>
    <w:rsid w:val="004769F5"/>
    <w:rsid w:val="00476BB3"/>
    <w:rsid w:val="004805A7"/>
    <w:rsid w:val="0048065E"/>
    <w:rsid w:val="004807F4"/>
    <w:rsid w:val="00480F90"/>
    <w:rsid w:val="004825E3"/>
    <w:rsid w:val="0048306B"/>
    <w:rsid w:val="00483769"/>
    <w:rsid w:val="00484CF6"/>
    <w:rsid w:val="00484FCB"/>
    <w:rsid w:val="004859A9"/>
    <w:rsid w:val="00486C63"/>
    <w:rsid w:val="00490E01"/>
    <w:rsid w:val="004917C5"/>
    <w:rsid w:val="00491CBF"/>
    <w:rsid w:val="00492382"/>
    <w:rsid w:val="0049240B"/>
    <w:rsid w:val="0049386D"/>
    <w:rsid w:val="00493A96"/>
    <w:rsid w:val="00493B1F"/>
    <w:rsid w:val="0049498F"/>
    <w:rsid w:val="00494A93"/>
    <w:rsid w:val="0049530C"/>
    <w:rsid w:val="00495A36"/>
    <w:rsid w:val="004A2C64"/>
    <w:rsid w:val="004A39EF"/>
    <w:rsid w:val="004A3D7E"/>
    <w:rsid w:val="004A5A50"/>
    <w:rsid w:val="004A5C94"/>
    <w:rsid w:val="004A5DAD"/>
    <w:rsid w:val="004A6792"/>
    <w:rsid w:val="004A6C1A"/>
    <w:rsid w:val="004A705B"/>
    <w:rsid w:val="004B34C4"/>
    <w:rsid w:val="004B5D90"/>
    <w:rsid w:val="004B7B2C"/>
    <w:rsid w:val="004C0760"/>
    <w:rsid w:val="004C17BB"/>
    <w:rsid w:val="004C18D7"/>
    <w:rsid w:val="004C1B81"/>
    <w:rsid w:val="004C2BB1"/>
    <w:rsid w:val="004C2D77"/>
    <w:rsid w:val="004C2FD7"/>
    <w:rsid w:val="004C31CA"/>
    <w:rsid w:val="004C394D"/>
    <w:rsid w:val="004C3F6E"/>
    <w:rsid w:val="004C534D"/>
    <w:rsid w:val="004C536F"/>
    <w:rsid w:val="004C6F70"/>
    <w:rsid w:val="004C771B"/>
    <w:rsid w:val="004C7AAD"/>
    <w:rsid w:val="004D0F8D"/>
    <w:rsid w:val="004D5F91"/>
    <w:rsid w:val="004D7279"/>
    <w:rsid w:val="004D72E7"/>
    <w:rsid w:val="004D747E"/>
    <w:rsid w:val="004E0019"/>
    <w:rsid w:val="004E014B"/>
    <w:rsid w:val="004E1195"/>
    <w:rsid w:val="004E1E25"/>
    <w:rsid w:val="004E2239"/>
    <w:rsid w:val="004E286D"/>
    <w:rsid w:val="004E2CCC"/>
    <w:rsid w:val="004E2EF1"/>
    <w:rsid w:val="004E3BA8"/>
    <w:rsid w:val="004E57E5"/>
    <w:rsid w:val="004E5BED"/>
    <w:rsid w:val="004E724F"/>
    <w:rsid w:val="004F307A"/>
    <w:rsid w:val="004F32E1"/>
    <w:rsid w:val="004F52C8"/>
    <w:rsid w:val="004F7534"/>
    <w:rsid w:val="004F7C13"/>
    <w:rsid w:val="00500167"/>
    <w:rsid w:val="00501080"/>
    <w:rsid w:val="00505D0B"/>
    <w:rsid w:val="0050629B"/>
    <w:rsid w:val="00506CA8"/>
    <w:rsid w:val="0051198B"/>
    <w:rsid w:val="00515798"/>
    <w:rsid w:val="005162CE"/>
    <w:rsid w:val="00517DB7"/>
    <w:rsid w:val="00520F97"/>
    <w:rsid w:val="005215F8"/>
    <w:rsid w:val="00523FE3"/>
    <w:rsid w:val="005267A4"/>
    <w:rsid w:val="00526BEA"/>
    <w:rsid w:val="00526ECD"/>
    <w:rsid w:val="00527C32"/>
    <w:rsid w:val="00532B15"/>
    <w:rsid w:val="0053418E"/>
    <w:rsid w:val="005348B3"/>
    <w:rsid w:val="0053495C"/>
    <w:rsid w:val="005372C8"/>
    <w:rsid w:val="00537E95"/>
    <w:rsid w:val="005411EA"/>
    <w:rsid w:val="005420E2"/>
    <w:rsid w:val="005450E0"/>
    <w:rsid w:val="00547692"/>
    <w:rsid w:val="0055034D"/>
    <w:rsid w:val="00551001"/>
    <w:rsid w:val="005518C3"/>
    <w:rsid w:val="00551A65"/>
    <w:rsid w:val="00552225"/>
    <w:rsid w:val="005528F7"/>
    <w:rsid w:val="0055321D"/>
    <w:rsid w:val="005544F4"/>
    <w:rsid w:val="00555D9E"/>
    <w:rsid w:val="00557384"/>
    <w:rsid w:val="00557857"/>
    <w:rsid w:val="00557C7B"/>
    <w:rsid w:val="00560BBB"/>
    <w:rsid w:val="00561513"/>
    <w:rsid w:val="00561A32"/>
    <w:rsid w:val="00562023"/>
    <w:rsid w:val="005625BD"/>
    <w:rsid w:val="00562BD8"/>
    <w:rsid w:val="00563C84"/>
    <w:rsid w:val="00563CA0"/>
    <w:rsid w:val="00563D57"/>
    <w:rsid w:val="00565611"/>
    <w:rsid w:val="00565E3B"/>
    <w:rsid w:val="00565EDC"/>
    <w:rsid w:val="00566366"/>
    <w:rsid w:val="0056724F"/>
    <w:rsid w:val="005672EA"/>
    <w:rsid w:val="00567A3D"/>
    <w:rsid w:val="00567A90"/>
    <w:rsid w:val="00567BB0"/>
    <w:rsid w:val="005705E8"/>
    <w:rsid w:val="0057113F"/>
    <w:rsid w:val="00571B2E"/>
    <w:rsid w:val="005726A3"/>
    <w:rsid w:val="00572803"/>
    <w:rsid w:val="00572FCA"/>
    <w:rsid w:val="00575DC9"/>
    <w:rsid w:val="00577C35"/>
    <w:rsid w:val="00577D16"/>
    <w:rsid w:val="00580407"/>
    <w:rsid w:val="005844C6"/>
    <w:rsid w:val="005859B9"/>
    <w:rsid w:val="00586BAA"/>
    <w:rsid w:val="00586C83"/>
    <w:rsid w:val="00587933"/>
    <w:rsid w:val="005908A8"/>
    <w:rsid w:val="005912FA"/>
    <w:rsid w:val="0059149D"/>
    <w:rsid w:val="00592525"/>
    <w:rsid w:val="005928A3"/>
    <w:rsid w:val="00593782"/>
    <w:rsid w:val="00594C65"/>
    <w:rsid w:val="00595F12"/>
    <w:rsid w:val="005966F8"/>
    <w:rsid w:val="005970B8"/>
    <w:rsid w:val="005A34D9"/>
    <w:rsid w:val="005A39CF"/>
    <w:rsid w:val="005A4D13"/>
    <w:rsid w:val="005A54B0"/>
    <w:rsid w:val="005A6B58"/>
    <w:rsid w:val="005B0995"/>
    <w:rsid w:val="005B1AAB"/>
    <w:rsid w:val="005B1E7B"/>
    <w:rsid w:val="005B366E"/>
    <w:rsid w:val="005B36D0"/>
    <w:rsid w:val="005B3A37"/>
    <w:rsid w:val="005B40FA"/>
    <w:rsid w:val="005B6481"/>
    <w:rsid w:val="005B7C1E"/>
    <w:rsid w:val="005C10E2"/>
    <w:rsid w:val="005C1448"/>
    <w:rsid w:val="005C19C2"/>
    <w:rsid w:val="005C3B80"/>
    <w:rsid w:val="005C4362"/>
    <w:rsid w:val="005C4BA0"/>
    <w:rsid w:val="005C5C76"/>
    <w:rsid w:val="005C62D5"/>
    <w:rsid w:val="005C7E35"/>
    <w:rsid w:val="005C7FA3"/>
    <w:rsid w:val="005D0753"/>
    <w:rsid w:val="005D1653"/>
    <w:rsid w:val="005D1F45"/>
    <w:rsid w:val="005D2EFD"/>
    <w:rsid w:val="005D31EB"/>
    <w:rsid w:val="005D3644"/>
    <w:rsid w:val="005D4D41"/>
    <w:rsid w:val="005D5BF1"/>
    <w:rsid w:val="005D5DF9"/>
    <w:rsid w:val="005D779A"/>
    <w:rsid w:val="005E0FBA"/>
    <w:rsid w:val="005E17CB"/>
    <w:rsid w:val="005E2DE8"/>
    <w:rsid w:val="005E5476"/>
    <w:rsid w:val="005E7634"/>
    <w:rsid w:val="005F1FB6"/>
    <w:rsid w:val="005F6056"/>
    <w:rsid w:val="006000C6"/>
    <w:rsid w:val="00600866"/>
    <w:rsid w:val="006039C1"/>
    <w:rsid w:val="00604028"/>
    <w:rsid w:val="00610039"/>
    <w:rsid w:val="0061034E"/>
    <w:rsid w:val="0061288A"/>
    <w:rsid w:val="00613689"/>
    <w:rsid w:val="006136FF"/>
    <w:rsid w:val="0061502A"/>
    <w:rsid w:val="006176B4"/>
    <w:rsid w:val="00617F5A"/>
    <w:rsid w:val="006212E1"/>
    <w:rsid w:val="00622811"/>
    <w:rsid w:val="006246D5"/>
    <w:rsid w:val="00624826"/>
    <w:rsid w:val="006248EA"/>
    <w:rsid w:val="00624A6A"/>
    <w:rsid w:val="00624B3E"/>
    <w:rsid w:val="00625575"/>
    <w:rsid w:val="00633389"/>
    <w:rsid w:val="0063399D"/>
    <w:rsid w:val="006344BB"/>
    <w:rsid w:val="006344F4"/>
    <w:rsid w:val="006350B8"/>
    <w:rsid w:val="00641B41"/>
    <w:rsid w:val="00642390"/>
    <w:rsid w:val="00643606"/>
    <w:rsid w:val="00643B1C"/>
    <w:rsid w:val="00643E1F"/>
    <w:rsid w:val="00644E59"/>
    <w:rsid w:val="00647200"/>
    <w:rsid w:val="006502FE"/>
    <w:rsid w:val="00650346"/>
    <w:rsid w:val="006504A6"/>
    <w:rsid w:val="006508A1"/>
    <w:rsid w:val="00651587"/>
    <w:rsid w:val="00654B6D"/>
    <w:rsid w:val="00654F99"/>
    <w:rsid w:val="0065605F"/>
    <w:rsid w:val="00661B6E"/>
    <w:rsid w:val="006629F6"/>
    <w:rsid w:val="006629FC"/>
    <w:rsid w:val="00662C48"/>
    <w:rsid w:val="006631FF"/>
    <w:rsid w:val="006639E5"/>
    <w:rsid w:val="00665317"/>
    <w:rsid w:val="00665555"/>
    <w:rsid w:val="0067025E"/>
    <w:rsid w:val="00671856"/>
    <w:rsid w:val="00673CED"/>
    <w:rsid w:val="00676E90"/>
    <w:rsid w:val="006774F6"/>
    <w:rsid w:val="0068045D"/>
    <w:rsid w:val="006809E5"/>
    <w:rsid w:val="00682DDC"/>
    <w:rsid w:val="00684A43"/>
    <w:rsid w:val="006855FC"/>
    <w:rsid w:val="00685C50"/>
    <w:rsid w:val="00686F19"/>
    <w:rsid w:val="006903A5"/>
    <w:rsid w:val="006906A2"/>
    <w:rsid w:val="00690951"/>
    <w:rsid w:val="00690EA9"/>
    <w:rsid w:val="00693645"/>
    <w:rsid w:val="006939FD"/>
    <w:rsid w:val="00696541"/>
    <w:rsid w:val="0069755D"/>
    <w:rsid w:val="00697853"/>
    <w:rsid w:val="00697C4F"/>
    <w:rsid w:val="006A0401"/>
    <w:rsid w:val="006A095C"/>
    <w:rsid w:val="006A1B9E"/>
    <w:rsid w:val="006A1C5B"/>
    <w:rsid w:val="006A29A0"/>
    <w:rsid w:val="006A3124"/>
    <w:rsid w:val="006A3EC2"/>
    <w:rsid w:val="006A42B0"/>
    <w:rsid w:val="006A6FD8"/>
    <w:rsid w:val="006B0233"/>
    <w:rsid w:val="006B0370"/>
    <w:rsid w:val="006B17D0"/>
    <w:rsid w:val="006B1F3F"/>
    <w:rsid w:val="006B2F84"/>
    <w:rsid w:val="006B35BD"/>
    <w:rsid w:val="006B3BBB"/>
    <w:rsid w:val="006B6402"/>
    <w:rsid w:val="006B6494"/>
    <w:rsid w:val="006B7296"/>
    <w:rsid w:val="006C0864"/>
    <w:rsid w:val="006C2799"/>
    <w:rsid w:val="006C322D"/>
    <w:rsid w:val="006C3DC9"/>
    <w:rsid w:val="006C439E"/>
    <w:rsid w:val="006C5700"/>
    <w:rsid w:val="006C768A"/>
    <w:rsid w:val="006D019A"/>
    <w:rsid w:val="006D0552"/>
    <w:rsid w:val="006D0B06"/>
    <w:rsid w:val="006D3CE4"/>
    <w:rsid w:val="006D4889"/>
    <w:rsid w:val="006D4F91"/>
    <w:rsid w:val="006D5E6D"/>
    <w:rsid w:val="006D743C"/>
    <w:rsid w:val="006D7593"/>
    <w:rsid w:val="006D7743"/>
    <w:rsid w:val="006E0200"/>
    <w:rsid w:val="006E049E"/>
    <w:rsid w:val="006E0F99"/>
    <w:rsid w:val="006E22DC"/>
    <w:rsid w:val="006E35ED"/>
    <w:rsid w:val="006E415A"/>
    <w:rsid w:val="006E48CB"/>
    <w:rsid w:val="006F0109"/>
    <w:rsid w:val="006F0214"/>
    <w:rsid w:val="006F3639"/>
    <w:rsid w:val="00700729"/>
    <w:rsid w:val="00703CC9"/>
    <w:rsid w:val="00706BE3"/>
    <w:rsid w:val="007123EC"/>
    <w:rsid w:val="0071246C"/>
    <w:rsid w:val="00712729"/>
    <w:rsid w:val="00715C7E"/>
    <w:rsid w:val="00715DA6"/>
    <w:rsid w:val="0071612B"/>
    <w:rsid w:val="00716820"/>
    <w:rsid w:val="00723575"/>
    <w:rsid w:val="00726AFD"/>
    <w:rsid w:val="00731449"/>
    <w:rsid w:val="007314F0"/>
    <w:rsid w:val="0073407B"/>
    <w:rsid w:val="0073494F"/>
    <w:rsid w:val="00736021"/>
    <w:rsid w:val="00736AFD"/>
    <w:rsid w:val="00742FED"/>
    <w:rsid w:val="00743EA5"/>
    <w:rsid w:val="00744D37"/>
    <w:rsid w:val="00744E95"/>
    <w:rsid w:val="00744F89"/>
    <w:rsid w:val="00745723"/>
    <w:rsid w:val="00746BB2"/>
    <w:rsid w:val="007505D7"/>
    <w:rsid w:val="00750BE5"/>
    <w:rsid w:val="00752540"/>
    <w:rsid w:val="00752EB3"/>
    <w:rsid w:val="00755104"/>
    <w:rsid w:val="007553C0"/>
    <w:rsid w:val="00756018"/>
    <w:rsid w:val="00760D5A"/>
    <w:rsid w:val="00764EE3"/>
    <w:rsid w:val="00765CF1"/>
    <w:rsid w:val="00766D3B"/>
    <w:rsid w:val="00767FF9"/>
    <w:rsid w:val="00772FAA"/>
    <w:rsid w:val="00774C89"/>
    <w:rsid w:val="007753A2"/>
    <w:rsid w:val="00775EC2"/>
    <w:rsid w:val="00776EF9"/>
    <w:rsid w:val="00777295"/>
    <w:rsid w:val="007775AD"/>
    <w:rsid w:val="00780A1A"/>
    <w:rsid w:val="007817BF"/>
    <w:rsid w:val="007827C9"/>
    <w:rsid w:val="007836F5"/>
    <w:rsid w:val="00784407"/>
    <w:rsid w:val="0078496B"/>
    <w:rsid w:val="00784BB3"/>
    <w:rsid w:val="00784C7A"/>
    <w:rsid w:val="007878DD"/>
    <w:rsid w:val="0078797D"/>
    <w:rsid w:val="007923DE"/>
    <w:rsid w:val="007930BC"/>
    <w:rsid w:val="00795100"/>
    <w:rsid w:val="00795BA0"/>
    <w:rsid w:val="00796DE3"/>
    <w:rsid w:val="00797D85"/>
    <w:rsid w:val="007A09BA"/>
    <w:rsid w:val="007A2B8F"/>
    <w:rsid w:val="007A2DB5"/>
    <w:rsid w:val="007A3ADD"/>
    <w:rsid w:val="007A3DCE"/>
    <w:rsid w:val="007A3E4F"/>
    <w:rsid w:val="007A3E56"/>
    <w:rsid w:val="007B2DC9"/>
    <w:rsid w:val="007B4E0E"/>
    <w:rsid w:val="007B5B8D"/>
    <w:rsid w:val="007B5F04"/>
    <w:rsid w:val="007B70E2"/>
    <w:rsid w:val="007B7488"/>
    <w:rsid w:val="007B79B1"/>
    <w:rsid w:val="007C0B61"/>
    <w:rsid w:val="007C50CE"/>
    <w:rsid w:val="007C5242"/>
    <w:rsid w:val="007C5F3D"/>
    <w:rsid w:val="007C6DA7"/>
    <w:rsid w:val="007C7E4E"/>
    <w:rsid w:val="007D05D8"/>
    <w:rsid w:val="007D0848"/>
    <w:rsid w:val="007D0AED"/>
    <w:rsid w:val="007D2BCF"/>
    <w:rsid w:val="007D2C25"/>
    <w:rsid w:val="007D3ED4"/>
    <w:rsid w:val="007D3EED"/>
    <w:rsid w:val="007D58DD"/>
    <w:rsid w:val="007D795F"/>
    <w:rsid w:val="007E38EE"/>
    <w:rsid w:val="007E43BF"/>
    <w:rsid w:val="007E5E39"/>
    <w:rsid w:val="007E5FA7"/>
    <w:rsid w:val="007E6C24"/>
    <w:rsid w:val="007E7589"/>
    <w:rsid w:val="007E7A0D"/>
    <w:rsid w:val="007E7DCD"/>
    <w:rsid w:val="007F095D"/>
    <w:rsid w:val="007F0D6C"/>
    <w:rsid w:val="007F4968"/>
    <w:rsid w:val="007F6577"/>
    <w:rsid w:val="007F7750"/>
    <w:rsid w:val="008005A0"/>
    <w:rsid w:val="00802656"/>
    <w:rsid w:val="00802FBD"/>
    <w:rsid w:val="0080449D"/>
    <w:rsid w:val="00804511"/>
    <w:rsid w:val="0080471F"/>
    <w:rsid w:val="00804AF2"/>
    <w:rsid w:val="0080533A"/>
    <w:rsid w:val="008065A3"/>
    <w:rsid w:val="008127E2"/>
    <w:rsid w:val="008154E7"/>
    <w:rsid w:val="008201A4"/>
    <w:rsid w:val="008209A3"/>
    <w:rsid w:val="00820D2B"/>
    <w:rsid w:val="008223C2"/>
    <w:rsid w:val="00822A4F"/>
    <w:rsid w:val="00822BB4"/>
    <w:rsid w:val="00823096"/>
    <w:rsid w:val="008234D5"/>
    <w:rsid w:val="00823B15"/>
    <w:rsid w:val="00825185"/>
    <w:rsid w:val="008257A1"/>
    <w:rsid w:val="00825FC8"/>
    <w:rsid w:val="008265D3"/>
    <w:rsid w:val="008303AA"/>
    <w:rsid w:val="00834578"/>
    <w:rsid w:val="0083551B"/>
    <w:rsid w:val="00837C65"/>
    <w:rsid w:val="008421B5"/>
    <w:rsid w:val="0084325D"/>
    <w:rsid w:val="008437FC"/>
    <w:rsid w:val="00843B3D"/>
    <w:rsid w:val="00844903"/>
    <w:rsid w:val="00845C8E"/>
    <w:rsid w:val="00846319"/>
    <w:rsid w:val="00846AC6"/>
    <w:rsid w:val="00846D33"/>
    <w:rsid w:val="0084798C"/>
    <w:rsid w:val="00851E58"/>
    <w:rsid w:val="00852019"/>
    <w:rsid w:val="0085262F"/>
    <w:rsid w:val="008550F6"/>
    <w:rsid w:val="008552B7"/>
    <w:rsid w:val="0085627C"/>
    <w:rsid w:val="00861464"/>
    <w:rsid w:val="00864462"/>
    <w:rsid w:val="00865D0F"/>
    <w:rsid w:val="00867A58"/>
    <w:rsid w:val="0087165F"/>
    <w:rsid w:val="00874F16"/>
    <w:rsid w:val="00874FDA"/>
    <w:rsid w:val="00877D11"/>
    <w:rsid w:val="00880D0A"/>
    <w:rsid w:val="00881314"/>
    <w:rsid w:val="00881D52"/>
    <w:rsid w:val="008820D0"/>
    <w:rsid w:val="00882975"/>
    <w:rsid w:val="00884108"/>
    <w:rsid w:val="00884D16"/>
    <w:rsid w:val="00884EFE"/>
    <w:rsid w:val="008850C9"/>
    <w:rsid w:val="0088638A"/>
    <w:rsid w:val="0088754C"/>
    <w:rsid w:val="008905EF"/>
    <w:rsid w:val="00890ACA"/>
    <w:rsid w:val="00891402"/>
    <w:rsid w:val="00894A22"/>
    <w:rsid w:val="0089536C"/>
    <w:rsid w:val="00895BA1"/>
    <w:rsid w:val="008978D9"/>
    <w:rsid w:val="008A0B90"/>
    <w:rsid w:val="008A2EA9"/>
    <w:rsid w:val="008A3783"/>
    <w:rsid w:val="008A4291"/>
    <w:rsid w:val="008A490F"/>
    <w:rsid w:val="008A4BAA"/>
    <w:rsid w:val="008A5FDF"/>
    <w:rsid w:val="008A6290"/>
    <w:rsid w:val="008A6307"/>
    <w:rsid w:val="008A7A2E"/>
    <w:rsid w:val="008B0000"/>
    <w:rsid w:val="008B31BC"/>
    <w:rsid w:val="008B510E"/>
    <w:rsid w:val="008B5259"/>
    <w:rsid w:val="008B5B5C"/>
    <w:rsid w:val="008B5FA2"/>
    <w:rsid w:val="008B621D"/>
    <w:rsid w:val="008B727B"/>
    <w:rsid w:val="008B7AF8"/>
    <w:rsid w:val="008C0BBD"/>
    <w:rsid w:val="008C1369"/>
    <w:rsid w:val="008C767D"/>
    <w:rsid w:val="008D0953"/>
    <w:rsid w:val="008D1F69"/>
    <w:rsid w:val="008D30FA"/>
    <w:rsid w:val="008D35FB"/>
    <w:rsid w:val="008D38BD"/>
    <w:rsid w:val="008D5221"/>
    <w:rsid w:val="008D592E"/>
    <w:rsid w:val="008D7335"/>
    <w:rsid w:val="008D7C36"/>
    <w:rsid w:val="008E1BFD"/>
    <w:rsid w:val="008E28E9"/>
    <w:rsid w:val="008E36C8"/>
    <w:rsid w:val="008E488C"/>
    <w:rsid w:val="008E4E7C"/>
    <w:rsid w:val="008E4EDB"/>
    <w:rsid w:val="008E4F27"/>
    <w:rsid w:val="008E59EF"/>
    <w:rsid w:val="008E5BA4"/>
    <w:rsid w:val="008E7920"/>
    <w:rsid w:val="008F0F48"/>
    <w:rsid w:val="008F2ABD"/>
    <w:rsid w:val="008F4282"/>
    <w:rsid w:val="008F46AD"/>
    <w:rsid w:val="008F52B7"/>
    <w:rsid w:val="008F531C"/>
    <w:rsid w:val="008F6663"/>
    <w:rsid w:val="008F7061"/>
    <w:rsid w:val="0090000C"/>
    <w:rsid w:val="00900023"/>
    <w:rsid w:val="009020AF"/>
    <w:rsid w:val="009031C3"/>
    <w:rsid w:val="00903439"/>
    <w:rsid w:val="00906103"/>
    <w:rsid w:val="00906373"/>
    <w:rsid w:val="00906769"/>
    <w:rsid w:val="00907E0E"/>
    <w:rsid w:val="0091113D"/>
    <w:rsid w:val="00911F8C"/>
    <w:rsid w:val="009123C1"/>
    <w:rsid w:val="00912526"/>
    <w:rsid w:val="00913068"/>
    <w:rsid w:val="00913E4F"/>
    <w:rsid w:val="00913E6F"/>
    <w:rsid w:val="00913FFE"/>
    <w:rsid w:val="00914168"/>
    <w:rsid w:val="00914EE5"/>
    <w:rsid w:val="0091591A"/>
    <w:rsid w:val="009161E4"/>
    <w:rsid w:val="009174F3"/>
    <w:rsid w:val="009203B8"/>
    <w:rsid w:val="00921FB2"/>
    <w:rsid w:val="00924ADF"/>
    <w:rsid w:val="009255C2"/>
    <w:rsid w:val="00926F20"/>
    <w:rsid w:val="00927ED6"/>
    <w:rsid w:val="0093140A"/>
    <w:rsid w:val="00931C7D"/>
    <w:rsid w:val="009320DA"/>
    <w:rsid w:val="00933030"/>
    <w:rsid w:val="009338BB"/>
    <w:rsid w:val="009368F5"/>
    <w:rsid w:val="00937BE9"/>
    <w:rsid w:val="0094014B"/>
    <w:rsid w:val="00940F78"/>
    <w:rsid w:val="00943284"/>
    <w:rsid w:val="00944424"/>
    <w:rsid w:val="009451E6"/>
    <w:rsid w:val="0094595F"/>
    <w:rsid w:val="00946D61"/>
    <w:rsid w:val="00947A1F"/>
    <w:rsid w:val="0095091F"/>
    <w:rsid w:val="0095246C"/>
    <w:rsid w:val="0095372E"/>
    <w:rsid w:val="00956717"/>
    <w:rsid w:val="00956A8C"/>
    <w:rsid w:val="00956ED6"/>
    <w:rsid w:val="00957FA1"/>
    <w:rsid w:val="00960341"/>
    <w:rsid w:val="009604F1"/>
    <w:rsid w:val="00961F7B"/>
    <w:rsid w:val="009620F8"/>
    <w:rsid w:val="00963899"/>
    <w:rsid w:val="0096446D"/>
    <w:rsid w:val="009645B4"/>
    <w:rsid w:val="009678E6"/>
    <w:rsid w:val="00970D0F"/>
    <w:rsid w:val="009734A9"/>
    <w:rsid w:val="00973AF1"/>
    <w:rsid w:val="0097482E"/>
    <w:rsid w:val="00974AD1"/>
    <w:rsid w:val="00975AFD"/>
    <w:rsid w:val="009764AD"/>
    <w:rsid w:val="00981AD0"/>
    <w:rsid w:val="00981D0B"/>
    <w:rsid w:val="00982A65"/>
    <w:rsid w:val="009833BE"/>
    <w:rsid w:val="009834EF"/>
    <w:rsid w:val="00983677"/>
    <w:rsid w:val="0098428A"/>
    <w:rsid w:val="0098461B"/>
    <w:rsid w:val="0098533D"/>
    <w:rsid w:val="0098607E"/>
    <w:rsid w:val="009862E3"/>
    <w:rsid w:val="009876C8"/>
    <w:rsid w:val="009909F6"/>
    <w:rsid w:val="0099145C"/>
    <w:rsid w:val="00991AC0"/>
    <w:rsid w:val="00992980"/>
    <w:rsid w:val="00993EEA"/>
    <w:rsid w:val="009948A0"/>
    <w:rsid w:val="009953EF"/>
    <w:rsid w:val="00997B69"/>
    <w:rsid w:val="009A01AC"/>
    <w:rsid w:val="009A039B"/>
    <w:rsid w:val="009A0A4A"/>
    <w:rsid w:val="009A1A15"/>
    <w:rsid w:val="009A20FD"/>
    <w:rsid w:val="009A2A58"/>
    <w:rsid w:val="009A4877"/>
    <w:rsid w:val="009A4A46"/>
    <w:rsid w:val="009A52AF"/>
    <w:rsid w:val="009A5EBA"/>
    <w:rsid w:val="009A678E"/>
    <w:rsid w:val="009A6D93"/>
    <w:rsid w:val="009A77E7"/>
    <w:rsid w:val="009B1215"/>
    <w:rsid w:val="009B4A60"/>
    <w:rsid w:val="009C0661"/>
    <w:rsid w:val="009C0C43"/>
    <w:rsid w:val="009C15C2"/>
    <w:rsid w:val="009C1956"/>
    <w:rsid w:val="009C2C55"/>
    <w:rsid w:val="009C3018"/>
    <w:rsid w:val="009C3AA8"/>
    <w:rsid w:val="009C7CAA"/>
    <w:rsid w:val="009C7F12"/>
    <w:rsid w:val="009D1AAE"/>
    <w:rsid w:val="009D313D"/>
    <w:rsid w:val="009D38E7"/>
    <w:rsid w:val="009D4EC5"/>
    <w:rsid w:val="009D7198"/>
    <w:rsid w:val="009D777B"/>
    <w:rsid w:val="009D7851"/>
    <w:rsid w:val="009E1282"/>
    <w:rsid w:val="009E2EA4"/>
    <w:rsid w:val="009E376D"/>
    <w:rsid w:val="009F0BD4"/>
    <w:rsid w:val="009F133C"/>
    <w:rsid w:val="009F2853"/>
    <w:rsid w:val="009F34CB"/>
    <w:rsid w:val="009F395F"/>
    <w:rsid w:val="009F441C"/>
    <w:rsid w:val="009F45CA"/>
    <w:rsid w:val="009F5DDC"/>
    <w:rsid w:val="009F6C27"/>
    <w:rsid w:val="00A00138"/>
    <w:rsid w:val="00A054D7"/>
    <w:rsid w:val="00A0582C"/>
    <w:rsid w:val="00A05F6D"/>
    <w:rsid w:val="00A06123"/>
    <w:rsid w:val="00A06167"/>
    <w:rsid w:val="00A0731C"/>
    <w:rsid w:val="00A075AD"/>
    <w:rsid w:val="00A07A14"/>
    <w:rsid w:val="00A10811"/>
    <w:rsid w:val="00A12122"/>
    <w:rsid w:val="00A12BFE"/>
    <w:rsid w:val="00A12F28"/>
    <w:rsid w:val="00A13DC3"/>
    <w:rsid w:val="00A1419F"/>
    <w:rsid w:val="00A14C5A"/>
    <w:rsid w:val="00A15A1E"/>
    <w:rsid w:val="00A1665F"/>
    <w:rsid w:val="00A17DC4"/>
    <w:rsid w:val="00A21B69"/>
    <w:rsid w:val="00A2295A"/>
    <w:rsid w:val="00A262F1"/>
    <w:rsid w:val="00A30095"/>
    <w:rsid w:val="00A30AB3"/>
    <w:rsid w:val="00A3120C"/>
    <w:rsid w:val="00A32066"/>
    <w:rsid w:val="00A32221"/>
    <w:rsid w:val="00A32657"/>
    <w:rsid w:val="00A329E5"/>
    <w:rsid w:val="00A369D6"/>
    <w:rsid w:val="00A37F4B"/>
    <w:rsid w:val="00A411A0"/>
    <w:rsid w:val="00A41F3D"/>
    <w:rsid w:val="00A4261A"/>
    <w:rsid w:val="00A42835"/>
    <w:rsid w:val="00A436EA"/>
    <w:rsid w:val="00A442F8"/>
    <w:rsid w:val="00A4472A"/>
    <w:rsid w:val="00A4497F"/>
    <w:rsid w:val="00A44AC8"/>
    <w:rsid w:val="00A44D15"/>
    <w:rsid w:val="00A47512"/>
    <w:rsid w:val="00A52638"/>
    <w:rsid w:val="00A54450"/>
    <w:rsid w:val="00A548AE"/>
    <w:rsid w:val="00A561C8"/>
    <w:rsid w:val="00A6022E"/>
    <w:rsid w:val="00A60469"/>
    <w:rsid w:val="00A606F4"/>
    <w:rsid w:val="00A61FED"/>
    <w:rsid w:val="00A63409"/>
    <w:rsid w:val="00A64563"/>
    <w:rsid w:val="00A64F7B"/>
    <w:rsid w:val="00A66E40"/>
    <w:rsid w:val="00A67DE3"/>
    <w:rsid w:val="00A70FFF"/>
    <w:rsid w:val="00A713AC"/>
    <w:rsid w:val="00A71796"/>
    <w:rsid w:val="00A71882"/>
    <w:rsid w:val="00A72581"/>
    <w:rsid w:val="00A7270E"/>
    <w:rsid w:val="00A75451"/>
    <w:rsid w:val="00A76664"/>
    <w:rsid w:val="00A77755"/>
    <w:rsid w:val="00A813F0"/>
    <w:rsid w:val="00A83C96"/>
    <w:rsid w:val="00A844B3"/>
    <w:rsid w:val="00A849D0"/>
    <w:rsid w:val="00A858AE"/>
    <w:rsid w:val="00A9084C"/>
    <w:rsid w:val="00A90B3C"/>
    <w:rsid w:val="00A917AA"/>
    <w:rsid w:val="00A91BA9"/>
    <w:rsid w:val="00A91D2B"/>
    <w:rsid w:val="00A92C2C"/>
    <w:rsid w:val="00A95437"/>
    <w:rsid w:val="00A96FE2"/>
    <w:rsid w:val="00A9783A"/>
    <w:rsid w:val="00AA076A"/>
    <w:rsid w:val="00AA356D"/>
    <w:rsid w:val="00AA3927"/>
    <w:rsid w:val="00AA3EE8"/>
    <w:rsid w:val="00AA48EB"/>
    <w:rsid w:val="00AA498A"/>
    <w:rsid w:val="00AA5126"/>
    <w:rsid w:val="00AA5CD5"/>
    <w:rsid w:val="00AA64B6"/>
    <w:rsid w:val="00AB0F1E"/>
    <w:rsid w:val="00AB107A"/>
    <w:rsid w:val="00AB11C6"/>
    <w:rsid w:val="00AB2379"/>
    <w:rsid w:val="00AB2BAA"/>
    <w:rsid w:val="00AB5798"/>
    <w:rsid w:val="00AB57E1"/>
    <w:rsid w:val="00AB670C"/>
    <w:rsid w:val="00AC008A"/>
    <w:rsid w:val="00AC0576"/>
    <w:rsid w:val="00AC2BAC"/>
    <w:rsid w:val="00AC4656"/>
    <w:rsid w:val="00AC4D15"/>
    <w:rsid w:val="00AC6283"/>
    <w:rsid w:val="00AC663D"/>
    <w:rsid w:val="00AC731A"/>
    <w:rsid w:val="00AD209B"/>
    <w:rsid w:val="00AD2192"/>
    <w:rsid w:val="00AD2836"/>
    <w:rsid w:val="00AD4E9E"/>
    <w:rsid w:val="00AD56A2"/>
    <w:rsid w:val="00AD6AE1"/>
    <w:rsid w:val="00AE072E"/>
    <w:rsid w:val="00AE110C"/>
    <w:rsid w:val="00AE4843"/>
    <w:rsid w:val="00AE6B60"/>
    <w:rsid w:val="00AE762D"/>
    <w:rsid w:val="00AF06DE"/>
    <w:rsid w:val="00AF084B"/>
    <w:rsid w:val="00AF3A51"/>
    <w:rsid w:val="00AF43A9"/>
    <w:rsid w:val="00AF549E"/>
    <w:rsid w:val="00B00655"/>
    <w:rsid w:val="00B01214"/>
    <w:rsid w:val="00B0185F"/>
    <w:rsid w:val="00B02F72"/>
    <w:rsid w:val="00B044DC"/>
    <w:rsid w:val="00B0544F"/>
    <w:rsid w:val="00B05C1A"/>
    <w:rsid w:val="00B05C96"/>
    <w:rsid w:val="00B06303"/>
    <w:rsid w:val="00B07147"/>
    <w:rsid w:val="00B07EAD"/>
    <w:rsid w:val="00B12839"/>
    <w:rsid w:val="00B12C22"/>
    <w:rsid w:val="00B146C9"/>
    <w:rsid w:val="00B14E6B"/>
    <w:rsid w:val="00B15186"/>
    <w:rsid w:val="00B16012"/>
    <w:rsid w:val="00B17038"/>
    <w:rsid w:val="00B20615"/>
    <w:rsid w:val="00B228C2"/>
    <w:rsid w:val="00B24F38"/>
    <w:rsid w:val="00B254C1"/>
    <w:rsid w:val="00B2574A"/>
    <w:rsid w:val="00B27ACE"/>
    <w:rsid w:val="00B32481"/>
    <w:rsid w:val="00B327D5"/>
    <w:rsid w:val="00B35EC0"/>
    <w:rsid w:val="00B364E1"/>
    <w:rsid w:val="00B374A6"/>
    <w:rsid w:val="00B408E3"/>
    <w:rsid w:val="00B40BFB"/>
    <w:rsid w:val="00B43DDC"/>
    <w:rsid w:val="00B446B3"/>
    <w:rsid w:val="00B460A3"/>
    <w:rsid w:val="00B47223"/>
    <w:rsid w:val="00B4781A"/>
    <w:rsid w:val="00B51102"/>
    <w:rsid w:val="00B51257"/>
    <w:rsid w:val="00B5198E"/>
    <w:rsid w:val="00B53A4C"/>
    <w:rsid w:val="00B53C72"/>
    <w:rsid w:val="00B54602"/>
    <w:rsid w:val="00B54952"/>
    <w:rsid w:val="00B55267"/>
    <w:rsid w:val="00B56EA3"/>
    <w:rsid w:val="00B5701F"/>
    <w:rsid w:val="00B5745D"/>
    <w:rsid w:val="00B57A17"/>
    <w:rsid w:val="00B601EC"/>
    <w:rsid w:val="00B608B5"/>
    <w:rsid w:val="00B62D49"/>
    <w:rsid w:val="00B65326"/>
    <w:rsid w:val="00B7001D"/>
    <w:rsid w:val="00B707C4"/>
    <w:rsid w:val="00B7347C"/>
    <w:rsid w:val="00B74190"/>
    <w:rsid w:val="00B758C7"/>
    <w:rsid w:val="00B7602C"/>
    <w:rsid w:val="00B7673F"/>
    <w:rsid w:val="00B80E73"/>
    <w:rsid w:val="00B817A3"/>
    <w:rsid w:val="00B82E30"/>
    <w:rsid w:val="00B85802"/>
    <w:rsid w:val="00B85ABD"/>
    <w:rsid w:val="00B85B53"/>
    <w:rsid w:val="00B862C8"/>
    <w:rsid w:val="00B878B1"/>
    <w:rsid w:val="00B9017B"/>
    <w:rsid w:val="00B914C3"/>
    <w:rsid w:val="00B91C58"/>
    <w:rsid w:val="00B94EB5"/>
    <w:rsid w:val="00B97845"/>
    <w:rsid w:val="00BA22D9"/>
    <w:rsid w:val="00BA6206"/>
    <w:rsid w:val="00BA6740"/>
    <w:rsid w:val="00BA7051"/>
    <w:rsid w:val="00BA7276"/>
    <w:rsid w:val="00BB15AA"/>
    <w:rsid w:val="00BB1CAD"/>
    <w:rsid w:val="00BB330D"/>
    <w:rsid w:val="00BB5B07"/>
    <w:rsid w:val="00BB61C4"/>
    <w:rsid w:val="00BB61EB"/>
    <w:rsid w:val="00BB6873"/>
    <w:rsid w:val="00BB694F"/>
    <w:rsid w:val="00BB6B18"/>
    <w:rsid w:val="00BB77F6"/>
    <w:rsid w:val="00BB7CC5"/>
    <w:rsid w:val="00BC4520"/>
    <w:rsid w:val="00BC4A89"/>
    <w:rsid w:val="00BC4DEC"/>
    <w:rsid w:val="00BC6C2D"/>
    <w:rsid w:val="00BD2A1C"/>
    <w:rsid w:val="00BD33D3"/>
    <w:rsid w:val="00BD3E33"/>
    <w:rsid w:val="00BD59AE"/>
    <w:rsid w:val="00BD7859"/>
    <w:rsid w:val="00BE06CF"/>
    <w:rsid w:val="00BE1697"/>
    <w:rsid w:val="00BE2A4F"/>
    <w:rsid w:val="00BE2D53"/>
    <w:rsid w:val="00BE5610"/>
    <w:rsid w:val="00BE688C"/>
    <w:rsid w:val="00BE6E0B"/>
    <w:rsid w:val="00BE7A25"/>
    <w:rsid w:val="00BF0645"/>
    <w:rsid w:val="00BF08D4"/>
    <w:rsid w:val="00BF14B9"/>
    <w:rsid w:val="00BF1529"/>
    <w:rsid w:val="00BF1D55"/>
    <w:rsid w:val="00BF2321"/>
    <w:rsid w:val="00BF3015"/>
    <w:rsid w:val="00BF30E8"/>
    <w:rsid w:val="00BF34EC"/>
    <w:rsid w:val="00BF36A4"/>
    <w:rsid w:val="00BF3CA1"/>
    <w:rsid w:val="00BF487B"/>
    <w:rsid w:val="00BF51CC"/>
    <w:rsid w:val="00BF579E"/>
    <w:rsid w:val="00BF6F89"/>
    <w:rsid w:val="00BF72E6"/>
    <w:rsid w:val="00BF787B"/>
    <w:rsid w:val="00C0317D"/>
    <w:rsid w:val="00C03E10"/>
    <w:rsid w:val="00C06B27"/>
    <w:rsid w:val="00C12B24"/>
    <w:rsid w:val="00C13754"/>
    <w:rsid w:val="00C143D0"/>
    <w:rsid w:val="00C160E1"/>
    <w:rsid w:val="00C16EAE"/>
    <w:rsid w:val="00C17B12"/>
    <w:rsid w:val="00C20C79"/>
    <w:rsid w:val="00C2138E"/>
    <w:rsid w:val="00C21C25"/>
    <w:rsid w:val="00C22222"/>
    <w:rsid w:val="00C260C7"/>
    <w:rsid w:val="00C26DD1"/>
    <w:rsid w:val="00C30379"/>
    <w:rsid w:val="00C30D26"/>
    <w:rsid w:val="00C30F8F"/>
    <w:rsid w:val="00C321FE"/>
    <w:rsid w:val="00C336CA"/>
    <w:rsid w:val="00C4006C"/>
    <w:rsid w:val="00C410B5"/>
    <w:rsid w:val="00C4176A"/>
    <w:rsid w:val="00C42433"/>
    <w:rsid w:val="00C42BB9"/>
    <w:rsid w:val="00C43D93"/>
    <w:rsid w:val="00C445A8"/>
    <w:rsid w:val="00C46406"/>
    <w:rsid w:val="00C470E8"/>
    <w:rsid w:val="00C5154C"/>
    <w:rsid w:val="00C52745"/>
    <w:rsid w:val="00C5274E"/>
    <w:rsid w:val="00C54443"/>
    <w:rsid w:val="00C560E6"/>
    <w:rsid w:val="00C564EF"/>
    <w:rsid w:val="00C60F88"/>
    <w:rsid w:val="00C614F1"/>
    <w:rsid w:val="00C6172E"/>
    <w:rsid w:val="00C63205"/>
    <w:rsid w:val="00C632EF"/>
    <w:rsid w:val="00C63745"/>
    <w:rsid w:val="00C64921"/>
    <w:rsid w:val="00C652F2"/>
    <w:rsid w:val="00C6594C"/>
    <w:rsid w:val="00C664F4"/>
    <w:rsid w:val="00C70270"/>
    <w:rsid w:val="00C7204E"/>
    <w:rsid w:val="00C721A7"/>
    <w:rsid w:val="00C725E0"/>
    <w:rsid w:val="00C7267A"/>
    <w:rsid w:val="00C72BE0"/>
    <w:rsid w:val="00C73018"/>
    <w:rsid w:val="00C73677"/>
    <w:rsid w:val="00C7452D"/>
    <w:rsid w:val="00C74747"/>
    <w:rsid w:val="00C74ADC"/>
    <w:rsid w:val="00C761DF"/>
    <w:rsid w:val="00C768DB"/>
    <w:rsid w:val="00C76E37"/>
    <w:rsid w:val="00C775B6"/>
    <w:rsid w:val="00C77D3B"/>
    <w:rsid w:val="00C80E70"/>
    <w:rsid w:val="00C813E6"/>
    <w:rsid w:val="00C81671"/>
    <w:rsid w:val="00C83576"/>
    <w:rsid w:val="00C83B62"/>
    <w:rsid w:val="00C84E4F"/>
    <w:rsid w:val="00C86DB4"/>
    <w:rsid w:val="00C91997"/>
    <w:rsid w:val="00C94DBF"/>
    <w:rsid w:val="00C97F20"/>
    <w:rsid w:val="00CA0F60"/>
    <w:rsid w:val="00CA2656"/>
    <w:rsid w:val="00CA36C3"/>
    <w:rsid w:val="00CA401E"/>
    <w:rsid w:val="00CA4D26"/>
    <w:rsid w:val="00CA5CBB"/>
    <w:rsid w:val="00CA7DA3"/>
    <w:rsid w:val="00CB148F"/>
    <w:rsid w:val="00CB17C5"/>
    <w:rsid w:val="00CB2241"/>
    <w:rsid w:val="00CB5BDF"/>
    <w:rsid w:val="00CB7494"/>
    <w:rsid w:val="00CC0329"/>
    <w:rsid w:val="00CC0E30"/>
    <w:rsid w:val="00CC1F0D"/>
    <w:rsid w:val="00CC3084"/>
    <w:rsid w:val="00CC364C"/>
    <w:rsid w:val="00CC4194"/>
    <w:rsid w:val="00CC5333"/>
    <w:rsid w:val="00CC619A"/>
    <w:rsid w:val="00CC619F"/>
    <w:rsid w:val="00CD38B7"/>
    <w:rsid w:val="00CD63FB"/>
    <w:rsid w:val="00CD7BAC"/>
    <w:rsid w:val="00CE07F1"/>
    <w:rsid w:val="00CE2B20"/>
    <w:rsid w:val="00CE3603"/>
    <w:rsid w:val="00CE3F15"/>
    <w:rsid w:val="00CE43EC"/>
    <w:rsid w:val="00CE49E2"/>
    <w:rsid w:val="00CE5F25"/>
    <w:rsid w:val="00CE7269"/>
    <w:rsid w:val="00CF0B01"/>
    <w:rsid w:val="00CF192D"/>
    <w:rsid w:val="00CF2722"/>
    <w:rsid w:val="00CF43FF"/>
    <w:rsid w:val="00CF48E8"/>
    <w:rsid w:val="00CF4AED"/>
    <w:rsid w:val="00CF5546"/>
    <w:rsid w:val="00CF5D42"/>
    <w:rsid w:val="00D01760"/>
    <w:rsid w:val="00D03AEC"/>
    <w:rsid w:val="00D040E7"/>
    <w:rsid w:val="00D1104C"/>
    <w:rsid w:val="00D11294"/>
    <w:rsid w:val="00D12617"/>
    <w:rsid w:val="00D15433"/>
    <w:rsid w:val="00D1553F"/>
    <w:rsid w:val="00D1580C"/>
    <w:rsid w:val="00D16554"/>
    <w:rsid w:val="00D174A6"/>
    <w:rsid w:val="00D2044E"/>
    <w:rsid w:val="00D236F7"/>
    <w:rsid w:val="00D23D9F"/>
    <w:rsid w:val="00D26B99"/>
    <w:rsid w:val="00D26C9C"/>
    <w:rsid w:val="00D27A6F"/>
    <w:rsid w:val="00D31A07"/>
    <w:rsid w:val="00D31B90"/>
    <w:rsid w:val="00D31BE4"/>
    <w:rsid w:val="00D333C8"/>
    <w:rsid w:val="00D347F9"/>
    <w:rsid w:val="00D40A49"/>
    <w:rsid w:val="00D426A0"/>
    <w:rsid w:val="00D43250"/>
    <w:rsid w:val="00D43F30"/>
    <w:rsid w:val="00D4462F"/>
    <w:rsid w:val="00D460E3"/>
    <w:rsid w:val="00D50760"/>
    <w:rsid w:val="00D52BFE"/>
    <w:rsid w:val="00D5316E"/>
    <w:rsid w:val="00D54931"/>
    <w:rsid w:val="00D57D1B"/>
    <w:rsid w:val="00D60EC2"/>
    <w:rsid w:val="00D620E7"/>
    <w:rsid w:val="00D62CFD"/>
    <w:rsid w:val="00D6300F"/>
    <w:rsid w:val="00D64749"/>
    <w:rsid w:val="00D661BD"/>
    <w:rsid w:val="00D6792E"/>
    <w:rsid w:val="00D70D9C"/>
    <w:rsid w:val="00D718CD"/>
    <w:rsid w:val="00D73388"/>
    <w:rsid w:val="00D733C5"/>
    <w:rsid w:val="00D77EE4"/>
    <w:rsid w:val="00D80073"/>
    <w:rsid w:val="00D80B00"/>
    <w:rsid w:val="00D8262B"/>
    <w:rsid w:val="00D83E7E"/>
    <w:rsid w:val="00D847ED"/>
    <w:rsid w:val="00D902B1"/>
    <w:rsid w:val="00D956E3"/>
    <w:rsid w:val="00D95BC3"/>
    <w:rsid w:val="00D96BBE"/>
    <w:rsid w:val="00D9738C"/>
    <w:rsid w:val="00DA0C85"/>
    <w:rsid w:val="00DA147D"/>
    <w:rsid w:val="00DA1559"/>
    <w:rsid w:val="00DA184D"/>
    <w:rsid w:val="00DA3646"/>
    <w:rsid w:val="00DA3E5D"/>
    <w:rsid w:val="00DA4BEC"/>
    <w:rsid w:val="00DA4E10"/>
    <w:rsid w:val="00DA55E9"/>
    <w:rsid w:val="00DB227F"/>
    <w:rsid w:val="00DB3044"/>
    <w:rsid w:val="00DB3412"/>
    <w:rsid w:val="00DB4B52"/>
    <w:rsid w:val="00DB6B61"/>
    <w:rsid w:val="00DB6EA0"/>
    <w:rsid w:val="00DB72D6"/>
    <w:rsid w:val="00DB7748"/>
    <w:rsid w:val="00DB7DA7"/>
    <w:rsid w:val="00DC0EC6"/>
    <w:rsid w:val="00DC2119"/>
    <w:rsid w:val="00DC3E47"/>
    <w:rsid w:val="00DC47EE"/>
    <w:rsid w:val="00DC5F93"/>
    <w:rsid w:val="00DC6619"/>
    <w:rsid w:val="00DC678A"/>
    <w:rsid w:val="00DC6793"/>
    <w:rsid w:val="00DC7175"/>
    <w:rsid w:val="00DC7E50"/>
    <w:rsid w:val="00DD23B1"/>
    <w:rsid w:val="00DD3AEF"/>
    <w:rsid w:val="00DD3CB2"/>
    <w:rsid w:val="00DD4C51"/>
    <w:rsid w:val="00DD5334"/>
    <w:rsid w:val="00DD59F8"/>
    <w:rsid w:val="00DD5A17"/>
    <w:rsid w:val="00DD5A8C"/>
    <w:rsid w:val="00DD5A8F"/>
    <w:rsid w:val="00DD7D2E"/>
    <w:rsid w:val="00DE0E98"/>
    <w:rsid w:val="00DE2F78"/>
    <w:rsid w:val="00DE3DD9"/>
    <w:rsid w:val="00DE500F"/>
    <w:rsid w:val="00DE56F5"/>
    <w:rsid w:val="00DF0148"/>
    <w:rsid w:val="00DF14D5"/>
    <w:rsid w:val="00DF1675"/>
    <w:rsid w:val="00DF219E"/>
    <w:rsid w:val="00DF4CD8"/>
    <w:rsid w:val="00DF541C"/>
    <w:rsid w:val="00DF6DF9"/>
    <w:rsid w:val="00DF7E29"/>
    <w:rsid w:val="00E019C9"/>
    <w:rsid w:val="00E01EAD"/>
    <w:rsid w:val="00E03F2F"/>
    <w:rsid w:val="00E04028"/>
    <w:rsid w:val="00E0457A"/>
    <w:rsid w:val="00E0654A"/>
    <w:rsid w:val="00E07E05"/>
    <w:rsid w:val="00E11D89"/>
    <w:rsid w:val="00E13CA7"/>
    <w:rsid w:val="00E150AD"/>
    <w:rsid w:val="00E1661E"/>
    <w:rsid w:val="00E20581"/>
    <w:rsid w:val="00E2335B"/>
    <w:rsid w:val="00E23513"/>
    <w:rsid w:val="00E23700"/>
    <w:rsid w:val="00E23F0B"/>
    <w:rsid w:val="00E24E5B"/>
    <w:rsid w:val="00E25633"/>
    <w:rsid w:val="00E2611D"/>
    <w:rsid w:val="00E26373"/>
    <w:rsid w:val="00E266A5"/>
    <w:rsid w:val="00E27F3F"/>
    <w:rsid w:val="00E30B81"/>
    <w:rsid w:val="00E3133A"/>
    <w:rsid w:val="00E3206F"/>
    <w:rsid w:val="00E3265E"/>
    <w:rsid w:val="00E33407"/>
    <w:rsid w:val="00E33761"/>
    <w:rsid w:val="00E338F2"/>
    <w:rsid w:val="00E3460E"/>
    <w:rsid w:val="00E35D30"/>
    <w:rsid w:val="00E360CE"/>
    <w:rsid w:val="00E3736E"/>
    <w:rsid w:val="00E403E0"/>
    <w:rsid w:val="00E423BB"/>
    <w:rsid w:val="00E44163"/>
    <w:rsid w:val="00E44BBD"/>
    <w:rsid w:val="00E45EF8"/>
    <w:rsid w:val="00E470C5"/>
    <w:rsid w:val="00E47566"/>
    <w:rsid w:val="00E501BA"/>
    <w:rsid w:val="00E52BF1"/>
    <w:rsid w:val="00E5387C"/>
    <w:rsid w:val="00E53EFC"/>
    <w:rsid w:val="00E5434F"/>
    <w:rsid w:val="00E54442"/>
    <w:rsid w:val="00E55A49"/>
    <w:rsid w:val="00E61783"/>
    <w:rsid w:val="00E629EA"/>
    <w:rsid w:val="00E65E90"/>
    <w:rsid w:val="00E65EEF"/>
    <w:rsid w:val="00E66CEE"/>
    <w:rsid w:val="00E67C03"/>
    <w:rsid w:val="00E71DE2"/>
    <w:rsid w:val="00E727CD"/>
    <w:rsid w:val="00E7418E"/>
    <w:rsid w:val="00E74583"/>
    <w:rsid w:val="00E7506C"/>
    <w:rsid w:val="00E75A5A"/>
    <w:rsid w:val="00E76B36"/>
    <w:rsid w:val="00E777A6"/>
    <w:rsid w:val="00E77CFC"/>
    <w:rsid w:val="00E80250"/>
    <w:rsid w:val="00E82095"/>
    <w:rsid w:val="00E824AB"/>
    <w:rsid w:val="00E832E4"/>
    <w:rsid w:val="00E84F5A"/>
    <w:rsid w:val="00E859C4"/>
    <w:rsid w:val="00E86586"/>
    <w:rsid w:val="00E86C9D"/>
    <w:rsid w:val="00E92C94"/>
    <w:rsid w:val="00E9360C"/>
    <w:rsid w:val="00E93973"/>
    <w:rsid w:val="00E94980"/>
    <w:rsid w:val="00E953A2"/>
    <w:rsid w:val="00E959FF"/>
    <w:rsid w:val="00E96141"/>
    <w:rsid w:val="00E97187"/>
    <w:rsid w:val="00E97938"/>
    <w:rsid w:val="00EA016C"/>
    <w:rsid w:val="00EA053A"/>
    <w:rsid w:val="00EA086B"/>
    <w:rsid w:val="00EA16A3"/>
    <w:rsid w:val="00EA2530"/>
    <w:rsid w:val="00EA25B0"/>
    <w:rsid w:val="00EA5536"/>
    <w:rsid w:val="00EA6650"/>
    <w:rsid w:val="00EA6C85"/>
    <w:rsid w:val="00EA741C"/>
    <w:rsid w:val="00EB0AB6"/>
    <w:rsid w:val="00EB197A"/>
    <w:rsid w:val="00EB2280"/>
    <w:rsid w:val="00EB42E6"/>
    <w:rsid w:val="00EB4B42"/>
    <w:rsid w:val="00EB7358"/>
    <w:rsid w:val="00EB7C22"/>
    <w:rsid w:val="00EC1A0A"/>
    <w:rsid w:val="00EC6130"/>
    <w:rsid w:val="00EC6A4A"/>
    <w:rsid w:val="00EC77F0"/>
    <w:rsid w:val="00ED0238"/>
    <w:rsid w:val="00ED10B7"/>
    <w:rsid w:val="00ED180A"/>
    <w:rsid w:val="00ED1C3D"/>
    <w:rsid w:val="00ED5A20"/>
    <w:rsid w:val="00ED5F32"/>
    <w:rsid w:val="00ED663A"/>
    <w:rsid w:val="00ED6973"/>
    <w:rsid w:val="00EE0B4F"/>
    <w:rsid w:val="00EE0DD4"/>
    <w:rsid w:val="00EE2484"/>
    <w:rsid w:val="00EE292C"/>
    <w:rsid w:val="00EE5DE1"/>
    <w:rsid w:val="00EF0FF7"/>
    <w:rsid w:val="00EF22FC"/>
    <w:rsid w:val="00EF4F9A"/>
    <w:rsid w:val="00EF5AF6"/>
    <w:rsid w:val="00EF5B9D"/>
    <w:rsid w:val="00F00D1B"/>
    <w:rsid w:val="00F01C14"/>
    <w:rsid w:val="00F023C9"/>
    <w:rsid w:val="00F0250C"/>
    <w:rsid w:val="00F03479"/>
    <w:rsid w:val="00F03BC7"/>
    <w:rsid w:val="00F03E34"/>
    <w:rsid w:val="00F067B6"/>
    <w:rsid w:val="00F06A0C"/>
    <w:rsid w:val="00F06A91"/>
    <w:rsid w:val="00F11AC5"/>
    <w:rsid w:val="00F127B4"/>
    <w:rsid w:val="00F134B5"/>
    <w:rsid w:val="00F145F4"/>
    <w:rsid w:val="00F149F5"/>
    <w:rsid w:val="00F14B8A"/>
    <w:rsid w:val="00F1544D"/>
    <w:rsid w:val="00F16F29"/>
    <w:rsid w:val="00F1791A"/>
    <w:rsid w:val="00F201BD"/>
    <w:rsid w:val="00F202BF"/>
    <w:rsid w:val="00F2057A"/>
    <w:rsid w:val="00F227FA"/>
    <w:rsid w:val="00F233FC"/>
    <w:rsid w:val="00F24F50"/>
    <w:rsid w:val="00F25381"/>
    <w:rsid w:val="00F25EF7"/>
    <w:rsid w:val="00F26089"/>
    <w:rsid w:val="00F26F5D"/>
    <w:rsid w:val="00F273AB"/>
    <w:rsid w:val="00F30771"/>
    <w:rsid w:val="00F32240"/>
    <w:rsid w:val="00F331F7"/>
    <w:rsid w:val="00F345BB"/>
    <w:rsid w:val="00F3525C"/>
    <w:rsid w:val="00F357B6"/>
    <w:rsid w:val="00F40A57"/>
    <w:rsid w:val="00F43831"/>
    <w:rsid w:val="00F455FE"/>
    <w:rsid w:val="00F459A5"/>
    <w:rsid w:val="00F467DB"/>
    <w:rsid w:val="00F472D7"/>
    <w:rsid w:val="00F47F37"/>
    <w:rsid w:val="00F50339"/>
    <w:rsid w:val="00F503DA"/>
    <w:rsid w:val="00F5114B"/>
    <w:rsid w:val="00F52F45"/>
    <w:rsid w:val="00F530FB"/>
    <w:rsid w:val="00F533ED"/>
    <w:rsid w:val="00F53934"/>
    <w:rsid w:val="00F549AE"/>
    <w:rsid w:val="00F569C2"/>
    <w:rsid w:val="00F5719A"/>
    <w:rsid w:val="00F576A6"/>
    <w:rsid w:val="00F60EC0"/>
    <w:rsid w:val="00F612E4"/>
    <w:rsid w:val="00F617FF"/>
    <w:rsid w:val="00F6219C"/>
    <w:rsid w:val="00F625AF"/>
    <w:rsid w:val="00F63983"/>
    <w:rsid w:val="00F6517F"/>
    <w:rsid w:val="00F66B2C"/>
    <w:rsid w:val="00F70D95"/>
    <w:rsid w:val="00F73A8A"/>
    <w:rsid w:val="00F74E6D"/>
    <w:rsid w:val="00F750BE"/>
    <w:rsid w:val="00F76271"/>
    <w:rsid w:val="00F768ED"/>
    <w:rsid w:val="00F8085E"/>
    <w:rsid w:val="00F848BC"/>
    <w:rsid w:val="00F86F85"/>
    <w:rsid w:val="00F90567"/>
    <w:rsid w:val="00F917AA"/>
    <w:rsid w:val="00F927D2"/>
    <w:rsid w:val="00F92EA7"/>
    <w:rsid w:val="00F93E9A"/>
    <w:rsid w:val="00F94097"/>
    <w:rsid w:val="00F94BA3"/>
    <w:rsid w:val="00F95638"/>
    <w:rsid w:val="00F9610C"/>
    <w:rsid w:val="00F96A52"/>
    <w:rsid w:val="00FA078A"/>
    <w:rsid w:val="00FA0CDF"/>
    <w:rsid w:val="00FA1C27"/>
    <w:rsid w:val="00FA2CAE"/>
    <w:rsid w:val="00FA3249"/>
    <w:rsid w:val="00FA3D55"/>
    <w:rsid w:val="00FA4E21"/>
    <w:rsid w:val="00FA4E47"/>
    <w:rsid w:val="00FA56FC"/>
    <w:rsid w:val="00FA637E"/>
    <w:rsid w:val="00FA68A4"/>
    <w:rsid w:val="00FA6B72"/>
    <w:rsid w:val="00FA6F92"/>
    <w:rsid w:val="00FA7BAF"/>
    <w:rsid w:val="00FB3725"/>
    <w:rsid w:val="00FB5E0D"/>
    <w:rsid w:val="00FB794B"/>
    <w:rsid w:val="00FC083F"/>
    <w:rsid w:val="00FC1398"/>
    <w:rsid w:val="00FC4A02"/>
    <w:rsid w:val="00FC685F"/>
    <w:rsid w:val="00FD1CF4"/>
    <w:rsid w:val="00FD1ED1"/>
    <w:rsid w:val="00FD6671"/>
    <w:rsid w:val="00FE003A"/>
    <w:rsid w:val="00FE0229"/>
    <w:rsid w:val="00FE0A99"/>
    <w:rsid w:val="00FE49FF"/>
    <w:rsid w:val="00FE7ACC"/>
    <w:rsid w:val="00FF00F8"/>
    <w:rsid w:val="00FF3134"/>
    <w:rsid w:val="00FF53A3"/>
    <w:rsid w:val="00FF61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6B1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16"/>
    <w:rPr>
      <w:rFonts w:ascii="Calibri" w:hAnsi="Calibri"/>
      <w:lang w:val="en-GB"/>
    </w:rPr>
  </w:style>
  <w:style w:type="paragraph" w:styleId="Heading1">
    <w:name w:val="heading 1"/>
    <w:basedOn w:val="Normal"/>
    <w:next w:val="Normal"/>
    <w:link w:val="Heading1Char"/>
    <w:qFormat/>
    <w:rsid w:val="00DB72D6"/>
    <w:pPr>
      <w:keepNext/>
      <w:pageBreakBefore/>
      <w:pBdr>
        <w:bottom w:val="single" w:sz="8" w:space="1" w:color="4F81BD"/>
      </w:pBdr>
      <w:spacing w:before="240" w:after="60"/>
      <w:outlineLvl w:val="0"/>
    </w:pPr>
    <w:rPr>
      <w:rFonts w:ascii="Cambria" w:eastAsia="Arial Unicode MS" w:hAnsi="Cambria" w:cs="Times New Roman"/>
      <w:bCs/>
      <w:color w:val="17365D"/>
      <w:kern w:val="32"/>
      <w:sz w:val="52"/>
      <w:szCs w:val="20"/>
    </w:rPr>
  </w:style>
  <w:style w:type="paragraph" w:styleId="Heading2">
    <w:name w:val="heading 2"/>
    <w:basedOn w:val="Heading4"/>
    <w:next w:val="Normal"/>
    <w:link w:val="Heading2Char"/>
    <w:uiPriority w:val="9"/>
    <w:unhideWhenUsed/>
    <w:qFormat/>
    <w:rsid w:val="00037B16"/>
    <w:pPr>
      <w:keepLines/>
      <w:outlineLvl w:val="1"/>
    </w:pPr>
    <w:rPr>
      <w:bCs w:val="0"/>
      <w:sz w:val="32"/>
      <w:szCs w:val="26"/>
    </w:rPr>
  </w:style>
  <w:style w:type="paragraph" w:styleId="Heading3">
    <w:name w:val="heading 3"/>
    <w:basedOn w:val="Normal"/>
    <w:next w:val="Normal"/>
    <w:link w:val="Heading3Char"/>
    <w:uiPriority w:val="9"/>
    <w:unhideWhenUsed/>
    <w:qFormat/>
    <w:rsid w:val="00037B16"/>
    <w:pPr>
      <w:keepNext/>
      <w:spacing w:before="240" w:after="6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unhideWhenUsed/>
    <w:qFormat/>
    <w:rsid w:val="00037B16"/>
    <w:pPr>
      <w:keepNext/>
      <w:spacing w:before="240" w:after="60"/>
      <w:outlineLvl w:val="3"/>
    </w:pPr>
    <w:rPr>
      <w:rFonts w:asciiTheme="majorHAnsi" w:eastAsiaTheme="majorEastAsia" w:hAnsiTheme="majorHAnsi" w:cstheme="majorBidi"/>
      <w:b/>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89"/>
    <w:rPr>
      <w:rFonts w:ascii="Tahoma" w:hAnsi="Tahoma" w:cs="Tahoma"/>
      <w:sz w:val="16"/>
      <w:szCs w:val="16"/>
    </w:rPr>
  </w:style>
  <w:style w:type="paragraph" w:styleId="BodyText3">
    <w:name w:val="Body Text 3"/>
    <w:basedOn w:val="Normal"/>
    <w:link w:val="BodyText3Char"/>
    <w:rsid w:val="00277C6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77C64"/>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277C64"/>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277C64"/>
    <w:rPr>
      <w:rFonts w:ascii="Times New Roman" w:eastAsia="Times New Roman" w:hAnsi="Times New Roman" w:cs="Times New Roman"/>
      <w:sz w:val="20"/>
      <w:szCs w:val="20"/>
      <w:lang w:val="x-none"/>
    </w:rPr>
  </w:style>
  <w:style w:type="paragraph" w:customStyle="1" w:styleId="Heading11">
    <w:name w:val="Heading 11"/>
    <w:next w:val="Body"/>
    <w:uiPriority w:val="9"/>
    <w:qFormat/>
    <w:rsid w:val="007817BF"/>
    <w:pPr>
      <w:widowControl w:val="0"/>
      <w:spacing w:after="0" w:line="240" w:lineRule="auto"/>
      <w:outlineLvl w:val="0"/>
    </w:pPr>
    <w:rPr>
      <w:rFonts w:ascii="Calibri" w:eastAsia="Times New Roman" w:hAnsi="Calibri" w:cs="Times New Roman"/>
      <w:b/>
      <w:bCs/>
      <w:caps/>
      <w:color w:val="265176"/>
      <w:kern w:val="32"/>
      <w:sz w:val="28"/>
      <w:szCs w:val="28"/>
      <w:lang w:val="en-US"/>
    </w:rPr>
  </w:style>
  <w:style w:type="paragraph" w:customStyle="1" w:styleId="Body">
    <w:name w:val="Body"/>
    <w:rsid w:val="00277C64"/>
    <w:pPr>
      <w:spacing w:after="0" w:line="240" w:lineRule="auto"/>
    </w:pPr>
    <w:rPr>
      <w:rFonts w:ascii="Helvetica" w:eastAsia="ヒラギノ角ゴ Pro W3" w:hAnsi="Helvetica" w:cs="Times New Roman"/>
      <w:color w:val="000000"/>
      <w:sz w:val="24"/>
      <w:szCs w:val="20"/>
      <w:lang w:val="en-US" w:eastAsia="en-AU"/>
    </w:rPr>
  </w:style>
  <w:style w:type="character" w:customStyle="1" w:styleId="Heading1Char">
    <w:name w:val="Heading 1 Char"/>
    <w:basedOn w:val="DefaultParagraphFont"/>
    <w:link w:val="Heading1"/>
    <w:rsid w:val="00DB72D6"/>
    <w:rPr>
      <w:rFonts w:ascii="Cambria" w:eastAsia="Arial Unicode MS" w:hAnsi="Cambria" w:cs="Times New Roman"/>
      <w:bCs/>
      <w:color w:val="17365D"/>
      <w:kern w:val="32"/>
      <w:sz w:val="52"/>
      <w:szCs w:val="20"/>
      <w:lang w:val="en-GB"/>
    </w:rPr>
  </w:style>
  <w:style w:type="paragraph" w:styleId="NormalWeb">
    <w:name w:val="Normal (Web)"/>
    <w:aliases w:val="submission text"/>
    <w:basedOn w:val="Normal"/>
    <w:uiPriority w:val="99"/>
    <w:unhideWhenUsed/>
    <w:rsid w:val="001F62EA"/>
    <w:pPr>
      <w:spacing w:before="100" w:beforeAutospacing="1" w:after="100" w:afterAutospacing="1" w:line="240" w:lineRule="auto"/>
    </w:pPr>
    <w:rPr>
      <w:rFonts w:ascii="Times New Roman" w:eastAsia="Calibri" w:hAnsi="Times New Roman" w:cs="Times New Roman"/>
      <w:sz w:val="24"/>
      <w:szCs w:val="24"/>
      <w:lang w:eastAsia="en-AU"/>
    </w:rPr>
  </w:style>
  <w:style w:type="character" w:styleId="FootnoteReference">
    <w:name w:val="footnote reference"/>
    <w:basedOn w:val="DefaultParagraphFont"/>
    <w:uiPriority w:val="99"/>
    <w:unhideWhenUsed/>
    <w:rsid w:val="00396B7B"/>
    <w:rPr>
      <w:vertAlign w:val="superscript"/>
    </w:rPr>
  </w:style>
  <w:style w:type="character" w:styleId="Hyperlink">
    <w:name w:val="Hyperlink"/>
    <w:basedOn w:val="DefaultParagraphFont"/>
    <w:uiPriority w:val="99"/>
    <w:unhideWhenUsed/>
    <w:rsid w:val="00396B7B"/>
    <w:rPr>
      <w:color w:val="0000FF"/>
      <w:u w:val="single"/>
    </w:rPr>
  </w:style>
  <w:style w:type="paragraph" w:styleId="ListParagraph">
    <w:name w:val="List Paragraph"/>
    <w:basedOn w:val="Normal"/>
    <w:uiPriority w:val="34"/>
    <w:qFormat/>
    <w:rsid w:val="00E44163"/>
    <w:pPr>
      <w:ind w:left="720"/>
      <w:contextualSpacing/>
    </w:pPr>
  </w:style>
  <w:style w:type="character" w:customStyle="1" w:styleId="apple-converted-space">
    <w:name w:val="apple-converted-space"/>
    <w:basedOn w:val="DefaultParagraphFont"/>
    <w:rsid w:val="000922E9"/>
  </w:style>
  <w:style w:type="paragraph" w:styleId="PlainText">
    <w:name w:val="Plain Text"/>
    <w:basedOn w:val="Normal"/>
    <w:link w:val="PlainTextChar"/>
    <w:uiPriority w:val="99"/>
    <w:semiHidden/>
    <w:unhideWhenUsed/>
    <w:rsid w:val="00A44D15"/>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A44D15"/>
    <w:rPr>
      <w:rFonts w:ascii="Calibri" w:hAnsi="Calibri" w:cs="Consolas"/>
      <w:szCs w:val="21"/>
    </w:rPr>
  </w:style>
  <w:style w:type="table" w:styleId="TableGrid">
    <w:name w:val="Table Grid"/>
    <w:basedOn w:val="TableNormal"/>
    <w:uiPriority w:val="59"/>
    <w:rsid w:val="00961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93973"/>
    <w:pPr>
      <w:tabs>
        <w:tab w:val="left" w:pos="660"/>
        <w:tab w:val="right" w:leader="dot" w:pos="9016"/>
      </w:tabs>
      <w:spacing w:before="120" w:after="120"/>
    </w:pPr>
    <w:rPr>
      <w:bCs/>
      <w:szCs w:val="20"/>
    </w:rPr>
  </w:style>
  <w:style w:type="paragraph" w:styleId="TOC2">
    <w:name w:val="toc 2"/>
    <w:basedOn w:val="Normal"/>
    <w:next w:val="Normal"/>
    <w:autoRedefine/>
    <w:uiPriority w:val="39"/>
    <w:unhideWhenUsed/>
    <w:rsid w:val="00565E3B"/>
    <w:pPr>
      <w:spacing w:after="0"/>
      <w:ind w:left="220"/>
    </w:pPr>
    <w:rPr>
      <w:sz w:val="20"/>
      <w:szCs w:val="20"/>
    </w:rPr>
  </w:style>
  <w:style w:type="paragraph" w:styleId="TOC3">
    <w:name w:val="toc 3"/>
    <w:basedOn w:val="Normal"/>
    <w:next w:val="Normal"/>
    <w:autoRedefine/>
    <w:uiPriority w:val="39"/>
    <w:unhideWhenUsed/>
    <w:rsid w:val="00913FFE"/>
    <w:pPr>
      <w:spacing w:after="0"/>
      <w:ind w:left="440"/>
    </w:pPr>
    <w:rPr>
      <w:i/>
      <w:iCs/>
      <w:sz w:val="20"/>
      <w:szCs w:val="20"/>
    </w:rPr>
  </w:style>
  <w:style w:type="paragraph" w:styleId="TOC4">
    <w:name w:val="toc 4"/>
    <w:basedOn w:val="Normal"/>
    <w:next w:val="Normal"/>
    <w:autoRedefine/>
    <w:uiPriority w:val="39"/>
    <w:unhideWhenUsed/>
    <w:rsid w:val="00913FFE"/>
    <w:pPr>
      <w:spacing w:after="0"/>
      <w:ind w:left="660"/>
    </w:pPr>
    <w:rPr>
      <w:sz w:val="18"/>
      <w:szCs w:val="18"/>
    </w:rPr>
  </w:style>
  <w:style w:type="paragraph" w:styleId="TOC5">
    <w:name w:val="toc 5"/>
    <w:basedOn w:val="Normal"/>
    <w:next w:val="Normal"/>
    <w:autoRedefine/>
    <w:uiPriority w:val="39"/>
    <w:unhideWhenUsed/>
    <w:rsid w:val="00913FFE"/>
    <w:pPr>
      <w:spacing w:after="0"/>
      <w:ind w:left="880"/>
    </w:pPr>
    <w:rPr>
      <w:sz w:val="18"/>
      <w:szCs w:val="18"/>
    </w:rPr>
  </w:style>
  <w:style w:type="paragraph" w:styleId="TOC6">
    <w:name w:val="toc 6"/>
    <w:basedOn w:val="Normal"/>
    <w:next w:val="Normal"/>
    <w:autoRedefine/>
    <w:uiPriority w:val="39"/>
    <w:unhideWhenUsed/>
    <w:rsid w:val="00913FFE"/>
    <w:pPr>
      <w:spacing w:after="0"/>
      <w:ind w:left="1100"/>
    </w:pPr>
    <w:rPr>
      <w:sz w:val="18"/>
      <w:szCs w:val="18"/>
    </w:rPr>
  </w:style>
  <w:style w:type="paragraph" w:styleId="TOC7">
    <w:name w:val="toc 7"/>
    <w:basedOn w:val="Normal"/>
    <w:next w:val="Normal"/>
    <w:autoRedefine/>
    <w:uiPriority w:val="39"/>
    <w:unhideWhenUsed/>
    <w:rsid w:val="00913FFE"/>
    <w:pPr>
      <w:spacing w:after="0"/>
      <w:ind w:left="1320"/>
    </w:pPr>
    <w:rPr>
      <w:sz w:val="18"/>
      <w:szCs w:val="18"/>
    </w:rPr>
  </w:style>
  <w:style w:type="paragraph" w:styleId="TOC8">
    <w:name w:val="toc 8"/>
    <w:basedOn w:val="Normal"/>
    <w:next w:val="Normal"/>
    <w:autoRedefine/>
    <w:uiPriority w:val="39"/>
    <w:unhideWhenUsed/>
    <w:rsid w:val="00913FFE"/>
    <w:pPr>
      <w:spacing w:after="0"/>
      <w:ind w:left="1540"/>
    </w:pPr>
    <w:rPr>
      <w:sz w:val="18"/>
      <w:szCs w:val="18"/>
    </w:rPr>
  </w:style>
  <w:style w:type="paragraph" w:styleId="TOC9">
    <w:name w:val="toc 9"/>
    <w:basedOn w:val="Normal"/>
    <w:next w:val="Normal"/>
    <w:autoRedefine/>
    <w:uiPriority w:val="39"/>
    <w:unhideWhenUsed/>
    <w:rsid w:val="00913FFE"/>
    <w:pPr>
      <w:spacing w:after="0"/>
      <w:ind w:left="1760"/>
    </w:pPr>
    <w:rPr>
      <w:sz w:val="18"/>
      <w:szCs w:val="18"/>
    </w:rPr>
  </w:style>
  <w:style w:type="character" w:customStyle="1" w:styleId="Heading2Char">
    <w:name w:val="Heading 2 Char"/>
    <w:basedOn w:val="DefaultParagraphFont"/>
    <w:link w:val="Heading2"/>
    <w:uiPriority w:val="9"/>
    <w:rsid w:val="00037B16"/>
    <w:rPr>
      <w:rFonts w:asciiTheme="majorHAnsi" w:eastAsiaTheme="majorEastAsia" w:hAnsiTheme="majorHAnsi" w:cstheme="majorBidi"/>
      <w:b/>
      <w:iCs/>
      <w:color w:val="4F81BD" w:themeColor="accent1"/>
      <w:sz w:val="32"/>
      <w:szCs w:val="26"/>
      <w:lang w:val="en-GB"/>
    </w:rPr>
  </w:style>
  <w:style w:type="paragraph" w:styleId="Header">
    <w:name w:val="header"/>
    <w:basedOn w:val="Normal"/>
    <w:link w:val="HeaderChar"/>
    <w:uiPriority w:val="99"/>
    <w:unhideWhenUsed/>
    <w:rsid w:val="00665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55"/>
  </w:style>
  <w:style w:type="paragraph" w:styleId="Footer">
    <w:name w:val="footer"/>
    <w:basedOn w:val="Normal"/>
    <w:link w:val="FooterChar"/>
    <w:uiPriority w:val="99"/>
    <w:unhideWhenUsed/>
    <w:rsid w:val="00665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55"/>
  </w:style>
  <w:style w:type="character" w:customStyle="1" w:styleId="NoSpacingChar">
    <w:name w:val="No Spacing Char"/>
    <w:link w:val="NoSpacing"/>
    <w:uiPriority w:val="1"/>
    <w:locked/>
    <w:rsid w:val="00C775B6"/>
    <w:rPr>
      <w:rFonts w:ascii="MS Mincho" w:eastAsia="MS Mincho" w:hAnsi="MS Mincho" w:cs="Arial"/>
      <w:lang w:val="en-US" w:eastAsia="ja-JP"/>
    </w:rPr>
  </w:style>
  <w:style w:type="paragraph" w:styleId="NoSpacing">
    <w:name w:val="No Spacing"/>
    <w:link w:val="NoSpacingChar"/>
    <w:uiPriority w:val="1"/>
    <w:qFormat/>
    <w:rsid w:val="00C775B6"/>
    <w:pPr>
      <w:spacing w:after="0" w:line="240" w:lineRule="auto"/>
    </w:pPr>
    <w:rPr>
      <w:rFonts w:ascii="MS Mincho" w:eastAsia="MS Mincho" w:hAnsi="MS Mincho" w:cs="Arial"/>
      <w:lang w:val="en-US" w:eastAsia="ja-JP"/>
    </w:rPr>
  </w:style>
  <w:style w:type="character" w:customStyle="1" w:styleId="Heading3Char">
    <w:name w:val="Heading 3 Char"/>
    <w:basedOn w:val="DefaultParagraphFont"/>
    <w:link w:val="Heading3"/>
    <w:uiPriority w:val="9"/>
    <w:rsid w:val="00037B16"/>
    <w:rPr>
      <w:rFonts w:asciiTheme="majorHAnsi" w:eastAsiaTheme="majorEastAsia" w:hAnsiTheme="majorHAnsi" w:cstheme="majorBidi"/>
      <w:b/>
      <w:bCs/>
      <w:color w:val="4F81BD" w:themeColor="accent1"/>
      <w:sz w:val="28"/>
      <w:lang w:val="en-GB"/>
    </w:rPr>
  </w:style>
  <w:style w:type="character" w:customStyle="1" w:styleId="Heading4Char">
    <w:name w:val="Heading 4 Char"/>
    <w:basedOn w:val="DefaultParagraphFont"/>
    <w:link w:val="Heading4"/>
    <w:uiPriority w:val="9"/>
    <w:rsid w:val="00037B16"/>
    <w:rPr>
      <w:rFonts w:asciiTheme="majorHAnsi" w:eastAsiaTheme="majorEastAsia" w:hAnsiTheme="majorHAnsi" w:cstheme="majorBidi"/>
      <w:b/>
      <w:bCs/>
      <w:iCs/>
      <w:color w:val="4F81BD" w:themeColor="accent1"/>
      <w:sz w:val="24"/>
      <w:lang w:val="en-GB"/>
    </w:rPr>
  </w:style>
  <w:style w:type="character" w:customStyle="1" w:styleId="GlossaryChar">
    <w:name w:val="Glossary Char"/>
    <w:basedOn w:val="NoSpacingChar"/>
    <w:link w:val="Glossary"/>
    <w:locked/>
    <w:rsid w:val="00D620E7"/>
    <w:rPr>
      <w:rFonts w:ascii="MS Mincho" w:eastAsia="MS Mincho" w:hAnsi="MS Mincho" w:cs="Arial"/>
      <w:lang w:val="en-US" w:eastAsia="ja-JP"/>
    </w:rPr>
  </w:style>
  <w:style w:type="paragraph" w:customStyle="1" w:styleId="Glossary">
    <w:name w:val="Glossary"/>
    <w:basedOn w:val="NoSpacing"/>
    <w:link w:val="GlossaryChar"/>
    <w:qFormat/>
    <w:rsid w:val="00D620E7"/>
    <w:pPr>
      <w:ind w:left="993" w:hanging="993"/>
    </w:pPr>
  </w:style>
  <w:style w:type="paragraph" w:customStyle="1" w:styleId="Pa3">
    <w:name w:val="Pa3"/>
    <w:basedOn w:val="Normal"/>
    <w:next w:val="Normal"/>
    <w:uiPriority w:val="99"/>
    <w:rsid w:val="008421B5"/>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8421B5"/>
    <w:rPr>
      <w:rFonts w:ascii="Zapf Dingbats" w:hAnsi="Zapf Dingbats" w:cs="Zapf Dingbats"/>
      <w:color w:val="8E0A39"/>
      <w:sz w:val="18"/>
      <w:szCs w:val="18"/>
    </w:rPr>
  </w:style>
  <w:style w:type="numbering" w:customStyle="1" w:styleId="Bullet">
    <w:name w:val="Bullet"/>
    <w:rsid w:val="00DF1675"/>
  </w:style>
  <w:style w:type="numbering" w:customStyle="1" w:styleId="NumberedList">
    <w:name w:val="Numbered List"/>
    <w:rsid w:val="00DF1675"/>
  </w:style>
  <w:style w:type="paragraph" w:customStyle="1" w:styleId="Quote1">
    <w:name w:val="Quote1"/>
    <w:rsid w:val="0044767E"/>
    <w:pPr>
      <w:spacing w:before="160" w:after="120" w:line="264" w:lineRule="auto"/>
      <w:ind w:left="567"/>
    </w:pPr>
    <w:rPr>
      <w:rFonts w:ascii="Helvetica" w:eastAsia="ヒラギノ角ゴ Pro W3" w:hAnsi="Helvetica" w:cs="Times New Roman"/>
      <w:b/>
      <w:i/>
      <w:color w:val="290082"/>
      <w:sz w:val="20"/>
      <w:szCs w:val="20"/>
      <w:lang w:val="en-US"/>
    </w:rPr>
  </w:style>
  <w:style w:type="paragraph" w:customStyle="1" w:styleId="FootnoteText1">
    <w:name w:val="Footnote Text1"/>
    <w:rsid w:val="00F26089"/>
    <w:pPr>
      <w:spacing w:after="0" w:line="240" w:lineRule="auto"/>
    </w:pPr>
    <w:rPr>
      <w:rFonts w:ascii="Helvetica" w:eastAsia="ヒラギノ角ゴ Pro W3" w:hAnsi="Helvetica" w:cs="Times New Roman"/>
      <w:color w:val="000000"/>
      <w:sz w:val="20"/>
      <w:szCs w:val="20"/>
      <w:lang w:val="en-US"/>
    </w:rPr>
  </w:style>
  <w:style w:type="paragraph" w:customStyle="1" w:styleId="tabletext">
    <w:name w:val="table text"/>
    <w:basedOn w:val="Normal"/>
    <w:uiPriority w:val="99"/>
    <w:rsid w:val="00FD6671"/>
    <w:pPr>
      <w:suppressAutoHyphens/>
      <w:autoSpaceDE w:val="0"/>
      <w:autoSpaceDN w:val="0"/>
      <w:adjustRightInd w:val="0"/>
      <w:spacing w:after="113" w:line="260" w:lineRule="atLeast"/>
      <w:textAlignment w:val="center"/>
    </w:pPr>
    <w:rPr>
      <w:rFonts w:ascii="Arial MT Pro Light" w:hAnsi="Arial MT Pro Light" w:cs="Arial MT Pro Light"/>
      <w:color w:val="000000"/>
      <w:sz w:val="19"/>
      <w:szCs w:val="19"/>
    </w:rPr>
  </w:style>
  <w:style w:type="paragraph" w:customStyle="1" w:styleId="tablebulletedtext">
    <w:name w:val="table bulleted text"/>
    <w:basedOn w:val="tabletext"/>
    <w:uiPriority w:val="99"/>
    <w:rsid w:val="00EA5536"/>
    <w:pPr>
      <w:ind w:left="283" w:hanging="283"/>
    </w:pPr>
  </w:style>
  <w:style w:type="paragraph" w:customStyle="1" w:styleId="BodyA">
    <w:name w:val="Body A"/>
    <w:rsid w:val="009909F6"/>
    <w:pPr>
      <w:spacing w:after="0" w:line="240" w:lineRule="auto"/>
    </w:pPr>
    <w:rPr>
      <w:rFonts w:ascii="Helvetica" w:eastAsia="ヒラギノ角ゴ Pro W3" w:hAnsi="Helvetica" w:cs="Times New Roman"/>
      <w:color w:val="000000"/>
      <w:sz w:val="24"/>
      <w:szCs w:val="20"/>
      <w:lang w:val="en-US" w:eastAsia="en-AU"/>
    </w:rPr>
  </w:style>
  <w:style w:type="paragraph" w:customStyle="1" w:styleId="footnote">
    <w:name w:val="footnote"/>
    <w:basedOn w:val="Normal"/>
    <w:uiPriority w:val="99"/>
    <w:rsid w:val="00BB6B18"/>
    <w:pPr>
      <w:autoSpaceDE w:val="0"/>
      <w:autoSpaceDN w:val="0"/>
      <w:adjustRightInd w:val="0"/>
      <w:spacing w:after="0" w:line="288" w:lineRule="auto"/>
      <w:ind w:left="283" w:hanging="283"/>
      <w:textAlignment w:val="center"/>
    </w:pPr>
    <w:rPr>
      <w:rFonts w:ascii="MyriadPro-LightIt" w:eastAsia="Times New Roman" w:hAnsi="MyriadPro-LightIt" w:cs="MyriadPro-LightIt"/>
      <w:i/>
      <w:iCs/>
      <w:color w:val="000000"/>
      <w:sz w:val="14"/>
      <w:szCs w:val="14"/>
      <w:lang w:eastAsia="en-AU"/>
    </w:rPr>
  </w:style>
  <w:style w:type="character" w:styleId="FollowedHyperlink">
    <w:name w:val="FollowedHyperlink"/>
    <w:basedOn w:val="DefaultParagraphFont"/>
    <w:uiPriority w:val="99"/>
    <w:semiHidden/>
    <w:unhideWhenUsed/>
    <w:rsid w:val="003E6D74"/>
    <w:rPr>
      <w:color w:val="800080" w:themeColor="followedHyperlink"/>
      <w:u w:val="single"/>
    </w:rPr>
  </w:style>
  <w:style w:type="character" w:styleId="CommentReference">
    <w:name w:val="annotation reference"/>
    <w:basedOn w:val="DefaultParagraphFont"/>
    <w:uiPriority w:val="99"/>
    <w:semiHidden/>
    <w:unhideWhenUsed/>
    <w:rsid w:val="0061034E"/>
    <w:rPr>
      <w:sz w:val="18"/>
      <w:szCs w:val="18"/>
    </w:rPr>
  </w:style>
  <w:style w:type="paragraph" w:styleId="CommentText">
    <w:name w:val="annotation text"/>
    <w:basedOn w:val="Normal"/>
    <w:link w:val="CommentTextChar"/>
    <w:uiPriority w:val="99"/>
    <w:semiHidden/>
    <w:unhideWhenUsed/>
    <w:rsid w:val="0061034E"/>
    <w:pPr>
      <w:spacing w:line="240" w:lineRule="auto"/>
    </w:pPr>
    <w:rPr>
      <w:sz w:val="24"/>
      <w:szCs w:val="24"/>
    </w:rPr>
  </w:style>
  <w:style w:type="character" w:customStyle="1" w:styleId="CommentTextChar">
    <w:name w:val="Comment Text Char"/>
    <w:basedOn w:val="DefaultParagraphFont"/>
    <w:link w:val="CommentText"/>
    <w:uiPriority w:val="99"/>
    <w:semiHidden/>
    <w:rsid w:val="0061034E"/>
    <w:rPr>
      <w:sz w:val="24"/>
      <w:szCs w:val="24"/>
    </w:rPr>
  </w:style>
  <w:style w:type="paragraph" w:styleId="CommentSubject">
    <w:name w:val="annotation subject"/>
    <w:basedOn w:val="CommentText"/>
    <w:next w:val="CommentText"/>
    <w:link w:val="CommentSubjectChar"/>
    <w:uiPriority w:val="99"/>
    <w:semiHidden/>
    <w:unhideWhenUsed/>
    <w:rsid w:val="0061034E"/>
    <w:rPr>
      <w:b/>
      <w:bCs/>
      <w:sz w:val="20"/>
      <w:szCs w:val="20"/>
    </w:rPr>
  </w:style>
  <w:style w:type="character" w:customStyle="1" w:styleId="CommentSubjectChar">
    <w:name w:val="Comment Subject Char"/>
    <w:basedOn w:val="CommentTextChar"/>
    <w:link w:val="CommentSubject"/>
    <w:uiPriority w:val="99"/>
    <w:semiHidden/>
    <w:rsid w:val="0061034E"/>
    <w:rPr>
      <w:b/>
      <w:bCs/>
      <w:sz w:val="20"/>
      <w:szCs w:val="20"/>
    </w:rPr>
  </w:style>
  <w:style w:type="paragraph" w:styleId="Revision">
    <w:name w:val="Revision"/>
    <w:hidden/>
    <w:uiPriority w:val="99"/>
    <w:semiHidden/>
    <w:rsid w:val="008A4BAA"/>
    <w:pPr>
      <w:spacing w:after="0" w:line="240" w:lineRule="auto"/>
    </w:pPr>
  </w:style>
  <w:style w:type="character" w:customStyle="1" w:styleId="highlight">
    <w:name w:val="highlight"/>
    <w:basedOn w:val="DefaultParagraphFont"/>
    <w:rsid w:val="006350B8"/>
  </w:style>
  <w:style w:type="paragraph" w:styleId="TOCHeading">
    <w:name w:val="TOC Heading"/>
    <w:basedOn w:val="Heading1"/>
    <w:next w:val="Normal"/>
    <w:uiPriority w:val="39"/>
    <w:semiHidden/>
    <w:unhideWhenUsed/>
    <w:qFormat/>
    <w:rsid w:val="006D0552"/>
    <w:pPr>
      <w:keepLines/>
      <w:pageBreakBefore w:val="0"/>
      <w:pBdr>
        <w:bottom w:val="none" w:sz="0" w:space="0" w:color="auto"/>
      </w:pBdr>
      <w:spacing w:before="480" w:after="0"/>
      <w:outlineLvl w:val="9"/>
    </w:pPr>
    <w:rPr>
      <w:rFonts w:asciiTheme="majorHAnsi" w:eastAsiaTheme="majorEastAsia" w:hAnsiTheme="majorHAnsi" w:cstheme="majorBidi"/>
      <w:b/>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16"/>
    <w:rPr>
      <w:rFonts w:ascii="Calibri" w:hAnsi="Calibri"/>
      <w:lang w:val="en-GB"/>
    </w:rPr>
  </w:style>
  <w:style w:type="paragraph" w:styleId="Heading1">
    <w:name w:val="heading 1"/>
    <w:basedOn w:val="Normal"/>
    <w:next w:val="Normal"/>
    <w:link w:val="Heading1Char"/>
    <w:qFormat/>
    <w:rsid w:val="00DB72D6"/>
    <w:pPr>
      <w:keepNext/>
      <w:pageBreakBefore/>
      <w:pBdr>
        <w:bottom w:val="single" w:sz="8" w:space="1" w:color="4F81BD"/>
      </w:pBdr>
      <w:spacing w:before="240" w:after="60"/>
      <w:outlineLvl w:val="0"/>
    </w:pPr>
    <w:rPr>
      <w:rFonts w:ascii="Cambria" w:eastAsia="Arial Unicode MS" w:hAnsi="Cambria" w:cs="Times New Roman"/>
      <w:bCs/>
      <w:color w:val="17365D"/>
      <w:kern w:val="32"/>
      <w:sz w:val="52"/>
      <w:szCs w:val="20"/>
    </w:rPr>
  </w:style>
  <w:style w:type="paragraph" w:styleId="Heading2">
    <w:name w:val="heading 2"/>
    <w:basedOn w:val="Heading4"/>
    <w:next w:val="Normal"/>
    <w:link w:val="Heading2Char"/>
    <w:uiPriority w:val="9"/>
    <w:unhideWhenUsed/>
    <w:qFormat/>
    <w:rsid w:val="00037B16"/>
    <w:pPr>
      <w:keepLines/>
      <w:outlineLvl w:val="1"/>
    </w:pPr>
    <w:rPr>
      <w:bCs w:val="0"/>
      <w:sz w:val="32"/>
      <w:szCs w:val="26"/>
    </w:rPr>
  </w:style>
  <w:style w:type="paragraph" w:styleId="Heading3">
    <w:name w:val="heading 3"/>
    <w:basedOn w:val="Normal"/>
    <w:next w:val="Normal"/>
    <w:link w:val="Heading3Char"/>
    <w:uiPriority w:val="9"/>
    <w:unhideWhenUsed/>
    <w:qFormat/>
    <w:rsid w:val="00037B16"/>
    <w:pPr>
      <w:keepNext/>
      <w:spacing w:before="240" w:after="6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unhideWhenUsed/>
    <w:qFormat/>
    <w:rsid w:val="00037B16"/>
    <w:pPr>
      <w:keepNext/>
      <w:spacing w:before="240" w:after="60"/>
      <w:outlineLvl w:val="3"/>
    </w:pPr>
    <w:rPr>
      <w:rFonts w:asciiTheme="majorHAnsi" w:eastAsiaTheme="majorEastAsia" w:hAnsiTheme="majorHAnsi" w:cstheme="majorBidi"/>
      <w:b/>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89"/>
    <w:rPr>
      <w:rFonts w:ascii="Tahoma" w:hAnsi="Tahoma" w:cs="Tahoma"/>
      <w:sz w:val="16"/>
      <w:szCs w:val="16"/>
    </w:rPr>
  </w:style>
  <w:style w:type="paragraph" w:styleId="BodyText3">
    <w:name w:val="Body Text 3"/>
    <w:basedOn w:val="Normal"/>
    <w:link w:val="BodyText3Char"/>
    <w:rsid w:val="00277C6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77C64"/>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277C64"/>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277C64"/>
    <w:rPr>
      <w:rFonts w:ascii="Times New Roman" w:eastAsia="Times New Roman" w:hAnsi="Times New Roman" w:cs="Times New Roman"/>
      <w:sz w:val="20"/>
      <w:szCs w:val="20"/>
      <w:lang w:val="x-none"/>
    </w:rPr>
  </w:style>
  <w:style w:type="paragraph" w:customStyle="1" w:styleId="Heading11">
    <w:name w:val="Heading 11"/>
    <w:next w:val="Body"/>
    <w:uiPriority w:val="9"/>
    <w:qFormat/>
    <w:rsid w:val="007817BF"/>
    <w:pPr>
      <w:widowControl w:val="0"/>
      <w:spacing w:after="0" w:line="240" w:lineRule="auto"/>
      <w:outlineLvl w:val="0"/>
    </w:pPr>
    <w:rPr>
      <w:rFonts w:ascii="Calibri" w:eastAsia="Times New Roman" w:hAnsi="Calibri" w:cs="Times New Roman"/>
      <w:b/>
      <w:bCs/>
      <w:caps/>
      <w:color w:val="265176"/>
      <w:kern w:val="32"/>
      <w:sz w:val="28"/>
      <w:szCs w:val="28"/>
      <w:lang w:val="en-US"/>
    </w:rPr>
  </w:style>
  <w:style w:type="paragraph" w:customStyle="1" w:styleId="Body">
    <w:name w:val="Body"/>
    <w:rsid w:val="00277C64"/>
    <w:pPr>
      <w:spacing w:after="0" w:line="240" w:lineRule="auto"/>
    </w:pPr>
    <w:rPr>
      <w:rFonts w:ascii="Helvetica" w:eastAsia="ヒラギノ角ゴ Pro W3" w:hAnsi="Helvetica" w:cs="Times New Roman"/>
      <w:color w:val="000000"/>
      <w:sz w:val="24"/>
      <w:szCs w:val="20"/>
      <w:lang w:val="en-US" w:eastAsia="en-AU"/>
    </w:rPr>
  </w:style>
  <w:style w:type="character" w:customStyle="1" w:styleId="Heading1Char">
    <w:name w:val="Heading 1 Char"/>
    <w:basedOn w:val="DefaultParagraphFont"/>
    <w:link w:val="Heading1"/>
    <w:rsid w:val="00DB72D6"/>
    <w:rPr>
      <w:rFonts w:ascii="Cambria" w:eastAsia="Arial Unicode MS" w:hAnsi="Cambria" w:cs="Times New Roman"/>
      <w:bCs/>
      <w:color w:val="17365D"/>
      <w:kern w:val="32"/>
      <w:sz w:val="52"/>
      <w:szCs w:val="20"/>
      <w:lang w:val="en-GB"/>
    </w:rPr>
  </w:style>
  <w:style w:type="paragraph" w:styleId="NormalWeb">
    <w:name w:val="Normal (Web)"/>
    <w:aliases w:val="submission text"/>
    <w:basedOn w:val="Normal"/>
    <w:uiPriority w:val="99"/>
    <w:unhideWhenUsed/>
    <w:rsid w:val="001F62EA"/>
    <w:pPr>
      <w:spacing w:before="100" w:beforeAutospacing="1" w:after="100" w:afterAutospacing="1" w:line="240" w:lineRule="auto"/>
    </w:pPr>
    <w:rPr>
      <w:rFonts w:ascii="Times New Roman" w:eastAsia="Calibri" w:hAnsi="Times New Roman" w:cs="Times New Roman"/>
      <w:sz w:val="24"/>
      <w:szCs w:val="24"/>
      <w:lang w:eastAsia="en-AU"/>
    </w:rPr>
  </w:style>
  <w:style w:type="character" w:styleId="FootnoteReference">
    <w:name w:val="footnote reference"/>
    <w:basedOn w:val="DefaultParagraphFont"/>
    <w:uiPriority w:val="99"/>
    <w:unhideWhenUsed/>
    <w:rsid w:val="00396B7B"/>
    <w:rPr>
      <w:vertAlign w:val="superscript"/>
    </w:rPr>
  </w:style>
  <w:style w:type="character" w:styleId="Hyperlink">
    <w:name w:val="Hyperlink"/>
    <w:basedOn w:val="DefaultParagraphFont"/>
    <w:uiPriority w:val="99"/>
    <w:unhideWhenUsed/>
    <w:rsid w:val="00396B7B"/>
    <w:rPr>
      <w:color w:val="0000FF"/>
      <w:u w:val="single"/>
    </w:rPr>
  </w:style>
  <w:style w:type="paragraph" w:styleId="ListParagraph">
    <w:name w:val="List Paragraph"/>
    <w:basedOn w:val="Normal"/>
    <w:uiPriority w:val="34"/>
    <w:qFormat/>
    <w:rsid w:val="00E44163"/>
    <w:pPr>
      <w:ind w:left="720"/>
      <w:contextualSpacing/>
    </w:pPr>
  </w:style>
  <w:style w:type="character" w:customStyle="1" w:styleId="apple-converted-space">
    <w:name w:val="apple-converted-space"/>
    <w:basedOn w:val="DefaultParagraphFont"/>
    <w:rsid w:val="000922E9"/>
  </w:style>
  <w:style w:type="paragraph" w:styleId="PlainText">
    <w:name w:val="Plain Text"/>
    <w:basedOn w:val="Normal"/>
    <w:link w:val="PlainTextChar"/>
    <w:uiPriority w:val="99"/>
    <w:semiHidden/>
    <w:unhideWhenUsed/>
    <w:rsid w:val="00A44D15"/>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A44D15"/>
    <w:rPr>
      <w:rFonts w:ascii="Calibri" w:hAnsi="Calibri" w:cs="Consolas"/>
      <w:szCs w:val="21"/>
    </w:rPr>
  </w:style>
  <w:style w:type="table" w:styleId="TableGrid">
    <w:name w:val="Table Grid"/>
    <w:basedOn w:val="TableNormal"/>
    <w:uiPriority w:val="59"/>
    <w:rsid w:val="00961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93973"/>
    <w:pPr>
      <w:tabs>
        <w:tab w:val="left" w:pos="660"/>
        <w:tab w:val="right" w:leader="dot" w:pos="9016"/>
      </w:tabs>
      <w:spacing w:before="120" w:after="120"/>
    </w:pPr>
    <w:rPr>
      <w:bCs/>
      <w:szCs w:val="20"/>
    </w:rPr>
  </w:style>
  <w:style w:type="paragraph" w:styleId="TOC2">
    <w:name w:val="toc 2"/>
    <w:basedOn w:val="Normal"/>
    <w:next w:val="Normal"/>
    <w:autoRedefine/>
    <w:uiPriority w:val="39"/>
    <w:unhideWhenUsed/>
    <w:rsid w:val="00565E3B"/>
    <w:pPr>
      <w:spacing w:after="0"/>
      <w:ind w:left="220"/>
    </w:pPr>
    <w:rPr>
      <w:sz w:val="20"/>
      <w:szCs w:val="20"/>
    </w:rPr>
  </w:style>
  <w:style w:type="paragraph" w:styleId="TOC3">
    <w:name w:val="toc 3"/>
    <w:basedOn w:val="Normal"/>
    <w:next w:val="Normal"/>
    <w:autoRedefine/>
    <w:uiPriority w:val="39"/>
    <w:unhideWhenUsed/>
    <w:rsid w:val="00913FFE"/>
    <w:pPr>
      <w:spacing w:after="0"/>
      <w:ind w:left="440"/>
    </w:pPr>
    <w:rPr>
      <w:i/>
      <w:iCs/>
      <w:sz w:val="20"/>
      <w:szCs w:val="20"/>
    </w:rPr>
  </w:style>
  <w:style w:type="paragraph" w:styleId="TOC4">
    <w:name w:val="toc 4"/>
    <w:basedOn w:val="Normal"/>
    <w:next w:val="Normal"/>
    <w:autoRedefine/>
    <w:uiPriority w:val="39"/>
    <w:unhideWhenUsed/>
    <w:rsid w:val="00913FFE"/>
    <w:pPr>
      <w:spacing w:after="0"/>
      <w:ind w:left="660"/>
    </w:pPr>
    <w:rPr>
      <w:sz w:val="18"/>
      <w:szCs w:val="18"/>
    </w:rPr>
  </w:style>
  <w:style w:type="paragraph" w:styleId="TOC5">
    <w:name w:val="toc 5"/>
    <w:basedOn w:val="Normal"/>
    <w:next w:val="Normal"/>
    <w:autoRedefine/>
    <w:uiPriority w:val="39"/>
    <w:unhideWhenUsed/>
    <w:rsid w:val="00913FFE"/>
    <w:pPr>
      <w:spacing w:after="0"/>
      <w:ind w:left="880"/>
    </w:pPr>
    <w:rPr>
      <w:sz w:val="18"/>
      <w:szCs w:val="18"/>
    </w:rPr>
  </w:style>
  <w:style w:type="paragraph" w:styleId="TOC6">
    <w:name w:val="toc 6"/>
    <w:basedOn w:val="Normal"/>
    <w:next w:val="Normal"/>
    <w:autoRedefine/>
    <w:uiPriority w:val="39"/>
    <w:unhideWhenUsed/>
    <w:rsid w:val="00913FFE"/>
    <w:pPr>
      <w:spacing w:after="0"/>
      <w:ind w:left="1100"/>
    </w:pPr>
    <w:rPr>
      <w:sz w:val="18"/>
      <w:szCs w:val="18"/>
    </w:rPr>
  </w:style>
  <w:style w:type="paragraph" w:styleId="TOC7">
    <w:name w:val="toc 7"/>
    <w:basedOn w:val="Normal"/>
    <w:next w:val="Normal"/>
    <w:autoRedefine/>
    <w:uiPriority w:val="39"/>
    <w:unhideWhenUsed/>
    <w:rsid w:val="00913FFE"/>
    <w:pPr>
      <w:spacing w:after="0"/>
      <w:ind w:left="1320"/>
    </w:pPr>
    <w:rPr>
      <w:sz w:val="18"/>
      <w:szCs w:val="18"/>
    </w:rPr>
  </w:style>
  <w:style w:type="paragraph" w:styleId="TOC8">
    <w:name w:val="toc 8"/>
    <w:basedOn w:val="Normal"/>
    <w:next w:val="Normal"/>
    <w:autoRedefine/>
    <w:uiPriority w:val="39"/>
    <w:unhideWhenUsed/>
    <w:rsid w:val="00913FFE"/>
    <w:pPr>
      <w:spacing w:after="0"/>
      <w:ind w:left="1540"/>
    </w:pPr>
    <w:rPr>
      <w:sz w:val="18"/>
      <w:szCs w:val="18"/>
    </w:rPr>
  </w:style>
  <w:style w:type="paragraph" w:styleId="TOC9">
    <w:name w:val="toc 9"/>
    <w:basedOn w:val="Normal"/>
    <w:next w:val="Normal"/>
    <w:autoRedefine/>
    <w:uiPriority w:val="39"/>
    <w:unhideWhenUsed/>
    <w:rsid w:val="00913FFE"/>
    <w:pPr>
      <w:spacing w:after="0"/>
      <w:ind w:left="1760"/>
    </w:pPr>
    <w:rPr>
      <w:sz w:val="18"/>
      <w:szCs w:val="18"/>
    </w:rPr>
  </w:style>
  <w:style w:type="character" w:customStyle="1" w:styleId="Heading2Char">
    <w:name w:val="Heading 2 Char"/>
    <w:basedOn w:val="DefaultParagraphFont"/>
    <w:link w:val="Heading2"/>
    <w:uiPriority w:val="9"/>
    <w:rsid w:val="00037B16"/>
    <w:rPr>
      <w:rFonts w:asciiTheme="majorHAnsi" w:eastAsiaTheme="majorEastAsia" w:hAnsiTheme="majorHAnsi" w:cstheme="majorBidi"/>
      <w:b/>
      <w:iCs/>
      <w:color w:val="4F81BD" w:themeColor="accent1"/>
      <w:sz w:val="32"/>
      <w:szCs w:val="26"/>
      <w:lang w:val="en-GB"/>
    </w:rPr>
  </w:style>
  <w:style w:type="paragraph" w:styleId="Header">
    <w:name w:val="header"/>
    <w:basedOn w:val="Normal"/>
    <w:link w:val="HeaderChar"/>
    <w:uiPriority w:val="99"/>
    <w:unhideWhenUsed/>
    <w:rsid w:val="00665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55"/>
  </w:style>
  <w:style w:type="paragraph" w:styleId="Footer">
    <w:name w:val="footer"/>
    <w:basedOn w:val="Normal"/>
    <w:link w:val="FooterChar"/>
    <w:uiPriority w:val="99"/>
    <w:unhideWhenUsed/>
    <w:rsid w:val="00665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55"/>
  </w:style>
  <w:style w:type="character" w:customStyle="1" w:styleId="NoSpacingChar">
    <w:name w:val="No Spacing Char"/>
    <w:link w:val="NoSpacing"/>
    <w:uiPriority w:val="1"/>
    <w:locked/>
    <w:rsid w:val="00C775B6"/>
    <w:rPr>
      <w:rFonts w:ascii="MS Mincho" w:eastAsia="MS Mincho" w:hAnsi="MS Mincho" w:cs="Arial"/>
      <w:lang w:val="en-US" w:eastAsia="ja-JP"/>
    </w:rPr>
  </w:style>
  <w:style w:type="paragraph" w:styleId="NoSpacing">
    <w:name w:val="No Spacing"/>
    <w:link w:val="NoSpacingChar"/>
    <w:uiPriority w:val="1"/>
    <w:qFormat/>
    <w:rsid w:val="00C775B6"/>
    <w:pPr>
      <w:spacing w:after="0" w:line="240" w:lineRule="auto"/>
    </w:pPr>
    <w:rPr>
      <w:rFonts w:ascii="MS Mincho" w:eastAsia="MS Mincho" w:hAnsi="MS Mincho" w:cs="Arial"/>
      <w:lang w:val="en-US" w:eastAsia="ja-JP"/>
    </w:rPr>
  </w:style>
  <w:style w:type="character" w:customStyle="1" w:styleId="Heading3Char">
    <w:name w:val="Heading 3 Char"/>
    <w:basedOn w:val="DefaultParagraphFont"/>
    <w:link w:val="Heading3"/>
    <w:uiPriority w:val="9"/>
    <w:rsid w:val="00037B16"/>
    <w:rPr>
      <w:rFonts w:asciiTheme="majorHAnsi" w:eastAsiaTheme="majorEastAsia" w:hAnsiTheme="majorHAnsi" w:cstheme="majorBidi"/>
      <w:b/>
      <w:bCs/>
      <w:color w:val="4F81BD" w:themeColor="accent1"/>
      <w:sz w:val="28"/>
      <w:lang w:val="en-GB"/>
    </w:rPr>
  </w:style>
  <w:style w:type="character" w:customStyle="1" w:styleId="Heading4Char">
    <w:name w:val="Heading 4 Char"/>
    <w:basedOn w:val="DefaultParagraphFont"/>
    <w:link w:val="Heading4"/>
    <w:uiPriority w:val="9"/>
    <w:rsid w:val="00037B16"/>
    <w:rPr>
      <w:rFonts w:asciiTheme="majorHAnsi" w:eastAsiaTheme="majorEastAsia" w:hAnsiTheme="majorHAnsi" w:cstheme="majorBidi"/>
      <w:b/>
      <w:bCs/>
      <w:iCs/>
      <w:color w:val="4F81BD" w:themeColor="accent1"/>
      <w:sz w:val="24"/>
      <w:lang w:val="en-GB"/>
    </w:rPr>
  </w:style>
  <w:style w:type="character" w:customStyle="1" w:styleId="GlossaryChar">
    <w:name w:val="Glossary Char"/>
    <w:basedOn w:val="NoSpacingChar"/>
    <w:link w:val="Glossary"/>
    <w:locked/>
    <w:rsid w:val="00D620E7"/>
    <w:rPr>
      <w:rFonts w:ascii="MS Mincho" w:eastAsia="MS Mincho" w:hAnsi="MS Mincho" w:cs="Arial"/>
      <w:lang w:val="en-US" w:eastAsia="ja-JP"/>
    </w:rPr>
  </w:style>
  <w:style w:type="paragraph" w:customStyle="1" w:styleId="Glossary">
    <w:name w:val="Glossary"/>
    <w:basedOn w:val="NoSpacing"/>
    <w:link w:val="GlossaryChar"/>
    <w:qFormat/>
    <w:rsid w:val="00D620E7"/>
    <w:pPr>
      <w:ind w:left="993" w:hanging="993"/>
    </w:pPr>
  </w:style>
  <w:style w:type="paragraph" w:customStyle="1" w:styleId="Pa3">
    <w:name w:val="Pa3"/>
    <w:basedOn w:val="Normal"/>
    <w:next w:val="Normal"/>
    <w:uiPriority w:val="99"/>
    <w:rsid w:val="008421B5"/>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8421B5"/>
    <w:rPr>
      <w:rFonts w:ascii="Zapf Dingbats" w:hAnsi="Zapf Dingbats" w:cs="Zapf Dingbats"/>
      <w:color w:val="8E0A39"/>
      <w:sz w:val="18"/>
      <w:szCs w:val="18"/>
    </w:rPr>
  </w:style>
  <w:style w:type="numbering" w:customStyle="1" w:styleId="Bullet">
    <w:name w:val="Bullet"/>
    <w:rsid w:val="00DF1675"/>
  </w:style>
  <w:style w:type="numbering" w:customStyle="1" w:styleId="NumberedList">
    <w:name w:val="Numbered List"/>
    <w:rsid w:val="00DF1675"/>
  </w:style>
  <w:style w:type="paragraph" w:customStyle="1" w:styleId="Quote1">
    <w:name w:val="Quote1"/>
    <w:rsid w:val="0044767E"/>
    <w:pPr>
      <w:spacing w:before="160" w:after="120" w:line="264" w:lineRule="auto"/>
      <w:ind w:left="567"/>
    </w:pPr>
    <w:rPr>
      <w:rFonts w:ascii="Helvetica" w:eastAsia="ヒラギノ角ゴ Pro W3" w:hAnsi="Helvetica" w:cs="Times New Roman"/>
      <w:b/>
      <w:i/>
      <w:color w:val="290082"/>
      <w:sz w:val="20"/>
      <w:szCs w:val="20"/>
      <w:lang w:val="en-US"/>
    </w:rPr>
  </w:style>
  <w:style w:type="paragraph" w:customStyle="1" w:styleId="FootnoteText1">
    <w:name w:val="Footnote Text1"/>
    <w:rsid w:val="00F26089"/>
    <w:pPr>
      <w:spacing w:after="0" w:line="240" w:lineRule="auto"/>
    </w:pPr>
    <w:rPr>
      <w:rFonts w:ascii="Helvetica" w:eastAsia="ヒラギノ角ゴ Pro W3" w:hAnsi="Helvetica" w:cs="Times New Roman"/>
      <w:color w:val="000000"/>
      <w:sz w:val="20"/>
      <w:szCs w:val="20"/>
      <w:lang w:val="en-US"/>
    </w:rPr>
  </w:style>
  <w:style w:type="paragraph" w:customStyle="1" w:styleId="tabletext">
    <w:name w:val="table text"/>
    <w:basedOn w:val="Normal"/>
    <w:uiPriority w:val="99"/>
    <w:rsid w:val="00FD6671"/>
    <w:pPr>
      <w:suppressAutoHyphens/>
      <w:autoSpaceDE w:val="0"/>
      <w:autoSpaceDN w:val="0"/>
      <w:adjustRightInd w:val="0"/>
      <w:spacing w:after="113" w:line="260" w:lineRule="atLeast"/>
      <w:textAlignment w:val="center"/>
    </w:pPr>
    <w:rPr>
      <w:rFonts w:ascii="Arial MT Pro Light" w:hAnsi="Arial MT Pro Light" w:cs="Arial MT Pro Light"/>
      <w:color w:val="000000"/>
      <w:sz w:val="19"/>
      <w:szCs w:val="19"/>
    </w:rPr>
  </w:style>
  <w:style w:type="paragraph" w:customStyle="1" w:styleId="tablebulletedtext">
    <w:name w:val="table bulleted text"/>
    <w:basedOn w:val="tabletext"/>
    <w:uiPriority w:val="99"/>
    <w:rsid w:val="00EA5536"/>
    <w:pPr>
      <w:ind w:left="283" w:hanging="283"/>
    </w:pPr>
  </w:style>
  <w:style w:type="paragraph" w:customStyle="1" w:styleId="BodyA">
    <w:name w:val="Body A"/>
    <w:rsid w:val="009909F6"/>
    <w:pPr>
      <w:spacing w:after="0" w:line="240" w:lineRule="auto"/>
    </w:pPr>
    <w:rPr>
      <w:rFonts w:ascii="Helvetica" w:eastAsia="ヒラギノ角ゴ Pro W3" w:hAnsi="Helvetica" w:cs="Times New Roman"/>
      <w:color w:val="000000"/>
      <w:sz w:val="24"/>
      <w:szCs w:val="20"/>
      <w:lang w:val="en-US" w:eastAsia="en-AU"/>
    </w:rPr>
  </w:style>
  <w:style w:type="paragraph" w:customStyle="1" w:styleId="footnote">
    <w:name w:val="footnote"/>
    <w:basedOn w:val="Normal"/>
    <w:uiPriority w:val="99"/>
    <w:rsid w:val="00BB6B18"/>
    <w:pPr>
      <w:autoSpaceDE w:val="0"/>
      <w:autoSpaceDN w:val="0"/>
      <w:adjustRightInd w:val="0"/>
      <w:spacing w:after="0" w:line="288" w:lineRule="auto"/>
      <w:ind w:left="283" w:hanging="283"/>
      <w:textAlignment w:val="center"/>
    </w:pPr>
    <w:rPr>
      <w:rFonts w:ascii="MyriadPro-LightIt" w:eastAsia="Times New Roman" w:hAnsi="MyriadPro-LightIt" w:cs="MyriadPro-LightIt"/>
      <w:i/>
      <w:iCs/>
      <w:color w:val="000000"/>
      <w:sz w:val="14"/>
      <w:szCs w:val="14"/>
      <w:lang w:eastAsia="en-AU"/>
    </w:rPr>
  </w:style>
  <w:style w:type="character" w:styleId="FollowedHyperlink">
    <w:name w:val="FollowedHyperlink"/>
    <w:basedOn w:val="DefaultParagraphFont"/>
    <w:uiPriority w:val="99"/>
    <w:semiHidden/>
    <w:unhideWhenUsed/>
    <w:rsid w:val="003E6D74"/>
    <w:rPr>
      <w:color w:val="800080" w:themeColor="followedHyperlink"/>
      <w:u w:val="single"/>
    </w:rPr>
  </w:style>
  <w:style w:type="character" w:styleId="CommentReference">
    <w:name w:val="annotation reference"/>
    <w:basedOn w:val="DefaultParagraphFont"/>
    <w:uiPriority w:val="99"/>
    <w:semiHidden/>
    <w:unhideWhenUsed/>
    <w:rsid w:val="0061034E"/>
    <w:rPr>
      <w:sz w:val="18"/>
      <w:szCs w:val="18"/>
    </w:rPr>
  </w:style>
  <w:style w:type="paragraph" w:styleId="CommentText">
    <w:name w:val="annotation text"/>
    <w:basedOn w:val="Normal"/>
    <w:link w:val="CommentTextChar"/>
    <w:uiPriority w:val="99"/>
    <w:semiHidden/>
    <w:unhideWhenUsed/>
    <w:rsid w:val="0061034E"/>
    <w:pPr>
      <w:spacing w:line="240" w:lineRule="auto"/>
    </w:pPr>
    <w:rPr>
      <w:sz w:val="24"/>
      <w:szCs w:val="24"/>
    </w:rPr>
  </w:style>
  <w:style w:type="character" w:customStyle="1" w:styleId="CommentTextChar">
    <w:name w:val="Comment Text Char"/>
    <w:basedOn w:val="DefaultParagraphFont"/>
    <w:link w:val="CommentText"/>
    <w:uiPriority w:val="99"/>
    <w:semiHidden/>
    <w:rsid w:val="0061034E"/>
    <w:rPr>
      <w:sz w:val="24"/>
      <w:szCs w:val="24"/>
    </w:rPr>
  </w:style>
  <w:style w:type="paragraph" w:styleId="CommentSubject">
    <w:name w:val="annotation subject"/>
    <w:basedOn w:val="CommentText"/>
    <w:next w:val="CommentText"/>
    <w:link w:val="CommentSubjectChar"/>
    <w:uiPriority w:val="99"/>
    <w:semiHidden/>
    <w:unhideWhenUsed/>
    <w:rsid w:val="0061034E"/>
    <w:rPr>
      <w:b/>
      <w:bCs/>
      <w:sz w:val="20"/>
      <w:szCs w:val="20"/>
    </w:rPr>
  </w:style>
  <w:style w:type="character" w:customStyle="1" w:styleId="CommentSubjectChar">
    <w:name w:val="Comment Subject Char"/>
    <w:basedOn w:val="CommentTextChar"/>
    <w:link w:val="CommentSubject"/>
    <w:uiPriority w:val="99"/>
    <w:semiHidden/>
    <w:rsid w:val="0061034E"/>
    <w:rPr>
      <w:b/>
      <w:bCs/>
      <w:sz w:val="20"/>
      <w:szCs w:val="20"/>
    </w:rPr>
  </w:style>
  <w:style w:type="paragraph" w:styleId="Revision">
    <w:name w:val="Revision"/>
    <w:hidden/>
    <w:uiPriority w:val="99"/>
    <w:semiHidden/>
    <w:rsid w:val="008A4BAA"/>
    <w:pPr>
      <w:spacing w:after="0" w:line="240" w:lineRule="auto"/>
    </w:pPr>
  </w:style>
  <w:style w:type="character" w:customStyle="1" w:styleId="highlight">
    <w:name w:val="highlight"/>
    <w:basedOn w:val="DefaultParagraphFont"/>
    <w:rsid w:val="006350B8"/>
  </w:style>
  <w:style w:type="paragraph" w:styleId="TOCHeading">
    <w:name w:val="TOC Heading"/>
    <w:basedOn w:val="Heading1"/>
    <w:next w:val="Normal"/>
    <w:uiPriority w:val="39"/>
    <w:semiHidden/>
    <w:unhideWhenUsed/>
    <w:qFormat/>
    <w:rsid w:val="006D0552"/>
    <w:pPr>
      <w:keepLines/>
      <w:pageBreakBefore w:val="0"/>
      <w:pBdr>
        <w:bottom w:val="none" w:sz="0" w:space="0" w:color="auto"/>
      </w:pBdr>
      <w:spacing w:before="480" w:after="0"/>
      <w:outlineLvl w:val="9"/>
    </w:pPr>
    <w:rPr>
      <w:rFonts w:asciiTheme="majorHAnsi" w:eastAsiaTheme="majorEastAsia" w:hAnsiTheme="majorHAnsi" w:cstheme="majorBidi"/>
      <w:b/>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8514">
      <w:bodyDiv w:val="1"/>
      <w:marLeft w:val="0"/>
      <w:marRight w:val="0"/>
      <w:marTop w:val="0"/>
      <w:marBottom w:val="0"/>
      <w:divBdr>
        <w:top w:val="none" w:sz="0" w:space="0" w:color="auto"/>
        <w:left w:val="none" w:sz="0" w:space="0" w:color="auto"/>
        <w:bottom w:val="none" w:sz="0" w:space="0" w:color="auto"/>
        <w:right w:val="none" w:sz="0" w:space="0" w:color="auto"/>
      </w:divBdr>
    </w:div>
    <w:div w:id="153188805">
      <w:bodyDiv w:val="1"/>
      <w:marLeft w:val="0"/>
      <w:marRight w:val="0"/>
      <w:marTop w:val="0"/>
      <w:marBottom w:val="0"/>
      <w:divBdr>
        <w:top w:val="none" w:sz="0" w:space="0" w:color="auto"/>
        <w:left w:val="none" w:sz="0" w:space="0" w:color="auto"/>
        <w:bottom w:val="none" w:sz="0" w:space="0" w:color="auto"/>
        <w:right w:val="none" w:sz="0" w:space="0" w:color="auto"/>
      </w:divBdr>
    </w:div>
    <w:div w:id="215512834">
      <w:bodyDiv w:val="1"/>
      <w:marLeft w:val="0"/>
      <w:marRight w:val="0"/>
      <w:marTop w:val="0"/>
      <w:marBottom w:val="0"/>
      <w:divBdr>
        <w:top w:val="none" w:sz="0" w:space="0" w:color="auto"/>
        <w:left w:val="none" w:sz="0" w:space="0" w:color="auto"/>
        <w:bottom w:val="none" w:sz="0" w:space="0" w:color="auto"/>
        <w:right w:val="none" w:sz="0" w:space="0" w:color="auto"/>
      </w:divBdr>
    </w:div>
    <w:div w:id="261568163">
      <w:bodyDiv w:val="1"/>
      <w:marLeft w:val="0"/>
      <w:marRight w:val="0"/>
      <w:marTop w:val="0"/>
      <w:marBottom w:val="0"/>
      <w:divBdr>
        <w:top w:val="none" w:sz="0" w:space="0" w:color="auto"/>
        <w:left w:val="none" w:sz="0" w:space="0" w:color="auto"/>
        <w:bottom w:val="none" w:sz="0" w:space="0" w:color="auto"/>
        <w:right w:val="none" w:sz="0" w:space="0" w:color="auto"/>
      </w:divBdr>
      <w:divsChild>
        <w:div w:id="856190723">
          <w:marLeft w:val="547"/>
          <w:marRight w:val="0"/>
          <w:marTop w:val="86"/>
          <w:marBottom w:val="0"/>
          <w:divBdr>
            <w:top w:val="none" w:sz="0" w:space="0" w:color="auto"/>
            <w:left w:val="none" w:sz="0" w:space="0" w:color="auto"/>
            <w:bottom w:val="none" w:sz="0" w:space="0" w:color="auto"/>
            <w:right w:val="none" w:sz="0" w:space="0" w:color="auto"/>
          </w:divBdr>
        </w:div>
        <w:div w:id="1195851767">
          <w:marLeft w:val="547"/>
          <w:marRight w:val="0"/>
          <w:marTop w:val="86"/>
          <w:marBottom w:val="0"/>
          <w:divBdr>
            <w:top w:val="none" w:sz="0" w:space="0" w:color="auto"/>
            <w:left w:val="none" w:sz="0" w:space="0" w:color="auto"/>
            <w:bottom w:val="none" w:sz="0" w:space="0" w:color="auto"/>
            <w:right w:val="none" w:sz="0" w:space="0" w:color="auto"/>
          </w:divBdr>
        </w:div>
      </w:divsChild>
    </w:div>
    <w:div w:id="312956403">
      <w:bodyDiv w:val="1"/>
      <w:marLeft w:val="0"/>
      <w:marRight w:val="0"/>
      <w:marTop w:val="0"/>
      <w:marBottom w:val="0"/>
      <w:divBdr>
        <w:top w:val="none" w:sz="0" w:space="0" w:color="auto"/>
        <w:left w:val="none" w:sz="0" w:space="0" w:color="auto"/>
        <w:bottom w:val="none" w:sz="0" w:space="0" w:color="auto"/>
        <w:right w:val="none" w:sz="0" w:space="0" w:color="auto"/>
      </w:divBdr>
    </w:div>
    <w:div w:id="327289389">
      <w:bodyDiv w:val="1"/>
      <w:marLeft w:val="0"/>
      <w:marRight w:val="0"/>
      <w:marTop w:val="0"/>
      <w:marBottom w:val="0"/>
      <w:divBdr>
        <w:top w:val="none" w:sz="0" w:space="0" w:color="auto"/>
        <w:left w:val="none" w:sz="0" w:space="0" w:color="auto"/>
        <w:bottom w:val="none" w:sz="0" w:space="0" w:color="auto"/>
        <w:right w:val="none" w:sz="0" w:space="0" w:color="auto"/>
      </w:divBdr>
    </w:div>
    <w:div w:id="341472601">
      <w:bodyDiv w:val="1"/>
      <w:marLeft w:val="0"/>
      <w:marRight w:val="0"/>
      <w:marTop w:val="0"/>
      <w:marBottom w:val="0"/>
      <w:divBdr>
        <w:top w:val="none" w:sz="0" w:space="0" w:color="auto"/>
        <w:left w:val="none" w:sz="0" w:space="0" w:color="auto"/>
        <w:bottom w:val="none" w:sz="0" w:space="0" w:color="auto"/>
        <w:right w:val="none" w:sz="0" w:space="0" w:color="auto"/>
      </w:divBdr>
    </w:div>
    <w:div w:id="384641582">
      <w:bodyDiv w:val="1"/>
      <w:marLeft w:val="0"/>
      <w:marRight w:val="0"/>
      <w:marTop w:val="0"/>
      <w:marBottom w:val="0"/>
      <w:divBdr>
        <w:top w:val="none" w:sz="0" w:space="0" w:color="auto"/>
        <w:left w:val="none" w:sz="0" w:space="0" w:color="auto"/>
        <w:bottom w:val="none" w:sz="0" w:space="0" w:color="auto"/>
        <w:right w:val="none" w:sz="0" w:space="0" w:color="auto"/>
      </w:divBdr>
    </w:div>
    <w:div w:id="392001247">
      <w:bodyDiv w:val="1"/>
      <w:marLeft w:val="0"/>
      <w:marRight w:val="0"/>
      <w:marTop w:val="0"/>
      <w:marBottom w:val="0"/>
      <w:divBdr>
        <w:top w:val="none" w:sz="0" w:space="0" w:color="auto"/>
        <w:left w:val="none" w:sz="0" w:space="0" w:color="auto"/>
        <w:bottom w:val="none" w:sz="0" w:space="0" w:color="auto"/>
        <w:right w:val="none" w:sz="0" w:space="0" w:color="auto"/>
      </w:divBdr>
    </w:div>
    <w:div w:id="552472620">
      <w:bodyDiv w:val="1"/>
      <w:marLeft w:val="0"/>
      <w:marRight w:val="0"/>
      <w:marTop w:val="0"/>
      <w:marBottom w:val="0"/>
      <w:divBdr>
        <w:top w:val="none" w:sz="0" w:space="0" w:color="auto"/>
        <w:left w:val="none" w:sz="0" w:space="0" w:color="auto"/>
        <w:bottom w:val="none" w:sz="0" w:space="0" w:color="auto"/>
        <w:right w:val="none" w:sz="0" w:space="0" w:color="auto"/>
      </w:divBdr>
    </w:div>
    <w:div w:id="687175371">
      <w:bodyDiv w:val="1"/>
      <w:marLeft w:val="0"/>
      <w:marRight w:val="0"/>
      <w:marTop w:val="0"/>
      <w:marBottom w:val="0"/>
      <w:divBdr>
        <w:top w:val="none" w:sz="0" w:space="0" w:color="auto"/>
        <w:left w:val="none" w:sz="0" w:space="0" w:color="auto"/>
        <w:bottom w:val="none" w:sz="0" w:space="0" w:color="auto"/>
        <w:right w:val="none" w:sz="0" w:space="0" w:color="auto"/>
      </w:divBdr>
    </w:div>
    <w:div w:id="735011744">
      <w:bodyDiv w:val="1"/>
      <w:marLeft w:val="0"/>
      <w:marRight w:val="0"/>
      <w:marTop w:val="0"/>
      <w:marBottom w:val="0"/>
      <w:divBdr>
        <w:top w:val="none" w:sz="0" w:space="0" w:color="auto"/>
        <w:left w:val="none" w:sz="0" w:space="0" w:color="auto"/>
        <w:bottom w:val="none" w:sz="0" w:space="0" w:color="auto"/>
        <w:right w:val="none" w:sz="0" w:space="0" w:color="auto"/>
      </w:divBdr>
    </w:div>
    <w:div w:id="746924657">
      <w:bodyDiv w:val="1"/>
      <w:marLeft w:val="0"/>
      <w:marRight w:val="0"/>
      <w:marTop w:val="0"/>
      <w:marBottom w:val="0"/>
      <w:divBdr>
        <w:top w:val="none" w:sz="0" w:space="0" w:color="auto"/>
        <w:left w:val="none" w:sz="0" w:space="0" w:color="auto"/>
        <w:bottom w:val="none" w:sz="0" w:space="0" w:color="auto"/>
        <w:right w:val="none" w:sz="0" w:space="0" w:color="auto"/>
      </w:divBdr>
    </w:div>
    <w:div w:id="815878759">
      <w:bodyDiv w:val="1"/>
      <w:marLeft w:val="0"/>
      <w:marRight w:val="0"/>
      <w:marTop w:val="0"/>
      <w:marBottom w:val="0"/>
      <w:divBdr>
        <w:top w:val="none" w:sz="0" w:space="0" w:color="auto"/>
        <w:left w:val="none" w:sz="0" w:space="0" w:color="auto"/>
        <w:bottom w:val="none" w:sz="0" w:space="0" w:color="auto"/>
        <w:right w:val="none" w:sz="0" w:space="0" w:color="auto"/>
      </w:divBdr>
    </w:div>
    <w:div w:id="840436977">
      <w:bodyDiv w:val="1"/>
      <w:marLeft w:val="0"/>
      <w:marRight w:val="0"/>
      <w:marTop w:val="0"/>
      <w:marBottom w:val="0"/>
      <w:divBdr>
        <w:top w:val="none" w:sz="0" w:space="0" w:color="auto"/>
        <w:left w:val="none" w:sz="0" w:space="0" w:color="auto"/>
        <w:bottom w:val="none" w:sz="0" w:space="0" w:color="auto"/>
        <w:right w:val="none" w:sz="0" w:space="0" w:color="auto"/>
      </w:divBdr>
    </w:div>
    <w:div w:id="852112068">
      <w:bodyDiv w:val="1"/>
      <w:marLeft w:val="0"/>
      <w:marRight w:val="0"/>
      <w:marTop w:val="0"/>
      <w:marBottom w:val="0"/>
      <w:divBdr>
        <w:top w:val="none" w:sz="0" w:space="0" w:color="auto"/>
        <w:left w:val="none" w:sz="0" w:space="0" w:color="auto"/>
        <w:bottom w:val="none" w:sz="0" w:space="0" w:color="auto"/>
        <w:right w:val="none" w:sz="0" w:space="0" w:color="auto"/>
      </w:divBdr>
      <w:divsChild>
        <w:div w:id="1114246867">
          <w:marLeft w:val="547"/>
          <w:marRight w:val="0"/>
          <w:marTop w:val="86"/>
          <w:marBottom w:val="0"/>
          <w:divBdr>
            <w:top w:val="none" w:sz="0" w:space="0" w:color="auto"/>
            <w:left w:val="none" w:sz="0" w:space="0" w:color="auto"/>
            <w:bottom w:val="none" w:sz="0" w:space="0" w:color="auto"/>
            <w:right w:val="none" w:sz="0" w:space="0" w:color="auto"/>
          </w:divBdr>
        </w:div>
        <w:div w:id="372117473">
          <w:marLeft w:val="547"/>
          <w:marRight w:val="0"/>
          <w:marTop w:val="86"/>
          <w:marBottom w:val="0"/>
          <w:divBdr>
            <w:top w:val="none" w:sz="0" w:space="0" w:color="auto"/>
            <w:left w:val="none" w:sz="0" w:space="0" w:color="auto"/>
            <w:bottom w:val="none" w:sz="0" w:space="0" w:color="auto"/>
            <w:right w:val="none" w:sz="0" w:space="0" w:color="auto"/>
          </w:divBdr>
        </w:div>
      </w:divsChild>
    </w:div>
    <w:div w:id="877861857">
      <w:bodyDiv w:val="1"/>
      <w:marLeft w:val="0"/>
      <w:marRight w:val="0"/>
      <w:marTop w:val="0"/>
      <w:marBottom w:val="0"/>
      <w:divBdr>
        <w:top w:val="none" w:sz="0" w:space="0" w:color="auto"/>
        <w:left w:val="none" w:sz="0" w:space="0" w:color="auto"/>
        <w:bottom w:val="none" w:sz="0" w:space="0" w:color="auto"/>
        <w:right w:val="none" w:sz="0" w:space="0" w:color="auto"/>
      </w:divBdr>
    </w:div>
    <w:div w:id="942762727">
      <w:bodyDiv w:val="1"/>
      <w:marLeft w:val="0"/>
      <w:marRight w:val="0"/>
      <w:marTop w:val="0"/>
      <w:marBottom w:val="0"/>
      <w:divBdr>
        <w:top w:val="none" w:sz="0" w:space="0" w:color="auto"/>
        <w:left w:val="none" w:sz="0" w:space="0" w:color="auto"/>
        <w:bottom w:val="none" w:sz="0" w:space="0" w:color="auto"/>
        <w:right w:val="none" w:sz="0" w:space="0" w:color="auto"/>
      </w:divBdr>
    </w:div>
    <w:div w:id="974722071">
      <w:bodyDiv w:val="1"/>
      <w:marLeft w:val="0"/>
      <w:marRight w:val="0"/>
      <w:marTop w:val="0"/>
      <w:marBottom w:val="0"/>
      <w:divBdr>
        <w:top w:val="none" w:sz="0" w:space="0" w:color="auto"/>
        <w:left w:val="none" w:sz="0" w:space="0" w:color="auto"/>
        <w:bottom w:val="none" w:sz="0" w:space="0" w:color="auto"/>
        <w:right w:val="none" w:sz="0" w:space="0" w:color="auto"/>
      </w:divBdr>
    </w:div>
    <w:div w:id="1019041297">
      <w:bodyDiv w:val="1"/>
      <w:marLeft w:val="0"/>
      <w:marRight w:val="0"/>
      <w:marTop w:val="0"/>
      <w:marBottom w:val="0"/>
      <w:divBdr>
        <w:top w:val="none" w:sz="0" w:space="0" w:color="auto"/>
        <w:left w:val="none" w:sz="0" w:space="0" w:color="auto"/>
        <w:bottom w:val="none" w:sz="0" w:space="0" w:color="auto"/>
        <w:right w:val="none" w:sz="0" w:space="0" w:color="auto"/>
      </w:divBdr>
      <w:divsChild>
        <w:div w:id="1355224548">
          <w:marLeft w:val="0"/>
          <w:marRight w:val="0"/>
          <w:marTop w:val="0"/>
          <w:marBottom w:val="0"/>
          <w:divBdr>
            <w:top w:val="none" w:sz="0" w:space="0" w:color="auto"/>
            <w:left w:val="none" w:sz="0" w:space="0" w:color="auto"/>
            <w:bottom w:val="none" w:sz="0" w:space="0" w:color="auto"/>
            <w:right w:val="none" w:sz="0" w:space="0" w:color="auto"/>
          </w:divBdr>
        </w:div>
        <w:div w:id="1557932911">
          <w:marLeft w:val="0"/>
          <w:marRight w:val="0"/>
          <w:marTop w:val="0"/>
          <w:marBottom w:val="0"/>
          <w:divBdr>
            <w:top w:val="none" w:sz="0" w:space="0" w:color="auto"/>
            <w:left w:val="none" w:sz="0" w:space="0" w:color="auto"/>
            <w:bottom w:val="none" w:sz="0" w:space="0" w:color="auto"/>
            <w:right w:val="none" w:sz="0" w:space="0" w:color="auto"/>
          </w:divBdr>
        </w:div>
        <w:div w:id="1334527363">
          <w:marLeft w:val="0"/>
          <w:marRight w:val="0"/>
          <w:marTop w:val="0"/>
          <w:marBottom w:val="0"/>
          <w:divBdr>
            <w:top w:val="none" w:sz="0" w:space="0" w:color="auto"/>
            <w:left w:val="none" w:sz="0" w:space="0" w:color="auto"/>
            <w:bottom w:val="none" w:sz="0" w:space="0" w:color="auto"/>
            <w:right w:val="none" w:sz="0" w:space="0" w:color="auto"/>
          </w:divBdr>
        </w:div>
      </w:divsChild>
    </w:div>
    <w:div w:id="1229998799">
      <w:bodyDiv w:val="1"/>
      <w:marLeft w:val="0"/>
      <w:marRight w:val="0"/>
      <w:marTop w:val="0"/>
      <w:marBottom w:val="0"/>
      <w:divBdr>
        <w:top w:val="none" w:sz="0" w:space="0" w:color="auto"/>
        <w:left w:val="none" w:sz="0" w:space="0" w:color="auto"/>
        <w:bottom w:val="none" w:sz="0" w:space="0" w:color="auto"/>
        <w:right w:val="none" w:sz="0" w:space="0" w:color="auto"/>
      </w:divBdr>
    </w:div>
    <w:div w:id="1325276313">
      <w:bodyDiv w:val="1"/>
      <w:marLeft w:val="0"/>
      <w:marRight w:val="0"/>
      <w:marTop w:val="0"/>
      <w:marBottom w:val="0"/>
      <w:divBdr>
        <w:top w:val="none" w:sz="0" w:space="0" w:color="auto"/>
        <w:left w:val="none" w:sz="0" w:space="0" w:color="auto"/>
        <w:bottom w:val="none" w:sz="0" w:space="0" w:color="auto"/>
        <w:right w:val="none" w:sz="0" w:space="0" w:color="auto"/>
      </w:divBdr>
    </w:div>
    <w:div w:id="1353343441">
      <w:bodyDiv w:val="1"/>
      <w:marLeft w:val="0"/>
      <w:marRight w:val="0"/>
      <w:marTop w:val="0"/>
      <w:marBottom w:val="0"/>
      <w:divBdr>
        <w:top w:val="none" w:sz="0" w:space="0" w:color="auto"/>
        <w:left w:val="none" w:sz="0" w:space="0" w:color="auto"/>
        <w:bottom w:val="none" w:sz="0" w:space="0" w:color="auto"/>
        <w:right w:val="none" w:sz="0" w:space="0" w:color="auto"/>
      </w:divBdr>
      <w:divsChild>
        <w:div w:id="925383009">
          <w:marLeft w:val="547"/>
          <w:marRight w:val="0"/>
          <w:marTop w:val="106"/>
          <w:marBottom w:val="0"/>
          <w:divBdr>
            <w:top w:val="none" w:sz="0" w:space="0" w:color="auto"/>
            <w:left w:val="none" w:sz="0" w:space="0" w:color="auto"/>
            <w:bottom w:val="none" w:sz="0" w:space="0" w:color="auto"/>
            <w:right w:val="none" w:sz="0" w:space="0" w:color="auto"/>
          </w:divBdr>
        </w:div>
        <w:div w:id="935865309">
          <w:marLeft w:val="1166"/>
          <w:marRight w:val="0"/>
          <w:marTop w:val="96"/>
          <w:marBottom w:val="0"/>
          <w:divBdr>
            <w:top w:val="none" w:sz="0" w:space="0" w:color="auto"/>
            <w:left w:val="none" w:sz="0" w:space="0" w:color="auto"/>
            <w:bottom w:val="none" w:sz="0" w:space="0" w:color="auto"/>
            <w:right w:val="none" w:sz="0" w:space="0" w:color="auto"/>
          </w:divBdr>
        </w:div>
        <w:div w:id="1535579767">
          <w:marLeft w:val="1166"/>
          <w:marRight w:val="0"/>
          <w:marTop w:val="96"/>
          <w:marBottom w:val="0"/>
          <w:divBdr>
            <w:top w:val="none" w:sz="0" w:space="0" w:color="auto"/>
            <w:left w:val="none" w:sz="0" w:space="0" w:color="auto"/>
            <w:bottom w:val="none" w:sz="0" w:space="0" w:color="auto"/>
            <w:right w:val="none" w:sz="0" w:space="0" w:color="auto"/>
          </w:divBdr>
        </w:div>
      </w:divsChild>
    </w:div>
    <w:div w:id="1372535674">
      <w:bodyDiv w:val="1"/>
      <w:marLeft w:val="0"/>
      <w:marRight w:val="0"/>
      <w:marTop w:val="0"/>
      <w:marBottom w:val="0"/>
      <w:divBdr>
        <w:top w:val="none" w:sz="0" w:space="0" w:color="auto"/>
        <w:left w:val="none" w:sz="0" w:space="0" w:color="auto"/>
        <w:bottom w:val="none" w:sz="0" w:space="0" w:color="auto"/>
        <w:right w:val="none" w:sz="0" w:space="0" w:color="auto"/>
      </w:divBdr>
      <w:divsChild>
        <w:div w:id="1809590817">
          <w:marLeft w:val="0"/>
          <w:marRight w:val="0"/>
          <w:marTop w:val="0"/>
          <w:marBottom w:val="0"/>
          <w:divBdr>
            <w:top w:val="none" w:sz="0" w:space="0" w:color="auto"/>
            <w:left w:val="none" w:sz="0" w:space="0" w:color="auto"/>
            <w:bottom w:val="none" w:sz="0" w:space="0" w:color="auto"/>
            <w:right w:val="none" w:sz="0" w:space="0" w:color="auto"/>
          </w:divBdr>
        </w:div>
      </w:divsChild>
    </w:div>
    <w:div w:id="1448767488">
      <w:bodyDiv w:val="1"/>
      <w:marLeft w:val="0"/>
      <w:marRight w:val="0"/>
      <w:marTop w:val="0"/>
      <w:marBottom w:val="0"/>
      <w:divBdr>
        <w:top w:val="none" w:sz="0" w:space="0" w:color="auto"/>
        <w:left w:val="none" w:sz="0" w:space="0" w:color="auto"/>
        <w:bottom w:val="none" w:sz="0" w:space="0" w:color="auto"/>
        <w:right w:val="none" w:sz="0" w:space="0" w:color="auto"/>
      </w:divBdr>
    </w:div>
    <w:div w:id="1455171430">
      <w:bodyDiv w:val="1"/>
      <w:marLeft w:val="0"/>
      <w:marRight w:val="0"/>
      <w:marTop w:val="0"/>
      <w:marBottom w:val="0"/>
      <w:divBdr>
        <w:top w:val="none" w:sz="0" w:space="0" w:color="auto"/>
        <w:left w:val="none" w:sz="0" w:space="0" w:color="auto"/>
        <w:bottom w:val="none" w:sz="0" w:space="0" w:color="auto"/>
        <w:right w:val="none" w:sz="0" w:space="0" w:color="auto"/>
      </w:divBdr>
    </w:div>
    <w:div w:id="1506942805">
      <w:bodyDiv w:val="1"/>
      <w:marLeft w:val="0"/>
      <w:marRight w:val="0"/>
      <w:marTop w:val="0"/>
      <w:marBottom w:val="0"/>
      <w:divBdr>
        <w:top w:val="none" w:sz="0" w:space="0" w:color="auto"/>
        <w:left w:val="none" w:sz="0" w:space="0" w:color="auto"/>
        <w:bottom w:val="none" w:sz="0" w:space="0" w:color="auto"/>
        <w:right w:val="none" w:sz="0" w:space="0" w:color="auto"/>
      </w:divBdr>
    </w:div>
    <w:div w:id="1638022382">
      <w:bodyDiv w:val="1"/>
      <w:marLeft w:val="0"/>
      <w:marRight w:val="0"/>
      <w:marTop w:val="0"/>
      <w:marBottom w:val="0"/>
      <w:divBdr>
        <w:top w:val="none" w:sz="0" w:space="0" w:color="auto"/>
        <w:left w:val="none" w:sz="0" w:space="0" w:color="auto"/>
        <w:bottom w:val="none" w:sz="0" w:space="0" w:color="auto"/>
        <w:right w:val="none" w:sz="0" w:space="0" w:color="auto"/>
      </w:divBdr>
    </w:div>
    <w:div w:id="1659069285">
      <w:bodyDiv w:val="1"/>
      <w:marLeft w:val="0"/>
      <w:marRight w:val="0"/>
      <w:marTop w:val="0"/>
      <w:marBottom w:val="0"/>
      <w:divBdr>
        <w:top w:val="none" w:sz="0" w:space="0" w:color="auto"/>
        <w:left w:val="none" w:sz="0" w:space="0" w:color="auto"/>
        <w:bottom w:val="none" w:sz="0" w:space="0" w:color="auto"/>
        <w:right w:val="none" w:sz="0" w:space="0" w:color="auto"/>
      </w:divBdr>
    </w:div>
    <w:div w:id="1661348082">
      <w:bodyDiv w:val="1"/>
      <w:marLeft w:val="0"/>
      <w:marRight w:val="0"/>
      <w:marTop w:val="0"/>
      <w:marBottom w:val="0"/>
      <w:divBdr>
        <w:top w:val="none" w:sz="0" w:space="0" w:color="auto"/>
        <w:left w:val="none" w:sz="0" w:space="0" w:color="auto"/>
        <w:bottom w:val="none" w:sz="0" w:space="0" w:color="auto"/>
        <w:right w:val="none" w:sz="0" w:space="0" w:color="auto"/>
      </w:divBdr>
    </w:div>
    <w:div w:id="1727990947">
      <w:bodyDiv w:val="1"/>
      <w:marLeft w:val="0"/>
      <w:marRight w:val="0"/>
      <w:marTop w:val="0"/>
      <w:marBottom w:val="0"/>
      <w:divBdr>
        <w:top w:val="none" w:sz="0" w:space="0" w:color="auto"/>
        <w:left w:val="none" w:sz="0" w:space="0" w:color="auto"/>
        <w:bottom w:val="none" w:sz="0" w:space="0" w:color="auto"/>
        <w:right w:val="none" w:sz="0" w:space="0" w:color="auto"/>
      </w:divBdr>
    </w:div>
    <w:div w:id="1834485413">
      <w:bodyDiv w:val="1"/>
      <w:marLeft w:val="0"/>
      <w:marRight w:val="0"/>
      <w:marTop w:val="0"/>
      <w:marBottom w:val="0"/>
      <w:divBdr>
        <w:top w:val="none" w:sz="0" w:space="0" w:color="auto"/>
        <w:left w:val="none" w:sz="0" w:space="0" w:color="auto"/>
        <w:bottom w:val="none" w:sz="0" w:space="0" w:color="auto"/>
        <w:right w:val="none" w:sz="0" w:space="0" w:color="auto"/>
      </w:divBdr>
    </w:div>
    <w:div w:id="1937666613">
      <w:bodyDiv w:val="1"/>
      <w:marLeft w:val="0"/>
      <w:marRight w:val="0"/>
      <w:marTop w:val="0"/>
      <w:marBottom w:val="0"/>
      <w:divBdr>
        <w:top w:val="none" w:sz="0" w:space="0" w:color="auto"/>
        <w:left w:val="none" w:sz="0" w:space="0" w:color="auto"/>
        <w:bottom w:val="none" w:sz="0" w:space="0" w:color="auto"/>
        <w:right w:val="none" w:sz="0" w:space="0" w:color="auto"/>
      </w:divBdr>
    </w:div>
    <w:div w:id="1988166953">
      <w:bodyDiv w:val="1"/>
      <w:marLeft w:val="0"/>
      <w:marRight w:val="0"/>
      <w:marTop w:val="0"/>
      <w:marBottom w:val="0"/>
      <w:divBdr>
        <w:top w:val="none" w:sz="0" w:space="0" w:color="auto"/>
        <w:left w:val="none" w:sz="0" w:space="0" w:color="auto"/>
        <w:bottom w:val="none" w:sz="0" w:space="0" w:color="auto"/>
        <w:right w:val="none" w:sz="0" w:space="0" w:color="auto"/>
      </w:divBdr>
      <w:divsChild>
        <w:div w:id="1981887054">
          <w:marLeft w:val="547"/>
          <w:marRight w:val="0"/>
          <w:marTop w:val="106"/>
          <w:marBottom w:val="0"/>
          <w:divBdr>
            <w:top w:val="none" w:sz="0" w:space="0" w:color="auto"/>
            <w:left w:val="none" w:sz="0" w:space="0" w:color="auto"/>
            <w:bottom w:val="none" w:sz="0" w:space="0" w:color="auto"/>
            <w:right w:val="none" w:sz="0" w:space="0" w:color="auto"/>
          </w:divBdr>
        </w:div>
        <w:div w:id="146442079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org/resources/budget/" TargetMode="External"/><Relationship Id="rId18" Type="http://schemas.openxmlformats.org/officeDocument/2006/relationships/hyperlink" Target="http://www.asic.gov.au/asic/pdflib.nsf/LookupByFileName/REP152_Helping%20home%20borrowers%20in%20financial%20hardship.pdf/$file/REP152_Helping%20home%20borrowers%20in%20financial%20hardship.pdf" TargetMode="External"/><Relationship Id="rId26" Type="http://schemas.openxmlformats.org/officeDocument/2006/relationships/hyperlink" Target="http://www.esc.vic.gov.au/getattachment/454fcbdd-b465-48bd-9a17-2b3d3b8f7864/Final-Decision-Hardship-related-guaranteed-service.pdf" TargetMode="External"/><Relationship Id="rId39" Type="http://schemas.openxmlformats.org/officeDocument/2006/relationships/hyperlink" Target="http://www.puc.state.pa.us/consumer_info/electricity/energy_assistance_programs.aspx" TargetMode="External"/><Relationship Id="rId21" Type="http://schemas.openxmlformats.org/officeDocument/2006/relationships/hyperlink" Target="http://cyberlawcentre.org/onlinecodes/report.pdf" TargetMode="External"/><Relationship Id="rId34" Type="http://schemas.openxmlformats.org/officeDocument/2006/relationships/hyperlink" Target="http://www.erawa.com.au/cproot/8762/2/20100824%20D49722%20Financial%20Hardship%20Policy%20Guidelines%20-%20August%202010.pdf" TargetMode="External"/><Relationship Id="rId42" Type="http://schemas.openxmlformats.org/officeDocument/2006/relationships/hyperlink" Target="http://www.asic.gov.au/asic/pdflib.nsf/LookupByFileName/REP152_Helping%20home%20borrowers%20in%20financial%20hardship.pdf/$file/REP152_Helping%20home%20borrowers%20in%20financial%20hardship.pdf" TargetMode="External"/><Relationship Id="rId47" Type="http://schemas.openxmlformats.org/officeDocument/2006/relationships/hyperlink" Target="http://consumeraction.org.au/wp-content/uploads/2012/05/DL51.pdf" TargetMode="External"/><Relationship Id="rId50" Type="http://schemas.openxmlformats.org/officeDocument/2006/relationships/hyperlink" Target="http://www.deloitte.com/view/en_AU/au/insights/browse-by-job-title/coos/54786c6fad4cd310VgnVCM1000003256f70aRCRD.htm" TargetMode="External"/><Relationship Id="rId55" Type="http://schemas.openxmlformats.org/officeDocument/2006/relationships/hyperlink" Target="http://www.esc.vic.gov.au/getattachment/22ce8803-a056-42be-8cbc-4f9ed44c7359/Final-Operating-Procedure-Wrongful-Disconnection-C.pdf" TargetMode="External"/><Relationship Id="rId63" Type="http://schemas.openxmlformats.org/officeDocument/2006/relationships/hyperlink" Target="http://citiesprogramme.com/cities/oceania/australia/melbourne/utility-debt-spiral-project"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ppriseinc.org/reports/PECO%20Below%2050pct.pdf" TargetMode="External"/><Relationship Id="rId29" Type="http://schemas.openxmlformats.org/officeDocument/2006/relationships/hyperlink" Target="http://www.esc.vic.gov.au/getattachment/22ce8803-a056-42be-8cbc-4f9ed44c7359/Final-Operating-Procedure-Wrongful-Disconnection-C.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sc.vic.gov.au/getattachment/0fff197d-dafd-49c0-ae3c-8531d2dece22/Developing-an-approach-to-measure-the-effects-of-a.pdf" TargetMode="External"/><Relationship Id="rId32" Type="http://schemas.openxmlformats.org/officeDocument/2006/relationships/hyperlink" Target="http://www.anglicare-tas.org.au/docs/research/Hard_times_full_report.pdf" TargetMode="External"/><Relationship Id="rId37" Type="http://schemas.openxmlformats.org/officeDocument/2006/relationships/hyperlink" Target="http://www.assurancewireless.com/Public/Welcome.aspx" TargetMode="External"/><Relationship Id="rId40" Type="http://schemas.openxmlformats.org/officeDocument/2006/relationships/hyperlink" Target="http://www.appriseinc.org/reports/PECO%20Below%2050pct.pdf" TargetMode="External"/><Relationship Id="rId45" Type="http://schemas.openxmlformats.org/officeDocument/2006/relationships/hyperlink" Target="http://cyberlawcentre.org/onlinecodes/report.pdf" TargetMode="External"/><Relationship Id="rId53" Type="http://schemas.openxmlformats.org/officeDocument/2006/relationships/hyperlink" Target="http://www.esc.vic.gov.au/getattachment/1e2fbeb1-bee5-4c34-a9fc-303fd0bf4f52/Summary-Business-responses-to-hardship-policies-an.pdf" TargetMode="External"/><Relationship Id="rId58" Type="http://schemas.openxmlformats.org/officeDocument/2006/relationships/hyperlink" Target="http://www.anglicare-tas.org.au/docs/research/Hard_times_full_report.pdf" TargetMode="External"/><Relationship Id="rId66" Type="http://schemas.openxmlformats.org/officeDocument/2006/relationships/hyperlink" Target="http://www.puc.state.pa.us/consumer_info/electricity/energy_assistance_programs.aspx"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ea.govt.nz/our-work/programmes/market/consumer-rights-policy/retailer-social-agency-protocol/" TargetMode="External"/><Relationship Id="rId28" Type="http://schemas.openxmlformats.org/officeDocument/2006/relationships/hyperlink" Target="http://www.esc.vic.gov.au/getattachment/0e423e2c-6a1d-42b9-8077-08380ad0ed02/Report-Selected-best-practice-approaches-in-financ.pdf" TargetMode="External"/><Relationship Id="rId36" Type="http://schemas.openxmlformats.org/officeDocument/2006/relationships/hyperlink" Target="http://www.google.com.au/url?sa=t&amp;rct=j&amp;q=&amp;esrc=s&amp;source=web&amp;cd=1&amp;ved=0CCsQFjAA&amp;url=http%3A%2F%2Fwww.cuac.org.au%2Findex.php%3Foption%3Dcom_docman%26task%3Ddoc_download%26gid%3D217%26Itemid%3D30&amp;ei=QgA8U9ePMM2-kQW48YCwDQ&amp;usg=AFQjCNFNCnFngsy3pFecdw6pNl0g9qtEiA&amp;sig2=YuIG7q0iH-HOEQbXeLVNUg&amp;bvm=bv.63934634,d.dGI" TargetMode="External"/><Relationship Id="rId49" Type="http://schemas.openxmlformats.org/officeDocument/2006/relationships/hyperlink" Target="http://www.ea.govt.nz/our-work/programmes/market/consumer-rights-policy/retailer-social-agency-protocol/" TargetMode="External"/><Relationship Id="rId57" Type="http://schemas.openxmlformats.org/officeDocument/2006/relationships/hyperlink" Target="http://www.footscrayclc.org.au/~footscra/images/stories/Council_debt_collection_Alternatives_to_suing_ratepayers_report_2012.pdf" TargetMode="External"/><Relationship Id="rId61" Type="http://schemas.openxmlformats.org/officeDocument/2006/relationships/hyperlink" Target="http://www.erawa.com.au/cproot/8762/2/20100824%20D49722%20Financial%20Hardship%20Policy%20Guidelines%20-%20August%202010.pdf" TargetMode="External"/><Relationship Id="rId10" Type="http://schemas.openxmlformats.org/officeDocument/2006/relationships/image" Target="media/image2.png"/><Relationship Id="rId19" Type="http://schemas.openxmlformats.org/officeDocument/2006/relationships/hyperlink" Target="http://www.liheap.ncat.org/pubs/brock.htm" TargetMode="External"/><Relationship Id="rId31" Type="http://schemas.openxmlformats.org/officeDocument/2006/relationships/hyperlink" Target="http://www.footscrayclc.org.au/~footscra/images/stories/Council_debt_collection_Alternatives_to_suing_ratepayers_report_2012.pdf" TargetMode="External"/><Relationship Id="rId44" Type="http://schemas.openxmlformats.org/officeDocument/2006/relationships/hyperlink" Target="http://web.ornl.gov/~webworks/weather/Documents/WX00173.pdf" TargetMode="External"/><Relationship Id="rId52" Type="http://schemas.openxmlformats.org/officeDocument/2006/relationships/hyperlink" Target="http://www.esc.vic.gov.au/getattachment/454fcbdd-b465-48bd-9a17-2b3d3b8f7864/Final-Decision-Hardship-related-guaranteed-service.pdf" TargetMode="External"/><Relationship Id="rId60" Type="http://schemas.openxmlformats.org/officeDocument/2006/relationships/hyperlink" Target="http://www.nclc.org/images/pdf/energy_utility_telecom/consumer_protection_and_regulatory_issues/amp_report_final_sept13.pdf" TargetMode="External"/><Relationship Id="rId65" Type="http://schemas.openxmlformats.org/officeDocument/2006/relationships/hyperlink" Target="http://www.massresources.org/utility-discount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ea.govt.nz/our-work/consultations/retail/proposed-changes-to-the-guideline-on-arrangements-to-assist-low-income-and-vulnerable-consumers/" TargetMode="External"/><Relationship Id="rId27" Type="http://schemas.openxmlformats.org/officeDocument/2006/relationships/hyperlink" Target="http://www.esc.vic.gov.au/getattachment/1e2fbeb1-bee5-4c34-a9fc-303fd0bf4f52/Summary-Business-responses-to-hardship-policies-an.pdf" TargetMode="External"/><Relationship Id="rId30" Type="http://schemas.openxmlformats.org/officeDocument/2006/relationships/hyperlink" Target="http://www.esc.vic.gov.au/getattachment/30b2a467-9a95-4477-b188-bb2163c39b13/Energy-Retailers-financial-hardship-policies-frame.pdf" TargetMode="External"/><Relationship Id="rId35" Type="http://schemas.openxmlformats.org/officeDocument/2006/relationships/hyperlink" Target="http://citiesprogramme.com/cities/oceania/australia/melbourne/utility-debt-spiral-project" TargetMode="External"/><Relationship Id="rId43" Type="http://schemas.openxmlformats.org/officeDocument/2006/relationships/hyperlink" Target="http://www.kildonan.unitingcare.org.au/uploads/publications/Keeping%20Ahead%20of%20the%20Game%20(Kildonan%20Hardship%20Forum%20Report).pdf" TargetMode="External"/><Relationship Id="rId48" Type="http://schemas.openxmlformats.org/officeDocument/2006/relationships/hyperlink" Target="http://www.ea.govt.nz/our-work/consultations/retail/proposed-changes-to-the-guideline-on-arrangements-to-assist-low-income-and-vulnerable-consumers/" TargetMode="External"/><Relationship Id="rId56" Type="http://schemas.openxmlformats.org/officeDocument/2006/relationships/hyperlink" Target="http://www.esc.vic.gov.au/getattachment/30b2a467-9a95-4477-b188-bb2163c39b13/Energy-Retailers-financial-hardship-policies-frame.pdf" TargetMode="External"/><Relationship Id="rId64" Type="http://schemas.openxmlformats.org/officeDocument/2006/relationships/hyperlink" Target="http://www.assurancewireless.com/Public/Welcome.aspx"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sc.vic.gov.au/getattachment/0fff197d-dafd-49c0-ae3c-8531d2dece22/Developing-an-approach-to-measure-the-effects-of-a.pdf" TargetMode="External"/><Relationship Id="rId3" Type="http://schemas.openxmlformats.org/officeDocument/2006/relationships/styles" Target="styles.xml"/><Relationship Id="rId12" Type="http://schemas.openxmlformats.org/officeDocument/2006/relationships/hyperlink" Target="http://dnb.com.au/Header/News/Families_struggling_to_manage_debt/indexdl_8221.aspx" TargetMode="External"/><Relationship Id="rId17" Type="http://schemas.openxmlformats.org/officeDocument/2006/relationships/hyperlink" Target="http://www.google.com.au/url?sa=t&amp;rct=j&amp;q=&amp;esrc=s&amp;source=web&amp;cd=1&amp;ved=0CDEQFjAA&amp;url=http%3A%2F%2Fwww.bankers.asn.au%2FArticleDocuments%2F149%2FABA-Industry_Guideline-Financial_Hardship_version1.pdf.aspx&amp;ei=Wt8_Us2lMJCuiQeyyYCABw&amp;usg=AFQjCNEtim9tkTr1Ho-OT4vVdpul76HU5w&amp;sig2=7cSyAsbsvu3z7QyiAl-aUQ&amp;bvm=bv.52434380,d.aGc" TargetMode="External"/><Relationship Id="rId25" Type="http://schemas.openxmlformats.org/officeDocument/2006/relationships/hyperlink" Target="http://www.esc.vic.gov.au/getattachment/0fff197d-dafd-49c0-ae3c-8531d2dece22/Developing-an-approach-to-measure-the-effects-of-a.pdf" TargetMode="External"/><Relationship Id="rId33" Type="http://schemas.openxmlformats.org/officeDocument/2006/relationships/hyperlink" Target="http://www.esc.vic.gov.au/getattachment/26284a98-ebfe-4d68-93d1-8ee6d556c64b/Customers-of-water-and-energy-providers-in-financi.pdf" TargetMode="External"/><Relationship Id="rId38" Type="http://schemas.openxmlformats.org/officeDocument/2006/relationships/hyperlink" Target="http://www.massresources.org/utility-discounts.html" TargetMode="External"/><Relationship Id="rId46" Type="http://schemas.openxmlformats.org/officeDocument/2006/relationships/hyperlink" Target="http://consumeraction.org.au/wp-content/uploads/2012/07/Pursuit-of-Impossible-July-2012-2.pdf" TargetMode="External"/><Relationship Id="rId59" Type="http://schemas.openxmlformats.org/officeDocument/2006/relationships/hyperlink" Target="http://www.esc.vic.gov.au/getattachment/834a7cd8-bc2c-4042-a89f-002300c89aa2/Hall-and-Partners-report-on-customers-in-hardship.pdf" TargetMode="External"/><Relationship Id="rId67" Type="http://schemas.openxmlformats.org/officeDocument/2006/relationships/footer" Target="footer1.xml"/><Relationship Id="rId20" Type="http://schemas.openxmlformats.org/officeDocument/2006/relationships/hyperlink" Target="http://web.ornl.gov/~webworks/weather/Documents/WX00173.pdf" TargetMode="External"/><Relationship Id="rId41" Type="http://schemas.openxmlformats.org/officeDocument/2006/relationships/hyperlink" Target="http://www.google.com.au/url?sa=t&amp;rct=j&amp;q=&amp;esrc=s&amp;source=web&amp;cd=1&amp;ved=0CDEQFjAA&amp;url=http%3A%2F%2Fwww.bankers.asn.au%2FArticleDocuments%2F149%2FABA-Industry_Guideline-Financial_Hardship_version1.pdf.aspx&amp;ei=Wt8_Us2lMJCuiQeyyYCABw&amp;usg=AFQjCNEtim9tkTr1Ho-OT4vVdpul76HU5w&amp;sig2=7cSyAsbsvu3z7QyiAl-aUQ&amp;bvm=bv.52434380,d.aGc" TargetMode="External"/><Relationship Id="rId54" Type="http://schemas.openxmlformats.org/officeDocument/2006/relationships/hyperlink" Target="http://www.esc.vic.gov.au/getattachment/0e423e2c-6a1d-42b9-8077-08380ad0ed02/Report-Selected-best-practice-approaches-in-financ.pdf" TargetMode="External"/><Relationship Id="rId62" Type="http://schemas.openxmlformats.org/officeDocument/2006/relationships/hyperlink" Target="http://eraa.com.au/wp-content/uploads/No-31-Death-Spir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cer.gov.au/files/2013/08/National-Energy-Laws-Enforcement-Regimes-Review-Draft-Report.pdf" TargetMode="External"/><Relationship Id="rId13" Type="http://schemas.openxmlformats.org/officeDocument/2006/relationships/hyperlink" Target="http://http://www.esc.vic.gov.au/getattachment/1e2fbeb1-bee5-4c34-a9fc-303fd0bf4f52/Summary-Business-responses-to-hardship-policies-an.pdf/" TargetMode="External"/><Relationship Id="rId3" Type="http://schemas.openxmlformats.org/officeDocument/2006/relationships/hyperlink" Target="http://www.acoss.org.au/uploads/ACOSS%20Poverty%20Report%202012_Final.pdf" TargetMode="External"/><Relationship Id="rId7" Type="http://schemas.openxmlformats.org/officeDocument/2006/relationships/hyperlink" Target="http://www.aer.gov.au/node/23435" TargetMode="External"/><Relationship Id="rId12" Type="http://schemas.openxmlformats.org/officeDocument/2006/relationships/hyperlink" Target="http://www.nab.com.au" TargetMode="External"/><Relationship Id="rId2" Type="http://schemas.openxmlformats.org/officeDocument/2006/relationships/hyperlink" Target="http://dnb.com.au/Header/News/Financial_stress_forecast_to_rise/indexdl_10722.aspx" TargetMode="External"/><Relationship Id="rId1" Type="http://schemas.openxmlformats.org/officeDocument/2006/relationships/hyperlink" Target="http://dnb.com.au/Header/News/Financial_stress_stabilises_near_two_year_low/indexdl_10599.aspx" TargetMode="External"/><Relationship Id="rId6" Type="http://schemas.openxmlformats.org/officeDocument/2006/relationships/hyperlink" Target="http://www.aer.gov.au/node/16115" TargetMode="External"/><Relationship Id="rId11" Type="http://schemas.openxmlformats.org/officeDocument/2006/relationships/hyperlink" Target="http://www.sydneywater.com.au/sw/accounts-billing/paying-your-bill/financial-assistance/index.htm" TargetMode="External"/><Relationship Id="rId5" Type="http://schemas.openxmlformats.org/officeDocument/2006/relationships/hyperlink" Target="http://www.austlii.edu.au/au/legis/cth/consol_act/nccpa2009377/" TargetMode="External"/><Relationship Id="rId10" Type="http://schemas.openxmlformats.org/officeDocument/2006/relationships/hyperlink" Target="http://www.epi.org/publication/wp297-2013-family-budget-calculator-technical-documentation/" TargetMode="External"/><Relationship Id="rId4" Type="http://schemas.openxmlformats.org/officeDocument/2006/relationships/hyperlink" Target="http://www.acoss.org.au/uploads/ACOSS%20Poverty%20Report%202012_Final.pdf" TargetMode="External"/><Relationship Id="rId9" Type="http://schemas.openxmlformats.org/officeDocument/2006/relationships/hyperlink" Target="http://www.asic.gov.au/eu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AA5D-B66B-4BAB-ACF7-6FC43282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2222</TotalTime>
  <Pages>86</Pages>
  <Words>26280</Words>
  <Characters>149798</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Guthrie</dc:creator>
  <cp:lastModifiedBy>Katerina Pavlidis</cp:lastModifiedBy>
  <cp:revision>229</cp:revision>
  <cp:lastPrinted>2014-05-08T06:12:00Z</cp:lastPrinted>
  <dcterms:created xsi:type="dcterms:W3CDTF">2014-04-07T23:03:00Z</dcterms:created>
  <dcterms:modified xsi:type="dcterms:W3CDTF">2014-05-19T23:59:00Z</dcterms:modified>
</cp:coreProperties>
</file>