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FBD53C" w14:textId="77777777" w:rsidR="00B47285" w:rsidRPr="00714C99" w:rsidRDefault="00B47285" w:rsidP="00CF0438">
      <w:pPr>
        <w:pStyle w:val="Letterhead1"/>
      </w:pPr>
      <w:bookmarkStart w:id="0" w:name="_Hlk95835868"/>
      <w:r w:rsidRPr="00714C99">
        <w:rPr>
          <w:noProof/>
        </w:rPr>
        <w:drawing>
          <wp:anchor distT="0" distB="0" distL="114300" distR="114300" simplePos="0" relativeHeight="251658243" behindDoc="1" locked="0" layoutInCell="1" allowOverlap="1" wp14:anchorId="0299A14D" wp14:editId="4F3D3DEE">
            <wp:simplePos x="0" y="0"/>
            <wp:positionH relativeFrom="column">
              <wp:posOffset>4862195</wp:posOffset>
            </wp:positionH>
            <wp:positionV relativeFrom="page">
              <wp:posOffset>563880</wp:posOffset>
            </wp:positionV>
            <wp:extent cx="191770" cy="191770"/>
            <wp:effectExtent l="0" t="0" r="0" b="0"/>
            <wp:wrapSquare wrapText="bothSides"/>
            <wp:docPr id="7" name="Picture 7">
              <a:hlinkClick xmlns:a="http://schemas.openxmlformats.org/drawingml/2006/main" r:id="rId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hlinkClick r:id="rId11"/>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4C99">
        <w:rPr>
          <w:noProof/>
        </w:rPr>
        <w:drawing>
          <wp:anchor distT="0" distB="0" distL="114300" distR="114300" simplePos="0" relativeHeight="251658244" behindDoc="0" locked="0" layoutInCell="1" allowOverlap="1" wp14:anchorId="1E5D4326" wp14:editId="21F7D76B">
            <wp:simplePos x="0" y="0"/>
            <wp:positionH relativeFrom="column">
              <wp:posOffset>5092065</wp:posOffset>
            </wp:positionH>
            <wp:positionV relativeFrom="page">
              <wp:posOffset>560070</wp:posOffset>
            </wp:positionV>
            <wp:extent cx="191770" cy="191770"/>
            <wp:effectExtent l="0" t="0" r="0" b="0"/>
            <wp:wrapSquare wrapText="bothSides"/>
            <wp:docPr id="8" name="Picture 8">
              <a:hlinkClick xmlns:a="http://schemas.openxmlformats.org/drawingml/2006/main" r:id="rId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13"/>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714C99">
        <w:rPr>
          <w:noProof/>
        </w:rPr>
        <w:drawing>
          <wp:anchor distT="0" distB="0" distL="114300" distR="114300" simplePos="0" relativeHeight="251658245" behindDoc="0" locked="0" layoutInCell="1" allowOverlap="1" wp14:anchorId="5BD0B82E" wp14:editId="3C0FF29F">
            <wp:simplePos x="0" y="0"/>
            <wp:positionH relativeFrom="column">
              <wp:posOffset>5326380</wp:posOffset>
            </wp:positionH>
            <wp:positionV relativeFrom="page">
              <wp:posOffset>560070</wp:posOffset>
            </wp:positionV>
            <wp:extent cx="191770" cy="191770"/>
            <wp:effectExtent l="0" t="0" r="0" b="0"/>
            <wp:wrapSquare wrapText="bothSides"/>
            <wp:docPr id="9" name="Picture 9">
              <a:hlinkClick xmlns:a="http://schemas.openxmlformats.org/drawingml/2006/main" r:id="rId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hlinkClick r:id="rId15"/>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714C99">
        <w:rPr>
          <w:noProof/>
        </w:rPr>
        <w:drawing>
          <wp:anchor distT="0" distB="0" distL="114300" distR="114300" simplePos="0" relativeHeight="251658242" behindDoc="0" locked="0" layoutInCell="1" allowOverlap="1" wp14:anchorId="562EF169" wp14:editId="24D25C4F">
            <wp:simplePos x="0" y="0"/>
            <wp:positionH relativeFrom="column">
              <wp:posOffset>5546725</wp:posOffset>
            </wp:positionH>
            <wp:positionV relativeFrom="page">
              <wp:posOffset>560070</wp:posOffset>
            </wp:positionV>
            <wp:extent cx="191770" cy="191770"/>
            <wp:effectExtent l="0" t="0" r="0" b="0"/>
            <wp:wrapSquare wrapText="bothSides"/>
            <wp:docPr id="10" name="Picture 10">
              <a:hlinkClick xmlns:a="http://schemas.openxmlformats.org/drawingml/2006/main" r:id="rId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17"/>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714C99">
        <w:rPr>
          <w:noProof/>
        </w:rPr>
        <w:drawing>
          <wp:anchor distT="0" distB="0" distL="114300" distR="114300" simplePos="0" relativeHeight="251658241" behindDoc="0" locked="0" layoutInCell="1" allowOverlap="1" wp14:anchorId="56E7D349" wp14:editId="64C6E6F4">
            <wp:simplePos x="0" y="0"/>
            <wp:positionH relativeFrom="column">
              <wp:posOffset>4445</wp:posOffset>
            </wp:positionH>
            <wp:positionV relativeFrom="page">
              <wp:posOffset>421005</wp:posOffset>
            </wp:positionV>
            <wp:extent cx="2035810" cy="880110"/>
            <wp:effectExtent l="0" t="0" r="2540" b="0"/>
            <wp:wrapSquare wrapText="bothSides"/>
            <wp:docPr id="16" name="Picture 16">
              <a:hlinkClick xmlns:a="http://schemas.openxmlformats.org/drawingml/2006/main" r:id="rId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hlinkClick r:id="rId19"/>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5810" cy="880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A95" w:rsidRPr="00714C99">
        <w:t>www.</w:t>
      </w:r>
      <w:r w:rsidRPr="00714C99">
        <w:t>accan.org.au</w:t>
      </w:r>
    </w:p>
    <w:p w14:paraId="073048E6" w14:textId="77777777" w:rsidR="00B47285" w:rsidRPr="00714C99" w:rsidRDefault="00F47D10" w:rsidP="00CF0438">
      <w:pPr>
        <w:pStyle w:val="Letterhead1"/>
      </w:pPr>
      <w:r w:rsidRPr="00714C99">
        <w:t>i</w:t>
      </w:r>
      <w:r w:rsidR="00B47285" w:rsidRPr="00714C99">
        <w:t>nfo@accan.org.au</w:t>
      </w:r>
    </w:p>
    <w:p w14:paraId="62695AD2" w14:textId="77777777" w:rsidR="00B47285" w:rsidRPr="00714C99" w:rsidRDefault="00B47285" w:rsidP="00CF0438">
      <w:pPr>
        <w:pStyle w:val="Letterhead1"/>
      </w:pPr>
      <w:r w:rsidRPr="00714C99">
        <w:t>02 9288 4000</w:t>
      </w:r>
    </w:p>
    <w:p w14:paraId="7ECE1E20" w14:textId="77777777" w:rsidR="00B47285" w:rsidRPr="00714C99" w:rsidRDefault="00B47285" w:rsidP="00B47285">
      <w:pPr>
        <w:tabs>
          <w:tab w:val="left" w:pos="3855"/>
        </w:tabs>
        <w:rPr>
          <w:rFonts w:ascii="Gotham" w:hAnsi="Gotham"/>
          <w:b/>
          <w:bCs/>
        </w:rPr>
      </w:pPr>
      <w:r w:rsidRPr="00714C99">
        <w:rPr>
          <w:noProof/>
        </w:rPr>
        <mc:AlternateContent>
          <mc:Choice Requires="wps">
            <w:drawing>
              <wp:anchor distT="0" distB="0" distL="114300" distR="114300" simplePos="0" relativeHeight="251658240" behindDoc="1" locked="0" layoutInCell="1" allowOverlap="1" wp14:anchorId="494A7652" wp14:editId="2CC123B2">
                <wp:simplePos x="0" y="0"/>
                <wp:positionH relativeFrom="column">
                  <wp:posOffset>-627380</wp:posOffset>
                </wp:positionH>
                <wp:positionV relativeFrom="page">
                  <wp:posOffset>1675572</wp:posOffset>
                </wp:positionV>
                <wp:extent cx="6892290" cy="45085"/>
                <wp:effectExtent l="0" t="0" r="3810" b="0"/>
                <wp:wrapNone/>
                <wp:docPr id="4379" name="Rectangle 43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92290" cy="4508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rto="http://schemas.microsoft.com/office/word/2006/arto">
            <w:pict>
              <v:rect w14:anchorId="58AF4D6F" id="Rectangle 4379" o:spid="_x0000_s1026" alt="&quot;&quot;" style="position:absolute;margin-left:-49.4pt;margin-top:131.95pt;width:542.7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" fillcolor="#43c7f4" stroked="f" strokeweight="2pt">
                <w10:wrap anchory="page"/>
              </v:rect>
            </w:pict>
          </mc:Fallback>
        </mc:AlternateContent>
      </w:r>
    </w:p>
    <w:bookmarkEnd w:id="0"/>
    <w:p w14:paraId="5AFCE9FF" w14:textId="77777777" w:rsidR="00763F9F" w:rsidRDefault="00763F9F" w:rsidP="00EC3992">
      <w:pPr>
        <w:tabs>
          <w:tab w:val="right" w:pos="9026"/>
        </w:tabs>
        <w:jc w:val="right"/>
        <w:rPr>
          <w:rFonts w:ascii="Gotham Black" w:hAnsi="Gotham Black"/>
          <w:color w:val="43C7F4"/>
          <w:sz w:val="36"/>
          <w:szCs w:val="36"/>
        </w:rPr>
      </w:pPr>
    </w:p>
    <w:p w14:paraId="34E12570" w14:textId="77777777" w:rsidR="0060142D" w:rsidRDefault="00B640E9" w:rsidP="0060142D">
      <w:pPr>
        <w:tabs>
          <w:tab w:val="right" w:pos="9026"/>
        </w:tabs>
        <w:jc w:val="right"/>
        <w:rPr>
          <w:rStyle w:val="DocDateChar"/>
        </w:rPr>
      </w:pPr>
      <w:r>
        <w:rPr>
          <w:rStyle w:val="DocDateChar"/>
        </w:rPr>
        <w:t>October</w:t>
      </w:r>
      <w:r w:rsidR="007E6F73" w:rsidRPr="00714C99">
        <w:rPr>
          <w:rStyle w:val="DocDateChar"/>
        </w:rPr>
        <w:t xml:space="preserve"> 2022</w:t>
      </w:r>
    </w:p>
    <w:p w14:paraId="2F13AE7A" w14:textId="46A7F7FB" w:rsidR="003D2F73" w:rsidRPr="0060142D" w:rsidRDefault="003C0ABE" w:rsidP="0060142D">
      <w:pPr>
        <w:pStyle w:val="DocLabel"/>
        <w:rPr>
          <w:rStyle w:val="DocDateChar"/>
          <w:rFonts w:ascii="Gotham Black" w:hAnsi="Gotham Black"/>
          <w:b w:val="0"/>
          <w:bCs w:val="0"/>
        </w:rPr>
      </w:pPr>
      <w:r w:rsidRPr="0060142D">
        <w:rPr>
          <w:rStyle w:val="DocDateChar"/>
          <w:rFonts w:ascii="Gotham Black" w:hAnsi="Gotham Black"/>
          <w:b w:val="0"/>
          <w:bCs w:val="0"/>
        </w:rPr>
        <w:t>ACCAN</w:t>
      </w:r>
      <w:r w:rsidRPr="0060142D">
        <w:t xml:space="preserve"> </w:t>
      </w:r>
      <w:r w:rsidRPr="0060142D">
        <w:rPr>
          <w:rStyle w:val="DocDateChar"/>
          <w:rFonts w:ascii="Gotham Black" w:hAnsi="Gotham Black"/>
          <w:b w:val="0"/>
          <w:bCs w:val="0"/>
        </w:rPr>
        <w:t xml:space="preserve">Research Snapshot: </w:t>
      </w:r>
      <w:r w:rsidR="004F15CC" w:rsidRPr="0060142D">
        <w:rPr>
          <w:rStyle w:val="DocDateChar"/>
          <w:rFonts w:ascii="Gotham Black" w:hAnsi="Gotham Black"/>
          <w:b w:val="0"/>
          <w:bCs w:val="0"/>
        </w:rPr>
        <w:t>What Australians Expect from Digital Platforms</w:t>
      </w:r>
    </w:p>
    <w:p w14:paraId="634CD0E6" w14:textId="5BF93224" w:rsidR="00E47A0E" w:rsidRPr="00F2182D" w:rsidRDefault="0051103D" w:rsidP="00F2182D">
      <w:r w:rsidRPr="00F2182D">
        <w:t>This report can be cited as:</w:t>
      </w:r>
    </w:p>
    <w:p w14:paraId="2F14C3ED" w14:textId="14F6FB79" w:rsidR="0051103D" w:rsidRPr="00F2182D" w:rsidRDefault="0051103D" w:rsidP="00F2182D">
      <w:r w:rsidRPr="00F2182D">
        <w:t>ACCAN (2022) Research Snapshot: What Australians Expect from Digital Platforms, Australian Communications Consumer Action Network, Sydney</w:t>
      </w:r>
      <w:r w:rsidR="00E47A0E" w:rsidRPr="00F2182D">
        <w:t>.</w:t>
      </w:r>
    </w:p>
    <w:p w14:paraId="632BB241" w14:textId="5499E5E1" w:rsidR="00A85E1D" w:rsidRPr="00F2182D" w:rsidRDefault="00A85E1D" w:rsidP="00F2182D">
      <w:pPr>
        <w:pStyle w:val="Heading1"/>
      </w:pPr>
      <w:r w:rsidRPr="00F2182D">
        <w:t>Introduction</w:t>
      </w:r>
    </w:p>
    <w:p w14:paraId="3E652C4D" w14:textId="6B23A15B" w:rsidR="002C746E" w:rsidRPr="00714C99" w:rsidRDefault="00BA2DD6" w:rsidP="002C746E">
      <w:r w:rsidRPr="00714C99">
        <w:t xml:space="preserve">Digital media platforms are fundamental to how Australians communicate and live their daily lives. </w:t>
      </w:r>
      <w:r w:rsidR="002C746E" w:rsidRPr="00714C99">
        <w:t>To better represent the consumer voice</w:t>
      </w:r>
      <w:r w:rsidR="00082D7E">
        <w:t>, the Australian Communications Consumer Action Network</w:t>
      </w:r>
      <w:r w:rsidR="002C746E" w:rsidRPr="00714C99">
        <w:t xml:space="preserve"> </w:t>
      </w:r>
      <w:r w:rsidR="00082D7E">
        <w:t>(</w:t>
      </w:r>
      <w:r w:rsidR="002C746E" w:rsidRPr="00714C99">
        <w:t>ACCAN</w:t>
      </w:r>
      <w:r w:rsidR="00082D7E">
        <w:t>)</w:t>
      </w:r>
      <w:r w:rsidR="002C746E" w:rsidRPr="00714C99">
        <w:t xml:space="preserve"> conducted a survey to find out more about what Australians expect from digital platforms. We would like to share three key findings</w:t>
      </w:r>
      <w:r w:rsidR="001028BE">
        <w:t>.</w:t>
      </w:r>
      <w:r w:rsidR="002C746E" w:rsidRPr="00714C99">
        <w:t xml:space="preserve"> </w:t>
      </w:r>
      <w:r w:rsidR="001028BE">
        <w:t>M</w:t>
      </w:r>
      <w:r w:rsidR="002C746E" w:rsidRPr="00714C99">
        <w:t>any people:</w:t>
      </w:r>
    </w:p>
    <w:p w14:paraId="4A615C84" w14:textId="72230A96" w:rsidR="002C746E" w:rsidRPr="00714C99" w:rsidRDefault="002C746E" w:rsidP="002C746E">
      <w:pPr>
        <w:pStyle w:val="ListParagraph"/>
        <w:numPr>
          <w:ilvl w:val="0"/>
          <w:numId w:val="42"/>
        </w:numPr>
      </w:pPr>
      <w:r w:rsidRPr="00714C99">
        <w:t>find it difficult to change their privacy and safety settings of websites and apps.</w:t>
      </w:r>
    </w:p>
    <w:p w14:paraId="142705ED" w14:textId="77777777" w:rsidR="002C746E" w:rsidRPr="00714C99" w:rsidRDefault="002C746E" w:rsidP="002C746E">
      <w:pPr>
        <w:pStyle w:val="ListParagraph"/>
        <w:numPr>
          <w:ilvl w:val="0"/>
          <w:numId w:val="42"/>
        </w:numPr>
      </w:pPr>
      <w:r w:rsidRPr="00714C99">
        <w:t>think that digital platforms need to do more to protect users from scams.</w:t>
      </w:r>
    </w:p>
    <w:p w14:paraId="381B23FF" w14:textId="77777777" w:rsidR="002C746E" w:rsidRPr="00714C99" w:rsidRDefault="002C746E" w:rsidP="002C746E">
      <w:pPr>
        <w:pStyle w:val="ListParagraph"/>
        <w:numPr>
          <w:ilvl w:val="0"/>
          <w:numId w:val="42"/>
        </w:numPr>
      </w:pPr>
      <w:r w:rsidRPr="00714C99">
        <w:t>want more interoperability and data portability to give them more choice between the digital platforms they use.</w:t>
      </w:r>
    </w:p>
    <w:p w14:paraId="717417FC" w14:textId="60E1100B" w:rsidR="002C746E" w:rsidRDefault="00A6303C" w:rsidP="00FA4383">
      <w:r>
        <w:t>ACCAN found that people who</w:t>
      </w:r>
      <w:r w:rsidR="00297550">
        <w:t xml:space="preserve"> tend to be more digitally excluded</w:t>
      </w:r>
      <w:r w:rsidR="00397404">
        <w:t>,</w:t>
      </w:r>
      <w:r w:rsidR="00805CB2">
        <w:rPr>
          <w:rStyle w:val="FootnoteReference"/>
        </w:rPr>
        <w:footnoteReference w:id="2"/>
      </w:r>
      <w:r w:rsidR="00411053">
        <w:t xml:space="preserve"> such as </w:t>
      </w:r>
      <w:r w:rsidR="00411053" w:rsidRPr="00714C99">
        <w:t>older Australians, Australians</w:t>
      </w:r>
      <w:r w:rsidR="00411053">
        <w:t xml:space="preserve"> on lower incomes</w:t>
      </w:r>
      <w:r w:rsidR="00411053" w:rsidRPr="00714C99">
        <w:t xml:space="preserve"> and</w:t>
      </w:r>
      <w:r w:rsidR="00411053">
        <w:t xml:space="preserve"> </w:t>
      </w:r>
      <w:r w:rsidR="00411053" w:rsidRPr="008B4077">
        <w:t xml:space="preserve">rural, </w:t>
      </w:r>
      <w:proofErr w:type="gramStart"/>
      <w:r w:rsidR="00411053" w:rsidRPr="008B4077">
        <w:t>regional</w:t>
      </w:r>
      <w:proofErr w:type="gramEnd"/>
      <w:r w:rsidR="00411053" w:rsidRPr="008B4077">
        <w:t xml:space="preserve"> and remot</w:t>
      </w:r>
      <w:r w:rsidR="00411053">
        <w:t>e</w:t>
      </w:r>
      <w:r w:rsidR="00411053" w:rsidRPr="00714C99">
        <w:t xml:space="preserve"> Australians</w:t>
      </w:r>
      <w:r w:rsidR="00411053">
        <w:t>,</w:t>
      </w:r>
      <w:r w:rsidR="00297550">
        <w:t xml:space="preserve"> were especially likely to </w:t>
      </w:r>
      <w:r w:rsidR="00E71FC4">
        <w:t>be</w:t>
      </w:r>
      <w:r w:rsidR="009B0D93">
        <w:t xml:space="preserve"> </w:t>
      </w:r>
      <w:r w:rsidR="00D52114">
        <w:t>concerned by</w:t>
      </w:r>
      <w:r w:rsidR="00411053">
        <w:t xml:space="preserve"> </w:t>
      </w:r>
      <w:r w:rsidR="00B575AE">
        <w:t>issues around privacy, safety and choice.</w:t>
      </w:r>
      <w:r w:rsidR="00D713E4">
        <w:t xml:space="preserve"> The following research snapshot illustrates that more needs to be done to </w:t>
      </w:r>
      <w:r w:rsidR="00964946">
        <w:t>make all consumers confident online.</w:t>
      </w:r>
    </w:p>
    <w:p w14:paraId="75BF13BD" w14:textId="742D8F00" w:rsidR="002C746E" w:rsidRDefault="00BE5F5E" w:rsidP="00A6303C">
      <w:pPr>
        <w:pStyle w:val="Heading1"/>
      </w:pPr>
      <w:r>
        <w:t>Background</w:t>
      </w:r>
    </w:p>
    <w:p w14:paraId="6D4C8D71" w14:textId="114E9D7C" w:rsidR="00DF4313" w:rsidRPr="00714C99" w:rsidRDefault="009E2628" w:rsidP="00FA4383">
      <w:r w:rsidRPr="00714C99">
        <w:t>A</w:t>
      </w:r>
      <w:r w:rsidR="00484C3D" w:rsidRPr="00714C99">
        <w:t>ustralians</w:t>
      </w:r>
      <w:r w:rsidR="005B5721" w:rsidRPr="00714C99">
        <w:t xml:space="preserve"> spend </w:t>
      </w:r>
      <w:r w:rsidR="006F4F9E">
        <w:t xml:space="preserve">an average of </w:t>
      </w:r>
      <w:r w:rsidR="00105D91" w:rsidRPr="00714C99">
        <w:t xml:space="preserve">two hours a day </w:t>
      </w:r>
      <w:r w:rsidR="00510FAB" w:rsidRPr="00714C99">
        <w:t>using</w:t>
      </w:r>
      <w:r w:rsidR="00105D91" w:rsidRPr="00714C99">
        <w:t xml:space="preserve"> social media</w:t>
      </w:r>
      <w:r w:rsidR="00510FAB" w:rsidRPr="00714C99">
        <w:t xml:space="preserve"> platforms</w:t>
      </w:r>
      <w:r w:rsidR="00397404">
        <w:t>.</w:t>
      </w:r>
      <w:r w:rsidR="003B02EE" w:rsidRPr="00714C99">
        <w:rPr>
          <w:rStyle w:val="FootnoteReference"/>
        </w:rPr>
        <w:footnoteReference w:id="3"/>
      </w:r>
      <w:r w:rsidR="00CB4D81" w:rsidRPr="00714C99">
        <w:t xml:space="preserve"> </w:t>
      </w:r>
      <w:r w:rsidR="008551F0" w:rsidRPr="00714C99">
        <w:t xml:space="preserve">Digital platforms provide Australians with a range of </w:t>
      </w:r>
      <w:r w:rsidR="00120704" w:rsidRPr="00714C99">
        <w:t xml:space="preserve">benefits, allowing </w:t>
      </w:r>
      <w:r w:rsidR="002E106D" w:rsidRPr="00714C99">
        <w:t>u</w:t>
      </w:r>
      <w:r w:rsidR="00080C89" w:rsidRPr="00714C99">
        <w:t>s</w:t>
      </w:r>
      <w:r w:rsidR="0085573D" w:rsidRPr="00714C99">
        <w:t xml:space="preserve"> to stay in touch with friends and family, engage with public debate</w:t>
      </w:r>
      <w:r w:rsidR="00EF4699" w:rsidRPr="00714C99">
        <w:t xml:space="preserve">, </w:t>
      </w:r>
      <w:r w:rsidR="00DD0C2F" w:rsidRPr="00714C99">
        <w:t xml:space="preserve">find </w:t>
      </w:r>
      <w:r w:rsidR="00886AAE" w:rsidRPr="00714C99">
        <w:t xml:space="preserve">interesting </w:t>
      </w:r>
      <w:r w:rsidR="00001122" w:rsidRPr="00714C99">
        <w:t>content,</w:t>
      </w:r>
      <w:r w:rsidR="00221866" w:rsidRPr="00714C99">
        <w:t xml:space="preserve"> and stay informed on the latest news. </w:t>
      </w:r>
      <w:r w:rsidR="00831982" w:rsidRPr="00714C99">
        <w:t>Examples of popular platforms include Facebook,</w:t>
      </w:r>
      <w:r w:rsidR="009E66AB" w:rsidRPr="00714C99">
        <w:t xml:space="preserve"> Twitter,</w:t>
      </w:r>
      <w:r w:rsidR="00C16DBE" w:rsidRPr="00714C99">
        <w:t xml:space="preserve"> YouTube, TikTok,</w:t>
      </w:r>
      <w:r w:rsidR="000D0F33" w:rsidRPr="00714C99">
        <w:t xml:space="preserve"> eBay,</w:t>
      </w:r>
      <w:r w:rsidR="00C16DBE" w:rsidRPr="00714C99">
        <w:t xml:space="preserve"> </w:t>
      </w:r>
      <w:proofErr w:type="gramStart"/>
      <w:r w:rsidR="007F75C1" w:rsidRPr="00714C99">
        <w:t>Uber</w:t>
      </w:r>
      <w:proofErr w:type="gramEnd"/>
      <w:r w:rsidR="007F75C1" w:rsidRPr="00714C99">
        <w:t xml:space="preserve"> and Airbnb.</w:t>
      </w:r>
    </w:p>
    <w:p w14:paraId="3814A9BC" w14:textId="083AD95E" w:rsidR="00B7336A" w:rsidRPr="00714C99" w:rsidRDefault="00675525" w:rsidP="00FA4383">
      <w:r w:rsidRPr="00714C99">
        <w:t>T</w:t>
      </w:r>
      <w:r w:rsidR="00001122" w:rsidRPr="00714C99">
        <w:t xml:space="preserve">he </w:t>
      </w:r>
      <w:r w:rsidR="00E44915" w:rsidRPr="00714C99">
        <w:t>benefits of digital platforms have also come with concerns f</w:t>
      </w:r>
      <w:r w:rsidR="00013DC0" w:rsidRPr="00714C99">
        <w:t xml:space="preserve">rom the public. </w:t>
      </w:r>
      <w:r w:rsidR="00BD0AC4" w:rsidRPr="00714C99">
        <w:t>D</w:t>
      </w:r>
      <w:r w:rsidR="008C556C" w:rsidRPr="00714C99">
        <w:t>igital p</w:t>
      </w:r>
      <w:r w:rsidR="006713E9" w:rsidRPr="00714C99">
        <w:t xml:space="preserve">latforms collect large amounts of data and </w:t>
      </w:r>
      <w:r w:rsidR="0086190B" w:rsidRPr="00714C99">
        <w:t>intrude on consumers</w:t>
      </w:r>
      <w:r w:rsidR="00F1225F" w:rsidRPr="00714C99">
        <w:t>’</w:t>
      </w:r>
      <w:r w:rsidR="0086190B" w:rsidRPr="00714C99">
        <w:t xml:space="preserve"> sense of privacy.</w:t>
      </w:r>
      <w:r w:rsidR="000A254F" w:rsidRPr="00714C99">
        <w:t xml:space="preserve"> Consumers are expected to </w:t>
      </w:r>
      <w:r w:rsidR="002F5E4B" w:rsidRPr="00714C99">
        <w:t>read and understand lengthy terms of service and take proactive steps to</w:t>
      </w:r>
      <w:r w:rsidR="00104BB8">
        <w:t xml:space="preserve"> individually</w:t>
      </w:r>
      <w:r w:rsidR="002F5E4B" w:rsidRPr="00714C99">
        <w:t xml:space="preserve"> manage their safety and privacy settings.</w:t>
      </w:r>
      <w:r w:rsidR="0086190B" w:rsidRPr="00714C99">
        <w:t xml:space="preserve"> </w:t>
      </w:r>
      <w:r w:rsidR="00285E60" w:rsidRPr="00714C99">
        <w:t xml:space="preserve">The popularity of digital platforms has </w:t>
      </w:r>
      <w:r w:rsidR="009145F9" w:rsidRPr="00714C99">
        <w:t xml:space="preserve">been accompanied by </w:t>
      </w:r>
      <w:r w:rsidR="00831982" w:rsidRPr="00714C99">
        <w:t>a growth in</w:t>
      </w:r>
      <w:r w:rsidR="00285E60" w:rsidRPr="00714C99">
        <w:t xml:space="preserve"> bad actors who relentlessly attempt to scam people and produce low-quality and untrustworthy apps</w:t>
      </w:r>
      <w:r w:rsidR="00E34BE9" w:rsidRPr="00714C99">
        <w:t>.</w:t>
      </w:r>
      <w:r w:rsidR="003E281F" w:rsidRPr="00714C99">
        <w:t xml:space="preserve"> </w:t>
      </w:r>
      <w:r w:rsidR="00204D1A" w:rsidRPr="00714C99">
        <w:t>Digital platforms have claimed that they are</w:t>
      </w:r>
      <w:r w:rsidR="00A33F94" w:rsidRPr="00714C99">
        <w:t xml:space="preserve"> neutral intermediaries </w:t>
      </w:r>
      <w:r w:rsidR="007C2111" w:rsidRPr="00714C99">
        <w:t xml:space="preserve">and </w:t>
      </w:r>
      <w:r w:rsidR="00C733E1" w:rsidRPr="00714C99">
        <w:t xml:space="preserve">have limited responsibility for distributing misleading and </w:t>
      </w:r>
      <w:r w:rsidR="00A57D0C" w:rsidRPr="00714C99">
        <w:t xml:space="preserve">deceptive </w:t>
      </w:r>
      <w:r w:rsidR="007E07EA" w:rsidRPr="00714C99">
        <w:t>advertising.</w:t>
      </w:r>
      <w:r w:rsidR="007E07EA" w:rsidRPr="00714C99">
        <w:rPr>
          <w:rStyle w:val="FootnoteReference"/>
        </w:rPr>
        <w:footnoteReference w:id="4"/>
      </w:r>
      <w:r w:rsidR="00E34BE9" w:rsidRPr="00714C99">
        <w:t xml:space="preserve"> </w:t>
      </w:r>
    </w:p>
    <w:p w14:paraId="49C12D82" w14:textId="5402D60D" w:rsidR="002D4925" w:rsidRPr="00714C99" w:rsidRDefault="00E34BE9" w:rsidP="00FA4383">
      <w:r w:rsidRPr="00714C99">
        <w:t xml:space="preserve">While </w:t>
      </w:r>
      <w:r w:rsidR="0014552A" w:rsidRPr="00714C99">
        <w:t>the</w:t>
      </w:r>
      <w:r w:rsidR="00675DDC">
        <w:t xml:space="preserve">re is plenty </w:t>
      </w:r>
      <w:r w:rsidR="0014552A" w:rsidRPr="00714C99">
        <w:t xml:space="preserve">of </w:t>
      </w:r>
      <w:r w:rsidR="004D2CE5" w:rsidRPr="00714C99">
        <w:t xml:space="preserve">news of </w:t>
      </w:r>
      <w:r w:rsidR="000D0F33" w:rsidRPr="00714C99">
        <w:t>different</w:t>
      </w:r>
      <w:r w:rsidR="004D2CE5" w:rsidRPr="00714C99">
        <w:t xml:space="preserve"> platforms and </w:t>
      </w:r>
      <w:r w:rsidR="000D0F33" w:rsidRPr="00714C99">
        <w:t>novel</w:t>
      </w:r>
      <w:r w:rsidR="004D2CE5" w:rsidRPr="00714C99">
        <w:t xml:space="preserve"> features, for the most part </w:t>
      </w:r>
      <w:r w:rsidR="00CF188A" w:rsidRPr="00714C99">
        <w:t>digital platform markets are highly concentrated around a few key companies.</w:t>
      </w:r>
      <w:r w:rsidR="00B306AB" w:rsidRPr="00714C99">
        <w:t xml:space="preserve"> When </w:t>
      </w:r>
      <w:r w:rsidR="00A832B8" w:rsidRPr="00714C99">
        <w:t xml:space="preserve">companies have market </w:t>
      </w:r>
      <w:r w:rsidR="00D45A31" w:rsidRPr="00714C99">
        <w:t>power,</w:t>
      </w:r>
      <w:r w:rsidR="00A832B8" w:rsidRPr="00714C99">
        <w:t xml:space="preserve"> </w:t>
      </w:r>
      <w:r w:rsidR="008278DC" w:rsidRPr="00714C99">
        <w:t>they are less incentivi</w:t>
      </w:r>
      <w:r w:rsidR="00714C99">
        <w:t>s</w:t>
      </w:r>
      <w:r w:rsidR="008278DC" w:rsidRPr="00714C99">
        <w:t>ed to</w:t>
      </w:r>
      <w:r w:rsidR="00A832B8" w:rsidRPr="00714C99">
        <w:t xml:space="preserve"> innovate or</w:t>
      </w:r>
      <w:r w:rsidR="00714C99">
        <w:t xml:space="preserve"> respond to consumers’ needs</w:t>
      </w:r>
      <w:r w:rsidR="00FC6146">
        <w:t xml:space="preserve"> because they face less competition</w:t>
      </w:r>
      <w:r w:rsidR="00714C99">
        <w:t>.</w:t>
      </w:r>
      <w:r w:rsidR="005E316E" w:rsidRPr="00714C99">
        <w:t xml:space="preserve"> The Australian Competition and Consumer Commission</w:t>
      </w:r>
      <w:r w:rsidR="00675525" w:rsidRPr="00714C99">
        <w:t xml:space="preserve"> (ACCC)</w:t>
      </w:r>
      <w:r w:rsidR="000B351A" w:rsidRPr="00714C99">
        <w:t xml:space="preserve"> is investigating ways to </w:t>
      </w:r>
      <w:r w:rsidR="00675525" w:rsidRPr="00714C99">
        <w:t>temper the market power</w:t>
      </w:r>
      <w:r w:rsidR="00AD3108" w:rsidRPr="00714C99">
        <w:t xml:space="preserve"> of digital </w:t>
      </w:r>
      <w:r w:rsidR="00D45A31" w:rsidRPr="00714C99">
        <w:t>platforms,</w:t>
      </w:r>
      <w:r w:rsidR="003010BE" w:rsidRPr="00714C99">
        <w:t xml:space="preserve"> but consumers still lack </w:t>
      </w:r>
      <w:r w:rsidR="00285E60" w:rsidRPr="00714C99">
        <w:t>the ability to</w:t>
      </w:r>
      <w:r w:rsidR="0041723D">
        <w:t xml:space="preserve"> access</w:t>
      </w:r>
      <w:r w:rsidR="00285E60" w:rsidRPr="00714C99">
        <w:t xml:space="preserve"> </w:t>
      </w:r>
      <w:r w:rsidR="003010BE" w:rsidRPr="00714C99">
        <w:t xml:space="preserve">basic </w:t>
      </w:r>
      <w:r w:rsidR="006A0E1D">
        <w:t xml:space="preserve">competition features such as the ability to </w:t>
      </w:r>
      <w:r w:rsidR="00285E60" w:rsidRPr="00714C99">
        <w:t xml:space="preserve">easily </w:t>
      </w:r>
      <w:r w:rsidR="001905D2">
        <w:t>switch</w:t>
      </w:r>
      <w:r w:rsidR="00CF4AAC" w:rsidRPr="00714C99">
        <w:t xml:space="preserve"> their</w:t>
      </w:r>
      <w:r w:rsidR="00225008">
        <w:t xml:space="preserve"> social media</w:t>
      </w:r>
      <w:r w:rsidR="002841CB" w:rsidRPr="00714C99">
        <w:t xml:space="preserve"> accounts </w:t>
      </w:r>
      <w:r w:rsidR="00225008">
        <w:t xml:space="preserve">between providers </w:t>
      </w:r>
      <w:r w:rsidR="002841CB" w:rsidRPr="00714C99">
        <w:t>or</w:t>
      </w:r>
      <w:r w:rsidR="001905D2">
        <w:t xml:space="preserve"> move</w:t>
      </w:r>
      <w:r w:rsidR="006A05B2" w:rsidRPr="00714C99">
        <w:t xml:space="preserve"> items like photo libraries or</w:t>
      </w:r>
      <w:r w:rsidR="002841CB" w:rsidRPr="00714C99">
        <w:t xml:space="preserve"> music playlists between </w:t>
      </w:r>
      <w:r w:rsidR="00FA0A37">
        <w:t>services</w:t>
      </w:r>
      <w:r w:rsidR="00DB6272" w:rsidRPr="00714C99">
        <w:t>.</w:t>
      </w:r>
    </w:p>
    <w:p w14:paraId="598D45C8" w14:textId="427E6EF5" w:rsidR="007F1AFE" w:rsidRPr="00714C99" w:rsidRDefault="00DA7961" w:rsidP="00FA4383">
      <w:r w:rsidRPr="00714C99">
        <w:t>ACCAN continues to advocate for</w:t>
      </w:r>
      <w:r w:rsidR="00DE1627" w:rsidRPr="00714C99">
        <w:t xml:space="preserve"> users</w:t>
      </w:r>
      <w:r w:rsidRPr="00714C99">
        <w:t xml:space="preserve"> </w:t>
      </w:r>
      <w:r w:rsidR="00AF007A">
        <w:t xml:space="preserve">of digital platforms </w:t>
      </w:r>
      <w:r w:rsidRPr="00714C99">
        <w:t xml:space="preserve">as </w:t>
      </w:r>
      <w:r w:rsidR="00AF007A">
        <w:t>these services</w:t>
      </w:r>
      <w:r w:rsidRPr="00714C99">
        <w:t xml:space="preserve"> converge</w:t>
      </w:r>
      <w:r w:rsidR="00F25455" w:rsidRPr="00714C99">
        <w:t xml:space="preserve"> with broader communications and media</w:t>
      </w:r>
      <w:r w:rsidR="001769CC" w:rsidRPr="00714C99">
        <w:t>.</w:t>
      </w:r>
      <w:r w:rsidR="00E5647C" w:rsidRPr="00714C99">
        <w:t xml:space="preserve"> Digital platforms are one of the key activities that people use their broadband </w:t>
      </w:r>
      <w:r w:rsidR="00831F77">
        <w:t>service</w:t>
      </w:r>
      <w:r w:rsidR="007311ED">
        <w:t>s</w:t>
      </w:r>
      <w:r w:rsidR="00831F77">
        <w:t xml:space="preserve"> </w:t>
      </w:r>
      <w:r w:rsidR="00E5647C" w:rsidRPr="00714C99">
        <w:t>and mobile</w:t>
      </w:r>
      <w:r w:rsidR="007311ED">
        <w:t>s</w:t>
      </w:r>
      <w:r w:rsidR="00E5647C" w:rsidRPr="00714C99">
        <w:t xml:space="preserve"> for.</w:t>
      </w:r>
      <w:r w:rsidR="00133A24" w:rsidRPr="00714C99">
        <w:t xml:space="preserve"> </w:t>
      </w:r>
      <w:r w:rsidRPr="00714C99">
        <w:t xml:space="preserve">As ACCAN has argued in the past, while </w:t>
      </w:r>
      <w:r w:rsidR="00AF31FD" w:rsidRPr="00714C99">
        <w:t>digital platforms</w:t>
      </w:r>
      <w:r w:rsidR="00770BB6" w:rsidRPr="00714C99">
        <w:t xml:space="preserve"> </w:t>
      </w:r>
      <w:r w:rsidRPr="00714C99">
        <w:t xml:space="preserve">provide </w:t>
      </w:r>
      <w:r w:rsidR="00770BB6" w:rsidRPr="00714C99">
        <w:t>a host of benefits</w:t>
      </w:r>
      <w:r w:rsidRPr="00714C99">
        <w:t xml:space="preserve"> for consumers, </w:t>
      </w:r>
      <w:r w:rsidR="00834B77" w:rsidRPr="00714C99">
        <w:t>consumers require more</w:t>
      </w:r>
      <w:r w:rsidR="00927E69" w:rsidRPr="00714C99">
        <w:t xml:space="preserve"> effective</w:t>
      </w:r>
      <w:r w:rsidR="00834B77" w:rsidRPr="00714C99">
        <w:t xml:space="preserve"> </w:t>
      </w:r>
      <w:r w:rsidR="007845C3" w:rsidRPr="00714C99">
        <w:t>protections</w:t>
      </w:r>
      <w:r w:rsidR="00C9670A" w:rsidRPr="00714C99">
        <w:t>,</w:t>
      </w:r>
      <w:r w:rsidR="00372D34" w:rsidRPr="00714C99">
        <w:t xml:space="preserve"> improved</w:t>
      </w:r>
      <w:r w:rsidR="00C9670A" w:rsidRPr="00714C99">
        <w:t xml:space="preserve"> </w:t>
      </w:r>
      <w:r w:rsidR="00B9666D" w:rsidRPr="00714C99">
        <w:t>avenues</w:t>
      </w:r>
      <w:r w:rsidR="00C9670A" w:rsidRPr="00714C99">
        <w:t xml:space="preserve"> of </w:t>
      </w:r>
      <w:r w:rsidR="00E253A8" w:rsidRPr="00714C99">
        <w:t>dispute resolution</w:t>
      </w:r>
      <w:r w:rsidR="005969C2" w:rsidRPr="00714C99">
        <w:t xml:space="preserve"> and mechanisms to </w:t>
      </w:r>
      <w:r w:rsidR="00384E16" w:rsidRPr="00714C99">
        <w:t>facilitate choice in the market.</w:t>
      </w:r>
    </w:p>
    <w:p w14:paraId="5FC1EECF" w14:textId="32B9E459" w:rsidR="00DD66E5" w:rsidRPr="00714C99" w:rsidRDefault="00C12FC4" w:rsidP="00087E9E">
      <w:pPr>
        <w:pStyle w:val="Heading1"/>
      </w:pPr>
      <w:r w:rsidRPr="00714C99">
        <w:t xml:space="preserve">Safety and </w:t>
      </w:r>
      <w:r w:rsidR="00A5706F" w:rsidRPr="00714C99">
        <w:t>Fairness</w:t>
      </w:r>
    </w:p>
    <w:p w14:paraId="08DD6F7E" w14:textId="5D7E6C2B" w:rsidR="000F3B34" w:rsidRPr="00714C99" w:rsidRDefault="00A82EEE" w:rsidP="00C12FC4">
      <w:r w:rsidRPr="00714C99">
        <w:t xml:space="preserve">Users </w:t>
      </w:r>
      <w:r w:rsidR="00CC21BB" w:rsidRPr="00714C99">
        <w:t xml:space="preserve">of digital platforms </w:t>
      </w:r>
      <w:r w:rsidRPr="00714C99">
        <w:t>are often urged to</w:t>
      </w:r>
      <w:r w:rsidR="0097641F" w:rsidRPr="00714C99">
        <w:t xml:space="preserve"> </w:t>
      </w:r>
      <w:r w:rsidRPr="00714C99">
        <w:t>take control</w:t>
      </w:r>
      <w:r w:rsidR="00EA682E">
        <w:t xml:space="preserve"> of their</w:t>
      </w:r>
      <w:r w:rsidRPr="00714C99">
        <w:t xml:space="preserve"> privacy </w:t>
      </w:r>
      <w:r w:rsidR="00EE1683" w:rsidRPr="00714C99">
        <w:t xml:space="preserve">and safety settings. </w:t>
      </w:r>
      <w:r w:rsidR="000F3B34" w:rsidRPr="00714C99">
        <w:t>However</w:t>
      </w:r>
      <w:r w:rsidR="0097641F" w:rsidRPr="00714C99">
        <w:t>,</w:t>
      </w:r>
      <w:r w:rsidR="000F3B34" w:rsidRPr="00714C99">
        <w:t xml:space="preserve"> research consistently shows that </w:t>
      </w:r>
      <w:r w:rsidR="00E12B00" w:rsidRPr="00714C99">
        <w:t xml:space="preserve">many </w:t>
      </w:r>
      <w:r w:rsidR="00AD0244" w:rsidRPr="00714C99">
        <w:t>people</w:t>
      </w:r>
      <w:r w:rsidR="00E12B00" w:rsidRPr="00714C99">
        <w:t xml:space="preserve"> find it difficult to understand privacy policie</w:t>
      </w:r>
      <w:r w:rsidR="00407364" w:rsidRPr="00714C99">
        <w:t>s</w:t>
      </w:r>
      <w:r w:rsidR="00BA22DF" w:rsidRPr="00714C99">
        <w:t xml:space="preserve"> and navigate privacy settings</w:t>
      </w:r>
      <w:r w:rsidR="00407364" w:rsidRPr="00714C99">
        <w:t xml:space="preserve">. For example, </w:t>
      </w:r>
      <w:r w:rsidR="00CD54CC">
        <w:t>r</w:t>
      </w:r>
      <w:r w:rsidR="00126B79" w:rsidRPr="00714C99">
        <w:t xml:space="preserve">esearch by the </w:t>
      </w:r>
      <w:r w:rsidR="00D8313D" w:rsidRPr="00714C99">
        <w:t>Consumer Policy Research Centre (</w:t>
      </w:r>
      <w:r w:rsidR="00126B79" w:rsidRPr="00714C99">
        <w:t>CPRC</w:t>
      </w:r>
      <w:r w:rsidR="00D8313D" w:rsidRPr="00714C99">
        <w:t>)</w:t>
      </w:r>
      <w:r w:rsidR="00412B10">
        <w:t xml:space="preserve"> </w:t>
      </w:r>
      <w:r w:rsidR="00126B79" w:rsidRPr="00714C99">
        <w:t>found that one in four</w:t>
      </w:r>
      <w:r w:rsidR="0025223C">
        <w:t xml:space="preserve"> (25%)</w:t>
      </w:r>
      <w:r w:rsidR="00126B79" w:rsidRPr="00714C99">
        <w:t xml:space="preserve"> “Australians shared more personal information than they wanted t</w:t>
      </w:r>
      <w:r w:rsidR="0025223C">
        <w:t>o</w:t>
      </w:r>
      <w:r w:rsidR="00126B79" w:rsidRPr="00714C99">
        <w:t>”</w:t>
      </w:r>
      <w:r w:rsidR="004F1F12" w:rsidRPr="00714C99">
        <w:t xml:space="preserve"> due to manipulative interface design.</w:t>
      </w:r>
      <w:r w:rsidR="004F1F12" w:rsidRPr="00714C99">
        <w:rPr>
          <w:rStyle w:val="FootnoteReference"/>
        </w:rPr>
        <w:footnoteReference w:id="5"/>
      </w:r>
      <w:r w:rsidR="00CD54CC">
        <w:t xml:space="preserve"> </w:t>
      </w:r>
      <w:r w:rsidR="00B928D9">
        <w:t>Relying on consumers to change</w:t>
      </w:r>
      <w:r w:rsidR="008E6B18">
        <w:t xml:space="preserve"> the</w:t>
      </w:r>
      <w:r w:rsidR="00096E76">
        <w:t>ir privacy settings shifts the</w:t>
      </w:r>
      <w:r w:rsidR="008E6B18">
        <w:t xml:space="preserve"> burden of privacy on</w:t>
      </w:r>
      <w:r w:rsidR="00096E76">
        <w:t>to</w:t>
      </w:r>
      <w:r w:rsidR="008E6B18">
        <w:t xml:space="preserve"> consumers</w:t>
      </w:r>
      <w:r w:rsidR="0077280C">
        <w:t xml:space="preserve"> and could lead to consumer harms</w:t>
      </w:r>
      <w:r w:rsidR="00500A1F">
        <w:t xml:space="preserve"> such as data</w:t>
      </w:r>
      <w:r w:rsidR="00ED101F">
        <w:t xml:space="preserve"> leaks or unwanted disclosures</w:t>
      </w:r>
      <w:r w:rsidR="0077280C">
        <w:t>.</w:t>
      </w:r>
    </w:p>
    <w:p w14:paraId="239B5ACF" w14:textId="75B861C2" w:rsidR="00032BD3" w:rsidRPr="00714C99" w:rsidRDefault="00AB0F6C" w:rsidP="00C12FC4">
      <w:r w:rsidRPr="00714C99">
        <w:t>Only 56%</w:t>
      </w:r>
      <w:r w:rsidR="001C673B" w:rsidRPr="00714C99">
        <w:t xml:space="preserve"> of respondents agreed w</w:t>
      </w:r>
      <w:r w:rsidR="0097641F" w:rsidRPr="00714C99">
        <w:t>hen we</w:t>
      </w:r>
      <w:r w:rsidRPr="00714C99">
        <w:t xml:space="preserve"> asked</w:t>
      </w:r>
      <w:r w:rsidR="00622821">
        <w:t xml:space="preserve"> whether</w:t>
      </w:r>
      <w:r w:rsidRPr="00714C99">
        <w:t xml:space="preserve"> “</w:t>
      </w:r>
      <w:r w:rsidRPr="00714C99">
        <w:rPr>
          <w:rFonts w:ascii="Calibri" w:eastAsia="Times New Roman" w:hAnsi="Calibri" w:cs="Calibri"/>
          <w:color w:val="000000"/>
        </w:rPr>
        <w:t>It is easy to change the default privacy and safety settings of website</w:t>
      </w:r>
      <w:r w:rsidR="00593ECF">
        <w:rPr>
          <w:rFonts w:ascii="Calibri" w:eastAsia="Times New Roman" w:hAnsi="Calibri" w:cs="Calibri"/>
          <w:color w:val="000000"/>
        </w:rPr>
        <w:t>s</w:t>
      </w:r>
      <w:r w:rsidRPr="00714C99">
        <w:rPr>
          <w:rFonts w:ascii="Calibri" w:eastAsia="Times New Roman" w:hAnsi="Calibri" w:cs="Calibri"/>
          <w:color w:val="000000"/>
        </w:rPr>
        <w:t xml:space="preserve"> and apps</w:t>
      </w:r>
      <w:r w:rsidRPr="00714C99">
        <w:t>”</w:t>
      </w:r>
      <w:r w:rsidR="001C673B" w:rsidRPr="00714C99">
        <w:t>.</w:t>
      </w:r>
      <w:r w:rsidR="0048317F" w:rsidRPr="00714C99">
        <w:t xml:space="preserve"> </w:t>
      </w:r>
      <w:r w:rsidR="00C4755D" w:rsidRPr="00714C99">
        <w:t>This</w:t>
      </w:r>
      <w:r w:rsidR="00EC3679" w:rsidRPr="00714C99">
        <w:t xml:space="preserve"> figure </w:t>
      </w:r>
      <w:r w:rsidR="00D07049" w:rsidRPr="00714C99">
        <w:t xml:space="preserve">is </w:t>
      </w:r>
      <w:proofErr w:type="gramStart"/>
      <w:r w:rsidR="00D07049" w:rsidRPr="00714C99">
        <w:t>similar</w:t>
      </w:r>
      <w:r w:rsidR="00502096" w:rsidRPr="00714C99">
        <w:t xml:space="preserve"> to</w:t>
      </w:r>
      <w:proofErr w:type="gramEnd"/>
      <w:r w:rsidR="00EC3679" w:rsidRPr="00714C99">
        <w:t xml:space="preserve"> </w:t>
      </w:r>
      <w:r w:rsidR="00DB202E" w:rsidRPr="00714C99">
        <w:t>those who say they do change their privacy settings.</w:t>
      </w:r>
      <w:r w:rsidR="00583576" w:rsidRPr="00714C99">
        <w:rPr>
          <w:lang w:eastAsia="en-US"/>
        </w:rPr>
        <w:t xml:space="preserve"> 56% of respondents agree that “</w:t>
      </w:r>
      <w:r w:rsidR="00583576" w:rsidRPr="00714C99">
        <w:rPr>
          <w:rFonts w:ascii="Calibri" w:eastAsia="Times New Roman" w:hAnsi="Calibri" w:cs="Calibri"/>
          <w:color w:val="000000"/>
        </w:rPr>
        <w:t>I usually change the default privacy and safety settings of websites and apps that I use</w:t>
      </w:r>
      <w:r w:rsidR="00583576" w:rsidRPr="00714C99">
        <w:rPr>
          <w:lang w:eastAsia="en-US"/>
        </w:rPr>
        <w:t>”</w:t>
      </w:r>
      <w:r w:rsidR="00F242FD" w:rsidRPr="00714C99">
        <w:rPr>
          <w:lang w:eastAsia="en-US"/>
        </w:rPr>
        <w:t>.</w:t>
      </w:r>
      <w:r w:rsidR="00A22901" w:rsidRPr="00714C99">
        <w:rPr>
          <w:lang w:eastAsia="en-US"/>
        </w:rPr>
        <w:t xml:space="preserve"> </w:t>
      </w:r>
      <w:r w:rsidR="00032BD3" w:rsidRPr="00714C99">
        <w:rPr>
          <w:lang w:eastAsia="en-US"/>
        </w:rPr>
        <w:t>However</w:t>
      </w:r>
      <w:r w:rsidR="009A3D89" w:rsidRPr="00714C99">
        <w:rPr>
          <w:lang w:eastAsia="en-US"/>
        </w:rPr>
        <w:t>,</w:t>
      </w:r>
      <w:r w:rsidR="00CD5F7D" w:rsidRPr="00714C99">
        <w:t xml:space="preserve"> many groups who tend to be less digitally included</w:t>
      </w:r>
      <w:r w:rsidR="002A53E6">
        <w:rPr>
          <w:rStyle w:val="FootnoteReference"/>
        </w:rPr>
        <w:footnoteReference w:id="6"/>
      </w:r>
      <w:r w:rsidR="000B58E0" w:rsidRPr="00714C99">
        <w:t>, such as older Australians, Australians</w:t>
      </w:r>
      <w:r w:rsidR="008B4077">
        <w:t xml:space="preserve"> on lower incomes</w:t>
      </w:r>
      <w:r w:rsidR="000B58E0" w:rsidRPr="00714C99">
        <w:t xml:space="preserve"> and</w:t>
      </w:r>
      <w:r w:rsidR="008B4077">
        <w:t xml:space="preserve"> </w:t>
      </w:r>
      <w:r w:rsidR="008B4077" w:rsidRPr="008B4077">
        <w:t xml:space="preserve">rural, </w:t>
      </w:r>
      <w:proofErr w:type="gramStart"/>
      <w:r w:rsidR="00E80610" w:rsidRPr="008B4077">
        <w:t>regional</w:t>
      </w:r>
      <w:proofErr w:type="gramEnd"/>
      <w:r w:rsidR="008B4077" w:rsidRPr="008B4077">
        <w:t xml:space="preserve"> and remot</w:t>
      </w:r>
      <w:r w:rsidR="008B4077">
        <w:t>e</w:t>
      </w:r>
      <w:r w:rsidR="000B58E0" w:rsidRPr="00714C99">
        <w:t xml:space="preserve"> </w:t>
      </w:r>
      <w:r w:rsidR="00476BD4" w:rsidRPr="00714C99">
        <w:t>Australians tended to find it harder to change</w:t>
      </w:r>
      <w:r w:rsidR="00913318" w:rsidRPr="00714C99">
        <w:t xml:space="preserve"> their privacy and safety settings.</w:t>
      </w:r>
    </w:p>
    <w:p w14:paraId="03121177" w14:textId="0D8BCA96" w:rsidR="00A9749D" w:rsidRDefault="004521E0" w:rsidP="00C12FC4">
      <w:r w:rsidRPr="00714C99">
        <w:t xml:space="preserve">We found that </w:t>
      </w:r>
      <w:r w:rsidR="00337FE3" w:rsidRPr="00714C99">
        <w:t xml:space="preserve">older Australians were less likely to </w:t>
      </w:r>
      <w:r w:rsidR="002A6D0C" w:rsidRPr="00714C99">
        <w:t xml:space="preserve">find it </w:t>
      </w:r>
      <w:r w:rsidR="00F0375E" w:rsidRPr="00714C99">
        <w:t>easy to change the default privacy settings on websites and apps.</w:t>
      </w:r>
      <w:r w:rsidR="00BC747B" w:rsidRPr="00714C99">
        <w:t xml:space="preserve"> As the graph below shows</w:t>
      </w:r>
      <w:r w:rsidR="00BE038A" w:rsidRPr="00714C99">
        <w:t xml:space="preserve">, only </w:t>
      </w:r>
      <w:r w:rsidR="00762624" w:rsidRPr="00714C99">
        <w:t xml:space="preserve">44% of </w:t>
      </w:r>
      <w:r w:rsidR="00D51181" w:rsidRPr="00714C99">
        <w:t>participants over 50 agree that it is easy to change</w:t>
      </w:r>
      <w:r w:rsidR="00C87217" w:rsidRPr="00714C99">
        <w:t xml:space="preserve"> their privacy and safety settings.</w:t>
      </w:r>
    </w:p>
    <w:p w14:paraId="1B6414D3" w14:textId="4953107D" w:rsidR="00894DCA" w:rsidRPr="000B141D" w:rsidRDefault="005F0942" w:rsidP="00167285">
      <w:pPr>
        <w:keepNext/>
        <w:jc w:val="center"/>
        <w:rPr>
          <w:sz w:val="28"/>
          <w:szCs w:val="28"/>
        </w:rPr>
      </w:pPr>
      <w:r w:rsidRPr="009B67BB">
        <w:rPr>
          <w:rStyle w:val="Heading2Char"/>
        </w:rPr>
        <w:t xml:space="preserve">Proportion </w:t>
      </w:r>
      <w:r w:rsidR="00254C71" w:rsidRPr="009B67BB">
        <w:rPr>
          <w:rStyle w:val="Heading2Char"/>
        </w:rPr>
        <w:t>of Australians that agree that it is “easy to adjust privacy settings” when using apps and websites</w:t>
      </w:r>
      <w:r w:rsidR="00894DCA" w:rsidRPr="009B67BB">
        <w:rPr>
          <w:rStyle w:val="Heading2Char"/>
        </w:rPr>
        <w:t>, per age bracket</w:t>
      </w:r>
      <w:r w:rsidR="006A4B6F" w:rsidRPr="009B67BB">
        <w:rPr>
          <w:rStyle w:val="Heading2Char"/>
        </w:rPr>
        <w:t>.</w:t>
      </w:r>
    </w:p>
    <w:p w14:paraId="5E2E56F0" w14:textId="30FAE1A1" w:rsidR="00C12FC4" w:rsidRPr="00714C99" w:rsidRDefault="00C12FC4" w:rsidP="00B84004">
      <w:pPr>
        <w:jc w:val="center"/>
        <w:rPr>
          <w:i/>
          <w:iCs/>
        </w:rPr>
      </w:pPr>
      <w:r w:rsidRPr="00714C99">
        <w:rPr>
          <w:noProof/>
        </w:rPr>
        <w:drawing>
          <wp:inline distT="0" distB="0" distL="0" distR="0" wp14:anchorId="32B5AC39" wp14:editId="6FBD1479">
            <wp:extent cx="4572000" cy="2752725"/>
            <wp:effectExtent l="0" t="0" r="0" b="9525"/>
            <wp:docPr id="2" name="Chart 2" descr="A bar graph showing answers to the survey question">
              <a:extLst xmlns:a="http://schemas.openxmlformats.org/drawingml/2006/main">
                <a:ext uri="{FF2B5EF4-FFF2-40B4-BE49-F238E27FC236}">
                  <a16:creationId xmlns:a16="http://schemas.microsoft.com/office/drawing/2014/main" id="{DD58A7D6-6212-C0CC-724C-69F3992060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8ED9882" w14:textId="2752F04F" w:rsidR="00C24E57" w:rsidRPr="00714C99" w:rsidRDefault="006C1476" w:rsidP="00AD7698">
      <w:pPr>
        <w:pStyle w:val="Caption"/>
        <w:rPr>
          <w:lang w:eastAsia="en-US"/>
        </w:rPr>
      </w:pPr>
      <w:r w:rsidRPr="00714C99">
        <w:rPr>
          <w:lang w:eastAsia="en-US"/>
        </w:rPr>
        <w:t>Figure 1.</w:t>
      </w:r>
      <w:r w:rsidR="00B80185" w:rsidRPr="00714C99">
        <w:rPr>
          <w:lang w:eastAsia="en-US"/>
        </w:rPr>
        <w:t xml:space="preserve"> Older Australians were less likely to agree with the statement that</w:t>
      </w:r>
      <w:r w:rsidRPr="00714C99">
        <w:rPr>
          <w:lang w:eastAsia="en-US"/>
        </w:rPr>
        <w:t xml:space="preserve"> </w:t>
      </w:r>
      <w:r w:rsidR="00B80185" w:rsidRPr="00714C99">
        <w:rPr>
          <w:lang w:eastAsia="en-US"/>
        </w:rPr>
        <w:t>“It is easy to change the default privacy and safety settings of website and apps”</w:t>
      </w:r>
      <w:r w:rsidR="007F66EE" w:rsidRPr="00714C99">
        <w:rPr>
          <w:lang w:eastAsia="en-US"/>
        </w:rPr>
        <w:t>. Source: Ipsos 2022.</w:t>
      </w:r>
    </w:p>
    <w:p w14:paraId="5E903988" w14:textId="3589CCBB" w:rsidR="00EC6E1B" w:rsidRDefault="00913318" w:rsidP="00EC6E1B">
      <w:pPr>
        <w:rPr>
          <w:lang w:eastAsia="en-US"/>
        </w:rPr>
      </w:pPr>
      <w:r w:rsidRPr="00714C99">
        <w:rPr>
          <w:lang w:eastAsia="en-US"/>
        </w:rPr>
        <w:t xml:space="preserve">The pattern of </w:t>
      </w:r>
      <w:r w:rsidR="002B20B5" w:rsidRPr="00714C99">
        <w:rPr>
          <w:lang w:eastAsia="en-US"/>
        </w:rPr>
        <w:t>older Australians finding it harder to change</w:t>
      </w:r>
      <w:r w:rsidR="00E50A22" w:rsidRPr="00714C99">
        <w:rPr>
          <w:lang w:eastAsia="en-US"/>
        </w:rPr>
        <w:t xml:space="preserve"> default privacy and safety settings correlates with </w:t>
      </w:r>
      <w:r w:rsidR="00165C34" w:rsidRPr="00714C99">
        <w:rPr>
          <w:lang w:eastAsia="en-US"/>
        </w:rPr>
        <w:t>the lower rates of older Australians who report changing their</w:t>
      </w:r>
      <w:r w:rsidR="00D359AE" w:rsidRPr="00714C99">
        <w:rPr>
          <w:lang w:eastAsia="en-US"/>
        </w:rPr>
        <w:t xml:space="preserve"> privacy and safety settings. This might indicate that older Australians find it harder to change their</w:t>
      </w:r>
      <w:r w:rsidR="00D35804" w:rsidRPr="00714C99">
        <w:rPr>
          <w:lang w:eastAsia="en-US"/>
        </w:rPr>
        <w:t xml:space="preserve"> privacy settings and so change them less often.</w:t>
      </w:r>
    </w:p>
    <w:p w14:paraId="2523CE25" w14:textId="3D8B4F88" w:rsidR="006429A9" w:rsidRPr="000B141D" w:rsidRDefault="006429A9" w:rsidP="00745583">
      <w:pPr>
        <w:pStyle w:val="Heading2"/>
        <w:jc w:val="center"/>
      </w:pPr>
      <w:r w:rsidRPr="009B67BB">
        <w:rPr>
          <w:rStyle w:val="Heading2Char"/>
        </w:rPr>
        <w:t>Proportion of Australians that agree th</w:t>
      </w:r>
      <w:r w:rsidR="00327068" w:rsidRPr="009B67BB">
        <w:rPr>
          <w:rStyle w:val="Heading2Char"/>
        </w:rPr>
        <w:t>ey</w:t>
      </w:r>
      <w:r w:rsidRPr="009B67BB">
        <w:rPr>
          <w:rStyle w:val="Heading2Char"/>
        </w:rPr>
        <w:t xml:space="preserve"> “</w:t>
      </w:r>
      <w:r w:rsidR="00D94935" w:rsidRPr="009B67BB">
        <w:rPr>
          <w:rStyle w:val="Heading2Char"/>
        </w:rPr>
        <w:t>usually change</w:t>
      </w:r>
      <w:r w:rsidRPr="009B67BB">
        <w:rPr>
          <w:rStyle w:val="Heading2Char"/>
        </w:rPr>
        <w:t xml:space="preserve"> privacy</w:t>
      </w:r>
      <w:r w:rsidR="00D94935" w:rsidRPr="009B67BB">
        <w:rPr>
          <w:rStyle w:val="Heading2Char"/>
        </w:rPr>
        <w:t xml:space="preserve"> and safety</w:t>
      </w:r>
      <w:r w:rsidRPr="009B67BB">
        <w:rPr>
          <w:rStyle w:val="Heading2Char"/>
        </w:rPr>
        <w:t xml:space="preserve"> settings” when using apps and websites, per age bracket.</w:t>
      </w:r>
    </w:p>
    <w:p w14:paraId="29DCBD47" w14:textId="14561C4B" w:rsidR="00EC6E1B" w:rsidRPr="00714C99" w:rsidRDefault="00EC6E1B" w:rsidP="00D35804">
      <w:pPr>
        <w:jc w:val="center"/>
        <w:rPr>
          <w:lang w:eastAsia="en-US"/>
        </w:rPr>
      </w:pPr>
      <w:r w:rsidRPr="00714C99">
        <w:rPr>
          <w:noProof/>
        </w:rPr>
        <w:drawing>
          <wp:inline distT="0" distB="0" distL="0" distR="0" wp14:anchorId="4688385F" wp14:editId="0A8734F4">
            <wp:extent cx="4572000" cy="2752725"/>
            <wp:effectExtent l="0" t="0" r="0" b="9525"/>
            <wp:docPr id="5" name="Chart 5" descr="A bar graph showing responses to the question &quot;It is easy to change the default privacy and safety settings of website and apps&quot;. The respondents are divided into three age groups. Only 44% of people agreed with the question, lower than the other groups.">
              <a:extLst xmlns:a="http://schemas.openxmlformats.org/drawingml/2006/main">
                <a:ext uri="{FF2B5EF4-FFF2-40B4-BE49-F238E27FC236}">
                  <a16:creationId xmlns:a16="http://schemas.microsoft.com/office/drawing/2014/main" id="{F4B6AB3B-4365-DD6E-3B4A-991148B6BC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C8F1C78" w14:textId="1C3D837C" w:rsidR="00AD7698" w:rsidRPr="00714C99" w:rsidRDefault="00AD7698" w:rsidP="00E971F2">
      <w:pPr>
        <w:pStyle w:val="Caption"/>
        <w:rPr>
          <w:lang w:eastAsia="en-US"/>
        </w:rPr>
      </w:pPr>
      <w:r w:rsidRPr="00714C99">
        <w:rPr>
          <w:lang w:eastAsia="en-US"/>
        </w:rPr>
        <w:t>Figure 2. Older Australians were less likely to agree with the statement that “</w:t>
      </w:r>
      <w:r w:rsidR="006F3F02" w:rsidRPr="00714C99">
        <w:rPr>
          <w:lang w:eastAsia="en-US"/>
        </w:rPr>
        <w:t>I usually change the default privacy and safety settings of websites and apps that I use</w:t>
      </w:r>
      <w:r w:rsidRPr="00714C99">
        <w:rPr>
          <w:lang w:eastAsia="en-US"/>
        </w:rPr>
        <w:t>”. Source: Ipsos 2022.</w:t>
      </w:r>
    </w:p>
    <w:p w14:paraId="23AEB741" w14:textId="14DF06F9" w:rsidR="00C12FC4" w:rsidRDefault="00BC747B" w:rsidP="00C12FC4">
      <w:pPr>
        <w:rPr>
          <w:lang w:eastAsia="en-US"/>
        </w:rPr>
      </w:pPr>
      <w:r w:rsidRPr="00714C99">
        <w:rPr>
          <w:lang w:eastAsia="en-US"/>
        </w:rPr>
        <w:t xml:space="preserve">Income also impacted on </w:t>
      </w:r>
      <w:r w:rsidR="00C87217" w:rsidRPr="00714C99">
        <w:rPr>
          <w:lang w:eastAsia="en-US"/>
        </w:rPr>
        <w:t>whether</w:t>
      </w:r>
      <w:r w:rsidR="00F0321C" w:rsidRPr="00714C99">
        <w:rPr>
          <w:lang w:eastAsia="en-US"/>
        </w:rPr>
        <w:t xml:space="preserve"> participants find it easy to change their privacy settings. </w:t>
      </w:r>
      <w:r w:rsidR="00372612">
        <w:rPr>
          <w:lang w:eastAsia="en-US"/>
        </w:rPr>
        <w:t>P</w:t>
      </w:r>
      <w:r w:rsidR="00F0321C" w:rsidRPr="00714C99">
        <w:rPr>
          <w:lang w:eastAsia="en-US"/>
        </w:rPr>
        <w:t>eople</w:t>
      </w:r>
      <w:r w:rsidR="00372612">
        <w:rPr>
          <w:lang w:eastAsia="en-US"/>
        </w:rPr>
        <w:t xml:space="preserve"> on lower incomes</w:t>
      </w:r>
      <w:r w:rsidR="00F0321C" w:rsidRPr="00714C99">
        <w:rPr>
          <w:lang w:eastAsia="en-US"/>
        </w:rPr>
        <w:t xml:space="preserve"> </w:t>
      </w:r>
      <w:r w:rsidR="00A04493" w:rsidRPr="00714C99">
        <w:rPr>
          <w:lang w:eastAsia="en-US"/>
        </w:rPr>
        <w:t xml:space="preserve">were less likely to agree that changing default privacy and </w:t>
      </w:r>
      <w:r w:rsidR="007048A7" w:rsidRPr="00714C99">
        <w:rPr>
          <w:lang w:eastAsia="en-US"/>
        </w:rPr>
        <w:t xml:space="preserve">safety settings is easy. The graph below shows that </w:t>
      </w:r>
      <w:r w:rsidR="00D37058" w:rsidRPr="00714C99">
        <w:rPr>
          <w:lang w:eastAsia="en-US"/>
        </w:rPr>
        <w:t xml:space="preserve">those on the lower end of the </w:t>
      </w:r>
      <w:r w:rsidR="001765C6">
        <w:rPr>
          <w:lang w:eastAsia="en-US"/>
        </w:rPr>
        <w:t>socioeconomic</w:t>
      </w:r>
      <w:r w:rsidR="00D37058" w:rsidRPr="00714C99">
        <w:rPr>
          <w:lang w:eastAsia="en-US"/>
        </w:rPr>
        <w:t xml:space="preserve"> spectrum</w:t>
      </w:r>
      <w:r w:rsidR="009A6CD1" w:rsidRPr="00714C99">
        <w:rPr>
          <w:lang w:eastAsia="en-US"/>
        </w:rPr>
        <w:t xml:space="preserve"> were less likely to agree than average</w:t>
      </w:r>
      <w:r w:rsidR="0060526E">
        <w:rPr>
          <w:lang w:eastAsia="en-US"/>
        </w:rPr>
        <w:t>,</w:t>
      </w:r>
      <w:r w:rsidR="009A6CD1" w:rsidRPr="00714C99">
        <w:rPr>
          <w:lang w:eastAsia="en-US"/>
        </w:rPr>
        <w:t xml:space="preserve"> while those on the higher </w:t>
      </w:r>
      <w:r w:rsidR="001765C6">
        <w:rPr>
          <w:lang w:eastAsia="en-US"/>
        </w:rPr>
        <w:t>socioeconomic</w:t>
      </w:r>
      <w:r w:rsidR="009A6CD1" w:rsidRPr="00714C99">
        <w:rPr>
          <w:lang w:eastAsia="en-US"/>
        </w:rPr>
        <w:t xml:space="preserve"> spectrum were more likely to agree.</w:t>
      </w:r>
    </w:p>
    <w:p w14:paraId="2F642852" w14:textId="61D70A98" w:rsidR="00D94935" w:rsidRPr="000B141D" w:rsidRDefault="00D94935" w:rsidP="009B67BB">
      <w:pPr>
        <w:pStyle w:val="Heading2"/>
        <w:jc w:val="center"/>
      </w:pPr>
      <w:r>
        <w:t>Proportion of Australians that agree that it is “easy to adjust privacy settings” when using apps and websites, per income bracket.</w:t>
      </w:r>
    </w:p>
    <w:p w14:paraId="54C117EF" w14:textId="0286C181" w:rsidR="00C12FC4" w:rsidRPr="00714C99" w:rsidRDefault="00C12FC4" w:rsidP="00551BCB">
      <w:pPr>
        <w:jc w:val="center"/>
        <w:rPr>
          <w:lang w:eastAsia="en-US"/>
        </w:rPr>
      </w:pPr>
      <w:r w:rsidRPr="00714C99">
        <w:rPr>
          <w:noProof/>
        </w:rPr>
        <w:drawing>
          <wp:inline distT="0" distB="0" distL="0" distR="0" wp14:anchorId="06BA13E2" wp14:editId="0B687020">
            <wp:extent cx="5731510" cy="3451860"/>
            <wp:effectExtent l="0" t="0" r="2540" b="15240"/>
            <wp:docPr id="3" name="Chart 3" descr="Australians on lower incomes were less likely to agree with the statement that “It is easy to change the default privacy and safety settings of website and apps”. Those earning above $100,000 per year were more likely than the average while those below $50,000 per year were less likely than average.">
              <a:extLst xmlns:a="http://schemas.openxmlformats.org/drawingml/2006/main">
                <a:ext uri="{FF2B5EF4-FFF2-40B4-BE49-F238E27FC236}">
                  <a16:creationId xmlns:a16="http://schemas.microsoft.com/office/drawing/2014/main" id="{2BCEF0EB-15BC-86E2-B0D6-8947991234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D2EEA3C" w14:textId="70E71D33" w:rsidR="00181387" w:rsidRPr="00714C99" w:rsidRDefault="00181387" w:rsidP="00E971F2">
      <w:pPr>
        <w:pStyle w:val="Caption"/>
        <w:rPr>
          <w:lang w:eastAsia="en-US"/>
        </w:rPr>
      </w:pPr>
      <w:r w:rsidRPr="00714C99">
        <w:rPr>
          <w:lang w:eastAsia="en-US"/>
        </w:rPr>
        <w:t>Figure 3. Australians</w:t>
      </w:r>
      <w:r w:rsidR="00A4700E">
        <w:rPr>
          <w:lang w:eastAsia="en-US"/>
        </w:rPr>
        <w:t xml:space="preserve"> on lower incom</w:t>
      </w:r>
      <w:r w:rsidR="00FB6EC7">
        <w:rPr>
          <w:lang w:eastAsia="en-US"/>
        </w:rPr>
        <w:t>es</w:t>
      </w:r>
      <w:r w:rsidRPr="00714C99">
        <w:rPr>
          <w:lang w:eastAsia="en-US"/>
        </w:rPr>
        <w:t xml:space="preserve"> were less likely to agree with the statement that “It is easy to change the default privacy and safety settings of website and apps”. Source: Ipsos 2022.</w:t>
      </w:r>
    </w:p>
    <w:p w14:paraId="341EE43F" w14:textId="137DD938" w:rsidR="00B82BFF" w:rsidRDefault="00415F1A" w:rsidP="00C12FC4">
      <w:pPr>
        <w:rPr>
          <w:lang w:eastAsia="en-US"/>
        </w:rPr>
      </w:pPr>
      <w:r w:rsidRPr="00714C99">
        <w:rPr>
          <w:lang w:eastAsia="en-US"/>
        </w:rPr>
        <w:t xml:space="preserve">As the graph below shows, lower income groups were less likely to change their default settings. </w:t>
      </w:r>
      <w:r w:rsidR="0087304F">
        <w:rPr>
          <w:lang w:eastAsia="en-US"/>
        </w:rPr>
        <w:t>The survey indicates that</w:t>
      </w:r>
      <w:r w:rsidR="0040477A" w:rsidRPr="00714C99">
        <w:rPr>
          <w:lang w:eastAsia="en-US"/>
        </w:rPr>
        <w:t xml:space="preserve"> </w:t>
      </w:r>
      <w:r w:rsidR="00E44E39" w:rsidRPr="00714C99">
        <w:rPr>
          <w:lang w:eastAsia="en-US"/>
        </w:rPr>
        <w:t>respondents</w:t>
      </w:r>
      <w:r w:rsidRPr="00714C99">
        <w:rPr>
          <w:lang w:eastAsia="en-US"/>
        </w:rPr>
        <w:t xml:space="preserve"> </w:t>
      </w:r>
      <w:r w:rsidR="00657BC6">
        <w:rPr>
          <w:lang w:eastAsia="en-US"/>
        </w:rPr>
        <w:t>with</w:t>
      </w:r>
      <w:r w:rsidRPr="00714C99">
        <w:rPr>
          <w:lang w:eastAsia="en-US"/>
        </w:rPr>
        <w:t xml:space="preserve"> lower incomes</w:t>
      </w:r>
      <w:r w:rsidR="008046CD">
        <w:rPr>
          <w:lang w:eastAsia="en-US"/>
        </w:rPr>
        <w:t xml:space="preserve"> </w:t>
      </w:r>
      <w:r w:rsidR="004E5668" w:rsidRPr="00714C99">
        <w:rPr>
          <w:lang w:eastAsia="en-US"/>
        </w:rPr>
        <w:t>were less likely to agree that privacy and safety settings are easy to change</w:t>
      </w:r>
      <w:r w:rsidR="008046CD">
        <w:rPr>
          <w:lang w:eastAsia="en-US"/>
        </w:rPr>
        <w:t xml:space="preserve"> and </w:t>
      </w:r>
      <w:r w:rsidR="004E5668" w:rsidRPr="00714C99">
        <w:rPr>
          <w:lang w:eastAsia="en-US"/>
        </w:rPr>
        <w:t>less likely to change their default settings.</w:t>
      </w:r>
      <w:r w:rsidR="00C32BE6" w:rsidRPr="00714C99">
        <w:rPr>
          <w:lang w:eastAsia="en-US"/>
        </w:rPr>
        <w:t xml:space="preserve"> </w:t>
      </w:r>
      <w:r w:rsidR="00114C90" w:rsidRPr="00714C99">
        <w:rPr>
          <w:lang w:eastAsia="en-US"/>
        </w:rPr>
        <w:t xml:space="preserve">This </w:t>
      </w:r>
      <w:r w:rsidR="00F74130" w:rsidRPr="00714C99">
        <w:rPr>
          <w:lang w:eastAsia="en-US"/>
        </w:rPr>
        <w:t xml:space="preserve">may </w:t>
      </w:r>
      <w:r w:rsidR="00114C90" w:rsidRPr="00714C99">
        <w:rPr>
          <w:lang w:eastAsia="en-US"/>
        </w:rPr>
        <w:t xml:space="preserve">indicate that </w:t>
      </w:r>
      <w:r w:rsidR="008A373D" w:rsidRPr="00714C99">
        <w:rPr>
          <w:lang w:eastAsia="en-US"/>
        </w:rPr>
        <w:t>people on low incomes</w:t>
      </w:r>
      <w:r w:rsidR="00114C90" w:rsidRPr="00714C99">
        <w:rPr>
          <w:lang w:eastAsia="en-US"/>
        </w:rPr>
        <w:t xml:space="preserve"> </w:t>
      </w:r>
      <w:r w:rsidR="008A373D" w:rsidRPr="00714C99">
        <w:rPr>
          <w:lang w:eastAsia="en-US"/>
        </w:rPr>
        <w:t xml:space="preserve">are </w:t>
      </w:r>
      <w:r w:rsidR="00114C90" w:rsidRPr="00714C99">
        <w:rPr>
          <w:lang w:eastAsia="en-US"/>
        </w:rPr>
        <w:t>more likely to find it difficult to change</w:t>
      </w:r>
      <w:r w:rsidR="00551BCB" w:rsidRPr="00714C99">
        <w:rPr>
          <w:lang w:eastAsia="en-US"/>
        </w:rPr>
        <w:t xml:space="preserve"> their setting and so less likely to do so.</w:t>
      </w:r>
    </w:p>
    <w:p w14:paraId="19A5FB26" w14:textId="4372936A" w:rsidR="004C3979" w:rsidRPr="00A83D18" w:rsidRDefault="00745583" w:rsidP="00A83D18">
      <w:pPr>
        <w:pStyle w:val="Heading2"/>
        <w:jc w:val="center"/>
      </w:pPr>
      <w:r>
        <w:rPr>
          <w:rStyle w:val="Heading2Char"/>
        </w:rPr>
        <w:br w:type="page"/>
      </w:r>
      <w:r w:rsidR="004C3979" w:rsidRPr="00A83D18">
        <w:rPr>
          <w:rStyle w:val="Heading2Char"/>
        </w:rPr>
        <w:t>Proportion of Australians that agree that</w:t>
      </w:r>
      <w:r w:rsidR="00442134" w:rsidRPr="00A83D18">
        <w:rPr>
          <w:rStyle w:val="Heading2Char"/>
        </w:rPr>
        <w:t xml:space="preserve"> they</w:t>
      </w:r>
      <w:r w:rsidR="004C3979" w:rsidRPr="00A83D18">
        <w:rPr>
          <w:rStyle w:val="Heading2Char"/>
        </w:rPr>
        <w:t xml:space="preserve"> “usually change privacy and safety settings” when using apps and websites, per income bracket.</w:t>
      </w:r>
    </w:p>
    <w:p w14:paraId="15B23C42" w14:textId="6BC0448E" w:rsidR="008D71FB" w:rsidRPr="00714C99" w:rsidRDefault="008D71FB" w:rsidP="00551BCB">
      <w:pPr>
        <w:jc w:val="center"/>
        <w:rPr>
          <w:lang w:eastAsia="en-US"/>
        </w:rPr>
      </w:pPr>
      <w:r w:rsidRPr="00714C99">
        <w:rPr>
          <w:noProof/>
        </w:rPr>
        <w:drawing>
          <wp:inline distT="0" distB="0" distL="0" distR="0" wp14:anchorId="4A12E53C" wp14:editId="6C47E797">
            <wp:extent cx="5731510" cy="2981960"/>
            <wp:effectExtent l="0" t="0" r="2540" b="8890"/>
            <wp:docPr id="6" name="Chart 6" descr="Australians on lower incomes were less likely to agree with the statement that “I usually change the default privacy and safety settings of websites and apps that I use”. Those earning above $75,000 per year were more likely than the average while those below $50,000 per year were less likely than average.">
              <a:extLst xmlns:a="http://schemas.openxmlformats.org/drawingml/2006/main">
                <a:ext uri="{FF2B5EF4-FFF2-40B4-BE49-F238E27FC236}">
                  <a16:creationId xmlns:a16="http://schemas.microsoft.com/office/drawing/2014/main" id="{C651613D-310C-6196-34FA-5C9AF8E82B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D94A7CE" w14:textId="133B2E02" w:rsidR="00EF046C" w:rsidRPr="00714C99" w:rsidRDefault="00EF046C" w:rsidP="00E971F2">
      <w:pPr>
        <w:pStyle w:val="Caption"/>
        <w:rPr>
          <w:lang w:eastAsia="en-US"/>
        </w:rPr>
      </w:pPr>
      <w:r w:rsidRPr="00714C99">
        <w:rPr>
          <w:lang w:eastAsia="en-US"/>
        </w:rPr>
        <w:t>Figure 4.  Australians</w:t>
      </w:r>
      <w:r w:rsidR="00FB6EC7">
        <w:rPr>
          <w:lang w:eastAsia="en-US"/>
        </w:rPr>
        <w:t xml:space="preserve"> on lower incomes</w:t>
      </w:r>
      <w:r w:rsidRPr="00714C99">
        <w:rPr>
          <w:lang w:eastAsia="en-US"/>
        </w:rPr>
        <w:t xml:space="preserve"> were less likely to agree with the statement that “I usually change the default privacy and safety settings of websites and apps that I use”. Source: Ipsos 2022.</w:t>
      </w:r>
    </w:p>
    <w:p w14:paraId="56480DBA" w14:textId="67A87CE5" w:rsidR="00597DBE" w:rsidRDefault="00597DBE" w:rsidP="00C12FC4">
      <w:pPr>
        <w:rPr>
          <w:lang w:eastAsia="en-US"/>
        </w:rPr>
      </w:pPr>
      <w:r w:rsidRPr="00714C99">
        <w:rPr>
          <w:lang w:eastAsia="en-US"/>
        </w:rPr>
        <w:t xml:space="preserve">Geography also appears to play a part </w:t>
      </w:r>
      <w:r w:rsidR="007D5E72" w:rsidRPr="00714C99">
        <w:rPr>
          <w:lang w:eastAsia="en-US"/>
        </w:rPr>
        <w:t>i</w:t>
      </w:r>
      <w:r w:rsidRPr="00714C99">
        <w:rPr>
          <w:lang w:eastAsia="en-US"/>
        </w:rPr>
        <w:t xml:space="preserve">n how easy participants find </w:t>
      </w:r>
      <w:r w:rsidR="000940C8" w:rsidRPr="00714C99">
        <w:rPr>
          <w:lang w:eastAsia="en-US"/>
        </w:rPr>
        <w:t xml:space="preserve">it to take control of their safety and privacy. </w:t>
      </w:r>
      <w:r w:rsidR="003B0D62" w:rsidRPr="00714C99">
        <w:rPr>
          <w:lang w:eastAsia="en-US"/>
        </w:rPr>
        <w:t>As our graph shows, those</w:t>
      </w:r>
      <w:r w:rsidR="000940C8" w:rsidRPr="00714C99">
        <w:rPr>
          <w:lang w:eastAsia="en-US"/>
        </w:rPr>
        <w:t xml:space="preserve"> who </w:t>
      </w:r>
      <w:r w:rsidR="003B0D62" w:rsidRPr="00714C99">
        <w:rPr>
          <w:lang w:eastAsia="en-US"/>
        </w:rPr>
        <w:t xml:space="preserve">live more than 5km from the nearest town were </w:t>
      </w:r>
      <w:r w:rsidR="006B3657" w:rsidRPr="00714C99">
        <w:rPr>
          <w:lang w:eastAsia="en-US"/>
        </w:rPr>
        <w:t xml:space="preserve">less likely to find it easy to change their default settings. </w:t>
      </w:r>
      <w:r w:rsidR="00677B58" w:rsidRPr="00714C99">
        <w:rPr>
          <w:lang w:eastAsia="en-US"/>
        </w:rPr>
        <w:t xml:space="preserve">Only 43% of </w:t>
      </w:r>
      <w:r w:rsidR="00B1677F" w:rsidRPr="00714C99">
        <w:rPr>
          <w:lang w:eastAsia="en-US"/>
        </w:rPr>
        <w:t>respondents who live</w:t>
      </w:r>
      <w:r w:rsidR="002C173B" w:rsidRPr="00714C99">
        <w:rPr>
          <w:lang w:eastAsia="en-US"/>
        </w:rPr>
        <w:t xml:space="preserve"> more than 5km from the nearest town</w:t>
      </w:r>
      <w:r w:rsidR="00B1677F" w:rsidRPr="00714C99">
        <w:rPr>
          <w:lang w:eastAsia="en-US"/>
        </w:rPr>
        <w:t xml:space="preserve"> agree that it is easy to change default settings and many 26% were unsure.</w:t>
      </w:r>
    </w:p>
    <w:p w14:paraId="47E1494A" w14:textId="5FEFE771" w:rsidR="00333FB2" w:rsidRPr="000B141D" w:rsidRDefault="00333FB2" w:rsidP="00745583">
      <w:pPr>
        <w:pStyle w:val="Heading2"/>
        <w:jc w:val="center"/>
      </w:pPr>
      <w:r>
        <w:t>Proportion of Australians that agree that it is “easy to adjust privacy settings” when using apps and websites, per geographic bracket.</w:t>
      </w:r>
    </w:p>
    <w:p w14:paraId="0C89F2E6" w14:textId="115DCB20" w:rsidR="00C12FC4" w:rsidRPr="00714C99" w:rsidRDefault="00C12FC4" w:rsidP="002F2308">
      <w:pPr>
        <w:rPr>
          <w:i/>
          <w:iCs/>
        </w:rPr>
      </w:pPr>
      <w:r w:rsidRPr="00714C99">
        <w:rPr>
          <w:noProof/>
        </w:rPr>
        <w:drawing>
          <wp:inline distT="0" distB="0" distL="0" distR="0" wp14:anchorId="56464F09" wp14:editId="3A36CA33">
            <wp:extent cx="5734050" cy="2886075"/>
            <wp:effectExtent l="0" t="0" r="0" b="9525"/>
            <wp:docPr id="4" name="Chart 4" descr="A bar chart showing that Australians living more than 5km from the nearest town were less likely than other cohorts to agree with the statement that “It is easy to change the default privacy and safety settings of website and apps”.">
              <a:extLst xmlns:a="http://schemas.openxmlformats.org/drawingml/2006/main">
                <a:ext uri="{FF2B5EF4-FFF2-40B4-BE49-F238E27FC236}">
                  <a16:creationId xmlns:a16="http://schemas.microsoft.com/office/drawing/2014/main" id="{D127765C-71BB-7185-64BA-E58B93C05E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1741B4A" w14:textId="6B1E8099" w:rsidR="00EF046C" w:rsidRPr="00714C99" w:rsidRDefault="00EF046C" w:rsidP="00EF046C">
      <w:pPr>
        <w:pStyle w:val="Caption"/>
        <w:rPr>
          <w:lang w:eastAsia="en-US"/>
        </w:rPr>
      </w:pPr>
      <w:r w:rsidRPr="00714C99">
        <w:rPr>
          <w:lang w:eastAsia="en-US"/>
        </w:rPr>
        <w:t xml:space="preserve">Figure 5. Australians living more than </w:t>
      </w:r>
      <w:r w:rsidR="00291704" w:rsidRPr="00714C99">
        <w:rPr>
          <w:lang w:eastAsia="en-US"/>
        </w:rPr>
        <w:t>5km from the nearest town</w:t>
      </w:r>
      <w:r w:rsidRPr="00714C99">
        <w:rPr>
          <w:lang w:eastAsia="en-US"/>
        </w:rPr>
        <w:t xml:space="preserve"> were less likely to agree with the statement that “It is easy to change the default privacy and safety settings of website and apps”. Source: Ipsos 2022.</w:t>
      </w:r>
    </w:p>
    <w:p w14:paraId="4F6A70BE" w14:textId="77777777" w:rsidR="00EF046C" w:rsidRPr="00714C99" w:rsidRDefault="00EF046C" w:rsidP="00551BCB">
      <w:pPr>
        <w:rPr>
          <w:lang w:eastAsia="en-US"/>
        </w:rPr>
      </w:pPr>
    </w:p>
    <w:p w14:paraId="20937F56" w14:textId="2F223C27" w:rsidR="00551BCB" w:rsidRDefault="00551BCB" w:rsidP="00551BCB">
      <w:pPr>
        <w:rPr>
          <w:lang w:eastAsia="en-US"/>
        </w:rPr>
      </w:pPr>
      <w:r w:rsidRPr="00714C99">
        <w:rPr>
          <w:lang w:eastAsia="en-US"/>
        </w:rPr>
        <w:t xml:space="preserve">The </w:t>
      </w:r>
      <w:r w:rsidR="009D5A4E" w:rsidRPr="00714C99">
        <w:rPr>
          <w:lang w:eastAsia="en-US"/>
        </w:rPr>
        <w:t>notable gap</w:t>
      </w:r>
      <w:r w:rsidR="00D7304D" w:rsidRPr="00714C99">
        <w:rPr>
          <w:lang w:eastAsia="en-US"/>
        </w:rPr>
        <w:t xml:space="preserve"> of respondents from the </w:t>
      </w:r>
      <w:r w:rsidR="006E04AB" w:rsidRPr="00714C99">
        <w:rPr>
          <w:lang w:eastAsia="en-US"/>
        </w:rPr>
        <w:t xml:space="preserve">country who find it difficult to change their settings also appears </w:t>
      </w:r>
      <w:r w:rsidR="0037303F" w:rsidRPr="00714C99">
        <w:rPr>
          <w:lang w:eastAsia="en-US"/>
        </w:rPr>
        <w:t xml:space="preserve">for those who say they usually change their default settings. This could indicate that people in regional and remote areas find it more difficult to change their </w:t>
      </w:r>
      <w:r w:rsidR="00374EBB" w:rsidRPr="00714C99">
        <w:rPr>
          <w:lang w:eastAsia="en-US"/>
        </w:rPr>
        <w:t>default settings and so are less likely to do so.</w:t>
      </w:r>
    </w:p>
    <w:p w14:paraId="2981C195" w14:textId="104DD1B3" w:rsidR="00334409" w:rsidRPr="000B141D" w:rsidRDefault="00334409" w:rsidP="00A83D18">
      <w:pPr>
        <w:pStyle w:val="Heading2"/>
        <w:jc w:val="center"/>
      </w:pPr>
      <w:r>
        <w:t xml:space="preserve">Proportion of Australians </w:t>
      </w:r>
      <w:r w:rsidR="00DB5479">
        <w:t>who</w:t>
      </w:r>
      <w:r>
        <w:t xml:space="preserve"> agree that</w:t>
      </w:r>
      <w:r w:rsidR="00DB5479">
        <w:t xml:space="preserve"> they</w:t>
      </w:r>
      <w:r>
        <w:t xml:space="preserve"> “usually change privacy and safety settings” when using apps and websites, per </w:t>
      </w:r>
      <w:r w:rsidR="003A4460">
        <w:t>geographic</w:t>
      </w:r>
      <w:r>
        <w:t xml:space="preserve"> bracket.</w:t>
      </w:r>
    </w:p>
    <w:p w14:paraId="513F59E5" w14:textId="1ACFC6B8" w:rsidR="00C12FC4" w:rsidRPr="007F76C7" w:rsidRDefault="00E9439D" w:rsidP="002F2308">
      <w:pPr>
        <w:rPr>
          <w:i/>
          <w:iCs/>
        </w:rPr>
      </w:pPr>
      <w:r w:rsidRPr="00714C99">
        <w:rPr>
          <w:noProof/>
        </w:rPr>
        <w:drawing>
          <wp:inline distT="0" distB="0" distL="0" distR="0" wp14:anchorId="6B0FFB3A" wp14:editId="2D454AF2">
            <wp:extent cx="5848350" cy="3028950"/>
            <wp:effectExtent l="0" t="0" r="0" b="0"/>
            <wp:docPr id="27" name="Chart 27" descr="A bar chart showing that Australians living more than 5km from the nearest town were less likely than other cohorts to agree with the statement that “I usually change the default privacy and safety settings of websites and apps that I use”.">
              <a:extLst xmlns:a="http://schemas.openxmlformats.org/drawingml/2006/main">
                <a:ext uri="{FF2B5EF4-FFF2-40B4-BE49-F238E27FC236}">
                  <a16:creationId xmlns:a16="http://schemas.microsoft.com/office/drawing/2014/main" id="{EEAFD173-0DE5-A724-01F7-196ABFBC17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EBD6299" w14:textId="5ACFC451" w:rsidR="00291704" w:rsidRPr="00714C99" w:rsidRDefault="00291704" w:rsidP="00E971F2">
      <w:pPr>
        <w:pStyle w:val="Caption"/>
        <w:rPr>
          <w:lang w:eastAsia="en-US"/>
        </w:rPr>
      </w:pPr>
      <w:r w:rsidRPr="00714C99">
        <w:rPr>
          <w:lang w:eastAsia="en-US"/>
        </w:rPr>
        <w:t xml:space="preserve">Figure </w:t>
      </w:r>
      <w:r w:rsidR="00A96B8C" w:rsidRPr="00714C99">
        <w:rPr>
          <w:lang w:eastAsia="en-US"/>
        </w:rPr>
        <w:t>6</w:t>
      </w:r>
      <w:r w:rsidRPr="00714C99">
        <w:rPr>
          <w:lang w:eastAsia="en-US"/>
        </w:rPr>
        <w:t>. Australians living more than 5km from the nearest town were less likely to agree with the statement that “I usually change the default privacy and safety settings of websites and apps that I use”. Source: Ipsos 2022.</w:t>
      </w:r>
    </w:p>
    <w:p w14:paraId="16059CB4" w14:textId="73D69770" w:rsidR="00C12FC4" w:rsidRPr="00714C99" w:rsidRDefault="00C239F0" w:rsidP="007A51AC">
      <w:pPr>
        <w:rPr>
          <w:lang w:eastAsia="en-US"/>
        </w:rPr>
      </w:pPr>
      <w:r w:rsidRPr="00714C99">
        <w:rPr>
          <w:lang w:eastAsia="en-US"/>
        </w:rPr>
        <w:t xml:space="preserve">Many </w:t>
      </w:r>
      <w:r w:rsidR="005D32AD" w:rsidRPr="00714C99">
        <w:rPr>
          <w:lang w:eastAsia="en-US"/>
        </w:rPr>
        <w:t>people</w:t>
      </w:r>
      <w:r w:rsidR="00C31B36" w:rsidRPr="00714C99">
        <w:rPr>
          <w:lang w:eastAsia="en-US"/>
        </w:rPr>
        <w:t xml:space="preserve"> </w:t>
      </w:r>
      <w:r w:rsidR="00722976">
        <w:rPr>
          <w:lang w:eastAsia="en-US"/>
        </w:rPr>
        <w:t>think</w:t>
      </w:r>
      <w:r w:rsidR="00C31B36" w:rsidRPr="00714C99">
        <w:rPr>
          <w:lang w:eastAsia="en-US"/>
        </w:rPr>
        <w:t xml:space="preserve"> that digital platforms</w:t>
      </w:r>
      <w:r w:rsidR="00017A8D" w:rsidRPr="00714C99">
        <w:rPr>
          <w:lang w:eastAsia="en-US"/>
        </w:rPr>
        <w:t>’ interfaces</w:t>
      </w:r>
      <w:r w:rsidR="00C31B36" w:rsidRPr="00714C99">
        <w:rPr>
          <w:lang w:eastAsia="en-US"/>
        </w:rPr>
        <w:t xml:space="preserve"> are not</w:t>
      </w:r>
      <w:r w:rsidR="00CA204C" w:rsidRPr="00714C99">
        <w:rPr>
          <w:lang w:eastAsia="en-US"/>
        </w:rPr>
        <w:t xml:space="preserve"> designed to their benefit. </w:t>
      </w:r>
      <w:r w:rsidR="006D38A8" w:rsidRPr="00714C99">
        <w:rPr>
          <w:lang w:eastAsia="en-US"/>
        </w:rPr>
        <w:t>Our research found that 65% of respondents agree that “</w:t>
      </w:r>
      <w:r w:rsidR="006D38A8" w:rsidRPr="00714C99">
        <w:rPr>
          <w:rFonts w:ascii="Calibri" w:eastAsia="Times New Roman" w:hAnsi="Calibri" w:cs="Calibri"/>
          <w:color w:val="000000"/>
        </w:rPr>
        <w:t>The menus on digital platforms are designed to make it hard to cancel your account or subscription</w:t>
      </w:r>
      <w:r w:rsidR="006D38A8" w:rsidRPr="00714C99">
        <w:rPr>
          <w:lang w:eastAsia="en-US"/>
        </w:rPr>
        <w:t xml:space="preserve">”. </w:t>
      </w:r>
      <w:r w:rsidR="001F2532" w:rsidRPr="00714C99">
        <w:rPr>
          <w:lang w:eastAsia="en-US"/>
        </w:rPr>
        <w:t>According to previous research by the CPRC, “</w:t>
      </w:r>
      <w:r w:rsidR="00EE2CE4" w:rsidRPr="00714C99">
        <w:rPr>
          <w:lang w:eastAsia="en-US"/>
        </w:rPr>
        <w:t>83% of Australians have experienced one or more negative consequences as a result of a website or app using design features aimed at influencing their behaviour</w:t>
      </w:r>
      <w:r w:rsidR="001F2532" w:rsidRPr="00714C99">
        <w:rPr>
          <w:lang w:eastAsia="en-US"/>
        </w:rPr>
        <w:t>”</w:t>
      </w:r>
      <w:r w:rsidR="005D32AD" w:rsidRPr="00714C99">
        <w:rPr>
          <w:lang w:eastAsia="en-US"/>
        </w:rPr>
        <w:t>.</w:t>
      </w:r>
      <w:r w:rsidR="005D32AD" w:rsidRPr="00714C99">
        <w:rPr>
          <w:rStyle w:val="FootnoteReference"/>
          <w:lang w:eastAsia="en-US"/>
        </w:rPr>
        <w:footnoteReference w:id="7"/>
      </w:r>
      <w:r w:rsidR="005D32AD" w:rsidRPr="00714C99">
        <w:rPr>
          <w:lang w:eastAsia="en-US"/>
        </w:rPr>
        <w:t xml:space="preserve"> </w:t>
      </w:r>
      <w:r w:rsidR="005B6BB5">
        <w:rPr>
          <w:lang w:eastAsia="en-US"/>
        </w:rPr>
        <w:t xml:space="preserve">This indicates a widespread suspicion </w:t>
      </w:r>
      <w:r w:rsidR="00410714">
        <w:rPr>
          <w:lang w:eastAsia="en-US"/>
        </w:rPr>
        <w:t xml:space="preserve">among consumers that </w:t>
      </w:r>
      <w:r w:rsidR="005E23FB">
        <w:rPr>
          <w:lang w:eastAsia="en-US"/>
        </w:rPr>
        <w:t>digital platform interface</w:t>
      </w:r>
      <w:r w:rsidR="00280E66">
        <w:rPr>
          <w:lang w:eastAsia="en-US"/>
        </w:rPr>
        <w:t xml:space="preserve"> design</w:t>
      </w:r>
      <w:r w:rsidR="005E23FB">
        <w:rPr>
          <w:lang w:eastAsia="en-US"/>
        </w:rPr>
        <w:t xml:space="preserve"> </w:t>
      </w:r>
      <w:r w:rsidR="00951BFD">
        <w:rPr>
          <w:lang w:eastAsia="en-US"/>
        </w:rPr>
        <w:t>contribute</w:t>
      </w:r>
      <w:r w:rsidR="00280E66">
        <w:rPr>
          <w:lang w:eastAsia="en-US"/>
        </w:rPr>
        <w:t>s</w:t>
      </w:r>
      <w:r w:rsidR="00951BFD">
        <w:rPr>
          <w:lang w:eastAsia="en-US"/>
        </w:rPr>
        <w:t xml:space="preserve"> to consumer harms such </w:t>
      </w:r>
      <w:r w:rsidR="00232021">
        <w:rPr>
          <w:lang w:eastAsia="en-US"/>
        </w:rPr>
        <w:t xml:space="preserve">difficulty </w:t>
      </w:r>
      <w:r w:rsidR="00280E66">
        <w:rPr>
          <w:lang w:eastAsia="en-US"/>
        </w:rPr>
        <w:t>cancelling</w:t>
      </w:r>
      <w:r w:rsidR="00951BFD">
        <w:rPr>
          <w:lang w:eastAsia="en-US"/>
        </w:rPr>
        <w:t xml:space="preserve"> accounts or subscriptions</w:t>
      </w:r>
      <w:r w:rsidR="00A85892">
        <w:rPr>
          <w:lang w:eastAsia="en-US"/>
        </w:rPr>
        <w:t xml:space="preserve">. </w:t>
      </w:r>
      <w:r w:rsidR="00591352" w:rsidRPr="00714C99">
        <w:rPr>
          <w:lang w:eastAsia="en-US"/>
        </w:rPr>
        <w:t>Clearly more needs to be done to ensure that users</w:t>
      </w:r>
      <w:r w:rsidR="00B757E3">
        <w:rPr>
          <w:lang w:eastAsia="en-US"/>
        </w:rPr>
        <w:t xml:space="preserve"> can</w:t>
      </w:r>
      <w:r w:rsidR="00591352" w:rsidRPr="00714C99">
        <w:rPr>
          <w:lang w:eastAsia="en-US"/>
        </w:rPr>
        <w:t xml:space="preserve"> confidently use digital platforms</w:t>
      </w:r>
      <w:r w:rsidR="00F108E5">
        <w:rPr>
          <w:lang w:eastAsia="en-US"/>
        </w:rPr>
        <w:t xml:space="preserve"> and trust that</w:t>
      </w:r>
      <w:r w:rsidR="007A51AC">
        <w:rPr>
          <w:lang w:eastAsia="en-US"/>
        </w:rPr>
        <w:t xml:space="preserve"> platform interfaces are designed fairly</w:t>
      </w:r>
      <w:r w:rsidR="00591352" w:rsidRPr="00714C99">
        <w:rPr>
          <w:lang w:eastAsia="en-US"/>
        </w:rPr>
        <w:t>.</w:t>
      </w:r>
    </w:p>
    <w:p w14:paraId="43B6A20F" w14:textId="0655AF24" w:rsidR="00D85FB5" w:rsidRPr="00714C99" w:rsidRDefault="00C20223" w:rsidP="00182900">
      <w:pPr>
        <w:pStyle w:val="Heading3"/>
      </w:pPr>
      <w:r w:rsidRPr="00714C99">
        <w:t>What is ACCAN doing about it?</w:t>
      </w:r>
      <w:r w:rsidR="00025EE1" w:rsidRPr="00714C99">
        <w:t xml:space="preserve"> </w:t>
      </w:r>
    </w:p>
    <w:p w14:paraId="54EF0E65" w14:textId="277EE661" w:rsidR="007D3B51" w:rsidRDefault="00FC0D56" w:rsidP="002114D9">
      <w:r w:rsidRPr="00714C99">
        <w:t xml:space="preserve">ACCAN continues to engage </w:t>
      </w:r>
      <w:r w:rsidR="00171A30" w:rsidRPr="00714C99">
        <w:t>on issues of privacy and unfair interface design on</w:t>
      </w:r>
      <w:r w:rsidR="00591352" w:rsidRPr="00714C99">
        <w:t xml:space="preserve"> digital platforms.</w:t>
      </w:r>
      <w:r w:rsidR="008D197B" w:rsidRPr="00714C99">
        <w:t xml:space="preserve"> </w:t>
      </w:r>
      <w:r w:rsidR="00E22E7B">
        <w:t>For example, i</w:t>
      </w:r>
      <w:r w:rsidR="00EA5B90">
        <w:t xml:space="preserve">n a recent submission </w:t>
      </w:r>
      <w:r w:rsidR="004A1D33">
        <w:t>to</w:t>
      </w:r>
      <w:r w:rsidR="00EB3552" w:rsidRPr="00714C99">
        <w:t xml:space="preserve"> the ACCC’s </w:t>
      </w:r>
      <w:r w:rsidR="008637BC" w:rsidRPr="00714C99">
        <w:t>Digital Platforms Services Inq</w:t>
      </w:r>
      <w:r w:rsidR="00B82444" w:rsidRPr="00714C99">
        <w:t>uiry</w:t>
      </w:r>
      <w:r w:rsidR="00382710">
        <w:t xml:space="preserve"> </w:t>
      </w:r>
      <w:r w:rsidR="006C2B6A">
        <w:t>we called for the e</w:t>
      </w:r>
      <w:r w:rsidR="002E6A40">
        <w:t xml:space="preserve">mpowerment of a regulatory body to </w:t>
      </w:r>
      <w:r w:rsidR="00C36A69">
        <w:t>ensure that digital platforms:</w:t>
      </w:r>
    </w:p>
    <w:p w14:paraId="65EBF8D8" w14:textId="67883B86" w:rsidR="002E6A40" w:rsidRDefault="002E6A40" w:rsidP="002114D9">
      <w:pPr>
        <w:pStyle w:val="ListParagraph"/>
        <w:numPr>
          <w:ilvl w:val="0"/>
          <w:numId w:val="44"/>
        </w:numPr>
      </w:pPr>
      <w:r>
        <w:t>Provide equal prominence between options to change default settings.</w:t>
      </w:r>
    </w:p>
    <w:p w14:paraId="28B662D1" w14:textId="3FD8DBFC" w:rsidR="002E6A40" w:rsidRDefault="002E6A40" w:rsidP="002114D9">
      <w:pPr>
        <w:pStyle w:val="ListParagraph"/>
        <w:numPr>
          <w:ilvl w:val="0"/>
          <w:numId w:val="44"/>
        </w:numPr>
      </w:pPr>
      <w:r>
        <w:t>Respect user choices of their settings and only use notifications reasonably.</w:t>
      </w:r>
    </w:p>
    <w:p w14:paraId="3474C30C" w14:textId="384CEA83" w:rsidR="002E6A40" w:rsidRDefault="002E6A40" w:rsidP="002114D9">
      <w:pPr>
        <w:pStyle w:val="ListParagraph"/>
        <w:numPr>
          <w:ilvl w:val="0"/>
          <w:numId w:val="44"/>
        </w:numPr>
      </w:pPr>
      <w:r>
        <w:t>Make services as simple as possible to cancel.</w:t>
      </w:r>
      <w:r w:rsidR="00132326">
        <w:rPr>
          <w:rStyle w:val="FootnoteReference"/>
        </w:rPr>
        <w:footnoteReference w:id="8"/>
      </w:r>
    </w:p>
    <w:p w14:paraId="5487876E" w14:textId="40A5DF0A" w:rsidR="006D38A8" w:rsidRPr="00714C99" w:rsidRDefault="00C36A69" w:rsidP="002114D9">
      <w:r>
        <w:t>W</w:t>
      </w:r>
      <w:r w:rsidR="00382710">
        <w:t>e recommend th</w:t>
      </w:r>
      <w:r w:rsidR="007007A4">
        <w:t xml:space="preserve">e </w:t>
      </w:r>
      <w:r w:rsidR="00F15A71">
        <w:t xml:space="preserve">ACCC </w:t>
      </w:r>
      <w:r w:rsidR="007007A4">
        <w:t>introduc</w:t>
      </w:r>
      <w:r w:rsidR="00F15A71">
        <w:t>e</w:t>
      </w:r>
      <w:r w:rsidR="007007A4">
        <w:t xml:space="preserve"> </w:t>
      </w:r>
      <w:r w:rsidR="00F15A71">
        <w:t>a prohibition on</w:t>
      </w:r>
      <w:r w:rsidR="007007A4">
        <w:t xml:space="preserve"> </w:t>
      </w:r>
      <w:r w:rsidR="00F15A71" w:rsidRPr="005A3502">
        <w:t>unfair trading</w:t>
      </w:r>
      <w:r w:rsidR="006520D7">
        <w:t xml:space="preserve"> practices</w:t>
      </w:r>
      <w:r w:rsidR="00F15A71" w:rsidRPr="005A3502">
        <w:t xml:space="preserve"> in</w:t>
      </w:r>
      <w:r w:rsidR="00F15A71">
        <w:t>to the A</w:t>
      </w:r>
      <w:r w:rsidR="00692D56">
        <w:t xml:space="preserve">ustralian </w:t>
      </w:r>
      <w:r w:rsidR="00F15A71">
        <w:t>C</w:t>
      </w:r>
      <w:r w:rsidR="00692D56">
        <w:t xml:space="preserve">onsumer </w:t>
      </w:r>
      <w:r w:rsidR="00F15A71">
        <w:t>L</w:t>
      </w:r>
      <w:r w:rsidR="00692D56">
        <w:t>aw (ACL)</w:t>
      </w:r>
      <w:r w:rsidR="00B82444" w:rsidRPr="00714C99">
        <w:t xml:space="preserve">. </w:t>
      </w:r>
      <w:r w:rsidR="002113C4">
        <w:t>This prohibition would address certain practices that are arguably oppressive, exploitative, or contrary to consumer expectations of fairness in the market</w:t>
      </w:r>
      <w:r w:rsidR="005C0AAB">
        <w:t>, such as unfair interface design.</w:t>
      </w:r>
      <w:r w:rsidR="002113C4">
        <w:t xml:space="preserve"> </w:t>
      </w:r>
      <w:r w:rsidR="00B82444" w:rsidRPr="00714C99">
        <w:t>ACCAN has also represented</w:t>
      </w:r>
      <w:r w:rsidR="00FB629D">
        <w:t xml:space="preserve"> safety and fairness for</w:t>
      </w:r>
      <w:r w:rsidR="00B82444" w:rsidRPr="00714C99">
        <w:t xml:space="preserve"> consumers in a </w:t>
      </w:r>
      <w:r w:rsidR="002D45BE" w:rsidRPr="00714C99">
        <w:t xml:space="preserve">range of stakeholder meetings including with </w:t>
      </w:r>
      <w:r w:rsidR="00AA3272" w:rsidRPr="00714C99">
        <w:t>the ACCC and D</w:t>
      </w:r>
      <w:r w:rsidR="00231892" w:rsidRPr="00714C99">
        <w:t>igital Industry Group Incorporated (D</w:t>
      </w:r>
      <w:r w:rsidR="00AA3272" w:rsidRPr="00714C99">
        <w:t>IGI</w:t>
      </w:r>
      <w:r w:rsidR="00231892" w:rsidRPr="00714C99">
        <w:t>)</w:t>
      </w:r>
      <w:r w:rsidR="00AA3272" w:rsidRPr="00714C99">
        <w:t>.</w:t>
      </w:r>
    </w:p>
    <w:p w14:paraId="7CDAF9CC" w14:textId="30AFB963" w:rsidR="006E3E5D" w:rsidRPr="00714C99" w:rsidRDefault="00A5706F" w:rsidP="002114D9">
      <w:pPr>
        <w:pStyle w:val="Heading1"/>
      </w:pPr>
      <w:r w:rsidRPr="00714C99">
        <w:t>Trust</w:t>
      </w:r>
    </w:p>
    <w:p w14:paraId="4A5B7B64" w14:textId="48A01AA0" w:rsidR="00986FF7" w:rsidRPr="00714C99" w:rsidRDefault="00723668" w:rsidP="002114D9">
      <w:r w:rsidRPr="00714C99">
        <w:t xml:space="preserve">Protecting consumers from scams is </w:t>
      </w:r>
      <w:r w:rsidR="00CC7791" w:rsidRPr="00714C99">
        <w:t>crucial to communications policy.</w:t>
      </w:r>
      <w:r w:rsidR="00C35384" w:rsidRPr="00714C99">
        <w:t xml:space="preserve"> </w:t>
      </w:r>
      <w:r w:rsidR="005C1A5B" w:rsidRPr="00714C99">
        <w:t xml:space="preserve">According to the </w:t>
      </w:r>
      <w:r w:rsidR="009B2EA6" w:rsidRPr="00714C99">
        <w:t>ACCC</w:t>
      </w:r>
      <w:r w:rsidR="00061091" w:rsidRPr="00714C99">
        <w:t>,</w:t>
      </w:r>
      <w:r w:rsidR="009B2EA6" w:rsidRPr="00714C99">
        <w:t xml:space="preserve"> Australians lost over two billion dollars to scams in 2021.</w:t>
      </w:r>
      <w:r w:rsidR="009B2EA6" w:rsidRPr="00714C99">
        <w:rPr>
          <w:rStyle w:val="FootnoteReference"/>
        </w:rPr>
        <w:footnoteReference w:id="9"/>
      </w:r>
      <w:r w:rsidR="00061091" w:rsidRPr="00714C99">
        <w:t xml:space="preserve"> </w:t>
      </w:r>
      <w:r w:rsidR="00C35384" w:rsidRPr="00714C99">
        <w:t>Social media</w:t>
      </w:r>
      <w:r w:rsidR="00A66237" w:rsidRPr="00714C99">
        <w:t xml:space="preserve"> was the </w:t>
      </w:r>
      <w:r w:rsidR="00A64388" w:rsidRPr="00714C99">
        <w:t>“</w:t>
      </w:r>
      <w:r w:rsidR="00A66237" w:rsidRPr="00714C99">
        <w:t xml:space="preserve">second highest contact method in </w:t>
      </w:r>
      <w:r w:rsidR="00A67AE0" w:rsidRPr="00714C99">
        <w:t>terms of loss with $56 million lost (17% of</w:t>
      </w:r>
      <w:r w:rsidR="00C35384" w:rsidRPr="00714C99">
        <w:t xml:space="preserve"> </w:t>
      </w:r>
      <w:r w:rsidR="00A67AE0" w:rsidRPr="00714C99">
        <w:t>total losses).</w:t>
      </w:r>
      <w:r w:rsidR="00A64388" w:rsidRPr="00714C99">
        <w:rPr>
          <w:rStyle w:val="FootnoteReference"/>
        </w:rPr>
        <w:footnoteReference w:id="10"/>
      </w:r>
      <w:r w:rsidR="00C35384" w:rsidRPr="00714C99">
        <w:t xml:space="preserve"> In </w:t>
      </w:r>
      <w:r w:rsidR="00A5529E" w:rsidRPr="00714C99">
        <w:t xml:space="preserve">a recent speech, </w:t>
      </w:r>
      <w:r w:rsidR="00B87669" w:rsidRPr="00714C99">
        <w:t xml:space="preserve">Gina Cass-Gottlieb, </w:t>
      </w:r>
      <w:r w:rsidR="00AB6D8F" w:rsidRPr="00714C99">
        <w:t>C</w:t>
      </w:r>
      <w:r w:rsidR="00B87669" w:rsidRPr="00714C99">
        <w:t>hair of the ACCC</w:t>
      </w:r>
      <w:r w:rsidR="00A94A51">
        <w:t>,</w:t>
      </w:r>
      <w:r w:rsidR="00B87669" w:rsidRPr="00714C99">
        <w:t xml:space="preserve"> recently stated that</w:t>
      </w:r>
      <w:r w:rsidR="006412E5" w:rsidRPr="00714C99">
        <w:t xml:space="preserve"> the </w:t>
      </w:r>
      <w:r w:rsidR="00AB6D8F" w:rsidRPr="00714C99">
        <w:t>regulator</w:t>
      </w:r>
      <w:r w:rsidR="006412E5" w:rsidRPr="00714C99">
        <w:t xml:space="preserve"> expects</w:t>
      </w:r>
      <w:r w:rsidR="00C45566" w:rsidRPr="00714C99">
        <w:t xml:space="preserve"> </w:t>
      </w:r>
      <w:r w:rsidR="00D41DBB" w:rsidRPr="00714C99">
        <w:t>“organisations to be monitoring their own platforms, services, and transactions for scams</w:t>
      </w:r>
      <w:r w:rsidR="00272C91" w:rsidRPr="00714C99">
        <w:t>”.</w:t>
      </w:r>
      <w:r w:rsidR="006026B8" w:rsidRPr="00714C99">
        <w:rPr>
          <w:rStyle w:val="FootnoteReference"/>
        </w:rPr>
        <w:footnoteReference w:id="11"/>
      </w:r>
      <w:r w:rsidR="001776AB" w:rsidRPr="00714C99">
        <w:t xml:space="preserve"> She noted that while consumer education is important, </w:t>
      </w:r>
      <w:r w:rsidR="00BD13D4" w:rsidRPr="00714C99">
        <w:t>“</w:t>
      </w:r>
      <w:r w:rsidR="006431E3" w:rsidRPr="00714C99">
        <w:t>[w]</w:t>
      </w:r>
      <w:r w:rsidR="00BD13D4" w:rsidRPr="00714C99">
        <w:t>e need to use technology and intelligence to disrupt the scammers before they can get to consumers</w:t>
      </w:r>
      <w:r w:rsidR="006431E3" w:rsidRPr="00714C99">
        <w:t xml:space="preserve">”. </w:t>
      </w:r>
      <w:r w:rsidR="000D5725" w:rsidRPr="00714C99">
        <w:t xml:space="preserve">This year the ACCC </w:t>
      </w:r>
      <w:r w:rsidR="00986FF7" w:rsidRPr="00714C99">
        <w:t>acted</w:t>
      </w:r>
      <w:r w:rsidR="000D5725" w:rsidRPr="00714C99">
        <w:t xml:space="preserve"> </w:t>
      </w:r>
      <w:r w:rsidR="00E860D4" w:rsidRPr="00714C99">
        <w:t>against Meta for allegedly facilitating the targeting of scam crypto currency ads.</w:t>
      </w:r>
      <w:r w:rsidR="00986FF7" w:rsidRPr="00714C99">
        <w:rPr>
          <w:rStyle w:val="FootnoteReference"/>
        </w:rPr>
        <w:footnoteReference w:id="12"/>
      </w:r>
      <w:r w:rsidR="00986FF7" w:rsidRPr="00714C99">
        <w:t xml:space="preserve"> </w:t>
      </w:r>
      <w:r w:rsidR="0093225B" w:rsidRPr="00714C99">
        <w:t>Gerard Brody from Consumer Action Law Centre</w:t>
      </w:r>
      <w:r w:rsidR="004B4CB4" w:rsidRPr="00714C99">
        <w:t xml:space="preserve"> argues that</w:t>
      </w:r>
      <w:r w:rsidR="00203180">
        <w:t xml:space="preserve"> cryptocurrencies are</w:t>
      </w:r>
      <w:r w:rsidR="004B4CB4" w:rsidRPr="00714C99">
        <w:t xml:space="preserve"> “intentionally complex and should not be advertised and marketed to the general public”.</w:t>
      </w:r>
      <w:r w:rsidR="00E21BC6" w:rsidRPr="00714C99">
        <w:rPr>
          <w:rStyle w:val="FootnoteReference"/>
        </w:rPr>
        <w:footnoteReference w:id="13"/>
      </w:r>
      <w:r w:rsidR="004B4CB4" w:rsidRPr="00714C99">
        <w:t xml:space="preserve"> </w:t>
      </w:r>
    </w:p>
    <w:p w14:paraId="16A899CE" w14:textId="3155F9C3" w:rsidR="00BF106B" w:rsidRDefault="00B843A6" w:rsidP="002114D9">
      <w:r w:rsidRPr="00714C99">
        <w:t xml:space="preserve">Our research found that </w:t>
      </w:r>
      <w:r w:rsidR="00CA6FDA" w:rsidRPr="00714C99">
        <w:t xml:space="preserve">most people think that digital platforms need to do more to reduce scams. </w:t>
      </w:r>
      <w:r w:rsidR="00813EF9" w:rsidRPr="00714C99">
        <w:t>76% of respondents agree</w:t>
      </w:r>
      <w:r w:rsidR="00CA6FDA" w:rsidRPr="00714C99">
        <w:t>d</w:t>
      </w:r>
      <w:r w:rsidR="00813EF9" w:rsidRPr="00714C99">
        <w:t xml:space="preserve"> that “Digital platforms are not doing enough to prevent people from being scammed online”</w:t>
      </w:r>
      <w:r w:rsidR="00CA6FDA" w:rsidRPr="00714C99">
        <w:t xml:space="preserve">. </w:t>
      </w:r>
      <w:r w:rsidR="00BF106B" w:rsidRPr="00714C99">
        <w:t>The ACCC notes that</w:t>
      </w:r>
      <w:r w:rsidR="00F14D96" w:rsidRPr="00714C99">
        <w:t xml:space="preserve"> older</w:t>
      </w:r>
      <w:r w:rsidR="00BF106B" w:rsidRPr="00714C99">
        <w:t xml:space="preserve"> people </w:t>
      </w:r>
      <w:r w:rsidR="00F14D96" w:rsidRPr="00714C99">
        <w:t>“</w:t>
      </w:r>
      <w:r w:rsidR="00BF106B" w:rsidRPr="00714C99">
        <w:t>lost more money than</w:t>
      </w:r>
      <w:r w:rsidR="00AA663E" w:rsidRPr="00714C99">
        <w:t xml:space="preserve"> </w:t>
      </w:r>
      <w:r w:rsidR="00BF106B" w:rsidRPr="00714C99">
        <w:t>any other age group with almost $82 million reported lost</w:t>
      </w:r>
      <w:r w:rsidR="00F14D96" w:rsidRPr="00714C99">
        <w:t>”</w:t>
      </w:r>
      <w:r w:rsidR="00AA663E" w:rsidRPr="00714C99">
        <w:t>.</w:t>
      </w:r>
      <w:r w:rsidR="00AA663E" w:rsidRPr="00714C99">
        <w:rPr>
          <w:rStyle w:val="FootnoteReference"/>
        </w:rPr>
        <w:footnoteReference w:id="14"/>
      </w:r>
      <w:r w:rsidR="00C866C8" w:rsidRPr="00714C99">
        <w:t xml:space="preserve"> Our research found that older Australians, aged over 50</w:t>
      </w:r>
      <w:r w:rsidR="00F0682E" w:rsidRPr="00714C99">
        <w:t>, were more likely to ag</w:t>
      </w:r>
      <w:r w:rsidR="0068652F" w:rsidRPr="00714C99">
        <w:t>ree that digital platforms were not doing enough to prevent scammers.</w:t>
      </w:r>
    </w:p>
    <w:p w14:paraId="2328C567" w14:textId="77777777" w:rsidR="00A83D18" w:rsidRDefault="00A83D18">
      <w:pPr>
        <w:rPr>
          <w:rStyle w:val="Heading2Char"/>
        </w:rPr>
      </w:pPr>
      <w:r>
        <w:rPr>
          <w:rStyle w:val="Heading2Char"/>
        </w:rPr>
        <w:br w:type="page"/>
      </w:r>
    </w:p>
    <w:p w14:paraId="31006A64" w14:textId="6AFA6605" w:rsidR="00C347DD" w:rsidRPr="007F76C7" w:rsidRDefault="00C347DD" w:rsidP="00A83D18">
      <w:pPr>
        <w:pStyle w:val="Heading2"/>
        <w:jc w:val="center"/>
      </w:pPr>
      <w:r w:rsidRPr="00A83D18">
        <w:rPr>
          <w:rStyle w:val="Heading2Char"/>
        </w:rPr>
        <w:t xml:space="preserve">Proportion of Australians </w:t>
      </w:r>
      <w:r w:rsidR="000F74AF" w:rsidRPr="00A83D18">
        <w:rPr>
          <w:rStyle w:val="Heading2Char"/>
        </w:rPr>
        <w:t>who</w:t>
      </w:r>
      <w:r w:rsidRPr="00A83D18">
        <w:rPr>
          <w:rStyle w:val="Heading2Char"/>
        </w:rPr>
        <w:t xml:space="preserve"> agree that “</w:t>
      </w:r>
      <w:r w:rsidR="00FE3083" w:rsidRPr="00A83D18">
        <w:rPr>
          <w:rStyle w:val="Heading2Char"/>
        </w:rPr>
        <w:t>digital platforms are not doing enough to prevent people being scammed</w:t>
      </w:r>
      <w:r w:rsidRPr="00A83D18">
        <w:rPr>
          <w:rStyle w:val="Heading2Char"/>
        </w:rPr>
        <w:t xml:space="preserve">”, per </w:t>
      </w:r>
      <w:r w:rsidR="00290E55" w:rsidRPr="00A83D18">
        <w:rPr>
          <w:rStyle w:val="Heading2Char"/>
        </w:rPr>
        <w:t>age</w:t>
      </w:r>
      <w:r w:rsidRPr="00A83D18">
        <w:rPr>
          <w:rStyle w:val="Heading2Char"/>
        </w:rPr>
        <w:t xml:space="preserve"> bracket.</w:t>
      </w:r>
    </w:p>
    <w:p w14:paraId="46662D8A" w14:textId="04AF1BFE" w:rsidR="00813EF9" w:rsidRPr="00714C99" w:rsidRDefault="00813EF9" w:rsidP="00AA5F5A">
      <w:pPr>
        <w:jc w:val="center"/>
      </w:pPr>
      <w:r w:rsidRPr="00714C99">
        <w:rPr>
          <w:noProof/>
        </w:rPr>
        <w:drawing>
          <wp:inline distT="0" distB="0" distL="0" distR="0" wp14:anchorId="398C8131" wp14:editId="5BC00145">
            <wp:extent cx="5562600" cy="2740025"/>
            <wp:effectExtent l="0" t="0" r="0" b="3175"/>
            <wp:docPr id="14" name="Chart 14" descr="A bar chart showing that Australians over 50 were more likely to agree with the statement that “Digital platforms are not doing enough to prevent people from being scammed online” than people 18 to 29 or people 30 to 49. ">
              <a:extLst xmlns:a="http://schemas.openxmlformats.org/drawingml/2006/main">
                <a:ext uri="{FF2B5EF4-FFF2-40B4-BE49-F238E27FC236}">
                  <a16:creationId xmlns:a16="http://schemas.microsoft.com/office/drawing/2014/main" id="{E588F164-0629-604E-3675-9C3DEDA7CC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FE8F3A6" w14:textId="1B89667E" w:rsidR="00066DC4" w:rsidRPr="00714C99" w:rsidRDefault="002456DD" w:rsidP="00E971F2">
      <w:pPr>
        <w:pStyle w:val="Caption"/>
      </w:pPr>
      <w:r w:rsidRPr="00714C99">
        <w:rPr>
          <w:lang w:eastAsia="en-US"/>
        </w:rPr>
        <w:t xml:space="preserve">Figure </w:t>
      </w:r>
      <w:r w:rsidR="00A96B8C" w:rsidRPr="00714C99">
        <w:rPr>
          <w:lang w:eastAsia="en-US"/>
        </w:rPr>
        <w:t>7</w:t>
      </w:r>
      <w:r w:rsidRPr="00714C99">
        <w:rPr>
          <w:lang w:eastAsia="en-US"/>
        </w:rPr>
        <w:t xml:space="preserve">. </w:t>
      </w:r>
      <w:r w:rsidR="00D1467D" w:rsidRPr="00714C99">
        <w:rPr>
          <w:lang w:eastAsia="en-US"/>
        </w:rPr>
        <w:t>Australians</w:t>
      </w:r>
      <w:r w:rsidR="00A96B8C" w:rsidRPr="00714C99">
        <w:rPr>
          <w:lang w:eastAsia="en-US"/>
        </w:rPr>
        <w:t xml:space="preserve"> over 50</w:t>
      </w:r>
      <w:r w:rsidR="00D1467D" w:rsidRPr="00714C99">
        <w:rPr>
          <w:lang w:eastAsia="en-US"/>
        </w:rPr>
        <w:t xml:space="preserve"> were more</w:t>
      </w:r>
      <w:r w:rsidRPr="00714C99">
        <w:rPr>
          <w:lang w:eastAsia="en-US"/>
        </w:rPr>
        <w:t xml:space="preserve"> likely to agree with the statement that “</w:t>
      </w:r>
      <w:r w:rsidR="00D1467D" w:rsidRPr="00714C99">
        <w:rPr>
          <w:lang w:eastAsia="en-US"/>
        </w:rPr>
        <w:t>Digital platforms are not doing enough to prevent people from being scammed online</w:t>
      </w:r>
      <w:r w:rsidRPr="00714C99">
        <w:rPr>
          <w:lang w:eastAsia="en-US"/>
        </w:rPr>
        <w:t>”. Source: Ipsos 2022.</w:t>
      </w:r>
    </w:p>
    <w:p w14:paraId="7A7B896A" w14:textId="5FC717D2" w:rsidR="000C754D" w:rsidRPr="00714C99" w:rsidRDefault="001D684F" w:rsidP="002114D9">
      <w:r w:rsidRPr="00714C99">
        <w:t>There are also public concerns about how</w:t>
      </w:r>
      <w:r w:rsidR="00BC7549" w:rsidRPr="00714C99">
        <w:t xml:space="preserve"> trustworthy mobile apps on app stores are. </w:t>
      </w:r>
      <w:r w:rsidR="00BF51C3" w:rsidRPr="00714C99">
        <w:t>The two dominant app stores are run by Apple and Google.</w:t>
      </w:r>
      <w:r w:rsidR="000D115F" w:rsidRPr="00714C99">
        <w:t xml:space="preserve"> An ACCC report found that</w:t>
      </w:r>
      <w:r w:rsidR="0006736B" w:rsidRPr="00714C99">
        <w:t xml:space="preserve"> </w:t>
      </w:r>
      <w:r w:rsidR="00BA1673" w:rsidRPr="00714C99">
        <w:t>“apps with</w:t>
      </w:r>
      <w:r w:rsidR="0006736B" w:rsidRPr="00714C99">
        <w:t xml:space="preserve"> </w:t>
      </w:r>
      <w:r w:rsidR="00BA1673" w:rsidRPr="00714C99">
        <w:t>the potential to harm consumers continue to be present on both app marketplaces.”</w:t>
      </w:r>
      <w:r w:rsidR="00941669" w:rsidRPr="00714C99">
        <w:rPr>
          <w:rStyle w:val="FootnoteReference"/>
        </w:rPr>
        <w:footnoteReference w:id="15"/>
      </w:r>
      <w:r w:rsidR="00E31A0A" w:rsidRPr="00714C99">
        <w:t xml:space="preserve"> </w:t>
      </w:r>
      <w:r w:rsidR="00F3340F" w:rsidRPr="00714C99">
        <w:t xml:space="preserve">The regulator noted that, </w:t>
      </w:r>
      <w:r w:rsidR="000C754D" w:rsidRPr="00714C99">
        <w:t>“In the ACCC’s view, Apple and Google could do more to protect app users”</w:t>
      </w:r>
      <w:r w:rsidRPr="00714C99">
        <w:t>.</w:t>
      </w:r>
    </w:p>
    <w:p w14:paraId="40E8A342" w14:textId="2222CEE9" w:rsidR="005960FE" w:rsidRPr="00714C99" w:rsidRDefault="001D684F" w:rsidP="002114D9">
      <w:r w:rsidRPr="00714C99">
        <w:t>Our research also found that there is a lack of trust of mobile app stores from consumers.</w:t>
      </w:r>
      <w:r w:rsidR="00BC7549" w:rsidRPr="00714C99">
        <w:t xml:space="preserve"> </w:t>
      </w:r>
      <w:r w:rsidR="00D83B2E" w:rsidRPr="00714C99">
        <w:t>76%</w:t>
      </w:r>
      <w:r w:rsidR="00BC7549" w:rsidRPr="00714C99">
        <w:t xml:space="preserve"> of our participants</w:t>
      </w:r>
      <w:r w:rsidR="00D83B2E" w:rsidRPr="00714C99">
        <w:t xml:space="preserve"> agree</w:t>
      </w:r>
      <w:r w:rsidR="00BC7549" w:rsidRPr="00714C99">
        <w:t>d</w:t>
      </w:r>
      <w:r w:rsidR="00D83B2E" w:rsidRPr="00714C99">
        <w:t xml:space="preserve"> that “</w:t>
      </w:r>
      <w:r w:rsidR="00D83B2E" w:rsidRPr="00714C99">
        <w:rPr>
          <w:rFonts w:ascii="Calibri" w:eastAsia="Times New Roman" w:hAnsi="Calibri" w:cs="Calibri"/>
          <w:color w:val="000000"/>
        </w:rPr>
        <w:t>I should be able to trust apps that I download from the app store</w:t>
      </w:r>
      <w:r w:rsidR="00D83B2E" w:rsidRPr="00714C99">
        <w:t>”</w:t>
      </w:r>
      <w:r w:rsidR="00267C07" w:rsidRPr="00714C99">
        <w:t xml:space="preserve"> but only </w:t>
      </w:r>
      <w:r w:rsidR="00D83B2E" w:rsidRPr="00714C99">
        <w:t>65%</w:t>
      </w:r>
      <w:r w:rsidR="00267C07" w:rsidRPr="00714C99">
        <w:t xml:space="preserve"> of people</w:t>
      </w:r>
      <w:r w:rsidR="00D83B2E" w:rsidRPr="00714C99">
        <w:t xml:space="preserve"> agree</w:t>
      </w:r>
      <w:r w:rsidR="00267C07" w:rsidRPr="00714C99">
        <w:t>d</w:t>
      </w:r>
      <w:r w:rsidR="00D83B2E" w:rsidRPr="00714C99">
        <w:t xml:space="preserve"> that “</w:t>
      </w:r>
      <w:r w:rsidR="00D83B2E" w:rsidRPr="00714C99">
        <w:rPr>
          <w:rFonts w:ascii="Calibri" w:eastAsia="Times New Roman" w:hAnsi="Calibri" w:cs="Calibri"/>
          <w:color w:val="000000"/>
        </w:rPr>
        <w:t>I trust apps that I download from the app store</w:t>
      </w:r>
      <w:r w:rsidR="00D83B2E" w:rsidRPr="00714C99">
        <w:t>”</w:t>
      </w:r>
      <w:r w:rsidR="00267C07" w:rsidRPr="00714C99">
        <w:t>.</w:t>
      </w:r>
      <w:r w:rsidR="00BC2DB1" w:rsidRPr="00714C99">
        <w:t xml:space="preserve"> This means that </w:t>
      </w:r>
      <w:r w:rsidR="00495914">
        <w:t>there is an 11% gap between the number of people who said that</w:t>
      </w:r>
      <w:r w:rsidR="00C35418">
        <w:t xml:space="preserve"> we</w:t>
      </w:r>
      <w:r w:rsidR="006F48A3" w:rsidRPr="00714C99">
        <w:t xml:space="preserve"> should be able to trust </w:t>
      </w:r>
      <w:r w:rsidR="00336080" w:rsidRPr="00714C99">
        <w:t xml:space="preserve">the </w:t>
      </w:r>
      <w:r w:rsidR="006F48A3" w:rsidRPr="00714C99">
        <w:t xml:space="preserve">apps </w:t>
      </w:r>
      <w:r w:rsidR="00864297" w:rsidRPr="00714C99">
        <w:t>on offer in these</w:t>
      </w:r>
      <w:r w:rsidR="006F48A3" w:rsidRPr="00714C99">
        <w:t xml:space="preserve"> stores</w:t>
      </w:r>
      <w:r w:rsidR="00864297" w:rsidRPr="00714C99">
        <w:t>,</w:t>
      </w:r>
      <w:r w:rsidR="006F48A3" w:rsidRPr="00714C99">
        <w:t xml:space="preserve"> but</w:t>
      </w:r>
      <w:r w:rsidR="005960FE" w:rsidRPr="00714C99">
        <w:t xml:space="preserve"> do not</w:t>
      </w:r>
      <w:r w:rsidR="00C35418">
        <w:t xml:space="preserve"> trust apps</w:t>
      </w:r>
      <w:r w:rsidR="005960FE" w:rsidRPr="00714C99">
        <w:t>.</w:t>
      </w:r>
      <w:r w:rsidR="00BB04FB" w:rsidRPr="00714C99">
        <w:t xml:space="preserve"> Our research found that </w:t>
      </w:r>
      <w:r w:rsidR="005E758E" w:rsidRPr="00714C99">
        <w:t>older people especially agreed that the app store should be trustworthy, with 91% of people over 50</w:t>
      </w:r>
      <w:r w:rsidR="00863144" w:rsidRPr="00714C99">
        <w:t xml:space="preserve"> agreeing that apps from the app store should be trustworthy.</w:t>
      </w:r>
      <w:r w:rsidR="00662907">
        <w:t xml:space="preserve"> As Figure 8 below</w:t>
      </w:r>
      <w:r w:rsidR="0070086C">
        <w:t xml:space="preserve"> shows,</w:t>
      </w:r>
      <w:r w:rsidR="001D71F3">
        <w:t xml:space="preserve"> while many people </w:t>
      </w:r>
      <w:r w:rsidR="00BD0E5F">
        <w:t>agree that apps should be trustworthy,</w:t>
      </w:r>
      <w:r w:rsidR="00015B5F">
        <w:t xml:space="preserve"> almost </w:t>
      </w:r>
      <w:r w:rsidR="00A1289C">
        <w:t>everyone in the</w:t>
      </w:r>
      <w:r w:rsidR="0070086C">
        <w:t xml:space="preserve"> 30-49 </w:t>
      </w:r>
      <w:r w:rsidR="00A1289C">
        <w:t>year</w:t>
      </w:r>
      <w:r w:rsidR="002E39B9">
        <w:t xml:space="preserve"> and</w:t>
      </w:r>
      <w:r w:rsidR="0070086C">
        <w:t xml:space="preserve"> 50+ years </w:t>
      </w:r>
      <w:r w:rsidR="002E39B9">
        <w:t xml:space="preserve">age brackets </w:t>
      </w:r>
      <w:r w:rsidR="00325F68">
        <w:t>feel that they should be able to trust the apps they download.</w:t>
      </w:r>
    </w:p>
    <w:p w14:paraId="2DADCAA9" w14:textId="77777777" w:rsidR="00A83D18" w:rsidRDefault="00A83D18" w:rsidP="009D1C0E">
      <w:pPr>
        <w:rPr>
          <w:rFonts w:cstheme="minorHAnsi"/>
          <w:sz w:val="28"/>
          <w:szCs w:val="28"/>
        </w:rPr>
      </w:pPr>
      <w:r>
        <w:br w:type="page"/>
      </w:r>
    </w:p>
    <w:p w14:paraId="27784DA1" w14:textId="0C40D165" w:rsidR="000F74AF" w:rsidRPr="007F76C7" w:rsidRDefault="000F74AF" w:rsidP="00A83D18">
      <w:pPr>
        <w:pStyle w:val="Heading2"/>
        <w:jc w:val="center"/>
      </w:pPr>
      <w:r>
        <w:t>Proportion of Australians who agree that</w:t>
      </w:r>
      <w:r w:rsidR="002F2E89">
        <w:t xml:space="preserve"> they</w:t>
      </w:r>
      <w:r>
        <w:t xml:space="preserve"> “</w:t>
      </w:r>
      <w:r w:rsidR="004C45D1">
        <w:t>should be able to trust apps</w:t>
      </w:r>
      <w:r>
        <w:t>”, per age bracket.</w:t>
      </w:r>
    </w:p>
    <w:p w14:paraId="7D5131A5" w14:textId="44DD48B5" w:rsidR="00813EF9" w:rsidRPr="00714C99" w:rsidRDefault="00D83B2E" w:rsidP="00863144">
      <w:pPr>
        <w:jc w:val="center"/>
      </w:pPr>
      <w:r w:rsidRPr="00714C99">
        <w:rPr>
          <w:noProof/>
        </w:rPr>
        <w:drawing>
          <wp:inline distT="0" distB="0" distL="0" distR="0" wp14:anchorId="720656BE" wp14:editId="182D0F40">
            <wp:extent cx="4572000" cy="2746375"/>
            <wp:effectExtent l="0" t="0" r="0" b="15875"/>
            <wp:docPr id="17" name="Chart 17" descr="A bar chart showing that people 30 to 49 and 50 plus were more likely to agree with the statement that “I should be able to trust apps that I download from the app store”.">
              <a:extLst xmlns:a="http://schemas.openxmlformats.org/drawingml/2006/main">
                <a:ext uri="{FF2B5EF4-FFF2-40B4-BE49-F238E27FC236}">
                  <a16:creationId xmlns:a16="http://schemas.microsoft.com/office/drawing/2014/main" id="{EF0EBBAF-0AC7-7208-F282-897AAE37BE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4EDBD76" w14:textId="05D3880A" w:rsidR="00A96B8C" w:rsidRPr="00714C99" w:rsidRDefault="00A96B8C" w:rsidP="00A96B8C">
      <w:pPr>
        <w:pStyle w:val="Caption"/>
        <w:rPr>
          <w:lang w:eastAsia="en-US"/>
        </w:rPr>
      </w:pPr>
      <w:r w:rsidRPr="00714C99">
        <w:rPr>
          <w:lang w:eastAsia="en-US"/>
        </w:rPr>
        <w:t>Figure 8. Older Australians were more likely to agree with the statement that “I should be able to trust apps that I download from the app store”. Source: Ipsos 2022.</w:t>
      </w:r>
    </w:p>
    <w:p w14:paraId="783B1647" w14:textId="3F76BAC3" w:rsidR="00D83B2E" w:rsidRDefault="00D92461" w:rsidP="002114D9">
      <w:r w:rsidRPr="00714C99">
        <w:t xml:space="preserve">Although </w:t>
      </w:r>
      <w:r w:rsidR="0053709F" w:rsidRPr="00714C99">
        <w:t>65%</w:t>
      </w:r>
      <w:r w:rsidR="00863144" w:rsidRPr="00714C99">
        <w:t xml:space="preserve"> of people</w:t>
      </w:r>
      <w:r w:rsidR="0053709F" w:rsidRPr="00714C99">
        <w:t xml:space="preserve"> do agree that they trust apps downloaded from the app store</w:t>
      </w:r>
      <w:r w:rsidR="00886AED" w:rsidRPr="00714C99">
        <w:t>, i</w:t>
      </w:r>
      <w:r w:rsidR="0053709F" w:rsidRPr="00714C99">
        <w:t>t appears tha</w:t>
      </w:r>
      <w:r w:rsidR="006E4B39" w:rsidRPr="00714C99">
        <w:t xml:space="preserve">t the agreement is somewhat reserved. When we breakdown the </w:t>
      </w:r>
      <w:r w:rsidR="00D151D1" w:rsidRPr="00714C99">
        <w:t xml:space="preserve">agreement into </w:t>
      </w:r>
      <w:r w:rsidR="003E6B2C" w:rsidRPr="00714C99">
        <w:t>“</w:t>
      </w:r>
      <w:r w:rsidR="00D151D1" w:rsidRPr="00714C99">
        <w:t>somewhat agree</w:t>
      </w:r>
      <w:r w:rsidR="003E6B2C" w:rsidRPr="00714C99">
        <w:t>”</w:t>
      </w:r>
      <w:r w:rsidR="00D151D1" w:rsidRPr="00714C99">
        <w:t xml:space="preserve">, </w:t>
      </w:r>
      <w:r w:rsidR="003E6B2C" w:rsidRPr="00714C99">
        <w:t>“</w:t>
      </w:r>
      <w:r w:rsidR="00D151D1" w:rsidRPr="00714C99">
        <w:t>agree</w:t>
      </w:r>
      <w:r w:rsidR="003E6B2C" w:rsidRPr="00714C99">
        <w:t>”</w:t>
      </w:r>
      <w:r w:rsidR="00D151D1" w:rsidRPr="00714C99">
        <w:t xml:space="preserve"> and </w:t>
      </w:r>
      <w:r w:rsidR="003E6B2C" w:rsidRPr="00714C99">
        <w:t>“</w:t>
      </w:r>
      <w:r w:rsidR="00D151D1" w:rsidRPr="00714C99">
        <w:t>strongly agree</w:t>
      </w:r>
      <w:r w:rsidR="003E6B2C" w:rsidRPr="00714C99">
        <w:t>” responses</w:t>
      </w:r>
      <w:r w:rsidR="00D151D1" w:rsidRPr="00714C99">
        <w:t xml:space="preserve"> we can clearly see that</w:t>
      </w:r>
      <w:r w:rsidR="00F351B6" w:rsidRPr="00714C99">
        <w:t xml:space="preserve"> </w:t>
      </w:r>
      <w:r w:rsidR="00102AE0" w:rsidRPr="00714C99">
        <w:t>a much smaller number of</w:t>
      </w:r>
      <w:r w:rsidR="003E6B2C" w:rsidRPr="00714C99">
        <w:t xml:space="preserve"> people</w:t>
      </w:r>
      <w:r w:rsidR="00F351B6" w:rsidRPr="00714C99">
        <w:t xml:space="preserve"> strongly agree</w:t>
      </w:r>
      <w:r w:rsidR="00E85FFD" w:rsidRPr="00714C99">
        <w:t xml:space="preserve"> that they trust </w:t>
      </w:r>
      <w:proofErr w:type="gramStart"/>
      <w:r w:rsidR="00E85FFD" w:rsidRPr="00714C99">
        <w:t>apps</w:t>
      </w:r>
      <w:proofErr w:type="gramEnd"/>
      <w:r w:rsidR="00F351B6" w:rsidRPr="00714C99">
        <w:t xml:space="preserve"> and many are closer to the fence.</w:t>
      </w:r>
      <w:r w:rsidR="00F97B3A">
        <w:t xml:space="preserve"> </w:t>
      </w:r>
      <w:r w:rsidR="005C479B">
        <w:t>Figure 9 below illustrates that</w:t>
      </w:r>
      <w:r w:rsidR="008E1502">
        <w:t xml:space="preserve"> across the three age brackets, </w:t>
      </w:r>
      <w:r w:rsidR="003C3463">
        <w:t xml:space="preserve">more </w:t>
      </w:r>
      <w:r w:rsidR="00240ACC">
        <w:t xml:space="preserve">respondents </w:t>
      </w:r>
      <w:r w:rsidR="004E36DF">
        <w:t>somewhat trust apps they download and fewer</w:t>
      </w:r>
      <w:r w:rsidR="00FE328D">
        <w:t xml:space="preserve"> strongly agree that they trust their apps.</w:t>
      </w:r>
      <w:r w:rsidR="00E85FFD" w:rsidRPr="00714C99">
        <w:t xml:space="preserve"> </w:t>
      </w:r>
      <w:r w:rsidR="001173E1" w:rsidRPr="001173E1">
        <w:t>This indicates that there is more work to be done to foster consumer trust in app stores</w:t>
      </w:r>
      <w:r w:rsidR="00C97CDC">
        <w:t>.</w:t>
      </w:r>
    </w:p>
    <w:p w14:paraId="1EEBDE3C" w14:textId="3F791060" w:rsidR="005206FB" w:rsidRPr="000B141D" w:rsidRDefault="005206FB" w:rsidP="002114D9">
      <w:pPr>
        <w:pStyle w:val="Heading2"/>
        <w:jc w:val="center"/>
      </w:pPr>
      <w:r>
        <w:t>Proportion of Australians who agree that they “</w:t>
      </w:r>
      <w:r w:rsidR="00D66F23">
        <w:t>trust apps they download from the app store</w:t>
      </w:r>
      <w:r>
        <w:t>”, bracket</w:t>
      </w:r>
      <w:r w:rsidR="00CE31D9">
        <w:t>ed by “</w:t>
      </w:r>
      <w:r w:rsidR="00BB5B90">
        <w:t>Somewhat agree</w:t>
      </w:r>
      <w:r w:rsidR="00CE31D9">
        <w:t>”</w:t>
      </w:r>
      <w:r w:rsidR="00BB5B90">
        <w:t>, “Agree” and “Strongly agree”</w:t>
      </w:r>
      <w:r>
        <w:t>.</w:t>
      </w:r>
    </w:p>
    <w:p w14:paraId="60EEAFCD" w14:textId="7B7A9968" w:rsidR="00D83B2E" w:rsidRPr="00714C99" w:rsidRDefault="00D83B2E" w:rsidP="00863144">
      <w:pPr>
        <w:jc w:val="center"/>
      </w:pPr>
      <w:r w:rsidRPr="00714C99">
        <w:rPr>
          <w:noProof/>
        </w:rPr>
        <w:drawing>
          <wp:inline distT="0" distB="0" distL="0" distR="0" wp14:anchorId="6CB311E2" wp14:editId="4DFE2C93">
            <wp:extent cx="4572000" cy="2740025"/>
            <wp:effectExtent l="0" t="0" r="0" b="3175"/>
            <wp:docPr id="18" name="Chart 18" descr="A stacked bar chart showing that cumulatively across the age groups 92 per cent of people somewhat agree that they trust ads compared to 27 who strongly agree.">
              <a:extLst xmlns:a="http://schemas.openxmlformats.org/drawingml/2006/main">
                <a:ext uri="{FF2B5EF4-FFF2-40B4-BE49-F238E27FC236}">
                  <a16:creationId xmlns:a16="http://schemas.microsoft.com/office/drawing/2014/main" id="{0BB243B8-FB33-26CC-63F5-0B86BD39C0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A563F6B" w14:textId="16F0334E" w:rsidR="00A96B8C" w:rsidRPr="00714C99" w:rsidRDefault="00A96B8C" w:rsidP="00A96B8C">
      <w:pPr>
        <w:pStyle w:val="Caption"/>
        <w:rPr>
          <w:lang w:eastAsia="en-US"/>
        </w:rPr>
      </w:pPr>
      <w:r w:rsidRPr="00714C99">
        <w:rPr>
          <w:lang w:eastAsia="en-US"/>
        </w:rPr>
        <w:t xml:space="preserve">Figure </w:t>
      </w:r>
      <w:r w:rsidR="00A324C6" w:rsidRPr="00714C99">
        <w:rPr>
          <w:lang w:eastAsia="en-US"/>
        </w:rPr>
        <w:t>9</w:t>
      </w:r>
      <w:r w:rsidRPr="00714C99">
        <w:rPr>
          <w:lang w:eastAsia="en-US"/>
        </w:rPr>
        <w:t xml:space="preserve">. </w:t>
      </w:r>
      <w:r w:rsidR="002E53FD" w:rsidRPr="00714C99">
        <w:rPr>
          <w:lang w:eastAsia="en-US"/>
        </w:rPr>
        <w:t xml:space="preserve">Of the </w:t>
      </w:r>
      <w:r w:rsidR="009323F1" w:rsidRPr="00714C99">
        <w:rPr>
          <w:lang w:eastAsia="en-US"/>
        </w:rPr>
        <w:t>people</w:t>
      </w:r>
      <w:r w:rsidR="002E53FD" w:rsidRPr="00714C99">
        <w:rPr>
          <w:lang w:eastAsia="en-US"/>
        </w:rPr>
        <w:t xml:space="preserve"> who do trust apps they download from the app </w:t>
      </w:r>
      <w:proofErr w:type="gramStart"/>
      <w:r w:rsidR="002E53FD" w:rsidRPr="00714C99">
        <w:rPr>
          <w:lang w:eastAsia="en-US"/>
        </w:rPr>
        <w:t>store</w:t>
      </w:r>
      <w:r w:rsidR="009323F1" w:rsidRPr="00714C99">
        <w:rPr>
          <w:lang w:eastAsia="en-US"/>
        </w:rPr>
        <w:t>,</w:t>
      </w:r>
      <w:proofErr w:type="gramEnd"/>
      <w:r w:rsidR="009323F1" w:rsidRPr="00714C99">
        <w:rPr>
          <w:lang w:eastAsia="en-US"/>
        </w:rPr>
        <w:t xml:space="preserve"> respondents were more likely to “somewhat agree” than “strongly agree”</w:t>
      </w:r>
      <w:r w:rsidR="00F34E16">
        <w:rPr>
          <w:lang w:eastAsia="en-US"/>
        </w:rPr>
        <w:t xml:space="preserve"> to the question </w:t>
      </w:r>
      <w:r w:rsidR="00F34E16" w:rsidRPr="00F34E16">
        <w:rPr>
          <w:lang w:eastAsia="en-US"/>
        </w:rPr>
        <w:t>“I trust apps that I download from the app store”</w:t>
      </w:r>
      <w:r w:rsidRPr="00714C99">
        <w:rPr>
          <w:lang w:eastAsia="en-US"/>
        </w:rPr>
        <w:t>. Source: Ipsos 2022.</w:t>
      </w:r>
    </w:p>
    <w:p w14:paraId="295C17CE" w14:textId="6BA2D9C3" w:rsidR="00D83B2E" w:rsidRDefault="00111B30" w:rsidP="002114D9">
      <w:r w:rsidRPr="00714C99">
        <w:t>Income and geography also play a part in whether people trust apps that they download</w:t>
      </w:r>
      <w:r w:rsidR="003A2885" w:rsidRPr="00714C99">
        <w:t xml:space="preserve">. </w:t>
      </w:r>
      <w:r w:rsidR="00472F28" w:rsidRPr="00714C99">
        <w:t xml:space="preserve">Individuals </w:t>
      </w:r>
      <w:r w:rsidR="00ED1FAC">
        <w:t>on</w:t>
      </w:r>
      <w:r w:rsidR="004859B6" w:rsidRPr="00714C99">
        <w:t xml:space="preserve"> low </w:t>
      </w:r>
      <w:r w:rsidR="00ED1FAC" w:rsidRPr="00714C99">
        <w:t>incomes and</w:t>
      </w:r>
      <w:r w:rsidR="00B35274" w:rsidRPr="00714C99">
        <w:t xml:space="preserve"> people who lived in </w:t>
      </w:r>
      <w:r w:rsidR="00472F28" w:rsidRPr="00714C99">
        <w:t xml:space="preserve">regional, </w:t>
      </w:r>
      <w:proofErr w:type="gramStart"/>
      <w:r w:rsidR="00472F28" w:rsidRPr="00714C99">
        <w:t>rural</w:t>
      </w:r>
      <w:proofErr w:type="gramEnd"/>
      <w:r w:rsidR="00472F28" w:rsidRPr="00714C99">
        <w:t xml:space="preserve"> and remote areas </w:t>
      </w:r>
      <w:r w:rsidR="003A2885" w:rsidRPr="00714C99">
        <w:t>were less likely to trust</w:t>
      </w:r>
      <w:r w:rsidR="00DE3EB7" w:rsidRPr="00714C99">
        <w:t xml:space="preserve"> apps that they download from the app store.</w:t>
      </w:r>
      <w:r w:rsidR="00663DD2" w:rsidRPr="00714C99">
        <w:t xml:space="preserve"> As the graph below shows, </w:t>
      </w:r>
      <w:r w:rsidR="004B2D66" w:rsidRPr="00714C99">
        <w:t>respondents</w:t>
      </w:r>
      <w:r w:rsidR="00FB6EC7">
        <w:t xml:space="preserve"> on lower incomes</w:t>
      </w:r>
      <w:r w:rsidR="004B2D66" w:rsidRPr="00714C99">
        <w:t xml:space="preserve"> were less likely to trust apps that they download compared to </w:t>
      </w:r>
      <w:r w:rsidR="00173FE4" w:rsidRPr="00714C99">
        <w:t>respondents</w:t>
      </w:r>
      <w:r w:rsidR="00C137CE">
        <w:t xml:space="preserve"> on higher incomes</w:t>
      </w:r>
      <w:r w:rsidR="00173FE4" w:rsidRPr="00714C99">
        <w:t>.</w:t>
      </w:r>
    </w:p>
    <w:p w14:paraId="3A8C534C" w14:textId="3C75E8EA" w:rsidR="00194DCA" w:rsidRPr="000B141D" w:rsidRDefault="00194DCA" w:rsidP="00A22FF3">
      <w:pPr>
        <w:pStyle w:val="Heading2"/>
        <w:jc w:val="center"/>
      </w:pPr>
      <w:r>
        <w:t>Proportion of Australians who agree that they “trust apps they download from app stores”, per income bracket.</w:t>
      </w:r>
    </w:p>
    <w:p w14:paraId="128B5499" w14:textId="44FBEEB3" w:rsidR="00D83B2E" w:rsidRPr="00714C99" w:rsidRDefault="00D83B2E" w:rsidP="00173FE4">
      <w:pPr>
        <w:jc w:val="center"/>
      </w:pPr>
      <w:r w:rsidRPr="00714C99">
        <w:rPr>
          <w:noProof/>
        </w:rPr>
        <w:drawing>
          <wp:inline distT="0" distB="0" distL="0" distR="0" wp14:anchorId="5B573A70" wp14:editId="14D83BFD">
            <wp:extent cx="4572000" cy="2740025"/>
            <wp:effectExtent l="0" t="0" r="0" b="3175"/>
            <wp:docPr id="19" name="Chart 19" descr="A bar chart showing that people below the 50,000 per year income bracket were less likely to trust their apps.">
              <a:extLst xmlns:a="http://schemas.openxmlformats.org/drawingml/2006/main">
                <a:ext uri="{FF2B5EF4-FFF2-40B4-BE49-F238E27FC236}">
                  <a16:creationId xmlns:a16="http://schemas.microsoft.com/office/drawing/2014/main" id="{C090196A-48D7-4822-0F51-FDB62E8457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6B3CD7F" w14:textId="59CC2B3E" w:rsidR="002F0F38" w:rsidRPr="00714C99" w:rsidRDefault="002F0F38" w:rsidP="00E971F2">
      <w:pPr>
        <w:pStyle w:val="Caption"/>
      </w:pPr>
      <w:r w:rsidRPr="00714C99">
        <w:rPr>
          <w:lang w:eastAsia="en-US"/>
        </w:rPr>
        <w:t xml:space="preserve">Figure 10. </w:t>
      </w:r>
      <w:r w:rsidR="003E3ABE" w:rsidRPr="00714C99">
        <w:rPr>
          <w:lang w:eastAsia="en-US"/>
        </w:rPr>
        <w:t xml:space="preserve">Poorer </w:t>
      </w:r>
      <w:r w:rsidRPr="00714C99">
        <w:rPr>
          <w:lang w:eastAsia="en-US"/>
        </w:rPr>
        <w:t>Australians were less likely to agree with the statement that “I trust apps that I download from the app store”. Source: Ipsos 2022.</w:t>
      </w:r>
    </w:p>
    <w:p w14:paraId="765174CE" w14:textId="0550FD88" w:rsidR="00194DCA" w:rsidRPr="000B141D" w:rsidRDefault="00194DCA" w:rsidP="00A22FF3">
      <w:pPr>
        <w:pStyle w:val="Heading2"/>
        <w:jc w:val="center"/>
      </w:pPr>
      <w:r>
        <w:t xml:space="preserve">Proportion of Australians who agree that they “trust apps they download from app stores”, per </w:t>
      </w:r>
      <w:r w:rsidR="004755BE">
        <w:t>geographic</w:t>
      </w:r>
      <w:r>
        <w:t xml:space="preserve"> bracket.</w:t>
      </w:r>
    </w:p>
    <w:p w14:paraId="3828A6E8" w14:textId="72D85CE4" w:rsidR="00D83B2E" w:rsidRPr="00714C99" w:rsidRDefault="00D83B2E" w:rsidP="00173FE4">
      <w:pPr>
        <w:jc w:val="center"/>
      </w:pPr>
      <w:r w:rsidRPr="00714C99">
        <w:rPr>
          <w:noProof/>
        </w:rPr>
        <w:drawing>
          <wp:inline distT="0" distB="0" distL="0" distR="0" wp14:anchorId="4CF3E7B2" wp14:editId="56BB521C">
            <wp:extent cx="4572000" cy="2740025"/>
            <wp:effectExtent l="0" t="0" r="0" b="3175"/>
            <wp:docPr id="20" name="Chart 20" descr="A bar chart showing that the further people live from a capital city, the less likely they are to trust apps. Only 34 per cent of those living more than 5km from the nearest town said they trust apps.">
              <a:extLst xmlns:a="http://schemas.openxmlformats.org/drawingml/2006/main">
                <a:ext uri="{FF2B5EF4-FFF2-40B4-BE49-F238E27FC236}">
                  <a16:creationId xmlns:a16="http://schemas.microsoft.com/office/drawing/2014/main" id="{3D73F280-5D1F-2C82-90D2-73D343FA4C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46A430E" w14:textId="321243CB" w:rsidR="00A324C6" w:rsidRPr="00714C99" w:rsidRDefault="00A324C6" w:rsidP="00A324C6">
      <w:pPr>
        <w:pStyle w:val="Caption"/>
        <w:rPr>
          <w:lang w:eastAsia="en-US"/>
        </w:rPr>
      </w:pPr>
      <w:r w:rsidRPr="00714C99">
        <w:rPr>
          <w:lang w:eastAsia="en-US"/>
        </w:rPr>
        <w:t xml:space="preserve">Figure 11. Australians </w:t>
      </w:r>
      <w:r w:rsidR="009B7F68">
        <w:rPr>
          <w:lang w:eastAsia="en-US"/>
        </w:rPr>
        <w:t xml:space="preserve">living further from capital cities </w:t>
      </w:r>
      <w:r w:rsidRPr="00714C99">
        <w:rPr>
          <w:lang w:eastAsia="en-US"/>
        </w:rPr>
        <w:t>were less likely to agree with the statement that “I trust apps that I download from the app store”. Source: Ipsos 2022.</w:t>
      </w:r>
    </w:p>
    <w:p w14:paraId="72F10EFC" w14:textId="77777777" w:rsidR="00813EF9" w:rsidRPr="00714C99" w:rsidRDefault="00813EF9" w:rsidP="00A5706F">
      <w:pPr>
        <w:jc w:val="both"/>
      </w:pPr>
    </w:p>
    <w:p w14:paraId="4BC069C1" w14:textId="3518E7D0" w:rsidR="00FB6E68" w:rsidRPr="00714C99" w:rsidRDefault="00AA6A99" w:rsidP="002114D9">
      <w:pPr>
        <w:pStyle w:val="Heading3"/>
        <w:rPr>
          <w:lang w:val="en-AU"/>
        </w:rPr>
      </w:pPr>
      <w:r w:rsidRPr="00714C99">
        <w:rPr>
          <w:lang w:val="en-AU"/>
        </w:rPr>
        <w:t>What is ACCAN doing about it?</w:t>
      </w:r>
    </w:p>
    <w:p w14:paraId="1C9671F8" w14:textId="5B558BF9" w:rsidR="005B332B" w:rsidRDefault="000A6923" w:rsidP="002114D9">
      <w:r w:rsidRPr="00714C99">
        <w:t xml:space="preserve">Scams and </w:t>
      </w:r>
      <w:r w:rsidR="00C252E2" w:rsidRPr="00714C99">
        <w:t xml:space="preserve">mobile </w:t>
      </w:r>
      <w:r w:rsidRPr="00714C99">
        <w:t xml:space="preserve">apps </w:t>
      </w:r>
      <w:r w:rsidR="00C252E2" w:rsidRPr="00714C99">
        <w:t>that</w:t>
      </w:r>
      <w:r w:rsidRPr="00714C99">
        <w:t xml:space="preserve"> do harm</w:t>
      </w:r>
      <w:r w:rsidR="00C252E2" w:rsidRPr="00714C99">
        <w:t xml:space="preserve"> continue to be a focus</w:t>
      </w:r>
      <w:r w:rsidR="00DB610F" w:rsidRPr="00714C99">
        <w:t xml:space="preserve"> for ACCAN. ACCAN strongly supported the </w:t>
      </w:r>
      <w:r w:rsidR="00BE6250" w:rsidRPr="00714C99">
        <w:t xml:space="preserve">development of industry standards to reduce scam calls and </w:t>
      </w:r>
      <w:r w:rsidR="00464A19" w:rsidRPr="00714C99">
        <w:t>SMS</w:t>
      </w:r>
      <w:r w:rsidR="00BE6250" w:rsidRPr="00714C99">
        <w:t xml:space="preserve"> in the telecommunications sector</w:t>
      </w:r>
      <w:r w:rsidR="00537A9F">
        <w:t>. A</w:t>
      </w:r>
      <w:r w:rsidR="00061AF9">
        <w:t>s th</w:t>
      </w:r>
      <w:r w:rsidR="00537A9F">
        <w:t>e</w:t>
      </w:r>
      <w:r w:rsidR="00061AF9">
        <w:t xml:space="preserve">se protections come into </w:t>
      </w:r>
      <w:proofErr w:type="gramStart"/>
      <w:r w:rsidR="00061AF9">
        <w:t>effect</w:t>
      </w:r>
      <w:proofErr w:type="gramEnd"/>
      <w:r w:rsidR="00BE6250" w:rsidRPr="00714C99">
        <w:t xml:space="preserve"> </w:t>
      </w:r>
      <w:r w:rsidR="008B1F68" w:rsidRPr="00714C99">
        <w:t>we will continue to push for greater efforts to be made on digital platforms and</w:t>
      </w:r>
      <w:r w:rsidR="00061AF9">
        <w:t xml:space="preserve"> app</w:t>
      </w:r>
      <w:r w:rsidR="008B1F68" w:rsidRPr="00714C99">
        <w:t xml:space="preserve"> </w:t>
      </w:r>
      <w:r w:rsidR="00BF2619" w:rsidRPr="00714C99">
        <w:t>marketplaces</w:t>
      </w:r>
      <w:r w:rsidR="008B1F68" w:rsidRPr="00714C99">
        <w:t xml:space="preserve">. </w:t>
      </w:r>
      <w:r w:rsidR="00B17EC3">
        <w:t>W</w:t>
      </w:r>
      <w:r w:rsidR="00E06812">
        <w:t xml:space="preserve">e </w:t>
      </w:r>
      <w:r w:rsidR="00B17EC3">
        <w:t>support</w:t>
      </w:r>
      <w:r w:rsidR="001311D8">
        <w:t xml:space="preserve"> the ACCC’s</w:t>
      </w:r>
      <w:r w:rsidR="00413115">
        <w:t xml:space="preserve"> suggestion </w:t>
      </w:r>
      <w:r w:rsidR="00B15B8D">
        <w:t>that</w:t>
      </w:r>
      <w:r w:rsidR="00AC368F">
        <w:t xml:space="preserve"> digital platforms</w:t>
      </w:r>
      <w:r w:rsidR="00B15B8D">
        <w:t xml:space="preserve"> be required</w:t>
      </w:r>
      <w:r w:rsidR="00AC368F">
        <w:t xml:space="preserve"> to:</w:t>
      </w:r>
    </w:p>
    <w:p w14:paraId="28BBA929" w14:textId="3CFC5FA9" w:rsidR="00E06812" w:rsidRDefault="00E06812" w:rsidP="002114D9">
      <w:pPr>
        <w:pStyle w:val="ListParagraph"/>
        <w:numPr>
          <w:ilvl w:val="0"/>
          <w:numId w:val="45"/>
        </w:numPr>
      </w:pPr>
      <w:r>
        <w:t xml:space="preserve">improve their existing processes to </w:t>
      </w:r>
      <w:proofErr w:type="gramStart"/>
      <w:r>
        <w:t>more effectively monitor, block and remove online scams and malicious apps from being displayed to their users and to manage the harms associated with the prevalence of fake online reviews on their platforms</w:t>
      </w:r>
      <w:proofErr w:type="gramEnd"/>
      <w:r w:rsidR="001C2F71">
        <w:t>.</w:t>
      </w:r>
    </w:p>
    <w:p w14:paraId="42554371" w14:textId="5C988177" w:rsidR="00E06812" w:rsidRDefault="00E06812" w:rsidP="002114D9">
      <w:pPr>
        <w:pStyle w:val="ListParagraph"/>
        <w:numPr>
          <w:ilvl w:val="0"/>
          <w:numId w:val="45"/>
        </w:numPr>
      </w:pPr>
      <w:r>
        <w:t>notify and/or provide redress to their users who have been exposed to harmful content identified on their platforms</w:t>
      </w:r>
      <w:r w:rsidR="000462FC">
        <w:t>.</w:t>
      </w:r>
    </w:p>
    <w:p w14:paraId="5C090CB5" w14:textId="6B549636" w:rsidR="00E06812" w:rsidRDefault="00E06812" w:rsidP="002114D9">
      <w:pPr>
        <w:pStyle w:val="ListParagraph"/>
        <w:numPr>
          <w:ilvl w:val="0"/>
          <w:numId w:val="45"/>
        </w:numPr>
      </w:pPr>
      <w:r>
        <w:t>implement systems and processes that proactively prevent the distribution of online scams and malicious apps to their users, such verification requirements for advertisers and labelling that clearly distinguishes the advertisements of unverified advertisers</w:t>
      </w:r>
      <w:r w:rsidR="000462FC">
        <w:t>.</w:t>
      </w:r>
    </w:p>
    <w:p w14:paraId="36154F27" w14:textId="27137E72" w:rsidR="005B332B" w:rsidRDefault="00E06812" w:rsidP="002114D9">
      <w:pPr>
        <w:pStyle w:val="ListParagraph"/>
        <w:numPr>
          <w:ilvl w:val="0"/>
          <w:numId w:val="45"/>
        </w:numPr>
      </w:pPr>
      <w:r>
        <w:t>report regularly to relevant regulators and law enforcement agencies</w:t>
      </w:r>
      <w:r w:rsidR="000462FC">
        <w:t>.</w:t>
      </w:r>
      <w:r w:rsidR="00B15B8D">
        <w:rPr>
          <w:rStyle w:val="FootnoteReference"/>
        </w:rPr>
        <w:footnoteReference w:id="16"/>
      </w:r>
    </w:p>
    <w:p w14:paraId="5A9C8E3A" w14:textId="750F1096" w:rsidR="000A6923" w:rsidRPr="00714C99" w:rsidRDefault="00B15B8D" w:rsidP="002114D9">
      <w:r>
        <w:t>ACCAN</w:t>
      </w:r>
      <w:r w:rsidR="00CC378E">
        <w:t xml:space="preserve"> also</w:t>
      </w:r>
      <w:r>
        <w:t xml:space="preserve"> </w:t>
      </w:r>
      <w:r w:rsidR="00CC378E" w:rsidRPr="00CC378E">
        <w:t>support</w:t>
      </w:r>
      <w:r w:rsidR="00CC378E">
        <w:t>s</w:t>
      </w:r>
      <w:r w:rsidR="00CC378E" w:rsidRPr="00CC378E">
        <w:t xml:space="preserve"> the empowerment of a well-resourced body that can meaningfully investigate social media platforms to identify scams. </w:t>
      </w:r>
      <w:r w:rsidR="00CE39C7" w:rsidRPr="00CE39C7">
        <w:t>Scammers will target people through the path of least resistance and ACCAN is determined to see avenues closed off and consumer protections hardened wherever possible.</w:t>
      </w:r>
    </w:p>
    <w:p w14:paraId="58833C43" w14:textId="58629C33" w:rsidR="00BF0911" w:rsidRPr="00714C99" w:rsidRDefault="00770CB6" w:rsidP="002114D9">
      <w:pPr>
        <w:pStyle w:val="Heading1"/>
      </w:pPr>
      <w:r w:rsidRPr="00714C99">
        <w:t>Choice and Competition</w:t>
      </w:r>
    </w:p>
    <w:p w14:paraId="1A2052AA" w14:textId="1868B980" w:rsidR="00184772" w:rsidRPr="00714C99" w:rsidRDefault="00CA116B" w:rsidP="002114D9">
      <w:r w:rsidRPr="00714C99">
        <w:t>Choice and competition are vital for</w:t>
      </w:r>
      <w:r w:rsidR="00023A71" w:rsidRPr="00714C99">
        <w:t xml:space="preserve"> driving innovation and</w:t>
      </w:r>
      <w:r w:rsidRPr="00714C99">
        <w:t xml:space="preserve"> ensuring that consumers can find products that meet their needs</w:t>
      </w:r>
      <w:r w:rsidR="00023A71" w:rsidRPr="00714C99">
        <w:t xml:space="preserve">. </w:t>
      </w:r>
      <w:r w:rsidR="00F36A2B">
        <w:t xml:space="preserve">However, the Australian digital platform market is dominated </w:t>
      </w:r>
      <w:r w:rsidR="00950E81">
        <w:t xml:space="preserve">by a few large companies. </w:t>
      </w:r>
      <w:r w:rsidR="004D054B">
        <w:t>For example, the</w:t>
      </w:r>
      <w:r w:rsidR="00A26692">
        <w:t xml:space="preserve"> ACCC’s Digital Platforms final report </w:t>
      </w:r>
      <w:r w:rsidR="005C1DE7">
        <w:t xml:space="preserve">identified </w:t>
      </w:r>
      <w:r w:rsidR="004D054B">
        <w:t xml:space="preserve">Google and Facebook </w:t>
      </w:r>
      <w:r w:rsidR="00795568">
        <w:t>as “the</w:t>
      </w:r>
      <w:r w:rsidR="00184772">
        <w:t xml:space="preserve"> two largest digital platforms in Australia and the</w:t>
      </w:r>
      <w:r w:rsidR="00452771">
        <w:t xml:space="preserve"> </w:t>
      </w:r>
      <w:r w:rsidR="00184772">
        <w:t xml:space="preserve">amount of time Australian consumers spend on Google and Facebook </w:t>
      </w:r>
      <w:proofErr w:type="gramStart"/>
      <w:r w:rsidR="00184772">
        <w:t>dwarfs</w:t>
      </w:r>
      <w:proofErr w:type="gramEnd"/>
      <w:r w:rsidR="00184772">
        <w:t xml:space="preserve"> other rival applications</w:t>
      </w:r>
      <w:r w:rsidR="00452771">
        <w:t xml:space="preserve"> </w:t>
      </w:r>
      <w:r w:rsidR="00184772">
        <w:t>and websites</w:t>
      </w:r>
      <w:r w:rsidR="00795568">
        <w:t>”</w:t>
      </w:r>
      <w:r w:rsidR="00184772">
        <w:t>.</w:t>
      </w:r>
      <w:r w:rsidR="00C57A42">
        <w:rPr>
          <w:rStyle w:val="FootnoteReference"/>
        </w:rPr>
        <w:footnoteReference w:id="17"/>
      </w:r>
      <w:r w:rsidR="004E76AD">
        <w:t xml:space="preserve"> </w:t>
      </w:r>
      <w:r w:rsidR="00E555F1">
        <w:t xml:space="preserve">Experts note that </w:t>
      </w:r>
      <w:r w:rsidR="003D00C6">
        <w:t xml:space="preserve">it can be “extremely </w:t>
      </w:r>
      <w:r w:rsidR="002D1039">
        <w:t>hard</w:t>
      </w:r>
      <w:r w:rsidR="003D00C6">
        <w:t>”</w:t>
      </w:r>
      <w:r w:rsidR="002D1039">
        <w:t xml:space="preserve"> for new</w:t>
      </w:r>
      <w:r w:rsidR="00594FD3">
        <w:t xml:space="preserve"> technology company</w:t>
      </w:r>
      <w:r w:rsidR="002D1039">
        <w:t xml:space="preserve"> entrants to challenge</w:t>
      </w:r>
      <w:r w:rsidR="005B2C3D">
        <w:t xml:space="preserve"> incumbent players.</w:t>
      </w:r>
      <w:r w:rsidR="00A43441">
        <w:rPr>
          <w:rStyle w:val="FootnoteReference"/>
        </w:rPr>
        <w:footnoteReference w:id="18"/>
      </w:r>
      <w:r w:rsidR="009700F2">
        <w:t xml:space="preserve"> </w:t>
      </w:r>
      <w:r w:rsidR="00D31593">
        <w:t>Mo</w:t>
      </w:r>
      <w:r w:rsidR="00F97F54">
        <w:t xml:space="preserve">re work is needed to provide consumers with </w:t>
      </w:r>
      <w:r w:rsidR="00786F8D">
        <w:t xml:space="preserve">choice and </w:t>
      </w:r>
      <w:r w:rsidR="00325048">
        <w:t>promote fair and effic</w:t>
      </w:r>
      <w:r w:rsidR="00C214C1">
        <w:t xml:space="preserve">ient </w:t>
      </w:r>
      <w:r w:rsidR="006A646E">
        <w:t>digital platform markets.</w:t>
      </w:r>
    </w:p>
    <w:p w14:paraId="6367B51E" w14:textId="02EFFBF8" w:rsidR="00464A19" w:rsidRPr="00714C99" w:rsidRDefault="00403C02" w:rsidP="002114D9">
      <w:r w:rsidRPr="00714C99">
        <w:t>Interoperability is a key pillar of enabling competition</w:t>
      </w:r>
      <w:r w:rsidR="00535734" w:rsidRPr="00714C99">
        <w:t xml:space="preserve"> for digital </w:t>
      </w:r>
      <w:proofErr w:type="gramStart"/>
      <w:r w:rsidR="00535734" w:rsidRPr="00714C99">
        <w:t>platforms</w:t>
      </w:r>
      <w:proofErr w:type="gramEnd"/>
      <w:r w:rsidR="0063020A">
        <w:t xml:space="preserve"> but many digital platform services </w:t>
      </w:r>
      <w:r w:rsidR="0063020A" w:rsidRPr="00714C99">
        <w:t>remain far less interoperable than they should be</w:t>
      </w:r>
      <w:r w:rsidRPr="00714C99">
        <w:t>.</w:t>
      </w:r>
      <w:r w:rsidR="00535734" w:rsidRPr="00714C99">
        <w:t xml:space="preserve"> For example,</w:t>
      </w:r>
      <w:r w:rsidR="00E74BD7" w:rsidRPr="00714C99">
        <w:t xml:space="preserve"> </w:t>
      </w:r>
      <w:r w:rsidR="006D0C9E">
        <w:t>c</w:t>
      </w:r>
      <w:r w:rsidR="002D73BC" w:rsidRPr="002D73BC">
        <w:t>onsumers would benefit if online private messaging services were more interoperable than they currently are</w:t>
      </w:r>
      <w:r w:rsidR="005F1D84">
        <w:t>, allowing consumers to choose services based on their merit and not</w:t>
      </w:r>
      <w:r w:rsidR="00344235">
        <w:t xml:space="preserve"> by the social networks they hold</w:t>
      </w:r>
      <w:r w:rsidR="002D73BC" w:rsidRPr="002D73BC">
        <w:t>.</w:t>
      </w:r>
      <w:r w:rsidR="00344235">
        <w:t xml:space="preserve"> </w:t>
      </w:r>
      <w:r w:rsidR="00F805C2">
        <w:t>If people could message each other, no matter the service</w:t>
      </w:r>
      <w:r w:rsidR="00992505">
        <w:t xml:space="preserve"> their contacts were on</w:t>
      </w:r>
      <w:r w:rsidR="00F805C2">
        <w:t>, they could</w:t>
      </w:r>
      <w:r w:rsidR="00992505">
        <w:t xml:space="preserve"> pick an app or </w:t>
      </w:r>
      <w:r w:rsidR="00EC54C7">
        <w:t>platform that best suits them.</w:t>
      </w:r>
      <w:r w:rsidR="002D73BC">
        <w:t xml:space="preserve"> </w:t>
      </w:r>
      <w:r w:rsidR="00E74BD7" w:rsidRPr="00714C99">
        <w:t>There have been some recent developments in interoperability, such as between Meta owned apps</w:t>
      </w:r>
      <w:r w:rsidR="005B5B50" w:rsidRPr="00714C99">
        <w:rPr>
          <w:rStyle w:val="FootnoteReference"/>
        </w:rPr>
        <w:footnoteReference w:id="19"/>
      </w:r>
      <w:r w:rsidR="00E74BD7" w:rsidRPr="00714C99">
        <w:t xml:space="preserve"> and between Google’s message app and Apple’s iMessage.</w:t>
      </w:r>
      <w:r w:rsidR="00093547" w:rsidRPr="00714C99">
        <w:rPr>
          <w:rStyle w:val="FootnoteReference"/>
        </w:rPr>
        <w:footnoteReference w:id="20"/>
      </w:r>
      <w:r w:rsidR="00E74BD7" w:rsidRPr="00714C99">
        <w:t xml:space="preserve"> However, the limited nature of these recent developments</w:t>
      </w:r>
      <w:r w:rsidR="007A220B">
        <w:t>, such as the limited interoperability between Meta owned</w:t>
      </w:r>
      <w:r w:rsidR="00EF5639">
        <w:t xml:space="preserve"> Facebook Messenger and WhatsApp,</w:t>
      </w:r>
      <w:r w:rsidR="00E74BD7" w:rsidRPr="00714C99">
        <w:t xml:space="preserve"> illustrates the inadequate interoperability offered to consumers. The lack of established standards and interoperability between popular messaging apps including Facebook Messenger, WhatsApp, Telegram or Snapchat forces </w:t>
      </w:r>
      <w:r w:rsidR="001D7BB4" w:rsidRPr="00714C99">
        <w:t xml:space="preserve">people </w:t>
      </w:r>
      <w:r w:rsidR="00E74BD7" w:rsidRPr="00714C99">
        <w:t>to choose which platforms they use based on their broader social networks instead of each app’s merits.</w:t>
      </w:r>
    </w:p>
    <w:p w14:paraId="1C2D33E7" w14:textId="10F2B2D2" w:rsidR="00625466" w:rsidRDefault="00EE3D03" w:rsidP="002114D9">
      <w:r w:rsidRPr="00714C99">
        <w:t>Our research found that</w:t>
      </w:r>
      <w:r w:rsidR="00800F24" w:rsidRPr="00714C99">
        <w:t xml:space="preserve"> many people, especially young</w:t>
      </w:r>
      <w:r w:rsidR="006C2C16" w:rsidRPr="00714C99">
        <w:t>er</w:t>
      </w:r>
      <w:r w:rsidR="00800F24" w:rsidRPr="00714C99">
        <w:t xml:space="preserve"> people</w:t>
      </w:r>
      <w:r w:rsidR="00403C02" w:rsidRPr="00714C99">
        <w:t>, must use multiple messaging apps to stay connected with friends and family.</w:t>
      </w:r>
      <w:r w:rsidRPr="00714C99">
        <w:t xml:space="preserve"> </w:t>
      </w:r>
      <w:r w:rsidR="00D83B2E" w:rsidRPr="00714C99">
        <w:t>57% of</w:t>
      </w:r>
      <w:r w:rsidR="00403C02" w:rsidRPr="00714C99">
        <w:t xml:space="preserve"> our</w:t>
      </w:r>
      <w:r w:rsidR="00D83B2E" w:rsidRPr="00714C99">
        <w:t xml:space="preserve"> </w:t>
      </w:r>
      <w:r w:rsidR="00800F24" w:rsidRPr="00714C99">
        <w:t>respondents</w:t>
      </w:r>
      <w:r w:rsidR="00D83B2E" w:rsidRPr="00714C99">
        <w:t xml:space="preserve"> agree</w:t>
      </w:r>
      <w:r w:rsidR="00403C02" w:rsidRPr="00714C99">
        <w:t>d</w:t>
      </w:r>
      <w:r w:rsidR="00D83B2E" w:rsidRPr="00714C99">
        <w:t xml:space="preserve"> that </w:t>
      </w:r>
      <w:r w:rsidR="00625466" w:rsidRPr="00714C99">
        <w:t>“</w:t>
      </w:r>
      <w:r w:rsidR="00625466" w:rsidRPr="00714C99">
        <w:rPr>
          <w:rFonts w:ascii="Calibri" w:eastAsia="Times New Roman" w:hAnsi="Calibri" w:cs="Calibri"/>
          <w:color w:val="000000"/>
        </w:rPr>
        <w:t>I have to use multiple messaging apps (e.g., iMessage, Facebook Messenger, Telegram, Snapchat) to stay connected with friends and family</w:t>
      </w:r>
      <w:r w:rsidR="00625466" w:rsidRPr="00714C99">
        <w:t>”</w:t>
      </w:r>
      <w:r w:rsidR="00403C02" w:rsidRPr="00714C99">
        <w:t xml:space="preserve">. </w:t>
      </w:r>
    </w:p>
    <w:p w14:paraId="2F5A4038" w14:textId="0F12A429" w:rsidR="009B7F68" w:rsidRPr="000B141D" w:rsidRDefault="009B7F68" w:rsidP="00D11378">
      <w:pPr>
        <w:pStyle w:val="Heading2"/>
        <w:jc w:val="center"/>
      </w:pPr>
      <w:r>
        <w:t>Proportion of Australians who agree that they “</w:t>
      </w:r>
      <w:r w:rsidR="00EF4086">
        <w:t xml:space="preserve">have to use </w:t>
      </w:r>
      <w:r w:rsidR="00EF47E9">
        <w:t xml:space="preserve">multiple messaging apps”, </w:t>
      </w:r>
      <w:r>
        <w:t xml:space="preserve">per </w:t>
      </w:r>
      <w:r w:rsidR="00EF47E9">
        <w:t>age</w:t>
      </w:r>
      <w:r>
        <w:t xml:space="preserve"> bracket.</w:t>
      </w:r>
    </w:p>
    <w:p w14:paraId="232C502D" w14:textId="0036552A" w:rsidR="00625466" w:rsidRPr="00714C99" w:rsidRDefault="00625466" w:rsidP="006A3C2D">
      <w:pPr>
        <w:jc w:val="center"/>
        <w:rPr>
          <w:rFonts w:ascii="Calibri" w:eastAsia="Times New Roman" w:hAnsi="Calibri" w:cs="Calibri"/>
          <w:color w:val="000000"/>
        </w:rPr>
      </w:pPr>
      <w:r w:rsidRPr="00714C99">
        <w:rPr>
          <w:noProof/>
        </w:rPr>
        <w:drawing>
          <wp:inline distT="0" distB="0" distL="0" distR="0" wp14:anchorId="3F6DD099" wp14:editId="742B7428">
            <wp:extent cx="4572000" cy="2743200"/>
            <wp:effectExtent l="0" t="0" r="0" b="0"/>
            <wp:docPr id="21" name="Chart 21" descr="A bar chart showing that those over 50 were less likely to use multiple messaging apps.">
              <a:extLst xmlns:a="http://schemas.openxmlformats.org/drawingml/2006/main">
                <a:ext uri="{FF2B5EF4-FFF2-40B4-BE49-F238E27FC236}">
                  <a16:creationId xmlns:a16="http://schemas.microsoft.com/office/drawing/2014/main" id="{4162C220-6B53-821F-0AC7-FFE8FE4E9C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3D3B670" w14:textId="496D0DAB" w:rsidR="000D1FF2" w:rsidRPr="00714C99" w:rsidRDefault="000D1FF2" w:rsidP="00E971F2">
      <w:pPr>
        <w:pStyle w:val="Caption"/>
      </w:pPr>
      <w:r w:rsidRPr="00714C99">
        <w:rPr>
          <w:lang w:eastAsia="en-US"/>
        </w:rPr>
        <w:t>Figure 12. Younger people were more likely to agree with the statement that “I have to use multiple messaging apps (e.g., iMessage, Facebook Messenger, Telegram, Snapchat) to stay connected with friends and family”. Source: Ipsos 2022.</w:t>
      </w:r>
    </w:p>
    <w:p w14:paraId="00D741F1" w14:textId="66232678" w:rsidR="00625466" w:rsidRPr="00714C99" w:rsidRDefault="00E02513" w:rsidP="00C96916">
      <w:pPr>
        <w:spacing w:after="0" w:line="240" w:lineRule="auto"/>
        <w:rPr>
          <w:rFonts w:ascii="Calibri" w:eastAsia="Times New Roman" w:hAnsi="Calibri" w:cs="Calibri"/>
          <w:color w:val="000000"/>
        </w:rPr>
      </w:pPr>
      <w:r w:rsidRPr="00714C99">
        <w:t>Many people supported the idea that messaging apps should have greater interoperability.</w:t>
      </w:r>
      <w:r w:rsidR="008D4EC8" w:rsidRPr="00714C99">
        <w:t xml:space="preserve"> </w:t>
      </w:r>
      <w:r w:rsidR="00131F04" w:rsidRPr="00714C99">
        <w:rPr>
          <w:rFonts w:ascii="Calibri" w:eastAsia="Times New Roman" w:hAnsi="Calibri" w:cs="Calibri"/>
          <w:color w:val="000000"/>
        </w:rPr>
        <w:t xml:space="preserve">67% of people agreed that “I would prefer to use a single messaging app (e.g., iMessage, Facebook Messenger, Telegram, Snapchat) to stay connected with friends and family”. </w:t>
      </w:r>
      <w:r w:rsidR="00D36CE8">
        <w:rPr>
          <w:rFonts w:ascii="Calibri" w:eastAsia="Times New Roman" w:hAnsi="Calibri" w:cs="Calibri"/>
          <w:color w:val="000000"/>
        </w:rPr>
        <w:t>M</w:t>
      </w:r>
      <w:r w:rsidR="00625466" w:rsidRPr="00714C99">
        <w:t xml:space="preserve">ore than half (55%) </w:t>
      </w:r>
      <w:r w:rsidR="0075108B" w:rsidRPr="00714C99">
        <w:t xml:space="preserve">of </w:t>
      </w:r>
      <w:r w:rsidR="00C568A8" w:rsidRPr="00714C99">
        <w:t>the peo</w:t>
      </w:r>
      <w:r w:rsidR="008D4EC8" w:rsidRPr="00714C99">
        <w:t xml:space="preserve">ple we asked, </w:t>
      </w:r>
      <w:r w:rsidR="00625466" w:rsidRPr="00714C99">
        <w:t>agree</w:t>
      </w:r>
      <w:r w:rsidR="008D4EC8" w:rsidRPr="00714C99">
        <w:t>d</w:t>
      </w:r>
      <w:r w:rsidR="00625466" w:rsidRPr="00714C99">
        <w:t xml:space="preserve"> that “</w:t>
      </w:r>
      <w:r w:rsidR="00625466" w:rsidRPr="00714C99">
        <w:rPr>
          <w:rFonts w:ascii="Calibri" w:eastAsia="Times New Roman" w:hAnsi="Calibri" w:cs="Calibri"/>
          <w:color w:val="000000"/>
        </w:rPr>
        <w:t>Messaging apps (</w:t>
      </w:r>
      <w:r w:rsidR="00925FAB" w:rsidRPr="00714C99">
        <w:rPr>
          <w:rFonts w:ascii="Calibri" w:eastAsia="Times New Roman" w:hAnsi="Calibri" w:cs="Calibri"/>
          <w:color w:val="000000"/>
        </w:rPr>
        <w:t>e.g.,</w:t>
      </w:r>
      <w:r w:rsidR="00625466" w:rsidRPr="00714C99">
        <w:rPr>
          <w:rFonts w:ascii="Calibri" w:eastAsia="Times New Roman" w:hAnsi="Calibri" w:cs="Calibri"/>
          <w:color w:val="000000"/>
        </w:rPr>
        <w:t xml:space="preserve"> iMessage, FB Messenger, Telegram, Snapchat) should transmit messages to any other messaging apps (</w:t>
      </w:r>
      <w:proofErr w:type="gramStart"/>
      <w:r w:rsidR="00625466" w:rsidRPr="00714C99">
        <w:rPr>
          <w:rFonts w:ascii="Calibri" w:eastAsia="Times New Roman" w:hAnsi="Calibri" w:cs="Calibri"/>
          <w:color w:val="000000"/>
        </w:rPr>
        <w:t>e.g.</w:t>
      </w:r>
      <w:proofErr w:type="gramEnd"/>
      <w:r w:rsidR="00625466" w:rsidRPr="00714C99">
        <w:rPr>
          <w:rFonts w:ascii="Calibri" w:eastAsia="Times New Roman" w:hAnsi="Calibri" w:cs="Calibri"/>
          <w:color w:val="000000"/>
        </w:rPr>
        <w:t xml:space="preserve"> like email/SMS can send messages to anyone, regardless of platform/provider)</w:t>
      </w:r>
      <w:r w:rsidR="00625466" w:rsidRPr="00714C99">
        <w:t>”</w:t>
      </w:r>
      <w:r w:rsidR="008D4EC8" w:rsidRPr="00714C99">
        <w:t>.</w:t>
      </w:r>
      <w:r w:rsidR="00FB7E56" w:rsidRPr="00714C99">
        <w:t xml:space="preserve"> </w:t>
      </w:r>
      <w:r w:rsidR="00D965D9" w:rsidRPr="00714C99">
        <w:t xml:space="preserve">As the graph below shows, </w:t>
      </w:r>
      <w:r w:rsidR="00B26CA1" w:rsidRPr="00714C99">
        <w:t xml:space="preserve">younger people, who are more likely to use multiple messaging apps were also more likely to </w:t>
      </w:r>
      <w:r w:rsidR="00195035" w:rsidRPr="00714C99">
        <w:t>want greater interoperability between apps.</w:t>
      </w:r>
      <w:r w:rsidR="00FF1B2B">
        <w:t xml:space="preserve"> This could</w:t>
      </w:r>
      <w:r w:rsidR="008630DF">
        <w:t xml:space="preserve"> suggest that </w:t>
      </w:r>
      <w:r w:rsidR="00BF12AC">
        <w:t>some people feel compelled into using multiple aps because of a lack of interoperability.</w:t>
      </w:r>
    </w:p>
    <w:p w14:paraId="5DA7B314" w14:textId="77777777" w:rsidR="00625466" w:rsidRDefault="00625466" w:rsidP="009D1C0E"/>
    <w:p w14:paraId="4AB982E5" w14:textId="3DD940AC" w:rsidR="00EF47E9" w:rsidRPr="000B141D" w:rsidRDefault="00EF47E9" w:rsidP="00D11378">
      <w:pPr>
        <w:pStyle w:val="Heading2"/>
        <w:jc w:val="center"/>
      </w:pPr>
      <w:r>
        <w:t>Proportion of Australians who agree that “</w:t>
      </w:r>
      <w:r w:rsidR="0037148B">
        <w:t>messaging</w:t>
      </w:r>
      <w:r>
        <w:t xml:space="preserve"> apps </w:t>
      </w:r>
      <w:r w:rsidR="0037148B">
        <w:t>should transmit messages to any other messaging apps</w:t>
      </w:r>
      <w:r>
        <w:t>”, per age bracket.</w:t>
      </w:r>
    </w:p>
    <w:p w14:paraId="2EDDB18F" w14:textId="0E2B7A7E" w:rsidR="00625466" w:rsidRPr="00714C99" w:rsidRDefault="00625466" w:rsidP="006A3C2D">
      <w:pPr>
        <w:jc w:val="center"/>
        <w:rPr>
          <w:rFonts w:ascii="Calibri" w:eastAsia="Times New Roman" w:hAnsi="Calibri" w:cs="Calibri"/>
          <w:color w:val="000000"/>
        </w:rPr>
      </w:pPr>
      <w:r w:rsidRPr="00714C99">
        <w:rPr>
          <w:noProof/>
        </w:rPr>
        <w:drawing>
          <wp:inline distT="0" distB="0" distL="0" distR="0" wp14:anchorId="75B4BDF7" wp14:editId="345D036B">
            <wp:extent cx="4572000" cy="2746375"/>
            <wp:effectExtent l="0" t="0" r="0" b="15875"/>
            <wp:docPr id="22" name="Chart 22" descr="A bar chart showing that Adults up to the age of 50 were more likely to agree with the statement that “Messaging apps should transmit messages to any other messaging apps”">
              <a:extLst xmlns:a="http://schemas.openxmlformats.org/drawingml/2006/main">
                <a:ext uri="{FF2B5EF4-FFF2-40B4-BE49-F238E27FC236}">
                  <a16:creationId xmlns:a16="http://schemas.microsoft.com/office/drawing/2014/main" id="{DEA3C68C-7D8E-93F4-1E34-36656C77BF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506F689" w14:textId="2D560FA9" w:rsidR="00625466" w:rsidRPr="00714C99" w:rsidRDefault="000D1FF2" w:rsidP="00E971F2">
      <w:pPr>
        <w:pStyle w:val="Caption"/>
      </w:pPr>
      <w:r w:rsidRPr="00714C99">
        <w:rPr>
          <w:lang w:eastAsia="en-US"/>
        </w:rPr>
        <w:t>Figure 1</w:t>
      </w:r>
      <w:r w:rsidR="00C72DE1" w:rsidRPr="00714C99">
        <w:rPr>
          <w:lang w:eastAsia="en-US"/>
        </w:rPr>
        <w:t>3</w:t>
      </w:r>
      <w:r w:rsidRPr="00714C99">
        <w:rPr>
          <w:lang w:eastAsia="en-US"/>
        </w:rPr>
        <w:t xml:space="preserve">. </w:t>
      </w:r>
      <w:r w:rsidR="00FB7FBD" w:rsidRPr="00714C99">
        <w:rPr>
          <w:lang w:eastAsia="en-US"/>
        </w:rPr>
        <w:t xml:space="preserve">Adults </w:t>
      </w:r>
      <w:r w:rsidR="000725B0" w:rsidRPr="00714C99">
        <w:rPr>
          <w:lang w:eastAsia="en-US"/>
        </w:rPr>
        <w:t>up to the age of 50</w:t>
      </w:r>
      <w:r w:rsidR="00FB7FBD" w:rsidRPr="00714C99">
        <w:rPr>
          <w:lang w:eastAsia="en-US"/>
        </w:rPr>
        <w:t xml:space="preserve"> </w:t>
      </w:r>
      <w:r w:rsidRPr="00714C99">
        <w:rPr>
          <w:lang w:eastAsia="en-US"/>
        </w:rPr>
        <w:t>were more likely to agree with the statement that “</w:t>
      </w:r>
      <w:r w:rsidR="00FB7FBD" w:rsidRPr="00714C99">
        <w:rPr>
          <w:lang w:eastAsia="en-US"/>
        </w:rPr>
        <w:t>Messaging apps should transmit messages to any other messaging apps</w:t>
      </w:r>
      <w:r w:rsidRPr="00714C99">
        <w:rPr>
          <w:lang w:eastAsia="en-US"/>
        </w:rPr>
        <w:t>”. Source: Ipsos 2022.</w:t>
      </w:r>
    </w:p>
    <w:p w14:paraId="39D6BFD2" w14:textId="374898AA" w:rsidR="00625466" w:rsidRDefault="00195035" w:rsidP="00C96916">
      <w:pPr>
        <w:rPr>
          <w:rFonts w:ascii="Calibri" w:eastAsia="Times New Roman" w:hAnsi="Calibri" w:cs="Calibri"/>
          <w:color w:val="000000"/>
        </w:rPr>
      </w:pPr>
      <w:r w:rsidRPr="00714C99">
        <w:rPr>
          <w:rFonts w:ascii="Calibri" w:eastAsia="Times New Roman" w:hAnsi="Calibri" w:cs="Calibri"/>
          <w:color w:val="000000"/>
        </w:rPr>
        <w:t xml:space="preserve">We also found that </w:t>
      </w:r>
      <w:r w:rsidR="001E0791" w:rsidRPr="00714C99">
        <w:rPr>
          <w:rFonts w:ascii="Calibri" w:eastAsia="Times New Roman" w:hAnsi="Calibri" w:cs="Calibri"/>
          <w:color w:val="000000"/>
        </w:rPr>
        <w:t xml:space="preserve">people in the country were more likely to want greater interoperability </w:t>
      </w:r>
      <w:r w:rsidR="00BE6FCE" w:rsidRPr="00714C99">
        <w:rPr>
          <w:rFonts w:ascii="Calibri" w:eastAsia="Times New Roman" w:hAnsi="Calibri" w:cs="Calibri"/>
          <w:color w:val="000000"/>
        </w:rPr>
        <w:t>between</w:t>
      </w:r>
      <w:r w:rsidR="001E0791" w:rsidRPr="00714C99">
        <w:rPr>
          <w:rFonts w:ascii="Calibri" w:eastAsia="Times New Roman" w:hAnsi="Calibri" w:cs="Calibri"/>
          <w:color w:val="000000"/>
        </w:rPr>
        <w:t xml:space="preserve"> their messaging apps.</w:t>
      </w:r>
      <w:r w:rsidR="00BE6FCE" w:rsidRPr="00714C99">
        <w:rPr>
          <w:rFonts w:ascii="Calibri" w:eastAsia="Times New Roman" w:hAnsi="Calibri" w:cs="Calibri"/>
          <w:color w:val="000000"/>
        </w:rPr>
        <w:t xml:space="preserve"> </w:t>
      </w:r>
      <w:r w:rsidR="00DD761A" w:rsidRPr="00714C99">
        <w:rPr>
          <w:rFonts w:ascii="Calibri" w:eastAsia="Times New Roman" w:hAnsi="Calibri" w:cs="Calibri"/>
          <w:color w:val="000000"/>
        </w:rPr>
        <w:t xml:space="preserve">61% of people who lived </w:t>
      </w:r>
      <w:r w:rsidR="00434296" w:rsidRPr="00714C99">
        <w:rPr>
          <w:rFonts w:ascii="Calibri" w:eastAsia="Times New Roman" w:hAnsi="Calibri" w:cs="Calibri"/>
          <w:color w:val="000000"/>
        </w:rPr>
        <w:t xml:space="preserve">more </w:t>
      </w:r>
      <w:r w:rsidR="00DD761A" w:rsidRPr="00714C99">
        <w:rPr>
          <w:rFonts w:ascii="Calibri" w:eastAsia="Times New Roman" w:hAnsi="Calibri" w:cs="Calibri"/>
          <w:color w:val="000000"/>
        </w:rPr>
        <w:t>than 5km</w:t>
      </w:r>
      <w:r w:rsidR="00996812" w:rsidRPr="00714C99">
        <w:rPr>
          <w:rFonts w:ascii="Calibri" w:eastAsia="Times New Roman" w:hAnsi="Calibri" w:cs="Calibri"/>
          <w:color w:val="000000"/>
        </w:rPr>
        <w:t xml:space="preserve">s from the nearest town think that messaging apps should be interoperable compared to 55% of people in a capital city. </w:t>
      </w:r>
    </w:p>
    <w:p w14:paraId="55240998" w14:textId="0E244BBC" w:rsidR="009F6F2A" w:rsidRPr="000B141D" w:rsidRDefault="009F6F2A" w:rsidP="00D11378">
      <w:pPr>
        <w:pStyle w:val="Heading2"/>
        <w:jc w:val="center"/>
      </w:pPr>
      <w:r>
        <w:t>Proportion of Australians who agree that “messaging apps should transmit messages to any other messaging apps”, per geographic bracket.</w:t>
      </w:r>
    </w:p>
    <w:p w14:paraId="5756ED1C" w14:textId="5D78F661" w:rsidR="00625466" w:rsidRPr="00714C99" w:rsidRDefault="00625466" w:rsidP="00BE6FCE">
      <w:pPr>
        <w:jc w:val="center"/>
        <w:rPr>
          <w:rFonts w:ascii="Calibri" w:eastAsia="Times New Roman" w:hAnsi="Calibri" w:cs="Calibri"/>
          <w:color w:val="000000"/>
        </w:rPr>
      </w:pPr>
      <w:r w:rsidRPr="00714C99">
        <w:rPr>
          <w:noProof/>
        </w:rPr>
        <w:drawing>
          <wp:inline distT="0" distB="0" distL="0" distR="0" wp14:anchorId="0490BCBC" wp14:editId="754F283C">
            <wp:extent cx="4572000" cy="2743200"/>
            <wp:effectExtent l="0" t="0" r="0" b="0"/>
            <wp:docPr id="24" name="Chart 24" descr="A bar chart showing that people in a “rural town or its surrounds” or “more than 5km from the nearest town” were more likely to agree with the statement that “Messaging apps should transmit messages to any other messaging apps”. ">
              <a:extLst xmlns:a="http://schemas.openxmlformats.org/drawingml/2006/main">
                <a:ext uri="{FF2B5EF4-FFF2-40B4-BE49-F238E27FC236}">
                  <a16:creationId xmlns:a16="http://schemas.microsoft.com/office/drawing/2014/main" id="{049568B6-28FF-DFBB-66CD-A80336B2BD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62B8F34" w14:textId="2AB209F7" w:rsidR="00C72DE1" w:rsidRPr="00374B1F" w:rsidRDefault="00C72DE1" w:rsidP="00374B1F">
      <w:pPr>
        <w:pStyle w:val="Caption"/>
        <w:rPr>
          <w:lang w:eastAsia="en-US"/>
        </w:rPr>
      </w:pPr>
      <w:r w:rsidRPr="00714C99">
        <w:rPr>
          <w:lang w:eastAsia="en-US"/>
        </w:rPr>
        <w:t>Figure 14. People in</w:t>
      </w:r>
      <w:r w:rsidR="00353245">
        <w:rPr>
          <w:lang w:eastAsia="en-US"/>
        </w:rPr>
        <w:t xml:space="preserve"> a </w:t>
      </w:r>
      <w:r w:rsidR="00275A17">
        <w:rPr>
          <w:lang w:eastAsia="en-US"/>
        </w:rPr>
        <w:t>“</w:t>
      </w:r>
      <w:r w:rsidR="00353245">
        <w:rPr>
          <w:lang w:eastAsia="en-US"/>
        </w:rPr>
        <w:t>rural town</w:t>
      </w:r>
      <w:r w:rsidR="00167DFD">
        <w:rPr>
          <w:lang w:eastAsia="en-US"/>
        </w:rPr>
        <w:t xml:space="preserve"> or its surrounds</w:t>
      </w:r>
      <w:r w:rsidR="00275A17">
        <w:rPr>
          <w:lang w:eastAsia="en-US"/>
        </w:rPr>
        <w:t>”</w:t>
      </w:r>
      <w:r w:rsidR="00167DFD">
        <w:rPr>
          <w:lang w:eastAsia="en-US"/>
        </w:rPr>
        <w:t xml:space="preserve"> or </w:t>
      </w:r>
      <w:r w:rsidR="00275A17">
        <w:rPr>
          <w:lang w:eastAsia="en-US"/>
        </w:rPr>
        <w:t>“</w:t>
      </w:r>
      <w:r w:rsidR="00167DFD">
        <w:rPr>
          <w:lang w:eastAsia="en-US"/>
        </w:rPr>
        <w:t>more than 5km from the nearest town</w:t>
      </w:r>
      <w:r w:rsidR="00275A17">
        <w:rPr>
          <w:lang w:eastAsia="en-US"/>
        </w:rPr>
        <w:t>”</w:t>
      </w:r>
      <w:r w:rsidRPr="00714C99">
        <w:rPr>
          <w:lang w:eastAsia="en-US"/>
        </w:rPr>
        <w:t xml:space="preserve"> were more likely to agree with the statement that “Messaging apps should transmit messages to any other messaging apps”. Source: Ipsos 2022.</w:t>
      </w:r>
    </w:p>
    <w:p w14:paraId="6DD458D1" w14:textId="5141D8EB" w:rsidR="008E5197" w:rsidRDefault="008E5197" w:rsidP="00C96916">
      <w:pPr>
        <w:rPr>
          <w:rFonts w:ascii="Calibri" w:eastAsia="Times New Roman" w:hAnsi="Calibri" w:cs="Calibri"/>
          <w:color w:val="000000"/>
        </w:rPr>
      </w:pPr>
      <w:r w:rsidRPr="00714C99">
        <w:rPr>
          <w:rFonts w:ascii="Calibri" w:eastAsia="Times New Roman" w:hAnsi="Calibri" w:cs="Calibri"/>
          <w:color w:val="000000"/>
        </w:rPr>
        <w:t>74% of people who live more than 5kms from the nearest town would prefer to use a single messaging app compared to 67% in a capital city.</w:t>
      </w:r>
    </w:p>
    <w:p w14:paraId="4EFFB410" w14:textId="6474CCAA" w:rsidR="003142B2" w:rsidRPr="000B141D" w:rsidRDefault="003142B2" w:rsidP="00D11378">
      <w:pPr>
        <w:pStyle w:val="Heading2"/>
        <w:jc w:val="center"/>
      </w:pPr>
      <w:r>
        <w:t>Proportion of Australians who agree that they would “prefer to use a single messaging app”, per geographic bracket.</w:t>
      </w:r>
    </w:p>
    <w:p w14:paraId="7CDA0B8D" w14:textId="703CBFC9" w:rsidR="00D83B2E" w:rsidRPr="00714C99" w:rsidRDefault="00163F86" w:rsidP="00BE6FCE">
      <w:pPr>
        <w:jc w:val="center"/>
      </w:pPr>
      <w:r w:rsidRPr="00714C99">
        <w:rPr>
          <w:noProof/>
        </w:rPr>
        <w:drawing>
          <wp:inline distT="0" distB="0" distL="0" distR="0" wp14:anchorId="09DBDEEA" wp14:editId="186A9956">
            <wp:extent cx="4572000" cy="2743200"/>
            <wp:effectExtent l="0" t="0" r="0" b="0"/>
            <wp:docPr id="25" name="Chart 25" descr="A bar chart showing that people in a “rural town or its surrounds” or “more than 5km from the nearest town” were more likely to agree with the statement that “I would prefer to use a single messaging app (e.g., iMessage, Facebook Messenger, Telegram, Snapchat) to stay connected with friends and family”. ">
              <a:extLst xmlns:a="http://schemas.openxmlformats.org/drawingml/2006/main">
                <a:ext uri="{FF2B5EF4-FFF2-40B4-BE49-F238E27FC236}">
                  <a16:creationId xmlns:a16="http://schemas.microsoft.com/office/drawing/2014/main" id="{B749DF4C-2029-8821-F637-C78D176E62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78DC342" w14:textId="3B57A6D0" w:rsidR="00EB3F3A" w:rsidRPr="00714C99" w:rsidRDefault="00A24E81" w:rsidP="00E971F2">
      <w:pPr>
        <w:pStyle w:val="Caption"/>
      </w:pPr>
      <w:r w:rsidRPr="00714C99">
        <w:rPr>
          <w:lang w:eastAsia="en-US"/>
        </w:rPr>
        <w:t xml:space="preserve">Figure 15. People in </w:t>
      </w:r>
      <w:r w:rsidR="00A82084">
        <w:rPr>
          <w:lang w:eastAsia="en-US"/>
        </w:rPr>
        <w:t>a “rural town or its surrounds” or “more than 5km from the nearest town”</w:t>
      </w:r>
      <w:r w:rsidR="00A82084" w:rsidRPr="00714C99">
        <w:rPr>
          <w:lang w:eastAsia="en-US"/>
        </w:rPr>
        <w:t xml:space="preserve"> </w:t>
      </w:r>
      <w:r w:rsidRPr="00714C99">
        <w:rPr>
          <w:lang w:eastAsia="en-US"/>
        </w:rPr>
        <w:t>were more likely to agree with the statement that “I would prefer to use a single messaging app (e.g., iMessage, Facebook Messenger, Telegram, Snapchat) to stay connected with friends and family”. Source: Ipsos 2022.</w:t>
      </w:r>
    </w:p>
    <w:p w14:paraId="05215A68" w14:textId="77777777" w:rsidR="00EB3F3A" w:rsidRPr="00714C99" w:rsidRDefault="00EB3F3A" w:rsidP="00C96916">
      <w:r w:rsidRPr="00714C99">
        <w:t xml:space="preserve">An issue related to interoperability is data portability. Data portability recognises that consumers own their data, and they should reasonably be able to transfer it between comparable services as they choose. Data portability can contribute to a more competitive digital platform market by allowing users to switch services more easily. For example, consumers could keep their music playlist data when switching between music streaming services or move their photos between different photo apps. </w:t>
      </w:r>
    </w:p>
    <w:p w14:paraId="622A3C7D" w14:textId="1D622ADA" w:rsidR="00EB3F3A" w:rsidRPr="00714C99" w:rsidRDefault="00EB3F3A" w:rsidP="00C96916">
      <w:r w:rsidRPr="00714C99">
        <w:t>The large digital platforms are aware that consumers want greater choice with the services they use and desire the removal of barriers to switching services or leaving a platform. As Google wrote recently, people “want the freedom to be able to use different online services without worrying about losing their photos, contacts, emails and other data if they close an account or switch to a new company”.</w:t>
      </w:r>
      <w:r w:rsidR="007F74BB" w:rsidRPr="00714C99">
        <w:rPr>
          <w:rStyle w:val="FootnoteReference"/>
        </w:rPr>
        <w:footnoteReference w:id="21"/>
      </w:r>
      <w:r w:rsidRPr="00714C99">
        <w:t xml:space="preserve">  Meta also recently outlined its attempts to give “people more control and choice over their data”.</w:t>
      </w:r>
      <w:r w:rsidR="00A7538A" w:rsidRPr="00714C99">
        <w:rPr>
          <w:rStyle w:val="FootnoteReference"/>
        </w:rPr>
        <w:footnoteReference w:id="22"/>
      </w:r>
      <w:r w:rsidRPr="00714C99">
        <w:t xml:space="preserve"> These observations were both accompanied by announcements of further efforts to foster data portability between digital platforms. Both </w:t>
      </w:r>
      <w:r w:rsidR="007D43D3">
        <w:t>Google and Meta</w:t>
      </w:r>
      <w:r w:rsidRPr="00714C99">
        <w:t xml:space="preserve"> have participated in efforts such as the Data Transfer Project (DTP) for several years. </w:t>
      </w:r>
      <w:r w:rsidR="007D43D3">
        <w:t>However, years later,</w:t>
      </w:r>
      <w:r w:rsidRPr="00714C99">
        <w:t xml:space="preserve"> the </w:t>
      </w:r>
      <w:r w:rsidR="007D43D3">
        <w:t>DTP product</w:t>
      </w:r>
      <w:r w:rsidRPr="00714C99">
        <w:t xml:space="preserve"> is “still in development”.</w:t>
      </w:r>
      <w:r w:rsidR="009115CB" w:rsidRPr="00714C99">
        <w:rPr>
          <w:rStyle w:val="FootnoteReference"/>
        </w:rPr>
        <w:footnoteReference w:id="23"/>
      </w:r>
      <w:r w:rsidRPr="00714C99">
        <w:t xml:space="preserve"> In </w:t>
      </w:r>
      <w:r w:rsidR="00396248">
        <w:t>a</w:t>
      </w:r>
      <w:r w:rsidRPr="00714C99">
        <w:t xml:space="preserve"> recent post on data portability, Meta argues that “the ecosystem we are building to support data portability will not come to fruition without regulation that clarifies which</w:t>
      </w:r>
      <w:r w:rsidR="00352792">
        <w:t xml:space="preserve"> </w:t>
      </w:r>
      <w:r w:rsidRPr="00714C99">
        <w:t>data should be made portable and who is responsible for protecting data once it has been transferred”.</w:t>
      </w:r>
      <w:r w:rsidR="00DD32E1" w:rsidRPr="00714C99">
        <w:rPr>
          <w:rStyle w:val="FootnoteReference"/>
        </w:rPr>
        <w:footnoteReference w:id="24"/>
      </w:r>
    </w:p>
    <w:p w14:paraId="0F03E825" w14:textId="05329ECB" w:rsidR="00163F86" w:rsidRDefault="009D4566" w:rsidP="00C96916">
      <w:r w:rsidRPr="00714C99">
        <w:t>When we asked</w:t>
      </w:r>
      <w:r w:rsidR="008B652E">
        <w:t xml:space="preserve">, people </w:t>
      </w:r>
      <w:r w:rsidR="00AE153C">
        <w:t>were supportive of data portability.</w:t>
      </w:r>
      <w:r w:rsidRPr="00714C99">
        <w:t xml:space="preserve"> </w:t>
      </w:r>
      <w:r w:rsidR="00163F86" w:rsidRPr="00714C99">
        <w:t>66% of respondents agree</w:t>
      </w:r>
      <w:r w:rsidRPr="00714C99">
        <w:t>d</w:t>
      </w:r>
      <w:r w:rsidR="00163F86" w:rsidRPr="00714C99">
        <w:t xml:space="preserve"> that “</w:t>
      </w:r>
      <w:r w:rsidR="00163F86" w:rsidRPr="00714C99">
        <w:rPr>
          <w:rFonts w:ascii="Calibri" w:eastAsia="Times New Roman" w:hAnsi="Calibri" w:cs="Calibri"/>
          <w:color w:val="000000"/>
        </w:rPr>
        <w:t>People should be able to move their social media account easily to other social media platforms</w:t>
      </w:r>
      <w:r w:rsidR="00163F86" w:rsidRPr="00714C99">
        <w:t>”</w:t>
      </w:r>
      <w:r w:rsidR="00F526A8" w:rsidRPr="00714C99">
        <w:t>.</w:t>
      </w:r>
      <w:r w:rsidR="00D44284">
        <w:t xml:space="preserve"> 71% of</w:t>
      </w:r>
      <w:r w:rsidR="00296DAA" w:rsidRPr="00714C99">
        <w:t xml:space="preserve"> </w:t>
      </w:r>
      <w:r w:rsidR="00D44284">
        <w:t>y</w:t>
      </w:r>
      <w:r w:rsidR="00296DAA" w:rsidRPr="00714C99">
        <w:t xml:space="preserve">oung people were especially supportive of the </w:t>
      </w:r>
      <w:r w:rsidR="00203621" w:rsidRPr="00714C99">
        <w:t>ability to move accounts between social media platforms</w:t>
      </w:r>
      <w:r w:rsidR="002B7270" w:rsidRPr="00714C99">
        <w:t>.</w:t>
      </w:r>
      <w:r w:rsidR="00F526A8" w:rsidRPr="00714C99">
        <w:t xml:space="preserve"> Many</w:t>
      </w:r>
      <w:r w:rsidR="00296DAA" w:rsidRPr="00714C99">
        <w:t xml:space="preserve"> people</w:t>
      </w:r>
      <w:r w:rsidR="00F526A8" w:rsidRPr="00714C99">
        <w:t xml:space="preserve"> (21%) were unsure</w:t>
      </w:r>
      <w:r w:rsidR="00BB440E" w:rsidRPr="00714C99">
        <w:t>, i</w:t>
      </w:r>
      <w:r w:rsidR="00F526A8" w:rsidRPr="00714C99">
        <w:t>ndicating a need for more consumer consultation and education, particular for older people. 31% of people over 50 were unsure.</w:t>
      </w:r>
    </w:p>
    <w:p w14:paraId="0967E65A" w14:textId="78FC606F" w:rsidR="006A0903" w:rsidRPr="00DE6A34" w:rsidRDefault="00BB6D3E" w:rsidP="001370BB">
      <w:pPr>
        <w:pStyle w:val="Heading2"/>
        <w:jc w:val="center"/>
      </w:pPr>
      <w:r>
        <w:t>Proportion of Australians who agree that “people should be able to move their social media account”, per age bracket.</w:t>
      </w:r>
    </w:p>
    <w:p w14:paraId="2B0ADBF3" w14:textId="2AF72902" w:rsidR="00F526A8" w:rsidRPr="00714C99" w:rsidRDefault="00F526A8" w:rsidP="006A3C2D">
      <w:pPr>
        <w:jc w:val="center"/>
        <w:rPr>
          <w:rFonts w:ascii="Calibri" w:eastAsia="Times New Roman" w:hAnsi="Calibri" w:cs="Calibri"/>
          <w:color w:val="000000"/>
        </w:rPr>
      </w:pPr>
      <w:r w:rsidRPr="00714C99">
        <w:rPr>
          <w:noProof/>
        </w:rPr>
        <w:drawing>
          <wp:inline distT="0" distB="0" distL="0" distR="0" wp14:anchorId="228418B3" wp14:editId="16FCBBE3">
            <wp:extent cx="4572000" cy="2740025"/>
            <wp:effectExtent l="0" t="0" r="0" b="3175"/>
            <wp:docPr id="26" name="Chart 26" descr="A bar chart showing responses to the question “people should be able to move their social media account easily to other social media platforms&quot;. People aged 18 to 29 or 30 to 49 were more likely to agree with the question. People over 50 were more unsure than the other cohorts.">
              <a:extLst xmlns:a="http://schemas.openxmlformats.org/drawingml/2006/main">
                <a:ext uri="{FF2B5EF4-FFF2-40B4-BE49-F238E27FC236}">
                  <a16:creationId xmlns:a16="http://schemas.microsoft.com/office/drawing/2014/main" id="{723DA594-5AFE-CCA2-8F71-343061DABF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3248A9C" w14:textId="661CD2FD" w:rsidR="00A24E81" w:rsidRPr="00714C99" w:rsidRDefault="00A24E81" w:rsidP="00E971F2">
      <w:pPr>
        <w:pStyle w:val="Caption"/>
      </w:pPr>
      <w:r w:rsidRPr="00714C99">
        <w:rPr>
          <w:lang w:eastAsia="en-US"/>
        </w:rPr>
        <w:t xml:space="preserve">Figure 16. </w:t>
      </w:r>
      <w:r w:rsidR="00E13443" w:rsidRPr="00714C99">
        <w:rPr>
          <w:lang w:eastAsia="en-US"/>
        </w:rPr>
        <w:t xml:space="preserve">Adults up to the age of 50 were more likely to agree with the statement that </w:t>
      </w:r>
      <w:r w:rsidRPr="00714C99">
        <w:rPr>
          <w:lang w:eastAsia="en-US"/>
        </w:rPr>
        <w:t>“</w:t>
      </w:r>
      <w:r w:rsidR="00E13443" w:rsidRPr="00714C99">
        <w:rPr>
          <w:lang w:eastAsia="en-US"/>
        </w:rPr>
        <w:t>People should be able to move their social media account easily to other social media platforms</w:t>
      </w:r>
      <w:r w:rsidRPr="00714C99">
        <w:rPr>
          <w:lang w:eastAsia="en-US"/>
        </w:rPr>
        <w:t>”. Source: Ipsos 2022.</w:t>
      </w:r>
    </w:p>
    <w:p w14:paraId="1BC0D1FC" w14:textId="6472A343" w:rsidR="009626B3" w:rsidRPr="00714C99" w:rsidRDefault="001750E9" w:rsidP="00EA36A0">
      <w:pPr>
        <w:pStyle w:val="Heading3"/>
        <w:rPr>
          <w:lang w:val="en-AU"/>
        </w:rPr>
      </w:pPr>
      <w:r w:rsidRPr="00714C99">
        <w:rPr>
          <w:lang w:val="en-AU"/>
        </w:rPr>
        <w:t>What is ACCAN doing about it?</w:t>
      </w:r>
    </w:p>
    <w:p w14:paraId="1EB34232" w14:textId="3EF62566" w:rsidR="00080461" w:rsidRPr="00714C99" w:rsidRDefault="00562409" w:rsidP="00C96916">
      <w:r w:rsidRPr="00714C99">
        <w:t xml:space="preserve">ACCAN continues to advocate for </w:t>
      </w:r>
      <w:r w:rsidR="00913EEE" w:rsidRPr="00714C99">
        <w:t xml:space="preserve">greater choice for consumers. </w:t>
      </w:r>
      <w:r w:rsidR="00B61B11">
        <w:t xml:space="preserve">In </w:t>
      </w:r>
      <w:r w:rsidR="00BE6BF7">
        <w:t xml:space="preserve">a recent submission to the ACCC </w:t>
      </w:r>
      <w:r w:rsidR="003B0F4E">
        <w:t>we</w:t>
      </w:r>
      <w:r w:rsidR="00913EEE" w:rsidRPr="00714C99">
        <w:t xml:space="preserve"> </w:t>
      </w:r>
      <w:r w:rsidR="00E03A9B">
        <w:t>urged</w:t>
      </w:r>
      <w:r w:rsidR="006155E6">
        <w:t xml:space="preserve"> stakeholders</w:t>
      </w:r>
      <w:r w:rsidR="00EF6C6F">
        <w:t>, like digital platforms,</w:t>
      </w:r>
      <w:r w:rsidR="00913EEE" w:rsidRPr="00714C99">
        <w:t xml:space="preserve"> to develop</w:t>
      </w:r>
      <w:r w:rsidR="00EF6C6F">
        <w:t xml:space="preserve"> and adopt</w:t>
      </w:r>
      <w:r w:rsidR="00DA12B5" w:rsidRPr="00714C99">
        <w:t xml:space="preserve"> </w:t>
      </w:r>
      <w:r w:rsidR="00175F44" w:rsidRPr="00714C99">
        <w:t>effective</w:t>
      </w:r>
      <w:r w:rsidR="00DA12B5" w:rsidRPr="00714C99">
        <w:t xml:space="preserve"> </w:t>
      </w:r>
      <w:r w:rsidR="000F22E6" w:rsidRPr="00714C99">
        <w:t>interoperability and data portability mechanisms</w:t>
      </w:r>
      <w:r w:rsidR="002F5447">
        <w:t>.</w:t>
      </w:r>
      <w:r w:rsidR="000A1269">
        <w:rPr>
          <w:rStyle w:val="FootnoteReference"/>
        </w:rPr>
        <w:footnoteReference w:id="25"/>
      </w:r>
      <w:r w:rsidR="002F5447">
        <w:t xml:space="preserve"> Th</w:t>
      </w:r>
      <w:r w:rsidR="000B0519">
        <w:t>ese mechanisms</w:t>
      </w:r>
      <w:r w:rsidR="000A2D59">
        <w:t xml:space="preserve"> could help </w:t>
      </w:r>
      <w:r w:rsidR="000F22E6" w:rsidRPr="00714C99">
        <w:t>facilitate meaningful consumer choice in the market.</w:t>
      </w:r>
      <w:r w:rsidR="0045623A" w:rsidRPr="00714C99">
        <w:t xml:space="preserve"> </w:t>
      </w:r>
      <w:r w:rsidR="0043484A">
        <w:t xml:space="preserve">Given the number of </w:t>
      </w:r>
      <w:r w:rsidR="00383202">
        <w:t xml:space="preserve">older people who were unsure about </w:t>
      </w:r>
      <w:r w:rsidR="00984B30">
        <w:t>competition measures like data portability ACCAN is considering methods to consult with and inform consumers</w:t>
      </w:r>
      <w:r w:rsidR="0084158C">
        <w:t xml:space="preserve"> on this issue</w:t>
      </w:r>
      <w:r w:rsidR="00984B30">
        <w:t>.</w:t>
      </w:r>
    </w:p>
    <w:p w14:paraId="64477033" w14:textId="05A9FAEB" w:rsidR="00080461" w:rsidRPr="00714C99" w:rsidRDefault="00080461" w:rsidP="00080461">
      <w:pPr>
        <w:pStyle w:val="Heading1"/>
      </w:pPr>
      <w:r w:rsidRPr="00714C99">
        <w:t>Conclusion</w:t>
      </w:r>
    </w:p>
    <w:p w14:paraId="3E017C6A" w14:textId="7C9434E4" w:rsidR="00BC4593" w:rsidRDefault="00313A88" w:rsidP="00C96916">
      <w:r w:rsidRPr="00714C99">
        <w:t>ACCAN’s re</w:t>
      </w:r>
      <w:r w:rsidR="00572DA8" w:rsidRPr="00714C99">
        <w:t xml:space="preserve">search </w:t>
      </w:r>
      <w:r w:rsidR="00AF5D69" w:rsidRPr="00714C99">
        <w:t>found tha</w:t>
      </w:r>
      <w:r w:rsidR="007F79A3" w:rsidRPr="00714C99">
        <w:t xml:space="preserve">t </w:t>
      </w:r>
      <w:r w:rsidR="00BF01B9" w:rsidRPr="00714C99">
        <w:t xml:space="preserve">consumers expect more from digital platforms. </w:t>
      </w:r>
      <w:r w:rsidR="00BB380B">
        <w:t>We found that:</w:t>
      </w:r>
    </w:p>
    <w:p w14:paraId="6C69DF83" w14:textId="77777777" w:rsidR="00086A95" w:rsidRDefault="001C4607" w:rsidP="00C96916">
      <w:pPr>
        <w:pStyle w:val="ListParagraph"/>
        <w:numPr>
          <w:ilvl w:val="0"/>
          <w:numId w:val="43"/>
        </w:numPr>
      </w:pPr>
      <w:r w:rsidRPr="00714C99">
        <w:t xml:space="preserve">More needs to be done </w:t>
      </w:r>
      <w:r w:rsidR="00024857" w:rsidRPr="00714C99">
        <w:t xml:space="preserve">so </w:t>
      </w:r>
      <w:r w:rsidR="00DD0466" w:rsidRPr="00714C99">
        <w:t>that people can more easily</w:t>
      </w:r>
      <w:r w:rsidR="00024857" w:rsidRPr="00714C99">
        <w:t xml:space="preserve"> </w:t>
      </w:r>
      <w:r w:rsidR="00B80F6B" w:rsidRPr="00714C99">
        <w:t>change their privacy settings</w:t>
      </w:r>
      <w:r w:rsidR="00024857" w:rsidRPr="00714C99">
        <w:t xml:space="preserve">. </w:t>
      </w:r>
    </w:p>
    <w:p w14:paraId="738D0115" w14:textId="77777777" w:rsidR="00086A95" w:rsidRDefault="00024857" w:rsidP="00C96916">
      <w:pPr>
        <w:pStyle w:val="ListParagraph"/>
        <w:numPr>
          <w:ilvl w:val="0"/>
          <w:numId w:val="43"/>
        </w:numPr>
      </w:pPr>
      <w:r w:rsidRPr="00714C99">
        <w:t xml:space="preserve">Consumers expect </w:t>
      </w:r>
      <w:r w:rsidR="001E1D56" w:rsidRPr="00714C99">
        <w:t xml:space="preserve">digital platforms to do more </w:t>
      </w:r>
      <w:r w:rsidR="0037467B" w:rsidRPr="00714C99">
        <w:t xml:space="preserve">to </w:t>
      </w:r>
      <w:r w:rsidR="001E1D56" w:rsidRPr="00714C99">
        <w:t>reduce scams and most consumers expect app stores to offer trustworthy apps.</w:t>
      </w:r>
      <w:r w:rsidR="00AE337D" w:rsidRPr="00714C99">
        <w:t xml:space="preserve"> </w:t>
      </w:r>
    </w:p>
    <w:p w14:paraId="66432AFC" w14:textId="4A942DDE" w:rsidR="00086A95" w:rsidRDefault="00AE337D" w:rsidP="00C96916">
      <w:pPr>
        <w:pStyle w:val="ListParagraph"/>
        <w:numPr>
          <w:ilvl w:val="0"/>
          <w:numId w:val="43"/>
        </w:numPr>
      </w:pPr>
      <w:r w:rsidRPr="00714C99">
        <w:t xml:space="preserve">Many consumers would like options to give them more choice. They </w:t>
      </w:r>
      <w:r w:rsidR="00047B2E" w:rsidRPr="00714C99">
        <w:t xml:space="preserve">think that digital platforms should offer better interoperability and </w:t>
      </w:r>
      <w:r w:rsidR="008D57CE" w:rsidRPr="00714C99">
        <w:t>make it easier to move between services without losing their data.</w:t>
      </w:r>
    </w:p>
    <w:p w14:paraId="3F06410D" w14:textId="0BCADC39" w:rsidR="00884B5C" w:rsidRPr="00714C99" w:rsidRDefault="008736C9" w:rsidP="00C96916">
      <w:r w:rsidRPr="00714C99">
        <w:t xml:space="preserve">ACCAN will continue to </w:t>
      </w:r>
      <w:r w:rsidR="00D80B80" w:rsidRPr="00714C99">
        <w:t>advocate for Australians who use digital platforms</w:t>
      </w:r>
      <w:r w:rsidRPr="00714C99">
        <w:t xml:space="preserve"> and ensure that a consumer voice is heard in</w:t>
      </w:r>
      <w:r w:rsidR="00C25DB0" w:rsidRPr="00714C99">
        <w:t xml:space="preserve"> the emerging </w:t>
      </w:r>
      <w:r w:rsidR="009C4F9F" w:rsidRPr="00714C99">
        <w:t>communications</w:t>
      </w:r>
      <w:r w:rsidR="00C25DB0" w:rsidRPr="00714C99">
        <w:t xml:space="preserve"> landscape.</w:t>
      </w:r>
    </w:p>
    <w:p w14:paraId="57E45A29" w14:textId="77777777" w:rsidR="00270340" w:rsidRPr="00714C99" w:rsidRDefault="00270340" w:rsidP="00270340">
      <w:pPr>
        <w:pStyle w:val="FundingAcknowledgement"/>
        <w:rPr>
          <w:lang w:val="en-AU"/>
        </w:rPr>
      </w:pPr>
      <w:r w:rsidRPr="00714C99">
        <w:rPr>
          <w:lang w:val="en-AU"/>
        </w:rPr>
        <w:t>The Australian Communications Consumer Action Network (ACCAN) is Australia’s peak communication consumer organisation. The operation of ACCAN is made possible by funding provided by the Commonwealth of Australia under section 593 of the Telecommunications Act 1997. This funding is recovered from charges on telecommunications carriers.</w:t>
      </w:r>
    </w:p>
    <w:sectPr w:rsidR="00270340" w:rsidRPr="00714C99" w:rsidSect="00472A35">
      <w:headerReference w:type="default" r:id="rId37"/>
      <w:footerReference w:type="default" r:id="rId38"/>
      <w:footerReference w:type="first" r:id="rId39"/>
      <w:pgSz w:w="11906" w:h="16838"/>
      <w:pgMar w:top="1418" w:right="1440" w:bottom="709" w:left="1440" w:header="45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78A1B1" w14:textId="77777777" w:rsidR="00951B66" w:rsidRDefault="00951B66">
      <w:pPr>
        <w:spacing w:after="0" w:line="240" w:lineRule="auto"/>
      </w:pPr>
      <w:r>
        <w:separator/>
      </w:r>
    </w:p>
  </w:endnote>
  <w:endnote w:type="continuationSeparator" w:id="0">
    <w:p w14:paraId="64E509C4" w14:textId="77777777" w:rsidR="00951B66" w:rsidRDefault="00951B66">
      <w:pPr>
        <w:spacing w:after="0" w:line="240" w:lineRule="auto"/>
      </w:pPr>
      <w:r>
        <w:continuationSeparator/>
      </w:r>
    </w:p>
  </w:endnote>
  <w:endnote w:type="continuationNotice" w:id="1">
    <w:p w14:paraId="45DE0BF3" w14:textId="77777777" w:rsidR="00951B66" w:rsidRDefault="00951B6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7801802A-F5DD-405B-82D3-3FE895366962}"/>
    <w:embedBold r:id="rId2" w:fontKey="{61B53E5E-F561-4020-87A3-535CBFB7452C}"/>
    <w:embedItalic r:id="rId3" w:fontKey="{4664DF3C-5B3D-4B2D-8DD6-E87D7F95ADD1}"/>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4DC6257A-B3BA-433E-8779-1A1702053A3F}"/>
  </w:font>
  <w:font w:name="Gotham">
    <w:altName w:val="Calibri"/>
    <w:charset w:val="00"/>
    <w:family w:val="auto"/>
    <w:pitch w:val="variable"/>
    <w:sig w:usb0="800000A7" w:usb1="00000000" w:usb2="00000000" w:usb3="00000000" w:csb0="00000009" w:csb1="00000000"/>
    <w:embedBold r:id="rId5" w:fontKey="{5488DA0B-D3B9-4E49-A465-FA28BC9312E4}"/>
    <w:embedBoldItalic r:id="rId6" w:fontKey="{40EDB99F-024B-498D-9158-87F408E6FBF9}"/>
  </w:font>
  <w:font w:name="Gotham Black">
    <w:altName w:val="Calibri"/>
    <w:charset w:val="00"/>
    <w:family w:val="auto"/>
    <w:pitch w:val="variable"/>
    <w:sig w:usb0="A00000AF" w:usb1="40000048" w:usb2="00000000" w:usb3="00000000" w:csb0="00000111" w:csb1="00000000"/>
  </w:font>
  <w:font w:name="Cambria">
    <w:panose1 w:val="02040503050406030204"/>
    <w:charset w:val="00"/>
    <w:family w:val="roman"/>
    <w:pitch w:val="variable"/>
    <w:sig w:usb0="E00006FF" w:usb1="420024FF" w:usb2="02000000" w:usb3="00000000" w:csb0="0000019F" w:csb1="00000000"/>
    <w:embedRegular r:id="rId7" w:fontKey="{7072E98C-0BA3-4653-B179-74DA576E0C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otham" w:hAnsi="Gotham"/>
        <w:b/>
        <w:spacing w:val="8"/>
        <w:sz w:val="20"/>
        <w:szCs w:val="20"/>
      </w:rPr>
      <w:id w:val="-1113674512"/>
      <w:docPartObj>
        <w:docPartGallery w:val="Page Numbers (Bottom of Page)"/>
        <w:docPartUnique/>
      </w:docPartObj>
    </w:sdtPr>
    <w:sdtEndPr>
      <w:rPr>
        <w:rStyle w:val="Letterhead1Char"/>
        <w:bCs/>
      </w:rPr>
    </w:sdtEndPr>
    <w:sdtContent>
      <w:p w14:paraId="64B98249" w14:textId="0D522C4B" w:rsidR="00200982" w:rsidRPr="009236CD" w:rsidRDefault="0088720C" w:rsidP="0088720C">
        <w:pPr>
          <w:jc w:val="right"/>
          <w:rPr>
            <w:rStyle w:val="Letterhead1Char"/>
          </w:rPr>
        </w:pPr>
        <w:r w:rsidRPr="009236CD">
          <w:rPr>
            <w:rStyle w:val="Letterhead1Char"/>
          </w:rPr>
          <w:fldChar w:fldCharType="begin"/>
        </w:r>
        <w:r w:rsidRPr="009236CD">
          <w:rPr>
            <w:rStyle w:val="Letterhead1Char"/>
          </w:rPr>
          <w:instrText xml:space="preserve"> PAGE   \* MERGEFORMAT </w:instrText>
        </w:r>
        <w:r w:rsidRPr="009236CD">
          <w:rPr>
            <w:rStyle w:val="Letterhead1Char"/>
          </w:rPr>
          <w:fldChar w:fldCharType="separate"/>
        </w:r>
        <w:r w:rsidRPr="009236CD">
          <w:rPr>
            <w:rStyle w:val="Letterhead1Char"/>
          </w:rPr>
          <w:t>1</w:t>
        </w:r>
        <w:r w:rsidRPr="009236CD">
          <w:rPr>
            <w:rStyle w:val="Letterhead1Char"/>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2536057"/>
      <w:docPartObj>
        <w:docPartGallery w:val="Page Numbers (Bottom of Page)"/>
        <w:docPartUnique/>
      </w:docPartObj>
    </w:sdtPr>
    <w:sdtEndPr/>
    <w:sdtContent>
      <w:p w14:paraId="713D5453" w14:textId="77777777" w:rsidR="00D560F9" w:rsidRPr="00A72DB0" w:rsidRDefault="00D560F9" w:rsidP="009236CD">
        <w:pPr>
          <w:pStyle w:val="Letterhead1"/>
        </w:pPr>
        <w:r w:rsidRPr="00A72DB0">
          <w:fldChar w:fldCharType="begin"/>
        </w:r>
        <w:r w:rsidRPr="00A72DB0">
          <w:instrText xml:space="preserve"> PAGE   \* MERGEFORMAT </w:instrText>
        </w:r>
        <w:r w:rsidRPr="00A72DB0">
          <w:fldChar w:fldCharType="separate"/>
        </w:r>
        <w:r w:rsidRPr="00A72DB0">
          <w:t>2</w:t>
        </w:r>
        <w:r w:rsidRPr="00A72DB0">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52F176" w14:textId="77777777" w:rsidR="00951B66" w:rsidRDefault="00951B66">
      <w:pPr>
        <w:spacing w:after="0" w:line="240" w:lineRule="auto"/>
      </w:pPr>
      <w:r>
        <w:separator/>
      </w:r>
    </w:p>
  </w:footnote>
  <w:footnote w:type="continuationSeparator" w:id="0">
    <w:p w14:paraId="517E1B47" w14:textId="77777777" w:rsidR="00951B66" w:rsidRDefault="00951B66">
      <w:pPr>
        <w:spacing w:after="0" w:line="240" w:lineRule="auto"/>
      </w:pPr>
      <w:r>
        <w:continuationSeparator/>
      </w:r>
    </w:p>
  </w:footnote>
  <w:footnote w:type="continuationNotice" w:id="1">
    <w:p w14:paraId="28CC246F" w14:textId="77777777" w:rsidR="00951B66" w:rsidRDefault="00951B66">
      <w:pPr>
        <w:spacing w:after="0" w:line="240" w:lineRule="auto"/>
      </w:pPr>
    </w:p>
  </w:footnote>
  <w:footnote w:id="2">
    <w:p w14:paraId="3D7E201A" w14:textId="48C2EEA8" w:rsidR="00805CB2" w:rsidRPr="00805CB2" w:rsidRDefault="00805CB2" w:rsidP="00805CB2">
      <w:pPr>
        <w:pStyle w:val="FootnoteText"/>
      </w:pPr>
      <w:r>
        <w:rPr>
          <w:rStyle w:val="FootnoteReference"/>
        </w:rPr>
        <w:footnoteRef/>
      </w:r>
      <w:r>
        <w:t xml:space="preserve"> Thomas, J., </w:t>
      </w:r>
      <w:r w:rsidR="005A1B66">
        <w:t>et al.</w:t>
      </w:r>
      <w:r>
        <w:t xml:space="preserve"> 2021. Australian Digital Inclusion Index: 2021. Melbourne: RMIT, Swinburne University of Technology, and Telstra.</w:t>
      </w:r>
      <w:r w:rsidR="005A1B66">
        <w:t xml:space="preserve"> Available at: </w:t>
      </w:r>
      <w:hyperlink r:id="rId1" w:history="1">
        <w:r w:rsidR="005A1B66" w:rsidRPr="00C32190">
          <w:rPr>
            <w:rStyle w:val="Hyperlink"/>
          </w:rPr>
          <w:t>https://www.digitalinclusionindex.org.au/download-reports/</w:t>
        </w:r>
      </w:hyperlink>
      <w:r w:rsidR="005A1B66">
        <w:t xml:space="preserve"> </w:t>
      </w:r>
    </w:p>
  </w:footnote>
  <w:footnote w:id="3">
    <w:p w14:paraId="5264BB2F" w14:textId="3ADE3185" w:rsidR="003B02EE" w:rsidRPr="003B02EE" w:rsidRDefault="003B02EE">
      <w:pPr>
        <w:pStyle w:val="FootnoteText"/>
        <w:rPr>
          <w:lang w:val="en-US"/>
        </w:rPr>
      </w:pPr>
      <w:r>
        <w:rPr>
          <w:rStyle w:val="FootnoteReference"/>
        </w:rPr>
        <w:footnoteRef/>
      </w:r>
      <w:r>
        <w:t xml:space="preserve"> </w:t>
      </w:r>
      <w:r w:rsidRPr="00AC25AE">
        <w:t xml:space="preserve">We Are Social 2022. </w:t>
      </w:r>
      <w:r w:rsidRPr="00AC25AE">
        <w:rPr>
          <w:i/>
          <w:iCs/>
        </w:rPr>
        <w:t>DIGITAL 2022 AUSTRALIA: ONLINE LIKE NEVER BEFORE</w:t>
      </w:r>
      <w:r w:rsidRPr="00AC25AE">
        <w:t xml:space="preserve">. Available at: </w:t>
      </w:r>
      <w:hyperlink r:id="rId2" w:history="1">
        <w:r w:rsidRPr="00AC25AE">
          <w:rPr>
            <w:rStyle w:val="Hyperlink"/>
          </w:rPr>
          <w:t>https://wearesocial.com/au/blog/2022/02/digital-2022-australia-online-like-never-before/</w:t>
        </w:r>
      </w:hyperlink>
    </w:p>
  </w:footnote>
  <w:footnote w:id="4">
    <w:p w14:paraId="62A3D4BB" w14:textId="07EE21AC" w:rsidR="007E07EA" w:rsidRPr="007E07EA" w:rsidRDefault="007E07EA">
      <w:pPr>
        <w:pStyle w:val="FootnoteText"/>
        <w:rPr>
          <w:lang w:val="en-US"/>
        </w:rPr>
      </w:pPr>
      <w:r>
        <w:rPr>
          <w:rStyle w:val="FootnoteReference"/>
        </w:rPr>
        <w:footnoteRef/>
      </w:r>
      <w:r>
        <w:t xml:space="preserve"> </w:t>
      </w:r>
      <w:r>
        <w:rPr>
          <w:lang w:val="en-US"/>
        </w:rPr>
        <w:t>Kemp, K, 2022.</w:t>
      </w:r>
      <w:r w:rsidR="00806C6B">
        <w:rPr>
          <w:lang w:val="en-US"/>
        </w:rPr>
        <w:t xml:space="preserve"> </w:t>
      </w:r>
      <w:r w:rsidR="00806C6B" w:rsidRPr="00806C6B">
        <w:rPr>
          <w:i/>
          <w:iCs/>
          <w:lang w:val="en-US"/>
        </w:rPr>
        <w:t>The ACCC is suing Meta for celebrity crypto scam ads on Facebook. Here’s why the tech giant could be found liable.</w:t>
      </w:r>
      <w:r>
        <w:rPr>
          <w:lang w:val="en-US"/>
        </w:rPr>
        <w:t xml:space="preserve"> Available at: </w:t>
      </w:r>
      <w:hyperlink r:id="rId3" w:history="1">
        <w:r w:rsidRPr="00342454">
          <w:rPr>
            <w:rStyle w:val="Hyperlink"/>
            <w:lang w:val="en-US"/>
          </w:rPr>
          <w:t>https://theconversation.com/the-accc-is-suing-meta-for-celebrity-crypto-scam-ads-on-facebook-heres-why-the-tech-giant-could-be-found-liable-179655</w:t>
        </w:r>
      </w:hyperlink>
      <w:r>
        <w:rPr>
          <w:lang w:val="en-US"/>
        </w:rPr>
        <w:t xml:space="preserve"> </w:t>
      </w:r>
    </w:p>
  </w:footnote>
  <w:footnote w:id="5">
    <w:p w14:paraId="6E739253" w14:textId="19F67524" w:rsidR="004F1F12" w:rsidRPr="004F1F12" w:rsidRDefault="004F1F12">
      <w:pPr>
        <w:pStyle w:val="FootnoteText"/>
        <w:rPr>
          <w:lang w:val="en-US"/>
        </w:rPr>
      </w:pPr>
      <w:r>
        <w:rPr>
          <w:rStyle w:val="FootnoteReference"/>
        </w:rPr>
        <w:footnoteRef/>
      </w:r>
      <w:r>
        <w:t xml:space="preserve"> </w:t>
      </w:r>
      <w:r w:rsidR="00AD7EB3">
        <w:rPr>
          <w:lang w:val="en-US"/>
        </w:rPr>
        <w:t xml:space="preserve">CPRC 2022. </w:t>
      </w:r>
      <w:r w:rsidR="00AD7EB3" w:rsidRPr="00AD7EB3">
        <w:rPr>
          <w:i/>
          <w:iCs/>
          <w:lang w:val="en-US"/>
        </w:rPr>
        <w:t>Duped By Design</w:t>
      </w:r>
      <w:r w:rsidR="00AD7EB3">
        <w:rPr>
          <w:lang w:val="en-US"/>
        </w:rPr>
        <w:t xml:space="preserve">. Available at: </w:t>
      </w:r>
      <w:hyperlink r:id="rId4" w:history="1">
        <w:r w:rsidR="00AD7EB3" w:rsidRPr="00342454">
          <w:rPr>
            <w:rStyle w:val="Hyperlink"/>
            <w:lang w:val="en-US"/>
          </w:rPr>
          <w:t>https://cprc.org.au/dupedbydesign/</w:t>
        </w:r>
      </w:hyperlink>
      <w:r w:rsidR="00AD7EB3">
        <w:rPr>
          <w:lang w:val="en-US"/>
        </w:rPr>
        <w:t xml:space="preserve"> </w:t>
      </w:r>
    </w:p>
  </w:footnote>
  <w:footnote w:id="6">
    <w:p w14:paraId="3D4D6BE7" w14:textId="1DDF1CE4" w:rsidR="002A53E6" w:rsidRPr="002A53E6" w:rsidRDefault="002A53E6">
      <w:pPr>
        <w:pStyle w:val="FootnoteText"/>
        <w:rPr>
          <w:lang w:val="en-US"/>
        </w:rPr>
      </w:pPr>
      <w:r>
        <w:rPr>
          <w:rStyle w:val="FootnoteReference"/>
        </w:rPr>
        <w:footnoteRef/>
      </w:r>
      <w:r>
        <w:t xml:space="preserve"> Thomas, J., et al. 2021. </w:t>
      </w:r>
      <w:r w:rsidRPr="00AC25AE">
        <w:rPr>
          <w:i/>
          <w:iCs/>
        </w:rPr>
        <w:t>Australian Digital Inclusion Index: 2021</w:t>
      </w:r>
      <w:r>
        <w:t xml:space="preserve">. Melbourne: RMIT, Swinburne University of Technology, and Telstra. Available at: </w:t>
      </w:r>
      <w:hyperlink r:id="rId5" w:history="1">
        <w:r w:rsidRPr="00C32190">
          <w:rPr>
            <w:rStyle w:val="Hyperlink"/>
          </w:rPr>
          <w:t>https://www.digitalinclusionindex.org.au/download-reports/</w:t>
        </w:r>
      </w:hyperlink>
    </w:p>
  </w:footnote>
  <w:footnote w:id="7">
    <w:p w14:paraId="5D6358DF" w14:textId="59DA001D" w:rsidR="005D32AD" w:rsidRPr="005D32AD" w:rsidRDefault="005D32AD">
      <w:pPr>
        <w:pStyle w:val="FootnoteText"/>
        <w:rPr>
          <w:lang w:val="en-US"/>
        </w:rPr>
      </w:pPr>
      <w:r>
        <w:rPr>
          <w:rStyle w:val="FootnoteReference"/>
        </w:rPr>
        <w:footnoteRef/>
      </w:r>
      <w:r>
        <w:t xml:space="preserve"> </w:t>
      </w:r>
      <w:r>
        <w:rPr>
          <w:lang w:val="en-US"/>
        </w:rPr>
        <w:t xml:space="preserve">CPRC 2022. </w:t>
      </w:r>
      <w:r w:rsidRPr="00AD7EB3">
        <w:rPr>
          <w:i/>
          <w:iCs/>
          <w:lang w:val="en-US"/>
        </w:rPr>
        <w:t>Duped By Design</w:t>
      </w:r>
      <w:r>
        <w:rPr>
          <w:lang w:val="en-US"/>
        </w:rPr>
        <w:t xml:space="preserve">. Available at: </w:t>
      </w:r>
      <w:hyperlink r:id="rId6" w:history="1">
        <w:r w:rsidRPr="00342454">
          <w:rPr>
            <w:rStyle w:val="Hyperlink"/>
            <w:lang w:val="en-US"/>
          </w:rPr>
          <w:t>https://cprc.org.au/dupedbydesign/</w:t>
        </w:r>
      </w:hyperlink>
    </w:p>
  </w:footnote>
  <w:footnote w:id="8">
    <w:p w14:paraId="79CD7AA7" w14:textId="6872DD98" w:rsidR="00132326" w:rsidRPr="00132326" w:rsidRDefault="00132326">
      <w:pPr>
        <w:pStyle w:val="FootnoteText"/>
        <w:rPr>
          <w:lang w:val="en-US"/>
        </w:rPr>
      </w:pPr>
      <w:r>
        <w:rPr>
          <w:rStyle w:val="FootnoteReference"/>
        </w:rPr>
        <w:footnoteRef/>
      </w:r>
      <w:r>
        <w:t xml:space="preserve"> </w:t>
      </w:r>
      <w:r w:rsidR="00C43459">
        <w:t>ACCAN 2022.</w:t>
      </w:r>
      <w:r w:rsidR="001E00AF">
        <w:t xml:space="preserve"> </w:t>
      </w:r>
      <w:r w:rsidR="001E00AF" w:rsidRPr="001E00AF">
        <w:rPr>
          <w:i/>
          <w:iCs/>
        </w:rPr>
        <w:t>ACCC DPSI September Interim Report.</w:t>
      </w:r>
      <w:r w:rsidR="00C43459">
        <w:t xml:space="preserve"> Available </w:t>
      </w:r>
      <w:r w:rsidR="001E00AF">
        <w:t xml:space="preserve">at: </w:t>
      </w:r>
      <w:hyperlink r:id="rId7" w:history="1">
        <w:r w:rsidR="001E00AF" w:rsidRPr="00C32190">
          <w:rPr>
            <w:rStyle w:val="Hyperlink"/>
          </w:rPr>
          <w:t>https://accan.org.au/accans-work/submissions/1977-accc-dpsi-september-interim-report</w:t>
        </w:r>
      </w:hyperlink>
      <w:r w:rsidR="001E00AF">
        <w:t xml:space="preserve"> </w:t>
      </w:r>
    </w:p>
  </w:footnote>
  <w:footnote w:id="9">
    <w:p w14:paraId="32BC17A5" w14:textId="53CC2D4C" w:rsidR="009B2EA6" w:rsidRPr="009B2EA6" w:rsidRDefault="009B2EA6">
      <w:pPr>
        <w:pStyle w:val="FootnoteText"/>
        <w:rPr>
          <w:lang w:val="en-US"/>
        </w:rPr>
      </w:pPr>
      <w:r>
        <w:rPr>
          <w:rStyle w:val="FootnoteReference"/>
        </w:rPr>
        <w:footnoteRef/>
      </w:r>
      <w:r>
        <w:t xml:space="preserve"> </w:t>
      </w:r>
      <w:r>
        <w:rPr>
          <w:lang w:val="en-US"/>
        </w:rPr>
        <w:t xml:space="preserve">ACCC 2022. </w:t>
      </w:r>
      <w:r w:rsidRPr="009B2EA6">
        <w:rPr>
          <w:lang w:val="en-US"/>
        </w:rPr>
        <w:t>Targeting scams: report of the ACCC on scams activity 2021</w:t>
      </w:r>
      <w:r>
        <w:rPr>
          <w:lang w:val="en-US"/>
        </w:rPr>
        <w:t xml:space="preserve">. Available at: </w:t>
      </w:r>
      <w:hyperlink r:id="rId8" w:history="1">
        <w:r w:rsidR="00061091" w:rsidRPr="00342454">
          <w:rPr>
            <w:rStyle w:val="Hyperlink"/>
            <w:lang w:val="en-US"/>
          </w:rPr>
          <w:t>https://www.accc.gov.au/publications/targeting-scams-report-on-scam-activity/targeting-scams-report-of-the-accc-on-scams-activity-2021</w:t>
        </w:r>
      </w:hyperlink>
      <w:r w:rsidR="00061091">
        <w:rPr>
          <w:lang w:val="en-US"/>
        </w:rPr>
        <w:t xml:space="preserve"> </w:t>
      </w:r>
    </w:p>
  </w:footnote>
  <w:footnote w:id="10">
    <w:p w14:paraId="6EAEF53B" w14:textId="09CECB04" w:rsidR="00A64388" w:rsidRPr="00A64388" w:rsidRDefault="00A64388">
      <w:pPr>
        <w:pStyle w:val="FootnoteText"/>
        <w:rPr>
          <w:lang w:val="en-US"/>
        </w:rPr>
      </w:pPr>
      <w:r>
        <w:rPr>
          <w:rStyle w:val="FootnoteReference"/>
        </w:rPr>
        <w:footnoteRef/>
      </w:r>
      <w:r>
        <w:t xml:space="preserve"> </w:t>
      </w:r>
      <w:r>
        <w:rPr>
          <w:lang w:val="en-US"/>
        </w:rPr>
        <w:t xml:space="preserve">ACCC 2022, p.10. </w:t>
      </w:r>
      <w:r w:rsidRPr="009B2EA6">
        <w:rPr>
          <w:lang w:val="en-US"/>
        </w:rPr>
        <w:t>Targeting scams: report of the ACCC on scams activity 2021</w:t>
      </w:r>
      <w:r>
        <w:rPr>
          <w:lang w:val="en-US"/>
        </w:rPr>
        <w:t xml:space="preserve">. Available at: </w:t>
      </w:r>
      <w:hyperlink r:id="rId9" w:history="1">
        <w:r w:rsidRPr="00342454">
          <w:rPr>
            <w:rStyle w:val="Hyperlink"/>
            <w:lang w:val="en-US"/>
          </w:rPr>
          <w:t>https://www.accc.gov.au/publications/targeting-scams-report-on-scam-activity/targeting-scams-report-of-the-accc-on-scams-activity-2021</w:t>
        </w:r>
      </w:hyperlink>
    </w:p>
  </w:footnote>
  <w:footnote w:id="11">
    <w:p w14:paraId="6BB2B6FC" w14:textId="1E722D90" w:rsidR="006026B8" w:rsidRPr="006026B8" w:rsidRDefault="006026B8">
      <w:pPr>
        <w:pStyle w:val="FootnoteText"/>
        <w:rPr>
          <w:lang w:val="en-US"/>
        </w:rPr>
      </w:pPr>
      <w:r>
        <w:rPr>
          <w:rStyle w:val="FootnoteReference"/>
        </w:rPr>
        <w:footnoteRef/>
      </w:r>
      <w:r>
        <w:t xml:space="preserve"> </w:t>
      </w:r>
      <w:r w:rsidRPr="006026B8">
        <w:t>Cass-Gottlieb</w:t>
      </w:r>
      <w:r>
        <w:t xml:space="preserve">, G 2022. </w:t>
      </w:r>
      <w:r w:rsidRPr="006026B8">
        <w:t>Making Australia a harder target for scammers</w:t>
      </w:r>
      <w:r>
        <w:t xml:space="preserve">. Available at: </w:t>
      </w:r>
      <w:hyperlink r:id="rId10" w:history="1">
        <w:r w:rsidR="001776AB" w:rsidRPr="00342454">
          <w:rPr>
            <w:rStyle w:val="Hyperlink"/>
          </w:rPr>
          <w:t>https://www.accc.gov.au/speech/making-australia-a-harder-target-for-scammers</w:t>
        </w:r>
      </w:hyperlink>
      <w:r w:rsidR="001776AB">
        <w:t xml:space="preserve"> </w:t>
      </w:r>
    </w:p>
  </w:footnote>
  <w:footnote w:id="12">
    <w:p w14:paraId="31016A27" w14:textId="32931A2C" w:rsidR="00986FF7" w:rsidRPr="00986FF7" w:rsidRDefault="00986FF7">
      <w:pPr>
        <w:pStyle w:val="FootnoteText"/>
        <w:rPr>
          <w:lang w:val="en-US"/>
        </w:rPr>
      </w:pPr>
      <w:r>
        <w:rPr>
          <w:rStyle w:val="FootnoteReference"/>
        </w:rPr>
        <w:footnoteRef/>
      </w:r>
      <w:r>
        <w:t xml:space="preserve"> </w:t>
      </w:r>
      <w:r>
        <w:rPr>
          <w:lang w:val="en-US"/>
        </w:rPr>
        <w:t xml:space="preserve">Kemp, K, 2022. </w:t>
      </w:r>
      <w:r w:rsidRPr="00806C6B">
        <w:rPr>
          <w:i/>
          <w:iCs/>
          <w:lang w:val="en-US"/>
        </w:rPr>
        <w:t>The ACCC is suing Meta for celebrity crypto scam ads on Facebook. Here’s why the tech giant could be found liable.</w:t>
      </w:r>
      <w:r>
        <w:rPr>
          <w:lang w:val="en-US"/>
        </w:rPr>
        <w:t xml:space="preserve"> Available at: </w:t>
      </w:r>
      <w:hyperlink r:id="rId11" w:history="1">
        <w:r w:rsidRPr="00342454">
          <w:rPr>
            <w:rStyle w:val="Hyperlink"/>
            <w:lang w:val="en-US"/>
          </w:rPr>
          <w:t>https://theconversation.com/the-accc-is-suing-meta-for-celebrity-crypto-scam-ads-on-facebook-heres-why-the-tech-giant-could-be-found-liable-179655</w:t>
        </w:r>
      </w:hyperlink>
    </w:p>
  </w:footnote>
  <w:footnote w:id="13">
    <w:p w14:paraId="4B585D05" w14:textId="3B3D1322" w:rsidR="00E21BC6" w:rsidRPr="00E21BC6" w:rsidRDefault="00E21BC6">
      <w:pPr>
        <w:pStyle w:val="FootnoteText"/>
        <w:rPr>
          <w:lang w:val="en-US"/>
        </w:rPr>
      </w:pPr>
      <w:r>
        <w:rPr>
          <w:rStyle w:val="FootnoteReference"/>
        </w:rPr>
        <w:footnoteRef/>
      </w:r>
      <w:r>
        <w:t xml:space="preserve"> </w:t>
      </w:r>
      <w:r>
        <w:rPr>
          <w:lang w:val="en-US"/>
        </w:rPr>
        <w:t xml:space="preserve">CALC. Available at: </w:t>
      </w:r>
      <w:hyperlink r:id="rId12" w:history="1">
        <w:r w:rsidRPr="00061598">
          <w:rPr>
            <w:rStyle w:val="Hyperlink"/>
            <w:lang w:val="en-US"/>
          </w:rPr>
          <w:t>https://consumeraction.org.au/crypto-as-risky-as-gambling-and-a-haven-for-scams-that-demands-action/</w:t>
        </w:r>
      </w:hyperlink>
      <w:r>
        <w:rPr>
          <w:lang w:val="en-US"/>
        </w:rPr>
        <w:t xml:space="preserve"> </w:t>
      </w:r>
    </w:p>
  </w:footnote>
  <w:footnote w:id="14">
    <w:p w14:paraId="7870700C" w14:textId="2EA154E8" w:rsidR="00AA663E" w:rsidRPr="00AA663E" w:rsidRDefault="00AA663E">
      <w:pPr>
        <w:pStyle w:val="FootnoteText"/>
        <w:rPr>
          <w:lang w:val="en-US"/>
        </w:rPr>
      </w:pPr>
      <w:r>
        <w:rPr>
          <w:rStyle w:val="FootnoteReference"/>
        </w:rPr>
        <w:footnoteRef/>
      </w:r>
      <w:r>
        <w:t xml:space="preserve"> </w:t>
      </w:r>
      <w:r>
        <w:rPr>
          <w:lang w:val="en-US"/>
        </w:rPr>
        <w:t>ACCC 2022, p.1</w:t>
      </w:r>
      <w:r w:rsidR="00C866C8">
        <w:rPr>
          <w:lang w:val="en-US"/>
        </w:rPr>
        <w:t>1</w:t>
      </w:r>
      <w:r>
        <w:rPr>
          <w:lang w:val="en-US"/>
        </w:rPr>
        <w:t xml:space="preserve">. </w:t>
      </w:r>
      <w:r w:rsidRPr="009B2EA6">
        <w:rPr>
          <w:lang w:val="en-US"/>
        </w:rPr>
        <w:t>Targeting scams: report of the ACCC on scams activity 2021</w:t>
      </w:r>
      <w:r>
        <w:rPr>
          <w:lang w:val="en-US"/>
        </w:rPr>
        <w:t xml:space="preserve">. Available at: </w:t>
      </w:r>
      <w:hyperlink r:id="rId13" w:history="1">
        <w:r w:rsidRPr="00342454">
          <w:rPr>
            <w:rStyle w:val="Hyperlink"/>
            <w:lang w:val="en-US"/>
          </w:rPr>
          <w:t>https://www.accc.gov.au/publications/targeting-scams-report-on-scam-activity/targeting-scams-report-of-the-accc-on-scams-activity-2021</w:t>
        </w:r>
      </w:hyperlink>
    </w:p>
  </w:footnote>
  <w:footnote w:id="15">
    <w:p w14:paraId="18C0A790" w14:textId="18D07637" w:rsidR="00941669" w:rsidRPr="00941669" w:rsidRDefault="00941669">
      <w:pPr>
        <w:pStyle w:val="FootnoteText"/>
        <w:rPr>
          <w:lang w:val="en-US"/>
        </w:rPr>
      </w:pPr>
      <w:r>
        <w:rPr>
          <w:rStyle w:val="FootnoteReference"/>
        </w:rPr>
        <w:footnoteRef/>
      </w:r>
      <w:r>
        <w:t xml:space="preserve"> </w:t>
      </w:r>
      <w:r>
        <w:rPr>
          <w:lang w:val="en-US"/>
        </w:rPr>
        <w:t>ACCC</w:t>
      </w:r>
      <w:r w:rsidR="0088555D">
        <w:rPr>
          <w:lang w:val="en-US"/>
        </w:rPr>
        <w:t xml:space="preserve"> 2021</w:t>
      </w:r>
      <w:r w:rsidR="00F3340F">
        <w:rPr>
          <w:lang w:val="en-US"/>
        </w:rPr>
        <w:t>, p.11</w:t>
      </w:r>
      <w:r w:rsidR="0088555D">
        <w:rPr>
          <w:lang w:val="en-US"/>
        </w:rPr>
        <w:t xml:space="preserve">. </w:t>
      </w:r>
      <w:r w:rsidR="0088555D" w:rsidRPr="0088555D">
        <w:rPr>
          <w:i/>
          <w:iCs/>
          <w:lang w:val="en-US"/>
        </w:rPr>
        <w:t>Digital platform services inquiry - March 2021 interim report</w:t>
      </w:r>
      <w:r w:rsidR="0088555D">
        <w:rPr>
          <w:lang w:val="en-US"/>
        </w:rPr>
        <w:t xml:space="preserve">. Available at: </w:t>
      </w:r>
      <w:hyperlink r:id="rId14" w:history="1">
        <w:r w:rsidR="0088555D" w:rsidRPr="00342454">
          <w:rPr>
            <w:rStyle w:val="Hyperlink"/>
            <w:lang w:val="en-US"/>
          </w:rPr>
          <w:t>https://www.accc.gov.au/publications/serial-publications/digital-platform-services-inquiry-2020-2025/digital-platform-services-inquiry-march-2021-interim-report</w:t>
        </w:r>
      </w:hyperlink>
      <w:r w:rsidR="0088555D">
        <w:rPr>
          <w:lang w:val="en-US"/>
        </w:rPr>
        <w:t xml:space="preserve"> </w:t>
      </w:r>
    </w:p>
  </w:footnote>
  <w:footnote w:id="16">
    <w:p w14:paraId="7887156B" w14:textId="0ABD2A78" w:rsidR="00B15B8D" w:rsidRPr="00B15B8D" w:rsidRDefault="00B15B8D">
      <w:pPr>
        <w:pStyle w:val="FootnoteText"/>
        <w:rPr>
          <w:lang w:val="en-US"/>
        </w:rPr>
      </w:pPr>
      <w:r>
        <w:rPr>
          <w:rStyle w:val="FootnoteReference"/>
        </w:rPr>
        <w:footnoteRef/>
      </w:r>
      <w:r>
        <w:t xml:space="preserve"> ACCC 2022</w:t>
      </w:r>
      <w:r w:rsidR="009700F2">
        <w:t>.</w:t>
      </w:r>
      <w:r>
        <w:t xml:space="preserve"> </w:t>
      </w:r>
      <w:r w:rsidRPr="00170AC1">
        <w:rPr>
          <w:i/>
          <w:iCs/>
        </w:rPr>
        <w:t>September 2022 interim report Discussion paper</w:t>
      </w:r>
      <w:r>
        <w:t xml:space="preserve">, available: </w:t>
      </w:r>
      <w:hyperlink r:id="rId15" w:history="1">
        <w:r w:rsidRPr="003248D7">
          <w:rPr>
            <w:rStyle w:val="Hyperlink"/>
          </w:rPr>
          <w:t>https://www.accc.gov.au/focus-areas/inquiries-ongoing/digital-platform-services-inquiry-2020-2025/september-2022-interim-report</w:t>
        </w:r>
      </w:hyperlink>
    </w:p>
  </w:footnote>
  <w:footnote w:id="17">
    <w:p w14:paraId="371E6D29" w14:textId="72A55D6A" w:rsidR="00C57A42" w:rsidRPr="00C57A42" w:rsidRDefault="00C57A42">
      <w:pPr>
        <w:pStyle w:val="FootnoteText"/>
        <w:rPr>
          <w:lang w:val="en-US"/>
        </w:rPr>
      </w:pPr>
      <w:r>
        <w:rPr>
          <w:rStyle w:val="FootnoteReference"/>
        </w:rPr>
        <w:footnoteRef/>
      </w:r>
      <w:r>
        <w:t xml:space="preserve"> </w:t>
      </w:r>
      <w:r>
        <w:rPr>
          <w:lang w:val="en-US"/>
        </w:rPr>
        <w:t>ACCC</w:t>
      </w:r>
      <w:r w:rsidR="00E6393D">
        <w:rPr>
          <w:lang w:val="en-US"/>
        </w:rPr>
        <w:t xml:space="preserve">, 2019, p.4. </w:t>
      </w:r>
      <w:r w:rsidR="00E6393D" w:rsidRPr="00E6393D">
        <w:rPr>
          <w:i/>
          <w:iCs/>
          <w:lang w:val="en-US"/>
        </w:rPr>
        <w:t>Digital platforms inquiry - final report</w:t>
      </w:r>
      <w:r w:rsidR="00E6393D">
        <w:rPr>
          <w:lang w:val="en-US"/>
        </w:rPr>
        <w:t xml:space="preserve">. Available at: </w:t>
      </w:r>
      <w:hyperlink r:id="rId16" w:history="1">
        <w:r w:rsidR="00E6393D" w:rsidRPr="00C32190">
          <w:rPr>
            <w:rStyle w:val="Hyperlink"/>
            <w:lang w:val="en-US"/>
          </w:rPr>
          <w:t>https://www.accc.gov.au/publications/digital-platforms-inquiry-final-report</w:t>
        </w:r>
      </w:hyperlink>
      <w:r w:rsidR="00E6393D">
        <w:rPr>
          <w:lang w:val="en-US"/>
        </w:rPr>
        <w:t xml:space="preserve"> </w:t>
      </w:r>
    </w:p>
  </w:footnote>
  <w:footnote w:id="18">
    <w:p w14:paraId="3F3EEBD4" w14:textId="544408C0" w:rsidR="00A43441" w:rsidRPr="00A43441" w:rsidRDefault="00A43441">
      <w:pPr>
        <w:pStyle w:val="FootnoteText"/>
        <w:rPr>
          <w:lang w:val="en-US"/>
        </w:rPr>
      </w:pPr>
      <w:r>
        <w:rPr>
          <w:rStyle w:val="FootnoteReference"/>
        </w:rPr>
        <w:footnoteRef/>
      </w:r>
      <w:r>
        <w:t xml:space="preserve"> </w:t>
      </w:r>
      <w:r w:rsidRPr="00A43441">
        <w:t>Barwise, P. and Watkins, L., 2018</w:t>
      </w:r>
      <w:r>
        <w:t>, p.</w:t>
      </w:r>
      <w:r w:rsidR="00F3422C">
        <w:t>24</w:t>
      </w:r>
      <w:r w:rsidRPr="00A43441">
        <w:t xml:space="preserve">. The evolution of digital dominance. </w:t>
      </w:r>
      <w:r w:rsidRPr="00E90549">
        <w:rPr>
          <w:i/>
          <w:iCs/>
        </w:rPr>
        <w:t>Digital dominance: the power of Google, Amazon, Facebook, and Apple</w:t>
      </w:r>
      <w:r w:rsidRPr="00A43441">
        <w:t>, pp.21-49.</w:t>
      </w:r>
      <w:r w:rsidR="00F3422C">
        <w:t xml:space="preserve"> Available at: </w:t>
      </w:r>
      <w:hyperlink r:id="rId17" w:history="1">
        <w:r w:rsidR="00E90549" w:rsidRPr="00C32190">
          <w:rPr>
            <w:rStyle w:val="Hyperlink"/>
          </w:rPr>
          <w:t>http://lbsresearch.london.edu/id/eprint/914/1/9780190845124_Barwise_Chapter%201.pdf</w:t>
        </w:r>
      </w:hyperlink>
      <w:r w:rsidR="00E90549">
        <w:t xml:space="preserve"> </w:t>
      </w:r>
    </w:p>
  </w:footnote>
  <w:footnote w:id="19">
    <w:p w14:paraId="1FB21E5D" w14:textId="0576D641" w:rsidR="005B5B50" w:rsidRPr="005B5B50" w:rsidRDefault="005B5B50">
      <w:pPr>
        <w:pStyle w:val="FootnoteText"/>
        <w:rPr>
          <w:lang w:val="en-US"/>
        </w:rPr>
      </w:pPr>
      <w:r>
        <w:rPr>
          <w:rStyle w:val="FootnoteReference"/>
        </w:rPr>
        <w:footnoteRef/>
      </w:r>
      <w:r>
        <w:t xml:space="preserve"> TechCrunch 2020, </w:t>
      </w:r>
      <w:r>
        <w:rPr>
          <w:i/>
          <w:iCs/>
        </w:rPr>
        <w:t xml:space="preserve">Facebook introduces cross-app communication between Messenger and Instagram, plus other features, </w:t>
      </w:r>
      <w:r>
        <w:t xml:space="preserve">available: </w:t>
      </w:r>
      <w:hyperlink r:id="rId18" w:history="1">
        <w:r w:rsidRPr="002076A0">
          <w:rPr>
            <w:rStyle w:val="Hyperlink"/>
          </w:rPr>
          <w:t>https://techcrunch.com/2020/09/30/facebook-introduces-cross-app-communication-between-messenger-and-instagram-plus-other-features/</w:t>
        </w:r>
      </w:hyperlink>
    </w:p>
  </w:footnote>
  <w:footnote w:id="20">
    <w:p w14:paraId="0C9EA7DE" w14:textId="7686B433" w:rsidR="00093547" w:rsidRPr="00093547" w:rsidRDefault="00093547">
      <w:pPr>
        <w:pStyle w:val="FootnoteText"/>
        <w:rPr>
          <w:lang w:val="en-US"/>
        </w:rPr>
      </w:pPr>
      <w:r>
        <w:rPr>
          <w:rStyle w:val="FootnoteReference"/>
        </w:rPr>
        <w:footnoteRef/>
      </w:r>
      <w:r>
        <w:t xml:space="preserve"> TechCrunch 2022, </w:t>
      </w:r>
      <w:r>
        <w:rPr>
          <w:i/>
          <w:iCs/>
        </w:rPr>
        <w:t xml:space="preserve">Google’s Messages app can now handle iMessage reactions, challenges Apple with new features, </w:t>
      </w:r>
      <w:r>
        <w:t xml:space="preserve">available: </w:t>
      </w:r>
      <w:hyperlink r:id="rId19" w:history="1">
        <w:r w:rsidRPr="002076A0">
          <w:rPr>
            <w:rStyle w:val="Hyperlink"/>
          </w:rPr>
          <w:t>https://techcrunch.com/2022/03/10/googles-message-app-can-now-handle-imessage-reactions-challenges-apple-with-new-features/</w:t>
        </w:r>
      </w:hyperlink>
    </w:p>
  </w:footnote>
  <w:footnote w:id="21">
    <w:p w14:paraId="4F4E669C" w14:textId="4A6A0A8F" w:rsidR="007F74BB" w:rsidRPr="007F74BB" w:rsidRDefault="007F74BB">
      <w:pPr>
        <w:pStyle w:val="FootnoteText"/>
        <w:rPr>
          <w:lang w:val="en-US"/>
        </w:rPr>
      </w:pPr>
      <w:r>
        <w:rPr>
          <w:rStyle w:val="FootnoteReference"/>
        </w:rPr>
        <w:footnoteRef/>
      </w:r>
      <w:r>
        <w:t xml:space="preserve"> Google 2022</w:t>
      </w:r>
      <w:r w:rsidR="00112D53">
        <w:t>.</w:t>
      </w:r>
      <w:r>
        <w:t xml:space="preserve"> </w:t>
      </w:r>
      <w:r w:rsidRPr="00D96475">
        <w:rPr>
          <w:i/>
          <w:iCs/>
        </w:rPr>
        <w:t>Building data portability to help consumers choose</w:t>
      </w:r>
      <w:r w:rsidR="00112D53">
        <w:t>.</w:t>
      </w:r>
      <w:r>
        <w:t xml:space="preserve"> </w:t>
      </w:r>
      <w:r w:rsidR="00112D53">
        <w:t>A</w:t>
      </w:r>
      <w:r>
        <w:t>vailable</w:t>
      </w:r>
      <w:r w:rsidR="00112D53">
        <w:t xml:space="preserve"> at</w:t>
      </w:r>
      <w:r>
        <w:t xml:space="preserve">: </w:t>
      </w:r>
      <w:hyperlink r:id="rId20" w:history="1">
        <w:r w:rsidRPr="002076A0">
          <w:rPr>
            <w:rStyle w:val="Hyperlink"/>
          </w:rPr>
          <w:t>https://blog.google/outreach-initiatives/public-policy/building-data-portability-help-consumers-choose/</w:t>
        </w:r>
      </w:hyperlink>
    </w:p>
  </w:footnote>
  <w:footnote w:id="22">
    <w:p w14:paraId="6548BA24" w14:textId="54ADC6CD" w:rsidR="00A7538A" w:rsidRPr="00A7538A" w:rsidRDefault="00A7538A">
      <w:pPr>
        <w:pStyle w:val="FootnoteText"/>
        <w:rPr>
          <w:lang w:val="en-US"/>
        </w:rPr>
      </w:pPr>
      <w:r>
        <w:rPr>
          <w:rStyle w:val="FootnoteReference"/>
        </w:rPr>
        <w:footnoteRef/>
      </w:r>
      <w:r>
        <w:t xml:space="preserve"> </w:t>
      </w:r>
      <w:r w:rsidRPr="00112319">
        <w:t>Meta 2021</w:t>
      </w:r>
      <w:r w:rsidR="0088462D">
        <w:t>.</w:t>
      </w:r>
      <w:r w:rsidRPr="00112319">
        <w:t xml:space="preserve"> </w:t>
      </w:r>
      <w:r w:rsidRPr="0088462D">
        <w:rPr>
          <w:i/>
          <w:iCs/>
        </w:rPr>
        <w:t xml:space="preserve">Transfer Your Facebook Posts and Notes </w:t>
      </w:r>
      <w:proofErr w:type="gramStart"/>
      <w:r w:rsidRPr="0088462D">
        <w:rPr>
          <w:i/>
          <w:iCs/>
        </w:rPr>
        <w:t>With</w:t>
      </w:r>
      <w:proofErr w:type="gramEnd"/>
      <w:r w:rsidRPr="0088462D">
        <w:rPr>
          <w:i/>
          <w:iCs/>
        </w:rPr>
        <w:t xml:space="preserve"> Our Expanded Data Portability Tool</w:t>
      </w:r>
      <w:r w:rsidR="0088462D">
        <w:t>.</w:t>
      </w:r>
      <w:r w:rsidRPr="00112319">
        <w:t xml:space="preserve"> </w:t>
      </w:r>
      <w:r w:rsidR="0088462D">
        <w:t>A</w:t>
      </w:r>
      <w:r w:rsidRPr="00112319">
        <w:t>vailable</w:t>
      </w:r>
      <w:r w:rsidR="0088462D">
        <w:t xml:space="preserve"> at</w:t>
      </w:r>
      <w:r w:rsidRPr="00112319">
        <w:t xml:space="preserve">: </w:t>
      </w:r>
      <w:hyperlink r:id="rId21" w:history="1">
        <w:r w:rsidRPr="002076A0">
          <w:rPr>
            <w:rStyle w:val="Hyperlink"/>
          </w:rPr>
          <w:t>https://about.fb.com/news/2021/04/transfer-your-facebook-posts-and-notes-with-our-expanded-data-portability-tool/</w:t>
        </w:r>
      </w:hyperlink>
    </w:p>
  </w:footnote>
  <w:footnote w:id="23">
    <w:p w14:paraId="1E1F0361" w14:textId="164FCC66" w:rsidR="009115CB" w:rsidRPr="009115CB" w:rsidRDefault="009115CB">
      <w:pPr>
        <w:pStyle w:val="FootnoteText"/>
        <w:rPr>
          <w:lang w:val="en-US"/>
        </w:rPr>
      </w:pPr>
      <w:r>
        <w:rPr>
          <w:rStyle w:val="FootnoteReference"/>
        </w:rPr>
        <w:footnoteRef/>
      </w:r>
      <w:r>
        <w:t xml:space="preserve"> </w:t>
      </w:r>
      <w:r w:rsidRPr="00721302">
        <w:t xml:space="preserve">For further information, see: </w:t>
      </w:r>
      <w:hyperlink r:id="rId22" w:history="1">
        <w:r w:rsidRPr="002076A0">
          <w:rPr>
            <w:rStyle w:val="Hyperlink"/>
          </w:rPr>
          <w:t>https://datatransferproject.dev/</w:t>
        </w:r>
      </w:hyperlink>
    </w:p>
  </w:footnote>
  <w:footnote w:id="24">
    <w:p w14:paraId="115D6DDD" w14:textId="0C732293" w:rsidR="00DD32E1" w:rsidRPr="00DD32E1" w:rsidRDefault="00DD32E1">
      <w:pPr>
        <w:pStyle w:val="FootnoteText"/>
        <w:rPr>
          <w:lang w:val="en-US"/>
        </w:rPr>
      </w:pPr>
      <w:r>
        <w:rPr>
          <w:rStyle w:val="FootnoteReference"/>
        </w:rPr>
        <w:footnoteRef/>
      </w:r>
      <w:r>
        <w:t xml:space="preserve"> </w:t>
      </w:r>
      <w:r w:rsidRPr="005F3EE5">
        <w:t>Meta 2021</w:t>
      </w:r>
      <w:r w:rsidR="00DE5FEE">
        <w:t>.</w:t>
      </w:r>
      <w:r w:rsidRPr="005F3EE5">
        <w:t xml:space="preserve"> </w:t>
      </w:r>
      <w:r w:rsidRPr="00DE5FEE">
        <w:rPr>
          <w:i/>
          <w:iCs/>
        </w:rPr>
        <w:t xml:space="preserve">Transfer Your Facebook Posts and Notes </w:t>
      </w:r>
      <w:proofErr w:type="gramStart"/>
      <w:r w:rsidRPr="00DE5FEE">
        <w:rPr>
          <w:i/>
          <w:iCs/>
        </w:rPr>
        <w:t>With</w:t>
      </w:r>
      <w:proofErr w:type="gramEnd"/>
      <w:r w:rsidRPr="00DE5FEE">
        <w:rPr>
          <w:i/>
          <w:iCs/>
        </w:rPr>
        <w:t xml:space="preserve"> Our Expanded Data Portability Tool</w:t>
      </w:r>
      <w:r w:rsidR="00DE5FEE">
        <w:t>.</w:t>
      </w:r>
      <w:r w:rsidRPr="005F3EE5">
        <w:t xml:space="preserve"> </w:t>
      </w:r>
      <w:r w:rsidR="00DE5FEE">
        <w:t>A</w:t>
      </w:r>
      <w:r w:rsidRPr="005F3EE5">
        <w:t>vailable</w:t>
      </w:r>
      <w:r w:rsidR="00DE5FEE">
        <w:t xml:space="preserve"> at</w:t>
      </w:r>
      <w:r w:rsidRPr="005F3EE5">
        <w:t xml:space="preserve">: </w:t>
      </w:r>
      <w:hyperlink r:id="rId23" w:history="1">
        <w:r w:rsidRPr="003248D7">
          <w:rPr>
            <w:rStyle w:val="Hyperlink"/>
          </w:rPr>
          <w:t>https://about.fb.com/news/2021/04/transfer-your-facebook-posts-and-notes-with-our-expanded-data-portability-tool/</w:t>
        </w:r>
      </w:hyperlink>
    </w:p>
  </w:footnote>
  <w:footnote w:id="25">
    <w:p w14:paraId="6C8A055B" w14:textId="7ABCD8F1" w:rsidR="000A1269" w:rsidRPr="000A1269" w:rsidRDefault="000A1269">
      <w:pPr>
        <w:pStyle w:val="FootnoteText"/>
        <w:rPr>
          <w:lang w:val="en-US"/>
        </w:rPr>
      </w:pPr>
      <w:r>
        <w:rPr>
          <w:rStyle w:val="FootnoteReference"/>
        </w:rPr>
        <w:footnoteRef/>
      </w:r>
      <w:r>
        <w:t xml:space="preserve"> </w:t>
      </w:r>
      <w:r>
        <w:rPr>
          <w:lang w:val="en-US"/>
        </w:rPr>
        <w:t>ACCAN 2022</w:t>
      </w:r>
      <w:r w:rsidR="00931738">
        <w:rPr>
          <w:lang w:val="en-US"/>
        </w:rPr>
        <w:t>.</w:t>
      </w:r>
      <w:r w:rsidR="00F3217C">
        <w:rPr>
          <w:lang w:val="en-US"/>
        </w:rPr>
        <w:t xml:space="preserve"> </w:t>
      </w:r>
      <w:r w:rsidR="00F3217C" w:rsidRPr="00F3217C">
        <w:rPr>
          <w:i/>
          <w:iCs/>
          <w:lang w:val="en-US"/>
        </w:rPr>
        <w:t>Digital Platform Services Inquiry – March 2023 Report on Social Media Services.</w:t>
      </w:r>
      <w:r w:rsidR="00931738">
        <w:rPr>
          <w:lang w:val="en-US"/>
        </w:rPr>
        <w:t xml:space="preserve"> Available at: </w:t>
      </w:r>
      <w:hyperlink r:id="rId24" w:history="1">
        <w:r w:rsidR="00931738" w:rsidRPr="00C32190">
          <w:rPr>
            <w:rStyle w:val="Hyperlink"/>
            <w:lang w:val="en-US"/>
          </w:rPr>
          <w:t>https://accan.org.au/accans-work/submissions/2018-accc-report-on-social-media-services-issues-paper</w:t>
        </w:r>
      </w:hyperlink>
      <w:r w:rsidR="00931738">
        <w:rPr>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02EE8" w14:textId="77777777" w:rsidR="00200982" w:rsidRPr="00AD3EFC" w:rsidRDefault="00AD3EFC" w:rsidP="00CB1B60">
    <w:pPr>
      <w:pStyle w:val="Letterhead2"/>
    </w:pPr>
    <w:r>
      <w:rPr>
        <w:noProof/>
      </w:rPr>
      <w:drawing>
        <wp:anchor distT="0" distB="0" distL="114300" distR="114300" simplePos="0" relativeHeight="251658240" behindDoc="0" locked="0" layoutInCell="1" allowOverlap="1" wp14:anchorId="3DD93467" wp14:editId="7B7DBE3B">
          <wp:simplePos x="0" y="0"/>
          <wp:positionH relativeFrom="column">
            <wp:posOffset>-4445</wp:posOffset>
          </wp:positionH>
          <wp:positionV relativeFrom="page">
            <wp:posOffset>224790</wp:posOffset>
          </wp:positionV>
          <wp:extent cx="777240" cy="335915"/>
          <wp:effectExtent l="0" t="0" r="3810" b="6985"/>
          <wp:wrapSquare wrapText="bothSides"/>
          <wp:docPr id="12" name="Picture 12">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hlinkClick r:id="rId1"/>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 cy="335915"/>
                  </a:xfrm>
                  <a:prstGeom prst="rect">
                    <a:avLst/>
                  </a:prstGeom>
                  <a:noFill/>
                </pic:spPr>
              </pic:pic>
            </a:graphicData>
          </a:graphic>
          <wp14:sizeRelH relativeFrom="margin">
            <wp14:pctWidth>0</wp14:pctWidth>
          </wp14:sizeRelH>
          <wp14:sizeRelV relativeFrom="margin">
            <wp14:pctHeight>0</wp14:pctHeight>
          </wp14:sizeRelV>
        </wp:anchor>
      </w:drawing>
    </w:r>
    <w:r>
      <w:t xml:space="preserve">   Your </w:t>
    </w:r>
    <w:r w:rsidRPr="00CF0438">
      <w:t>consumer</w:t>
    </w:r>
    <w:r>
      <w:t xml:space="preserve"> voice on phones and internet</w:t>
    </w:r>
    <w:r>
      <w:rPr>
        <w:noProof/>
      </w:rPr>
      <mc:AlternateContent>
        <mc:Choice Requires="wps">
          <w:drawing>
            <wp:anchor distT="0" distB="0" distL="114300" distR="114300" simplePos="0" relativeHeight="251658241" behindDoc="1" locked="0" layoutInCell="1" allowOverlap="1" wp14:anchorId="5EEA4598" wp14:editId="627E9258">
              <wp:simplePos x="0" y="0"/>
              <wp:positionH relativeFrom="column">
                <wp:posOffset>-574675</wp:posOffset>
              </wp:positionH>
              <wp:positionV relativeFrom="page">
                <wp:posOffset>694055</wp:posOffset>
              </wp:positionV>
              <wp:extent cx="6894195" cy="46990"/>
              <wp:effectExtent l="0" t="0" r="1905"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93560" cy="4635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rto="http://schemas.microsoft.com/office/word/2006/arto">
          <w:pict>
            <v:rect w14:anchorId="0A226A87" id="Rectangle 1" o:spid="_x0000_s1026" alt="&quot;&quot;" style="position:absolute;margin-left:-45.25pt;margin-top:54.65pt;width:542.85pt;height:3.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" fillcolor="#43c7f4" stroked="f" strokeweight="2pt">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40A57"/>
    <w:multiLevelType w:val="hybridMultilevel"/>
    <w:tmpl w:val="A7A27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D271A2"/>
    <w:multiLevelType w:val="hybridMultilevel"/>
    <w:tmpl w:val="EEE69ECC"/>
    <w:lvl w:ilvl="0" w:tplc="A914F1F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8BE03AC"/>
    <w:multiLevelType w:val="hybridMultilevel"/>
    <w:tmpl w:val="22E04C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55504ED"/>
    <w:multiLevelType w:val="hybridMultilevel"/>
    <w:tmpl w:val="D444E978"/>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4" w15:restartNumberingAfterBreak="0">
    <w:nsid w:val="167E26F5"/>
    <w:multiLevelType w:val="hybridMultilevel"/>
    <w:tmpl w:val="957064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A4F73F1"/>
    <w:multiLevelType w:val="hybridMultilevel"/>
    <w:tmpl w:val="68D092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03A1586"/>
    <w:multiLevelType w:val="hybridMultilevel"/>
    <w:tmpl w:val="F676B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2DB61A9"/>
    <w:multiLevelType w:val="hybridMultilevel"/>
    <w:tmpl w:val="9AF41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3117D64"/>
    <w:multiLevelType w:val="hybridMultilevel"/>
    <w:tmpl w:val="5E507A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344104C"/>
    <w:multiLevelType w:val="hybridMultilevel"/>
    <w:tmpl w:val="D1148F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591769E"/>
    <w:multiLevelType w:val="hybridMultilevel"/>
    <w:tmpl w:val="F0687C34"/>
    <w:lvl w:ilvl="0" w:tplc="1E32A4B2">
      <w:numFmt w:val="bullet"/>
      <w:lvlText w:val="•"/>
      <w:lvlJc w:val="left"/>
      <w:pPr>
        <w:ind w:left="1080" w:hanging="72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9CA6F09"/>
    <w:multiLevelType w:val="hybridMultilevel"/>
    <w:tmpl w:val="E276689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2B617668"/>
    <w:multiLevelType w:val="hybridMultilevel"/>
    <w:tmpl w:val="9DC8A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277"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14" w15:restartNumberingAfterBreak="0">
    <w:nsid w:val="30EA3AFD"/>
    <w:multiLevelType w:val="hybridMultilevel"/>
    <w:tmpl w:val="7C0C4234"/>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5" w15:restartNumberingAfterBreak="0">
    <w:nsid w:val="337C5FB2"/>
    <w:multiLevelType w:val="multilevel"/>
    <w:tmpl w:val="6AFEEB4C"/>
    <w:numStyleLink w:val="Bullets"/>
  </w:abstractNum>
  <w:abstractNum w:abstractNumId="16" w15:restartNumberingAfterBreak="0">
    <w:nsid w:val="35F41370"/>
    <w:multiLevelType w:val="multilevel"/>
    <w:tmpl w:val="9384D0D8"/>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17" w15:restartNumberingAfterBreak="0">
    <w:nsid w:val="364709A3"/>
    <w:multiLevelType w:val="hybridMultilevel"/>
    <w:tmpl w:val="A0F45848"/>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8" w15:restartNumberingAfterBreak="0">
    <w:nsid w:val="3DCA3F08"/>
    <w:multiLevelType w:val="hybridMultilevel"/>
    <w:tmpl w:val="C72C623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3E7250C7"/>
    <w:multiLevelType w:val="hybridMultilevel"/>
    <w:tmpl w:val="2DE64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EC82FE8"/>
    <w:multiLevelType w:val="hybridMultilevel"/>
    <w:tmpl w:val="A198BA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3F877273"/>
    <w:multiLevelType w:val="hybridMultilevel"/>
    <w:tmpl w:val="E7A416D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3FA72970"/>
    <w:multiLevelType w:val="hybridMultilevel"/>
    <w:tmpl w:val="F0EAFC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4F355D6"/>
    <w:multiLevelType w:val="hybridMultilevel"/>
    <w:tmpl w:val="7CEA9E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C743F96"/>
    <w:multiLevelType w:val="hybridMultilevel"/>
    <w:tmpl w:val="1EBC67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CA356FB"/>
    <w:multiLevelType w:val="hybridMultilevel"/>
    <w:tmpl w:val="69F66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D7725A1"/>
    <w:multiLevelType w:val="hybridMultilevel"/>
    <w:tmpl w:val="B5D08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7EA6FFA"/>
    <w:multiLevelType w:val="hybridMultilevel"/>
    <w:tmpl w:val="6954256C"/>
    <w:lvl w:ilvl="0" w:tplc="8832724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BB90838"/>
    <w:multiLevelType w:val="hybridMultilevel"/>
    <w:tmpl w:val="061A666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9" w15:restartNumberingAfterBreak="0">
    <w:nsid w:val="6208277C"/>
    <w:multiLevelType w:val="hybridMultilevel"/>
    <w:tmpl w:val="5E507A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2E82CAA"/>
    <w:multiLevelType w:val="hybridMultilevel"/>
    <w:tmpl w:val="5906AF9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1" w15:restartNumberingAfterBreak="0">
    <w:nsid w:val="64585F0D"/>
    <w:multiLevelType w:val="hybridMultilevel"/>
    <w:tmpl w:val="7C9E532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2" w15:restartNumberingAfterBreak="0">
    <w:nsid w:val="65C21CCC"/>
    <w:multiLevelType w:val="hybridMultilevel"/>
    <w:tmpl w:val="006C9E68"/>
    <w:lvl w:ilvl="0" w:tplc="DC484678">
      <w:start w:val="3"/>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6E411E9"/>
    <w:multiLevelType w:val="hybridMultilevel"/>
    <w:tmpl w:val="F042AC26"/>
    <w:lvl w:ilvl="0" w:tplc="B6CC44BA">
      <w:start w:val="2"/>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7921178"/>
    <w:multiLevelType w:val="hybridMultilevel"/>
    <w:tmpl w:val="C038B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A1C0B34"/>
    <w:multiLevelType w:val="hybridMultilevel"/>
    <w:tmpl w:val="945AB8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B002D2B"/>
    <w:multiLevelType w:val="hybridMultilevel"/>
    <w:tmpl w:val="330E1B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BA852CB"/>
    <w:multiLevelType w:val="hybridMultilevel"/>
    <w:tmpl w:val="E4366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F902C3C"/>
    <w:multiLevelType w:val="hybridMultilevel"/>
    <w:tmpl w:val="7DD85F7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0AE0A63"/>
    <w:multiLevelType w:val="hybridMultilevel"/>
    <w:tmpl w:val="632026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74F60C4"/>
    <w:multiLevelType w:val="hybridMultilevel"/>
    <w:tmpl w:val="186684D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41" w15:restartNumberingAfterBreak="0">
    <w:nsid w:val="7E4C05EC"/>
    <w:multiLevelType w:val="hybridMultilevel"/>
    <w:tmpl w:val="C256FC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879441881">
    <w:abstractNumId w:val="32"/>
  </w:num>
  <w:num w:numId="2" w16cid:durableId="554198213">
    <w:abstractNumId w:val="22"/>
  </w:num>
  <w:num w:numId="3" w16cid:durableId="1459714332">
    <w:abstractNumId w:val="17"/>
  </w:num>
  <w:num w:numId="4" w16cid:durableId="1015155347">
    <w:abstractNumId w:val="12"/>
  </w:num>
  <w:num w:numId="5" w16cid:durableId="1898543529">
    <w:abstractNumId w:val="0"/>
  </w:num>
  <w:num w:numId="6" w16cid:durableId="1685596084">
    <w:abstractNumId w:val="37"/>
  </w:num>
  <w:num w:numId="7" w16cid:durableId="1546599748">
    <w:abstractNumId w:val="5"/>
  </w:num>
  <w:num w:numId="8" w16cid:durableId="77482571">
    <w:abstractNumId w:val="30"/>
  </w:num>
  <w:num w:numId="9" w16cid:durableId="98375053">
    <w:abstractNumId w:val="35"/>
  </w:num>
  <w:num w:numId="10" w16cid:durableId="945962014">
    <w:abstractNumId w:val="11"/>
  </w:num>
  <w:num w:numId="11" w16cid:durableId="786896026">
    <w:abstractNumId w:val="39"/>
  </w:num>
  <w:num w:numId="12" w16cid:durableId="1808543135">
    <w:abstractNumId w:val="14"/>
  </w:num>
  <w:num w:numId="13" w16cid:durableId="1489978143">
    <w:abstractNumId w:val="33"/>
  </w:num>
  <w:num w:numId="14" w16cid:durableId="105320621">
    <w:abstractNumId w:val="36"/>
  </w:num>
  <w:num w:numId="15" w16cid:durableId="368994361">
    <w:abstractNumId w:val="27"/>
  </w:num>
  <w:num w:numId="16" w16cid:durableId="1214200387">
    <w:abstractNumId w:val="21"/>
  </w:num>
  <w:num w:numId="17" w16cid:durableId="147794046">
    <w:abstractNumId w:val="18"/>
  </w:num>
  <w:num w:numId="18" w16cid:durableId="1053433715">
    <w:abstractNumId w:val="31"/>
  </w:num>
  <w:num w:numId="19" w16cid:durableId="143814499">
    <w:abstractNumId w:val="25"/>
  </w:num>
  <w:num w:numId="20" w16cid:durableId="1136530343">
    <w:abstractNumId w:val="20"/>
  </w:num>
  <w:num w:numId="21" w16cid:durableId="2054036504">
    <w:abstractNumId w:val="41"/>
  </w:num>
  <w:num w:numId="22" w16cid:durableId="1513690229">
    <w:abstractNumId w:val="38"/>
  </w:num>
  <w:num w:numId="23" w16cid:durableId="789008050">
    <w:abstractNumId w:val="34"/>
  </w:num>
  <w:num w:numId="24" w16cid:durableId="1286079148">
    <w:abstractNumId w:val="28"/>
  </w:num>
  <w:num w:numId="25" w16cid:durableId="421151579">
    <w:abstractNumId w:val="6"/>
  </w:num>
  <w:num w:numId="26" w16cid:durableId="2001034223">
    <w:abstractNumId w:val="9"/>
  </w:num>
  <w:num w:numId="27" w16cid:durableId="1394431146">
    <w:abstractNumId w:val="7"/>
  </w:num>
  <w:num w:numId="28" w16cid:durableId="1570380936">
    <w:abstractNumId w:val="26"/>
  </w:num>
  <w:num w:numId="29" w16cid:durableId="724060425">
    <w:abstractNumId w:val="3"/>
  </w:num>
  <w:num w:numId="30" w16cid:durableId="1605452575">
    <w:abstractNumId w:val="40"/>
  </w:num>
  <w:num w:numId="31" w16cid:durableId="1436443765">
    <w:abstractNumId w:val="16"/>
    <w:lvlOverride w:ilvl="0">
      <w:lvl w:ilvl="0">
        <w:start w:val="1"/>
        <w:numFmt w:val="decimal"/>
        <w:pStyle w:val="Recommendation"/>
        <w:lvlText w:val="Recommendation %1:"/>
        <w:lvlJc w:val="left"/>
        <w:pPr>
          <w:ind w:left="851" w:firstLine="0"/>
        </w:pPr>
        <w:rPr>
          <w:rFonts w:hint="default"/>
          <w:b/>
          <w:bCs/>
        </w:rPr>
      </w:lvl>
    </w:lvlOverride>
  </w:num>
  <w:num w:numId="32" w16cid:durableId="830676491">
    <w:abstractNumId w:val="16"/>
    <w:lvlOverride w:ilvl="0">
      <w:lvl w:ilvl="0">
        <w:start w:val="1"/>
        <w:numFmt w:val="decimal"/>
        <w:pStyle w:val="Recommendation"/>
        <w:lvlText w:val="Recommendation %1:"/>
        <w:lvlJc w:val="left"/>
        <w:pPr>
          <w:ind w:left="851" w:firstLine="0"/>
        </w:pPr>
        <w:rPr>
          <w:rFonts w:hint="default"/>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33" w16cid:durableId="1500849595">
    <w:abstractNumId w:val="13"/>
  </w:num>
  <w:num w:numId="34" w16cid:durableId="1148783176">
    <w:abstractNumId w:val="15"/>
  </w:num>
  <w:num w:numId="35" w16cid:durableId="143085516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992561182">
    <w:abstractNumId w:val="16"/>
  </w:num>
  <w:num w:numId="37" w16cid:durableId="1200095622">
    <w:abstractNumId w:val="8"/>
  </w:num>
  <w:num w:numId="38" w16cid:durableId="88694916">
    <w:abstractNumId w:val="29"/>
  </w:num>
  <w:num w:numId="39" w16cid:durableId="314264220">
    <w:abstractNumId w:val="4"/>
  </w:num>
  <w:num w:numId="40" w16cid:durableId="634140769">
    <w:abstractNumId w:val="10"/>
  </w:num>
  <w:num w:numId="41" w16cid:durableId="1806896378">
    <w:abstractNumId w:val="2"/>
  </w:num>
  <w:num w:numId="42" w16cid:durableId="1845783010">
    <w:abstractNumId w:val="1"/>
  </w:num>
  <w:num w:numId="43" w16cid:durableId="851459587">
    <w:abstractNumId w:val="23"/>
  </w:num>
  <w:num w:numId="44" w16cid:durableId="2066945794">
    <w:abstractNumId w:val="24"/>
  </w:num>
  <w:num w:numId="45" w16cid:durableId="23628470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372E"/>
    <w:rsid w:val="00001122"/>
    <w:rsid w:val="00002592"/>
    <w:rsid w:val="00002A84"/>
    <w:rsid w:val="000039D9"/>
    <w:rsid w:val="00005751"/>
    <w:rsid w:val="00005BA9"/>
    <w:rsid w:val="00006849"/>
    <w:rsid w:val="00006C00"/>
    <w:rsid w:val="00010916"/>
    <w:rsid w:val="00011B53"/>
    <w:rsid w:val="000130E1"/>
    <w:rsid w:val="00013839"/>
    <w:rsid w:val="00013DC0"/>
    <w:rsid w:val="00014E08"/>
    <w:rsid w:val="00015815"/>
    <w:rsid w:val="000158B5"/>
    <w:rsid w:val="00015945"/>
    <w:rsid w:val="00015B5F"/>
    <w:rsid w:val="0001751C"/>
    <w:rsid w:val="00017A8D"/>
    <w:rsid w:val="00017FF5"/>
    <w:rsid w:val="00020140"/>
    <w:rsid w:val="000207EF"/>
    <w:rsid w:val="00020DE7"/>
    <w:rsid w:val="0002144A"/>
    <w:rsid w:val="0002178D"/>
    <w:rsid w:val="00021EEE"/>
    <w:rsid w:val="00022392"/>
    <w:rsid w:val="00022D35"/>
    <w:rsid w:val="00023A71"/>
    <w:rsid w:val="00024857"/>
    <w:rsid w:val="00024E5A"/>
    <w:rsid w:val="00025032"/>
    <w:rsid w:val="00025EE1"/>
    <w:rsid w:val="00025FC3"/>
    <w:rsid w:val="00026D33"/>
    <w:rsid w:val="00026D3D"/>
    <w:rsid w:val="000309CE"/>
    <w:rsid w:val="00031596"/>
    <w:rsid w:val="00031DE1"/>
    <w:rsid w:val="00032441"/>
    <w:rsid w:val="00032BD3"/>
    <w:rsid w:val="00033C21"/>
    <w:rsid w:val="00033F49"/>
    <w:rsid w:val="000341DA"/>
    <w:rsid w:val="000345B4"/>
    <w:rsid w:val="0003530F"/>
    <w:rsid w:val="000354B9"/>
    <w:rsid w:val="000362DE"/>
    <w:rsid w:val="00036DA1"/>
    <w:rsid w:val="00036DEC"/>
    <w:rsid w:val="0003767E"/>
    <w:rsid w:val="00037A45"/>
    <w:rsid w:val="0004298F"/>
    <w:rsid w:val="000433DC"/>
    <w:rsid w:val="00043833"/>
    <w:rsid w:val="00044434"/>
    <w:rsid w:val="0004526C"/>
    <w:rsid w:val="000462FC"/>
    <w:rsid w:val="0004683C"/>
    <w:rsid w:val="00047B2E"/>
    <w:rsid w:val="00052737"/>
    <w:rsid w:val="00052A6E"/>
    <w:rsid w:val="00052C63"/>
    <w:rsid w:val="00052D56"/>
    <w:rsid w:val="000530BA"/>
    <w:rsid w:val="00053BD5"/>
    <w:rsid w:val="00056086"/>
    <w:rsid w:val="000564EA"/>
    <w:rsid w:val="00056A12"/>
    <w:rsid w:val="00056B7C"/>
    <w:rsid w:val="00056D71"/>
    <w:rsid w:val="000576D9"/>
    <w:rsid w:val="00057A92"/>
    <w:rsid w:val="0006049B"/>
    <w:rsid w:val="00061091"/>
    <w:rsid w:val="000611AD"/>
    <w:rsid w:val="00061AF9"/>
    <w:rsid w:val="00061D64"/>
    <w:rsid w:val="000622F7"/>
    <w:rsid w:val="000626AE"/>
    <w:rsid w:val="00062A46"/>
    <w:rsid w:val="00063D56"/>
    <w:rsid w:val="00063DD0"/>
    <w:rsid w:val="00064829"/>
    <w:rsid w:val="00066A53"/>
    <w:rsid w:val="00066C39"/>
    <w:rsid w:val="00066CD4"/>
    <w:rsid w:val="00066DC4"/>
    <w:rsid w:val="0006736B"/>
    <w:rsid w:val="00070924"/>
    <w:rsid w:val="00070F04"/>
    <w:rsid w:val="000725B0"/>
    <w:rsid w:val="00072C5D"/>
    <w:rsid w:val="00073494"/>
    <w:rsid w:val="00074521"/>
    <w:rsid w:val="00075399"/>
    <w:rsid w:val="000754CD"/>
    <w:rsid w:val="00075C32"/>
    <w:rsid w:val="00076512"/>
    <w:rsid w:val="00077240"/>
    <w:rsid w:val="00080461"/>
    <w:rsid w:val="0008068C"/>
    <w:rsid w:val="00080C89"/>
    <w:rsid w:val="00081C0D"/>
    <w:rsid w:val="00082D7E"/>
    <w:rsid w:val="0008352A"/>
    <w:rsid w:val="00083977"/>
    <w:rsid w:val="000840C2"/>
    <w:rsid w:val="00086136"/>
    <w:rsid w:val="00086378"/>
    <w:rsid w:val="00086A95"/>
    <w:rsid w:val="00087E9E"/>
    <w:rsid w:val="00090606"/>
    <w:rsid w:val="0009245D"/>
    <w:rsid w:val="00093547"/>
    <w:rsid w:val="00093A2A"/>
    <w:rsid w:val="000940C8"/>
    <w:rsid w:val="00094C9E"/>
    <w:rsid w:val="0009635D"/>
    <w:rsid w:val="00096E36"/>
    <w:rsid w:val="00096E76"/>
    <w:rsid w:val="00097B21"/>
    <w:rsid w:val="00097BE1"/>
    <w:rsid w:val="000A0DE3"/>
    <w:rsid w:val="000A1269"/>
    <w:rsid w:val="000A254F"/>
    <w:rsid w:val="000A2D59"/>
    <w:rsid w:val="000A3806"/>
    <w:rsid w:val="000A3FBC"/>
    <w:rsid w:val="000A41A1"/>
    <w:rsid w:val="000A4520"/>
    <w:rsid w:val="000A49E1"/>
    <w:rsid w:val="000A6140"/>
    <w:rsid w:val="000A6923"/>
    <w:rsid w:val="000B0519"/>
    <w:rsid w:val="000B11EF"/>
    <w:rsid w:val="000B141D"/>
    <w:rsid w:val="000B1C94"/>
    <w:rsid w:val="000B2020"/>
    <w:rsid w:val="000B2023"/>
    <w:rsid w:val="000B2C45"/>
    <w:rsid w:val="000B3159"/>
    <w:rsid w:val="000B351A"/>
    <w:rsid w:val="000B3B9F"/>
    <w:rsid w:val="000B47D8"/>
    <w:rsid w:val="000B58E0"/>
    <w:rsid w:val="000B5945"/>
    <w:rsid w:val="000B7682"/>
    <w:rsid w:val="000C14C2"/>
    <w:rsid w:val="000C231C"/>
    <w:rsid w:val="000C463F"/>
    <w:rsid w:val="000C48BE"/>
    <w:rsid w:val="000C4D5D"/>
    <w:rsid w:val="000C572D"/>
    <w:rsid w:val="000C5BAA"/>
    <w:rsid w:val="000C7431"/>
    <w:rsid w:val="000C754D"/>
    <w:rsid w:val="000D02C6"/>
    <w:rsid w:val="000D082E"/>
    <w:rsid w:val="000D0D4E"/>
    <w:rsid w:val="000D0F33"/>
    <w:rsid w:val="000D115F"/>
    <w:rsid w:val="000D17E4"/>
    <w:rsid w:val="000D18A2"/>
    <w:rsid w:val="000D1FF2"/>
    <w:rsid w:val="000D3421"/>
    <w:rsid w:val="000D3F85"/>
    <w:rsid w:val="000D5255"/>
    <w:rsid w:val="000D55BC"/>
    <w:rsid w:val="000D5641"/>
    <w:rsid w:val="000D5725"/>
    <w:rsid w:val="000D67CC"/>
    <w:rsid w:val="000D6C9F"/>
    <w:rsid w:val="000D6E34"/>
    <w:rsid w:val="000D73D0"/>
    <w:rsid w:val="000E00CB"/>
    <w:rsid w:val="000E0A5E"/>
    <w:rsid w:val="000E0E5B"/>
    <w:rsid w:val="000E1593"/>
    <w:rsid w:val="000E1BDF"/>
    <w:rsid w:val="000E2A17"/>
    <w:rsid w:val="000E41F3"/>
    <w:rsid w:val="000E4EF6"/>
    <w:rsid w:val="000E5988"/>
    <w:rsid w:val="000E5CAE"/>
    <w:rsid w:val="000E624D"/>
    <w:rsid w:val="000E6264"/>
    <w:rsid w:val="000F0991"/>
    <w:rsid w:val="000F21D4"/>
    <w:rsid w:val="000F22E6"/>
    <w:rsid w:val="000F3349"/>
    <w:rsid w:val="000F3856"/>
    <w:rsid w:val="000F3B34"/>
    <w:rsid w:val="000F3F5F"/>
    <w:rsid w:val="000F4410"/>
    <w:rsid w:val="000F488F"/>
    <w:rsid w:val="000F65A1"/>
    <w:rsid w:val="000F74AF"/>
    <w:rsid w:val="000F764C"/>
    <w:rsid w:val="001028BE"/>
    <w:rsid w:val="001028DC"/>
    <w:rsid w:val="00102AE0"/>
    <w:rsid w:val="001034DE"/>
    <w:rsid w:val="00103590"/>
    <w:rsid w:val="00103999"/>
    <w:rsid w:val="00103DAC"/>
    <w:rsid w:val="00104BB8"/>
    <w:rsid w:val="00104DAD"/>
    <w:rsid w:val="00105322"/>
    <w:rsid w:val="00105D91"/>
    <w:rsid w:val="00106AEC"/>
    <w:rsid w:val="00111B30"/>
    <w:rsid w:val="00111F02"/>
    <w:rsid w:val="00112D53"/>
    <w:rsid w:val="00113465"/>
    <w:rsid w:val="00113AE0"/>
    <w:rsid w:val="00114C90"/>
    <w:rsid w:val="00115A99"/>
    <w:rsid w:val="001173E1"/>
    <w:rsid w:val="001175EE"/>
    <w:rsid w:val="00120704"/>
    <w:rsid w:val="001217E2"/>
    <w:rsid w:val="001217FD"/>
    <w:rsid w:val="00121D47"/>
    <w:rsid w:val="00122DD1"/>
    <w:rsid w:val="00124F88"/>
    <w:rsid w:val="00125060"/>
    <w:rsid w:val="00126183"/>
    <w:rsid w:val="0012626F"/>
    <w:rsid w:val="0012636E"/>
    <w:rsid w:val="0012663D"/>
    <w:rsid w:val="00126B79"/>
    <w:rsid w:val="001270D6"/>
    <w:rsid w:val="001275E7"/>
    <w:rsid w:val="00127878"/>
    <w:rsid w:val="00130E70"/>
    <w:rsid w:val="001311D8"/>
    <w:rsid w:val="00131F04"/>
    <w:rsid w:val="00131F46"/>
    <w:rsid w:val="00132326"/>
    <w:rsid w:val="00132365"/>
    <w:rsid w:val="00133A24"/>
    <w:rsid w:val="00134197"/>
    <w:rsid w:val="00134BAC"/>
    <w:rsid w:val="00134F99"/>
    <w:rsid w:val="00135C01"/>
    <w:rsid w:val="001363ED"/>
    <w:rsid w:val="00136423"/>
    <w:rsid w:val="001368CC"/>
    <w:rsid w:val="00136E66"/>
    <w:rsid w:val="001370BB"/>
    <w:rsid w:val="00137C51"/>
    <w:rsid w:val="0014140D"/>
    <w:rsid w:val="00143436"/>
    <w:rsid w:val="0014368D"/>
    <w:rsid w:val="001444A9"/>
    <w:rsid w:val="00145394"/>
    <w:rsid w:val="0014552A"/>
    <w:rsid w:val="00147139"/>
    <w:rsid w:val="0015061A"/>
    <w:rsid w:val="00150873"/>
    <w:rsid w:val="001514F8"/>
    <w:rsid w:val="0015159F"/>
    <w:rsid w:val="00151EAB"/>
    <w:rsid w:val="00152738"/>
    <w:rsid w:val="001531E7"/>
    <w:rsid w:val="001537A7"/>
    <w:rsid w:val="00157466"/>
    <w:rsid w:val="001605C9"/>
    <w:rsid w:val="00160632"/>
    <w:rsid w:val="001617F8"/>
    <w:rsid w:val="00161AFA"/>
    <w:rsid w:val="00161B2B"/>
    <w:rsid w:val="001623E5"/>
    <w:rsid w:val="00162713"/>
    <w:rsid w:val="00163200"/>
    <w:rsid w:val="00163B56"/>
    <w:rsid w:val="00163EE4"/>
    <w:rsid w:val="00163F86"/>
    <w:rsid w:val="001643B1"/>
    <w:rsid w:val="00165C34"/>
    <w:rsid w:val="00167285"/>
    <w:rsid w:val="00167714"/>
    <w:rsid w:val="00167991"/>
    <w:rsid w:val="00167DFD"/>
    <w:rsid w:val="0017083D"/>
    <w:rsid w:val="00170B49"/>
    <w:rsid w:val="00171821"/>
    <w:rsid w:val="00171A30"/>
    <w:rsid w:val="00172EA2"/>
    <w:rsid w:val="001730E0"/>
    <w:rsid w:val="00173FE4"/>
    <w:rsid w:val="001750E9"/>
    <w:rsid w:val="001754ED"/>
    <w:rsid w:val="00175F44"/>
    <w:rsid w:val="00176545"/>
    <w:rsid w:val="001765C6"/>
    <w:rsid w:val="001766A1"/>
    <w:rsid w:val="001769CC"/>
    <w:rsid w:val="001776AB"/>
    <w:rsid w:val="00177BED"/>
    <w:rsid w:val="00177D01"/>
    <w:rsid w:val="00181387"/>
    <w:rsid w:val="001828D8"/>
    <w:rsid w:val="00182900"/>
    <w:rsid w:val="00184772"/>
    <w:rsid w:val="00184A4C"/>
    <w:rsid w:val="00185442"/>
    <w:rsid w:val="001871CD"/>
    <w:rsid w:val="001901E4"/>
    <w:rsid w:val="001905D2"/>
    <w:rsid w:val="0019340F"/>
    <w:rsid w:val="00193DB9"/>
    <w:rsid w:val="00193F17"/>
    <w:rsid w:val="0019461C"/>
    <w:rsid w:val="001948E0"/>
    <w:rsid w:val="00194DCA"/>
    <w:rsid w:val="00195035"/>
    <w:rsid w:val="0019567C"/>
    <w:rsid w:val="00196FE2"/>
    <w:rsid w:val="00197469"/>
    <w:rsid w:val="001A0171"/>
    <w:rsid w:val="001A0C22"/>
    <w:rsid w:val="001A2736"/>
    <w:rsid w:val="001A2BA5"/>
    <w:rsid w:val="001A3380"/>
    <w:rsid w:val="001A460F"/>
    <w:rsid w:val="001A5738"/>
    <w:rsid w:val="001A5861"/>
    <w:rsid w:val="001A5ACB"/>
    <w:rsid w:val="001A60E4"/>
    <w:rsid w:val="001A71EA"/>
    <w:rsid w:val="001A7711"/>
    <w:rsid w:val="001A772D"/>
    <w:rsid w:val="001A7F4F"/>
    <w:rsid w:val="001B0DED"/>
    <w:rsid w:val="001B17E8"/>
    <w:rsid w:val="001B1D0D"/>
    <w:rsid w:val="001B2CE5"/>
    <w:rsid w:val="001B2ED3"/>
    <w:rsid w:val="001B463F"/>
    <w:rsid w:val="001B4F92"/>
    <w:rsid w:val="001B526F"/>
    <w:rsid w:val="001B57AB"/>
    <w:rsid w:val="001B5856"/>
    <w:rsid w:val="001B5FB2"/>
    <w:rsid w:val="001B63DD"/>
    <w:rsid w:val="001B6438"/>
    <w:rsid w:val="001C0272"/>
    <w:rsid w:val="001C163D"/>
    <w:rsid w:val="001C2340"/>
    <w:rsid w:val="001C2F71"/>
    <w:rsid w:val="001C40D8"/>
    <w:rsid w:val="001C4264"/>
    <w:rsid w:val="001C4607"/>
    <w:rsid w:val="001C59DE"/>
    <w:rsid w:val="001C672F"/>
    <w:rsid w:val="001C673B"/>
    <w:rsid w:val="001D2405"/>
    <w:rsid w:val="001D296C"/>
    <w:rsid w:val="001D2B1B"/>
    <w:rsid w:val="001D3034"/>
    <w:rsid w:val="001D3BCB"/>
    <w:rsid w:val="001D4729"/>
    <w:rsid w:val="001D561A"/>
    <w:rsid w:val="001D5C22"/>
    <w:rsid w:val="001D63CE"/>
    <w:rsid w:val="001D684F"/>
    <w:rsid w:val="001D6E63"/>
    <w:rsid w:val="001D6F9E"/>
    <w:rsid w:val="001D71F3"/>
    <w:rsid w:val="001D7A1B"/>
    <w:rsid w:val="001D7BB4"/>
    <w:rsid w:val="001E00AF"/>
    <w:rsid w:val="001E0791"/>
    <w:rsid w:val="001E1706"/>
    <w:rsid w:val="001E1AE7"/>
    <w:rsid w:val="001E1D56"/>
    <w:rsid w:val="001E2813"/>
    <w:rsid w:val="001E29F2"/>
    <w:rsid w:val="001E3447"/>
    <w:rsid w:val="001E35FA"/>
    <w:rsid w:val="001E3CC3"/>
    <w:rsid w:val="001E65B2"/>
    <w:rsid w:val="001E6606"/>
    <w:rsid w:val="001E745F"/>
    <w:rsid w:val="001E7612"/>
    <w:rsid w:val="001E7889"/>
    <w:rsid w:val="001F013B"/>
    <w:rsid w:val="001F0ED1"/>
    <w:rsid w:val="001F1D5F"/>
    <w:rsid w:val="001F2532"/>
    <w:rsid w:val="001F3911"/>
    <w:rsid w:val="001F7374"/>
    <w:rsid w:val="001F77F6"/>
    <w:rsid w:val="0020028A"/>
    <w:rsid w:val="00200982"/>
    <w:rsid w:val="00203180"/>
    <w:rsid w:val="0020346A"/>
    <w:rsid w:val="00203621"/>
    <w:rsid w:val="00203719"/>
    <w:rsid w:val="0020434C"/>
    <w:rsid w:val="00204D1A"/>
    <w:rsid w:val="00204E09"/>
    <w:rsid w:val="002069EA"/>
    <w:rsid w:val="00206B07"/>
    <w:rsid w:val="00207BED"/>
    <w:rsid w:val="00207EC8"/>
    <w:rsid w:val="002104B7"/>
    <w:rsid w:val="00211174"/>
    <w:rsid w:val="002113C4"/>
    <w:rsid w:val="002114D9"/>
    <w:rsid w:val="002118F3"/>
    <w:rsid w:val="002140FC"/>
    <w:rsid w:val="0021413E"/>
    <w:rsid w:val="0021558D"/>
    <w:rsid w:val="00220F0A"/>
    <w:rsid w:val="00221866"/>
    <w:rsid w:val="0022241B"/>
    <w:rsid w:val="00223176"/>
    <w:rsid w:val="00224BA2"/>
    <w:rsid w:val="00225008"/>
    <w:rsid w:val="0022611F"/>
    <w:rsid w:val="0022755C"/>
    <w:rsid w:val="00230182"/>
    <w:rsid w:val="00230B61"/>
    <w:rsid w:val="00230F2C"/>
    <w:rsid w:val="002313EA"/>
    <w:rsid w:val="00231892"/>
    <w:rsid w:val="00232021"/>
    <w:rsid w:val="002326C4"/>
    <w:rsid w:val="00232C9D"/>
    <w:rsid w:val="00234DC0"/>
    <w:rsid w:val="00235D7C"/>
    <w:rsid w:val="002366E4"/>
    <w:rsid w:val="002375E4"/>
    <w:rsid w:val="00237B9E"/>
    <w:rsid w:val="002400EF"/>
    <w:rsid w:val="00240ACC"/>
    <w:rsid w:val="00241061"/>
    <w:rsid w:val="002412A0"/>
    <w:rsid w:val="002446C4"/>
    <w:rsid w:val="00244FE0"/>
    <w:rsid w:val="00245265"/>
    <w:rsid w:val="002456DD"/>
    <w:rsid w:val="00250413"/>
    <w:rsid w:val="00250988"/>
    <w:rsid w:val="002515D4"/>
    <w:rsid w:val="002516C2"/>
    <w:rsid w:val="00251782"/>
    <w:rsid w:val="00251FCC"/>
    <w:rsid w:val="00252148"/>
    <w:rsid w:val="0025223C"/>
    <w:rsid w:val="00252CDC"/>
    <w:rsid w:val="00252E5E"/>
    <w:rsid w:val="00253319"/>
    <w:rsid w:val="002542A0"/>
    <w:rsid w:val="00254C71"/>
    <w:rsid w:val="00255400"/>
    <w:rsid w:val="0025557A"/>
    <w:rsid w:val="002567BC"/>
    <w:rsid w:val="0026030A"/>
    <w:rsid w:val="00260397"/>
    <w:rsid w:val="00260D3F"/>
    <w:rsid w:val="00260EF3"/>
    <w:rsid w:val="00261658"/>
    <w:rsid w:val="002618C6"/>
    <w:rsid w:val="00261BA9"/>
    <w:rsid w:val="0026420E"/>
    <w:rsid w:val="0026652F"/>
    <w:rsid w:val="00266E46"/>
    <w:rsid w:val="0026705E"/>
    <w:rsid w:val="00267C07"/>
    <w:rsid w:val="00270340"/>
    <w:rsid w:val="0027168A"/>
    <w:rsid w:val="002718A5"/>
    <w:rsid w:val="00272512"/>
    <w:rsid w:val="00272C91"/>
    <w:rsid w:val="00274126"/>
    <w:rsid w:val="00274E04"/>
    <w:rsid w:val="00275A17"/>
    <w:rsid w:val="00275A1B"/>
    <w:rsid w:val="002767A3"/>
    <w:rsid w:val="00276F66"/>
    <w:rsid w:val="00277BA3"/>
    <w:rsid w:val="002801B4"/>
    <w:rsid w:val="00280451"/>
    <w:rsid w:val="00280E17"/>
    <w:rsid w:val="00280E66"/>
    <w:rsid w:val="00281129"/>
    <w:rsid w:val="00281259"/>
    <w:rsid w:val="00281BF5"/>
    <w:rsid w:val="00281CE2"/>
    <w:rsid w:val="00281FF9"/>
    <w:rsid w:val="00282A01"/>
    <w:rsid w:val="002841CB"/>
    <w:rsid w:val="00285E60"/>
    <w:rsid w:val="0028734E"/>
    <w:rsid w:val="00290395"/>
    <w:rsid w:val="00290E55"/>
    <w:rsid w:val="0029130F"/>
    <w:rsid w:val="00291704"/>
    <w:rsid w:val="00293C03"/>
    <w:rsid w:val="00294208"/>
    <w:rsid w:val="00294962"/>
    <w:rsid w:val="002949AF"/>
    <w:rsid w:val="00296672"/>
    <w:rsid w:val="00296DAA"/>
    <w:rsid w:val="00296FA3"/>
    <w:rsid w:val="00297550"/>
    <w:rsid w:val="002A06F1"/>
    <w:rsid w:val="002A08C2"/>
    <w:rsid w:val="002A0C5C"/>
    <w:rsid w:val="002A1728"/>
    <w:rsid w:val="002A2050"/>
    <w:rsid w:val="002A2E86"/>
    <w:rsid w:val="002A53E6"/>
    <w:rsid w:val="002A55F8"/>
    <w:rsid w:val="002A6483"/>
    <w:rsid w:val="002A6D0C"/>
    <w:rsid w:val="002B0920"/>
    <w:rsid w:val="002B101F"/>
    <w:rsid w:val="002B20B5"/>
    <w:rsid w:val="002B429F"/>
    <w:rsid w:val="002B7270"/>
    <w:rsid w:val="002B74E2"/>
    <w:rsid w:val="002B7840"/>
    <w:rsid w:val="002C173B"/>
    <w:rsid w:val="002C21D2"/>
    <w:rsid w:val="002C30D3"/>
    <w:rsid w:val="002C4CA2"/>
    <w:rsid w:val="002C53A3"/>
    <w:rsid w:val="002C58B8"/>
    <w:rsid w:val="002C6141"/>
    <w:rsid w:val="002C6931"/>
    <w:rsid w:val="002C746E"/>
    <w:rsid w:val="002C7F9B"/>
    <w:rsid w:val="002D0309"/>
    <w:rsid w:val="002D09D3"/>
    <w:rsid w:val="002D0BF9"/>
    <w:rsid w:val="002D0D50"/>
    <w:rsid w:val="002D0E21"/>
    <w:rsid w:val="002D1039"/>
    <w:rsid w:val="002D16D3"/>
    <w:rsid w:val="002D1707"/>
    <w:rsid w:val="002D175E"/>
    <w:rsid w:val="002D18C5"/>
    <w:rsid w:val="002D1E8A"/>
    <w:rsid w:val="002D3896"/>
    <w:rsid w:val="002D3B1E"/>
    <w:rsid w:val="002D45BE"/>
    <w:rsid w:val="002D4925"/>
    <w:rsid w:val="002D57F5"/>
    <w:rsid w:val="002D6E80"/>
    <w:rsid w:val="002D710B"/>
    <w:rsid w:val="002D73BC"/>
    <w:rsid w:val="002D7ACE"/>
    <w:rsid w:val="002E106D"/>
    <w:rsid w:val="002E1A64"/>
    <w:rsid w:val="002E225B"/>
    <w:rsid w:val="002E39B9"/>
    <w:rsid w:val="002E4FFE"/>
    <w:rsid w:val="002E53FD"/>
    <w:rsid w:val="002E546B"/>
    <w:rsid w:val="002E5AFB"/>
    <w:rsid w:val="002E6244"/>
    <w:rsid w:val="002E652C"/>
    <w:rsid w:val="002E6A40"/>
    <w:rsid w:val="002F0F38"/>
    <w:rsid w:val="002F1EFA"/>
    <w:rsid w:val="002F2308"/>
    <w:rsid w:val="002F292E"/>
    <w:rsid w:val="002F2ADF"/>
    <w:rsid w:val="002F2E89"/>
    <w:rsid w:val="002F316A"/>
    <w:rsid w:val="002F3851"/>
    <w:rsid w:val="002F42B6"/>
    <w:rsid w:val="002F4708"/>
    <w:rsid w:val="002F47FA"/>
    <w:rsid w:val="002F48F3"/>
    <w:rsid w:val="002F5447"/>
    <w:rsid w:val="002F5E4B"/>
    <w:rsid w:val="003010BE"/>
    <w:rsid w:val="00301A71"/>
    <w:rsid w:val="00301D3A"/>
    <w:rsid w:val="003025AF"/>
    <w:rsid w:val="00302A8F"/>
    <w:rsid w:val="00302D3C"/>
    <w:rsid w:val="003044FB"/>
    <w:rsid w:val="00304F8F"/>
    <w:rsid w:val="003058C2"/>
    <w:rsid w:val="00305937"/>
    <w:rsid w:val="003060C9"/>
    <w:rsid w:val="003065DD"/>
    <w:rsid w:val="003068B6"/>
    <w:rsid w:val="00306FE5"/>
    <w:rsid w:val="00307EF5"/>
    <w:rsid w:val="00310CBD"/>
    <w:rsid w:val="003113F6"/>
    <w:rsid w:val="00311973"/>
    <w:rsid w:val="00311D09"/>
    <w:rsid w:val="00312CFE"/>
    <w:rsid w:val="003134D9"/>
    <w:rsid w:val="00313A88"/>
    <w:rsid w:val="003142B2"/>
    <w:rsid w:val="00314B8C"/>
    <w:rsid w:val="00316024"/>
    <w:rsid w:val="0031654A"/>
    <w:rsid w:val="00316C03"/>
    <w:rsid w:val="00316FAD"/>
    <w:rsid w:val="00317E1B"/>
    <w:rsid w:val="00317E63"/>
    <w:rsid w:val="0032078E"/>
    <w:rsid w:val="0032136A"/>
    <w:rsid w:val="003230E9"/>
    <w:rsid w:val="003231B1"/>
    <w:rsid w:val="00325048"/>
    <w:rsid w:val="00325F68"/>
    <w:rsid w:val="00326CA5"/>
    <w:rsid w:val="00327068"/>
    <w:rsid w:val="00330CFF"/>
    <w:rsid w:val="00333138"/>
    <w:rsid w:val="00333F12"/>
    <w:rsid w:val="00333FB2"/>
    <w:rsid w:val="00334409"/>
    <w:rsid w:val="00335CE7"/>
    <w:rsid w:val="00336080"/>
    <w:rsid w:val="003367F5"/>
    <w:rsid w:val="00336BC3"/>
    <w:rsid w:val="00336F1E"/>
    <w:rsid w:val="00337FE3"/>
    <w:rsid w:val="003403FD"/>
    <w:rsid w:val="00340A76"/>
    <w:rsid w:val="00340EAA"/>
    <w:rsid w:val="0034293B"/>
    <w:rsid w:val="00342DFD"/>
    <w:rsid w:val="003437B0"/>
    <w:rsid w:val="00343CDD"/>
    <w:rsid w:val="00344235"/>
    <w:rsid w:val="003444A4"/>
    <w:rsid w:val="003446B9"/>
    <w:rsid w:val="0034476C"/>
    <w:rsid w:val="00345D9D"/>
    <w:rsid w:val="00346E15"/>
    <w:rsid w:val="00347490"/>
    <w:rsid w:val="00351C15"/>
    <w:rsid w:val="00351F70"/>
    <w:rsid w:val="003521C8"/>
    <w:rsid w:val="00352468"/>
    <w:rsid w:val="00352792"/>
    <w:rsid w:val="00352C68"/>
    <w:rsid w:val="00353245"/>
    <w:rsid w:val="003532F3"/>
    <w:rsid w:val="00353BFD"/>
    <w:rsid w:val="00353CF7"/>
    <w:rsid w:val="00354371"/>
    <w:rsid w:val="00354BAF"/>
    <w:rsid w:val="00356E85"/>
    <w:rsid w:val="00360559"/>
    <w:rsid w:val="00360987"/>
    <w:rsid w:val="003626DD"/>
    <w:rsid w:val="00364419"/>
    <w:rsid w:val="0036493A"/>
    <w:rsid w:val="00364A72"/>
    <w:rsid w:val="003670C5"/>
    <w:rsid w:val="003678B7"/>
    <w:rsid w:val="00370BF8"/>
    <w:rsid w:val="0037148B"/>
    <w:rsid w:val="00372612"/>
    <w:rsid w:val="00372D34"/>
    <w:rsid w:val="00372F65"/>
    <w:rsid w:val="0037303F"/>
    <w:rsid w:val="00373435"/>
    <w:rsid w:val="003737DB"/>
    <w:rsid w:val="003742A1"/>
    <w:rsid w:val="0037467B"/>
    <w:rsid w:val="00374A09"/>
    <w:rsid w:val="00374B1F"/>
    <w:rsid w:val="00374EBB"/>
    <w:rsid w:val="00374F08"/>
    <w:rsid w:val="003753FF"/>
    <w:rsid w:val="00375D25"/>
    <w:rsid w:val="00377437"/>
    <w:rsid w:val="00377996"/>
    <w:rsid w:val="00381C48"/>
    <w:rsid w:val="00381C83"/>
    <w:rsid w:val="00382710"/>
    <w:rsid w:val="00382EE5"/>
    <w:rsid w:val="00383202"/>
    <w:rsid w:val="00383369"/>
    <w:rsid w:val="003846BA"/>
    <w:rsid w:val="00384E16"/>
    <w:rsid w:val="00386C98"/>
    <w:rsid w:val="00392B9A"/>
    <w:rsid w:val="003940C0"/>
    <w:rsid w:val="0039416E"/>
    <w:rsid w:val="003954FB"/>
    <w:rsid w:val="0039585A"/>
    <w:rsid w:val="00396248"/>
    <w:rsid w:val="00397404"/>
    <w:rsid w:val="003A0471"/>
    <w:rsid w:val="003A088E"/>
    <w:rsid w:val="003A0CF0"/>
    <w:rsid w:val="003A1B72"/>
    <w:rsid w:val="003A22CB"/>
    <w:rsid w:val="003A2485"/>
    <w:rsid w:val="003A2528"/>
    <w:rsid w:val="003A2885"/>
    <w:rsid w:val="003A2E73"/>
    <w:rsid w:val="003A4460"/>
    <w:rsid w:val="003A504A"/>
    <w:rsid w:val="003A5872"/>
    <w:rsid w:val="003A6429"/>
    <w:rsid w:val="003A7B77"/>
    <w:rsid w:val="003B0198"/>
    <w:rsid w:val="003B02EE"/>
    <w:rsid w:val="003B031B"/>
    <w:rsid w:val="003B0D62"/>
    <w:rsid w:val="003B0F4E"/>
    <w:rsid w:val="003B2D2B"/>
    <w:rsid w:val="003B31D7"/>
    <w:rsid w:val="003B4F26"/>
    <w:rsid w:val="003B4F60"/>
    <w:rsid w:val="003B5450"/>
    <w:rsid w:val="003B5F2E"/>
    <w:rsid w:val="003B6705"/>
    <w:rsid w:val="003B72CF"/>
    <w:rsid w:val="003C0ABE"/>
    <w:rsid w:val="003C1118"/>
    <w:rsid w:val="003C29C0"/>
    <w:rsid w:val="003C2B2F"/>
    <w:rsid w:val="003C3084"/>
    <w:rsid w:val="003C3463"/>
    <w:rsid w:val="003C3577"/>
    <w:rsid w:val="003C530F"/>
    <w:rsid w:val="003C6711"/>
    <w:rsid w:val="003C7551"/>
    <w:rsid w:val="003C763A"/>
    <w:rsid w:val="003C7E27"/>
    <w:rsid w:val="003D00C6"/>
    <w:rsid w:val="003D0E3D"/>
    <w:rsid w:val="003D2D7A"/>
    <w:rsid w:val="003D2F73"/>
    <w:rsid w:val="003D4F36"/>
    <w:rsid w:val="003D5727"/>
    <w:rsid w:val="003D5997"/>
    <w:rsid w:val="003D7569"/>
    <w:rsid w:val="003D7C36"/>
    <w:rsid w:val="003D7DCC"/>
    <w:rsid w:val="003E02CB"/>
    <w:rsid w:val="003E0713"/>
    <w:rsid w:val="003E0D52"/>
    <w:rsid w:val="003E281F"/>
    <w:rsid w:val="003E2DAA"/>
    <w:rsid w:val="003E2EC6"/>
    <w:rsid w:val="003E3ABE"/>
    <w:rsid w:val="003E3D2C"/>
    <w:rsid w:val="003E4359"/>
    <w:rsid w:val="003E57DE"/>
    <w:rsid w:val="003E6B2C"/>
    <w:rsid w:val="003F0FC3"/>
    <w:rsid w:val="003F1AE5"/>
    <w:rsid w:val="003F302D"/>
    <w:rsid w:val="003F3FBD"/>
    <w:rsid w:val="003F748C"/>
    <w:rsid w:val="003F74E3"/>
    <w:rsid w:val="00401C2C"/>
    <w:rsid w:val="0040204B"/>
    <w:rsid w:val="00403105"/>
    <w:rsid w:val="00403C02"/>
    <w:rsid w:val="004046A1"/>
    <w:rsid w:val="0040477A"/>
    <w:rsid w:val="00404A6B"/>
    <w:rsid w:val="00405151"/>
    <w:rsid w:val="0040544A"/>
    <w:rsid w:val="0040553A"/>
    <w:rsid w:val="00407364"/>
    <w:rsid w:val="00410714"/>
    <w:rsid w:val="00411053"/>
    <w:rsid w:val="004112F5"/>
    <w:rsid w:val="00411931"/>
    <w:rsid w:val="00411B54"/>
    <w:rsid w:val="00412B10"/>
    <w:rsid w:val="00413115"/>
    <w:rsid w:val="00413565"/>
    <w:rsid w:val="00415F1A"/>
    <w:rsid w:val="004163D9"/>
    <w:rsid w:val="0041723D"/>
    <w:rsid w:val="004205D1"/>
    <w:rsid w:val="00420649"/>
    <w:rsid w:val="00420908"/>
    <w:rsid w:val="0042349C"/>
    <w:rsid w:val="004234D1"/>
    <w:rsid w:val="00423BB4"/>
    <w:rsid w:val="0042440F"/>
    <w:rsid w:val="00425B14"/>
    <w:rsid w:val="00426E45"/>
    <w:rsid w:val="00431D23"/>
    <w:rsid w:val="00431DB3"/>
    <w:rsid w:val="00431DB4"/>
    <w:rsid w:val="00432457"/>
    <w:rsid w:val="00432683"/>
    <w:rsid w:val="00432BB9"/>
    <w:rsid w:val="0043310D"/>
    <w:rsid w:val="00434296"/>
    <w:rsid w:val="0043484A"/>
    <w:rsid w:val="00434C0C"/>
    <w:rsid w:val="00435021"/>
    <w:rsid w:val="00435029"/>
    <w:rsid w:val="00436650"/>
    <w:rsid w:val="00437139"/>
    <w:rsid w:val="004400AD"/>
    <w:rsid w:val="004405D5"/>
    <w:rsid w:val="00442134"/>
    <w:rsid w:val="004431B1"/>
    <w:rsid w:val="00443D19"/>
    <w:rsid w:val="004459D2"/>
    <w:rsid w:val="00445BB7"/>
    <w:rsid w:val="00445D76"/>
    <w:rsid w:val="00450901"/>
    <w:rsid w:val="00451585"/>
    <w:rsid w:val="004519BD"/>
    <w:rsid w:val="004521E0"/>
    <w:rsid w:val="004523A4"/>
    <w:rsid w:val="00452771"/>
    <w:rsid w:val="004528C4"/>
    <w:rsid w:val="004532F8"/>
    <w:rsid w:val="00453DC0"/>
    <w:rsid w:val="00453EDB"/>
    <w:rsid w:val="00455428"/>
    <w:rsid w:val="0045623A"/>
    <w:rsid w:val="00456C63"/>
    <w:rsid w:val="00456C80"/>
    <w:rsid w:val="004572B8"/>
    <w:rsid w:val="00457478"/>
    <w:rsid w:val="00457A53"/>
    <w:rsid w:val="0046067C"/>
    <w:rsid w:val="00460AB8"/>
    <w:rsid w:val="00461876"/>
    <w:rsid w:val="00461AA6"/>
    <w:rsid w:val="00463C04"/>
    <w:rsid w:val="00463DE2"/>
    <w:rsid w:val="00464A19"/>
    <w:rsid w:val="004652AC"/>
    <w:rsid w:val="0046620E"/>
    <w:rsid w:val="00467840"/>
    <w:rsid w:val="00470338"/>
    <w:rsid w:val="00470B4F"/>
    <w:rsid w:val="00472A35"/>
    <w:rsid w:val="00472F28"/>
    <w:rsid w:val="004741C7"/>
    <w:rsid w:val="00474FA6"/>
    <w:rsid w:val="004755BE"/>
    <w:rsid w:val="00476BD4"/>
    <w:rsid w:val="00480FFA"/>
    <w:rsid w:val="0048163E"/>
    <w:rsid w:val="0048165C"/>
    <w:rsid w:val="004816B5"/>
    <w:rsid w:val="00481827"/>
    <w:rsid w:val="0048317F"/>
    <w:rsid w:val="00484120"/>
    <w:rsid w:val="00484C3D"/>
    <w:rsid w:val="00485226"/>
    <w:rsid w:val="004859B6"/>
    <w:rsid w:val="00487E7D"/>
    <w:rsid w:val="00487EC4"/>
    <w:rsid w:val="00491F05"/>
    <w:rsid w:val="0049257F"/>
    <w:rsid w:val="00492DA2"/>
    <w:rsid w:val="00492DE9"/>
    <w:rsid w:val="00493666"/>
    <w:rsid w:val="00494D77"/>
    <w:rsid w:val="0049502E"/>
    <w:rsid w:val="00495914"/>
    <w:rsid w:val="004960F0"/>
    <w:rsid w:val="004969CF"/>
    <w:rsid w:val="00497096"/>
    <w:rsid w:val="00497F47"/>
    <w:rsid w:val="004A06CD"/>
    <w:rsid w:val="004A1660"/>
    <w:rsid w:val="004A1D33"/>
    <w:rsid w:val="004A29D0"/>
    <w:rsid w:val="004A3908"/>
    <w:rsid w:val="004A4988"/>
    <w:rsid w:val="004A4C19"/>
    <w:rsid w:val="004A5421"/>
    <w:rsid w:val="004A59D4"/>
    <w:rsid w:val="004A5E82"/>
    <w:rsid w:val="004A631E"/>
    <w:rsid w:val="004A6815"/>
    <w:rsid w:val="004A6866"/>
    <w:rsid w:val="004A6F23"/>
    <w:rsid w:val="004B02EF"/>
    <w:rsid w:val="004B0BBF"/>
    <w:rsid w:val="004B10BB"/>
    <w:rsid w:val="004B2773"/>
    <w:rsid w:val="004B2D66"/>
    <w:rsid w:val="004B46D7"/>
    <w:rsid w:val="004B4CB4"/>
    <w:rsid w:val="004B4D86"/>
    <w:rsid w:val="004B7A5E"/>
    <w:rsid w:val="004C04CB"/>
    <w:rsid w:val="004C09B2"/>
    <w:rsid w:val="004C175A"/>
    <w:rsid w:val="004C3231"/>
    <w:rsid w:val="004C3979"/>
    <w:rsid w:val="004C45D1"/>
    <w:rsid w:val="004C4698"/>
    <w:rsid w:val="004C49E2"/>
    <w:rsid w:val="004C6001"/>
    <w:rsid w:val="004C644B"/>
    <w:rsid w:val="004D01B3"/>
    <w:rsid w:val="004D054B"/>
    <w:rsid w:val="004D1919"/>
    <w:rsid w:val="004D1EC9"/>
    <w:rsid w:val="004D2757"/>
    <w:rsid w:val="004D2A36"/>
    <w:rsid w:val="004D2CE5"/>
    <w:rsid w:val="004D34AA"/>
    <w:rsid w:val="004D39C5"/>
    <w:rsid w:val="004D3F6A"/>
    <w:rsid w:val="004D4802"/>
    <w:rsid w:val="004D4D1C"/>
    <w:rsid w:val="004D4D32"/>
    <w:rsid w:val="004D4D8A"/>
    <w:rsid w:val="004E01D8"/>
    <w:rsid w:val="004E1260"/>
    <w:rsid w:val="004E144C"/>
    <w:rsid w:val="004E1B92"/>
    <w:rsid w:val="004E2461"/>
    <w:rsid w:val="004E28ED"/>
    <w:rsid w:val="004E2FD7"/>
    <w:rsid w:val="004E36DF"/>
    <w:rsid w:val="004E5143"/>
    <w:rsid w:val="004E54E8"/>
    <w:rsid w:val="004E5668"/>
    <w:rsid w:val="004E573D"/>
    <w:rsid w:val="004E5B1C"/>
    <w:rsid w:val="004E73CD"/>
    <w:rsid w:val="004E76AD"/>
    <w:rsid w:val="004F0426"/>
    <w:rsid w:val="004F0512"/>
    <w:rsid w:val="004F15CC"/>
    <w:rsid w:val="004F16E4"/>
    <w:rsid w:val="004F1C1A"/>
    <w:rsid w:val="004F1F12"/>
    <w:rsid w:val="004F425F"/>
    <w:rsid w:val="004F4BCB"/>
    <w:rsid w:val="004F4E15"/>
    <w:rsid w:val="004F4FAC"/>
    <w:rsid w:val="004F53E8"/>
    <w:rsid w:val="004F7530"/>
    <w:rsid w:val="004F757D"/>
    <w:rsid w:val="00500A1F"/>
    <w:rsid w:val="00500C39"/>
    <w:rsid w:val="00502096"/>
    <w:rsid w:val="00502C44"/>
    <w:rsid w:val="0050401D"/>
    <w:rsid w:val="00507159"/>
    <w:rsid w:val="00507C6C"/>
    <w:rsid w:val="00510D4B"/>
    <w:rsid w:val="00510FAB"/>
    <w:rsid w:val="0051103D"/>
    <w:rsid w:val="00511326"/>
    <w:rsid w:val="00511465"/>
    <w:rsid w:val="00511EE1"/>
    <w:rsid w:val="0051223B"/>
    <w:rsid w:val="0051227E"/>
    <w:rsid w:val="005127CB"/>
    <w:rsid w:val="00512C16"/>
    <w:rsid w:val="0051315D"/>
    <w:rsid w:val="00515363"/>
    <w:rsid w:val="0051600F"/>
    <w:rsid w:val="005172A4"/>
    <w:rsid w:val="005206FB"/>
    <w:rsid w:val="00521AC0"/>
    <w:rsid w:val="005223C3"/>
    <w:rsid w:val="005234B8"/>
    <w:rsid w:val="00523A77"/>
    <w:rsid w:val="00524AD9"/>
    <w:rsid w:val="00527094"/>
    <w:rsid w:val="00530FC0"/>
    <w:rsid w:val="00531149"/>
    <w:rsid w:val="00531161"/>
    <w:rsid w:val="00532954"/>
    <w:rsid w:val="00533CCD"/>
    <w:rsid w:val="005347BC"/>
    <w:rsid w:val="00534FCE"/>
    <w:rsid w:val="00535734"/>
    <w:rsid w:val="0053709F"/>
    <w:rsid w:val="00537A9F"/>
    <w:rsid w:val="005401FE"/>
    <w:rsid w:val="00540A91"/>
    <w:rsid w:val="00540D2C"/>
    <w:rsid w:val="005415AD"/>
    <w:rsid w:val="005416DB"/>
    <w:rsid w:val="00542492"/>
    <w:rsid w:val="005424F9"/>
    <w:rsid w:val="005428CD"/>
    <w:rsid w:val="00544CE4"/>
    <w:rsid w:val="005453FF"/>
    <w:rsid w:val="0054584B"/>
    <w:rsid w:val="00547BD7"/>
    <w:rsid w:val="005519D6"/>
    <w:rsid w:val="00551BCB"/>
    <w:rsid w:val="00552AC9"/>
    <w:rsid w:val="00552B60"/>
    <w:rsid w:val="00552C24"/>
    <w:rsid w:val="00554E89"/>
    <w:rsid w:val="005559F4"/>
    <w:rsid w:val="00557D0E"/>
    <w:rsid w:val="00557D9A"/>
    <w:rsid w:val="00560159"/>
    <w:rsid w:val="0056134B"/>
    <w:rsid w:val="005623FF"/>
    <w:rsid w:val="00562409"/>
    <w:rsid w:val="005650B7"/>
    <w:rsid w:val="005651B2"/>
    <w:rsid w:val="00565E28"/>
    <w:rsid w:val="005661AF"/>
    <w:rsid w:val="00566935"/>
    <w:rsid w:val="00566EB6"/>
    <w:rsid w:val="00567464"/>
    <w:rsid w:val="0057025C"/>
    <w:rsid w:val="00571665"/>
    <w:rsid w:val="00571A94"/>
    <w:rsid w:val="00572DA8"/>
    <w:rsid w:val="00574AFF"/>
    <w:rsid w:val="00575616"/>
    <w:rsid w:val="005760C1"/>
    <w:rsid w:val="00576D4A"/>
    <w:rsid w:val="005770BF"/>
    <w:rsid w:val="0058019C"/>
    <w:rsid w:val="00580FEE"/>
    <w:rsid w:val="00583576"/>
    <w:rsid w:val="00583B23"/>
    <w:rsid w:val="00584316"/>
    <w:rsid w:val="005854B6"/>
    <w:rsid w:val="00585F6D"/>
    <w:rsid w:val="005870DC"/>
    <w:rsid w:val="00587E39"/>
    <w:rsid w:val="0059070F"/>
    <w:rsid w:val="00591352"/>
    <w:rsid w:val="00593AF7"/>
    <w:rsid w:val="00593ECF"/>
    <w:rsid w:val="005946B9"/>
    <w:rsid w:val="005948E8"/>
    <w:rsid w:val="00594C44"/>
    <w:rsid w:val="00594F2E"/>
    <w:rsid w:val="00594FD3"/>
    <w:rsid w:val="00595E68"/>
    <w:rsid w:val="005960FE"/>
    <w:rsid w:val="005969C2"/>
    <w:rsid w:val="00597AA4"/>
    <w:rsid w:val="00597DBE"/>
    <w:rsid w:val="005A1B23"/>
    <w:rsid w:val="005A1B66"/>
    <w:rsid w:val="005A23CC"/>
    <w:rsid w:val="005A2642"/>
    <w:rsid w:val="005A2D14"/>
    <w:rsid w:val="005A31E2"/>
    <w:rsid w:val="005A3761"/>
    <w:rsid w:val="005A5745"/>
    <w:rsid w:val="005A59D9"/>
    <w:rsid w:val="005A6986"/>
    <w:rsid w:val="005A6BF9"/>
    <w:rsid w:val="005A7E55"/>
    <w:rsid w:val="005B091B"/>
    <w:rsid w:val="005B0A64"/>
    <w:rsid w:val="005B2C3D"/>
    <w:rsid w:val="005B2F68"/>
    <w:rsid w:val="005B332B"/>
    <w:rsid w:val="005B3583"/>
    <w:rsid w:val="005B3823"/>
    <w:rsid w:val="005B3D95"/>
    <w:rsid w:val="005B4253"/>
    <w:rsid w:val="005B50F3"/>
    <w:rsid w:val="005B5721"/>
    <w:rsid w:val="005B5B50"/>
    <w:rsid w:val="005B6BB5"/>
    <w:rsid w:val="005B707F"/>
    <w:rsid w:val="005B7A51"/>
    <w:rsid w:val="005B7B2B"/>
    <w:rsid w:val="005C0AAB"/>
    <w:rsid w:val="005C1A5B"/>
    <w:rsid w:val="005C1DE7"/>
    <w:rsid w:val="005C3340"/>
    <w:rsid w:val="005C4219"/>
    <w:rsid w:val="005C44CB"/>
    <w:rsid w:val="005C479B"/>
    <w:rsid w:val="005C5007"/>
    <w:rsid w:val="005C6417"/>
    <w:rsid w:val="005C64CC"/>
    <w:rsid w:val="005C6875"/>
    <w:rsid w:val="005D0532"/>
    <w:rsid w:val="005D32AD"/>
    <w:rsid w:val="005D3A52"/>
    <w:rsid w:val="005D4A9A"/>
    <w:rsid w:val="005D50F7"/>
    <w:rsid w:val="005D51CD"/>
    <w:rsid w:val="005D65FD"/>
    <w:rsid w:val="005D7098"/>
    <w:rsid w:val="005E0929"/>
    <w:rsid w:val="005E12E4"/>
    <w:rsid w:val="005E1D01"/>
    <w:rsid w:val="005E1D95"/>
    <w:rsid w:val="005E23FB"/>
    <w:rsid w:val="005E316E"/>
    <w:rsid w:val="005E5000"/>
    <w:rsid w:val="005E57B7"/>
    <w:rsid w:val="005E758E"/>
    <w:rsid w:val="005F0114"/>
    <w:rsid w:val="005F0942"/>
    <w:rsid w:val="005F1D84"/>
    <w:rsid w:val="005F2708"/>
    <w:rsid w:val="005F5F10"/>
    <w:rsid w:val="005F7AF4"/>
    <w:rsid w:val="005F7DF4"/>
    <w:rsid w:val="0060087C"/>
    <w:rsid w:val="0060129D"/>
    <w:rsid w:val="0060142D"/>
    <w:rsid w:val="00601987"/>
    <w:rsid w:val="00601F2D"/>
    <w:rsid w:val="006026B8"/>
    <w:rsid w:val="00602FC5"/>
    <w:rsid w:val="00604233"/>
    <w:rsid w:val="00604680"/>
    <w:rsid w:val="00605199"/>
    <w:rsid w:val="00605256"/>
    <w:rsid w:val="0060526E"/>
    <w:rsid w:val="00605431"/>
    <w:rsid w:val="006059A8"/>
    <w:rsid w:val="0060609A"/>
    <w:rsid w:val="006068EF"/>
    <w:rsid w:val="006104FE"/>
    <w:rsid w:val="0061067F"/>
    <w:rsid w:val="00610888"/>
    <w:rsid w:val="006116A6"/>
    <w:rsid w:val="00611CA9"/>
    <w:rsid w:val="00612473"/>
    <w:rsid w:val="00612652"/>
    <w:rsid w:val="00612B08"/>
    <w:rsid w:val="00613F50"/>
    <w:rsid w:val="006145FD"/>
    <w:rsid w:val="006155E6"/>
    <w:rsid w:val="0061685B"/>
    <w:rsid w:val="00616A50"/>
    <w:rsid w:val="00616D29"/>
    <w:rsid w:val="00616D2F"/>
    <w:rsid w:val="00617E97"/>
    <w:rsid w:val="00617EED"/>
    <w:rsid w:val="00620895"/>
    <w:rsid w:val="0062135F"/>
    <w:rsid w:val="006219C1"/>
    <w:rsid w:val="00622821"/>
    <w:rsid w:val="00623FD9"/>
    <w:rsid w:val="00624332"/>
    <w:rsid w:val="00624BF2"/>
    <w:rsid w:val="00625466"/>
    <w:rsid w:val="00626120"/>
    <w:rsid w:val="00626BB2"/>
    <w:rsid w:val="0062761A"/>
    <w:rsid w:val="0063020A"/>
    <w:rsid w:val="00630939"/>
    <w:rsid w:val="0063107D"/>
    <w:rsid w:val="00632123"/>
    <w:rsid w:val="006331D4"/>
    <w:rsid w:val="00633E41"/>
    <w:rsid w:val="0063541B"/>
    <w:rsid w:val="00636CB2"/>
    <w:rsid w:val="0063714D"/>
    <w:rsid w:val="00637267"/>
    <w:rsid w:val="00637E1D"/>
    <w:rsid w:val="00640614"/>
    <w:rsid w:val="006412E5"/>
    <w:rsid w:val="0064170A"/>
    <w:rsid w:val="006417CE"/>
    <w:rsid w:val="006417CF"/>
    <w:rsid w:val="006422C6"/>
    <w:rsid w:val="006429A9"/>
    <w:rsid w:val="006431E3"/>
    <w:rsid w:val="0064428D"/>
    <w:rsid w:val="0064568C"/>
    <w:rsid w:val="00645D98"/>
    <w:rsid w:val="006462CE"/>
    <w:rsid w:val="00646957"/>
    <w:rsid w:val="00647CA2"/>
    <w:rsid w:val="00647FF7"/>
    <w:rsid w:val="006501BE"/>
    <w:rsid w:val="0065034B"/>
    <w:rsid w:val="00650375"/>
    <w:rsid w:val="00650403"/>
    <w:rsid w:val="0065156E"/>
    <w:rsid w:val="006520D7"/>
    <w:rsid w:val="006529F2"/>
    <w:rsid w:val="00652DFE"/>
    <w:rsid w:val="006538CE"/>
    <w:rsid w:val="0065393B"/>
    <w:rsid w:val="00653B44"/>
    <w:rsid w:val="006545DD"/>
    <w:rsid w:val="00654DC5"/>
    <w:rsid w:val="00655941"/>
    <w:rsid w:val="00655CA6"/>
    <w:rsid w:val="0065653D"/>
    <w:rsid w:val="00657BC6"/>
    <w:rsid w:val="006607C1"/>
    <w:rsid w:val="006608AE"/>
    <w:rsid w:val="00661A8E"/>
    <w:rsid w:val="00662263"/>
    <w:rsid w:val="006628BD"/>
    <w:rsid w:val="00662907"/>
    <w:rsid w:val="00663AEF"/>
    <w:rsid w:val="00663DD2"/>
    <w:rsid w:val="00665366"/>
    <w:rsid w:val="00666C94"/>
    <w:rsid w:val="0066764F"/>
    <w:rsid w:val="0066777D"/>
    <w:rsid w:val="006702C9"/>
    <w:rsid w:val="00670CC9"/>
    <w:rsid w:val="006713E9"/>
    <w:rsid w:val="00671D4B"/>
    <w:rsid w:val="00671DFD"/>
    <w:rsid w:val="00672B90"/>
    <w:rsid w:val="00672F3B"/>
    <w:rsid w:val="006747FE"/>
    <w:rsid w:val="00674E60"/>
    <w:rsid w:val="00675525"/>
    <w:rsid w:val="006755C4"/>
    <w:rsid w:val="006756BA"/>
    <w:rsid w:val="006758F8"/>
    <w:rsid w:val="00675DDC"/>
    <w:rsid w:val="00676999"/>
    <w:rsid w:val="006769D9"/>
    <w:rsid w:val="00677B58"/>
    <w:rsid w:val="00680C2A"/>
    <w:rsid w:val="006812CE"/>
    <w:rsid w:val="006826C4"/>
    <w:rsid w:val="00682705"/>
    <w:rsid w:val="00683935"/>
    <w:rsid w:val="00683B72"/>
    <w:rsid w:val="0068607D"/>
    <w:rsid w:val="006860F1"/>
    <w:rsid w:val="0068652F"/>
    <w:rsid w:val="00691F58"/>
    <w:rsid w:val="00692275"/>
    <w:rsid w:val="00692D56"/>
    <w:rsid w:val="0069342D"/>
    <w:rsid w:val="00693CC5"/>
    <w:rsid w:val="006941B2"/>
    <w:rsid w:val="006947FB"/>
    <w:rsid w:val="0069548A"/>
    <w:rsid w:val="00696D38"/>
    <w:rsid w:val="0069728F"/>
    <w:rsid w:val="0069798D"/>
    <w:rsid w:val="006A05B2"/>
    <w:rsid w:val="006A0893"/>
    <w:rsid w:val="006A0903"/>
    <w:rsid w:val="006A0E1D"/>
    <w:rsid w:val="006A1876"/>
    <w:rsid w:val="006A1E46"/>
    <w:rsid w:val="006A1E4D"/>
    <w:rsid w:val="006A2265"/>
    <w:rsid w:val="006A3355"/>
    <w:rsid w:val="006A3C2D"/>
    <w:rsid w:val="006A3DB0"/>
    <w:rsid w:val="006A46CD"/>
    <w:rsid w:val="006A472C"/>
    <w:rsid w:val="006A4B35"/>
    <w:rsid w:val="006A4B6F"/>
    <w:rsid w:val="006A4D2B"/>
    <w:rsid w:val="006A5C89"/>
    <w:rsid w:val="006A646E"/>
    <w:rsid w:val="006A64C5"/>
    <w:rsid w:val="006A6D12"/>
    <w:rsid w:val="006A7027"/>
    <w:rsid w:val="006B1AE9"/>
    <w:rsid w:val="006B1AEB"/>
    <w:rsid w:val="006B2242"/>
    <w:rsid w:val="006B2D78"/>
    <w:rsid w:val="006B3545"/>
    <w:rsid w:val="006B3657"/>
    <w:rsid w:val="006B3879"/>
    <w:rsid w:val="006B3BBD"/>
    <w:rsid w:val="006B514F"/>
    <w:rsid w:val="006B6387"/>
    <w:rsid w:val="006B7377"/>
    <w:rsid w:val="006C0196"/>
    <w:rsid w:val="006C1476"/>
    <w:rsid w:val="006C2B6A"/>
    <w:rsid w:val="006C2C16"/>
    <w:rsid w:val="006C5B20"/>
    <w:rsid w:val="006C5BBE"/>
    <w:rsid w:val="006C5D7A"/>
    <w:rsid w:val="006C74DF"/>
    <w:rsid w:val="006C7D7D"/>
    <w:rsid w:val="006D0C9E"/>
    <w:rsid w:val="006D1075"/>
    <w:rsid w:val="006D1D75"/>
    <w:rsid w:val="006D23B1"/>
    <w:rsid w:val="006D38A8"/>
    <w:rsid w:val="006D3D4D"/>
    <w:rsid w:val="006D4459"/>
    <w:rsid w:val="006D478F"/>
    <w:rsid w:val="006D5C41"/>
    <w:rsid w:val="006D5F32"/>
    <w:rsid w:val="006D668F"/>
    <w:rsid w:val="006D6A6A"/>
    <w:rsid w:val="006D6F63"/>
    <w:rsid w:val="006D75E8"/>
    <w:rsid w:val="006E04AB"/>
    <w:rsid w:val="006E0712"/>
    <w:rsid w:val="006E08E3"/>
    <w:rsid w:val="006E13AE"/>
    <w:rsid w:val="006E191F"/>
    <w:rsid w:val="006E1DDD"/>
    <w:rsid w:val="006E23C6"/>
    <w:rsid w:val="006E2DE3"/>
    <w:rsid w:val="006E3E42"/>
    <w:rsid w:val="006E3E5D"/>
    <w:rsid w:val="006E4B39"/>
    <w:rsid w:val="006E5284"/>
    <w:rsid w:val="006E5A91"/>
    <w:rsid w:val="006E5C2B"/>
    <w:rsid w:val="006E71E5"/>
    <w:rsid w:val="006F1B98"/>
    <w:rsid w:val="006F26D3"/>
    <w:rsid w:val="006F27D4"/>
    <w:rsid w:val="006F3227"/>
    <w:rsid w:val="006F3F02"/>
    <w:rsid w:val="006F48A3"/>
    <w:rsid w:val="006F4F9E"/>
    <w:rsid w:val="006F50D5"/>
    <w:rsid w:val="006F5C20"/>
    <w:rsid w:val="007007A4"/>
    <w:rsid w:val="0070086C"/>
    <w:rsid w:val="007039D9"/>
    <w:rsid w:val="00704288"/>
    <w:rsid w:val="007048A7"/>
    <w:rsid w:val="00704D3B"/>
    <w:rsid w:val="00705027"/>
    <w:rsid w:val="00705139"/>
    <w:rsid w:val="00710616"/>
    <w:rsid w:val="00710AB1"/>
    <w:rsid w:val="00711E03"/>
    <w:rsid w:val="007122C9"/>
    <w:rsid w:val="0071491B"/>
    <w:rsid w:val="00714BA2"/>
    <w:rsid w:val="00714C99"/>
    <w:rsid w:val="0071501B"/>
    <w:rsid w:val="007156F0"/>
    <w:rsid w:val="00716A65"/>
    <w:rsid w:val="007170D3"/>
    <w:rsid w:val="00717226"/>
    <w:rsid w:val="00717B48"/>
    <w:rsid w:val="00717B54"/>
    <w:rsid w:val="00717E2E"/>
    <w:rsid w:val="00720BD8"/>
    <w:rsid w:val="0072184D"/>
    <w:rsid w:val="00721F03"/>
    <w:rsid w:val="00722976"/>
    <w:rsid w:val="00723668"/>
    <w:rsid w:val="00725050"/>
    <w:rsid w:val="007251BD"/>
    <w:rsid w:val="00726495"/>
    <w:rsid w:val="00730A6F"/>
    <w:rsid w:val="00730BA6"/>
    <w:rsid w:val="007311ED"/>
    <w:rsid w:val="007318C0"/>
    <w:rsid w:val="0073316C"/>
    <w:rsid w:val="00734896"/>
    <w:rsid w:val="00735194"/>
    <w:rsid w:val="00735EB8"/>
    <w:rsid w:val="00736FBA"/>
    <w:rsid w:val="00737514"/>
    <w:rsid w:val="00741E8F"/>
    <w:rsid w:val="00742307"/>
    <w:rsid w:val="00743E4F"/>
    <w:rsid w:val="0074452C"/>
    <w:rsid w:val="0074488D"/>
    <w:rsid w:val="00744A39"/>
    <w:rsid w:val="007453D4"/>
    <w:rsid w:val="00745583"/>
    <w:rsid w:val="0074570E"/>
    <w:rsid w:val="00745EC4"/>
    <w:rsid w:val="0074602B"/>
    <w:rsid w:val="00746054"/>
    <w:rsid w:val="00746385"/>
    <w:rsid w:val="0075108B"/>
    <w:rsid w:val="00751553"/>
    <w:rsid w:val="00751FF4"/>
    <w:rsid w:val="00753C18"/>
    <w:rsid w:val="00753D10"/>
    <w:rsid w:val="007563E8"/>
    <w:rsid w:val="00756D28"/>
    <w:rsid w:val="00757DA5"/>
    <w:rsid w:val="0076086B"/>
    <w:rsid w:val="00761329"/>
    <w:rsid w:val="007613E7"/>
    <w:rsid w:val="00762624"/>
    <w:rsid w:val="00763F9F"/>
    <w:rsid w:val="007646E6"/>
    <w:rsid w:val="00764F7D"/>
    <w:rsid w:val="0076578C"/>
    <w:rsid w:val="0076626B"/>
    <w:rsid w:val="007665E0"/>
    <w:rsid w:val="00766DF4"/>
    <w:rsid w:val="00767F5D"/>
    <w:rsid w:val="00770BB6"/>
    <w:rsid w:val="00770CB6"/>
    <w:rsid w:val="00770D22"/>
    <w:rsid w:val="0077280C"/>
    <w:rsid w:val="00772B17"/>
    <w:rsid w:val="007737D2"/>
    <w:rsid w:val="00773DEE"/>
    <w:rsid w:val="00774248"/>
    <w:rsid w:val="00774AC2"/>
    <w:rsid w:val="00774BCF"/>
    <w:rsid w:val="00774F71"/>
    <w:rsid w:val="00775B87"/>
    <w:rsid w:val="007760DA"/>
    <w:rsid w:val="007766CF"/>
    <w:rsid w:val="00780786"/>
    <w:rsid w:val="0078183B"/>
    <w:rsid w:val="007818A2"/>
    <w:rsid w:val="0078296B"/>
    <w:rsid w:val="00782C12"/>
    <w:rsid w:val="007832B9"/>
    <w:rsid w:val="0078393C"/>
    <w:rsid w:val="00783EB8"/>
    <w:rsid w:val="007844D8"/>
    <w:rsid w:val="007845C3"/>
    <w:rsid w:val="007850E4"/>
    <w:rsid w:val="00785A4C"/>
    <w:rsid w:val="00786586"/>
    <w:rsid w:val="00786F8D"/>
    <w:rsid w:val="007879CC"/>
    <w:rsid w:val="007908C5"/>
    <w:rsid w:val="007908C9"/>
    <w:rsid w:val="007914EF"/>
    <w:rsid w:val="00791EE6"/>
    <w:rsid w:val="00792D73"/>
    <w:rsid w:val="00793530"/>
    <w:rsid w:val="007944BC"/>
    <w:rsid w:val="00795568"/>
    <w:rsid w:val="00797E95"/>
    <w:rsid w:val="007A009C"/>
    <w:rsid w:val="007A061F"/>
    <w:rsid w:val="007A0BE7"/>
    <w:rsid w:val="007A1BEB"/>
    <w:rsid w:val="007A1C9E"/>
    <w:rsid w:val="007A2002"/>
    <w:rsid w:val="007A220B"/>
    <w:rsid w:val="007A231D"/>
    <w:rsid w:val="007A2591"/>
    <w:rsid w:val="007A317B"/>
    <w:rsid w:val="007A32A1"/>
    <w:rsid w:val="007A4994"/>
    <w:rsid w:val="007A4B52"/>
    <w:rsid w:val="007A51AC"/>
    <w:rsid w:val="007A53D6"/>
    <w:rsid w:val="007A5D36"/>
    <w:rsid w:val="007A6699"/>
    <w:rsid w:val="007A68A1"/>
    <w:rsid w:val="007A6AF9"/>
    <w:rsid w:val="007A711B"/>
    <w:rsid w:val="007A7203"/>
    <w:rsid w:val="007A77F8"/>
    <w:rsid w:val="007A791B"/>
    <w:rsid w:val="007B0E7C"/>
    <w:rsid w:val="007B2178"/>
    <w:rsid w:val="007B33BA"/>
    <w:rsid w:val="007B3B7B"/>
    <w:rsid w:val="007B4F69"/>
    <w:rsid w:val="007B538B"/>
    <w:rsid w:val="007B66E2"/>
    <w:rsid w:val="007B6DFE"/>
    <w:rsid w:val="007C1AE7"/>
    <w:rsid w:val="007C1BB5"/>
    <w:rsid w:val="007C2111"/>
    <w:rsid w:val="007C4901"/>
    <w:rsid w:val="007C4A6E"/>
    <w:rsid w:val="007C5148"/>
    <w:rsid w:val="007C521F"/>
    <w:rsid w:val="007C55CC"/>
    <w:rsid w:val="007C626A"/>
    <w:rsid w:val="007C6C91"/>
    <w:rsid w:val="007C7B9D"/>
    <w:rsid w:val="007C7E27"/>
    <w:rsid w:val="007D16B8"/>
    <w:rsid w:val="007D24F7"/>
    <w:rsid w:val="007D3723"/>
    <w:rsid w:val="007D3B51"/>
    <w:rsid w:val="007D43D3"/>
    <w:rsid w:val="007D44B4"/>
    <w:rsid w:val="007D4AF0"/>
    <w:rsid w:val="007D4CC8"/>
    <w:rsid w:val="007D53D7"/>
    <w:rsid w:val="007D556A"/>
    <w:rsid w:val="007D5DEF"/>
    <w:rsid w:val="007D5E72"/>
    <w:rsid w:val="007D608B"/>
    <w:rsid w:val="007D68F5"/>
    <w:rsid w:val="007E015B"/>
    <w:rsid w:val="007E07EA"/>
    <w:rsid w:val="007E0E9D"/>
    <w:rsid w:val="007E24B6"/>
    <w:rsid w:val="007E3B8A"/>
    <w:rsid w:val="007E3CFB"/>
    <w:rsid w:val="007E4966"/>
    <w:rsid w:val="007E4A9C"/>
    <w:rsid w:val="007E52CD"/>
    <w:rsid w:val="007E56E3"/>
    <w:rsid w:val="007E5D65"/>
    <w:rsid w:val="007E63FD"/>
    <w:rsid w:val="007E6B37"/>
    <w:rsid w:val="007E6E88"/>
    <w:rsid w:val="007E6F73"/>
    <w:rsid w:val="007E739E"/>
    <w:rsid w:val="007F0242"/>
    <w:rsid w:val="007F172D"/>
    <w:rsid w:val="007F1AFE"/>
    <w:rsid w:val="007F2DE0"/>
    <w:rsid w:val="007F4E7A"/>
    <w:rsid w:val="007F66EE"/>
    <w:rsid w:val="007F6921"/>
    <w:rsid w:val="007F74BB"/>
    <w:rsid w:val="007F75C1"/>
    <w:rsid w:val="007F76C7"/>
    <w:rsid w:val="007F79A3"/>
    <w:rsid w:val="007F7BBF"/>
    <w:rsid w:val="00800F24"/>
    <w:rsid w:val="0080159B"/>
    <w:rsid w:val="00801E91"/>
    <w:rsid w:val="00802234"/>
    <w:rsid w:val="008025C2"/>
    <w:rsid w:val="0080352B"/>
    <w:rsid w:val="008046CD"/>
    <w:rsid w:val="008052C7"/>
    <w:rsid w:val="00805CB2"/>
    <w:rsid w:val="0080637F"/>
    <w:rsid w:val="00806C6B"/>
    <w:rsid w:val="008079AC"/>
    <w:rsid w:val="008101F0"/>
    <w:rsid w:val="00810E6A"/>
    <w:rsid w:val="00812754"/>
    <w:rsid w:val="00812AC6"/>
    <w:rsid w:val="00813DC1"/>
    <w:rsid w:val="00813EF9"/>
    <w:rsid w:val="00814BC9"/>
    <w:rsid w:val="00815012"/>
    <w:rsid w:val="00816769"/>
    <w:rsid w:val="0081707B"/>
    <w:rsid w:val="00820B16"/>
    <w:rsid w:val="00821E47"/>
    <w:rsid w:val="008227D4"/>
    <w:rsid w:val="00824D07"/>
    <w:rsid w:val="00824EF0"/>
    <w:rsid w:val="0082580A"/>
    <w:rsid w:val="00826286"/>
    <w:rsid w:val="008264FA"/>
    <w:rsid w:val="00826A0E"/>
    <w:rsid w:val="00826E14"/>
    <w:rsid w:val="008278DC"/>
    <w:rsid w:val="0083016D"/>
    <w:rsid w:val="008302FB"/>
    <w:rsid w:val="008303B9"/>
    <w:rsid w:val="008303C1"/>
    <w:rsid w:val="008303F2"/>
    <w:rsid w:val="008316F7"/>
    <w:rsid w:val="00831982"/>
    <w:rsid w:val="00831DA2"/>
    <w:rsid w:val="00831F77"/>
    <w:rsid w:val="00832250"/>
    <w:rsid w:val="00832E35"/>
    <w:rsid w:val="00833ECB"/>
    <w:rsid w:val="00834584"/>
    <w:rsid w:val="00834A8D"/>
    <w:rsid w:val="00834B77"/>
    <w:rsid w:val="0083577A"/>
    <w:rsid w:val="00836216"/>
    <w:rsid w:val="008365F5"/>
    <w:rsid w:val="008375E6"/>
    <w:rsid w:val="00837D81"/>
    <w:rsid w:val="00840080"/>
    <w:rsid w:val="00840BDC"/>
    <w:rsid w:val="00841156"/>
    <w:rsid w:val="0084158C"/>
    <w:rsid w:val="00841C0F"/>
    <w:rsid w:val="008427D4"/>
    <w:rsid w:val="00842DDF"/>
    <w:rsid w:val="008435EC"/>
    <w:rsid w:val="0084433F"/>
    <w:rsid w:val="0084485C"/>
    <w:rsid w:val="00844F70"/>
    <w:rsid w:val="00845426"/>
    <w:rsid w:val="008456CA"/>
    <w:rsid w:val="00845956"/>
    <w:rsid w:val="00851529"/>
    <w:rsid w:val="008515B6"/>
    <w:rsid w:val="00851CE6"/>
    <w:rsid w:val="0085211B"/>
    <w:rsid w:val="00853438"/>
    <w:rsid w:val="00853DCF"/>
    <w:rsid w:val="008547DB"/>
    <w:rsid w:val="0085502D"/>
    <w:rsid w:val="008551F0"/>
    <w:rsid w:val="0085573D"/>
    <w:rsid w:val="00855F03"/>
    <w:rsid w:val="00856657"/>
    <w:rsid w:val="0085669E"/>
    <w:rsid w:val="00856867"/>
    <w:rsid w:val="00856F7D"/>
    <w:rsid w:val="00860603"/>
    <w:rsid w:val="0086190B"/>
    <w:rsid w:val="00861923"/>
    <w:rsid w:val="0086232B"/>
    <w:rsid w:val="00862505"/>
    <w:rsid w:val="00862C0A"/>
    <w:rsid w:val="008630DF"/>
    <w:rsid w:val="00863144"/>
    <w:rsid w:val="008633A2"/>
    <w:rsid w:val="008637BC"/>
    <w:rsid w:val="00864297"/>
    <w:rsid w:val="0086493C"/>
    <w:rsid w:val="00864CD9"/>
    <w:rsid w:val="00865249"/>
    <w:rsid w:val="00865761"/>
    <w:rsid w:val="00865BBC"/>
    <w:rsid w:val="0086609A"/>
    <w:rsid w:val="0086638F"/>
    <w:rsid w:val="008667DF"/>
    <w:rsid w:val="008679DB"/>
    <w:rsid w:val="008702B9"/>
    <w:rsid w:val="0087304F"/>
    <w:rsid w:val="008736C9"/>
    <w:rsid w:val="00874291"/>
    <w:rsid w:val="00874C05"/>
    <w:rsid w:val="008750F5"/>
    <w:rsid w:val="0087668B"/>
    <w:rsid w:val="00876875"/>
    <w:rsid w:val="00876AD1"/>
    <w:rsid w:val="00876EAA"/>
    <w:rsid w:val="00877710"/>
    <w:rsid w:val="00877DE4"/>
    <w:rsid w:val="00880915"/>
    <w:rsid w:val="00880C77"/>
    <w:rsid w:val="008816B9"/>
    <w:rsid w:val="00881F48"/>
    <w:rsid w:val="008822D6"/>
    <w:rsid w:val="00882492"/>
    <w:rsid w:val="00882A26"/>
    <w:rsid w:val="00883444"/>
    <w:rsid w:val="0088458A"/>
    <w:rsid w:val="0088462D"/>
    <w:rsid w:val="00884979"/>
    <w:rsid w:val="00884B5C"/>
    <w:rsid w:val="0088555D"/>
    <w:rsid w:val="00886AAE"/>
    <w:rsid w:val="00886AED"/>
    <w:rsid w:val="00886F38"/>
    <w:rsid w:val="0088720C"/>
    <w:rsid w:val="0088759F"/>
    <w:rsid w:val="00890F30"/>
    <w:rsid w:val="008927D7"/>
    <w:rsid w:val="008929BD"/>
    <w:rsid w:val="00892CF5"/>
    <w:rsid w:val="00894DCA"/>
    <w:rsid w:val="008952EF"/>
    <w:rsid w:val="00895C87"/>
    <w:rsid w:val="00895F7B"/>
    <w:rsid w:val="00896CE6"/>
    <w:rsid w:val="00896E04"/>
    <w:rsid w:val="00897497"/>
    <w:rsid w:val="0089767D"/>
    <w:rsid w:val="00897A5C"/>
    <w:rsid w:val="008A2443"/>
    <w:rsid w:val="008A32D2"/>
    <w:rsid w:val="008A373D"/>
    <w:rsid w:val="008A3998"/>
    <w:rsid w:val="008A682A"/>
    <w:rsid w:val="008A7DB4"/>
    <w:rsid w:val="008B08EB"/>
    <w:rsid w:val="008B0D8F"/>
    <w:rsid w:val="008B11E4"/>
    <w:rsid w:val="008B1C8C"/>
    <w:rsid w:val="008B1F68"/>
    <w:rsid w:val="008B2468"/>
    <w:rsid w:val="008B2703"/>
    <w:rsid w:val="008B2922"/>
    <w:rsid w:val="008B2F97"/>
    <w:rsid w:val="008B4077"/>
    <w:rsid w:val="008B46D3"/>
    <w:rsid w:val="008B4BE8"/>
    <w:rsid w:val="008B652E"/>
    <w:rsid w:val="008B6761"/>
    <w:rsid w:val="008B716E"/>
    <w:rsid w:val="008C03A1"/>
    <w:rsid w:val="008C3396"/>
    <w:rsid w:val="008C3459"/>
    <w:rsid w:val="008C3DFC"/>
    <w:rsid w:val="008C54AB"/>
    <w:rsid w:val="008C556C"/>
    <w:rsid w:val="008C7618"/>
    <w:rsid w:val="008D150D"/>
    <w:rsid w:val="008D197B"/>
    <w:rsid w:val="008D1CCE"/>
    <w:rsid w:val="008D28EA"/>
    <w:rsid w:val="008D3059"/>
    <w:rsid w:val="008D3281"/>
    <w:rsid w:val="008D3323"/>
    <w:rsid w:val="008D4538"/>
    <w:rsid w:val="008D4D24"/>
    <w:rsid w:val="008D4EC8"/>
    <w:rsid w:val="008D5267"/>
    <w:rsid w:val="008D57CE"/>
    <w:rsid w:val="008D6210"/>
    <w:rsid w:val="008D6D89"/>
    <w:rsid w:val="008D6E2D"/>
    <w:rsid w:val="008D71FB"/>
    <w:rsid w:val="008E0FFE"/>
    <w:rsid w:val="008E1502"/>
    <w:rsid w:val="008E16F1"/>
    <w:rsid w:val="008E1EBD"/>
    <w:rsid w:val="008E4EFD"/>
    <w:rsid w:val="008E5197"/>
    <w:rsid w:val="008E5B33"/>
    <w:rsid w:val="008E5C44"/>
    <w:rsid w:val="008E5C64"/>
    <w:rsid w:val="008E6279"/>
    <w:rsid w:val="008E6485"/>
    <w:rsid w:val="008E6B18"/>
    <w:rsid w:val="008E77D0"/>
    <w:rsid w:val="008F05C4"/>
    <w:rsid w:val="008F13EC"/>
    <w:rsid w:val="008F2ED5"/>
    <w:rsid w:val="008F3471"/>
    <w:rsid w:val="008F422A"/>
    <w:rsid w:val="008F56F4"/>
    <w:rsid w:val="008F5875"/>
    <w:rsid w:val="008F5F00"/>
    <w:rsid w:val="008F7808"/>
    <w:rsid w:val="008F78DC"/>
    <w:rsid w:val="00900E85"/>
    <w:rsid w:val="009010D2"/>
    <w:rsid w:val="009020D0"/>
    <w:rsid w:val="00902659"/>
    <w:rsid w:val="009037D9"/>
    <w:rsid w:val="00905305"/>
    <w:rsid w:val="00907656"/>
    <w:rsid w:val="0090781B"/>
    <w:rsid w:val="009107B6"/>
    <w:rsid w:val="009111ED"/>
    <w:rsid w:val="009115CB"/>
    <w:rsid w:val="00912373"/>
    <w:rsid w:val="00913318"/>
    <w:rsid w:val="00913C45"/>
    <w:rsid w:val="00913EEE"/>
    <w:rsid w:val="0091421A"/>
    <w:rsid w:val="009145F9"/>
    <w:rsid w:val="00916598"/>
    <w:rsid w:val="00916705"/>
    <w:rsid w:val="00916858"/>
    <w:rsid w:val="00916AA4"/>
    <w:rsid w:val="00916BAD"/>
    <w:rsid w:val="00916C72"/>
    <w:rsid w:val="00917132"/>
    <w:rsid w:val="00917B48"/>
    <w:rsid w:val="00921CCF"/>
    <w:rsid w:val="00922233"/>
    <w:rsid w:val="009236CD"/>
    <w:rsid w:val="00923CA6"/>
    <w:rsid w:val="00923CC1"/>
    <w:rsid w:val="00924089"/>
    <w:rsid w:val="009243F7"/>
    <w:rsid w:val="009249BD"/>
    <w:rsid w:val="00924C5F"/>
    <w:rsid w:val="00925FAB"/>
    <w:rsid w:val="00926F85"/>
    <w:rsid w:val="00927E69"/>
    <w:rsid w:val="00927F75"/>
    <w:rsid w:val="009302B7"/>
    <w:rsid w:val="009311E3"/>
    <w:rsid w:val="00931738"/>
    <w:rsid w:val="0093225B"/>
    <w:rsid w:val="009323F1"/>
    <w:rsid w:val="0093282D"/>
    <w:rsid w:val="00932A01"/>
    <w:rsid w:val="0093361E"/>
    <w:rsid w:val="0093372D"/>
    <w:rsid w:val="009340B0"/>
    <w:rsid w:val="00934D3C"/>
    <w:rsid w:val="00936E8E"/>
    <w:rsid w:val="0093790D"/>
    <w:rsid w:val="00940461"/>
    <w:rsid w:val="00940C92"/>
    <w:rsid w:val="00941669"/>
    <w:rsid w:val="00941D6C"/>
    <w:rsid w:val="00942171"/>
    <w:rsid w:val="00944218"/>
    <w:rsid w:val="009453AA"/>
    <w:rsid w:val="00945541"/>
    <w:rsid w:val="00945667"/>
    <w:rsid w:val="0094777D"/>
    <w:rsid w:val="00947F30"/>
    <w:rsid w:val="00950E81"/>
    <w:rsid w:val="00951B66"/>
    <w:rsid w:val="00951BFD"/>
    <w:rsid w:val="00951DFC"/>
    <w:rsid w:val="009523DB"/>
    <w:rsid w:val="009523FB"/>
    <w:rsid w:val="009529DC"/>
    <w:rsid w:val="00952FAD"/>
    <w:rsid w:val="00953837"/>
    <w:rsid w:val="00953E57"/>
    <w:rsid w:val="00955677"/>
    <w:rsid w:val="00956167"/>
    <w:rsid w:val="0095660B"/>
    <w:rsid w:val="00956707"/>
    <w:rsid w:val="00956C2D"/>
    <w:rsid w:val="00956FA2"/>
    <w:rsid w:val="009575DB"/>
    <w:rsid w:val="00957A90"/>
    <w:rsid w:val="00957E2F"/>
    <w:rsid w:val="00957F9F"/>
    <w:rsid w:val="0096083B"/>
    <w:rsid w:val="009626B3"/>
    <w:rsid w:val="00963895"/>
    <w:rsid w:val="00964685"/>
    <w:rsid w:val="009647EA"/>
    <w:rsid w:val="00964946"/>
    <w:rsid w:val="0096714F"/>
    <w:rsid w:val="00967AB9"/>
    <w:rsid w:val="009700F2"/>
    <w:rsid w:val="00970429"/>
    <w:rsid w:val="0097145F"/>
    <w:rsid w:val="00974916"/>
    <w:rsid w:val="009762A1"/>
    <w:rsid w:val="0097641F"/>
    <w:rsid w:val="00976CF0"/>
    <w:rsid w:val="009774D0"/>
    <w:rsid w:val="00977753"/>
    <w:rsid w:val="009819B7"/>
    <w:rsid w:val="00981F3D"/>
    <w:rsid w:val="00983D15"/>
    <w:rsid w:val="00984B30"/>
    <w:rsid w:val="00985062"/>
    <w:rsid w:val="00985C79"/>
    <w:rsid w:val="00985CFE"/>
    <w:rsid w:val="00986FF7"/>
    <w:rsid w:val="00987B7F"/>
    <w:rsid w:val="009903D1"/>
    <w:rsid w:val="00990445"/>
    <w:rsid w:val="00991452"/>
    <w:rsid w:val="00991E17"/>
    <w:rsid w:val="0099201F"/>
    <w:rsid w:val="00992505"/>
    <w:rsid w:val="0099331F"/>
    <w:rsid w:val="00995301"/>
    <w:rsid w:val="00995347"/>
    <w:rsid w:val="00995B6D"/>
    <w:rsid w:val="00996812"/>
    <w:rsid w:val="00997D9E"/>
    <w:rsid w:val="009A121D"/>
    <w:rsid w:val="009A3517"/>
    <w:rsid w:val="009A3D89"/>
    <w:rsid w:val="009A3FF9"/>
    <w:rsid w:val="009A466E"/>
    <w:rsid w:val="009A54BB"/>
    <w:rsid w:val="009A5B8F"/>
    <w:rsid w:val="009A5FF4"/>
    <w:rsid w:val="009A6CD1"/>
    <w:rsid w:val="009A7011"/>
    <w:rsid w:val="009A7891"/>
    <w:rsid w:val="009B0CD4"/>
    <w:rsid w:val="009B0D93"/>
    <w:rsid w:val="009B2B83"/>
    <w:rsid w:val="009B2EA6"/>
    <w:rsid w:val="009B371D"/>
    <w:rsid w:val="009B4C71"/>
    <w:rsid w:val="009B596A"/>
    <w:rsid w:val="009B67BB"/>
    <w:rsid w:val="009B7F68"/>
    <w:rsid w:val="009C094B"/>
    <w:rsid w:val="009C0C6D"/>
    <w:rsid w:val="009C24C7"/>
    <w:rsid w:val="009C290E"/>
    <w:rsid w:val="009C385D"/>
    <w:rsid w:val="009C3F77"/>
    <w:rsid w:val="009C4318"/>
    <w:rsid w:val="009C4F9F"/>
    <w:rsid w:val="009C6CCE"/>
    <w:rsid w:val="009C74FD"/>
    <w:rsid w:val="009D0014"/>
    <w:rsid w:val="009D01A2"/>
    <w:rsid w:val="009D0B7A"/>
    <w:rsid w:val="009D1935"/>
    <w:rsid w:val="009D1AE9"/>
    <w:rsid w:val="009D1C0E"/>
    <w:rsid w:val="009D1EF4"/>
    <w:rsid w:val="009D30AE"/>
    <w:rsid w:val="009D3283"/>
    <w:rsid w:val="009D3634"/>
    <w:rsid w:val="009D4566"/>
    <w:rsid w:val="009D4633"/>
    <w:rsid w:val="009D5A4E"/>
    <w:rsid w:val="009E0D36"/>
    <w:rsid w:val="009E22EE"/>
    <w:rsid w:val="009E2628"/>
    <w:rsid w:val="009E26EF"/>
    <w:rsid w:val="009E2F5F"/>
    <w:rsid w:val="009E314B"/>
    <w:rsid w:val="009E40CD"/>
    <w:rsid w:val="009E5651"/>
    <w:rsid w:val="009E66AB"/>
    <w:rsid w:val="009E6E11"/>
    <w:rsid w:val="009E734C"/>
    <w:rsid w:val="009F111A"/>
    <w:rsid w:val="009F12D2"/>
    <w:rsid w:val="009F1A6D"/>
    <w:rsid w:val="009F2089"/>
    <w:rsid w:val="009F396B"/>
    <w:rsid w:val="009F4086"/>
    <w:rsid w:val="009F45E2"/>
    <w:rsid w:val="009F4F49"/>
    <w:rsid w:val="009F524B"/>
    <w:rsid w:val="009F5E7B"/>
    <w:rsid w:val="009F68B6"/>
    <w:rsid w:val="009F6A12"/>
    <w:rsid w:val="009F6F2A"/>
    <w:rsid w:val="00A0125B"/>
    <w:rsid w:val="00A01896"/>
    <w:rsid w:val="00A032DF"/>
    <w:rsid w:val="00A03B0E"/>
    <w:rsid w:val="00A04187"/>
    <w:rsid w:val="00A04493"/>
    <w:rsid w:val="00A06FBE"/>
    <w:rsid w:val="00A0796F"/>
    <w:rsid w:val="00A10851"/>
    <w:rsid w:val="00A10C55"/>
    <w:rsid w:val="00A10E56"/>
    <w:rsid w:val="00A12095"/>
    <w:rsid w:val="00A1289C"/>
    <w:rsid w:val="00A131D4"/>
    <w:rsid w:val="00A13212"/>
    <w:rsid w:val="00A13884"/>
    <w:rsid w:val="00A151F5"/>
    <w:rsid w:val="00A164D9"/>
    <w:rsid w:val="00A166FF"/>
    <w:rsid w:val="00A2058A"/>
    <w:rsid w:val="00A20FA4"/>
    <w:rsid w:val="00A21864"/>
    <w:rsid w:val="00A22883"/>
    <w:rsid w:val="00A22901"/>
    <w:rsid w:val="00A22E1F"/>
    <w:rsid w:val="00A22FF3"/>
    <w:rsid w:val="00A24E81"/>
    <w:rsid w:val="00A25144"/>
    <w:rsid w:val="00A25492"/>
    <w:rsid w:val="00A263E5"/>
    <w:rsid w:val="00A26692"/>
    <w:rsid w:val="00A268B1"/>
    <w:rsid w:val="00A26C3C"/>
    <w:rsid w:val="00A270FD"/>
    <w:rsid w:val="00A278B5"/>
    <w:rsid w:val="00A30BF5"/>
    <w:rsid w:val="00A323BF"/>
    <w:rsid w:val="00A324C6"/>
    <w:rsid w:val="00A326AF"/>
    <w:rsid w:val="00A33A8A"/>
    <w:rsid w:val="00A33AB2"/>
    <w:rsid w:val="00A33D37"/>
    <w:rsid w:val="00A33F94"/>
    <w:rsid w:val="00A35C72"/>
    <w:rsid w:val="00A369C3"/>
    <w:rsid w:val="00A36CF4"/>
    <w:rsid w:val="00A376FC"/>
    <w:rsid w:val="00A4056F"/>
    <w:rsid w:val="00A42142"/>
    <w:rsid w:val="00A433E6"/>
    <w:rsid w:val="00A43441"/>
    <w:rsid w:val="00A4346F"/>
    <w:rsid w:val="00A43E3D"/>
    <w:rsid w:val="00A43FE2"/>
    <w:rsid w:val="00A4700E"/>
    <w:rsid w:val="00A506AA"/>
    <w:rsid w:val="00A53835"/>
    <w:rsid w:val="00A548FE"/>
    <w:rsid w:val="00A5529E"/>
    <w:rsid w:val="00A564A7"/>
    <w:rsid w:val="00A5706F"/>
    <w:rsid w:val="00A57D0C"/>
    <w:rsid w:val="00A62433"/>
    <w:rsid w:val="00A62CEC"/>
    <w:rsid w:val="00A62E89"/>
    <w:rsid w:val="00A63027"/>
    <w:rsid w:val="00A6303C"/>
    <w:rsid w:val="00A63FF6"/>
    <w:rsid w:val="00A6435E"/>
    <w:rsid w:val="00A64388"/>
    <w:rsid w:val="00A64D8D"/>
    <w:rsid w:val="00A658A8"/>
    <w:rsid w:val="00A66237"/>
    <w:rsid w:val="00A67AE0"/>
    <w:rsid w:val="00A67B9B"/>
    <w:rsid w:val="00A67DA7"/>
    <w:rsid w:val="00A67E29"/>
    <w:rsid w:val="00A71705"/>
    <w:rsid w:val="00A72219"/>
    <w:rsid w:val="00A72DB0"/>
    <w:rsid w:val="00A73092"/>
    <w:rsid w:val="00A73C9E"/>
    <w:rsid w:val="00A7538A"/>
    <w:rsid w:val="00A753EA"/>
    <w:rsid w:val="00A75403"/>
    <w:rsid w:val="00A75DB7"/>
    <w:rsid w:val="00A75E47"/>
    <w:rsid w:val="00A8075E"/>
    <w:rsid w:val="00A80C2A"/>
    <w:rsid w:val="00A8138B"/>
    <w:rsid w:val="00A82084"/>
    <w:rsid w:val="00A8246A"/>
    <w:rsid w:val="00A82EEE"/>
    <w:rsid w:val="00A832B8"/>
    <w:rsid w:val="00A83589"/>
    <w:rsid w:val="00A83CDB"/>
    <w:rsid w:val="00A83D18"/>
    <w:rsid w:val="00A85892"/>
    <w:rsid w:val="00A85E1D"/>
    <w:rsid w:val="00A8633F"/>
    <w:rsid w:val="00A8659F"/>
    <w:rsid w:val="00A87079"/>
    <w:rsid w:val="00A87D31"/>
    <w:rsid w:val="00A90402"/>
    <w:rsid w:val="00A90DCB"/>
    <w:rsid w:val="00A90EE8"/>
    <w:rsid w:val="00A918BD"/>
    <w:rsid w:val="00A91F46"/>
    <w:rsid w:val="00A92D08"/>
    <w:rsid w:val="00A9302F"/>
    <w:rsid w:val="00A944B5"/>
    <w:rsid w:val="00A94A51"/>
    <w:rsid w:val="00A94CD2"/>
    <w:rsid w:val="00A95CC8"/>
    <w:rsid w:val="00A95FFE"/>
    <w:rsid w:val="00A96725"/>
    <w:rsid w:val="00A96B8C"/>
    <w:rsid w:val="00A97440"/>
    <w:rsid w:val="00A9749D"/>
    <w:rsid w:val="00AA0DA6"/>
    <w:rsid w:val="00AA1622"/>
    <w:rsid w:val="00AA321A"/>
    <w:rsid w:val="00AA3272"/>
    <w:rsid w:val="00AA3A14"/>
    <w:rsid w:val="00AA5F5A"/>
    <w:rsid w:val="00AA663E"/>
    <w:rsid w:val="00AA6A99"/>
    <w:rsid w:val="00AA7049"/>
    <w:rsid w:val="00AA7431"/>
    <w:rsid w:val="00AA778F"/>
    <w:rsid w:val="00AA7A37"/>
    <w:rsid w:val="00AA7A8D"/>
    <w:rsid w:val="00AB0507"/>
    <w:rsid w:val="00AB0F6C"/>
    <w:rsid w:val="00AB1E3C"/>
    <w:rsid w:val="00AB2154"/>
    <w:rsid w:val="00AB2331"/>
    <w:rsid w:val="00AB2EB2"/>
    <w:rsid w:val="00AB4CB8"/>
    <w:rsid w:val="00AB6D8F"/>
    <w:rsid w:val="00AC1C2D"/>
    <w:rsid w:val="00AC25AE"/>
    <w:rsid w:val="00AC301A"/>
    <w:rsid w:val="00AC32C7"/>
    <w:rsid w:val="00AC368F"/>
    <w:rsid w:val="00AC601E"/>
    <w:rsid w:val="00AC625C"/>
    <w:rsid w:val="00AC7448"/>
    <w:rsid w:val="00AD0244"/>
    <w:rsid w:val="00AD0FB9"/>
    <w:rsid w:val="00AD1349"/>
    <w:rsid w:val="00AD2212"/>
    <w:rsid w:val="00AD2DC0"/>
    <w:rsid w:val="00AD3108"/>
    <w:rsid w:val="00AD331C"/>
    <w:rsid w:val="00AD344B"/>
    <w:rsid w:val="00AD3EFC"/>
    <w:rsid w:val="00AD465C"/>
    <w:rsid w:val="00AD65DC"/>
    <w:rsid w:val="00AD7546"/>
    <w:rsid w:val="00AD7698"/>
    <w:rsid w:val="00AD7EB3"/>
    <w:rsid w:val="00AD7F24"/>
    <w:rsid w:val="00AE02B9"/>
    <w:rsid w:val="00AE153C"/>
    <w:rsid w:val="00AE1BFD"/>
    <w:rsid w:val="00AE24A6"/>
    <w:rsid w:val="00AE31E7"/>
    <w:rsid w:val="00AE337D"/>
    <w:rsid w:val="00AE3965"/>
    <w:rsid w:val="00AE3A9B"/>
    <w:rsid w:val="00AE45E8"/>
    <w:rsid w:val="00AE466D"/>
    <w:rsid w:val="00AE4F32"/>
    <w:rsid w:val="00AE6859"/>
    <w:rsid w:val="00AE7523"/>
    <w:rsid w:val="00AE75D5"/>
    <w:rsid w:val="00AF007A"/>
    <w:rsid w:val="00AF16C9"/>
    <w:rsid w:val="00AF19BD"/>
    <w:rsid w:val="00AF24BE"/>
    <w:rsid w:val="00AF2504"/>
    <w:rsid w:val="00AF2E24"/>
    <w:rsid w:val="00AF31FD"/>
    <w:rsid w:val="00AF41AE"/>
    <w:rsid w:val="00AF49BE"/>
    <w:rsid w:val="00AF51BB"/>
    <w:rsid w:val="00AF53F1"/>
    <w:rsid w:val="00AF5D69"/>
    <w:rsid w:val="00AF5D75"/>
    <w:rsid w:val="00AF5EE7"/>
    <w:rsid w:val="00AF66C1"/>
    <w:rsid w:val="00AF675C"/>
    <w:rsid w:val="00AF6DC2"/>
    <w:rsid w:val="00B003CF"/>
    <w:rsid w:val="00B0126B"/>
    <w:rsid w:val="00B01F19"/>
    <w:rsid w:val="00B03442"/>
    <w:rsid w:val="00B042CB"/>
    <w:rsid w:val="00B04EBB"/>
    <w:rsid w:val="00B05A40"/>
    <w:rsid w:val="00B05CAC"/>
    <w:rsid w:val="00B0759E"/>
    <w:rsid w:val="00B10A42"/>
    <w:rsid w:val="00B11940"/>
    <w:rsid w:val="00B1351E"/>
    <w:rsid w:val="00B155FB"/>
    <w:rsid w:val="00B15B8D"/>
    <w:rsid w:val="00B166F2"/>
    <w:rsid w:val="00B1677F"/>
    <w:rsid w:val="00B1779A"/>
    <w:rsid w:val="00B17EC3"/>
    <w:rsid w:val="00B2146E"/>
    <w:rsid w:val="00B21642"/>
    <w:rsid w:val="00B21D7C"/>
    <w:rsid w:val="00B21FC8"/>
    <w:rsid w:val="00B2547C"/>
    <w:rsid w:val="00B26CA1"/>
    <w:rsid w:val="00B30610"/>
    <w:rsid w:val="00B306AB"/>
    <w:rsid w:val="00B30C5E"/>
    <w:rsid w:val="00B31ABF"/>
    <w:rsid w:val="00B31CC5"/>
    <w:rsid w:val="00B3271C"/>
    <w:rsid w:val="00B345C5"/>
    <w:rsid w:val="00B34792"/>
    <w:rsid w:val="00B3497A"/>
    <w:rsid w:val="00B35274"/>
    <w:rsid w:val="00B356F6"/>
    <w:rsid w:val="00B36EB0"/>
    <w:rsid w:val="00B4220E"/>
    <w:rsid w:val="00B4329B"/>
    <w:rsid w:val="00B43EF8"/>
    <w:rsid w:val="00B45BBD"/>
    <w:rsid w:val="00B45BE3"/>
    <w:rsid w:val="00B45ECF"/>
    <w:rsid w:val="00B46C24"/>
    <w:rsid w:val="00B46CDD"/>
    <w:rsid w:val="00B47285"/>
    <w:rsid w:val="00B47D72"/>
    <w:rsid w:val="00B503BF"/>
    <w:rsid w:val="00B516F8"/>
    <w:rsid w:val="00B517A1"/>
    <w:rsid w:val="00B520F1"/>
    <w:rsid w:val="00B53429"/>
    <w:rsid w:val="00B5425C"/>
    <w:rsid w:val="00B54CA7"/>
    <w:rsid w:val="00B55BCA"/>
    <w:rsid w:val="00B55F49"/>
    <w:rsid w:val="00B56291"/>
    <w:rsid w:val="00B575AE"/>
    <w:rsid w:val="00B610A5"/>
    <w:rsid w:val="00B61A36"/>
    <w:rsid w:val="00B61B11"/>
    <w:rsid w:val="00B633E6"/>
    <w:rsid w:val="00B63436"/>
    <w:rsid w:val="00B6405E"/>
    <w:rsid w:val="00B640E9"/>
    <w:rsid w:val="00B640FC"/>
    <w:rsid w:val="00B64A95"/>
    <w:rsid w:val="00B65895"/>
    <w:rsid w:val="00B65ADE"/>
    <w:rsid w:val="00B67B32"/>
    <w:rsid w:val="00B73256"/>
    <w:rsid w:val="00B7336A"/>
    <w:rsid w:val="00B73C34"/>
    <w:rsid w:val="00B73EF4"/>
    <w:rsid w:val="00B743D9"/>
    <w:rsid w:val="00B756A9"/>
    <w:rsid w:val="00B757E3"/>
    <w:rsid w:val="00B76659"/>
    <w:rsid w:val="00B773F7"/>
    <w:rsid w:val="00B777AA"/>
    <w:rsid w:val="00B77C39"/>
    <w:rsid w:val="00B80185"/>
    <w:rsid w:val="00B80F6B"/>
    <w:rsid w:val="00B82444"/>
    <w:rsid w:val="00B828ED"/>
    <w:rsid w:val="00B82BFF"/>
    <w:rsid w:val="00B83537"/>
    <w:rsid w:val="00B83A05"/>
    <w:rsid w:val="00B83DD5"/>
    <w:rsid w:val="00B84004"/>
    <w:rsid w:val="00B843A6"/>
    <w:rsid w:val="00B8442E"/>
    <w:rsid w:val="00B84A76"/>
    <w:rsid w:val="00B86830"/>
    <w:rsid w:val="00B87669"/>
    <w:rsid w:val="00B87888"/>
    <w:rsid w:val="00B9041F"/>
    <w:rsid w:val="00B9178F"/>
    <w:rsid w:val="00B91FBC"/>
    <w:rsid w:val="00B928D9"/>
    <w:rsid w:val="00B928FE"/>
    <w:rsid w:val="00B938D3"/>
    <w:rsid w:val="00B942E6"/>
    <w:rsid w:val="00B9654C"/>
    <w:rsid w:val="00B9666D"/>
    <w:rsid w:val="00B9736E"/>
    <w:rsid w:val="00BA1673"/>
    <w:rsid w:val="00BA22DF"/>
    <w:rsid w:val="00BA2DD6"/>
    <w:rsid w:val="00BA35C0"/>
    <w:rsid w:val="00BA4AB0"/>
    <w:rsid w:val="00BA7DA2"/>
    <w:rsid w:val="00BB00FD"/>
    <w:rsid w:val="00BB04FB"/>
    <w:rsid w:val="00BB15B8"/>
    <w:rsid w:val="00BB1641"/>
    <w:rsid w:val="00BB2A36"/>
    <w:rsid w:val="00BB2D4F"/>
    <w:rsid w:val="00BB30E3"/>
    <w:rsid w:val="00BB380B"/>
    <w:rsid w:val="00BB3946"/>
    <w:rsid w:val="00BB440E"/>
    <w:rsid w:val="00BB4966"/>
    <w:rsid w:val="00BB5B90"/>
    <w:rsid w:val="00BB6279"/>
    <w:rsid w:val="00BB6C45"/>
    <w:rsid w:val="00BB6D3E"/>
    <w:rsid w:val="00BB736A"/>
    <w:rsid w:val="00BB7A95"/>
    <w:rsid w:val="00BC1302"/>
    <w:rsid w:val="00BC1851"/>
    <w:rsid w:val="00BC1E7F"/>
    <w:rsid w:val="00BC253D"/>
    <w:rsid w:val="00BC294F"/>
    <w:rsid w:val="00BC2DB1"/>
    <w:rsid w:val="00BC38F7"/>
    <w:rsid w:val="00BC4593"/>
    <w:rsid w:val="00BC5611"/>
    <w:rsid w:val="00BC5BB8"/>
    <w:rsid w:val="00BC5BEE"/>
    <w:rsid w:val="00BC5E7A"/>
    <w:rsid w:val="00BC6C14"/>
    <w:rsid w:val="00BC747B"/>
    <w:rsid w:val="00BC7549"/>
    <w:rsid w:val="00BD0101"/>
    <w:rsid w:val="00BD0166"/>
    <w:rsid w:val="00BD0AC4"/>
    <w:rsid w:val="00BD0E5F"/>
    <w:rsid w:val="00BD10F0"/>
    <w:rsid w:val="00BD13D4"/>
    <w:rsid w:val="00BD14B2"/>
    <w:rsid w:val="00BD15C1"/>
    <w:rsid w:val="00BD3368"/>
    <w:rsid w:val="00BD345F"/>
    <w:rsid w:val="00BD38C0"/>
    <w:rsid w:val="00BD3BC2"/>
    <w:rsid w:val="00BD42C5"/>
    <w:rsid w:val="00BD4329"/>
    <w:rsid w:val="00BD557A"/>
    <w:rsid w:val="00BD6678"/>
    <w:rsid w:val="00BD71A1"/>
    <w:rsid w:val="00BD7627"/>
    <w:rsid w:val="00BE00E6"/>
    <w:rsid w:val="00BE038A"/>
    <w:rsid w:val="00BE0ED3"/>
    <w:rsid w:val="00BE109F"/>
    <w:rsid w:val="00BE12D4"/>
    <w:rsid w:val="00BE16DC"/>
    <w:rsid w:val="00BE1D4A"/>
    <w:rsid w:val="00BE2D70"/>
    <w:rsid w:val="00BE2F46"/>
    <w:rsid w:val="00BE4682"/>
    <w:rsid w:val="00BE49CF"/>
    <w:rsid w:val="00BE4AA1"/>
    <w:rsid w:val="00BE57BB"/>
    <w:rsid w:val="00BE5EF2"/>
    <w:rsid w:val="00BE5F5E"/>
    <w:rsid w:val="00BE6250"/>
    <w:rsid w:val="00BE63B5"/>
    <w:rsid w:val="00BE654C"/>
    <w:rsid w:val="00BE6BF7"/>
    <w:rsid w:val="00BE6FCE"/>
    <w:rsid w:val="00BF01B9"/>
    <w:rsid w:val="00BF04E7"/>
    <w:rsid w:val="00BF0911"/>
    <w:rsid w:val="00BF106B"/>
    <w:rsid w:val="00BF12AC"/>
    <w:rsid w:val="00BF1A0E"/>
    <w:rsid w:val="00BF1DD0"/>
    <w:rsid w:val="00BF2619"/>
    <w:rsid w:val="00BF2B07"/>
    <w:rsid w:val="00BF51C3"/>
    <w:rsid w:val="00BF6213"/>
    <w:rsid w:val="00BF7077"/>
    <w:rsid w:val="00BF79E2"/>
    <w:rsid w:val="00C01602"/>
    <w:rsid w:val="00C03676"/>
    <w:rsid w:val="00C03CDF"/>
    <w:rsid w:val="00C041A3"/>
    <w:rsid w:val="00C058F3"/>
    <w:rsid w:val="00C060A5"/>
    <w:rsid w:val="00C06C00"/>
    <w:rsid w:val="00C078EA"/>
    <w:rsid w:val="00C10481"/>
    <w:rsid w:val="00C1217A"/>
    <w:rsid w:val="00C12544"/>
    <w:rsid w:val="00C12FC4"/>
    <w:rsid w:val="00C13043"/>
    <w:rsid w:val="00C13189"/>
    <w:rsid w:val="00C137CE"/>
    <w:rsid w:val="00C146DC"/>
    <w:rsid w:val="00C14821"/>
    <w:rsid w:val="00C14CA4"/>
    <w:rsid w:val="00C14CE3"/>
    <w:rsid w:val="00C14EDF"/>
    <w:rsid w:val="00C155FA"/>
    <w:rsid w:val="00C162FB"/>
    <w:rsid w:val="00C169E4"/>
    <w:rsid w:val="00C16DBE"/>
    <w:rsid w:val="00C16F54"/>
    <w:rsid w:val="00C17741"/>
    <w:rsid w:val="00C20223"/>
    <w:rsid w:val="00C214C1"/>
    <w:rsid w:val="00C216CB"/>
    <w:rsid w:val="00C21904"/>
    <w:rsid w:val="00C22CAE"/>
    <w:rsid w:val="00C22E7D"/>
    <w:rsid w:val="00C23144"/>
    <w:rsid w:val="00C239F0"/>
    <w:rsid w:val="00C24A8E"/>
    <w:rsid w:val="00C24C25"/>
    <w:rsid w:val="00C24E57"/>
    <w:rsid w:val="00C24F4F"/>
    <w:rsid w:val="00C252E2"/>
    <w:rsid w:val="00C25DB0"/>
    <w:rsid w:val="00C260E8"/>
    <w:rsid w:val="00C30B67"/>
    <w:rsid w:val="00C31B36"/>
    <w:rsid w:val="00C32396"/>
    <w:rsid w:val="00C32BE6"/>
    <w:rsid w:val="00C33115"/>
    <w:rsid w:val="00C3442A"/>
    <w:rsid w:val="00C347DD"/>
    <w:rsid w:val="00C35384"/>
    <w:rsid w:val="00C35418"/>
    <w:rsid w:val="00C36A69"/>
    <w:rsid w:val="00C36D38"/>
    <w:rsid w:val="00C36D47"/>
    <w:rsid w:val="00C408FC"/>
    <w:rsid w:val="00C41CCA"/>
    <w:rsid w:val="00C43459"/>
    <w:rsid w:val="00C43904"/>
    <w:rsid w:val="00C4427A"/>
    <w:rsid w:val="00C45566"/>
    <w:rsid w:val="00C4755D"/>
    <w:rsid w:val="00C47BB2"/>
    <w:rsid w:val="00C505AA"/>
    <w:rsid w:val="00C513C2"/>
    <w:rsid w:val="00C51C1A"/>
    <w:rsid w:val="00C52CDF"/>
    <w:rsid w:val="00C54340"/>
    <w:rsid w:val="00C55936"/>
    <w:rsid w:val="00C568A8"/>
    <w:rsid w:val="00C56EFD"/>
    <w:rsid w:val="00C57723"/>
    <w:rsid w:val="00C57A42"/>
    <w:rsid w:val="00C57DBA"/>
    <w:rsid w:val="00C609FE"/>
    <w:rsid w:val="00C61DE3"/>
    <w:rsid w:val="00C64C9B"/>
    <w:rsid w:val="00C65416"/>
    <w:rsid w:val="00C668A5"/>
    <w:rsid w:val="00C70BD6"/>
    <w:rsid w:val="00C7196B"/>
    <w:rsid w:val="00C7211C"/>
    <w:rsid w:val="00C7267B"/>
    <w:rsid w:val="00C72A64"/>
    <w:rsid w:val="00C72DE1"/>
    <w:rsid w:val="00C733E1"/>
    <w:rsid w:val="00C73ADC"/>
    <w:rsid w:val="00C73C31"/>
    <w:rsid w:val="00C7435F"/>
    <w:rsid w:val="00C74611"/>
    <w:rsid w:val="00C74735"/>
    <w:rsid w:val="00C74C7C"/>
    <w:rsid w:val="00C74D4D"/>
    <w:rsid w:val="00C773EA"/>
    <w:rsid w:val="00C801DF"/>
    <w:rsid w:val="00C802BE"/>
    <w:rsid w:val="00C822B2"/>
    <w:rsid w:val="00C8360D"/>
    <w:rsid w:val="00C864E5"/>
    <w:rsid w:val="00C866C8"/>
    <w:rsid w:val="00C86D2C"/>
    <w:rsid w:val="00C87217"/>
    <w:rsid w:val="00C90987"/>
    <w:rsid w:val="00C92155"/>
    <w:rsid w:val="00C923D4"/>
    <w:rsid w:val="00C9358A"/>
    <w:rsid w:val="00C94D36"/>
    <w:rsid w:val="00C95CCD"/>
    <w:rsid w:val="00C964A9"/>
    <w:rsid w:val="00C965A4"/>
    <w:rsid w:val="00C9670A"/>
    <w:rsid w:val="00C967DE"/>
    <w:rsid w:val="00C96916"/>
    <w:rsid w:val="00C97CDC"/>
    <w:rsid w:val="00CA116B"/>
    <w:rsid w:val="00CA204C"/>
    <w:rsid w:val="00CA25AB"/>
    <w:rsid w:val="00CA29D6"/>
    <w:rsid w:val="00CA2E4E"/>
    <w:rsid w:val="00CA399B"/>
    <w:rsid w:val="00CA451D"/>
    <w:rsid w:val="00CA4583"/>
    <w:rsid w:val="00CA5282"/>
    <w:rsid w:val="00CA6773"/>
    <w:rsid w:val="00CA6FDA"/>
    <w:rsid w:val="00CB04D9"/>
    <w:rsid w:val="00CB0C3A"/>
    <w:rsid w:val="00CB1342"/>
    <w:rsid w:val="00CB1B60"/>
    <w:rsid w:val="00CB1C53"/>
    <w:rsid w:val="00CB1EDF"/>
    <w:rsid w:val="00CB2490"/>
    <w:rsid w:val="00CB2FCD"/>
    <w:rsid w:val="00CB3240"/>
    <w:rsid w:val="00CB3674"/>
    <w:rsid w:val="00CB372E"/>
    <w:rsid w:val="00CB4D81"/>
    <w:rsid w:val="00CB529E"/>
    <w:rsid w:val="00CB54D6"/>
    <w:rsid w:val="00CB5CAF"/>
    <w:rsid w:val="00CB69EE"/>
    <w:rsid w:val="00CB6F86"/>
    <w:rsid w:val="00CB7C02"/>
    <w:rsid w:val="00CC01BC"/>
    <w:rsid w:val="00CC0A1D"/>
    <w:rsid w:val="00CC0FB0"/>
    <w:rsid w:val="00CC1115"/>
    <w:rsid w:val="00CC21BB"/>
    <w:rsid w:val="00CC2713"/>
    <w:rsid w:val="00CC283B"/>
    <w:rsid w:val="00CC378E"/>
    <w:rsid w:val="00CC3862"/>
    <w:rsid w:val="00CC5390"/>
    <w:rsid w:val="00CC5784"/>
    <w:rsid w:val="00CC73A0"/>
    <w:rsid w:val="00CC7791"/>
    <w:rsid w:val="00CC78D0"/>
    <w:rsid w:val="00CC7F94"/>
    <w:rsid w:val="00CD034D"/>
    <w:rsid w:val="00CD0D19"/>
    <w:rsid w:val="00CD0FEF"/>
    <w:rsid w:val="00CD2994"/>
    <w:rsid w:val="00CD29C5"/>
    <w:rsid w:val="00CD3595"/>
    <w:rsid w:val="00CD4F8D"/>
    <w:rsid w:val="00CD54CC"/>
    <w:rsid w:val="00CD56D3"/>
    <w:rsid w:val="00CD5F7D"/>
    <w:rsid w:val="00CD6173"/>
    <w:rsid w:val="00CD64AC"/>
    <w:rsid w:val="00CD64F7"/>
    <w:rsid w:val="00CD6D13"/>
    <w:rsid w:val="00CD7813"/>
    <w:rsid w:val="00CE0303"/>
    <w:rsid w:val="00CE1A0D"/>
    <w:rsid w:val="00CE20A7"/>
    <w:rsid w:val="00CE31D9"/>
    <w:rsid w:val="00CE39C7"/>
    <w:rsid w:val="00CE453B"/>
    <w:rsid w:val="00CE46A3"/>
    <w:rsid w:val="00CE4EF2"/>
    <w:rsid w:val="00CE644F"/>
    <w:rsid w:val="00CF0438"/>
    <w:rsid w:val="00CF1822"/>
    <w:rsid w:val="00CF188A"/>
    <w:rsid w:val="00CF2B71"/>
    <w:rsid w:val="00CF4AAC"/>
    <w:rsid w:val="00CF4ECF"/>
    <w:rsid w:val="00CF5E39"/>
    <w:rsid w:val="00CF6428"/>
    <w:rsid w:val="00CF6598"/>
    <w:rsid w:val="00CF6E51"/>
    <w:rsid w:val="00CF7985"/>
    <w:rsid w:val="00CF7C08"/>
    <w:rsid w:val="00D01E60"/>
    <w:rsid w:val="00D02B7D"/>
    <w:rsid w:val="00D02EBC"/>
    <w:rsid w:val="00D0323E"/>
    <w:rsid w:val="00D03260"/>
    <w:rsid w:val="00D0588B"/>
    <w:rsid w:val="00D06041"/>
    <w:rsid w:val="00D07049"/>
    <w:rsid w:val="00D07FA1"/>
    <w:rsid w:val="00D10484"/>
    <w:rsid w:val="00D10E8C"/>
    <w:rsid w:val="00D1125C"/>
    <w:rsid w:val="00D11378"/>
    <w:rsid w:val="00D113BF"/>
    <w:rsid w:val="00D115FE"/>
    <w:rsid w:val="00D11CF7"/>
    <w:rsid w:val="00D128D1"/>
    <w:rsid w:val="00D13843"/>
    <w:rsid w:val="00D1467D"/>
    <w:rsid w:val="00D151D1"/>
    <w:rsid w:val="00D15303"/>
    <w:rsid w:val="00D155FD"/>
    <w:rsid w:val="00D15961"/>
    <w:rsid w:val="00D15B26"/>
    <w:rsid w:val="00D15F20"/>
    <w:rsid w:val="00D16813"/>
    <w:rsid w:val="00D16F2D"/>
    <w:rsid w:val="00D178D8"/>
    <w:rsid w:val="00D17ED7"/>
    <w:rsid w:val="00D220B5"/>
    <w:rsid w:val="00D2295D"/>
    <w:rsid w:val="00D23195"/>
    <w:rsid w:val="00D26CC9"/>
    <w:rsid w:val="00D278DF"/>
    <w:rsid w:val="00D30B6E"/>
    <w:rsid w:val="00D31593"/>
    <w:rsid w:val="00D328E5"/>
    <w:rsid w:val="00D32E88"/>
    <w:rsid w:val="00D33FB6"/>
    <w:rsid w:val="00D35804"/>
    <w:rsid w:val="00D3584B"/>
    <w:rsid w:val="00D359AE"/>
    <w:rsid w:val="00D36CE8"/>
    <w:rsid w:val="00D37058"/>
    <w:rsid w:val="00D377AC"/>
    <w:rsid w:val="00D40603"/>
    <w:rsid w:val="00D4079C"/>
    <w:rsid w:val="00D418F0"/>
    <w:rsid w:val="00D41DBB"/>
    <w:rsid w:val="00D42A8B"/>
    <w:rsid w:val="00D42D67"/>
    <w:rsid w:val="00D43B5D"/>
    <w:rsid w:val="00D44284"/>
    <w:rsid w:val="00D449CF"/>
    <w:rsid w:val="00D45168"/>
    <w:rsid w:val="00D458DE"/>
    <w:rsid w:val="00D45A31"/>
    <w:rsid w:val="00D46488"/>
    <w:rsid w:val="00D466ED"/>
    <w:rsid w:val="00D476A0"/>
    <w:rsid w:val="00D47724"/>
    <w:rsid w:val="00D50777"/>
    <w:rsid w:val="00D51118"/>
    <w:rsid w:val="00D51181"/>
    <w:rsid w:val="00D520BA"/>
    <w:rsid w:val="00D52114"/>
    <w:rsid w:val="00D53948"/>
    <w:rsid w:val="00D5409F"/>
    <w:rsid w:val="00D55F7B"/>
    <w:rsid w:val="00D560F9"/>
    <w:rsid w:val="00D5651E"/>
    <w:rsid w:val="00D56566"/>
    <w:rsid w:val="00D57128"/>
    <w:rsid w:val="00D57E00"/>
    <w:rsid w:val="00D611C0"/>
    <w:rsid w:val="00D61427"/>
    <w:rsid w:val="00D61550"/>
    <w:rsid w:val="00D6249B"/>
    <w:rsid w:val="00D632FE"/>
    <w:rsid w:val="00D638B0"/>
    <w:rsid w:val="00D65181"/>
    <w:rsid w:val="00D66F23"/>
    <w:rsid w:val="00D713E4"/>
    <w:rsid w:val="00D72AD7"/>
    <w:rsid w:val="00D72C03"/>
    <w:rsid w:val="00D7304D"/>
    <w:rsid w:val="00D747CD"/>
    <w:rsid w:val="00D74943"/>
    <w:rsid w:val="00D762AF"/>
    <w:rsid w:val="00D76927"/>
    <w:rsid w:val="00D80988"/>
    <w:rsid w:val="00D80B77"/>
    <w:rsid w:val="00D80B80"/>
    <w:rsid w:val="00D81165"/>
    <w:rsid w:val="00D812CC"/>
    <w:rsid w:val="00D82345"/>
    <w:rsid w:val="00D8298B"/>
    <w:rsid w:val="00D8313D"/>
    <w:rsid w:val="00D83B2E"/>
    <w:rsid w:val="00D844F3"/>
    <w:rsid w:val="00D85024"/>
    <w:rsid w:val="00D85FB5"/>
    <w:rsid w:val="00D870AE"/>
    <w:rsid w:val="00D876D2"/>
    <w:rsid w:val="00D90774"/>
    <w:rsid w:val="00D9136A"/>
    <w:rsid w:val="00D916E2"/>
    <w:rsid w:val="00D92461"/>
    <w:rsid w:val="00D928CA"/>
    <w:rsid w:val="00D92B01"/>
    <w:rsid w:val="00D93A19"/>
    <w:rsid w:val="00D94935"/>
    <w:rsid w:val="00D951B6"/>
    <w:rsid w:val="00D956E9"/>
    <w:rsid w:val="00D95B0C"/>
    <w:rsid w:val="00D96114"/>
    <w:rsid w:val="00D965D9"/>
    <w:rsid w:val="00D97344"/>
    <w:rsid w:val="00DA0352"/>
    <w:rsid w:val="00DA1129"/>
    <w:rsid w:val="00DA12B5"/>
    <w:rsid w:val="00DA238E"/>
    <w:rsid w:val="00DA23F0"/>
    <w:rsid w:val="00DA249F"/>
    <w:rsid w:val="00DA2614"/>
    <w:rsid w:val="00DA455A"/>
    <w:rsid w:val="00DA66B0"/>
    <w:rsid w:val="00DA7961"/>
    <w:rsid w:val="00DA7DA2"/>
    <w:rsid w:val="00DA7FA9"/>
    <w:rsid w:val="00DB09A4"/>
    <w:rsid w:val="00DB0E2C"/>
    <w:rsid w:val="00DB1B2D"/>
    <w:rsid w:val="00DB202E"/>
    <w:rsid w:val="00DB33B3"/>
    <w:rsid w:val="00DB4E2B"/>
    <w:rsid w:val="00DB4F7A"/>
    <w:rsid w:val="00DB502F"/>
    <w:rsid w:val="00DB513C"/>
    <w:rsid w:val="00DB5479"/>
    <w:rsid w:val="00DB54C1"/>
    <w:rsid w:val="00DB5818"/>
    <w:rsid w:val="00DB610F"/>
    <w:rsid w:val="00DB6272"/>
    <w:rsid w:val="00DB7E65"/>
    <w:rsid w:val="00DC00C7"/>
    <w:rsid w:val="00DC04D2"/>
    <w:rsid w:val="00DC0E05"/>
    <w:rsid w:val="00DC13F4"/>
    <w:rsid w:val="00DC27A8"/>
    <w:rsid w:val="00DC33DC"/>
    <w:rsid w:val="00DC5330"/>
    <w:rsid w:val="00DC775D"/>
    <w:rsid w:val="00DC7933"/>
    <w:rsid w:val="00DC7A00"/>
    <w:rsid w:val="00DD0466"/>
    <w:rsid w:val="00DD0C2F"/>
    <w:rsid w:val="00DD2DD7"/>
    <w:rsid w:val="00DD316E"/>
    <w:rsid w:val="00DD32E1"/>
    <w:rsid w:val="00DD33C5"/>
    <w:rsid w:val="00DD3656"/>
    <w:rsid w:val="00DD3E93"/>
    <w:rsid w:val="00DD40D3"/>
    <w:rsid w:val="00DD43B8"/>
    <w:rsid w:val="00DD4E1A"/>
    <w:rsid w:val="00DD5568"/>
    <w:rsid w:val="00DD62E9"/>
    <w:rsid w:val="00DD66E5"/>
    <w:rsid w:val="00DD67CA"/>
    <w:rsid w:val="00DD6989"/>
    <w:rsid w:val="00DD761A"/>
    <w:rsid w:val="00DD7A04"/>
    <w:rsid w:val="00DE08A5"/>
    <w:rsid w:val="00DE092C"/>
    <w:rsid w:val="00DE1615"/>
    <w:rsid w:val="00DE1627"/>
    <w:rsid w:val="00DE1905"/>
    <w:rsid w:val="00DE1D94"/>
    <w:rsid w:val="00DE2AE7"/>
    <w:rsid w:val="00DE3D95"/>
    <w:rsid w:val="00DE3EB7"/>
    <w:rsid w:val="00DE4C7C"/>
    <w:rsid w:val="00DE563F"/>
    <w:rsid w:val="00DE5FEE"/>
    <w:rsid w:val="00DE6A34"/>
    <w:rsid w:val="00DF307A"/>
    <w:rsid w:val="00DF4313"/>
    <w:rsid w:val="00DF4638"/>
    <w:rsid w:val="00DF54FF"/>
    <w:rsid w:val="00DF553B"/>
    <w:rsid w:val="00DF59C5"/>
    <w:rsid w:val="00DF6CA7"/>
    <w:rsid w:val="00DF70EB"/>
    <w:rsid w:val="00DF7833"/>
    <w:rsid w:val="00DF7B78"/>
    <w:rsid w:val="00DF7C68"/>
    <w:rsid w:val="00E0017F"/>
    <w:rsid w:val="00E005ED"/>
    <w:rsid w:val="00E00809"/>
    <w:rsid w:val="00E022A6"/>
    <w:rsid w:val="00E02513"/>
    <w:rsid w:val="00E02886"/>
    <w:rsid w:val="00E02A81"/>
    <w:rsid w:val="00E02B15"/>
    <w:rsid w:val="00E03A9B"/>
    <w:rsid w:val="00E0432B"/>
    <w:rsid w:val="00E0457B"/>
    <w:rsid w:val="00E05439"/>
    <w:rsid w:val="00E0575D"/>
    <w:rsid w:val="00E059C9"/>
    <w:rsid w:val="00E060DA"/>
    <w:rsid w:val="00E06812"/>
    <w:rsid w:val="00E071C0"/>
    <w:rsid w:val="00E07A3F"/>
    <w:rsid w:val="00E105C9"/>
    <w:rsid w:val="00E10874"/>
    <w:rsid w:val="00E10A20"/>
    <w:rsid w:val="00E11124"/>
    <w:rsid w:val="00E11BC0"/>
    <w:rsid w:val="00E11FE2"/>
    <w:rsid w:val="00E12419"/>
    <w:rsid w:val="00E12B00"/>
    <w:rsid w:val="00E13443"/>
    <w:rsid w:val="00E146A8"/>
    <w:rsid w:val="00E15123"/>
    <w:rsid w:val="00E1578D"/>
    <w:rsid w:val="00E168FB"/>
    <w:rsid w:val="00E17DAA"/>
    <w:rsid w:val="00E217A3"/>
    <w:rsid w:val="00E21BC6"/>
    <w:rsid w:val="00E21CE0"/>
    <w:rsid w:val="00E22626"/>
    <w:rsid w:val="00E22D11"/>
    <w:rsid w:val="00E22E7B"/>
    <w:rsid w:val="00E253A8"/>
    <w:rsid w:val="00E25A9C"/>
    <w:rsid w:val="00E2600E"/>
    <w:rsid w:val="00E26026"/>
    <w:rsid w:val="00E261B9"/>
    <w:rsid w:val="00E2640C"/>
    <w:rsid w:val="00E30B2B"/>
    <w:rsid w:val="00E312DB"/>
    <w:rsid w:val="00E31A0A"/>
    <w:rsid w:val="00E31D87"/>
    <w:rsid w:val="00E32D59"/>
    <w:rsid w:val="00E333FC"/>
    <w:rsid w:val="00E33DD9"/>
    <w:rsid w:val="00E34BE9"/>
    <w:rsid w:val="00E35BA2"/>
    <w:rsid w:val="00E364DE"/>
    <w:rsid w:val="00E36E25"/>
    <w:rsid w:val="00E40C2C"/>
    <w:rsid w:val="00E413C8"/>
    <w:rsid w:val="00E413F0"/>
    <w:rsid w:val="00E42DAA"/>
    <w:rsid w:val="00E42E15"/>
    <w:rsid w:val="00E43781"/>
    <w:rsid w:val="00E44915"/>
    <w:rsid w:val="00E44E39"/>
    <w:rsid w:val="00E45383"/>
    <w:rsid w:val="00E45847"/>
    <w:rsid w:val="00E458CA"/>
    <w:rsid w:val="00E46C64"/>
    <w:rsid w:val="00E47A0E"/>
    <w:rsid w:val="00E50A22"/>
    <w:rsid w:val="00E5187C"/>
    <w:rsid w:val="00E53E3B"/>
    <w:rsid w:val="00E53F99"/>
    <w:rsid w:val="00E546A4"/>
    <w:rsid w:val="00E54DF4"/>
    <w:rsid w:val="00E555F1"/>
    <w:rsid w:val="00E55AF0"/>
    <w:rsid w:val="00E56259"/>
    <w:rsid w:val="00E56349"/>
    <w:rsid w:val="00E5647C"/>
    <w:rsid w:val="00E5719C"/>
    <w:rsid w:val="00E62487"/>
    <w:rsid w:val="00E62DFF"/>
    <w:rsid w:val="00E63612"/>
    <w:rsid w:val="00E6393D"/>
    <w:rsid w:val="00E63CF4"/>
    <w:rsid w:val="00E63DA0"/>
    <w:rsid w:val="00E646A0"/>
    <w:rsid w:val="00E64780"/>
    <w:rsid w:val="00E65DC5"/>
    <w:rsid w:val="00E65FFF"/>
    <w:rsid w:val="00E70AEE"/>
    <w:rsid w:val="00E71183"/>
    <w:rsid w:val="00E71FC4"/>
    <w:rsid w:val="00E7255A"/>
    <w:rsid w:val="00E74BD7"/>
    <w:rsid w:val="00E75C05"/>
    <w:rsid w:val="00E762D0"/>
    <w:rsid w:val="00E802B5"/>
    <w:rsid w:val="00E80610"/>
    <w:rsid w:val="00E81349"/>
    <w:rsid w:val="00E83361"/>
    <w:rsid w:val="00E84351"/>
    <w:rsid w:val="00E843E3"/>
    <w:rsid w:val="00E84BEE"/>
    <w:rsid w:val="00E84FF3"/>
    <w:rsid w:val="00E859C0"/>
    <w:rsid w:val="00E85FFD"/>
    <w:rsid w:val="00E860D4"/>
    <w:rsid w:val="00E8765E"/>
    <w:rsid w:val="00E90549"/>
    <w:rsid w:val="00E9075C"/>
    <w:rsid w:val="00E916F4"/>
    <w:rsid w:val="00E91CBC"/>
    <w:rsid w:val="00E92252"/>
    <w:rsid w:val="00E9330A"/>
    <w:rsid w:val="00E93EB8"/>
    <w:rsid w:val="00E9439D"/>
    <w:rsid w:val="00E944A1"/>
    <w:rsid w:val="00E95794"/>
    <w:rsid w:val="00E971F2"/>
    <w:rsid w:val="00E9787B"/>
    <w:rsid w:val="00EA290E"/>
    <w:rsid w:val="00EA3214"/>
    <w:rsid w:val="00EA36A0"/>
    <w:rsid w:val="00EA3A0D"/>
    <w:rsid w:val="00EA5B90"/>
    <w:rsid w:val="00EA682E"/>
    <w:rsid w:val="00EA691A"/>
    <w:rsid w:val="00EA6E17"/>
    <w:rsid w:val="00EA7CEA"/>
    <w:rsid w:val="00EA7E97"/>
    <w:rsid w:val="00EB0611"/>
    <w:rsid w:val="00EB0650"/>
    <w:rsid w:val="00EB0736"/>
    <w:rsid w:val="00EB0B3D"/>
    <w:rsid w:val="00EB0FB9"/>
    <w:rsid w:val="00EB1454"/>
    <w:rsid w:val="00EB26D8"/>
    <w:rsid w:val="00EB32C1"/>
    <w:rsid w:val="00EB344B"/>
    <w:rsid w:val="00EB3552"/>
    <w:rsid w:val="00EB3F3A"/>
    <w:rsid w:val="00EB5AB6"/>
    <w:rsid w:val="00EB5FFD"/>
    <w:rsid w:val="00EB6D04"/>
    <w:rsid w:val="00EB6F66"/>
    <w:rsid w:val="00EB7457"/>
    <w:rsid w:val="00EB7C7A"/>
    <w:rsid w:val="00EC0396"/>
    <w:rsid w:val="00EC079D"/>
    <w:rsid w:val="00EC07E0"/>
    <w:rsid w:val="00EC0EDB"/>
    <w:rsid w:val="00EC1A9E"/>
    <w:rsid w:val="00EC2C5B"/>
    <w:rsid w:val="00EC3020"/>
    <w:rsid w:val="00EC34BC"/>
    <w:rsid w:val="00EC3679"/>
    <w:rsid w:val="00EC3992"/>
    <w:rsid w:val="00EC3F9D"/>
    <w:rsid w:val="00EC450B"/>
    <w:rsid w:val="00EC4CC7"/>
    <w:rsid w:val="00EC54C7"/>
    <w:rsid w:val="00EC5DB5"/>
    <w:rsid w:val="00EC6E1B"/>
    <w:rsid w:val="00EC7219"/>
    <w:rsid w:val="00EC7AD7"/>
    <w:rsid w:val="00ED03E7"/>
    <w:rsid w:val="00ED101F"/>
    <w:rsid w:val="00ED12EA"/>
    <w:rsid w:val="00ED1A07"/>
    <w:rsid w:val="00ED1FAC"/>
    <w:rsid w:val="00ED2806"/>
    <w:rsid w:val="00ED607C"/>
    <w:rsid w:val="00ED6186"/>
    <w:rsid w:val="00ED7F0F"/>
    <w:rsid w:val="00EE0953"/>
    <w:rsid w:val="00EE1683"/>
    <w:rsid w:val="00EE1941"/>
    <w:rsid w:val="00EE20D1"/>
    <w:rsid w:val="00EE233B"/>
    <w:rsid w:val="00EE28B1"/>
    <w:rsid w:val="00EE2AC2"/>
    <w:rsid w:val="00EE2CE4"/>
    <w:rsid w:val="00EE32B4"/>
    <w:rsid w:val="00EE37D7"/>
    <w:rsid w:val="00EE3D03"/>
    <w:rsid w:val="00EE4721"/>
    <w:rsid w:val="00EE5D24"/>
    <w:rsid w:val="00EE709B"/>
    <w:rsid w:val="00EF046C"/>
    <w:rsid w:val="00EF0921"/>
    <w:rsid w:val="00EF1554"/>
    <w:rsid w:val="00EF1E11"/>
    <w:rsid w:val="00EF204D"/>
    <w:rsid w:val="00EF2B1E"/>
    <w:rsid w:val="00EF3A6D"/>
    <w:rsid w:val="00EF4086"/>
    <w:rsid w:val="00EF438F"/>
    <w:rsid w:val="00EF4699"/>
    <w:rsid w:val="00EF4752"/>
    <w:rsid w:val="00EF47E9"/>
    <w:rsid w:val="00EF54D8"/>
    <w:rsid w:val="00EF5639"/>
    <w:rsid w:val="00EF57AC"/>
    <w:rsid w:val="00EF5BCF"/>
    <w:rsid w:val="00EF6C6F"/>
    <w:rsid w:val="00EF7A5E"/>
    <w:rsid w:val="00EF7B2A"/>
    <w:rsid w:val="00F00BF9"/>
    <w:rsid w:val="00F0283E"/>
    <w:rsid w:val="00F03041"/>
    <w:rsid w:val="00F0321C"/>
    <w:rsid w:val="00F0340D"/>
    <w:rsid w:val="00F0375E"/>
    <w:rsid w:val="00F046B5"/>
    <w:rsid w:val="00F047AB"/>
    <w:rsid w:val="00F0681B"/>
    <w:rsid w:val="00F0682E"/>
    <w:rsid w:val="00F06869"/>
    <w:rsid w:val="00F108E5"/>
    <w:rsid w:val="00F1225F"/>
    <w:rsid w:val="00F13A9B"/>
    <w:rsid w:val="00F13CEA"/>
    <w:rsid w:val="00F14D96"/>
    <w:rsid w:val="00F153EF"/>
    <w:rsid w:val="00F155C9"/>
    <w:rsid w:val="00F15A71"/>
    <w:rsid w:val="00F17485"/>
    <w:rsid w:val="00F17A6A"/>
    <w:rsid w:val="00F20AE5"/>
    <w:rsid w:val="00F20D1C"/>
    <w:rsid w:val="00F2110A"/>
    <w:rsid w:val="00F2182D"/>
    <w:rsid w:val="00F21D2C"/>
    <w:rsid w:val="00F222A8"/>
    <w:rsid w:val="00F22D09"/>
    <w:rsid w:val="00F230DD"/>
    <w:rsid w:val="00F23629"/>
    <w:rsid w:val="00F242FD"/>
    <w:rsid w:val="00F24D2D"/>
    <w:rsid w:val="00F25455"/>
    <w:rsid w:val="00F25959"/>
    <w:rsid w:val="00F26743"/>
    <w:rsid w:val="00F26D52"/>
    <w:rsid w:val="00F27564"/>
    <w:rsid w:val="00F319BF"/>
    <w:rsid w:val="00F3217C"/>
    <w:rsid w:val="00F322F0"/>
    <w:rsid w:val="00F3257F"/>
    <w:rsid w:val="00F32E57"/>
    <w:rsid w:val="00F3340F"/>
    <w:rsid w:val="00F33C4B"/>
    <w:rsid w:val="00F3422C"/>
    <w:rsid w:val="00F34951"/>
    <w:rsid w:val="00F34E16"/>
    <w:rsid w:val="00F351B6"/>
    <w:rsid w:val="00F36080"/>
    <w:rsid w:val="00F36A2B"/>
    <w:rsid w:val="00F3709F"/>
    <w:rsid w:val="00F37EE4"/>
    <w:rsid w:val="00F42AEB"/>
    <w:rsid w:val="00F42FC4"/>
    <w:rsid w:val="00F43141"/>
    <w:rsid w:val="00F43E18"/>
    <w:rsid w:val="00F441BE"/>
    <w:rsid w:val="00F45BDC"/>
    <w:rsid w:val="00F45DBB"/>
    <w:rsid w:val="00F47A31"/>
    <w:rsid w:val="00F47D10"/>
    <w:rsid w:val="00F50981"/>
    <w:rsid w:val="00F51847"/>
    <w:rsid w:val="00F526A8"/>
    <w:rsid w:val="00F52965"/>
    <w:rsid w:val="00F538EB"/>
    <w:rsid w:val="00F53AB9"/>
    <w:rsid w:val="00F53CCF"/>
    <w:rsid w:val="00F54354"/>
    <w:rsid w:val="00F549EF"/>
    <w:rsid w:val="00F64A9B"/>
    <w:rsid w:val="00F64C59"/>
    <w:rsid w:val="00F6502F"/>
    <w:rsid w:val="00F67079"/>
    <w:rsid w:val="00F71C7C"/>
    <w:rsid w:val="00F72F58"/>
    <w:rsid w:val="00F74130"/>
    <w:rsid w:val="00F76A32"/>
    <w:rsid w:val="00F80474"/>
    <w:rsid w:val="00F805C2"/>
    <w:rsid w:val="00F81337"/>
    <w:rsid w:val="00F8299D"/>
    <w:rsid w:val="00F8307D"/>
    <w:rsid w:val="00F8361C"/>
    <w:rsid w:val="00F84372"/>
    <w:rsid w:val="00F84BFF"/>
    <w:rsid w:val="00F84D57"/>
    <w:rsid w:val="00F859D1"/>
    <w:rsid w:val="00F86B82"/>
    <w:rsid w:val="00F87207"/>
    <w:rsid w:val="00F9170F"/>
    <w:rsid w:val="00F91B4E"/>
    <w:rsid w:val="00F922AA"/>
    <w:rsid w:val="00F922D9"/>
    <w:rsid w:val="00F94293"/>
    <w:rsid w:val="00F9507F"/>
    <w:rsid w:val="00F97AB1"/>
    <w:rsid w:val="00F97B3A"/>
    <w:rsid w:val="00F97F54"/>
    <w:rsid w:val="00FA068F"/>
    <w:rsid w:val="00FA0A37"/>
    <w:rsid w:val="00FA17B2"/>
    <w:rsid w:val="00FA1B45"/>
    <w:rsid w:val="00FA34CC"/>
    <w:rsid w:val="00FA4044"/>
    <w:rsid w:val="00FA4383"/>
    <w:rsid w:val="00FA4B17"/>
    <w:rsid w:val="00FA5CF6"/>
    <w:rsid w:val="00FA686F"/>
    <w:rsid w:val="00FA77C9"/>
    <w:rsid w:val="00FB3FB5"/>
    <w:rsid w:val="00FB5A5C"/>
    <w:rsid w:val="00FB5F48"/>
    <w:rsid w:val="00FB61EF"/>
    <w:rsid w:val="00FB629D"/>
    <w:rsid w:val="00FB63DD"/>
    <w:rsid w:val="00FB6E68"/>
    <w:rsid w:val="00FB6EC7"/>
    <w:rsid w:val="00FB6FA8"/>
    <w:rsid w:val="00FB7E56"/>
    <w:rsid w:val="00FB7FBD"/>
    <w:rsid w:val="00FC062B"/>
    <w:rsid w:val="00FC0D56"/>
    <w:rsid w:val="00FC20CA"/>
    <w:rsid w:val="00FC255F"/>
    <w:rsid w:val="00FC2678"/>
    <w:rsid w:val="00FC4369"/>
    <w:rsid w:val="00FC4BD9"/>
    <w:rsid w:val="00FC4EEE"/>
    <w:rsid w:val="00FC501F"/>
    <w:rsid w:val="00FC6146"/>
    <w:rsid w:val="00FC6EE1"/>
    <w:rsid w:val="00FD041C"/>
    <w:rsid w:val="00FD18B2"/>
    <w:rsid w:val="00FD3AF2"/>
    <w:rsid w:val="00FD7D0C"/>
    <w:rsid w:val="00FD7F63"/>
    <w:rsid w:val="00FE0AFB"/>
    <w:rsid w:val="00FE17AA"/>
    <w:rsid w:val="00FE2A3B"/>
    <w:rsid w:val="00FE2BB4"/>
    <w:rsid w:val="00FE2F7F"/>
    <w:rsid w:val="00FE3083"/>
    <w:rsid w:val="00FE328D"/>
    <w:rsid w:val="00FE3984"/>
    <w:rsid w:val="00FE3CC6"/>
    <w:rsid w:val="00FE4B13"/>
    <w:rsid w:val="00FE5691"/>
    <w:rsid w:val="00FE7E92"/>
    <w:rsid w:val="00FF0EF1"/>
    <w:rsid w:val="00FF17F3"/>
    <w:rsid w:val="00FF1B2B"/>
    <w:rsid w:val="00FF1BE3"/>
    <w:rsid w:val="00FF2A83"/>
    <w:rsid w:val="00FF5133"/>
    <w:rsid w:val="00FF5770"/>
    <w:rsid w:val="00FF5C3F"/>
    <w:rsid w:val="00FF5DD5"/>
    <w:rsid w:val="00FF688C"/>
    <w:rsid w:val="00FF7819"/>
    <w:rsid w:val="00FF7BB7"/>
    <w:rsid w:val="00FF7DB3"/>
    <w:rsid w:val="00FF7EE4"/>
    <w:rsid w:val="01FDD292"/>
    <w:rsid w:val="03343D49"/>
    <w:rsid w:val="03ABFBC1"/>
    <w:rsid w:val="03FB6761"/>
    <w:rsid w:val="0489F39E"/>
    <w:rsid w:val="04A842DD"/>
    <w:rsid w:val="07A5CA34"/>
    <w:rsid w:val="0879D5AE"/>
    <w:rsid w:val="08C96EF0"/>
    <w:rsid w:val="0ABD5AA9"/>
    <w:rsid w:val="0B20F9A4"/>
    <w:rsid w:val="0CD6C8E2"/>
    <w:rsid w:val="0D1B25FC"/>
    <w:rsid w:val="0D458C1C"/>
    <w:rsid w:val="0E0CDA7D"/>
    <w:rsid w:val="0EF774F8"/>
    <w:rsid w:val="10B9CCE1"/>
    <w:rsid w:val="118E25D2"/>
    <w:rsid w:val="14B88DC5"/>
    <w:rsid w:val="153FD142"/>
    <w:rsid w:val="16400262"/>
    <w:rsid w:val="168BB1CA"/>
    <w:rsid w:val="16DD5E9A"/>
    <w:rsid w:val="190D0892"/>
    <w:rsid w:val="1985E77A"/>
    <w:rsid w:val="1A9E3202"/>
    <w:rsid w:val="1D415E47"/>
    <w:rsid w:val="1D9EDDA9"/>
    <w:rsid w:val="1F86CAFA"/>
    <w:rsid w:val="214B9DC9"/>
    <w:rsid w:val="2302CB33"/>
    <w:rsid w:val="240ED094"/>
    <w:rsid w:val="246FF141"/>
    <w:rsid w:val="2554FB4F"/>
    <w:rsid w:val="26A87E29"/>
    <w:rsid w:val="270BE237"/>
    <w:rsid w:val="289D53CC"/>
    <w:rsid w:val="28D06410"/>
    <w:rsid w:val="292F0F01"/>
    <w:rsid w:val="299E2144"/>
    <w:rsid w:val="2A81308F"/>
    <w:rsid w:val="2AE38681"/>
    <w:rsid w:val="2B081428"/>
    <w:rsid w:val="2B3B09B8"/>
    <w:rsid w:val="2B9EEE33"/>
    <w:rsid w:val="2BFBABBE"/>
    <w:rsid w:val="2CF1DEE6"/>
    <w:rsid w:val="2CF63441"/>
    <w:rsid w:val="2D960BA9"/>
    <w:rsid w:val="300921B9"/>
    <w:rsid w:val="3014E9D1"/>
    <w:rsid w:val="30DC9912"/>
    <w:rsid w:val="3152AA26"/>
    <w:rsid w:val="31987144"/>
    <w:rsid w:val="320C096E"/>
    <w:rsid w:val="3345A429"/>
    <w:rsid w:val="3365DF7D"/>
    <w:rsid w:val="338AD733"/>
    <w:rsid w:val="348624F1"/>
    <w:rsid w:val="369DDED0"/>
    <w:rsid w:val="371064C4"/>
    <w:rsid w:val="38CD5F7D"/>
    <w:rsid w:val="39788F36"/>
    <w:rsid w:val="3BEFD102"/>
    <w:rsid w:val="3D31C50C"/>
    <w:rsid w:val="409AD081"/>
    <w:rsid w:val="40B91A68"/>
    <w:rsid w:val="40FA4FF1"/>
    <w:rsid w:val="42A044BE"/>
    <w:rsid w:val="42E39FD1"/>
    <w:rsid w:val="43FBFF56"/>
    <w:rsid w:val="43FFB094"/>
    <w:rsid w:val="44A4249E"/>
    <w:rsid w:val="45101BF9"/>
    <w:rsid w:val="464B9401"/>
    <w:rsid w:val="4CC560BF"/>
    <w:rsid w:val="4D04151A"/>
    <w:rsid w:val="4D54D746"/>
    <w:rsid w:val="4E0EF0D1"/>
    <w:rsid w:val="4E412C67"/>
    <w:rsid w:val="4F4DC1C5"/>
    <w:rsid w:val="4F5D6062"/>
    <w:rsid w:val="4FF5D099"/>
    <w:rsid w:val="5348577F"/>
    <w:rsid w:val="5441D815"/>
    <w:rsid w:val="575579AB"/>
    <w:rsid w:val="58679F10"/>
    <w:rsid w:val="59C908CE"/>
    <w:rsid w:val="5B6B783E"/>
    <w:rsid w:val="5BCA9AF6"/>
    <w:rsid w:val="5DDEE69A"/>
    <w:rsid w:val="5EE16208"/>
    <w:rsid w:val="5FB826F7"/>
    <w:rsid w:val="601A1D0B"/>
    <w:rsid w:val="61A37913"/>
    <w:rsid w:val="63232560"/>
    <w:rsid w:val="6339AB16"/>
    <w:rsid w:val="633F4974"/>
    <w:rsid w:val="63F757F1"/>
    <w:rsid w:val="64551E2C"/>
    <w:rsid w:val="6495636B"/>
    <w:rsid w:val="679146BB"/>
    <w:rsid w:val="686C4CBA"/>
    <w:rsid w:val="6A310B7F"/>
    <w:rsid w:val="6A5C6F67"/>
    <w:rsid w:val="6A61E10E"/>
    <w:rsid w:val="6C9DD8CB"/>
    <w:rsid w:val="6CB88AED"/>
    <w:rsid w:val="6D249D3F"/>
    <w:rsid w:val="6E9F620F"/>
    <w:rsid w:val="6F99D76B"/>
    <w:rsid w:val="703110F8"/>
    <w:rsid w:val="70DB41FD"/>
    <w:rsid w:val="70DE2D26"/>
    <w:rsid w:val="712F303C"/>
    <w:rsid w:val="72B7E760"/>
    <w:rsid w:val="73AD4C73"/>
    <w:rsid w:val="73DAC2B2"/>
    <w:rsid w:val="7601EEAE"/>
    <w:rsid w:val="7633D172"/>
    <w:rsid w:val="775121DD"/>
    <w:rsid w:val="77FD9B55"/>
    <w:rsid w:val="79C8B336"/>
    <w:rsid w:val="79D4427B"/>
    <w:rsid w:val="7BD595DF"/>
    <w:rsid w:val="7D2F853A"/>
    <w:rsid w:val="7E4413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AEE01A"/>
  <w15:docId w15:val="{22DC8BA5-0CC4-4B38-8736-8D4F91B46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8E0"/>
    <w:rPr>
      <w:rFonts w:eastAsiaTheme="minorEastAsia"/>
      <w:lang w:eastAsia="en-AU"/>
    </w:rPr>
  </w:style>
  <w:style w:type="paragraph" w:styleId="Heading1">
    <w:name w:val="heading 1"/>
    <w:basedOn w:val="Normal"/>
    <w:next w:val="Normal"/>
    <w:link w:val="Heading1Char"/>
    <w:uiPriority w:val="9"/>
    <w:qFormat/>
    <w:rsid w:val="00DF54FF"/>
    <w:pPr>
      <w:outlineLvl w:val="0"/>
    </w:pPr>
    <w:rPr>
      <w:rFonts w:cstheme="minorHAnsi"/>
      <w:sz w:val="32"/>
      <w:szCs w:val="32"/>
    </w:rPr>
  </w:style>
  <w:style w:type="paragraph" w:styleId="Heading2">
    <w:name w:val="heading 2"/>
    <w:basedOn w:val="Normal"/>
    <w:next w:val="Normal"/>
    <w:link w:val="Heading2Char"/>
    <w:uiPriority w:val="9"/>
    <w:unhideWhenUsed/>
    <w:qFormat/>
    <w:rsid w:val="00DF54FF"/>
    <w:pPr>
      <w:outlineLvl w:val="1"/>
    </w:pPr>
    <w:rPr>
      <w:rFonts w:cstheme="minorHAnsi"/>
      <w:sz w:val="28"/>
      <w:szCs w:val="28"/>
    </w:rPr>
  </w:style>
  <w:style w:type="paragraph" w:styleId="Heading3">
    <w:name w:val="heading 3"/>
    <w:basedOn w:val="Normal"/>
    <w:next w:val="Normal"/>
    <w:link w:val="Heading3Char"/>
    <w:uiPriority w:val="9"/>
    <w:unhideWhenUsed/>
    <w:qFormat/>
    <w:rsid w:val="00DF54FF"/>
    <w:pPr>
      <w:keepNext/>
      <w:keepLines/>
      <w:spacing w:before="100" w:beforeAutospacing="1" w:after="240" w:line="240" w:lineRule="auto"/>
      <w:outlineLvl w:val="2"/>
    </w:pPr>
    <w:rPr>
      <w:rFonts w:ascii="Calibri" w:eastAsia="MS Gothic" w:hAnsi="Calibri" w:cs="Times New Roman"/>
      <w:bCs/>
      <w:i/>
      <w:iCs/>
      <w:sz w:val="24"/>
      <w:lang w:val="en-US" w:eastAsia="en-US"/>
    </w:rPr>
  </w:style>
  <w:style w:type="paragraph" w:styleId="Heading4">
    <w:name w:val="heading 4"/>
    <w:basedOn w:val="Heading3"/>
    <w:next w:val="Normal"/>
    <w:link w:val="Heading4Char"/>
    <w:uiPriority w:val="9"/>
    <w:unhideWhenUsed/>
    <w:rsid w:val="002E4FFE"/>
    <w:pPr>
      <w:outlineLvl w:val="3"/>
    </w:pPr>
    <w:rPr>
      <w:color w:val="086F93" w:themeColor="accent1" w:themeShade="80"/>
    </w:rPr>
  </w:style>
  <w:style w:type="paragraph" w:styleId="Heading5">
    <w:name w:val="heading 5"/>
    <w:basedOn w:val="Heading3"/>
    <w:next w:val="Normal"/>
    <w:link w:val="Heading5Char"/>
    <w:uiPriority w:val="9"/>
    <w:unhideWhenUsed/>
    <w:rsid w:val="002E4FFE"/>
    <w:pPr>
      <w:outlineLvl w:val="4"/>
    </w:pPr>
    <w:rPr>
      <w:color w:val="086F9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s">
    <w:name w:val="Bullets"/>
    <w:uiPriority w:val="99"/>
    <w:rsid w:val="0004526C"/>
    <w:pPr>
      <w:numPr>
        <w:numId w:val="33"/>
      </w:numPr>
    </w:pPr>
  </w:style>
  <w:style w:type="paragraph" w:customStyle="1" w:styleId="Bulletlist1">
    <w:name w:val="Bullet list 1"/>
    <w:basedOn w:val="Normal"/>
    <w:link w:val="Bulletlist1Char"/>
    <w:qFormat/>
    <w:rsid w:val="0004526C"/>
    <w:pPr>
      <w:numPr>
        <w:numId w:val="34"/>
      </w:numPr>
      <w:spacing w:before="100" w:beforeAutospacing="1" w:after="100" w:afterAutospacing="1" w:line="240" w:lineRule="auto"/>
    </w:pPr>
    <w:rPr>
      <w:rFonts w:ascii="Calibri" w:hAnsi="Calibri"/>
    </w:rPr>
  </w:style>
  <w:style w:type="character" w:customStyle="1" w:styleId="Heading4Char">
    <w:name w:val="Heading 4 Char"/>
    <w:basedOn w:val="DefaultParagraphFont"/>
    <w:link w:val="Heading4"/>
    <w:uiPriority w:val="9"/>
    <w:rsid w:val="002E4FFE"/>
    <w:rPr>
      <w:rFonts w:ascii="Calibri" w:eastAsia="MS Gothic" w:hAnsi="Calibri" w:cs="Times New Roman"/>
      <w:bCs/>
      <w:i/>
      <w:iCs/>
      <w:color w:val="086F93" w:themeColor="accent1" w:themeShade="80"/>
      <w:sz w:val="24"/>
      <w:lang w:val="en-US"/>
    </w:rPr>
  </w:style>
  <w:style w:type="paragraph" w:styleId="Title">
    <w:name w:val="Title"/>
    <w:basedOn w:val="Normal"/>
    <w:next w:val="Normal"/>
    <w:link w:val="TitleChar"/>
    <w:qFormat/>
    <w:rsid w:val="00BB00FD"/>
    <w:pPr>
      <w:spacing w:after="0"/>
      <w:outlineLvl w:val="0"/>
    </w:pPr>
    <w:rPr>
      <w:rFonts w:cstheme="minorHAnsi"/>
      <w:sz w:val="48"/>
      <w:szCs w:val="48"/>
    </w:rPr>
  </w:style>
  <w:style w:type="character" w:styleId="Hyperlink">
    <w:name w:val="Hyperlink"/>
    <w:basedOn w:val="DefaultParagraphFont"/>
    <w:uiPriority w:val="99"/>
    <w:unhideWhenUsed/>
    <w:rsid w:val="007A5D36"/>
    <w:rPr>
      <w:color w:val="0000FF" w:themeColor="hyperlink"/>
      <w:u w:val="single"/>
    </w:rPr>
  </w:style>
  <w:style w:type="character" w:customStyle="1" w:styleId="TitleChar">
    <w:name w:val="Title Char"/>
    <w:basedOn w:val="DefaultParagraphFont"/>
    <w:link w:val="Title"/>
    <w:rsid w:val="00BB00FD"/>
    <w:rPr>
      <w:rFonts w:eastAsiaTheme="minorEastAsia" w:cstheme="minorHAnsi"/>
      <w:sz w:val="48"/>
      <w:szCs w:val="48"/>
      <w:lang w:eastAsia="en-AU"/>
    </w:rPr>
  </w:style>
  <w:style w:type="paragraph" w:styleId="ListParagraph">
    <w:name w:val="List Paragraph"/>
    <w:basedOn w:val="Normal"/>
    <w:uiPriority w:val="34"/>
    <w:qFormat/>
    <w:rsid w:val="00BD42C5"/>
    <w:pPr>
      <w:ind w:left="720"/>
      <w:contextualSpacing/>
    </w:pPr>
  </w:style>
  <w:style w:type="character" w:customStyle="1" w:styleId="Heading1Char">
    <w:name w:val="Heading 1 Char"/>
    <w:basedOn w:val="DefaultParagraphFont"/>
    <w:link w:val="Heading1"/>
    <w:uiPriority w:val="9"/>
    <w:rsid w:val="00DF54FF"/>
    <w:rPr>
      <w:rFonts w:eastAsiaTheme="minorEastAsia" w:cstheme="minorHAnsi"/>
      <w:sz w:val="32"/>
      <w:szCs w:val="32"/>
      <w:lang w:eastAsia="en-AU"/>
    </w:rPr>
  </w:style>
  <w:style w:type="paragraph" w:styleId="FootnoteText">
    <w:name w:val="footnote text"/>
    <w:basedOn w:val="Normal"/>
    <w:link w:val="FootnoteTextChar"/>
    <w:uiPriority w:val="99"/>
    <w:unhideWhenUsed/>
    <w:rsid w:val="00EA3214"/>
    <w:pPr>
      <w:spacing w:after="0" w:line="240" w:lineRule="auto"/>
    </w:pPr>
    <w:rPr>
      <w:sz w:val="20"/>
      <w:szCs w:val="20"/>
    </w:rPr>
  </w:style>
  <w:style w:type="character" w:customStyle="1" w:styleId="FootnoteTextChar">
    <w:name w:val="Footnote Text Char"/>
    <w:basedOn w:val="DefaultParagraphFont"/>
    <w:link w:val="FootnoteText"/>
    <w:uiPriority w:val="99"/>
    <w:rsid w:val="00EA3214"/>
    <w:rPr>
      <w:rFonts w:eastAsiaTheme="minorEastAsia"/>
      <w:sz w:val="20"/>
      <w:szCs w:val="20"/>
      <w:lang w:eastAsia="en-AU"/>
    </w:rPr>
  </w:style>
  <w:style w:type="character" w:styleId="FootnoteReference">
    <w:name w:val="footnote reference"/>
    <w:basedOn w:val="DefaultParagraphFont"/>
    <w:uiPriority w:val="99"/>
    <w:semiHidden/>
    <w:unhideWhenUsed/>
    <w:rsid w:val="00EA3214"/>
    <w:rPr>
      <w:vertAlign w:val="superscript"/>
    </w:rPr>
  </w:style>
  <w:style w:type="character" w:styleId="CommentReference">
    <w:name w:val="annotation reference"/>
    <w:basedOn w:val="DefaultParagraphFont"/>
    <w:uiPriority w:val="99"/>
    <w:semiHidden/>
    <w:unhideWhenUsed/>
    <w:rsid w:val="00EA3214"/>
    <w:rPr>
      <w:sz w:val="16"/>
      <w:szCs w:val="16"/>
    </w:rPr>
  </w:style>
  <w:style w:type="paragraph" w:styleId="CommentSubject">
    <w:name w:val="annotation subject"/>
    <w:basedOn w:val="Normal"/>
    <w:next w:val="Normal"/>
    <w:link w:val="CommentSubjectChar"/>
    <w:uiPriority w:val="99"/>
    <w:semiHidden/>
    <w:unhideWhenUsed/>
    <w:rsid w:val="00EC3020"/>
    <w:rPr>
      <w:b/>
      <w:bCs/>
    </w:rPr>
  </w:style>
  <w:style w:type="character" w:customStyle="1" w:styleId="CommentSubjectChar">
    <w:name w:val="Comment Subject Char"/>
    <w:basedOn w:val="DefaultParagraphFont"/>
    <w:link w:val="CommentSubject"/>
    <w:uiPriority w:val="99"/>
    <w:semiHidden/>
    <w:rsid w:val="00EC3020"/>
    <w:rPr>
      <w:rFonts w:eastAsiaTheme="minorEastAsia"/>
      <w:b/>
      <w:bCs/>
      <w:sz w:val="20"/>
      <w:szCs w:val="20"/>
      <w:lang w:eastAsia="en-AU"/>
    </w:rPr>
  </w:style>
  <w:style w:type="paragraph" w:styleId="BalloonText">
    <w:name w:val="Balloon Text"/>
    <w:basedOn w:val="Normal"/>
    <w:link w:val="BalloonTextChar"/>
    <w:uiPriority w:val="99"/>
    <w:semiHidden/>
    <w:unhideWhenUsed/>
    <w:rsid w:val="00EA3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214"/>
    <w:rPr>
      <w:rFonts w:ascii="Tahoma" w:eastAsiaTheme="minorEastAsia" w:hAnsi="Tahoma" w:cs="Tahoma"/>
      <w:sz w:val="16"/>
      <w:szCs w:val="16"/>
      <w:lang w:eastAsia="en-AU"/>
    </w:rPr>
  </w:style>
  <w:style w:type="character" w:customStyle="1" w:styleId="Heading2Char">
    <w:name w:val="Heading 2 Char"/>
    <w:basedOn w:val="DefaultParagraphFont"/>
    <w:link w:val="Heading2"/>
    <w:uiPriority w:val="9"/>
    <w:rsid w:val="00DF54FF"/>
    <w:rPr>
      <w:rFonts w:eastAsiaTheme="minorEastAsia" w:cstheme="minorHAnsi"/>
      <w:sz w:val="28"/>
      <w:szCs w:val="28"/>
      <w:lang w:eastAsia="en-AU"/>
    </w:rPr>
  </w:style>
  <w:style w:type="character" w:customStyle="1" w:styleId="Heading3Char">
    <w:name w:val="Heading 3 Char"/>
    <w:basedOn w:val="DefaultParagraphFont"/>
    <w:link w:val="Heading3"/>
    <w:uiPriority w:val="9"/>
    <w:rsid w:val="00DF54FF"/>
    <w:rPr>
      <w:rFonts w:ascii="Calibri" w:eastAsia="MS Gothic" w:hAnsi="Calibri" w:cs="Times New Roman"/>
      <w:bCs/>
      <w:i/>
      <w:iCs/>
      <w:sz w:val="24"/>
      <w:lang w:val="en-US"/>
    </w:rPr>
  </w:style>
  <w:style w:type="character" w:styleId="UnresolvedMention">
    <w:name w:val="Unresolved Mention"/>
    <w:basedOn w:val="DefaultParagraphFont"/>
    <w:uiPriority w:val="99"/>
    <w:semiHidden/>
    <w:unhideWhenUsed/>
    <w:rsid w:val="00A0796F"/>
    <w:rPr>
      <w:color w:val="605E5C"/>
      <w:shd w:val="clear" w:color="auto" w:fill="E1DFDD"/>
    </w:rPr>
  </w:style>
  <w:style w:type="table" w:styleId="TableGrid">
    <w:name w:val="Table Grid"/>
    <w:basedOn w:val="TableNormal"/>
    <w:uiPriority w:val="59"/>
    <w:rsid w:val="00917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36E66"/>
    <w:rPr>
      <w:color w:val="800080" w:themeColor="followedHyperlink"/>
      <w:u w:val="single"/>
    </w:rPr>
  </w:style>
  <w:style w:type="paragraph" w:styleId="Revision">
    <w:name w:val="Revision"/>
    <w:hidden/>
    <w:uiPriority w:val="99"/>
    <w:semiHidden/>
    <w:rsid w:val="00D65181"/>
    <w:pPr>
      <w:spacing w:after="0" w:line="240" w:lineRule="auto"/>
    </w:pPr>
    <w:rPr>
      <w:rFonts w:eastAsiaTheme="minorEastAsia"/>
      <w:lang w:eastAsia="en-AU"/>
    </w:rPr>
  </w:style>
  <w:style w:type="paragraph" w:customStyle="1" w:styleId="FundingAcknowledgement">
    <w:name w:val="Funding Acknowledgement"/>
    <w:basedOn w:val="Normal"/>
    <w:autoRedefine/>
    <w:qFormat/>
    <w:rsid w:val="00432683"/>
    <w:pPr>
      <w:pBdr>
        <w:top w:val="single" w:sz="36" w:space="10" w:color="43C7F4" w:themeColor="accent1"/>
        <w:bottom w:val="single" w:sz="36" w:space="10" w:color="43C7F4" w:themeColor="accent1"/>
      </w:pBdr>
      <w:spacing w:before="360" w:after="360"/>
      <w:ind w:right="-46"/>
    </w:pPr>
    <w:rPr>
      <w:rFonts w:ascii="Gotham" w:hAnsi="Gotham"/>
      <w:b/>
      <w:i/>
      <w:iCs/>
      <w:sz w:val="16"/>
      <w:lang w:val="en-US"/>
    </w:rPr>
  </w:style>
  <w:style w:type="character" w:customStyle="1" w:styleId="Heading5Char">
    <w:name w:val="Heading 5 Char"/>
    <w:basedOn w:val="DefaultParagraphFont"/>
    <w:link w:val="Heading5"/>
    <w:uiPriority w:val="9"/>
    <w:rsid w:val="002E4FFE"/>
    <w:rPr>
      <w:rFonts w:ascii="Calibri" w:eastAsia="MS Gothic" w:hAnsi="Calibri" w:cs="Times New Roman"/>
      <w:bCs/>
      <w:i/>
      <w:iCs/>
      <w:color w:val="086F93" w:themeColor="accent1" w:themeShade="80"/>
      <w:sz w:val="24"/>
      <w:lang w:val="en-US"/>
    </w:rPr>
  </w:style>
  <w:style w:type="paragraph" w:customStyle="1" w:styleId="Bulletlist2">
    <w:name w:val="Bullet list 2"/>
    <w:basedOn w:val="Bulletlist1"/>
    <w:link w:val="Bulletlist2Char"/>
    <w:qFormat/>
    <w:rsid w:val="0004526C"/>
    <w:pPr>
      <w:numPr>
        <w:ilvl w:val="1"/>
      </w:numPr>
    </w:pPr>
  </w:style>
  <w:style w:type="character" w:customStyle="1" w:styleId="Bulletlist1Char">
    <w:name w:val="Bullet list 1 Char"/>
    <w:basedOn w:val="DefaultParagraphFont"/>
    <w:link w:val="Bulletlist1"/>
    <w:rsid w:val="0004526C"/>
    <w:rPr>
      <w:rFonts w:ascii="Calibri" w:eastAsiaTheme="minorEastAsia" w:hAnsi="Calibri"/>
      <w:lang w:eastAsia="en-AU"/>
    </w:rPr>
  </w:style>
  <w:style w:type="paragraph" w:customStyle="1" w:styleId="Bulletlist3">
    <w:name w:val="Bullet list 3"/>
    <w:basedOn w:val="Bulletlist2"/>
    <w:link w:val="Bulletlist3Char"/>
    <w:qFormat/>
    <w:rsid w:val="0004526C"/>
    <w:pPr>
      <w:numPr>
        <w:ilvl w:val="2"/>
      </w:numPr>
    </w:pPr>
  </w:style>
  <w:style w:type="paragraph" w:customStyle="1" w:styleId="DocLabel">
    <w:name w:val="Doc Label"/>
    <w:basedOn w:val="Normal"/>
    <w:link w:val="DocLabelChar"/>
    <w:qFormat/>
    <w:rsid w:val="0060142D"/>
    <w:pPr>
      <w:tabs>
        <w:tab w:val="right" w:pos="9026"/>
      </w:tabs>
    </w:pPr>
    <w:rPr>
      <w:rFonts w:ascii="Gotham Black" w:hAnsi="Gotham Black"/>
      <w:color w:val="43C7F4" w:themeColor="accent1"/>
      <w:sz w:val="36"/>
      <w:szCs w:val="36"/>
    </w:rPr>
  </w:style>
  <w:style w:type="character" w:customStyle="1" w:styleId="Bulletlist2Char">
    <w:name w:val="Bullet list 2 Char"/>
    <w:basedOn w:val="Bulletlist1Char"/>
    <w:link w:val="Bulletlist2"/>
    <w:rsid w:val="0004526C"/>
    <w:rPr>
      <w:rFonts w:ascii="Calibri" w:eastAsiaTheme="minorEastAsia" w:hAnsi="Calibri"/>
      <w:lang w:eastAsia="en-AU"/>
    </w:rPr>
  </w:style>
  <w:style w:type="paragraph" w:customStyle="1" w:styleId="DocDate">
    <w:name w:val="Doc Date"/>
    <w:basedOn w:val="Normal"/>
    <w:link w:val="DocDateChar"/>
    <w:qFormat/>
    <w:rsid w:val="00877710"/>
    <w:pPr>
      <w:tabs>
        <w:tab w:val="right" w:pos="9026"/>
      </w:tabs>
    </w:pPr>
    <w:rPr>
      <w:rFonts w:ascii="Gotham" w:hAnsi="Gotham"/>
      <w:b/>
      <w:bCs/>
    </w:rPr>
  </w:style>
  <w:style w:type="character" w:customStyle="1" w:styleId="DocLabelChar">
    <w:name w:val="Doc Label Char"/>
    <w:basedOn w:val="DefaultParagraphFont"/>
    <w:link w:val="DocLabel"/>
    <w:rsid w:val="0060142D"/>
    <w:rPr>
      <w:rFonts w:ascii="Gotham Black" w:eastAsiaTheme="minorEastAsia" w:hAnsi="Gotham Black"/>
      <w:color w:val="43C7F4" w:themeColor="accent1"/>
      <w:sz w:val="36"/>
      <w:szCs w:val="36"/>
      <w:lang w:eastAsia="en-AU"/>
    </w:rPr>
  </w:style>
  <w:style w:type="paragraph" w:customStyle="1" w:styleId="Letterhead1">
    <w:name w:val="Letterhead 1"/>
    <w:basedOn w:val="Normal"/>
    <w:link w:val="Letterhead1Char"/>
    <w:qFormat/>
    <w:rsid w:val="002E4FFE"/>
    <w:pPr>
      <w:tabs>
        <w:tab w:val="left" w:pos="3855"/>
        <w:tab w:val="center" w:pos="4513"/>
        <w:tab w:val="right" w:pos="9026"/>
      </w:tabs>
      <w:spacing w:after="0"/>
      <w:jc w:val="right"/>
    </w:pPr>
    <w:rPr>
      <w:rFonts w:ascii="Gotham" w:hAnsi="Gotham"/>
      <w:b/>
      <w:bCs/>
      <w:spacing w:val="8"/>
      <w:sz w:val="20"/>
      <w:szCs w:val="20"/>
    </w:rPr>
  </w:style>
  <w:style w:type="character" w:customStyle="1" w:styleId="DocDateChar">
    <w:name w:val="Doc Date Char"/>
    <w:basedOn w:val="DefaultParagraphFont"/>
    <w:link w:val="DocDate"/>
    <w:rsid w:val="00877710"/>
    <w:rPr>
      <w:rFonts w:ascii="Gotham" w:eastAsiaTheme="minorEastAsia" w:hAnsi="Gotham"/>
      <w:b/>
      <w:bCs/>
      <w:lang w:eastAsia="en-AU"/>
    </w:rPr>
  </w:style>
  <w:style w:type="paragraph" w:customStyle="1" w:styleId="Letterhead2">
    <w:name w:val="Letterhead 2"/>
    <w:basedOn w:val="Normal"/>
    <w:link w:val="Letterhead2Char"/>
    <w:qFormat/>
    <w:rsid w:val="002E4FFE"/>
    <w:pPr>
      <w:tabs>
        <w:tab w:val="left" w:pos="1843"/>
        <w:tab w:val="center" w:pos="4513"/>
        <w:tab w:val="right" w:pos="9026"/>
      </w:tabs>
      <w:spacing w:after="0" w:line="240" w:lineRule="auto"/>
      <w:ind w:hanging="851"/>
    </w:pPr>
    <w:rPr>
      <w:rFonts w:ascii="Gotham" w:hAnsi="Gotham"/>
      <w:b/>
      <w:bCs/>
      <w:i/>
      <w:iCs/>
      <w:color w:val="43C7F4" w:themeColor="accent1"/>
    </w:rPr>
  </w:style>
  <w:style w:type="character" w:customStyle="1" w:styleId="Letterhead1Char">
    <w:name w:val="Letterhead 1 Char"/>
    <w:basedOn w:val="DefaultParagraphFont"/>
    <w:link w:val="Letterhead1"/>
    <w:rsid w:val="002E4FFE"/>
    <w:rPr>
      <w:rFonts w:ascii="Gotham" w:eastAsiaTheme="minorEastAsia" w:hAnsi="Gotham"/>
      <w:b/>
      <w:bCs/>
      <w:spacing w:val="8"/>
      <w:sz w:val="20"/>
      <w:szCs w:val="20"/>
      <w:lang w:eastAsia="en-AU"/>
    </w:rPr>
  </w:style>
  <w:style w:type="paragraph" w:styleId="NoSpacing">
    <w:name w:val="No Spacing"/>
    <w:uiPriority w:val="1"/>
    <w:qFormat/>
    <w:rsid w:val="00604680"/>
    <w:pPr>
      <w:spacing w:after="0" w:line="240" w:lineRule="auto"/>
    </w:pPr>
    <w:rPr>
      <w:rFonts w:eastAsiaTheme="minorEastAsia"/>
      <w:lang w:eastAsia="en-AU"/>
    </w:rPr>
  </w:style>
  <w:style w:type="character" w:customStyle="1" w:styleId="Letterhead2Char">
    <w:name w:val="Letterhead 2 Char"/>
    <w:basedOn w:val="DefaultParagraphFont"/>
    <w:link w:val="Letterhead2"/>
    <w:rsid w:val="002E4FFE"/>
    <w:rPr>
      <w:rFonts w:ascii="Gotham" w:eastAsiaTheme="minorEastAsia" w:hAnsi="Gotham"/>
      <w:b/>
      <w:bCs/>
      <w:i/>
      <w:iCs/>
      <w:color w:val="43C7F4" w:themeColor="accent1"/>
      <w:lang w:eastAsia="en-AU"/>
    </w:rPr>
  </w:style>
  <w:style w:type="character" w:styleId="IntenseEmphasis">
    <w:name w:val="Intense Emphasis"/>
    <w:basedOn w:val="DefaultParagraphFont"/>
    <w:uiPriority w:val="21"/>
    <w:rsid w:val="00124F88"/>
    <w:rPr>
      <w:i/>
      <w:iCs/>
      <w:color w:val="43C7F4" w:themeColor="accent1"/>
    </w:rPr>
  </w:style>
  <w:style w:type="paragraph" w:customStyle="1" w:styleId="Recommendation">
    <w:name w:val="Recommendation"/>
    <w:basedOn w:val="Normal"/>
    <w:link w:val="RecommendationChar"/>
    <w:qFormat/>
    <w:rsid w:val="00261658"/>
    <w:pPr>
      <w:numPr>
        <w:numId w:val="36"/>
      </w:numPr>
      <w:pBdr>
        <w:top w:val="single" w:sz="18" w:space="6" w:color="44C8F5"/>
        <w:left w:val="single" w:sz="18" w:space="5" w:color="44C8F5"/>
        <w:bottom w:val="single" w:sz="18" w:space="6" w:color="44C8F5"/>
        <w:right w:val="single" w:sz="18" w:space="5" w:color="44C8F5"/>
      </w:pBdr>
      <w:spacing w:before="100" w:beforeAutospacing="1" w:after="100" w:afterAutospacing="1" w:line="240" w:lineRule="auto"/>
      <w:ind w:right="851"/>
    </w:pPr>
    <w:rPr>
      <w:rFonts w:ascii="Calibri" w:hAnsi="Calibri"/>
      <w:lang w:eastAsia="en-US"/>
    </w:rPr>
  </w:style>
  <w:style w:type="character" w:customStyle="1" w:styleId="RecommendationChar">
    <w:name w:val="Recommendation Char"/>
    <w:basedOn w:val="DefaultParagraphFont"/>
    <w:link w:val="Recommendation"/>
    <w:rsid w:val="00261658"/>
    <w:rPr>
      <w:rFonts w:ascii="Calibri" w:eastAsiaTheme="minorEastAsia" w:hAnsi="Calibri"/>
    </w:rPr>
  </w:style>
  <w:style w:type="numbering" w:customStyle="1" w:styleId="Recommendations">
    <w:name w:val="Recommendations"/>
    <w:uiPriority w:val="99"/>
    <w:rsid w:val="00730BA6"/>
    <w:pPr>
      <w:numPr>
        <w:numId w:val="36"/>
      </w:numPr>
    </w:pPr>
  </w:style>
  <w:style w:type="character" w:customStyle="1" w:styleId="Bulletlist3Char">
    <w:name w:val="Bullet list 3 Char"/>
    <w:basedOn w:val="Bulletlist2Char"/>
    <w:link w:val="Bulletlist3"/>
    <w:rsid w:val="0004526C"/>
    <w:rPr>
      <w:rFonts w:ascii="Calibri" w:eastAsiaTheme="minorEastAsia" w:hAnsi="Calibri"/>
      <w:lang w:eastAsia="en-AU"/>
    </w:rPr>
  </w:style>
  <w:style w:type="table" w:styleId="ListTable3-Accent1">
    <w:name w:val="List Table 3 Accent 1"/>
    <w:basedOn w:val="TableNormal"/>
    <w:uiPriority w:val="48"/>
    <w:rsid w:val="00917B48"/>
    <w:pPr>
      <w:spacing w:after="0" w:line="240" w:lineRule="auto"/>
    </w:pPr>
    <w:tblPr>
      <w:tblStyleRowBandSize w:val="1"/>
      <w:tblStyleColBandSize w:val="1"/>
      <w:tblBorders>
        <w:top w:val="single" w:sz="4" w:space="0" w:color="43C7F4" w:themeColor="accent1"/>
        <w:left w:val="single" w:sz="4" w:space="0" w:color="43C7F4" w:themeColor="accent1"/>
        <w:bottom w:val="single" w:sz="4" w:space="0" w:color="43C7F4" w:themeColor="accent1"/>
        <w:right w:val="single" w:sz="4" w:space="0" w:color="43C7F4" w:themeColor="accent1"/>
      </w:tblBorders>
    </w:tblPr>
    <w:tblStylePr w:type="firstRow">
      <w:rPr>
        <w:b/>
        <w:bCs/>
        <w:color w:val="FFFFFF" w:themeColor="background1"/>
      </w:rPr>
      <w:tblPr/>
      <w:tcPr>
        <w:shd w:val="clear" w:color="auto" w:fill="43C7F4" w:themeFill="accent1"/>
      </w:tcPr>
    </w:tblStylePr>
    <w:tblStylePr w:type="lastRow">
      <w:rPr>
        <w:b/>
        <w:bCs/>
      </w:rPr>
      <w:tblPr/>
      <w:tcPr>
        <w:tcBorders>
          <w:top w:val="double" w:sz="4" w:space="0" w:color="43C7F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3C7F4" w:themeColor="accent1"/>
          <w:right w:val="single" w:sz="4" w:space="0" w:color="43C7F4" w:themeColor="accent1"/>
        </w:tcBorders>
      </w:tcPr>
    </w:tblStylePr>
    <w:tblStylePr w:type="band1Horz">
      <w:tblPr/>
      <w:tcPr>
        <w:tcBorders>
          <w:top w:val="single" w:sz="4" w:space="0" w:color="43C7F4" w:themeColor="accent1"/>
          <w:bottom w:val="single" w:sz="4" w:space="0" w:color="43C7F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3C7F4" w:themeColor="accent1"/>
          <w:left w:val="nil"/>
        </w:tcBorders>
      </w:tcPr>
    </w:tblStylePr>
    <w:tblStylePr w:type="swCell">
      <w:tblPr/>
      <w:tcPr>
        <w:tcBorders>
          <w:top w:val="double" w:sz="4" w:space="0" w:color="43C7F4" w:themeColor="accent1"/>
          <w:right w:val="nil"/>
        </w:tcBorders>
      </w:tcPr>
    </w:tblStylePr>
  </w:style>
  <w:style w:type="table" w:styleId="GridTable1Light-Accent1">
    <w:name w:val="Grid Table 1 Light Accent 1"/>
    <w:basedOn w:val="TableNormal"/>
    <w:uiPriority w:val="46"/>
    <w:rsid w:val="00917B48"/>
    <w:pPr>
      <w:spacing w:after="0" w:line="240" w:lineRule="auto"/>
    </w:pPr>
    <w:tblPr>
      <w:tblStyleRowBandSize w:val="1"/>
      <w:tblStyleColBandSize w:val="1"/>
      <w:tblBorders>
        <w:top w:val="single" w:sz="4" w:space="0" w:color="B3E8FA" w:themeColor="accent1" w:themeTint="66"/>
        <w:left w:val="single" w:sz="4" w:space="0" w:color="B3E8FA" w:themeColor="accent1" w:themeTint="66"/>
        <w:bottom w:val="single" w:sz="4" w:space="0" w:color="B3E8FA" w:themeColor="accent1" w:themeTint="66"/>
        <w:right w:val="single" w:sz="4" w:space="0" w:color="B3E8FA" w:themeColor="accent1" w:themeTint="66"/>
        <w:insideH w:val="single" w:sz="4" w:space="0" w:color="B3E8FA" w:themeColor="accent1" w:themeTint="66"/>
        <w:insideV w:val="single" w:sz="4" w:space="0" w:color="B3E8FA" w:themeColor="accent1" w:themeTint="66"/>
      </w:tblBorders>
    </w:tblPr>
    <w:tblStylePr w:type="firstRow">
      <w:rPr>
        <w:b/>
        <w:bCs/>
      </w:rPr>
      <w:tblPr/>
      <w:tcPr>
        <w:tcBorders>
          <w:bottom w:val="single" w:sz="12" w:space="0" w:color="8DDDF8" w:themeColor="accent1" w:themeTint="99"/>
        </w:tcBorders>
      </w:tcPr>
    </w:tblStylePr>
    <w:tblStylePr w:type="lastRow">
      <w:rPr>
        <w:b/>
        <w:bCs/>
      </w:rPr>
      <w:tblPr/>
      <w:tcPr>
        <w:tcBorders>
          <w:top w:val="double" w:sz="2" w:space="0" w:color="8DDDF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A37"/>
    <w:pPr>
      <w:spacing w:after="0" w:line="240" w:lineRule="auto"/>
    </w:pPr>
    <w:tblPr>
      <w:tblStyleRowBandSize w:val="1"/>
      <w:tblStyleColBandSize w:val="1"/>
      <w:tblBorders>
        <w:top w:val="single" w:sz="4" w:space="0" w:color="ACCADF" w:themeColor="accent2" w:themeTint="66"/>
        <w:left w:val="single" w:sz="4" w:space="0" w:color="ACCADF" w:themeColor="accent2" w:themeTint="66"/>
        <w:bottom w:val="single" w:sz="4" w:space="0" w:color="ACCADF" w:themeColor="accent2" w:themeTint="66"/>
        <w:right w:val="single" w:sz="4" w:space="0" w:color="ACCADF" w:themeColor="accent2" w:themeTint="66"/>
        <w:insideH w:val="single" w:sz="4" w:space="0" w:color="ACCADF" w:themeColor="accent2" w:themeTint="66"/>
        <w:insideV w:val="single" w:sz="4" w:space="0" w:color="ACCADF" w:themeColor="accent2" w:themeTint="66"/>
      </w:tblBorders>
    </w:tblPr>
    <w:tblStylePr w:type="firstRow">
      <w:rPr>
        <w:b/>
        <w:bCs/>
      </w:rPr>
      <w:tblPr/>
      <w:tcPr>
        <w:tcBorders>
          <w:bottom w:val="single" w:sz="12" w:space="0" w:color="83AFD0" w:themeColor="accent2" w:themeTint="99"/>
        </w:tcBorders>
      </w:tcPr>
    </w:tblStylePr>
    <w:tblStylePr w:type="lastRow">
      <w:rPr>
        <w:b/>
        <w:bCs/>
      </w:rPr>
      <w:tblPr/>
      <w:tcPr>
        <w:tcBorders>
          <w:top w:val="double" w:sz="2" w:space="0" w:color="83AFD0" w:themeColor="accent2" w:themeTint="99"/>
        </w:tcBorders>
      </w:tcPr>
    </w:tblStylePr>
    <w:tblStylePr w:type="firstCol">
      <w:rPr>
        <w:b/>
        <w:bCs/>
      </w:rPr>
    </w:tblStylePr>
    <w:tblStylePr w:type="lastCol">
      <w:rPr>
        <w:b/>
        <w:bCs/>
      </w:rPr>
    </w:tblStylePr>
  </w:style>
  <w:style w:type="paragraph" w:customStyle="1" w:styleId="Footnotes">
    <w:name w:val="Footnotes"/>
    <w:basedOn w:val="Normal"/>
    <w:link w:val="FootnotesChar"/>
    <w:qFormat/>
    <w:rsid w:val="00DB4E2B"/>
    <w:rPr>
      <w:sz w:val="20"/>
      <w:szCs w:val="20"/>
    </w:rPr>
  </w:style>
  <w:style w:type="character" w:customStyle="1" w:styleId="FootnotesChar">
    <w:name w:val="Footnotes Char"/>
    <w:basedOn w:val="DefaultParagraphFont"/>
    <w:link w:val="Footnotes"/>
    <w:rsid w:val="00DB4E2B"/>
    <w:rPr>
      <w:rFonts w:eastAsiaTheme="minorEastAsia"/>
      <w:sz w:val="20"/>
      <w:szCs w:val="20"/>
      <w:lang w:eastAsia="en-AU"/>
    </w:rPr>
  </w:style>
  <w:style w:type="paragraph" w:styleId="Header">
    <w:name w:val="header"/>
    <w:basedOn w:val="Normal"/>
    <w:link w:val="HeaderChar"/>
    <w:uiPriority w:val="99"/>
    <w:unhideWhenUsed/>
    <w:rsid w:val="008427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27D4"/>
    <w:rPr>
      <w:rFonts w:eastAsiaTheme="minorEastAsia"/>
      <w:lang w:eastAsia="en-AU"/>
    </w:rPr>
  </w:style>
  <w:style w:type="paragraph" w:styleId="Footer">
    <w:name w:val="footer"/>
    <w:basedOn w:val="Normal"/>
    <w:link w:val="FooterChar"/>
    <w:uiPriority w:val="99"/>
    <w:unhideWhenUsed/>
    <w:rsid w:val="008427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27D4"/>
    <w:rPr>
      <w:rFonts w:eastAsiaTheme="minorEastAsia"/>
      <w:lang w:eastAsia="en-AU"/>
    </w:rPr>
  </w:style>
  <w:style w:type="paragraph" w:styleId="CommentText">
    <w:name w:val="annotation text"/>
    <w:basedOn w:val="Normal"/>
    <w:link w:val="CommentTextChar"/>
    <w:uiPriority w:val="99"/>
    <w:unhideWhenUsed/>
    <w:rsid w:val="007251BD"/>
    <w:pPr>
      <w:spacing w:line="240" w:lineRule="auto"/>
    </w:pPr>
    <w:rPr>
      <w:sz w:val="20"/>
      <w:szCs w:val="20"/>
    </w:rPr>
  </w:style>
  <w:style w:type="character" w:customStyle="1" w:styleId="CommentTextChar">
    <w:name w:val="Comment Text Char"/>
    <w:basedOn w:val="DefaultParagraphFont"/>
    <w:link w:val="CommentText"/>
    <w:uiPriority w:val="99"/>
    <w:rsid w:val="007251BD"/>
    <w:rPr>
      <w:rFonts w:eastAsiaTheme="minorEastAsia"/>
      <w:sz w:val="20"/>
      <w:szCs w:val="20"/>
      <w:lang w:eastAsia="en-AU"/>
    </w:rPr>
  </w:style>
  <w:style w:type="paragraph" w:styleId="Quote">
    <w:name w:val="Quote"/>
    <w:basedOn w:val="Normal"/>
    <w:next w:val="Normal"/>
    <w:link w:val="QuoteChar"/>
    <w:uiPriority w:val="29"/>
    <w:rsid w:val="00E060D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060DA"/>
    <w:rPr>
      <w:rFonts w:eastAsiaTheme="minorEastAsia"/>
      <w:i/>
      <w:iCs/>
      <w:color w:val="404040" w:themeColor="text1" w:themeTint="BF"/>
      <w:lang w:eastAsia="en-AU"/>
    </w:rPr>
  </w:style>
  <w:style w:type="paragraph" w:styleId="Caption">
    <w:name w:val="caption"/>
    <w:basedOn w:val="Normal"/>
    <w:next w:val="Normal"/>
    <w:uiPriority w:val="35"/>
    <w:unhideWhenUsed/>
    <w:qFormat/>
    <w:rsid w:val="002F4708"/>
    <w:pPr>
      <w:spacing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91100">
      <w:bodyDiv w:val="1"/>
      <w:marLeft w:val="0"/>
      <w:marRight w:val="0"/>
      <w:marTop w:val="0"/>
      <w:marBottom w:val="0"/>
      <w:divBdr>
        <w:top w:val="none" w:sz="0" w:space="0" w:color="auto"/>
        <w:left w:val="none" w:sz="0" w:space="0" w:color="auto"/>
        <w:bottom w:val="none" w:sz="0" w:space="0" w:color="auto"/>
        <w:right w:val="none" w:sz="0" w:space="0" w:color="auto"/>
      </w:divBdr>
    </w:div>
    <w:div w:id="15927827">
      <w:bodyDiv w:val="1"/>
      <w:marLeft w:val="0"/>
      <w:marRight w:val="0"/>
      <w:marTop w:val="0"/>
      <w:marBottom w:val="0"/>
      <w:divBdr>
        <w:top w:val="none" w:sz="0" w:space="0" w:color="auto"/>
        <w:left w:val="none" w:sz="0" w:space="0" w:color="auto"/>
        <w:bottom w:val="none" w:sz="0" w:space="0" w:color="auto"/>
        <w:right w:val="none" w:sz="0" w:space="0" w:color="auto"/>
      </w:divBdr>
    </w:div>
    <w:div w:id="56780923">
      <w:bodyDiv w:val="1"/>
      <w:marLeft w:val="0"/>
      <w:marRight w:val="0"/>
      <w:marTop w:val="0"/>
      <w:marBottom w:val="0"/>
      <w:divBdr>
        <w:top w:val="none" w:sz="0" w:space="0" w:color="auto"/>
        <w:left w:val="none" w:sz="0" w:space="0" w:color="auto"/>
        <w:bottom w:val="none" w:sz="0" w:space="0" w:color="auto"/>
        <w:right w:val="none" w:sz="0" w:space="0" w:color="auto"/>
      </w:divBdr>
    </w:div>
    <w:div w:id="118572333">
      <w:bodyDiv w:val="1"/>
      <w:marLeft w:val="0"/>
      <w:marRight w:val="0"/>
      <w:marTop w:val="0"/>
      <w:marBottom w:val="0"/>
      <w:divBdr>
        <w:top w:val="none" w:sz="0" w:space="0" w:color="auto"/>
        <w:left w:val="none" w:sz="0" w:space="0" w:color="auto"/>
        <w:bottom w:val="none" w:sz="0" w:space="0" w:color="auto"/>
        <w:right w:val="none" w:sz="0" w:space="0" w:color="auto"/>
      </w:divBdr>
    </w:div>
    <w:div w:id="119569641">
      <w:bodyDiv w:val="1"/>
      <w:marLeft w:val="0"/>
      <w:marRight w:val="0"/>
      <w:marTop w:val="0"/>
      <w:marBottom w:val="0"/>
      <w:divBdr>
        <w:top w:val="none" w:sz="0" w:space="0" w:color="auto"/>
        <w:left w:val="none" w:sz="0" w:space="0" w:color="auto"/>
        <w:bottom w:val="none" w:sz="0" w:space="0" w:color="auto"/>
        <w:right w:val="none" w:sz="0" w:space="0" w:color="auto"/>
      </w:divBdr>
    </w:div>
    <w:div w:id="123548982">
      <w:bodyDiv w:val="1"/>
      <w:marLeft w:val="0"/>
      <w:marRight w:val="0"/>
      <w:marTop w:val="0"/>
      <w:marBottom w:val="0"/>
      <w:divBdr>
        <w:top w:val="none" w:sz="0" w:space="0" w:color="auto"/>
        <w:left w:val="none" w:sz="0" w:space="0" w:color="auto"/>
        <w:bottom w:val="none" w:sz="0" w:space="0" w:color="auto"/>
        <w:right w:val="none" w:sz="0" w:space="0" w:color="auto"/>
      </w:divBdr>
    </w:div>
    <w:div w:id="149640913">
      <w:bodyDiv w:val="1"/>
      <w:marLeft w:val="0"/>
      <w:marRight w:val="0"/>
      <w:marTop w:val="0"/>
      <w:marBottom w:val="0"/>
      <w:divBdr>
        <w:top w:val="none" w:sz="0" w:space="0" w:color="auto"/>
        <w:left w:val="none" w:sz="0" w:space="0" w:color="auto"/>
        <w:bottom w:val="none" w:sz="0" w:space="0" w:color="auto"/>
        <w:right w:val="none" w:sz="0" w:space="0" w:color="auto"/>
      </w:divBdr>
    </w:div>
    <w:div w:id="208804938">
      <w:bodyDiv w:val="1"/>
      <w:marLeft w:val="0"/>
      <w:marRight w:val="0"/>
      <w:marTop w:val="0"/>
      <w:marBottom w:val="0"/>
      <w:divBdr>
        <w:top w:val="none" w:sz="0" w:space="0" w:color="auto"/>
        <w:left w:val="none" w:sz="0" w:space="0" w:color="auto"/>
        <w:bottom w:val="none" w:sz="0" w:space="0" w:color="auto"/>
        <w:right w:val="none" w:sz="0" w:space="0" w:color="auto"/>
      </w:divBdr>
    </w:div>
    <w:div w:id="215165960">
      <w:bodyDiv w:val="1"/>
      <w:marLeft w:val="0"/>
      <w:marRight w:val="0"/>
      <w:marTop w:val="0"/>
      <w:marBottom w:val="0"/>
      <w:divBdr>
        <w:top w:val="none" w:sz="0" w:space="0" w:color="auto"/>
        <w:left w:val="none" w:sz="0" w:space="0" w:color="auto"/>
        <w:bottom w:val="none" w:sz="0" w:space="0" w:color="auto"/>
        <w:right w:val="none" w:sz="0" w:space="0" w:color="auto"/>
      </w:divBdr>
    </w:div>
    <w:div w:id="240140262">
      <w:bodyDiv w:val="1"/>
      <w:marLeft w:val="0"/>
      <w:marRight w:val="0"/>
      <w:marTop w:val="0"/>
      <w:marBottom w:val="0"/>
      <w:divBdr>
        <w:top w:val="none" w:sz="0" w:space="0" w:color="auto"/>
        <w:left w:val="none" w:sz="0" w:space="0" w:color="auto"/>
        <w:bottom w:val="none" w:sz="0" w:space="0" w:color="auto"/>
        <w:right w:val="none" w:sz="0" w:space="0" w:color="auto"/>
      </w:divBdr>
    </w:div>
    <w:div w:id="284888464">
      <w:bodyDiv w:val="1"/>
      <w:marLeft w:val="0"/>
      <w:marRight w:val="0"/>
      <w:marTop w:val="0"/>
      <w:marBottom w:val="0"/>
      <w:divBdr>
        <w:top w:val="none" w:sz="0" w:space="0" w:color="auto"/>
        <w:left w:val="none" w:sz="0" w:space="0" w:color="auto"/>
        <w:bottom w:val="none" w:sz="0" w:space="0" w:color="auto"/>
        <w:right w:val="none" w:sz="0" w:space="0" w:color="auto"/>
      </w:divBdr>
    </w:div>
    <w:div w:id="285352560">
      <w:bodyDiv w:val="1"/>
      <w:marLeft w:val="0"/>
      <w:marRight w:val="0"/>
      <w:marTop w:val="0"/>
      <w:marBottom w:val="0"/>
      <w:divBdr>
        <w:top w:val="none" w:sz="0" w:space="0" w:color="auto"/>
        <w:left w:val="none" w:sz="0" w:space="0" w:color="auto"/>
        <w:bottom w:val="none" w:sz="0" w:space="0" w:color="auto"/>
        <w:right w:val="none" w:sz="0" w:space="0" w:color="auto"/>
      </w:divBdr>
    </w:div>
    <w:div w:id="304046622">
      <w:bodyDiv w:val="1"/>
      <w:marLeft w:val="0"/>
      <w:marRight w:val="0"/>
      <w:marTop w:val="0"/>
      <w:marBottom w:val="0"/>
      <w:divBdr>
        <w:top w:val="none" w:sz="0" w:space="0" w:color="auto"/>
        <w:left w:val="none" w:sz="0" w:space="0" w:color="auto"/>
        <w:bottom w:val="none" w:sz="0" w:space="0" w:color="auto"/>
        <w:right w:val="none" w:sz="0" w:space="0" w:color="auto"/>
      </w:divBdr>
    </w:div>
    <w:div w:id="343091938">
      <w:bodyDiv w:val="1"/>
      <w:marLeft w:val="0"/>
      <w:marRight w:val="0"/>
      <w:marTop w:val="0"/>
      <w:marBottom w:val="0"/>
      <w:divBdr>
        <w:top w:val="none" w:sz="0" w:space="0" w:color="auto"/>
        <w:left w:val="none" w:sz="0" w:space="0" w:color="auto"/>
        <w:bottom w:val="none" w:sz="0" w:space="0" w:color="auto"/>
        <w:right w:val="none" w:sz="0" w:space="0" w:color="auto"/>
      </w:divBdr>
    </w:div>
    <w:div w:id="344406626">
      <w:bodyDiv w:val="1"/>
      <w:marLeft w:val="0"/>
      <w:marRight w:val="0"/>
      <w:marTop w:val="0"/>
      <w:marBottom w:val="0"/>
      <w:divBdr>
        <w:top w:val="none" w:sz="0" w:space="0" w:color="auto"/>
        <w:left w:val="none" w:sz="0" w:space="0" w:color="auto"/>
        <w:bottom w:val="none" w:sz="0" w:space="0" w:color="auto"/>
        <w:right w:val="none" w:sz="0" w:space="0" w:color="auto"/>
      </w:divBdr>
    </w:div>
    <w:div w:id="401948863">
      <w:bodyDiv w:val="1"/>
      <w:marLeft w:val="0"/>
      <w:marRight w:val="0"/>
      <w:marTop w:val="0"/>
      <w:marBottom w:val="0"/>
      <w:divBdr>
        <w:top w:val="none" w:sz="0" w:space="0" w:color="auto"/>
        <w:left w:val="none" w:sz="0" w:space="0" w:color="auto"/>
        <w:bottom w:val="none" w:sz="0" w:space="0" w:color="auto"/>
        <w:right w:val="none" w:sz="0" w:space="0" w:color="auto"/>
      </w:divBdr>
    </w:div>
    <w:div w:id="408314425">
      <w:bodyDiv w:val="1"/>
      <w:marLeft w:val="0"/>
      <w:marRight w:val="0"/>
      <w:marTop w:val="0"/>
      <w:marBottom w:val="0"/>
      <w:divBdr>
        <w:top w:val="none" w:sz="0" w:space="0" w:color="auto"/>
        <w:left w:val="none" w:sz="0" w:space="0" w:color="auto"/>
        <w:bottom w:val="none" w:sz="0" w:space="0" w:color="auto"/>
        <w:right w:val="none" w:sz="0" w:space="0" w:color="auto"/>
      </w:divBdr>
    </w:div>
    <w:div w:id="450635763">
      <w:bodyDiv w:val="1"/>
      <w:marLeft w:val="0"/>
      <w:marRight w:val="0"/>
      <w:marTop w:val="0"/>
      <w:marBottom w:val="0"/>
      <w:divBdr>
        <w:top w:val="none" w:sz="0" w:space="0" w:color="auto"/>
        <w:left w:val="none" w:sz="0" w:space="0" w:color="auto"/>
        <w:bottom w:val="none" w:sz="0" w:space="0" w:color="auto"/>
        <w:right w:val="none" w:sz="0" w:space="0" w:color="auto"/>
      </w:divBdr>
      <w:divsChild>
        <w:div w:id="20202752">
          <w:marLeft w:val="0"/>
          <w:marRight w:val="0"/>
          <w:marTop w:val="0"/>
          <w:marBottom w:val="0"/>
          <w:divBdr>
            <w:top w:val="none" w:sz="0" w:space="0" w:color="auto"/>
            <w:left w:val="none" w:sz="0" w:space="0" w:color="auto"/>
            <w:bottom w:val="none" w:sz="0" w:space="0" w:color="auto"/>
            <w:right w:val="none" w:sz="0" w:space="0" w:color="auto"/>
          </w:divBdr>
        </w:div>
      </w:divsChild>
    </w:div>
    <w:div w:id="507915737">
      <w:bodyDiv w:val="1"/>
      <w:marLeft w:val="0"/>
      <w:marRight w:val="0"/>
      <w:marTop w:val="0"/>
      <w:marBottom w:val="0"/>
      <w:divBdr>
        <w:top w:val="none" w:sz="0" w:space="0" w:color="auto"/>
        <w:left w:val="none" w:sz="0" w:space="0" w:color="auto"/>
        <w:bottom w:val="none" w:sz="0" w:space="0" w:color="auto"/>
        <w:right w:val="none" w:sz="0" w:space="0" w:color="auto"/>
      </w:divBdr>
    </w:div>
    <w:div w:id="558976667">
      <w:bodyDiv w:val="1"/>
      <w:marLeft w:val="0"/>
      <w:marRight w:val="0"/>
      <w:marTop w:val="0"/>
      <w:marBottom w:val="0"/>
      <w:divBdr>
        <w:top w:val="none" w:sz="0" w:space="0" w:color="auto"/>
        <w:left w:val="none" w:sz="0" w:space="0" w:color="auto"/>
        <w:bottom w:val="none" w:sz="0" w:space="0" w:color="auto"/>
        <w:right w:val="none" w:sz="0" w:space="0" w:color="auto"/>
      </w:divBdr>
    </w:div>
    <w:div w:id="560213733">
      <w:bodyDiv w:val="1"/>
      <w:marLeft w:val="0"/>
      <w:marRight w:val="0"/>
      <w:marTop w:val="0"/>
      <w:marBottom w:val="0"/>
      <w:divBdr>
        <w:top w:val="none" w:sz="0" w:space="0" w:color="auto"/>
        <w:left w:val="none" w:sz="0" w:space="0" w:color="auto"/>
        <w:bottom w:val="none" w:sz="0" w:space="0" w:color="auto"/>
        <w:right w:val="none" w:sz="0" w:space="0" w:color="auto"/>
      </w:divBdr>
    </w:div>
    <w:div w:id="612790912">
      <w:bodyDiv w:val="1"/>
      <w:marLeft w:val="0"/>
      <w:marRight w:val="0"/>
      <w:marTop w:val="0"/>
      <w:marBottom w:val="0"/>
      <w:divBdr>
        <w:top w:val="none" w:sz="0" w:space="0" w:color="auto"/>
        <w:left w:val="none" w:sz="0" w:space="0" w:color="auto"/>
        <w:bottom w:val="none" w:sz="0" w:space="0" w:color="auto"/>
        <w:right w:val="none" w:sz="0" w:space="0" w:color="auto"/>
      </w:divBdr>
    </w:div>
    <w:div w:id="667289799">
      <w:bodyDiv w:val="1"/>
      <w:marLeft w:val="0"/>
      <w:marRight w:val="0"/>
      <w:marTop w:val="0"/>
      <w:marBottom w:val="0"/>
      <w:divBdr>
        <w:top w:val="none" w:sz="0" w:space="0" w:color="auto"/>
        <w:left w:val="none" w:sz="0" w:space="0" w:color="auto"/>
        <w:bottom w:val="none" w:sz="0" w:space="0" w:color="auto"/>
        <w:right w:val="none" w:sz="0" w:space="0" w:color="auto"/>
      </w:divBdr>
    </w:div>
    <w:div w:id="675813625">
      <w:bodyDiv w:val="1"/>
      <w:marLeft w:val="0"/>
      <w:marRight w:val="0"/>
      <w:marTop w:val="0"/>
      <w:marBottom w:val="0"/>
      <w:divBdr>
        <w:top w:val="none" w:sz="0" w:space="0" w:color="auto"/>
        <w:left w:val="none" w:sz="0" w:space="0" w:color="auto"/>
        <w:bottom w:val="none" w:sz="0" w:space="0" w:color="auto"/>
        <w:right w:val="none" w:sz="0" w:space="0" w:color="auto"/>
      </w:divBdr>
    </w:div>
    <w:div w:id="692655905">
      <w:bodyDiv w:val="1"/>
      <w:marLeft w:val="0"/>
      <w:marRight w:val="0"/>
      <w:marTop w:val="0"/>
      <w:marBottom w:val="0"/>
      <w:divBdr>
        <w:top w:val="none" w:sz="0" w:space="0" w:color="auto"/>
        <w:left w:val="none" w:sz="0" w:space="0" w:color="auto"/>
        <w:bottom w:val="none" w:sz="0" w:space="0" w:color="auto"/>
        <w:right w:val="none" w:sz="0" w:space="0" w:color="auto"/>
      </w:divBdr>
    </w:div>
    <w:div w:id="748692367">
      <w:bodyDiv w:val="1"/>
      <w:marLeft w:val="0"/>
      <w:marRight w:val="0"/>
      <w:marTop w:val="0"/>
      <w:marBottom w:val="0"/>
      <w:divBdr>
        <w:top w:val="none" w:sz="0" w:space="0" w:color="auto"/>
        <w:left w:val="none" w:sz="0" w:space="0" w:color="auto"/>
        <w:bottom w:val="none" w:sz="0" w:space="0" w:color="auto"/>
        <w:right w:val="none" w:sz="0" w:space="0" w:color="auto"/>
      </w:divBdr>
    </w:div>
    <w:div w:id="805701622">
      <w:bodyDiv w:val="1"/>
      <w:marLeft w:val="0"/>
      <w:marRight w:val="0"/>
      <w:marTop w:val="0"/>
      <w:marBottom w:val="0"/>
      <w:divBdr>
        <w:top w:val="none" w:sz="0" w:space="0" w:color="auto"/>
        <w:left w:val="none" w:sz="0" w:space="0" w:color="auto"/>
        <w:bottom w:val="none" w:sz="0" w:space="0" w:color="auto"/>
        <w:right w:val="none" w:sz="0" w:space="0" w:color="auto"/>
      </w:divBdr>
    </w:div>
    <w:div w:id="812873634">
      <w:bodyDiv w:val="1"/>
      <w:marLeft w:val="0"/>
      <w:marRight w:val="0"/>
      <w:marTop w:val="0"/>
      <w:marBottom w:val="0"/>
      <w:divBdr>
        <w:top w:val="none" w:sz="0" w:space="0" w:color="auto"/>
        <w:left w:val="none" w:sz="0" w:space="0" w:color="auto"/>
        <w:bottom w:val="none" w:sz="0" w:space="0" w:color="auto"/>
        <w:right w:val="none" w:sz="0" w:space="0" w:color="auto"/>
      </w:divBdr>
    </w:div>
    <w:div w:id="847213487">
      <w:bodyDiv w:val="1"/>
      <w:marLeft w:val="0"/>
      <w:marRight w:val="0"/>
      <w:marTop w:val="0"/>
      <w:marBottom w:val="0"/>
      <w:divBdr>
        <w:top w:val="none" w:sz="0" w:space="0" w:color="auto"/>
        <w:left w:val="none" w:sz="0" w:space="0" w:color="auto"/>
        <w:bottom w:val="none" w:sz="0" w:space="0" w:color="auto"/>
        <w:right w:val="none" w:sz="0" w:space="0" w:color="auto"/>
      </w:divBdr>
    </w:div>
    <w:div w:id="918519613">
      <w:bodyDiv w:val="1"/>
      <w:marLeft w:val="0"/>
      <w:marRight w:val="0"/>
      <w:marTop w:val="0"/>
      <w:marBottom w:val="0"/>
      <w:divBdr>
        <w:top w:val="none" w:sz="0" w:space="0" w:color="auto"/>
        <w:left w:val="none" w:sz="0" w:space="0" w:color="auto"/>
        <w:bottom w:val="none" w:sz="0" w:space="0" w:color="auto"/>
        <w:right w:val="none" w:sz="0" w:space="0" w:color="auto"/>
      </w:divBdr>
    </w:div>
    <w:div w:id="931814667">
      <w:bodyDiv w:val="1"/>
      <w:marLeft w:val="0"/>
      <w:marRight w:val="0"/>
      <w:marTop w:val="0"/>
      <w:marBottom w:val="0"/>
      <w:divBdr>
        <w:top w:val="none" w:sz="0" w:space="0" w:color="auto"/>
        <w:left w:val="none" w:sz="0" w:space="0" w:color="auto"/>
        <w:bottom w:val="none" w:sz="0" w:space="0" w:color="auto"/>
        <w:right w:val="none" w:sz="0" w:space="0" w:color="auto"/>
      </w:divBdr>
    </w:div>
    <w:div w:id="937909959">
      <w:bodyDiv w:val="1"/>
      <w:marLeft w:val="0"/>
      <w:marRight w:val="0"/>
      <w:marTop w:val="0"/>
      <w:marBottom w:val="0"/>
      <w:divBdr>
        <w:top w:val="none" w:sz="0" w:space="0" w:color="auto"/>
        <w:left w:val="none" w:sz="0" w:space="0" w:color="auto"/>
        <w:bottom w:val="none" w:sz="0" w:space="0" w:color="auto"/>
        <w:right w:val="none" w:sz="0" w:space="0" w:color="auto"/>
      </w:divBdr>
    </w:div>
    <w:div w:id="1045372483">
      <w:bodyDiv w:val="1"/>
      <w:marLeft w:val="0"/>
      <w:marRight w:val="0"/>
      <w:marTop w:val="0"/>
      <w:marBottom w:val="0"/>
      <w:divBdr>
        <w:top w:val="none" w:sz="0" w:space="0" w:color="auto"/>
        <w:left w:val="none" w:sz="0" w:space="0" w:color="auto"/>
        <w:bottom w:val="none" w:sz="0" w:space="0" w:color="auto"/>
        <w:right w:val="none" w:sz="0" w:space="0" w:color="auto"/>
      </w:divBdr>
    </w:div>
    <w:div w:id="1060863082">
      <w:bodyDiv w:val="1"/>
      <w:marLeft w:val="0"/>
      <w:marRight w:val="0"/>
      <w:marTop w:val="0"/>
      <w:marBottom w:val="0"/>
      <w:divBdr>
        <w:top w:val="none" w:sz="0" w:space="0" w:color="auto"/>
        <w:left w:val="none" w:sz="0" w:space="0" w:color="auto"/>
        <w:bottom w:val="none" w:sz="0" w:space="0" w:color="auto"/>
        <w:right w:val="none" w:sz="0" w:space="0" w:color="auto"/>
      </w:divBdr>
    </w:div>
    <w:div w:id="1064066064">
      <w:bodyDiv w:val="1"/>
      <w:marLeft w:val="0"/>
      <w:marRight w:val="0"/>
      <w:marTop w:val="0"/>
      <w:marBottom w:val="0"/>
      <w:divBdr>
        <w:top w:val="none" w:sz="0" w:space="0" w:color="auto"/>
        <w:left w:val="none" w:sz="0" w:space="0" w:color="auto"/>
        <w:bottom w:val="none" w:sz="0" w:space="0" w:color="auto"/>
        <w:right w:val="none" w:sz="0" w:space="0" w:color="auto"/>
      </w:divBdr>
    </w:div>
    <w:div w:id="1085146870">
      <w:bodyDiv w:val="1"/>
      <w:marLeft w:val="0"/>
      <w:marRight w:val="0"/>
      <w:marTop w:val="0"/>
      <w:marBottom w:val="0"/>
      <w:divBdr>
        <w:top w:val="none" w:sz="0" w:space="0" w:color="auto"/>
        <w:left w:val="none" w:sz="0" w:space="0" w:color="auto"/>
        <w:bottom w:val="none" w:sz="0" w:space="0" w:color="auto"/>
        <w:right w:val="none" w:sz="0" w:space="0" w:color="auto"/>
      </w:divBdr>
    </w:div>
    <w:div w:id="1088231908">
      <w:bodyDiv w:val="1"/>
      <w:marLeft w:val="0"/>
      <w:marRight w:val="0"/>
      <w:marTop w:val="0"/>
      <w:marBottom w:val="0"/>
      <w:divBdr>
        <w:top w:val="none" w:sz="0" w:space="0" w:color="auto"/>
        <w:left w:val="none" w:sz="0" w:space="0" w:color="auto"/>
        <w:bottom w:val="none" w:sz="0" w:space="0" w:color="auto"/>
        <w:right w:val="none" w:sz="0" w:space="0" w:color="auto"/>
      </w:divBdr>
    </w:div>
    <w:div w:id="1094667650">
      <w:bodyDiv w:val="1"/>
      <w:marLeft w:val="0"/>
      <w:marRight w:val="0"/>
      <w:marTop w:val="0"/>
      <w:marBottom w:val="0"/>
      <w:divBdr>
        <w:top w:val="none" w:sz="0" w:space="0" w:color="auto"/>
        <w:left w:val="none" w:sz="0" w:space="0" w:color="auto"/>
        <w:bottom w:val="none" w:sz="0" w:space="0" w:color="auto"/>
        <w:right w:val="none" w:sz="0" w:space="0" w:color="auto"/>
      </w:divBdr>
    </w:div>
    <w:div w:id="1167786340">
      <w:bodyDiv w:val="1"/>
      <w:marLeft w:val="0"/>
      <w:marRight w:val="0"/>
      <w:marTop w:val="0"/>
      <w:marBottom w:val="0"/>
      <w:divBdr>
        <w:top w:val="none" w:sz="0" w:space="0" w:color="auto"/>
        <w:left w:val="none" w:sz="0" w:space="0" w:color="auto"/>
        <w:bottom w:val="none" w:sz="0" w:space="0" w:color="auto"/>
        <w:right w:val="none" w:sz="0" w:space="0" w:color="auto"/>
      </w:divBdr>
    </w:div>
    <w:div w:id="1202398055">
      <w:bodyDiv w:val="1"/>
      <w:marLeft w:val="0"/>
      <w:marRight w:val="0"/>
      <w:marTop w:val="0"/>
      <w:marBottom w:val="0"/>
      <w:divBdr>
        <w:top w:val="none" w:sz="0" w:space="0" w:color="auto"/>
        <w:left w:val="none" w:sz="0" w:space="0" w:color="auto"/>
        <w:bottom w:val="none" w:sz="0" w:space="0" w:color="auto"/>
        <w:right w:val="none" w:sz="0" w:space="0" w:color="auto"/>
      </w:divBdr>
    </w:div>
    <w:div w:id="1212111848">
      <w:bodyDiv w:val="1"/>
      <w:marLeft w:val="0"/>
      <w:marRight w:val="0"/>
      <w:marTop w:val="0"/>
      <w:marBottom w:val="0"/>
      <w:divBdr>
        <w:top w:val="none" w:sz="0" w:space="0" w:color="auto"/>
        <w:left w:val="none" w:sz="0" w:space="0" w:color="auto"/>
        <w:bottom w:val="none" w:sz="0" w:space="0" w:color="auto"/>
        <w:right w:val="none" w:sz="0" w:space="0" w:color="auto"/>
      </w:divBdr>
    </w:div>
    <w:div w:id="1239746668">
      <w:bodyDiv w:val="1"/>
      <w:marLeft w:val="0"/>
      <w:marRight w:val="0"/>
      <w:marTop w:val="0"/>
      <w:marBottom w:val="0"/>
      <w:divBdr>
        <w:top w:val="none" w:sz="0" w:space="0" w:color="auto"/>
        <w:left w:val="none" w:sz="0" w:space="0" w:color="auto"/>
        <w:bottom w:val="none" w:sz="0" w:space="0" w:color="auto"/>
        <w:right w:val="none" w:sz="0" w:space="0" w:color="auto"/>
      </w:divBdr>
    </w:div>
    <w:div w:id="1287352200">
      <w:bodyDiv w:val="1"/>
      <w:marLeft w:val="0"/>
      <w:marRight w:val="0"/>
      <w:marTop w:val="0"/>
      <w:marBottom w:val="0"/>
      <w:divBdr>
        <w:top w:val="none" w:sz="0" w:space="0" w:color="auto"/>
        <w:left w:val="none" w:sz="0" w:space="0" w:color="auto"/>
        <w:bottom w:val="none" w:sz="0" w:space="0" w:color="auto"/>
        <w:right w:val="none" w:sz="0" w:space="0" w:color="auto"/>
      </w:divBdr>
    </w:div>
    <w:div w:id="1302999721">
      <w:bodyDiv w:val="1"/>
      <w:marLeft w:val="0"/>
      <w:marRight w:val="0"/>
      <w:marTop w:val="0"/>
      <w:marBottom w:val="0"/>
      <w:divBdr>
        <w:top w:val="none" w:sz="0" w:space="0" w:color="auto"/>
        <w:left w:val="none" w:sz="0" w:space="0" w:color="auto"/>
        <w:bottom w:val="none" w:sz="0" w:space="0" w:color="auto"/>
        <w:right w:val="none" w:sz="0" w:space="0" w:color="auto"/>
      </w:divBdr>
    </w:div>
    <w:div w:id="1354918187">
      <w:bodyDiv w:val="1"/>
      <w:marLeft w:val="0"/>
      <w:marRight w:val="0"/>
      <w:marTop w:val="0"/>
      <w:marBottom w:val="0"/>
      <w:divBdr>
        <w:top w:val="none" w:sz="0" w:space="0" w:color="auto"/>
        <w:left w:val="none" w:sz="0" w:space="0" w:color="auto"/>
        <w:bottom w:val="none" w:sz="0" w:space="0" w:color="auto"/>
        <w:right w:val="none" w:sz="0" w:space="0" w:color="auto"/>
      </w:divBdr>
    </w:div>
    <w:div w:id="1415512174">
      <w:bodyDiv w:val="1"/>
      <w:marLeft w:val="0"/>
      <w:marRight w:val="0"/>
      <w:marTop w:val="0"/>
      <w:marBottom w:val="0"/>
      <w:divBdr>
        <w:top w:val="none" w:sz="0" w:space="0" w:color="auto"/>
        <w:left w:val="none" w:sz="0" w:space="0" w:color="auto"/>
        <w:bottom w:val="none" w:sz="0" w:space="0" w:color="auto"/>
        <w:right w:val="none" w:sz="0" w:space="0" w:color="auto"/>
      </w:divBdr>
    </w:div>
    <w:div w:id="1463888701">
      <w:bodyDiv w:val="1"/>
      <w:marLeft w:val="0"/>
      <w:marRight w:val="0"/>
      <w:marTop w:val="0"/>
      <w:marBottom w:val="0"/>
      <w:divBdr>
        <w:top w:val="none" w:sz="0" w:space="0" w:color="auto"/>
        <w:left w:val="none" w:sz="0" w:space="0" w:color="auto"/>
        <w:bottom w:val="none" w:sz="0" w:space="0" w:color="auto"/>
        <w:right w:val="none" w:sz="0" w:space="0" w:color="auto"/>
      </w:divBdr>
    </w:div>
    <w:div w:id="1470897400">
      <w:bodyDiv w:val="1"/>
      <w:marLeft w:val="0"/>
      <w:marRight w:val="0"/>
      <w:marTop w:val="0"/>
      <w:marBottom w:val="0"/>
      <w:divBdr>
        <w:top w:val="none" w:sz="0" w:space="0" w:color="auto"/>
        <w:left w:val="none" w:sz="0" w:space="0" w:color="auto"/>
        <w:bottom w:val="none" w:sz="0" w:space="0" w:color="auto"/>
        <w:right w:val="none" w:sz="0" w:space="0" w:color="auto"/>
      </w:divBdr>
    </w:div>
    <w:div w:id="1516574002">
      <w:bodyDiv w:val="1"/>
      <w:marLeft w:val="0"/>
      <w:marRight w:val="0"/>
      <w:marTop w:val="0"/>
      <w:marBottom w:val="0"/>
      <w:divBdr>
        <w:top w:val="none" w:sz="0" w:space="0" w:color="auto"/>
        <w:left w:val="none" w:sz="0" w:space="0" w:color="auto"/>
        <w:bottom w:val="none" w:sz="0" w:space="0" w:color="auto"/>
        <w:right w:val="none" w:sz="0" w:space="0" w:color="auto"/>
      </w:divBdr>
    </w:div>
    <w:div w:id="1534539415">
      <w:bodyDiv w:val="1"/>
      <w:marLeft w:val="0"/>
      <w:marRight w:val="0"/>
      <w:marTop w:val="0"/>
      <w:marBottom w:val="0"/>
      <w:divBdr>
        <w:top w:val="none" w:sz="0" w:space="0" w:color="auto"/>
        <w:left w:val="none" w:sz="0" w:space="0" w:color="auto"/>
        <w:bottom w:val="none" w:sz="0" w:space="0" w:color="auto"/>
        <w:right w:val="none" w:sz="0" w:space="0" w:color="auto"/>
      </w:divBdr>
    </w:div>
    <w:div w:id="1536698264">
      <w:bodyDiv w:val="1"/>
      <w:marLeft w:val="0"/>
      <w:marRight w:val="0"/>
      <w:marTop w:val="0"/>
      <w:marBottom w:val="0"/>
      <w:divBdr>
        <w:top w:val="none" w:sz="0" w:space="0" w:color="auto"/>
        <w:left w:val="none" w:sz="0" w:space="0" w:color="auto"/>
        <w:bottom w:val="none" w:sz="0" w:space="0" w:color="auto"/>
        <w:right w:val="none" w:sz="0" w:space="0" w:color="auto"/>
      </w:divBdr>
    </w:div>
    <w:div w:id="1539900652">
      <w:bodyDiv w:val="1"/>
      <w:marLeft w:val="0"/>
      <w:marRight w:val="0"/>
      <w:marTop w:val="0"/>
      <w:marBottom w:val="0"/>
      <w:divBdr>
        <w:top w:val="none" w:sz="0" w:space="0" w:color="auto"/>
        <w:left w:val="none" w:sz="0" w:space="0" w:color="auto"/>
        <w:bottom w:val="none" w:sz="0" w:space="0" w:color="auto"/>
        <w:right w:val="none" w:sz="0" w:space="0" w:color="auto"/>
      </w:divBdr>
    </w:div>
    <w:div w:id="1543522191">
      <w:bodyDiv w:val="1"/>
      <w:marLeft w:val="0"/>
      <w:marRight w:val="0"/>
      <w:marTop w:val="0"/>
      <w:marBottom w:val="0"/>
      <w:divBdr>
        <w:top w:val="none" w:sz="0" w:space="0" w:color="auto"/>
        <w:left w:val="none" w:sz="0" w:space="0" w:color="auto"/>
        <w:bottom w:val="none" w:sz="0" w:space="0" w:color="auto"/>
        <w:right w:val="none" w:sz="0" w:space="0" w:color="auto"/>
      </w:divBdr>
    </w:div>
    <w:div w:id="1559777881">
      <w:bodyDiv w:val="1"/>
      <w:marLeft w:val="0"/>
      <w:marRight w:val="0"/>
      <w:marTop w:val="0"/>
      <w:marBottom w:val="0"/>
      <w:divBdr>
        <w:top w:val="none" w:sz="0" w:space="0" w:color="auto"/>
        <w:left w:val="none" w:sz="0" w:space="0" w:color="auto"/>
        <w:bottom w:val="none" w:sz="0" w:space="0" w:color="auto"/>
        <w:right w:val="none" w:sz="0" w:space="0" w:color="auto"/>
      </w:divBdr>
      <w:divsChild>
        <w:div w:id="1006904912">
          <w:marLeft w:val="0"/>
          <w:marRight w:val="0"/>
          <w:marTop w:val="0"/>
          <w:marBottom w:val="0"/>
          <w:divBdr>
            <w:top w:val="none" w:sz="0" w:space="0" w:color="auto"/>
            <w:left w:val="none" w:sz="0" w:space="0" w:color="auto"/>
            <w:bottom w:val="none" w:sz="0" w:space="0" w:color="auto"/>
            <w:right w:val="none" w:sz="0" w:space="0" w:color="auto"/>
          </w:divBdr>
        </w:div>
      </w:divsChild>
    </w:div>
    <w:div w:id="1560894056">
      <w:bodyDiv w:val="1"/>
      <w:marLeft w:val="0"/>
      <w:marRight w:val="0"/>
      <w:marTop w:val="0"/>
      <w:marBottom w:val="0"/>
      <w:divBdr>
        <w:top w:val="none" w:sz="0" w:space="0" w:color="auto"/>
        <w:left w:val="none" w:sz="0" w:space="0" w:color="auto"/>
        <w:bottom w:val="none" w:sz="0" w:space="0" w:color="auto"/>
        <w:right w:val="none" w:sz="0" w:space="0" w:color="auto"/>
      </w:divBdr>
    </w:div>
    <w:div w:id="1575627504">
      <w:bodyDiv w:val="1"/>
      <w:marLeft w:val="0"/>
      <w:marRight w:val="0"/>
      <w:marTop w:val="0"/>
      <w:marBottom w:val="0"/>
      <w:divBdr>
        <w:top w:val="none" w:sz="0" w:space="0" w:color="auto"/>
        <w:left w:val="none" w:sz="0" w:space="0" w:color="auto"/>
        <w:bottom w:val="none" w:sz="0" w:space="0" w:color="auto"/>
        <w:right w:val="none" w:sz="0" w:space="0" w:color="auto"/>
      </w:divBdr>
    </w:div>
    <w:div w:id="1581257051">
      <w:bodyDiv w:val="1"/>
      <w:marLeft w:val="0"/>
      <w:marRight w:val="0"/>
      <w:marTop w:val="0"/>
      <w:marBottom w:val="0"/>
      <w:divBdr>
        <w:top w:val="none" w:sz="0" w:space="0" w:color="auto"/>
        <w:left w:val="none" w:sz="0" w:space="0" w:color="auto"/>
        <w:bottom w:val="none" w:sz="0" w:space="0" w:color="auto"/>
        <w:right w:val="none" w:sz="0" w:space="0" w:color="auto"/>
      </w:divBdr>
    </w:div>
    <w:div w:id="1600411115">
      <w:bodyDiv w:val="1"/>
      <w:marLeft w:val="0"/>
      <w:marRight w:val="0"/>
      <w:marTop w:val="0"/>
      <w:marBottom w:val="0"/>
      <w:divBdr>
        <w:top w:val="none" w:sz="0" w:space="0" w:color="auto"/>
        <w:left w:val="none" w:sz="0" w:space="0" w:color="auto"/>
        <w:bottom w:val="none" w:sz="0" w:space="0" w:color="auto"/>
        <w:right w:val="none" w:sz="0" w:space="0" w:color="auto"/>
      </w:divBdr>
    </w:div>
    <w:div w:id="1607928095">
      <w:bodyDiv w:val="1"/>
      <w:marLeft w:val="0"/>
      <w:marRight w:val="0"/>
      <w:marTop w:val="0"/>
      <w:marBottom w:val="0"/>
      <w:divBdr>
        <w:top w:val="none" w:sz="0" w:space="0" w:color="auto"/>
        <w:left w:val="none" w:sz="0" w:space="0" w:color="auto"/>
        <w:bottom w:val="none" w:sz="0" w:space="0" w:color="auto"/>
        <w:right w:val="none" w:sz="0" w:space="0" w:color="auto"/>
      </w:divBdr>
    </w:div>
    <w:div w:id="1613631364">
      <w:bodyDiv w:val="1"/>
      <w:marLeft w:val="0"/>
      <w:marRight w:val="0"/>
      <w:marTop w:val="0"/>
      <w:marBottom w:val="0"/>
      <w:divBdr>
        <w:top w:val="none" w:sz="0" w:space="0" w:color="auto"/>
        <w:left w:val="none" w:sz="0" w:space="0" w:color="auto"/>
        <w:bottom w:val="none" w:sz="0" w:space="0" w:color="auto"/>
        <w:right w:val="none" w:sz="0" w:space="0" w:color="auto"/>
      </w:divBdr>
    </w:div>
    <w:div w:id="1657876862">
      <w:bodyDiv w:val="1"/>
      <w:marLeft w:val="0"/>
      <w:marRight w:val="0"/>
      <w:marTop w:val="0"/>
      <w:marBottom w:val="0"/>
      <w:divBdr>
        <w:top w:val="none" w:sz="0" w:space="0" w:color="auto"/>
        <w:left w:val="none" w:sz="0" w:space="0" w:color="auto"/>
        <w:bottom w:val="none" w:sz="0" w:space="0" w:color="auto"/>
        <w:right w:val="none" w:sz="0" w:space="0" w:color="auto"/>
      </w:divBdr>
    </w:div>
    <w:div w:id="1699894979">
      <w:bodyDiv w:val="1"/>
      <w:marLeft w:val="0"/>
      <w:marRight w:val="0"/>
      <w:marTop w:val="0"/>
      <w:marBottom w:val="0"/>
      <w:divBdr>
        <w:top w:val="none" w:sz="0" w:space="0" w:color="auto"/>
        <w:left w:val="none" w:sz="0" w:space="0" w:color="auto"/>
        <w:bottom w:val="none" w:sz="0" w:space="0" w:color="auto"/>
        <w:right w:val="none" w:sz="0" w:space="0" w:color="auto"/>
      </w:divBdr>
    </w:div>
    <w:div w:id="1709377364">
      <w:bodyDiv w:val="1"/>
      <w:marLeft w:val="0"/>
      <w:marRight w:val="0"/>
      <w:marTop w:val="0"/>
      <w:marBottom w:val="0"/>
      <w:divBdr>
        <w:top w:val="none" w:sz="0" w:space="0" w:color="auto"/>
        <w:left w:val="none" w:sz="0" w:space="0" w:color="auto"/>
        <w:bottom w:val="none" w:sz="0" w:space="0" w:color="auto"/>
        <w:right w:val="none" w:sz="0" w:space="0" w:color="auto"/>
      </w:divBdr>
    </w:div>
    <w:div w:id="1712992693">
      <w:bodyDiv w:val="1"/>
      <w:marLeft w:val="0"/>
      <w:marRight w:val="0"/>
      <w:marTop w:val="0"/>
      <w:marBottom w:val="0"/>
      <w:divBdr>
        <w:top w:val="none" w:sz="0" w:space="0" w:color="auto"/>
        <w:left w:val="none" w:sz="0" w:space="0" w:color="auto"/>
        <w:bottom w:val="none" w:sz="0" w:space="0" w:color="auto"/>
        <w:right w:val="none" w:sz="0" w:space="0" w:color="auto"/>
      </w:divBdr>
    </w:div>
    <w:div w:id="1728800082">
      <w:bodyDiv w:val="1"/>
      <w:marLeft w:val="0"/>
      <w:marRight w:val="0"/>
      <w:marTop w:val="0"/>
      <w:marBottom w:val="0"/>
      <w:divBdr>
        <w:top w:val="none" w:sz="0" w:space="0" w:color="auto"/>
        <w:left w:val="none" w:sz="0" w:space="0" w:color="auto"/>
        <w:bottom w:val="none" w:sz="0" w:space="0" w:color="auto"/>
        <w:right w:val="none" w:sz="0" w:space="0" w:color="auto"/>
      </w:divBdr>
    </w:div>
    <w:div w:id="1738438704">
      <w:bodyDiv w:val="1"/>
      <w:marLeft w:val="0"/>
      <w:marRight w:val="0"/>
      <w:marTop w:val="0"/>
      <w:marBottom w:val="0"/>
      <w:divBdr>
        <w:top w:val="none" w:sz="0" w:space="0" w:color="auto"/>
        <w:left w:val="none" w:sz="0" w:space="0" w:color="auto"/>
        <w:bottom w:val="none" w:sz="0" w:space="0" w:color="auto"/>
        <w:right w:val="none" w:sz="0" w:space="0" w:color="auto"/>
      </w:divBdr>
    </w:div>
    <w:div w:id="1823958239">
      <w:bodyDiv w:val="1"/>
      <w:marLeft w:val="0"/>
      <w:marRight w:val="0"/>
      <w:marTop w:val="0"/>
      <w:marBottom w:val="0"/>
      <w:divBdr>
        <w:top w:val="none" w:sz="0" w:space="0" w:color="auto"/>
        <w:left w:val="none" w:sz="0" w:space="0" w:color="auto"/>
        <w:bottom w:val="none" w:sz="0" w:space="0" w:color="auto"/>
        <w:right w:val="none" w:sz="0" w:space="0" w:color="auto"/>
      </w:divBdr>
    </w:div>
    <w:div w:id="1855345082">
      <w:bodyDiv w:val="1"/>
      <w:marLeft w:val="0"/>
      <w:marRight w:val="0"/>
      <w:marTop w:val="0"/>
      <w:marBottom w:val="0"/>
      <w:divBdr>
        <w:top w:val="none" w:sz="0" w:space="0" w:color="auto"/>
        <w:left w:val="none" w:sz="0" w:space="0" w:color="auto"/>
        <w:bottom w:val="none" w:sz="0" w:space="0" w:color="auto"/>
        <w:right w:val="none" w:sz="0" w:space="0" w:color="auto"/>
      </w:divBdr>
    </w:div>
    <w:div w:id="1883667315">
      <w:bodyDiv w:val="1"/>
      <w:marLeft w:val="0"/>
      <w:marRight w:val="0"/>
      <w:marTop w:val="0"/>
      <w:marBottom w:val="0"/>
      <w:divBdr>
        <w:top w:val="none" w:sz="0" w:space="0" w:color="auto"/>
        <w:left w:val="none" w:sz="0" w:space="0" w:color="auto"/>
        <w:bottom w:val="none" w:sz="0" w:space="0" w:color="auto"/>
        <w:right w:val="none" w:sz="0" w:space="0" w:color="auto"/>
      </w:divBdr>
    </w:div>
    <w:div w:id="1999917830">
      <w:bodyDiv w:val="1"/>
      <w:marLeft w:val="0"/>
      <w:marRight w:val="0"/>
      <w:marTop w:val="0"/>
      <w:marBottom w:val="0"/>
      <w:divBdr>
        <w:top w:val="none" w:sz="0" w:space="0" w:color="auto"/>
        <w:left w:val="none" w:sz="0" w:space="0" w:color="auto"/>
        <w:bottom w:val="none" w:sz="0" w:space="0" w:color="auto"/>
        <w:right w:val="none" w:sz="0" w:space="0" w:color="auto"/>
      </w:divBdr>
    </w:div>
    <w:div w:id="2013947221">
      <w:bodyDiv w:val="1"/>
      <w:marLeft w:val="0"/>
      <w:marRight w:val="0"/>
      <w:marTop w:val="0"/>
      <w:marBottom w:val="0"/>
      <w:divBdr>
        <w:top w:val="none" w:sz="0" w:space="0" w:color="auto"/>
        <w:left w:val="none" w:sz="0" w:space="0" w:color="auto"/>
        <w:bottom w:val="none" w:sz="0" w:space="0" w:color="auto"/>
        <w:right w:val="none" w:sz="0" w:space="0" w:color="auto"/>
      </w:divBdr>
    </w:div>
    <w:div w:id="2024434387">
      <w:bodyDiv w:val="1"/>
      <w:marLeft w:val="0"/>
      <w:marRight w:val="0"/>
      <w:marTop w:val="0"/>
      <w:marBottom w:val="0"/>
      <w:divBdr>
        <w:top w:val="none" w:sz="0" w:space="0" w:color="auto"/>
        <w:left w:val="none" w:sz="0" w:space="0" w:color="auto"/>
        <w:bottom w:val="none" w:sz="0" w:space="0" w:color="auto"/>
        <w:right w:val="none" w:sz="0" w:space="0" w:color="auto"/>
      </w:divBdr>
    </w:div>
    <w:div w:id="2043557269">
      <w:bodyDiv w:val="1"/>
      <w:marLeft w:val="0"/>
      <w:marRight w:val="0"/>
      <w:marTop w:val="0"/>
      <w:marBottom w:val="0"/>
      <w:divBdr>
        <w:top w:val="none" w:sz="0" w:space="0" w:color="auto"/>
        <w:left w:val="none" w:sz="0" w:space="0" w:color="auto"/>
        <w:bottom w:val="none" w:sz="0" w:space="0" w:color="auto"/>
        <w:right w:val="none" w:sz="0" w:space="0" w:color="auto"/>
      </w:divBdr>
    </w:div>
    <w:div w:id="2048215168">
      <w:bodyDiv w:val="1"/>
      <w:marLeft w:val="0"/>
      <w:marRight w:val="0"/>
      <w:marTop w:val="0"/>
      <w:marBottom w:val="0"/>
      <w:divBdr>
        <w:top w:val="none" w:sz="0" w:space="0" w:color="auto"/>
        <w:left w:val="none" w:sz="0" w:space="0" w:color="auto"/>
        <w:bottom w:val="none" w:sz="0" w:space="0" w:color="auto"/>
        <w:right w:val="none" w:sz="0" w:space="0" w:color="auto"/>
      </w:divBdr>
    </w:div>
    <w:div w:id="2053457797">
      <w:bodyDiv w:val="1"/>
      <w:marLeft w:val="0"/>
      <w:marRight w:val="0"/>
      <w:marTop w:val="0"/>
      <w:marBottom w:val="0"/>
      <w:divBdr>
        <w:top w:val="none" w:sz="0" w:space="0" w:color="auto"/>
        <w:left w:val="none" w:sz="0" w:space="0" w:color="auto"/>
        <w:bottom w:val="none" w:sz="0" w:space="0" w:color="auto"/>
        <w:right w:val="none" w:sz="0" w:space="0" w:color="auto"/>
      </w:divBdr>
    </w:div>
    <w:div w:id="2075857805">
      <w:bodyDiv w:val="1"/>
      <w:marLeft w:val="0"/>
      <w:marRight w:val="0"/>
      <w:marTop w:val="0"/>
      <w:marBottom w:val="0"/>
      <w:divBdr>
        <w:top w:val="none" w:sz="0" w:space="0" w:color="auto"/>
        <w:left w:val="none" w:sz="0" w:space="0" w:color="auto"/>
        <w:bottom w:val="none" w:sz="0" w:space="0" w:color="auto"/>
        <w:right w:val="none" w:sz="0" w:space="0" w:color="auto"/>
      </w:divBdr>
    </w:div>
    <w:div w:id="2093120511">
      <w:bodyDiv w:val="1"/>
      <w:marLeft w:val="0"/>
      <w:marRight w:val="0"/>
      <w:marTop w:val="0"/>
      <w:marBottom w:val="0"/>
      <w:divBdr>
        <w:top w:val="none" w:sz="0" w:space="0" w:color="auto"/>
        <w:left w:val="none" w:sz="0" w:space="0" w:color="auto"/>
        <w:bottom w:val="none" w:sz="0" w:space="0" w:color="auto"/>
        <w:right w:val="none" w:sz="0" w:space="0" w:color="auto"/>
      </w:divBdr>
    </w:div>
    <w:div w:id="2094886753">
      <w:bodyDiv w:val="1"/>
      <w:marLeft w:val="0"/>
      <w:marRight w:val="0"/>
      <w:marTop w:val="0"/>
      <w:marBottom w:val="0"/>
      <w:divBdr>
        <w:top w:val="none" w:sz="0" w:space="0" w:color="auto"/>
        <w:left w:val="none" w:sz="0" w:space="0" w:color="auto"/>
        <w:bottom w:val="none" w:sz="0" w:space="0" w:color="auto"/>
        <w:right w:val="none" w:sz="0" w:space="0" w:color="auto"/>
      </w:divBdr>
    </w:div>
    <w:div w:id="2106725646">
      <w:bodyDiv w:val="1"/>
      <w:marLeft w:val="0"/>
      <w:marRight w:val="0"/>
      <w:marTop w:val="0"/>
      <w:marBottom w:val="0"/>
      <w:divBdr>
        <w:top w:val="none" w:sz="0" w:space="0" w:color="auto"/>
        <w:left w:val="none" w:sz="0" w:space="0" w:color="auto"/>
        <w:bottom w:val="none" w:sz="0" w:space="0" w:color="auto"/>
        <w:right w:val="none" w:sz="0" w:space="0" w:color="auto"/>
      </w:divBdr>
    </w:div>
    <w:div w:id="2107656037">
      <w:bodyDiv w:val="1"/>
      <w:marLeft w:val="0"/>
      <w:marRight w:val="0"/>
      <w:marTop w:val="0"/>
      <w:marBottom w:val="0"/>
      <w:divBdr>
        <w:top w:val="none" w:sz="0" w:space="0" w:color="auto"/>
        <w:left w:val="none" w:sz="0" w:space="0" w:color="auto"/>
        <w:bottom w:val="none" w:sz="0" w:space="0" w:color="auto"/>
        <w:right w:val="none" w:sz="0" w:space="0" w:color="auto"/>
      </w:divBdr>
    </w:div>
    <w:div w:id="2135512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acebook.com/accanau" TargetMode="External"/><Relationship Id="rId18" Type="http://schemas.openxmlformats.org/officeDocument/2006/relationships/image" Target="media/image4.jpeg"/><Relationship Id="rId26" Type="http://schemas.openxmlformats.org/officeDocument/2006/relationships/chart" Target="charts/chart6.xml"/><Relationship Id="rId39" Type="http://schemas.openxmlformats.org/officeDocument/2006/relationships/footer" Target="footer2.xml"/><Relationship Id="rId21" Type="http://schemas.openxmlformats.org/officeDocument/2006/relationships/chart" Target="charts/chart1.xml"/><Relationship Id="rId34" Type="http://schemas.openxmlformats.org/officeDocument/2006/relationships/chart" Target="charts/chart1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chart" Target="charts/chart9.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ACCAN_AU" TargetMode="External"/><Relationship Id="rId24" Type="http://schemas.openxmlformats.org/officeDocument/2006/relationships/chart" Target="charts/chart4.xml"/><Relationship Id="rId32" Type="http://schemas.openxmlformats.org/officeDocument/2006/relationships/chart" Target="charts/chart12.xm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linkedin.com/company/accanau" TargetMode="External"/><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chart" Target="charts/chart16.xml"/><Relationship Id="rId10" Type="http://schemas.openxmlformats.org/officeDocument/2006/relationships/endnotes" Target="endnotes.xml"/><Relationship Id="rId19" Type="http://schemas.openxmlformats.org/officeDocument/2006/relationships/hyperlink" Target="http://www.accan.org.au/" TargetMode="External"/><Relationship Id="rId31" Type="http://schemas.openxmlformats.org/officeDocument/2006/relationships/chart" Target="charts/chart1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chart" Target="charts/chart15.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www.instagram.com/accan_au" TargetMode="External"/><Relationship Id="rId25" Type="http://schemas.openxmlformats.org/officeDocument/2006/relationships/chart" Target="charts/chart5.xml"/><Relationship Id="rId33" Type="http://schemas.openxmlformats.org/officeDocument/2006/relationships/chart" Target="charts/chart13.xml"/><Relationship Id="rId38"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www.accc.gov.au/publications/targeting-scams-report-on-scam-activity/targeting-scams-report-of-the-accc-on-scams-activity-2021" TargetMode="External"/><Relationship Id="rId13" Type="http://schemas.openxmlformats.org/officeDocument/2006/relationships/hyperlink" Target="https://www.accc.gov.au/publications/targeting-scams-report-on-scam-activity/targeting-scams-report-of-the-accc-on-scams-activity-2021" TargetMode="External"/><Relationship Id="rId18" Type="http://schemas.openxmlformats.org/officeDocument/2006/relationships/hyperlink" Target="https://techcrunch.com/2020/09/30/facebook-introduces-cross-app-communication-between-messenger-and-instagram-plus-other-features/" TargetMode="External"/><Relationship Id="rId3" Type="http://schemas.openxmlformats.org/officeDocument/2006/relationships/hyperlink" Target="https://theconversation.com/the-accc-is-suing-meta-for-celebrity-crypto-scam-ads-on-facebook-heres-why-the-tech-giant-could-be-found-liable-179655" TargetMode="External"/><Relationship Id="rId21" Type="http://schemas.openxmlformats.org/officeDocument/2006/relationships/hyperlink" Target="https://about.fb.com/news/2021/04/transfer-your-facebook-posts-and-notes-with-our-expanded-data-portability-tool/" TargetMode="External"/><Relationship Id="rId7" Type="http://schemas.openxmlformats.org/officeDocument/2006/relationships/hyperlink" Target="https://accan.org.au/accans-work/submissions/1977-accc-dpsi-september-interim-report" TargetMode="External"/><Relationship Id="rId12" Type="http://schemas.openxmlformats.org/officeDocument/2006/relationships/hyperlink" Target="https://consumeraction.org.au/crypto-as-risky-as-gambling-and-a-haven-for-scams-that-demands-action/" TargetMode="External"/><Relationship Id="rId17" Type="http://schemas.openxmlformats.org/officeDocument/2006/relationships/hyperlink" Target="http://lbsresearch.london.edu/id/eprint/914/1/9780190845124_Barwise_Chapter%201.pdf" TargetMode="External"/><Relationship Id="rId2" Type="http://schemas.openxmlformats.org/officeDocument/2006/relationships/hyperlink" Target="https://wearesocial.com/au/blog/2022/02/digital-2022-australia-online-like-never-before/" TargetMode="External"/><Relationship Id="rId16" Type="http://schemas.openxmlformats.org/officeDocument/2006/relationships/hyperlink" Target="https://www.accc.gov.au/publications/digital-platforms-inquiry-final-report" TargetMode="External"/><Relationship Id="rId20" Type="http://schemas.openxmlformats.org/officeDocument/2006/relationships/hyperlink" Target="https://blog.google/outreach-initiatives/public-policy/building-data-portability-help-consumers-choose/" TargetMode="External"/><Relationship Id="rId1" Type="http://schemas.openxmlformats.org/officeDocument/2006/relationships/hyperlink" Target="https://www.digitalinclusionindex.org.au/download-reports/" TargetMode="External"/><Relationship Id="rId6" Type="http://schemas.openxmlformats.org/officeDocument/2006/relationships/hyperlink" Target="https://cprc.org.au/dupedbydesign/" TargetMode="External"/><Relationship Id="rId11" Type="http://schemas.openxmlformats.org/officeDocument/2006/relationships/hyperlink" Target="https://theconversation.com/the-accc-is-suing-meta-for-celebrity-crypto-scam-ads-on-facebook-heres-why-the-tech-giant-could-be-found-liable-179655" TargetMode="External"/><Relationship Id="rId24" Type="http://schemas.openxmlformats.org/officeDocument/2006/relationships/hyperlink" Target="https://accan.org.au/accans-work/submissions/2018-accc-report-on-social-media-services-issues-paper" TargetMode="External"/><Relationship Id="rId5" Type="http://schemas.openxmlformats.org/officeDocument/2006/relationships/hyperlink" Target="https://www.digitalinclusionindex.org.au/download-reports/" TargetMode="External"/><Relationship Id="rId15" Type="http://schemas.openxmlformats.org/officeDocument/2006/relationships/hyperlink" Target="https://www.accc.gov.au/focus-areas/inquiries-ongoing/digital-platform-services-inquiry-2020-2025/september-2022-interim-report" TargetMode="External"/><Relationship Id="rId23" Type="http://schemas.openxmlformats.org/officeDocument/2006/relationships/hyperlink" Target="https://about.fb.com/news/2021/04/transfer-your-facebook-posts-and-notes-with-our-expanded-data-portability-tool/" TargetMode="External"/><Relationship Id="rId10" Type="http://schemas.openxmlformats.org/officeDocument/2006/relationships/hyperlink" Target="https://www.accc.gov.au/speech/making-australia-a-harder-target-for-scammers" TargetMode="External"/><Relationship Id="rId19" Type="http://schemas.openxmlformats.org/officeDocument/2006/relationships/hyperlink" Target="https://techcrunch.com/2022/03/10/googles-message-app-can-now-handle-imessage-reactions-challenges-apple-with-new-features/" TargetMode="External"/><Relationship Id="rId4" Type="http://schemas.openxmlformats.org/officeDocument/2006/relationships/hyperlink" Target="https://cprc.org.au/dupedbydesign/" TargetMode="External"/><Relationship Id="rId9" Type="http://schemas.openxmlformats.org/officeDocument/2006/relationships/hyperlink" Target="https://www.accc.gov.au/publications/targeting-scams-report-on-scam-activity/targeting-scams-report-of-the-accc-on-scams-activity-2021" TargetMode="External"/><Relationship Id="rId14" Type="http://schemas.openxmlformats.org/officeDocument/2006/relationships/hyperlink" Target="https://www.accc.gov.au/publications/serial-publications/digital-platform-services-inquiry-2020-2025/digital-platform-services-inquiry-march-2021-interim-report" TargetMode="External"/><Relationship Id="rId22" Type="http://schemas.openxmlformats.org/officeDocument/2006/relationships/hyperlink" Target="https://datatransferproject.dev/"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www.accan.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uelKininmonth\ACCAN\ACCAN%20-%20Business\Templates%202022\DocumentTemplate-Blank.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SamuelKininmonth\ACCAN\ACCAN%20-%20Media\Blog%20posts\2022\Omnibus%20results%20blog%20posts\Digital%20Platforms\Work%20tables%20for%20digital%20platforms%20blog%20post.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SamuelKininmonth\ACCAN\ACCAN%20-%20Media\Blog%20posts\2022\Omnibus%20results%20blog%20posts\Digital%20Platforms\Work%20tables%20for%20digital%20platforms%20blog%20post.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SamuelKininmonth\ACCAN\ACCAN%20-%20Media\Blog%20posts\2022\Omnibus%20results%20blog%20posts\Digital%20Platforms\Work%20tables%20for%20digital%20platforms%20blog%20post.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SamuelKininmonth\ACCAN\ACCAN%20-%20Media\Blog%20posts\2022\Omnibus%20results%20blog%20posts\Digital%20Platforms\Work%20tables%20for%20digital%20platforms%20blog%20post.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SamuelKininmonth\ACCAN\ACCAN%20-%20Media\Blog%20posts\2022\Omnibus%20results%20blog%20posts\Digital%20Platforms\Work%20tables%20for%20digital%20platforms%20blog%20post.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SamuelKininmonth\ACCAN\ACCAN%20-%20Media\Blog%20posts\2022\Omnibus%20results%20blog%20posts\Digital%20Platforms\Work%20tables%20for%20digital%20platforms%20blog%20post.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SamuelKininmonth\ACCAN\ACCAN%20-%20Media\Blog%20posts\2022\Omnibus%20results%20blog%20posts\Digital%20Platforms\Work%20tables%20for%20digital%20platforms%20blog%20post.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SamuelKininmonth\ACCAN\ACCAN%20-%20Media\Blog%20posts\2022\Omnibus%20results%20blog%20posts\Digital%20Platforms\Work%20tables%20for%20digital%20platforms%20blog%20post.xlsx"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amuelKininmonth\ACCAN\ACCAN%20-%20Media\Blog%20posts\2022\Omnibus%20results%20blog%20posts\Digital%20Platforms\Work%20tables%20for%20digital%20platforms%20blog%20pos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amuelKininmonth\ACCAN\ACCAN%20-%20Media\Blog%20posts\2022\Omnibus%20results%20blog%20posts\Digital%20Platforms\Work%20tables%20for%20digital%20platforms%20blog%20pos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SamuelKininmonth\ACCAN\ACCAN%20-%20Media\Blog%20posts\2022\Omnibus%20results%20blog%20posts\Digital%20Platforms\Work%20tables%20for%20digital%20platforms%20blog%20pos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SamuelKininmonth\ACCAN\ACCAN%20-%20Media\Blog%20posts\2022\Omnibus%20results%20blog%20posts\Digital%20Platforms\Work%20tables%20for%20digital%20platforms%20blog%20post.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SamuelKininmonth\ACCAN\ACCAN%20-%20Media\Blog%20posts\2022\Omnibus%20results%20blog%20posts\Digital%20Platforms\Work%20tables%20for%20digital%20platforms%20blog%20post.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SamuelKininmonth\ACCAN\ACCAN%20-%20Media\Blog%20posts\2022\Omnibus%20results%20blog%20posts\Digital%20Platforms\Work%20tables%20for%20digital%20platforms%20blog%20post.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SamuelKininmonth\ACCAN\ACCAN%20-%20Media\Blog%20posts\2022\Omnibus%20results%20blog%20posts\Digital%20Platforms\Work%20tables%20for%20digital%20platforms%20blog%20post.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SamuelKininmonth\ACCAN\ACCAN%20-%20Media\Blog%20posts\2022\Omnibus%20results%20blog%20posts\Digital%20Platforms\Work%20tables%20for%20digital%20platforms%20blog%20post.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'control and safety'!$X$4</c:f>
              <c:strCache>
                <c:ptCount val="1"/>
                <c:pt idx="0">
                  <c:v>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'control and safety'!$Y$3:$AA$3</c:f>
              <c:strCache>
                <c:ptCount val="3"/>
                <c:pt idx="0">
                  <c:v>18 to 29</c:v>
                </c:pt>
                <c:pt idx="1">
                  <c:v>30 to 49</c:v>
                </c:pt>
                <c:pt idx="2">
                  <c:v>50+</c:v>
                </c:pt>
              </c:strCache>
            </c:strRef>
          </c:cat>
          <c:val>
            <c:numRef>
              <c:f>'control and safety'!$Y$4:$AA$4</c:f>
              <c:numCache>
                <c:formatCode>[&lt;=0]\ ;[&lt;0.005]\-;0%</c:formatCode>
                <c:ptCount val="3"/>
                <c:pt idx="0">
                  <c:v>0.56000000000000005</c:v>
                </c:pt>
                <c:pt idx="1">
                  <c:v>0.64</c:v>
                </c:pt>
                <c:pt idx="2">
                  <c:v>0.44</c:v>
                </c:pt>
              </c:numCache>
            </c:numRef>
          </c:val>
          <c:extLst>
            <c:ext xmlns:c16="http://schemas.microsoft.com/office/drawing/2014/chart" uri="{C3380CC4-5D6E-409C-BE32-E72D297353CC}">
              <c16:uniqueId val="{00000000-8F6E-4D2B-B49F-D93D5C9216BD}"/>
            </c:ext>
          </c:extLst>
        </c:ser>
        <c:dLbls>
          <c:dLblPos val="outEnd"/>
          <c:showLegendKey val="0"/>
          <c:showVal val="1"/>
          <c:showCatName val="0"/>
          <c:showSerName val="0"/>
          <c:showPercent val="0"/>
          <c:showBubbleSize val="0"/>
        </c:dLbls>
        <c:gapWidth val="219"/>
        <c:overlap val="-27"/>
        <c:axId val="422400232"/>
        <c:axId val="422402200"/>
        <c:extLst>
          <c:ext xmlns:c15="http://schemas.microsoft.com/office/drawing/2012/chart" uri="{02D57815-91ED-43cb-92C2-25804820EDAC}">
            <c15:filteredBarSeries>
              <c15:ser>
                <c:idx val="1"/>
                <c:order val="1"/>
                <c:tx>
                  <c:strRef>
                    <c:extLst>
                      <c:ext uri="{02D57815-91ED-43cb-92C2-25804820EDAC}">
                        <c15:formulaRef>
                          <c15:sqref>'control and safety'!$X$5</c15:sqref>
                        </c15:formulaRef>
                      </c:ext>
                    </c:extLst>
                    <c:strCache>
                      <c:ptCount val="1"/>
                      <c:pt idx="0">
                        <c:v>Unsure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'control and safety'!$Y$3:$AA$3</c15:sqref>
                        </c15:formulaRef>
                      </c:ext>
                    </c:extLst>
                    <c:strCache>
                      <c:ptCount val="3"/>
                      <c:pt idx="0">
                        <c:v>18 to 29</c:v>
                      </c:pt>
                      <c:pt idx="1">
                        <c:v>30 to 49</c:v>
                      </c:pt>
                      <c:pt idx="2">
                        <c:v>50+</c:v>
                      </c:pt>
                    </c:strCache>
                  </c:strRef>
                </c:cat>
                <c:val>
                  <c:numRef>
                    <c:extLst>
                      <c:ext uri="{02D57815-91ED-43cb-92C2-25804820EDAC}">
                        <c15:formulaRef>
                          <c15:sqref>'control and safety'!$Y$5:$AA$5</c15:sqref>
                        </c15:formulaRef>
                      </c:ext>
                    </c:extLst>
                    <c:numCache>
                      <c:formatCode>[&lt;=0]\ ;[&lt;0.005]\-;0%</c:formatCode>
                      <c:ptCount val="3"/>
                      <c:pt idx="0">
                        <c:v>0.1</c:v>
                      </c:pt>
                      <c:pt idx="1">
                        <c:v>0.1</c:v>
                      </c:pt>
                      <c:pt idx="2">
                        <c:v>0.21</c:v>
                      </c:pt>
                    </c:numCache>
                  </c:numRef>
                </c:val>
                <c:extLst>
                  <c:ext xmlns:c16="http://schemas.microsoft.com/office/drawing/2014/chart" uri="{C3380CC4-5D6E-409C-BE32-E72D297353CC}">
                    <c16:uniqueId val="{00000001-8F6E-4D2B-B49F-D93D5C9216BD}"/>
                  </c:ext>
                </c:extLst>
              </c15:ser>
            </c15:filteredBarSeries>
          </c:ext>
        </c:extLst>
      </c:barChart>
      <c:catAx>
        <c:axId val="422400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2402200"/>
        <c:crosses val="autoZero"/>
        <c:auto val="1"/>
        <c:lblAlgn val="ctr"/>
        <c:lblOffset val="100"/>
        <c:noMultiLvlLbl val="0"/>
      </c:catAx>
      <c:valAx>
        <c:axId val="422402200"/>
        <c:scaling>
          <c:orientation val="minMax"/>
        </c:scaling>
        <c:delete val="0"/>
        <c:axPos val="l"/>
        <c:numFmt formatCode="[&lt;=0]\ ;[&lt;0.005]\-;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2400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'scams and apps'!$M$25</c:f>
              <c:strCache>
                <c:ptCount val="1"/>
                <c:pt idx="0">
                  <c:v>Agree</c:v>
                </c:pt>
              </c:strCache>
            </c:strRef>
          </c:tx>
          <c:spPr>
            <a:solidFill>
              <a:schemeClr val="accent1"/>
            </a:solidFill>
            <a:ln>
              <a:noFill/>
            </a:ln>
            <a:effectLst/>
          </c:spPr>
          <c:invertIfNegative val="0"/>
          <c:cat>
            <c:strRef>
              <c:f>'scams and apps'!$N$21:$V$21</c:f>
              <c:strCache>
                <c:ptCount val="9"/>
                <c:pt idx="0">
                  <c:v>Under $15K</c:v>
                </c:pt>
                <c:pt idx="1">
                  <c:v>$15K to $25K</c:v>
                </c:pt>
                <c:pt idx="2">
                  <c:v>$25K to $35K</c:v>
                </c:pt>
                <c:pt idx="3">
                  <c:v>$35K to $50K</c:v>
                </c:pt>
                <c:pt idx="4">
                  <c:v>$50K to $75K</c:v>
                </c:pt>
                <c:pt idx="5">
                  <c:v>$75K to $100K</c:v>
                </c:pt>
                <c:pt idx="6">
                  <c:v>$100K to $150K</c:v>
                </c:pt>
                <c:pt idx="7">
                  <c:v>$150K to $200K</c:v>
                </c:pt>
                <c:pt idx="8">
                  <c:v>$200K and over</c:v>
                </c:pt>
              </c:strCache>
              <c:extLst/>
            </c:strRef>
          </c:cat>
          <c:val>
            <c:numRef>
              <c:f>'scams and apps'!$N$25:$V$25</c:f>
              <c:numCache>
                <c:formatCode>[&lt;=0]\ ;[&lt;0.005]\-;0%</c:formatCode>
                <c:ptCount val="9"/>
                <c:pt idx="0">
                  <c:v>0.53074174447353395</c:v>
                </c:pt>
                <c:pt idx="1">
                  <c:v>0.47980806849717295</c:v>
                </c:pt>
                <c:pt idx="2">
                  <c:v>0.57869049143626405</c:v>
                </c:pt>
                <c:pt idx="3">
                  <c:v>0.58616774806699401</c:v>
                </c:pt>
                <c:pt idx="4">
                  <c:v>0.65337351090686802</c:v>
                </c:pt>
                <c:pt idx="5">
                  <c:v>0.66939814386688501</c:v>
                </c:pt>
                <c:pt idx="6">
                  <c:v>0.76019471387965698</c:v>
                </c:pt>
                <c:pt idx="7">
                  <c:v>0.71023042581694096</c:v>
                </c:pt>
                <c:pt idx="8">
                  <c:v>0.837807743552486</c:v>
                </c:pt>
              </c:numCache>
            </c:numRef>
          </c:val>
          <c:extLst>
            <c:ext xmlns:c16="http://schemas.microsoft.com/office/drawing/2014/chart" uri="{C3380CC4-5D6E-409C-BE32-E72D297353CC}">
              <c16:uniqueId val="{00000000-38D5-4F7C-A68D-049C7F3230D0}"/>
            </c:ext>
          </c:extLst>
        </c:ser>
        <c:dLbls>
          <c:showLegendKey val="0"/>
          <c:showVal val="0"/>
          <c:showCatName val="0"/>
          <c:showSerName val="0"/>
          <c:showPercent val="0"/>
          <c:showBubbleSize val="0"/>
        </c:dLbls>
        <c:gapWidth val="219"/>
        <c:axId val="546376544"/>
        <c:axId val="546379168"/>
        <c:extLst>
          <c:ext xmlns:c15="http://schemas.microsoft.com/office/drawing/2012/chart" uri="{02D57815-91ED-43cb-92C2-25804820EDAC}">
            <c15:filteredBarSeries>
              <c15:ser>
                <c:idx val="2"/>
                <c:order val="2"/>
                <c:tx>
                  <c:strRef>
                    <c:extLst>
                      <c:ext uri="{02D57815-91ED-43cb-92C2-25804820EDAC}">
                        <c15:formulaRef>
                          <c15:sqref>'scams and apps'!$M$27</c15:sqref>
                        </c15:formulaRef>
                      </c:ext>
                    </c:extLst>
                    <c:strCache>
                      <c:ptCount val="1"/>
                      <c:pt idx="0">
                        <c:v>Unsure</c:v>
                      </c:pt>
                    </c:strCache>
                  </c:strRef>
                </c:tx>
                <c:spPr>
                  <a:solidFill>
                    <a:schemeClr val="accent3"/>
                  </a:solidFill>
                  <a:ln>
                    <a:noFill/>
                  </a:ln>
                  <a:effectLst/>
                </c:spPr>
                <c:invertIfNegative val="0"/>
                <c:cat>
                  <c:strRef>
                    <c:extLst>
                      <c:ext uri="{02D57815-91ED-43cb-92C2-25804820EDAC}">
                        <c15:formulaRef>
                          <c15:sqref>'scams and apps'!$N$21:$V$21</c15:sqref>
                        </c15:formulaRef>
                      </c:ext>
                    </c:extLst>
                    <c:strCache>
                      <c:ptCount val="9"/>
                      <c:pt idx="0">
                        <c:v>Under $15K</c:v>
                      </c:pt>
                      <c:pt idx="1">
                        <c:v>$15K to $25K</c:v>
                      </c:pt>
                      <c:pt idx="2">
                        <c:v>$25K to $35K</c:v>
                      </c:pt>
                      <c:pt idx="3">
                        <c:v>$35K to $50K</c:v>
                      </c:pt>
                      <c:pt idx="4">
                        <c:v>$50K to $75K</c:v>
                      </c:pt>
                      <c:pt idx="5">
                        <c:v>$75K to $100K</c:v>
                      </c:pt>
                      <c:pt idx="6">
                        <c:v>$100K to $150K</c:v>
                      </c:pt>
                      <c:pt idx="7">
                        <c:v>$150K to $200K</c:v>
                      </c:pt>
                      <c:pt idx="8">
                        <c:v>$200K and over</c:v>
                      </c:pt>
                    </c:strCache>
                  </c:strRef>
                </c:cat>
                <c:val>
                  <c:numRef>
                    <c:extLst>
                      <c:ext uri="{02D57815-91ED-43cb-92C2-25804820EDAC}">
                        <c15:formulaRef>
                          <c15:sqref>'scams and apps'!$N$27:$V$27</c15:sqref>
                        </c15:formulaRef>
                      </c:ext>
                    </c:extLst>
                    <c:numCache>
                      <c:formatCode>[&lt;=0]\ ;[&lt;0.005]\-;0%</c:formatCode>
                      <c:ptCount val="9"/>
                      <c:pt idx="0">
                        <c:v>0.10686503424433</c:v>
                      </c:pt>
                      <c:pt idx="1">
                        <c:v>0.184650095529273</c:v>
                      </c:pt>
                      <c:pt idx="2">
                        <c:v>0.13438373223164701</c:v>
                      </c:pt>
                      <c:pt idx="3">
                        <c:v>0.107877749689372</c:v>
                      </c:pt>
                      <c:pt idx="4">
                        <c:v>9.3743891565985005E-2</c:v>
                      </c:pt>
                      <c:pt idx="5">
                        <c:v>6.2863990160158006E-2</c:v>
                      </c:pt>
                      <c:pt idx="6">
                        <c:v>3.7539216726563997E-2</c:v>
                      </c:pt>
                      <c:pt idx="7">
                        <c:v>6.5205839825960996E-2</c:v>
                      </c:pt>
                      <c:pt idx="8">
                        <c:v>3.5776872363247003E-2</c:v>
                      </c:pt>
                    </c:numCache>
                  </c:numRef>
                </c:val>
                <c:extLst>
                  <c:ext xmlns:c16="http://schemas.microsoft.com/office/drawing/2014/chart" uri="{C3380CC4-5D6E-409C-BE32-E72D297353CC}">
                    <c16:uniqueId val="{00000001-38D5-4F7C-A68D-049C7F3230D0}"/>
                  </c:ext>
                </c:extLst>
              </c15:ser>
            </c15:filteredBarSeries>
          </c:ext>
        </c:extLst>
      </c:barChart>
      <c:lineChart>
        <c:grouping val="standard"/>
        <c:varyColors val="0"/>
        <c:ser>
          <c:idx val="1"/>
          <c:order val="1"/>
          <c:tx>
            <c:strRef>
              <c:f>'scams and apps'!$M$26</c:f>
              <c:strCache>
                <c:ptCount val="1"/>
                <c:pt idx="0">
                  <c:v>Average Agree</c:v>
                </c:pt>
              </c:strCache>
            </c:strRef>
          </c:tx>
          <c:spPr>
            <a:ln w="28575" cap="rnd">
              <a:solidFill>
                <a:schemeClr val="accent2"/>
              </a:solidFill>
              <a:round/>
            </a:ln>
            <a:effectLst/>
          </c:spPr>
          <c:marker>
            <c:symbol val="none"/>
          </c:marker>
          <c:cat>
            <c:strRef>
              <c:f>'scams and apps'!$N$21:$V$21</c:f>
              <c:strCache>
                <c:ptCount val="9"/>
                <c:pt idx="0">
                  <c:v>Under $15K</c:v>
                </c:pt>
                <c:pt idx="1">
                  <c:v>$15K to $25K</c:v>
                </c:pt>
                <c:pt idx="2">
                  <c:v>$25K to $35K</c:v>
                </c:pt>
                <c:pt idx="3">
                  <c:v>$35K to $50K</c:v>
                </c:pt>
                <c:pt idx="4">
                  <c:v>$50K to $75K</c:v>
                </c:pt>
                <c:pt idx="5">
                  <c:v>$75K to $100K</c:v>
                </c:pt>
                <c:pt idx="6">
                  <c:v>$100K to $150K</c:v>
                </c:pt>
                <c:pt idx="7">
                  <c:v>$150K to $200K</c:v>
                </c:pt>
                <c:pt idx="8">
                  <c:v>$200K and over</c:v>
                </c:pt>
              </c:strCache>
              <c:extLst/>
            </c:strRef>
          </c:cat>
          <c:val>
            <c:numRef>
              <c:f>'scams and apps'!$N$26:$V$26</c:f>
              <c:numCache>
                <c:formatCode>[&lt;=0]\ ;[&lt;0.005]\-;0%</c:formatCode>
                <c:ptCount val="9"/>
                <c:pt idx="0">
                  <c:v>0.65</c:v>
                </c:pt>
                <c:pt idx="1">
                  <c:v>0.65</c:v>
                </c:pt>
                <c:pt idx="2">
                  <c:v>0.65</c:v>
                </c:pt>
                <c:pt idx="3">
                  <c:v>0.65</c:v>
                </c:pt>
                <c:pt idx="4">
                  <c:v>0.65</c:v>
                </c:pt>
                <c:pt idx="5">
                  <c:v>0.65</c:v>
                </c:pt>
                <c:pt idx="6">
                  <c:v>0.65</c:v>
                </c:pt>
                <c:pt idx="7">
                  <c:v>0.65</c:v>
                </c:pt>
                <c:pt idx="8">
                  <c:v>0.65</c:v>
                </c:pt>
              </c:numCache>
            </c:numRef>
          </c:val>
          <c:smooth val="0"/>
          <c:extLst>
            <c:ext xmlns:c16="http://schemas.microsoft.com/office/drawing/2014/chart" uri="{C3380CC4-5D6E-409C-BE32-E72D297353CC}">
              <c16:uniqueId val="{00000002-38D5-4F7C-A68D-049C7F3230D0}"/>
            </c:ext>
          </c:extLst>
        </c:ser>
        <c:dLbls>
          <c:showLegendKey val="0"/>
          <c:showVal val="0"/>
          <c:showCatName val="0"/>
          <c:showSerName val="0"/>
          <c:showPercent val="0"/>
          <c:showBubbleSize val="0"/>
        </c:dLbls>
        <c:marker val="1"/>
        <c:smooth val="0"/>
        <c:axId val="546376544"/>
        <c:axId val="546379168"/>
      </c:lineChart>
      <c:catAx>
        <c:axId val="546376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6379168"/>
        <c:crosses val="autoZero"/>
        <c:auto val="1"/>
        <c:lblAlgn val="ctr"/>
        <c:lblOffset val="100"/>
        <c:noMultiLvlLbl val="0"/>
      </c:catAx>
      <c:valAx>
        <c:axId val="546379168"/>
        <c:scaling>
          <c:orientation val="minMax"/>
        </c:scaling>
        <c:delete val="0"/>
        <c:axPos val="l"/>
        <c:numFmt formatCode="[&lt;=0]\ ;[&lt;0.005]\-;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6376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'scams and apps'!$X$25</c:f>
              <c:strCache>
                <c:ptCount val="1"/>
                <c:pt idx="0">
                  <c:v>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'scams and apps'!$Y$21:$AB$21</c:f>
              <c:strCache>
                <c:ptCount val="4"/>
                <c:pt idx="0">
                  <c:v>Within a capital city</c:v>
                </c:pt>
                <c:pt idx="1">
                  <c:v>Within a major Regional city</c:v>
                </c:pt>
                <c:pt idx="2">
                  <c:v>Within a rural town or its surrounds</c:v>
                </c:pt>
                <c:pt idx="3">
                  <c:v>More than 5km from the nearest town</c:v>
                </c:pt>
              </c:strCache>
              <c:extLst/>
            </c:strRef>
          </c:cat>
          <c:val>
            <c:numRef>
              <c:f>'scams and apps'!$Y$25:$AB$25</c:f>
              <c:numCache>
                <c:formatCode>[&lt;=0]\ ;[&lt;0.005]\-;0%</c:formatCode>
                <c:ptCount val="4"/>
                <c:pt idx="0">
                  <c:v>0.68341207086305</c:v>
                </c:pt>
                <c:pt idx="1">
                  <c:v>0.65817995579066302</c:v>
                </c:pt>
                <c:pt idx="2">
                  <c:v>0.53834400820416106</c:v>
                </c:pt>
                <c:pt idx="3">
                  <c:v>0.33809331600853998</c:v>
                </c:pt>
              </c:numCache>
            </c:numRef>
          </c:val>
          <c:extLst>
            <c:ext xmlns:c16="http://schemas.microsoft.com/office/drawing/2014/chart" uri="{C3380CC4-5D6E-409C-BE32-E72D297353CC}">
              <c16:uniqueId val="{00000000-F026-400F-867C-A758919AEF8E}"/>
            </c:ext>
          </c:extLst>
        </c:ser>
        <c:dLbls>
          <c:dLblPos val="inEnd"/>
          <c:showLegendKey val="0"/>
          <c:showVal val="1"/>
          <c:showCatName val="0"/>
          <c:showSerName val="0"/>
          <c:showPercent val="0"/>
          <c:showBubbleSize val="0"/>
        </c:dLbls>
        <c:gapWidth val="219"/>
        <c:axId val="692705648"/>
        <c:axId val="692702368"/>
        <c:extLst>
          <c:ext xmlns:c15="http://schemas.microsoft.com/office/drawing/2012/chart" uri="{02D57815-91ED-43cb-92C2-25804820EDAC}">
            <c15:filteredBarSeries>
              <c15:ser>
                <c:idx val="2"/>
                <c:order val="2"/>
                <c:tx>
                  <c:strRef>
                    <c:extLst>
                      <c:ext uri="{02D57815-91ED-43cb-92C2-25804820EDAC}">
                        <c15:formulaRef>
                          <c15:sqref>'scams and apps'!$X$27</c15:sqref>
                        </c15:formulaRef>
                      </c:ext>
                    </c:extLst>
                    <c:strCache>
                      <c:ptCount val="1"/>
                      <c:pt idx="0">
                        <c:v>Unsure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'scams and apps'!$Y$21:$AB$21</c15:sqref>
                        </c15:formulaRef>
                      </c:ext>
                    </c:extLst>
                    <c:strCache>
                      <c:ptCount val="4"/>
                      <c:pt idx="0">
                        <c:v>Within a capital city</c:v>
                      </c:pt>
                      <c:pt idx="1">
                        <c:v>Within a major Regional city</c:v>
                      </c:pt>
                      <c:pt idx="2">
                        <c:v>Within a rural town or its surrounds</c:v>
                      </c:pt>
                      <c:pt idx="3">
                        <c:v>More than 5km from the nearest town</c:v>
                      </c:pt>
                    </c:strCache>
                  </c:strRef>
                </c:cat>
                <c:val>
                  <c:numRef>
                    <c:extLst>
                      <c:ext uri="{02D57815-91ED-43cb-92C2-25804820EDAC}">
                        <c15:formulaRef>
                          <c15:sqref>'scams and apps'!$Y$27:$AB$27</c15:sqref>
                        </c15:formulaRef>
                      </c:ext>
                    </c:extLst>
                    <c:numCache>
                      <c:formatCode>[&lt;=0]\ ;[&lt;0.005]\-;0%</c:formatCode>
                      <c:ptCount val="4"/>
                      <c:pt idx="0">
                        <c:v>9.0352489317674006E-2</c:v>
                      </c:pt>
                      <c:pt idx="1">
                        <c:v>6.9021584442657005E-2</c:v>
                      </c:pt>
                      <c:pt idx="2">
                        <c:v>0.11804389674218101</c:v>
                      </c:pt>
                      <c:pt idx="3">
                        <c:v>0.237946192074076</c:v>
                      </c:pt>
                    </c:numCache>
                  </c:numRef>
                </c:val>
                <c:extLst>
                  <c:ext xmlns:c16="http://schemas.microsoft.com/office/drawing/2014/chart" uri="{C3380CC4-5D6E-409C-BE32-E72D297353CC}">
                    <c16:uniqueId val="{00000001-F026-400F-867C-A758919AEF8E}"/>
                  </c:ext>
                </c:extLst>
              </c15:ser>
            </c15:filteredBarSeries>
          </c:ext>
        </c:extLst>
      </c:barChart>
      <c:lineChart>
        <c:grouping val="standard"/>
        <c:varyColors val="0"/>
        <c:dLbls>
          <c:showLegendKey val="0"/>
          <c:showVal val="1"/>
          <c:showCatName val="0"/>
          <c:showSerName val="0"/>
          <c:showPercent val="0"/>
          <c:showBubbleSize val="0"/>
        </c:dLbls>
        <c:marker val="1"/>
        <c:smooth val="0"/>
        <c:axId val="692705648"/>
        <c:axId val="692702368"/>
        <c:extLst>
          <c:ext xmlns:c15="http://schemas.microsoft.com/office/drawing/2012/chart" uri="{02D57815-91ED-43cb-92C2-25804820EDAC}">
            <c15:filteredLineSeries>
              <c15:ser>
                <c:idx val="1"/>
                <c:order val="1"/>
                <c:tx>
                  <c:strRef>
                    <c:extLst>
                      <c:ext uri="{02D57815-91ED-43cb-92C2-25804820EDAC}">
                        <c15:formulaRef>
                          <c15:sqref>'scams and apps'!$X$26</c15:sqref>
                        </c15:formulaRef>
                      </c:ext>
                    </c:extLst>
                    <c:strCache>
                      <c:ptCount val="1"/>
                      <c:pt idx="0">
                        <c:v>Average Agree</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'scams and apps'!$Y$21:$AB$21</c15:sqref>
                        </c15:formulaRef>
                      </c:ext>
                    </c:extLst>
                    <c:strCache>
                      <c:ptCount val="4"/>
                      <c:pt idx="0">
                        <c:v>Within a capital city</c:v>
                      </c:pt>
                      <c:pt idx="1">
                        <c:v>Within a major Regional city</c:v>
                      </c:pt>
                      <c:pt idx="2">
                        <c:v>Within a rural town or its surrounds</c:v>
                      </c:pt>
                      <c:pt idx="3">
                        <c:v>More than 5km from the nearest town</c:v>
                      </c:pt>
                    </c:strCache>
                  </c:strRef>
                </c:cat>
                <c:val>
                  <c:numRef>
                    <c:extLst>
                      <c:ext uri="{02D57815-91ED-43cb-92C2-25804820EDAC}">
                        <c15:formulaRef>
                          <c15:sqref>'scams and apps'!$Y$26:$AB$26</c15:sqref>
                        </c15:formulaRef>
                      </c:ext>
                    </c:extLst>
                    <c:numCache>
                      <c:formatCode>[&lt;=0]\ ;[&lt;0.005]\-;0%</c:formatCode>
                      <c:ptCount val="4"/>
                      <c:pt idx="0">
                        <c:v>0.65</c:v>
                      </c:pt>
                      <c:pt idx="1">
                        <c:v>0.65</c:v>
                      </c:pt>
                      <c:pt idx="2">
                        <c:v>0.65</c:v>
                      </c:pt>
                      <c:pt idx="3">
                        <c:v>0.65</c:v>
                      </c:pt>
                    </c:numCache>
                  </c:numRef>
                </c:val>
                <c:smooth val="0"/>
                <c:extLst>
                  <c:ext xmlns:c16="http://schemas.microsoft.com/office/drawing/2014/chart" uri="{C3380CC4-5D6E-409C-BE32-E72D297353CC}">
                    <c16:uniqueId val="{00000002-F026-400F-867C-A758919AEF8E}"/>
                  </c:ext>
                </c:extLst>
              </c15:ser>
            </c15:filteredLineSeries>
          </c:ext>
        </c:extLst>
      </c:lineChart>
      <c:catAx>
        <c:axId val="692705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2702368"/>
        <c:crosses val="autoZero"/>
        <c:auto val="1"/>
        <c:lblAlgn val="ctr"/>
        <c:lblOffset val="100"/>
        <c:noMultiLvlLbl val="0"/>
      </c:catAx>
      <c:valAx>
        <c:axId val="692702368"/>
        <c:scaling>
          <c:orientation val="minMax"/>
        </c:scaling>
        <c:delete val="0"/>
        <c:axPos val="l"/>
        <c:numFmt formatCode="[&lt;=0]\ ;[&lt;0.005]\-;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27056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'Interop &amp; data porta'!$C$10</c:f>
              <c:strCache>
                <c:ptCount val="1"/>
                <c:pt idx="0">
                  <c:v>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'Interop &amp; data porta'!$D$6:$F$6</c:f>
              <c:strCache>
                <c:ptCount val="3"/>
                <c:pt idx="0">
                  <c:v>18 to 29</c:v>
                </c:pt>
                <c:pt idx="1">
                  <c:v>30 to 49</c:v>
                </c:pt>
                <c:pt idx="2">
                  <c:v>50+</c:v>
                </c:pt>
              </c:strCache>
              <c:extLst/>
            </c:strRef>
          </c:cat>
          <c:val>
            <c:numRef>
              <c:f>'Interop &amp; data porta'!$D$10:$F$10</c:f>
              <c:numCache>
                <c:formatCode>[&lt;=0]\ ;[&lt;0.005]\-;0%</c:formatCode>
                <c:ptCount val="3"/>
                <c:pt idx="0">
                  <c:v>0.69590343587522807</c:v>
                </c:pt>
                <c:pt idx="1">
                  <c:v>0.68132394982645406</c:v>
                </c:pt>
                <c:pt idx="2">
                  <c:v>0.38990954684117202</c:v>
                </c:pt>
              </c:numCache>
            </c:numRef>
          </c:val>
          <c:extLst>
            <c:ext xmlns:c16="http://schemas.microsoft.com/office/drawing/2014/chart" uri="{C3380CC4-5D6E-409C-BE32-E72D297353CC}">
              <c16:uniqueId val="{00000000-3664-467C-A0B0-8013D3D104DC}"/>
            </c:ext>
          </c:extLst>
        </c:ser>
        <c:dLbls>
          <c:dLblPos val="outEnd"/>
          <c:showLegendKey val="0"/>
          <c:showVal val="1"/>
          <c:showCatName val="0"/>
          <c:showSerName val="0"/>
          <c:showPercent val="0"/>
          <c:showBubbleSize val="0"/>
        </c:dLbls>
        <c:gapWidth val="219"/>
        <c:overlap val="-27"/>
        <c:axId val="709455976"/>
        <c:axId val="709456960"/>
      </c:barChart>
      <c:catAx>
        <c:axId val="709455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9456960"/>
        <c:crosses val="autoZero"/>
        <c:auto val="1"/>
        <c:lblAlgn val="ctr"/>
        <c:lblOffset val="100"/>
        <c:noMultiLvlLbl val="0"/>
      </c:catAx>
      <c:valAx>
        <c:axId val="709456960"/>
        <c:scaling>
          <c:orientation val="minMax"/>
        </c:scaling>
        <c:delete val="0"/>
        <c:axPos val="l"/>
        <c:numFmt formatCode="[&lt;=0]\ ;[&lt;0.005]\-;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94559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3"/>
          <c:order val="3"/>
          <c:tx>
            <c:strRef>
              <c:f>'Interop &amp; data porta'!$D$19</c:f>
              <c:strCache>
                <c:ptCount val="1"/>
                <c:pt idx="0">
                  <c:v>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'Interop &amp; data porta'!$E$15:$G$15</c:f>
              <c:strCache>
                <c:ptCount val="3"/>
                <c:pt idx="0">
                  <c:v>18 to 29</c:v>
                </c:pt>
                <c:pt idx="1">
                  <c:v>30 to 49</c:v>
                </c:pt>
                <c:pt idx="2">
                  <c:v>50+</c:v>
                </c:pt>
              </c:strCache>
            </c:strRef>
          </c:cat>
          <c:val>
            <c:numRef>
              <c:f>'Interop &amp; data porta'!$E$19:$G$19</c:f>
              <c:numCache>
                <c:formatCode>[&lt;=0]\ ;[&lt;0.005]\-;0%</c:formatCode>
                <c:ptCount val="3"/>
                <c:pt idx="0">
                  <c:v>0.60278457046752998</c:v>
                </c:pt>
                <c:pt idx="1">
                  <c:v>0.623925341114411</c:v>
                </c:pt>
                <c:pt idx="2">
                  <c:v>0.483496717938529</c:v>
                </c:pt>
              </c:numCache>
            </c:numRef>
          </c:val>
          <c:extLst>
            <c:ext xmlns:c16="http://schemas.microsoft.com/office/drawing/2014/chart" uri="{C3380CC4-5D6E-409C-BE32-E72D297353CC}">
              <c16:uniqueId val="{00000000-A559-4E11-ADC7-D05A9574FEB2}"/>
            </c:ext>
          </c:extLst>
        </c:ser>
        <c:dLbls>
          <c:dLblPos val="outEnd"/>
          <c:showLegendKey val="0"/>
          <c:showVal val="1"/>
          <c:showCatName val="0"/>
          <c:showSerName val="0"/>
          <c:showPercent val="0"/>
          <c:showBubbleSize val="0"/>
        </c:dLbls>
        <c:gapWidth val="219"/>
        <c:overlap val="-27"/>
        <c:axId val="504287240"/>
        <c:axId val="504287568"/>
        <c:extLst>
          <c:ext xmlns:c15="http://schemas.microsoft.com/office/drawing/2012/chart" uri="{02D57815-91ED-43cb-92C2-25804820EDAC}">
            <c15:filteredBarSeries>
              <c15:ser>
                <c:idx val="0"/>
                <c:order val="0"/>
                <c:tx>
                  <c:strRef>
                    <c:extLst>
                      <c:ext uri="{02D57815-91ED-43cb-92C2-25804820EDAC}">
                        <c15:formulaRef>
                          <c15:sqref>'Interop &amp; data porta'!$D$16</c15:sqref>
                        </c15:formulaRef>
                      </c:ext>
                    </c:extLst>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'Interop &amp; data porta'!$E$15:$G$15</c15:sqref>
                        </c15:formulaRef>
                      </c:ext>
                    </c:extLst>
                    <c:strCache>
                      <c:ptCount val="3"/>
                      <c:pt idx="0">
                        <c:v>18 to 29</c:v>
                      </c:pt>
                      <c:pt idx="1">
                        <c:v>30 to 49</c:v>
                      </c:pt>
                      <c:pt idx="2">
                        <c:v>50+</c:v>
                      </c:pt>
                    </c:strCache>
                  </c:strRef>
                </c:cat>
                <c:val>
                  <c:numRef>
                    <c:extLst>
                      <c:ext uri="{02D57815-91ED-43cb-92C2-25804820EDAC}">
                        <c15:formulaRef>
                          <c15:sqref>'Interop &amp; data porta'!$E$16:$G$16</c15:sqref>
                        </c15:formulaRef>
                      </c:ext>
                    </c:extLst>
                    <c:numCache>
                      <c:formatCode>[&lt;=0]\ ;[&lt;0.005]\-;0%</c:formatCode>
                      <c:ptCount val="3"/>
                      <c:pt idx="0">
                        <c:v>0.24574802544061899</c:v>
                      </c:pt>
                      <c:pt idx="1">
                        <c:v>0.24870860193014599</c:v>
                      </c:pt>
                      <c:pt idx="2">
                        <c:v>0.185672340708396</c:v>
                      </c:pt>
                    </c:numCache>
                  </c:numRef>
                </c:val>
                <c:extLst>
                  <c:ext xmlns:c16="http://schemas.microsoft.com/office/drawing/2014/chart" uri="{C3380CC4-5D6E-409C-BE32-E72D297353CC}">
                    <c16:uniqueId val="{00000002-A559-4E11-ADC7-D05A9574FEB2}"/>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'Interop &amp; data porta'!$D$17</c15:sqref>
                        </c15:formulaRef>
                      </c:ext>
                    </c:extLst>
                    <c:strCache>
                      <c:ptCount val="1"/>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'Interop &amp; data porta'!$E$15:$G$15</c15:sqref>
                        </c15:formulaRef>
                      </c:ext>
                    </c:extLst>
                    <c:strCache>
                      <c:ptCount val="3"/>
                      <c:pt idx="0">
                        <c:v>18 to 29</c:v>
                      </c:pt>
                      <c:pt idx="1">
                        <c:v>30 to 49</c:v>
                      </c:pt>
                      <c:pt idx="2">
                        <c:v>50+</c:v>
                      </c:pt>
                    </c:strCache>
                  </c:strRef>
                </c:cat>
                <c:val>
                  <c:numRef>
                    <c:extLst xmlns:c15="http://schemas.microsoft.com/office/drawing/2012/chart">
                      <c:ext xmlns:c15="http://schemas.microsoft.com/office/drawing/2012/chart" uri="{02D57815-91ED-43cb-92C2-25804820EDAC}">
                        <c15:formulaRef>
                          <c15:sqref>'Interop &amp; data porta'!$E$17:$G$17</c15:sqref>
                        </c15:formulaRef>
                      </c:ext>
                    </c:extLst>
                    <c:numCache>
                      <c:formatCode>[&lt;=0]\ ;[&lt;0.005]\-;0%</c:formatCode>
                      <c:ptCount val="3"/>
                      <c:pt idx="0">
                        <c:v>0.24896431190485099</c:v>
                      </c:pt>
                      <c:pt idx="1">
                        <c:v>0.22104162286558501</c:v>
                      </c:pt>
                      <c:pt idx="2">
                        <c:v>0.188801555629969</c:v>
                      </c:pt>
                    </c:numCache>
                  </c:numRef>
                </c:val>
                <c:extLst xmlns:c15="http://schemas.microsoft.com/office/drawing/2012/chart">
                  <c:ext xmlns:c16="http://schemas.microsoft.com/office/drawing/2014/chart" uri="{C3380CC4-5D6E-409C-BE32-E72D297353CC}">
                    <c16:uniqueId val="{00000003-A559-4E11-ADC7-D05A9574FEB2}"/>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'Interop &amp; data porta'!$D$18</c15:sqref>
                        </c15:formulaRef>
                      </c:ext>
                    </c:extLst>
                    <c:strCache>
                      <c:ptCount val="1"/>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'Interop &amp; data porta'!$E$15:$G$15</c15:sqref>
                        </c15:formulaRef>
                      </c:ext>
                    </c:extLst>
                    <c:strCache>
                      <c:ptCount val="3"/>
                      <c:pt idx="0">
                        <c:v>18 to 29</c:v>
                      </c:pt>
                      <c:pt idx="1">
                        <c:v>30 to 49</c:v>
                      </c:pt>
                      <c:pt idx="2">
                        <c:v>50+</c:v>
                      </c:pt>
                    </c:strCache>
                  </c:strRef>
                </c:cat>
                <c:val>
                  <c:numRef>
                    <c:extLst xmlns:c15="http://schemas.microsoft.com/office/drawing/2012/chart">
                      <c:ext xmlns:c15="http://schemas.microsoft.com/office/drawing/2012/chart" uri="{02D57815-91ED-43cb-92C2-25804820EDAC}">
                        <c15:formulaRef>
                          <c15:sqref>'Interop &amp; data porta'!$E$18:$G$18</c15:sqref>
                        </c15:formulaRef>
                      </c:ext>
                    </c:extLst>
                    <c:numCache>
                      <c:formatCode>[&lt;=0]\ ;[&lt;0.005]\-;0%</c:formatCode>
                      <c:ptCount val="3"/>
                      <c:pt idx="0">
                        <c:v>0.10807223312206</c:v>
                      </c:pt>
                      <c:pt idx="1">
                        <c:v>0.15417511631868</c:v>
                      </c:pt>
                      <c:pt idx="2">
                        <c:v>0.10902282160016399</c:v>
                      </c:pt>
                    </c:numCache>
                  </c:numRef>
                </c:val>
                <c:extLst xmlns:c15="http://schemas.microsoft.com/office/drawing/2012/chart">
                  <c:ext xmlns:c16="http://schemas.microsoft.com/office/drawing/2014/chart" uri="{C3380CC4-5D6E-409C-BE32-E72D297353CC}">
                    <c16:uniqueId val="{00000004-A559-4E11-ADC7-D05A9574FEB2}"/>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'Interop &amp; data porta'!$D$20</c15:sqref>
                        </c15:formulaRef>
                      </c:ext>
                    </c:extLst>
                    <c:strCache>
                      <c:ptCount val="1"/>
                      <c:pt idx="0">
                        <c:v>av</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'Interop &amp; data porta'!$E$15:$G$15</c15:sqref>
                        </c15:formulaRef>
                      </c:ext>
                    </c:extLst>
                    <c:strCache>
                      <c:ptCount val="3"/>
                      <c:pt idx="0">
                        <c:v>18 to 29</c:v>
                      </c:pt>
                      <c:pt idx="1">
                        <c:v>30 to 49</c:v>
                      </c:pt>
                      <c:pt idx="2">
                        <c:v>50+</c:v>
                      </c:pt>
                    </c:strCache>
                  </c:strRef>
                </c:cat>
                <c:val>
                  <c:numRef>
                    <c:extLst xmlns:c15="http://schemas.microsoft.com/office/drawing/2012/chart">
                      <c:ext xmlns:c15="http://schemas.microsoft.com/office/drawing/2012/chart" uri="{02D57815-91ED-43cb-92C2-25804820EDAC}">
                        <c15:formulaRef>
                          <c15:sqref>'Interop &amp; data porta'!$E$20:$G$20</c15:sqref>
                        </c15:formulaRef>
                      </c:ext>
                    </c:extLst>
                    <c:numCache>
                      <c:formatCode>[&lt;=0]\ ;[&lt;0.005]\-;0%</c:formatCode>
                      <c:ptCount val="3"/>
                      <c:pt idx="0">
                        <c:v>0.55000000000000004</c:v>
                      </c:pt>
                      <c:pt idx="1">
                        <c:v>0.55000000000000004</c:v>
                      </c:pt>
                      <c:pt idx="2">
                        <c:v>0.55000000000000004</c:v>
                      </c:pt>
                    </c:numCache>
                  </c:numRef>
                </c:val>
                <c:extLst xmlns:c15="http://schemas.microsoft.com/office/drawing/2012/chart">
                  <c:ext xmlns:c16="http://schemas.microsoft.com/office/drawing/2014/chart" uri="{C3380CC4-5D6E-409C-BE32-E72D297353CC}">
                    <c16:uniqueId val="{00000005-A559-4E11-ADC7-D05A9574FEB2}"/>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'Interop &amp; data porta'!$D$21</c15:sqref>
                        </c15:formulaRef>
                      </c:ext>
                    </c:extLst>
                    <c:strCache>
                      <c:ptCount val="1"/>
                      <c:pt idx="0">
                        <c:v>Unsure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'Interop &amp; data porta'!$E$15:$G$15</c15:sqref>
                        </c15:formulaRef>
                      </c:ext>
                    </c:extLst>
                    <c:strCache>
                      <c:ptCount val="3"/>
                      <c:pt idx="0">
                        <c:v>18 to 29</c:v>
                      </c:pt>
                      <c:pt idx="1">
                        <c:v>30 to 49</c:v>
                      </c:pt>
                      <c:pt idx="2">
                        <c:v>50+</c:v>
                      </c:pt>
                    </c:strCache>
                  </c:strRef>
                </c:cat>
                <c:val>
                  <c:numRef>
                    <c:extLst xmlns:c15="http://schemas.microsoft.com/office/drawing/2012/chart">
                      <c:ext xmlns:c15="http://schemas.microsoft.com/office/drawing/2012/chart" uri="{02D57815-91ED-43cb-92C2-25804820EDAC}">
                        <c15:formulaRef>
                          <c15:sqref>'Interop &amp; data porta'!$E$21:$G$21</c15:sqref>
                        </c15:formulaRef>
                      </c:ext>
                    </c:extLst>
                    <c:numCache>
                      <c:formatCode>[&lt;=0]\ ;[&lt;0.005]\-;0%</c:formatCode>
                      <c:ptCount val="3"/>
                      <c:pt idx="0">
                        <c:v>8.2788946678886005E-2</c:v>
                      </c:pt>
                      <c:pt idx="1">
                        <c:v>0.141838519406258</c:v>
                      </c:pt>
                      <c:pt idx="2">
                        <c:v>0.32632300857145502</c:v>
                      </c:pt>
                    </c:numCache>
                  </c:numRef>
                </c:val>
                <c:extLst xmlns:c15="http://schemas.microsoft.com/office/drawing/2012/chart">
                  <c:ext xmlns:c16="http://schemas.microsoft.com/office/drawing/2014/chart" uri="{C3380CC4-5D6E-409C-BE32-E72D297353CC}">
                    <c16:uniqueId val="{00000001-A559-4E11-ADC7-D05A9574FEB2}"/>
                  </c:ext>
                </c:extLst>
              </c15:ser>
            </c15:filteredBarSeries>
          </c:ext>
        </c:extLst>
      </c:barChart>
      <c:catAx>
        <c:axId val="504287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287568"/>
        <c:crosses val="autoZero"/>
        <c:auto val="1"/>
        <c:lblAlgn val="ctr"/>
        <c:lblOffset val="100"/>
        <c:noMultiLvlLbl val="0"/>
      </c:catAx>
      <c:valAx>
        <c:axId val="504287568"/>
        <c:scaling>
          <c:orientation val="minMax"/>
        </c:scaling>
        <c:delete val="0"/>
        <c:axPos val="l"/>
        <c:numFmt formatCode="[&lt;=0]\ ;[&lt;0.005]\-;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287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3"/>
          <c:order val="3"/>
          <c:tx>
            <c:strRef>
              <c:f>'Interop &amp; data porta'!$T$19</c:f>
              <c:strCache>
                <c:ptCount val="1"/>
                <c:pt idx="0">
                  <c:v>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'Interop &amp; data porta'!$U$15:$X$15</c:f>
              <c:strCache>
                <c:ptCount val="4"/>
                <c:pt idx="0">
                  <c:v>Within a capital city</c:v>
                </c:pt>
                <c:pt idx="1">
                  <c:v>Within a major Regional city</c:v>
                </c:pt>
                <c:pt idx="2">
                  <c:v>Within a rural town or its surrounds</c:v>
                </c:pt>
                <c:pt idx="3">
                  <c:v>More than 5km from the nearest town</c:v>
                </c:pt>
              </c:strCache>
            </c:strRef>
          </c:cat>
          <c:val>
            <c:numRef>
              <c:f>'Interop &amp; data porta'!$U$19:$X$19</c:f>
              <c:numCache>
                <c:formatCode>[&lt;=0]\ ;[&lt;0.005]\-;0%</c:formatCode>
                <c:ptCount val="4"/>
                <c:pt idx="0">
                  <c:v>0.55482837875072</c:v>
                </c:pt>
                <c:pt idx="1">
                  <c:v>0.55390806823169703</c:v>
                </c:pt>
                <c:pt idx="2">
                  <c:v>0.58417651140404103</c:v>
                </c:pt>
                <c:pt idx="3">
                  <c:v>0.60742487158028002</c:v>
                </c:pt>
              </c:numCache>
            </c:numRef>
          </c:val>
          <c:extLst>
            <c:ext xmlns:c16="http://schemas.microsoft.com/office/drawing/2014/chart" uri="{C3380CC4-5D6E-409C-BE32-E72D297353CC}">
              <c16:uniqueId val="{00000000-0186-4E04-88FE-6FCD03CA2958}"/>
            </c:ext>
          </c:extLst>
        </c:ser>
        <c:dLbls>
          <c:dLblPos val="outEnd"/>
          <c:showLegendKey val="0"/>
          <c:showVal val="1"/>
          <c:showCatName val="0"/>
          <c:showSerName val="0"/>
          <c:showPercent val="0"/>
          <c:showBubbleSize val="0"/>
        </c:dLbls>
        <c:gapWidth val="219"/>
        <c:axId val="695443168"/>
        <c:axId val="695444808"/>
        <c:extLst>
          <c:ext xmlns:c15="http://schemas.microsoft.com/office/drawing/2012/chart" uri="{02D57815-91ED-43cb-92C2-25804820EDAC}">
            <c15:filteredBarSeries>
              <c15:ser>
                <c:idx val="0"/>
                <c:order val="0"/>
                <c:tx>
                  <c:strRef>
                    <c:extLst>
                      <c:ext uri="{02D57815-91ED-43cb-92C2-25804820EDAC}">
                        <c15:formulaRef>
                          <c15:sqref>'Interop &amp; data porta'!$T$16</c15:sqref>
                        </c15:formulaRef>
                      </c:ext>
                    </c:extLst>
                    <c:strCache>
                      <c:ptCount val="1"/>
                    </c:strCache>
                  </c:strRef>
                </c:tx>
                <c:spPr>
                  <a:solidFill>
                    <a:schemeClr val="accent1">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'Interop &amp; data porta'!$U$15:$X$15</c15:sqref>
                        </c15:formulaRef>
                      </c:ext>
                    </c:extLst>
                    <c:strCache>
                      <c:ptCount val="4"/>
                      <c:pt idx="0">
                        <c:v>Within a capital city</c:v>
                      </c:pt>
                      <c:pt idx="1">
                        <c:v>Within a major Regional city</c:v>
                      </c:pt>
                      <c:pt idx="2">
                        <c:v>Within a rural town or its surrounds</c:v>
                      </c:pt>
                      <c:pt idx="3">
                        <c:v>More than 5km from the nearest town</c:v>
                      </c:pt>
                    </c:strCache>
                  </c:strRef>
                </c:cat>
                <c:val>
                  <c:numRef>
                    <c:extLst>
                      <c:ext uri="{02D57815-91ED-43cb-92C2-25804820EDAC}">
                        <c15:formulaRef>
                          <c15:sqref>'Interop &amp; data porta'!$U$16:$X$16</c15:sqref>
                        </c15:formulaRef>
                      </c:ext>
                    </c:extLst>
                    <c:numCache>
                      <c:formatCode>[&lt;=0]\ ;[&lt;0.005]\-;0%</c:formatCode>
                      <c:ptCount val="4"/>
                      <c:pt idx="0">
                        <c:v>0.216374536207909</c:v>
                      </c:pt>
                      <c:pt idx="1">
                        <c:v>0.22691859631604699</c:v>
                      </c:pt>
                      <c:pt idx="2">
                        <c:v>0.245641964255432</c:v>
                      </c:pt>
                      <c:pt idx="3">
                        <c:v>0.138908290403117</c:v>
                      </c:pt>
                    </c:numCache>
                  </c:numRef>
                </c:val>
                <c:extLst>
                  <c:ext xmlns:c16="http://schemas.microsoft.com/office/drawing/2014/chart" uri="{C3380CC4-5D6E-409C-BE32-E72D297353CC}">
                    <c16:uniqueId val="{00000001-0186-4E04-88FE-6FCD03CA2958}"/>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'Interop &amp; data porta'!$T$17</c15:sqref>
                        </c15:formulaRef>
                      </c:ext>
                    </c:extLst>
                    <c:strCache>
                      <c:ptCount val="1"/>
                    </c:strCache>
                  </c:strRef>
                </c:tx>
                <c:spPr>
                  <a:solidFill>
                    <a:schemeClr val="accent1">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'Interop &amp; data porta'!$U$15:$X$15</c15:sqref>
                        </c15:formulaRef>
                      </c:ext>
                    </c:extLst>
                    <c:strCache>
                      <c:ptCount val="4"/>
                      <c:pt idx="0">
                        <c:v>Within a capital city</c:v>
                      </c:pt>
                      <c:pt idx="1">
                        <c:v>Within a major Regional city</c:v>
                      </c:pt>
                      <c:pt idx="2">
                        <c:v>Within a rural town or its surrounds</c:v>
                      </c:pt>
                      <c:pt idx="3">
                        <c:v>More than 5km from the nearest town</c:v>
                      </c:pt>
                    </c:strCache>
                  </c:strRef>
                </c:cat>
                <c:val>
                  <c:numRef>
                    <c:extLst xmlns:c15="http://schemas.microsoft.com/office/drawing/2012/chart">
                      <c:ext xmlns:c15="http://schemas.microsoft.com/office/drawing/2012/chart" uri="{02D57815-91ED-43cb-92C2-25804820EDAC}">
                        <c15:formulaRef>
                          <c15:sqref>'Interop &amp; data porta'!$U$17:$X$17</c15:sqref>
                        </c15:formulaRef>
                      </c:ext>
                    </c:extLst>
                    <c:numCache>
                      <c:formatCode>[&lt;=0]\ ;[&lt;0.005]\-;0%</c:formatCode>
                      <c:ptCount val="4"/>
                      <c:pt idx="0">
                        <c:v>0.20574715924422601</c:v>
                      </c:pt>
                      <c:pt idx="1">
                        <c:v>0.21779230730708601</c:v>
                      </c:pt>
                      <c:pt idx="2">
                        <c:v>0.22438027561965601</c:v>
                      </c:pt>
                      <c:pt idx="3">
                        <c:v>0.31096616939537902</c:v>
                      </c:pt>
                    </c:numCache>
                  </c:numRef>
                </c:val>
                <c:extLst xmlns:c15="http://schemas.microsoft.com/office/drawing/2012/chart">
                  <c:ext xmlns:c16="http://schemas.microsoft.com/office/drawing/2014/chart" uri="{C3380CC4-5D6E-409C-BE32-E72D297353CC}">
                    <c16:uniqueId val="{00000002-0186-4E04-88FE-6FCD03CA2958}"/>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'Interop &amp; data porta'!$T$18</c15:sqref>
                        </c15:formulaRef>
                      </c:ext>
                    </c:extLst>
                    <c:strCache>
                      <c:ptCount val="1"/>
                    </c:strCache>
                  </c:strRef>
                </c:tx>
                <c:spPr>
                  <a:solidFill>
                    <a:schemeClr val="accent1">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'Interop &amp; data porta'!$U$15:$X$15</c15:sqref>
                        </c15:formulaRef>
                      </c:ext>
                    </c:extLst>
                    <c:strCache>
                      <c:ptCount val="4"/>
                      <c:pt idx="0">
                        <c:v>Within a capital city</c:v>
                      </c:pt>
                      <c:pt idx="1">
                        <c:v>Within a major Regional city</c:v>
                      </c:pt>
                      <c:pt idx="2">
                        <c:v>Within a rural town or its surrounds</c:v>
                      </c:pt>
                      <c:pt idx="3">
                        <c:v>More than 5km from the nearest town</c:v>
                      </c:pt>
                    </c:strCache>
                  </c:strRef>
                </c:cat>
                <c:val>
                  <c:numRef>
                    <c:extLst xmlns:c15="http://schemas.microsoft.com/office/drawing/2012/chart">
                      <c:ext xmlns:c15="http://schemas.microsoft.com/office/drawing/2012/chart" uri="{02D57815-91ED-43cb-92C2-25804820EDAC}">
                        <c15:formulaRef>
                          <c15:sqref>'Interop &amp; data porta'!$U$18:$X$18</c15:sqref>
                        </c15:formulaRef>
                      </c:ext>
                    </c:extLst>
                    <c:numCache>
                      <c:formatCode>[&lt;=0]\ ;[&lt;0.005]\-;0%</c:formatCode>
                      <c:ptCount val="4"/>
                      <c:pt idx="0">
                        <c:v>0.13270668329858501</c:v>
                      </c:pt>
                      <c:pt idx="1">
                        <c:v>0.109197164608564</c:v>
                      </c:pt>
                      <c:pt idx="2">
                        <c:v>0.11415427152895299</c:v>
                      </c:pt>
                      <c:pt idx="3">
                        <c:v>0.157550411781784</c:v>
                      </c:pt>
                    </c:numCache>
                  </c:numRef>
                </c:val>
                <c:extLst xmlns:c15="http://schemas.microsoft.com/office/drawing/2012/chart">
                  <c:ext xmlns:c16="http://schemas.microsoft.com/office/drawing/2014/chart" uri="{C3380CC4-5D6E-409C-BE32-E72D297353CC}">
                    <c16:uniqueId val="{00000003-0186-4E04-88FE-6FCD03CA2958}"/>
                  </c:ext>
                </c:extLst>
              </c15:ser>
            </c15:filteredBarSeries>
          </c:ext>
        </c:extLst>
      </c:barChart>
      <c:catAx>
        <c:axId val="695443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5444808"/>
        <c:crosses val="autoZero"/>
        <c:auto val="1"/>
        <c:lblAlgn val="ctr"/>
        <c:lblOffset val="100"/>
        <c:noMultiLvlLbl val="0"/>
      </c:catAx>
      <c:valAx>
        <c:axId val="695444808"/>
        <c:scaling>
          <c:orientation val="minMax"/>
        </c:scaling>
        <c:delete val="0"/>
        <c:axPos val="l"/>
        <c:numFmt formatCode="[&lt;=0]\ ;[&lt;0.005]\-;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5443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3"/>
          <c:order val="3"/>
          <c:tx>
            <c:strRef>
              <c:f>'Interop &amp; data porta'!$T$28</c:f>
              <c:strCache>
                <c:ptCount val="1"/>
                <c:pt idx="0">
                  <c:v>Agree</c:v>
                </c:pt>
              </c:strCache>
            </c:strRef>
          </c:tx>
          <c:spPr>
            <a:solidFill>
              <a:schemeClr val="accent1">
                <a:tint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'Interop &amp; data porta'!$U$24:$X$24</c:f>
              <c:strCache>
                <c:ptCount val="4"/>
                <c:pt idx="0">
                  <c:v>Within a capital city</c:v>
                </c:pt>
                <c:pt idx="1">
                  <c:v>Within a major Regional city</c:v>
                </c:pt>
                <c:pt idx="2">
                  <c:v>Within a rural town or its surrounds</c:v>
                </c:pt>
                <c:pt idx="3">
                  <c:v>More than 5km from the nearest town</c:v>
                </c:pt>
              </c:strCache>
            </c:strRef>
          </c:cat>
          <c:val>
            <c:numRef>
              <c:f>'Interop &amp; data porta'!$U$28:$X$28</c:f>
              <c:numCache>
                <c:formatCode>[&lt;=0]\ ;[&lt;0.005]\-;0%</c:formatCode>
                <c:ptCount val="4"/>
                <c:pt idx="0">
                  <c:v>0.67008282828116006</c:v>
                </c:pt>
                <c:pt idx="1">
                  <c:v>0.64657956075193301</c:v>
                </c:pt>
                <c:pt idx="2">
                  <c:v>0.70481115285667395</c:v>
                </c:pt>
                <c:pt idx="3">
                  <c:v>0.737316503946854</c:v>
                </c:pt>
              </c:numCache>
            </c:numRef>
          </c:val>
          <c:extLst>
            <c:ext xmlns:c16="http://schemas.microsoft.com/office/drawing/2014/chart" uri="{C3380CC4-5D6E-409C-BE32-E72D297353CC}">
              <c16:uniqueId val="{00000000-0961-4F91-BE05-B9A04507AECB}"/>
            </c:ext>
          </c:extLst>
        </c:ser>
        <c:dLbls>
          <c:dLblPos val="outEnd"/>
          <c:showLegendKey val="0"/>
          <c:showVal val="1"/>
          <c:showCatName val="0"/>
          <c:showSerName val="0"/>
          <c:showPercent val="0"/>
          <c:showBubbleSize val="0"/>
        </c:dLbls>
        <c:gapWidth val="219"/>
        <c:axId val="541263032"/>
        <c:axId val="541263360"/>
        <c:extLst>
          <c:ext xmlns:c15="http://schemas.microsoft.com/office/drawing/2012/chart" uri="{02D57815-91ED-43cb-92C2-25804820EDAC}">
            <c15:filteredBarSeries>
              <c15:ser>
                <c:idx val="0"/>
                <c:order val="0"/>
                <c:tx>
                  <c:strRef>
                    <c:extLst>
                      <c:ext uri="{02D57815-91ED-43cb-92C2-25804820EDAC}">
                        <c15:formulaRef>
                          <c15:sqref>'Interop &amp; data porta'!$T$25</c15:sqref>
                        </c15:formulaRef>
                      </c:ext>
                    </c:extLst>
                    <c:strCache>
                      <c:ptCount val="1"/>
                    </c:strCache>
                  </c:strRef>
                </c:tx>
                <c:spPr>
                  <a:solidFill>
                    <a:schemeClr val="accent1">
                      <a:shade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'Interop &amp; data porta'!$U$24:$X$24</c15:sqref>
                        </c15:formulaRef>
                      </c:ext>
                    </c:extLst>
                    <c:strCache>
                      <c:ptCount val="4"/>
                      <c:pt idx="0">
                        <c:v>Within a capital city</c:v>
                      </c:pt>
                      <c:pt idx="1">
                        <c:v>Within a major Regional city</c:v>
                      </c:pt>
                      <c:pt idx="2">
                        <c:v>Within a rural town or its surrounds</c:v>
                      </c:pt>
                      <c:pt idx="3">
                        <c:v>More than 5km from the nearest town</c:v>
                      </c:pt>
                    </c:strCache>
                  </c:strRef>
                </c:cat>
                <c:val>
                  <c:numRef>
                    <c:extLst>
                      <c:ext uri="{02D57815-91ED-43cb-92C2-25804820EDAC}">
                        <c15:formulaRef>
                          <c15:sqref>'Interop &amp; data porta'!$U$25:$X$25</c15:sqref>
                        </c15:formulaRef>
                      </c:ext>
                    </c:extLst>
                    <c:numCache>
                      <c:formatCode>[&lt;=0]\ ;[&lt;0.005]\-;0%</c:formatCode>
                      <c:ptCount val="4"/>
                      <c:pt idx="0">
                        <c:v>0.20314221505024599</c:v>
                      </c:pt>
                      <c:pt idx="1">
                        <c:v>0.24648886695143199</c:v>
                      </c:pt>
                      <c:pt idx="2">
                        <c:v>0.27090937472437099</c:v>
                      </c:pt>
                      <c:pt idx="3">
                        <c:v>0.14065984610107099</c:v>
                      </c:pt>
                    </c:numCache>
                  </c:numRef>
                </c:val>
                <c:extLst>
                  <c:ext xmlns:c16="http://schemas.microsoft.com/office/drawing/2014/chart" uri="{C3380CC4-5D6E-409C-BE32-E72D297353CC}">
                    <c16:uniqueId val="{00000002-0961-4F91-BE05-B9A04507AECB}"/>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'Interop &amp; data porta'!$T$26</c15:sqref>
                        </c15:formulaRef>
                      </c:ext>
                    </c:extLst>
                    <c:strCache>
                      <c:ptCount val="1"/>
                    </c:strCache>
                  </c:strRef>
                </c:tx>
                <c:spPr>
                  <a:solidFill>
                    <a:schemeClr val="accent1">
                      <a:shade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'Interop &amp; data porta'!$U$24:$X$24</c15:sqref>
                        </c15:formulaRef>
                      </c:ext>
                    </c:extLst>
                    <c:strCache>
                      <c:ptCount val="4"/>
                      <c:pt idx="0">
                        <c:v>Within a capital city</c:v>
                      </c:pt>
                      <c:pt idx="1">
                        <c:v>Within a major Regional city</c:v>
                      </c:pt>
                      <c:pt idx="2">
                        <c:v>Within a rural town or its surrounds</c:v>
                      </c:pt>
                      <c:pt idx="3">
                        <c:v>More than 5km from the nearest town</c:v>
                      </c:pt>
                    </c:strCache>
                  </c:strRef>
                </c:cat>
                <c:val>
                  <c:numRef>
                    <c:extLst xmlns:c15="http://schemas.microsoft.com/office/drawing/2012/chart">
                      <c:ext xmlns:c15="http://schemas.microsoft.com/office/drawing/2012/chart" uri="{02D57815-91ED-43cb-92C2-25804820EDAC}">
                        <c15:formulaRef>
                          <c15:sqref>'Interop &amp; data porta'!$U$26:$X$26</c15:sqref>
                        </c15:formulaRef>
                      </c:ext>
                    </c:extLst>
                    <c:numCache>
                      <c:formatCode>[&lt;=0]\ ;[&lt;0.005]\-;0%</c:formatCode>
                      <c:ptCount val="4"/>
                      <c:pt idx="0">
                        <c:v>0.31959563565638799</c:v>
                      </c:pt>
                      <c:pt idx="1">
                        <c:v>0.22094148750078599</c:v>
                      </c:pt>
                      <c:pt idx="2">
                        <c:v>0.32772013000717398</c:v>
                      </c:pt>
                      <c:pt idx="3">
                        <c:v>0.40700527860887598</c:v>
                      </c:pt>
                    </c:numCache>
                  </c:numRef>
                </c:val>
                <c:extLst xmlns:c15="http://schemas.microsoft.com/office/drawing/2012/chart">
                  <c:ext xmlns:c16="http://schemas.microsoft.com/office/drawing/2014/chart" uri="{C3380CC4-5D6E-409C-BE32-E72D297353CC}">
                    <c16:uniqueId val="{00000003-0961-4F91-BE05-B9A04507AECB}"/>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'Interop &amp; data porta'!$T$27</c15:sqref>
                        </c15:formulaRef>
                      </c:ext>
                    </c:extLst>
                    <c:strCache>
                      <c:ptCount val="1"/>
                    </c:strCache>
                  </c:strRef>
                </c:tx>
                <c:spPr>
                  <a:solidFill>
                    <a:schemeClr val="accent1">
                      <a:shade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'Interop &amp; data porta'!$U$24:$X$24</c15:sqref>
                        </c15:formulaRef>
                      </c:ext>
                    </c:extLst>
                    <c:strCache>
                      <c:ptCount val="4"/>
                      <c:pt idx="0">
                        <c:v>Within a capital city</c:v>
                      </c:pt>
                      <c:pt idx="1">
                        <c:v>Within a major Regional city</c:v>
                      </c:pt>
                      <c:pt idx="2">
                        <c:v>Within a rural town or its surrounds</c:v>
                      </c:pt>
                      <c:pt idx="3">
                        <c:v>More than 5km from the nearest town</c:v>
                      </c:pt>
                    </c:strCache>
                  </c:strRef>
                </c:cat>
                <c:val>
                  <c:numRef>
                    <c:extLst xmlns:c15="http://schemas.microsoft.com/office/drawing/2012/chart">
                      <c:ext xmlns:c15="http://schemas.microsoft.com/office/drawing/2012/chart" uri="{02D57815-91ED-43cb-92C2-25804820EDAC}">
                        <c15:formulaRef>
                          <c15:sqref>'Interop &amp; data porta'!$U$27:$X$27</c15:sqref>
                        </c15:formulaRef>
                      </c:ext>
                    </c:extLst>
                    <c:numCache>
                      <c:formatCode>[&lt;=0]\ ;[&lt;0.005]\-;0%</c:formatCode>
                      <c:ptCount val="4"/>
                      <c:pt idx="0">
                        <c:v>0.147344977574526</c:v>
                      </c:pt>
                      <c:pt idx="1">
                        <c:v>0.17914920629971501</c:v>
                      </c:pt>
                      <c:pt idx="2">
                        <c:v>0.10618164812512899</c:v>
                      </c:pt>
                      <c:pt idx="3">
                        <c:v>0.189651379236907</c:v>
                      </c:pt>
                    </c:numCache>
                  </c:numRef>
                </c:val>
                <c:extLst xmlns:c15="http://schemas.microsoft.com/office/drawing/2012/chart">
                  <c:ext xmlns:c16="http://schemas.microsoft.com/office/drawing/2014/chart" uri="{C3380CC4-5D6E-409C-BE32-E72D297353CC}">
                    <c16:uniqueId val="{00000004-0961-4F91-BE05-B9A04507AECB}"/>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'Interop &amp; data porta'!$T$29</c15:sqref>
                        </c15:formulaRef>
                      </c:ext>
                    </c:extLst>
                    <c:strCache>
                      <c:ptCount val="1"/>
                      <c:pt idx="0">
                        <c:v>Average</c:v>
                      </c:pt>
                    </c:strCache>
                  </c:strRef>
                </c:tx>
                <c:spPr>
                  <a:solidFill>
                    <a:schemeClr val="accent1">
                      <a:tint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'Interop &amp; data porta'!$U$24:$X$24</c15:sqref>
                        </c15:formulaRef>
                      </c:ext>
                    </c:extLst>
                    <c:strCache>
                      <c:ptCount val="4"/>
                      <c:pt idx="0">
                        <c:v>Within a capital city</c:v>
                      </c:pt>
                      <c:pt idx="1">
                        <c:v>Within a major Regional city</c:v>
                      </c:pt>
                      <c:pt idx="2">
                        <c:v>Within a rural town or its surrounds</c:v>
                      </c:pt>
                      <c:pt idx="3">
                        <c:v>More than 5km from the nearest town</c:v>
                      </c:pt>
                    </c:strCache>
                  </c:strRef>
                </c:cat>
                <c:val>
                  <c:numRef>
                    <c:extLst xmlns:c15="http://schemas.microsoft.com/office/drawing/2012/chart">
                      <c:ext xmlns:c15="http://schemas.microsoft.com/office/drawing/2012/chart" uri="{02D57815-91ED-43cb-92C2-25804820EDAC}">
                        <c15:formulaRef>
                          <c15:sqref>'Interop &amp; data porta'!$U$29:$X$29</c15:sqref>
                        </c15:formulaRef>
                      </c:ext>
                    </c:extLst>
                    <c:numCache>
                      <c:formatCode>[&lt;=0]\ ;[&lt;0.005]\-;0%</c:formatCode>
                      <c:ptCount val="4"/>
                      <c:pt idx="0">
                        <c:v>0.67</c:v>
                      </c:pt>
                      <c:pt idx="1">
                        <c:v>0.67</c:v>
                      </c:pt>
                      <c:pt idx="2">
                        <c:v>0.67</c:v>
                      </c:pt>
                      <c:pt idx="3">
                        <c:v>0.67</c:v>
                      </c:pt>
                    </c:numCache>
                  </c:numRef>
                </c:val>
                <c:extLst xmlns:c15="http://schemas.microsoft.com/office/drawing/2012/chart">
                  <c:ext xmlns:c16="http://schemas.microsoft.com/office/drawing/2014/chart" uri="{C3380CC4-5D6E-409C-BE32-E72D297353CC}">
                    <c16:uniqueId val="{00000005-0961-4F91-BE05-B9A04507AECB}"/>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'Interop &amp; data porta'!$T$30</c15:sqref>
                        </c15:formulaRef>
                      </c:ext>
                    </c:extLst>
                    <c:strCache>
                      <c:ptCount val="1"/>
                      <c:pt idx="0">
                        <c:v>Unsure</c:v>
                      </c:pt>
                    </c:strCache>
                  </c:strRef>
                </c:tx>
                <c:spPr>
                  <a:solidFill>
                    <a:schemeClr val="accent1">
                      <a:tint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'Interop &amp; data porta'!$U$24:$X$24</c15:sqref>
                        </c15:formulaRef>
                      </c:ext>
                    </c:extLst>
                    <c:strCache>
                      <c:ptCount val="4"/>
                      <c:pt idx="0">
                        <c:v>Within a capital city</c:v>
                      </c:pt>
                      <c:pt idx="1">
                        <c:v>Within a major Regional city</c:v>
                      </c:pt>
                      <c:pt idx="2">
                        <c:v>Within a rural town or its surrounds</c:v>
                      </c:pt>
                      <c:pt idx="3">
                        <c:v>More than 5km from the nearest town</c:v>
                      </c:pt>
                    </c:strCache>
                  </c:strRef>
                </c:cat>
                <c:val>
                  <c:numRef>
                    <c:extLst xmlns:c15="http://schemas.microsoft.com/office/drawing/2012/chart">
                      <c:ext xmlns:c15="http://schemas.microsoft.com/office/drawing/2012/chart" uri="{02D57815-91ED-43cb-92C2-25804820EDAC}">
                        <c15:formulaRef>
                          <c15:sqref>'Interop &amp; data porta'!$U$30:$X$30</c15:sqref>
                        </c15:formulaRef>
                      </c:ext>
                    </c:extLst>
                    <c:numCache>
                      <c:formatCode>[&lt;=0]\ ;[&lt;0.005]\-;0%</c:formatCode>
                      <c:ptCount val="4"/>
                      <c:pt idx="0">
                        <c:v>9.6533728421428003E-2</c:v>
                      </c:pt>
                      <c:pt idx="1">
                        <c:v>0.12591309696036199</c:v>
                      </c:pt>
                      <c:pt idx="2">
                        <c:v>0.128707168158638</c:v>
                      </c:pt>
                      <c:pt idx="3">
                        <c:v>4.5293563577160002E-2</c:v>
                      </c:pt>
                    </c:numCache>
                  </c:numRef>
                </c:val>
                <c:extLst xmlns:c15="http://schemas.microsoft.com/office/drawing/2012/chart">
                  <c:ext xmlns:c16="http://schemas.microsoft.com/office/drawing/2014/chart" uri="{C3380CC4-5D6E-409C-BE32-E72D297353CC}">
                    <c16:uniqueId val="{00000001-0961-4F91-BE05-B9A04507AECB}"/>
                  </c:ext>
                </c:extLst>
              </c15:ser>
            </c15:filteredBarSeries>
          </c:ext>
        </c:extLst>
      </c:barChart>
      <c:catAx>
        <c:axId val="541263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1263360"/>
        <c:crosses val="autoZero"/>
        <c:auto val="1"/>
        <c:lblAlgn val="ctr"/>
        <c:lblOffset val="100"/>
        <c:noMultiLvlLbl val="0"/>
      </c:catAx>
      <c:valAx>
        <c:axId val="541263360"/>
        <c:scaling>
          <c:orientation val="minMax"/>
        </c:scaling>
        <c:delete val="0"/>
        <c:axPos val="l"/>
        <c:numFmt formatCode="[&lt;=0]\ ;[&lt;0.005]\-;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1263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3"/>
          <c:order val="3"/>
          <c:tx>
            <c:strRef>
              <c:f>'Interop &amp; data porta'!$D$38</c:f>
              <c:strCache>
                <c:ptCount val="1"/>
                <c:pt idx="0">
                  <c:v>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'Interop &amp; data porta'!$E$34:$G$34</c:f>
              <c:strCache>
                <c:ptCount val="3"/>
                <c:pt idx="0">
                  <c:v>18 to 29</c:v>
                </c:pt>
                <c:pt idx="1">
                  <c:v>30 to 49</c:v>
                </c:pt>
                <c:pt idx="2">
                  <c:v>50+</c:v>
                </c:pt>
              </c:strCache>
            </c:strRef>
          </c:cat>
          <c:val>
            <c:numRef>
              <c:f>'Interop &amp; data porta'!$E$38:$G$38</c:f>
              <c:numCache>
                <c:formatCode>[&lt;=0]\ ;[&lt;0.005]\-;0%</c:formatCode>
                <c:ptCount val="3"/>
                <c:pt idx="0">
                  <c:v>0.71270419649371897</c:v>
                </c:pt>
                <c:pt idx="1">
                  <c:v>0.70752572321811602</c:v>
                </c:pt>
                <c:pt idx="2">
                  <c:v>0.60068293869467104</c:v>
                </c:pt>
              </c:numCache>
            </c:numRef>
          </c:val>
          <c:extLst>
            <c:ext xmlns:c16="http://schemas.microsoft.com/office/drawing/2014/chart" uri="{C3380CC4-5D6E-409C-BE32-E72D297353CC}">
              <c16:uniqueId val="{00000000-FDF7-4321-B5F2-C94FAFBCBA95}"/>
            </c:ext>
          </c:extLst>
        </c:ser>
        <c:ser>
          <c:idx val="5"/>
          <c:order val="5"/>
          <c:tx>
            <c:strRef>
              <c:f>'Interop &amp; data porta'!$D$40</c:f>
              <c:strCache>
                <c:ptCount val="1"/>
                <c:pt idx="0">
                  <c:v>Unsure</c:v>
                </c:pt>
              </c:strCache>
              <c:extLst xmlns:c15="http://schemas.microsoft.com/office/drawing/2012/chart"/>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'Interop &amp; data porta'!$E$34:$G$34</c:f>
              <c:strCache>
                <c:ptCount val="3"/>
                <c:pt idx="0">
                  <c:v>18 to 29</c:v>
                </c:pt>
                <c:pt idx="1">
                  <c:v>30 to 49</c:v>
                </c:pt>
                <c:pt idx="2">
                  <c:v>50+</c:v>
                </c:pt>
              </c:strCache>
              <c:extLst xmlns:c15="http://schemas.microsoft.com/office/drawing/2012/chart"/>
            </c:strRef>
          </c:cat>
          <c:val>
            <c:numRef>
              <c:f>'Interop &amp; data porta'!$E$40:$G$40</c:f>
              <c:numCache>
                <c:formatCode>[&lt;=0]\ ;[&lt;0.005]\-;0%</c:formatCode>
                <c:ptCount val="3"/>
                <c:pt idx="0">
                  <c:v>0.108993434767443</c:v>
                </c:pt>
                <c:pt idx="1">
                  <c:v>0.15518138777238699</c:v>
                </c:pt>
                <c:pt idx="2">
                  <c:v>0.30614123286647799</c:v>
                </c:pt>
              </c:numCache>
              <c:extLst xmlns:c15="http://schemas.microsoft.com/office/drawing/2012/chart"/>
            </c:numRef>
          </c:val>
          <c:extLst xmlns:c15="http://schemas.microsoft.com/office/drawing/2012/chart">
            <c:ext xmlns:c16="http://schemas.microsoft.com/office/drawing/2014/chart" uri="{C3380CC4-5D6E-409C-BE32-E72D297353CC}">
              <c16:uniqueId val="{00000001-FDF7-4321-B5F2-C94FAFBCBA95}"/>
            </c:ext>
          </c:extLst>
        </c:ser>
        <c:dLbls>
          <c:dLblPos val="outEnd"/>
          <c:showLegendKey val="0"/>
          <c:showVal val="1"/>
          <c:showCatName val="0"/>
          <c:showSerName val="0"/>
          <c:showPercent val="0"/>
          <c:showBubbleSize val="0"/>
        </c:dLbls>
        <c:gapWidth val="219"/>
        <c:overlap val="-27"/>
        <c:axId val="404449672"/>
        <c:axId val="404447048"/>
        <c:extLst>
          <c:ext xmlns:c15="http://schemas.microsoft.com/office/drawing/2012/chart" uri="{02D57815-91ED-43cb-92C2-25804820EDAC}">
            <c15:filteredBarSeries>
              <c15:ser>
                <c:idx val="0"/>
                <c:order val="0"/>
                <c:tx>
                  <c:strRef>
                    <c:extLst>
                      <c:ext uri="{02D57815-91ED-43cb-92C2-25804820EDAC}">
                        <c15:formulaRef>
                          <c15:sqref>'Interop &amp; data porta'!$D$35</c15:sqref>
                        </c15:formulaRef>
                      </c:ext>
                    </c:extLst>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'Interop &amp; data porta'!$E$34:$G$34</c15:sqref>
                        </c15:formulaRef>
                      </c:ext>
                    </c:extLst>
                    <c:strCache>
                      <c:ptCount val="3"/>
                      <c:pt idx="0">
                        <c:v>18 to 29</c:v>
                      </c:pt>
                      <c:pt idx="1">
                        <c:v>30 to 49</c:v>
                      </c:pt>
                      <c:pt idx="2">
                        <c:v>50+</c:v>
                      </c:pt>
                    </c:strCache>
                  </c:strRef>
                </c:cat>
                <c:val>
                  <c:numRef>
                    <c:extLst>
                      <c:ext uri="{02D57815-91ED-43cb-92C2-25804820EDAC}">
                        <c15:formulaRef>
                          <c15:sqref>'Interop &amp; data porta'!$E$35:$G$35</c15:sqref>
                        </c15:formulaRef>
                      </c:ext>
                    </c:extLst>
                    <c:numCache>
                      <c:formatCode>[&lt;=0]\ ;[&lt;0.005]\-;0%</c:formatCode>
                      <c:ptCount val="3"/>
                      <c:pt idx="0">
                        <c:v>0.249267808570965</c:v>
                      </c:pt>
                      <c:pt idx="1">
                        <c:v>0.26238252444437399</c:v>
                      </c:pt>
                      <c:pt idx="2">
                        <c:v>0.19830249286985099</c:v>
                      </c:pt>
                    </c:numCache>
                  </c:numRef>
                </c:val>
                <c:extLst>
                  <c:ext xmlns:c16="http://schemas.microsoft.com/office/drawing/2014/chart" uri="{C3380CC4-5D6E-409C-BE32-E72D297353CC}">
                    <c16:uniqueId val="{00000002-FDF7-4321-B5F2-C94FAFBCBA95}"/>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'Interop &amp; data porta'!$D$36</c15:sqref>
                        </c15:formulaRef>
                      </c:ext>
                    </c:extLst>
                    <c:strCache>
                      <c:ptCount val="1"/>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'Interop &amp; data porta'!$E$34:$G$34</c15:sqref>
                        </c15:formulaRef>
                      </c:ext>
                    </c:extLst>
                    <c:strCache>
                      <c:ptCount val="3"/>
                      <c:pt idx="0">
                        <c:v>18 to 29</c:v>
                      </c:pt>
                      <c:pt idx="1">
                        <c:v>30 to 49</c:v>
                      </c:pt>
                      <c:pt idx="2">
                        <c:v>50+</c:v>
                      </c:pt>
                    </c:strCache>
                  </c:strRef>
                </c:cat>
                <c:val>
                  <c:numRef>
                    <c:extLst xmlns:c15="http://schemas.microsoft.com/office/drawing/2012/chart">
                      <c:ext xmlns:c15="http://schemas.microsoft.com/office/drawing/2012/chart" uri="{02D57815-91ED-43cb-92C2-25804820EDAC}">
                        <c15:formulaRef>
                          <c15:sqref>'Interop &amp; data porta'!$E$36:$G$36</c15:sqref>
                        </c15:formulaRef>
                      </c:ext>
                    </c:extLst>
                    <c:numCache>
                      <c:formatCode>[&lt;=0]\ ;[&lt;0.005]\-;0%</c:formatCode>
                      <c:ptCount val="3"/>
                      <c:pt idx="0">
                        <c:v>0.29781985939361</c:v>
                      </c:pt>
                      <c:pt idx="1">
                        <c:v>0.27348226890983901</c:v>
                      </c:pt>
                      <c:pt idx="2">
                        <c:v>0.25779424735276901</c:v>
                      </c:pt>
                    </c:numCache>
                  </c:numRef>
                </c:val>
                <c:extLst xmlns:c15="http://schemas.microsoft.com/office/drawing/2012/chart">
                  <c:ext xmlns:c16="http://schemas.microsoft.com/office/drawing/2014/chart" uri="{C3380CC4-5D6E-409C-BE32-E72D297353CC}">
                    <c16:uniqueId val="{00000003-FDF7-4321-B5F2-C94FAFBCBA95}"/>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'Interop &amp; data porta'!$D$37</c15:sqref>
                        </c15:formulaRef>
                      </c:ext>
                    </c:extLst>
                    <c:strCache>
                      <c:ptCount val="1"/>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'Interop &amp; data porta'!$E$34:$G$34</c15:sqref>
                        </c15:formulaRef>
                      </c:ext>
                    </c:extLst>
                    <c:strCache>
                      <c:ptCount val="3"/>
                      <c:pt idx="0">
                        <c:v>18 to 29</c:v>
                      </c:pt>
                      <c:pt idx="1">
                        <c:v>30 to 49</c:v>
                      </c:pt>
                      <c:pt idx="2">
                        <c:v>50+</c:v>
                      </c:pt>
                    </c:strCache>
                  </c:strRef>
                </c:cat>
                <c:val>
                  <c:numRef>
                    <c:extLst xmlns:c15="http://schemas.microsoft.com/office/drawing/2012/chart">
                      <c:ext xmlns:c15="http://schemas.microsoft.com/office/drawing/2012/chart" uri="{02D57815-91ED-43cb-92C2-25804820EDAC}">
                        <c15:formulaRef>
                          <c15:sqref>'Interop &amp; data porta'!$E$37:$G$37</c15:sqref>
                        </c15:formulaRef>
                      </c:ext>
                    </c:extLst>
                    <c:numCache>
                      <c:formatCode>[&lt;=0]\ ;[&lt;0.005]\-;0%</c:formatCode>
                      <c:ptCount val="3"/>
                      <c:pt idx="0">
                        <c:v>0.16561652852914399</c:v>
                      </c:pt>
                      <c:pt idx="1">
                        <c:v>0.17166092986390299</c:v>
                      </c:pt>
                      <c:pt idx="2">
                        <c:v>0.14458619847205101</c:v>
                      </c:pt>
                    </c:numCache>
                  </c:numRef>
                </c:val>
                <c:extLst xmlns:c15="http://schemas.microsoft.com/office/drawing/2012/chart">
                  <c:ext xmlns:c16="http://schemas.microsoft.com/office/drawing/2014/chart" uri="{C3380CC4-5D6E-409C-BE32-E72D297353CC}">
                    <c16:uniqueId val="{00000004-FDF7-4321-B5F2-C94FAFBCBA95}"/>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'Interop &amp; data porta'!$D$39</c15:sqref>
                        </c15:formulaRef>
                      </c:ext>
                    </c:extLst>
                    <c:strCache>
                      <c:ptCount val="1"/>
                      <c:pt idx="0">
                        <c:v>Average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'Interop &amp; data porta'!$E$34:$G$34</c15:sqref>
                        </c15:formulaRef>
                      </c:ext>
                    </c:extLst>
                    <c:strCache>
                      <c:ptCount val="3"/>
                      <c:pt idx="0">
                        <c:v>18 to 29</c:v>
                      </c:pt>
                      <c:pt idx="1">
                        <c:v>30 to 49</c:v>
                      </c:pt>
                      <c:pt idx="2">
                        <c:v>50+</c:v>
                      </c:pt>
                    </c:strCache>
                  </c:strRef>
                </c:cat>
                <c:val>
                  <c:numRef>
                    <c:extLst xmlns:c15="http://schemas.microsoft.com/office/drawing/2012/chart">
                      <c:ext xmlns:c15="http://schemas.microsoft.com/office/drawing/2012/chart" uri="{02D57815-91ED-43cb-92C2-25804820EDAC}">
                        <c15:formulaRef>
                          <c15:sqref>'Interop &amp; data porta'!$E$39:$G$39</c15:sqref>
                        </c15:formulaRef>
                      </c:ext>
                    </c:extLst>
                    <c:numCache>
                      <c:formatCode>[&lt;=0]\ ;[&lt;0.005]\-;0%</c:formatCode>
                      <c:ptCount val="3"/>
                      <c:pt idx="0">
                        <c:v>0.66</c:v>
                      </c:pt>
                      <c:pt idx="1">
                        <c:v>0.66</c:v>
                      </c:pt>
                      <c:pt idx="2">
                        <c:v>0.66</c:v>
                      </c:pt>
                    </c:numCache>
                  </c:numRef>
                </c:val>
                <c:extLst xmlns:c15="http://schemas.microsoft.com/office/drawing/2012/chart">
                  <c:ext xmlns:c16="http://schemas.microsoft.com/office/drawing/2014/chart" uri="{C3380CC4-5D6E-409C-BE32-E72D297353CC}">
                    <c16:uniqueId val="{00000005-FDF7-4321-B5F2-C94FAFBCBA95}"/>
                  </c:ext>
                </c:extLst>
              </c15:ser>
            </c15:filteredBarSeries>
          </c:ext>
        </c:extLst>
      </c:barChart>
      <c:catAx>
        <c:axId val="404449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4447048"/>
        <c:crosses val="autoZero"/>
        <c:auto val="1"/>
        <c:lblAlgn val="ctr"/>
        <c:lblOffset val="100"/>
        <c:noMultiLvlLbl val="0"/>
      </c:catAx>
      <c:valAx>
        <c:axId val="404447048"/>
        <c:scaling>
          <c:orientation val="minMax"/>
        </c:scaling>
        <c:delete val="0"/>
        <c:axPos val="l"/>
        <c:numFmt formatCode="[&lt;=0]\ ;[&lt;0.005]\-;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444967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'control and safety'!$X$13</c:f>
              <c:strCache>
                <c:ptCount val="1"/>
                <c:pt idx="0">
                  <c:v>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'control and safety'!$Y$12:$AA$12</c:f>
              <c:strCache>
                <c:ptCount val="3"/>
                <c:pt idx="0">
                  <c:v>18 to 29</c:v>
                </c:pt>
                <c:pt idx="1">
                  <c:v>30 to 49</c:v>
                </c:pt>
                <c:pt idx="2">
                  <c:v>50+</c:v>
                </c:pt>
              </c:strCache>
            </c:strRef>
          </c:cat>
          <c:val>
            <c:numRef>
              <c:f>'control and safety'!$Y$13:$AA$13</c:f>
              <c:numCache>
                <c:formatCode>[&lt;=0]\ ;[&lt;0.005]\-;0%</c:formatCode>
                <c:ptCount val="3"/>
                <c:pt idx="0">
                  <c:v>0.67</c:v>
                </c:pt>
                <c:pt idx="1">
                  <c:v>0.65</c:v>
                </c:pt>
                <c:pt idx="2">
                  <c:v>0.43</c:v>
                </c:pt>
              </c:numCache>
            </c:numRef>
          </c:val>
          <c:extLst>
            <c:ext xmlns:c16="http://schemas.microsoft.com/office/drawing/2014/chart" uri="{C3380CC4-5D6E-409C-BE32-E72D297353CC}">
              <c16:uniqueId val="{00000000-E667-4AED-BCDA-86B8263B03E3}"/>
            </c:ext>
          </c:extLst>
        </c:ser>
        <c:dLbls>
          <c:showLegendKey val="0"/>
          <c:showVal val="1"/>
          <c:showCatName val="0"/>
          <c:showSerName val="0"/>
          <c:showPercent val="0"/>
          <c:showBubbleSize val="0"/>
        </c:dLbls>
        <c:gapWidth val="219"/>
        <c:axId val="425042488"/>
        <c:axId val="425042816"/>
        <c:extLst>
          <c:ext xmlns:c15="http://schemas.microsoft.com/office/drawing/2012/chart" uri="{02D57815-91ED-43cb-92C2-25804820EDAC}">
            <c15:filteredBarSeries>
              <c15:ser>
                <c:idx val="2"/>
                <c:order val="2"/>
                <c:tx>
                  <c:strRef>
                    <c:extLst>
                      <c:ext uri="{02D57815-91ED-43cb-92C2-25804820EDAC}">
                        <c15:formulaRef>
                          <c15:sqref>'control and safety'!$X$15</c15:sqref>
                        </c15:formulaRef>
                      </c:ext>
                    </c:extLst>
                    <c:strCache>
                      <c:ptCount val="1"/>
                      <c:pt idx="0">
                        <c:v>Unsure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'control and safety'!$Y$12:$AA$12</c15:sqref>
                        </c15:formulaRef>
                      </c:ext>
                    </c:extLst>
                    <c:strCache>
                      <c:ptCount val="3"/>
                      <c:pt idx="0">
                        <c:v>18 to 29</c:v>
                      </c:pt>
                      <c:pt idx="1">
                        <c:v>30 to 49</c:v>
                      </c:pt>
                      <c:pt idx="2">
                        <c:v>50+</c:v>
                      </c:pt>
                    </c:strCache>
                  </c:strRef>
                </c:cat>
                <c:val>
                  <c:numRef>
                    <c:extLst>
                      <c:ext uri="{02D57815-91ED-43cb-92C2-25804820EDAC}">
                        <c15:formulaRef>
                          <c15:sqref>'control and safety'!$Y$15:$AA$15</c15:sqref>
                        </c15:formulaRef>
                      </c:ext>
                    </c:extLst>
                    <c:numCache>
                      <c:formatCode>[&lt;=0]\ ;[&lt;0.005]\-;0%</c:formatCode>
                      <c:ptCount val="3"/>
                      <c:pt idx="0">
                        <c:v>0.09</c:v>
                      </c:pt>
                      <c:pt idx="1">
                        <c:v>0.08</c:v>
                      </c:pt>
                      <c:pt idx="2">
                        <c:v>0.18</c:v>
                      </c:pt>
                    </c:numCache>
                  </c:numRef>
                </c:val>
                <c:extLst>
                  <c:ext xmlns:c16="http://schemas.microsoft.com/office/drawing/2014/chart" uri="{C3380CC4-5D6E-409C-BE32-E72D297353CC}">
                    <c16:uniqueId val="{00000001-E667-4AED-BCDA-86B8263B03E3}"/>
                  </c:ext>
                </c:extLst>
              </c15:ser>
            </c15:filteredBarSeries>
          </c:ext>
        </c:extLst>
      </c:barChart>
      <c:lineChart>
        <c:grouping val="standard"/>
        <c:varyColors val="0"/>
        <c:dLbls>
          <c:showLegendKey val="0"/>
          <c:showVal val="1"/>
          <c:showCatName val="0"/>
          <c:showSerName val="0"/>
          <c:showPercent val="0"/>
          <c:showBubbleSize val="0"/>
        </c:dLbls>
        <c:marker val="1"/>
        <c:smooth val="0"/>
        <c:axId val="425042488"/>
        <c:axId val="425042816"/>
        <c:extLst>
          <c:ext xmlns:c15="http://schemas.microsoft.com/office/drawing/2012/chart" uri="{02D57815-91ED-43cb-92C2-25804820EDAC}">
            <c15:filteredLineSeries>
              <c15:ser>
                <c:idx val="1"/>
                <c:order val="1"/>
                <c:tx>
                  <c:strRef>
                    <c:extLst>
                      <c:ext uri="{02D57815-91ED-43cb-92C2-25804820EDAC}">
                        <c15:formulaRef>
                          <c15:sqref>'control and safety'!$X$14</c15:sqref>
                        </c15:formulaRef>
                      </c:ext>
                    </c:extLst>
                    <c:strCache>
                      <c:ptCount val="1"/>
                      <c:pt idx="0">
                        <c:v>Average Agree</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'control and safety'!$Y$12:$AA$12</c15:sqref>
                        </c15:formulaRef>
                      </c:ext>
                    </c:extLst>
                    <c:strCache>
                      <c:ptCount val="3"/>
                      <c:pt idx="0">
                        <c:v>18 to 29</c:v>
                      </c:pt>
                      <c:pt idx="1">
                        <c:v>30 to 49</c:v>
                      </c:pt>
                      <c:pt idx="2">
                        <c:v>50+</c:v>
                      </c:pt>
                    </c:strCache>
                  </c:strRef>
                </c:cat>
                <c:val>
                  <c:numRef>
                    <c:extLst>
                      <c:ext uri="{02D57815-91ED-43cb-92C2-25804820EDAC}">
                        <c15:formulaRef>
                          <c15:sqref>'control and safety'!$Y$14:$AA$14</c15:sqref>
                        </c15:formulaRef>
                      </c:ext>
                    </c:extLst>
                    <c:numCache>
                      <c:formatCode>0%</c:formatCode>
                      <c:ptCount val="3"/>
                      <c:pt idx="0">
                        <c:v>0.56000000000000005</c:v>
                      </c:pt>
                      <c:pt idx="1">
                        <c:v>0.56000000000000005</c:v>
                      </c:pt>
                      <c:pt idx="2">
                        <c:v>0.56000000000000005</c:v>
                      </c:pt>
                    </c:numCache>
                  </c:numRef>
                </c:val>
                <c:smooth val="0"/>
                <c:extLst>
                  <c:ext xmlns:c16="http://schemas.microsoft.com/office/drawing/2014/chart" uri="{C3380CC4-5D6E-409C-BE32-E72D297353CC}">
                    <c16:uniqueId val="{00000002-E667-4AED-BCDA-86B8263B03E3}"/>
                  </c:ext>
                </c:extLst>
              </c15:ser>
            </c15:filteredLineSeries>
          </c:ext>
        </c:extLst>
      </c:lineChart>
      <c:catAx>
        <c:axId val="425042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5042816"/>
        <c:crosses val="autoZero"/>
        <c:auto val="1"/>
        <c:lblAlgn val="ctr"/>
        <c:lblOffset val="100"/>
        <c:noMultiLvlLbl val="0"/>
      </c:catAx>
      <c:valAx>
        <c:axId val="425042816"/>
        <c:scaling>
          <c:orientation val="minMax"/>
        </c:scaling>
        <c:delete val="0"/>
        <c:axPos val="l"/>
        <c:numFmt formatCode="[&lt;=0]\ ;[&lt;0.005]\-;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50424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'control and safety'!$H$7</c:f>
              <c:strCache>
                <c:ptCount val="1"/>
                <c:pt idx="0">
                  <c:v>Agree</c:v>
                </c:pt>
              </c:strCache>
            </c:strRef>
          </c:tx>
          <c:spPr>
            <a:solidFill>
              <a:schemeClr val="accent1"/>
            </a:solidFill>
            <a:ln>
              <a:noFill/>
            </a:ln>
            <a:effectLst/>
          </c:spPr>
          <c:invertIfNegative val="0"/>
          <c:cat>
            <c:strRef>
              <c:f>'control and safety'!$I$3:$Q$3</c:f>
              <c:strCache>
                <c:ptCount val="9"/>
                <c:pt idx="0">
                  <c:v>Under $15K</c:v>
                </c:pt>
                <c:pt idx="1">
                  <c:v>$15K to $25K</c:v>
                </c:pt>
                <c:pt idx="2">
                  <c:v>$25K to $35K</c:v>
                </c:pt>
                <c:pt idx="3">
                  <c:v>$35K to $50K</c:v>
                </c:pt>
                <c:pt idx="4">
                  <c:v>$50K to $75K</c:v>
                </c:pt>
                <c:pt idx="5">
                  <c:v>$75K to $100K</c:v>
                </c:pt>
                <c:pt idx="6">
                  <c:v>$100K to $150K</c:v>
                </c:pt>
                <c:pt idx="7">
                  <c:v>$150K to $200K</c:v>
                </c:pt>
                <c:pt idx="8">
                  <c:v>$200K and over</c:v>
                </c:pt>
              </c:strCache>
              <c:extLst/>
            </c:strRef>
          </c:cat>
          <c:val>
            <c:numRef>
              <c:f>'control and safety'!$I$7:$Q$7</c:f>
              <c:numCache>
                <c:formatCode>[&lt;=0]\ ;[&lt;0.005]\-;0%</c:formatCode>
                <c:ptCount val="9"/>
                <c:pt idx="0">
                  <c:v>0.428751834536865</c:v>
                </c:pt>
                <c:pt idx="1">
                  <c:v>0.35508600144291502</c:v>
                </c:pt>
                <c:pt idx="2">
                  <c:v>0.52832493805768099</c:v>
                </c:pt>
                <c:pt idx="3">
                  <c:v>0.53687660600259401</c:v>
                </c:pt>
                <c:pt idx="4">
                  <c:v>0.56377503929648998</c:v>
                </c:pt>
                <c:pt idx="5">
                  <c:v>0.55768765467826009</c:v>
                </c:pt>
                <c:pt idx="6">
                  <c:v>0.64915502578533602</c:v>
                </c:pt>
                <c:pt idx="7">
                  <c:v>0.66222641232047696</c:v>
                </c:pt>
                <c:pt idx="8">
                  <c:v>0.71203978297126191</c:v>
                </c:pt>
              </c:numCache>
            </c:numRef>
          </c:val>
          <c:extLst>
            <c:ext xmlns:c16="http://schemas.microsoft.com/office/drawing/2014/chart" uri="{C3380CC4-5D6E-409C-BE32-E72D297353CC}">
              <c16:uniqueId val="{00000000-E00F-45E3-9890-93B2C94E80D6}"/>
            </c:ext>
          </c:extLst>
        </c:ser>
        <c:dLbls>
          <c:showLegendKey val="0"/>
          <c:showVal val="0"/>
          <c:showCatName val="0"/>
          <c:showSerName val="0"/>
          <c:showPercent val="0"/>
          <c:showBubbleSize val="0"/>
        </c:dLbls>
        <c:gapWidth val="219"/>
        <c:axId val="611389080"/>
        <c:axId val="611392032"/>
        <c:extLst>
          <c:ext xmlns:c15="http://schemas.microsoft.com/office/drawing/2012/chart" uri="{02D57815-91ED-43cb-92C2-25804820EDAC}">
            <c15:filteredBarSeries>
              <c15:ser>
                <c:idx val="2"/>
                <c:order val="2"/>
                <c:tx>
                  <c:strRef>
                    <c:extLst>
                      <c:ext uri="{02D57815-91ED-43cb-92C2-25804820EDAC}">
                        <c15:formulaRef>
                          <c15:sqref>'control and safety'!$H$9</c15:sqref>
                        </c15:formulaRef>
                      </c:ext>
                    </c:extLst>
                    <c:strCache>
                      <c:ptCount val="1"/>
                      <c:pt idx="0">
                        <c:v>Unsure</c:v>
                      </c:pt>
                    </c:strCache>
                  </c:strRef>
                </c:tx>
                <c:spPr>
                  <a:solidFill>
                    <a:schemeClr val="accent3"/>
                  </a:solidFill>
                  <a:ln>
                    <a:noFill/>
                  </a:ln>
                  <a:effectLst/>
                </c:spPr>
                <c:invertIfNegative val="0"/>
                <c:cat>
                  <c:strRef>
                    <c:extLst>
                      <c:ext uri="{02D57815-91ED-43cb-92C2-25804820EDAC}">
                        <c15:formulaRef>
                          <c15:sqref>'control and safety'!$I$3:$Q$3</c15:sqref>
                        </c15:formulaRef>
                      </c:ext>
                    </c:extLst>
                    <c:strCache>
                      <c:ptCount val="9"/>
                      <c:pt idx="0">
                        <c:v>Under $15K</c:v>
                      </c:pt>
                      <c:pt idx="1">
                        <c:v>$15K to $25K</c:v>
                      </c:pt>
                      <c:pt idx="2">
                        <c:v>$25K to $35K</c:v>
                      </c:pt>
                      <c:pt idx="3">
                        <c:v>$35K to $50K</c:v>
                      </c:pt>
                      <c:pt idx="4">
                        <c:v>$50K to $75K</c:v>
                      </c:pt>
                      <c:pt idx="5">
                        <c:v>$75K to $100K</c:v>
                      </c:pt>
                      <c:pt idx="6">
                        <c:v>$100K to $150K</c:v>
                      </c:pt>
                      <c:pt idx="7">
                        <c:v>$150K to $200K</c:v>
                      </c:pt>
                      <c:pt idx="8">
                        <c:v>$200K and over</c:v>
                      </c:pt>
                    </c:strCache>
                  </c:strRef>
                </c:cat>
                <c:val>
                  <c:numRef>
                    <c:extLst>
                      <c:ext uri="{02D57815-91ED-43cb-92C2-25804820EDAC}">
                        <c15:formulaRef>
                          <c15:sqref>'control and safety'!$I$9:$Q$9</c15:sqref>
                        </c15:formulaRef>
                      </c:ext>
                    </c:extLst>
                    <c:numCache>
                      <c:formatCode>[&lt;=0]\ ;[&lt;0.005]\-;0%</c:formatCode>
                      <c:ptCount val="9"/>
                      <c:pt idx="0">
                        <c:v>0.210319417943819</c:v>
                      </c:pt>
                      <c:pt idx="1">
                        <c:v>0.26523287262933098</c:v>
                      </c:pt>
                      <c:pt idx="2">
                        <c:v>0.15813886083801901</c:v>
                      </c:pt>
                      <c:pt idx="3">
                        <c:v>0.166662149156522</c:v>
                      </c:pt>
                      <c:pt idx="4">
                        <c:v>0.13313100805758599</c:v>
                      </c:pt>
                      <c:pt idx="5">
                        <c:v>0.112092072426237</c:v>
                      </c:pt>
                      <c:pt idx="6">
                        <c:v>8.2893590033316006E-2</c:v>
                      </c:pt>
                      <c:pt idx="7">
                        <c:v>0.1048687983547</c:v>
                      </c:pt>
                      <c:pt idx="8">
                        <c:v>8.5222137742689996E-2</c:v>
                      </c:pt>
                    </c:numCache>
                  </c:numRef>
                </c:val>
                <c:extLst>
                  <c:ext xmlns:c16="http://schemas.microsoft.com/office/drawing/2014/chart" uri="{C3380CC4-5D6E-409C-BE32-E72D297353CC}">
                    <c16:uniqueId val="{00000001-E00F-45E3-9890-93B2C94E80D6}"/>
                  </c:ext>
                </c:extLst>
              </c15:ser>
            </c15:filteredBarSeries>
          </c:ext>
        </c:extLst>
      </c:barChart>
      <c:lineChart>
        <c:grouping val="standard"/>
        <c:varyColors val="0"/>
        <c:ser>
          <c:idx val="1"/>
          <c:order val="1"/>
          <c:tx>
            <c:strRef>
              <c:f>'control and safety'!$H$8</c:f>
              <c:strCache>
                <c:ptCount val="1"/>
                <c:pt idx="0">
                  <c:v>Average Agree</c:v>
                </c:pt>
              </c:strCache>
            </c:strRef>
          </c:tx>
          <c:spPr>
            <a:ln w="28575" cap="rnd">
              <a:solidFill>
                <a:schemeClr val="accent2"/>
              </a:solidFill>
              <a:round/>
            </a:ln>
            <a:effectLst/>
          </c:spPr>
          <c:marker>
            <c:symbol val="none"/>
          </c:marker>
          <c:cat>
            <c:strRef>
              <c:f>'control and safety'!$I$3:$Q$3</c:f>
              <c:strCache>
                <c:ptCount val="9"/>
                <c:pt idx="0">
                  <c:v>Under $15K</c:v>
                </c:pt>
                <c:pt idx="1">
                  <c:v>$15K to $25K</c:v>
                </c:pt>
                <c:pt idx="2">
                  <c:v>$25K to $35K</c:v>
                </c:pt>
                <c:pt idx="3">
                  <c:v>$35K to $50K</c:v>
                </c:pt>
                <c:pt idx="4">
                  <c:v>$50K to $75K</c:v>
                </c:pt>
                <c:pt idx="5">
                  <c:v>$75K to $100K</c:v>
                </c:pt>
                <c:pt idx="6">
                  <c:v>$100K to $150K</c:v>
                </c:pt>
                <c:pt idx="7">
                  <c:v>$150K to $200K</c:v>
                </c:pt>
                <c:pt idx="8">
                  <c:v>$200K and over</c:v>
                </c:pt>
              </c:strCache>
              <c:extLst/>
            </c:strRef>
          </c:cat>
          <c:val>
            <c:numRef>
              <c:f>'control and safety'!$I$8:$Q$8</c:f>
              <c:numCache>
                <c:formatCode>0%</c:formatCode>
                <c:ptCount val="9"/>
                <c:pt idx="0">
                  <c:v>0.56000000000000005</c:v>
                </c:pt>
                <c:pt idx="1">
                  <c:v>0.56000000000000005</c:v>
                </c:pt>
                <c:pt idx="2">
                  <c:v>0.56000000000000005</c:v>
                </c:pt>
                <c:pt idx="3">
                  <c:v>0.56000000000000005</c:v>
                </c:pt>
                <c:pt idx="4">
                  <c:v>0.56000000000000005</c:v>
                </c:pt>
                <c:pt idx="5">
                  <c:v>0.56000000000000005</c:v>
                </c:pt>
                <c:pt idx="6">
                  <c:v>0.56000000000000005</c:v>
                </c:pt>
                <c:pt idx="7">
                  <c:v>0.56000000000000005</c:v>
                </c:pt>
                <c:pt idx="8">
                  <c:v>0.56000000000000005</c:v>
                </c:pt>
              </c:numCache>
            </c:numRef>
          </c:val>
          <c:smooth val="0"/>
          <c:extLst>
            <c:ext xmlns:c16="http://schemas.microsoft.com/office/drawing/2014/chart" uri="{C3380CC4-5D6E-409C-BE32-E72D297353CC}">
              <c16:uniqueId val="{00000002-E00F-45E3-9890-93B2C94E80D6}"/>
            </c:ext>
          </c:extLst>
        </c:ser>
        <c:dLbls>
          <c:showLegendKey val="0"/>
          <c:showVal val="0"/>
          <c:showCatName val="0"/>
          <c:showSerName val="0"/>
          <c:showPercent val="0"/>
          <c:showBubbleSize val="0"/>
        </c:dLbls>
        <c:marker val="1"/>
        <c:smooth val="0"/>
        <c:axId val="611389080"/>
        <c:axId val="611392032"/>
      </c:lineChart>
      <c:catAx>
        <c:axId val="611389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1392032"/>
        <c:crosses val="autoZero"/>
        <c:auto val="1"/>
        <c:lblAlgn val="ctr"/>
        <c:lblOffset val="100"/>
        <c:noMultiLvlLbl val="0"/>
      </c:catAx>
      <c:valAx>
        <c:axId val="611392032"/>
        <c:scaling>
          <c:orientation val="minMax"/>
        </c:scaling>
        <c:delete val="0"/>
        <c:axPos val="l"/>
        <c:numFmt formatCode="[&lt;=0]\ ;[&lt;0.005]\-;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1389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58602532316964E-2"/>
          <c:y val="2.5553662691652469E-2"/>
          <c:w val="0.90825576506016736"/>
          <c:h val="0.7101429931991039"/>
        </c:manualLayout>
      </c:layout>
      <c:barChart>
        <c:barDir val="col"/>
        <c:grouping val="clustered"/>
        <c:varyColors val="0"/>
        <c:ser>
          <c:idx val="0"/>
          <c:order val="0"/>
          <c:tx>
            <c:strRef>
              <c:f>'control and safety'!$H$16</c:f>
              <c:strCache>
                <c:ptCount val="1"/>
                <c:pt idx="0">
                  <c:v>Agree</c:v>
                </c:pt>
              </c:strCache>
            </c:strRef>
          </c:tx>
          <c:spPr>
            <a:solidFill>
              <a:schemeClr val="accent1"/>
            </a:solidFill>
            <a:ln>
              <a:noFill/>
            </a:ln>
            <a:effectLst/>
          </c:spPr>
          <c:invertIfNegative val="0"/>
          <c:cat>
            <c:strRef>
              <c:f>'control and safety'!$I$12:$Q$12</c:f>
              <c:strCache>
                <c:ptCount val="9"/>
                <c:pt idx="0">
                  <c:v>Under $15K</c:v>
                </c:pt>
                <c:pt idx="1">
                  <c:v>$15K to $25K</c:v>
                </c:pt>
                <c:pt idx="2">
                  <c:v>$25K to $35K</c:v>
                </c:pt>
                <c:pt idx="3">
                  <c:v>$35K to $50K</c:v>
                </c:pt>
                <c:pt idx="4">
                  <c:v>$50K to $75K</c:v>
                </c:pt>
                <c:pt idx="5">
                  <c:v>$75K to $100K</c:v>
                </c:pt>
                <c:pt idx="6">
                  <c:v>$100K to $150K</c:v>
                </c:pt>
                <c:pt idx="7">
                  <c:v>$150K to $200K</c:v>
                </c:pt>
                <c:pt idx="8">
                  <c:v>$200K and over</c:v>
                </c:pt>
              </c:strCache>
              <c:extLst/>
            </c:strRef>
          </c:cat>
          <c:val>
            <c:numRef>
              <c:f>'control and safety'!$I$16:$Q$16</c:f>
              <c:numCache>
                <c:formatCode>[&lt;=0]\ ;[&lt;0.005]\-;0%</c:formatCode>
                <c:ptCount val="9"/>
                <c:pt idx="0">
                  <c:v>0.63289219020721099</c:v>
                </c:pt>
                <c:pt idx="1">
                  <c:v>0.41576476739972101</c:v>
                </c:pt>
                <c:pt idx="2">
                  <c:v>0.47757088663346803</c:v>
                </c:pt>
                <c:pt idx="3">
                  <c:v>0.436972805072538</c:v>
                </c:pt>
                <c:pt idx="4">
                  <c:v>0.54626280834054197</c:v>
                </c:pt>
                <c:pt idx="5">
                  <c:v>0.60077265738123498</c:v>
                </c:pt>
                <c:pt idx="6">
                  <c:v>0.66203757697098697</c:v>
                </c:pt>
                <c:pt idx="7">
                  <c:v>0.65365055352787205</c:v>
                </c:pt>
                <c:pt idx="8">
                  <c:v>0.67647062523260004</c:v>
                </c:pt>
              </c:numCache>
            </c:numRef>
          </c:val>
          <c:extLst>
            <c:ext xmlns:c16="http://schemas.microsoft.com/office/drawing/2014/chart" uri="{C3380CC4-5D6E-409C-BE32-E72D297353CC}">
              <c16:uniqueId val="{00000000-9368-476D-88A3-A649380C69B7}"/>
            </c:ext>
          </c:extLst>
        </c:ser>
        <c:dLbls>
          <c:showLegendKey val="0"/>
          <c:showVal val="0"/>
          <c:showCatName val="0"/>
          <c:showSerName val="0"/>
          <c:showPercent val="0"/>
          <c:showBubbleSize val="0"/>
        </c:dLbls>
        <c:gapWidth val="219"/>
        <c:axId val="600187960"/>
        <c:axId val="600189928"/>
        <c:extLst>
          <c:ext xmlns:c15="http://schemas.microsoft.com/office/drawing/2012/chart" uri="{02D57815-91ED-43cb-92C2-25804820EDAC}">
            <c15:filteredBarSeries>
              <c15:ser>
                <c:idx val="2"/>
                <c:order val="2"/>
                <c:tx>
                  <c:strRef>
                    <c:extLst>
                      <c:ext uri="{02D57815-91ED-43cb-92C2-25804820EDAC}">
                        <c15:formulaRef>
                          <c15:sqref>'control and safety'!$H$18</c15:sqref>
                        </c15:formulaRef>
                      </c:ext>
                    </c:extLst>
                    <c:strCache>
                      <c:ptCount val="1"/>
                      <c:pt idx="0">
                        <c:v>Unsure</c:v>
                      </c:pt>
                    </c:strCache>
                  </c:strRef>
                </c:tx>
                <c:spPr>
                  <a:solidFill>
                    <a:schemeClr val="accent3"/>
                  </a:solidFill>
                  <a:ln>
                    <a:noFill/>
                  </a:ln>
                  <a:effectLst/>
                </c:spPr>
                <c:invertIfNegative val="0"/>
                <c:cat>
                  <c:strRef>
                    <c:extLst>
                      <c:ext uri="{02D57815-91ED-43cb-92C2-25804820EDAC}">
                        <c15:formulaRef>
                          <c15:sqref>'control and safety'!$I$12:$Q$12</c15:sqref>
                        </c15:formulaRef>
                      </c:ext>
                    </c:extLst>
                    <c:strCache>
                      <c:ptCount val="9"/>
                      <c:pt idx="0">
                        <c:v>Under $15K</c:v>
                      </c:pt>
                      <c:pt idx="1">
                        <c:v>$15K to $25K</c:v>
                      </c:pt>
                      <c:pt idx="2">
                        <c:v>$25K to $35K</c:v>
                      </c:pt>
                      <c:pt idx="3">
                        <c:v>$35K to $50K</c:v>
                      </c:pt>
                      <c:pt idx="4">
                        <c:v>$50K to $75K</c:v>
                      </c:pt>
                      <c:pt idx="5">
                        <c:v>$75K to $100K</c:v>
                      </c:pt>
                      <c:pt idx="6">
                        <c:v>$100K to $150K</c:v>
                      </c:pt>
                      <c:pt idx="7">
                        <c:v>$150K to $200K</c:v>
                      </c:pt>
                      <c:pt idx="8">
                        <c:v>$200K and over</c:v>
                      </c:pt>
                    </c:strCache>
                  </c:strRef>
                </c:cat>
                <c:val>
                  <c:numRef>
                    <c:extLst>
                      <c:ext uri="{02D57815-91ED-43cb-92C2-25804820EDAC}">
                        <c15:formulaRef>
                          <c15:sqref>'control and safety'!$I$18:$Q$18</c15:sqref>
                        </c15:formulaRef>
                      </c:ext>
                    </c:extLst>
                    <c:numCache>
                      <c:formatCode>[&lt;=0]\ ;[&lt;0.005]\-;0%</c:formatCode>
                      <c:ptCount val="9"/>
                      <c:pt idx="0">
                        <c:v>0.17058211045020599</c:v>
                      </c:pt>
                      <c:pt idx="1">
                        <c:v>0.22990627613002601</c:v>
                      </c:pt>
                      <c:pt idx="2">
                        <c:v>0.12669275169097099</c:v>
                      </c:pt>
                      <c:pt idx="3">
                        <c:v>0.14368220374386101</c:v>
                      </c:pt>
                      <c:pt idx="4">
                        <c:v>9.1944545016538995E-2</c:v>
                      </c:pt>
                      <c:pt idx="5">
                        <c:v>0.13548568843821801</c:v>
                      </c:pt>
                      <c:pt idx="6">
                        <c:v>8.1914122151244995E-2</c:v>
                      </c:pt>
                      <c:pt idx="7">
                        <c:v>4.3965564867547997E-2</c:v>
                      </c:pt>
                      <c:pt idx="8">
                        <c:v>6.5085679437371993E-2</c:v>
                      </c:pt>
                    </c:numCache>
                  </c:numRef>
                </c:val>
                <c:extLst>
                  <c:ext xmlns:c16="http://schemas.microsoft.com/office/drawing/2014/chart" uri="{C3380CC4-5D6E-409C-BE32-E72D297353CC}">
                    <c16:uniqueId val="{00000001-9368-476D-88A3-A649380C69B7}"/>
                  </c:ext>
                </c:extLst>
              </c15:ser>
            </c15:filteredBarSeries>
          </c:ext>
        </c:extLst>
      </c:barChart>
      <c:lineChart>
        <c:grouping val="standard"/>
        <c:varyColors val="0"/>
        <c:ser>
          <c:idx val="1"/>
          <c:order val="1"/>
          <c:tx>
            <c:strRef>
              <c:f>'control and safety'!$H$17</c:f>
              <c:strCache>
                <c:ptCount val="1"/>
                <c:pt idx="0">
                  <c:v>Average Agree</c:v>
                </c:pt>
              </c:strCache>
            </c:strRef>
          </c:tx>
          <c:spPr>
            <a:ln w="28575" cap="rnd">
              <a:solidFill>
                <a:schemeClr val="accent2"/>
              </a:solidFill>
              <a:round/>
            </a:ln>
            <a:effectLst/>
          </c:spPr>
          <c:marker>
            <c:symbol val="none"/>
          </c:marker>
          <c:cat>
            <c:strRef>
              <c:f>'control and safety'!$I$12:$Q$12</c:f>
              <c:strCache>
                <c:ptCount val="9"/>
                <c:pt idx="0">
                  <c:v>Under $15K</c:v>
                </c:pt>
                <c:pt idx="1">
                  <c:v>$15K to $25K</c:v>
                </c:pt>
                <c:pt idx="2">
                  <c:v>$25K to $35K</c:v>
                </c:pt>
                <c:pt idx="3">
                  <c:v>$35K to $50K</c:v>
                </c:pt>
                <c:pt idx="4">
                  <c:v>$50K to $75K</c:v>
                </c:pt>
                <c:pt idx="5">
                  <c:v>$75K to $100K</c:v>
                </c:pt>
                <c:pt idx="6">
                  <c:v>$100K to $150K</c:v>
                </c:pt>
                <c:pt idx="7">
                  <c:v>$150K to $200K</c:v>
                </c:pt>
                <c:pt idx="8">
                  <c:v>$200K and over</c:v>
                </c:pt>
              </c:strCache>
              <c:extLst/>
            </c:strRef>
          </c:cat>
          <c:val>
            <c:numRef>
              <c:f>'control and safety'!$I$17:$Q$17</c:f>
              <c:numCache>
                <c:formatCode>0%</c:formatCode>
                <c:ptCount val="9"/>
                <c:pt idx="0">
                  <c:v>0.56000000000000005</c:v>
                </c:pt>
                <c:pt idx="1">
                  <c:v>0.56000000000000005</c:v>
                </c:pt>
                <c:pt idx="2">
                  <c:v>0.56000000000000005</c:v>
                </c:pt>
                <c:pt idx="3">
                  <c:v>0.56000000000000005</c:v>
                </c:pt>
                <c:pt idx="4">
                  <c:v>0.56000000000000005</c:v>
                </c:pt>
                <c:pt idx="5">
                  <c:v>0.56000000000000005</c:v>
                </c:pt>
                <c:pt idx="6">
                  <c:v>0.56000000000000005</c:v>
                </c:pt>
                <c:pt idx="7">
                  <c:v>0.56000000000000005</c:v>
                </c:pt>
                <c:pt idx="8">
                  <c:v>0.56000000000000005</c:v>
                </c:pt>
              </c:numCache>
            </c:numRef>
          </c:val>
          <c:smooth val="0"/>
          <c:extLst>
            <c:ext xmlns:c16="http://schemas.microsoft.com/office/drawing/2014/chart" uri="{C3380CC4-5D6E-409C-BE32-E72D297353CC}">
              <c16:uniqueId val="{00000002-9368-476D-88A3-A649380C69B7}"/>
            </c:ext>
          </c:extLst>
        </c:ser>
        <c:dLbls>
          <c:showLegendKey val="0"/>
          <c:showVal val="0"/>
          <c:showCatName val="0"/>
          <c:showSerName val="0"/>
          <c:showPercent val="0"/>
          <c:showBubbleSize val="0"/>
        </c:dLbls>
        <c:marker val="1"/>
        <c:smooth val="0"/>
        <c:axId val="600187960"/>
        <c:axId val="600189928"/>
      </c:lineChart>
      <c:catAx>
        <c:axId val="600187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0189928"/>
        <c:crosses val="autoZero"/>
        <c:auto val="1"/>
        <c:lblAlgn val="ctr"/>
        <c:lblOffset val="100"/>
        <c:noMultiLvlLbl val="0"/>
      </c:catAx>
      <c:valAx>
        <c:axId val="600189928"/>
        <c:scaling>
          <c:orientation val="minMax"/>
        </c:scaling>
        <c:delete val="0"/>
        <c:axPos val="l"/>
        <c:numFmt formatCode="[&lt;=0]\ ;[&lt;0.005]\-;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0187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'control and safety'!$R$7</c:f>
              <c:strCache>
                <c:ptCount val="1"/>
                <c:pt idx="0">
                  <c:v>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'control and safety'!$S$3:$V$3</c:f>
              <c:strCache>
                <c:ptCount val="4"/>
                <c:pt idx="0">
                  <c:v>Within a capital city</c:v>
                </c:pt>
                <c:pt idx="1">
                  <c:v>Within a major Regional city</c:v>
                </c:pt>
                <c:pt idx="2">
                  <c:v>Within a rural town or its surrounds</c:v>
                </c:pt>
                <c:pt idx="3">
                  <c:v>More than 5km from the nearest town</c:v>
                </c:pt>
              </c:strCache>
              <c:extLst/>
            </c:strRef>
          </c:cat>
          <c:val>
            <c:numRef>
              <c:f>'control and safety'!$S$7:$V$7</c:f>
              <c:numCache>
                <c:formatCode>[&lt;=0]\ ;[&lt;0.005]\-;0%</c:formatCode>
                <c:ptCount val="4"/>
                <c:pt idx="0">
                  <c:v>0.56630518085222903</c:v>
                </c:pt>
                <c:pt idx="1">
                  <c:v>0.56781018581420706</c:v>
                </c:pt>
                <c:pt idx="2">
                  <c:v>0.54107659213513404</c:v>
                </c:pt>
                <c:pt idx="3">
                  <c:v>0.43207950174502796</c:v>
                </c:pt>
              </c:numCache>
            </c:numRef>
          </c:val>
          <c:extLst>
            <c:ext xmlns:c16="http://schemas.microsoft.com/office/drawing/2014/chart" uri="{C3380CC4-5D6E-409C-BE32-E72D297353CC}">
              <c16:uniqueId val="{00000000-1C4E-4C30-AE1F-0746CA9F9ACC}"/>
            </c:ext>
          </c:extLst>
        </c:ser>
        <c:dLbls>
          <c:dLblPos val="ctr"/>
          <c:showLegendKey val="0"/>
          <c:showVal val="1"/>
          <c:showCatName val="0"/>
          <c:showSerName val="0"/>
          <c:showPercent val="0"/>
          <c:showBubbleSize val="0"/>
        </c:dLbls>
        <c:gapWidth val="219"/>
        <c:axId val="597791344"/>
        <c:axId val="597791016"/>
        <c:extLst>
          <c:ext xmlns:c15="http://schemas.microsoft.com/office/drawing/2012/chart" uri="{02D57815-91ED-43cb-92C2-25804820EDAC}">
            <c15:filteredBarSeries>
              <c15:ser>
                <c:idx val="2"/>
                <c:order val="2"/>
                <c:tx>
                  <c:strRef>
                    <c:extLst>
                      <c:ext uri="{02D57815-91ED-43cb-92C2-25804820EDAC}">
                        <c15:formulaRef>
                          <c15:sqref>'control and safety'!$R$9</c15:sqref>
                        </c15:formulaRef>
                      </c:ext>
                    </c:extLst>
                    <c:strCache>
                      <c:ptCount val="1"/>
                      <c:pt idx="0">
                        <c:v>Unsure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'control and safety'!$S$3:$V$3</c15:sqref>
                        </c15:formulaRef>
                      </c:ext>
                    </c:extLst>
                    <c:strCache>
                      <c:ptCount val="4"/>
                      <c:pt idx="0">
                        <c:v>Within a capital city</c:v>
                      </c:pt>
                      <c:pt idx="1">
                        <c:v>Within a major Regional city</c:v>
                      </c:pt>
                      <c:pt idx="2">
                        <c:v>Within a rural town or its surrounds</c:v>
                      </c:pt>
                      <c:pt idx="3">
                        <c:v>More than 5km from the nearest town</c:v>
                      </c:pt>
                    </c:strCache>
                  </c:strRef>
                </c:cat>
                <c:val>
                  <c:numRef>
                    <c:extLst>
                      <c:ext uri="{02D57815-91ED-43cb-92C2-25804820EDAC}">
                        <c15:formulaRef>
                          <c15:sqref>'control and safety'!$S$9:$V$9</c15:sqref>
                        </c15:formulaRef>
                      </c:ext>
                    </c:extLst>
                    <c:numCache>
                      <c:formatCode>[&lt;=0]\ ;[&lt;0.005]\-;0%</c:formatCode>
                      <c:ptCount val="4"/>
                      <c:pt idx="0">
                        <c:v>0.134674196803481</c:v>
                      </c:pt>
                      <c:pt idx="1">
                        <c:v>0.14559182747685101</c:v>
                      </c:pt>
                      <c:pt idx="2">
                        <c:v>0.186191762919729</c:v>
                      </c:pt>
                      <c:pt idx="3">
                        <c:v>0.25957039001836801</c:v>
                      </c:pt>
                    </c:numCache>
                  </c:numRef>
                </c:val>
                <c:extLst>
                  <c:ext xmlns:c16="http://schemas.microsoft.com/office/drawing/2014/chart" uri="{C3380CC4-5D6E-409C-BE32-E72D297353CC}">
                    <c16:uniqueId val="{00000001-1C4E-4C30-AE1F-0746CA9F9ACC}"/>
                  </c:ext>
                </c:extLst>
              </c15:ser>
            </c15:filteredBarSeries>
          </c:ext>
        </c:extLst>
      </c:barChart>
      <c:lineChart>
        <c:grouping val="standard"/>
        <c:varyColors val="0"/>
        <c:ser>
          <c:idx val="1"/>
          <c:order val="1"/>
          <c:tx>
            <c:strRef>
              <c:f>'control and safety'!$R$8</c:f>
              <c:strCache>
                <c:ptCount val="1"/>
                <c:pt idx="0">
                  <c:v>Average Agree</c:v>
                </c:pt>
              </c:strCache>
            </c:strRef>
          </c:tx>
          <c:spPr>
            <a:ln w="28575" cap="rnd">
              <a:solidFill>
                <a:schemeClr val="accent2"/>
              </a:solidFill>
              <a:round/>
            </a:ln>
            <a:effectLst/>
          </c:spPr>
          <c:marker>
            <c:symbol val="none"/>
          </c:marker>
          <c:dLbls>
            <c:delete val="1"/>
          </c:dLbls>
          <c:cat>
            <c:strRef>
              <c:f>'control and safety'!$S$3:$V$3</c:f>
              <c:strCache>
                <c:ptCount val="4"/>
                <c:pt idx="0">
                  <c:v>Within a capital city</c:v>
                </c:pt>
                <c:pt idx="1">
                  <c:v>Within a major Regional city</c:v>
                </c:pt>
                <c:pt idx="2">
                  <c:v>Within a rural town or its surrounds</c:v>
                </c:pt>
                <c:pt idx="3">
                  <c:v>More than 5km from the nearest town</c:v>
                </c:pt>
              </c:strCache>
              <c:extLst/>
            </c:strRef>
          </c:cat>
          <c:val>
            <c:numRef>
              <c:f>'control and safety'!$S$8:$V$8</c:f>
              <c:numCache>
                <c:formatCode>0%</c:formatCode>
                <c:ptCount val="4"/>
                <c:pt idx="0">
                  <c:v>0.56000000000000005</c:v>
                </c:pt>
                <c:pt idx="1">
                  <c:v>0.56000000000000005</c:v>
                </c:pt>
                <c:pt idx="2">
                  <c:v>0.56000000000000005</c:v>
                </c:pt>
                <c:pt idx="3">
                  <c:v>0.56000000000000005</c:v>
                </c:pt>
              </c:numCache>
            </c:numRef>
          </c:val>
          <c:smooth val="0"/>
          <c:extLst>
            <c:ext xmlns:c16="http://schemas.microsoft.com/office/drawing/2014/chart" uri="{C3380CC4-5D6E-409C-BE32-E72D297353CC}">
              <c16:uniqueId val="{00000002-1C4E-4C30-AE1F-0746CA9F9ACC}"/>
            </c:ext>
          </c:extLst>
        </c:ser>
        <c:dLbls>
          <c:dLblPos val="ctr"/>
          <c:showLegendKey val="0"/>
          <c:showVal val="1"/>
          <c:showCatName val="0"/>
          <c:showSerName val="0"/>
          <c:showPercent val="0"/>
          <c:showBubbleSize val="0"/>
        </c:dLbls>
        <c:marker val="1"/>
        <c:smooth val="0"/>
        <c:axId val="597791344"/>
        <c:axId val="597791016"/>
      </c:lineChart>
      <c:catAx>
        <c:axId val="597791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7791016"/>
        <c:crosses val="autoZero"/>
        <c:auto val="1"/>
        <c:lblAlgn val="ctr"/>
        <c:lblOffset val="100"/>
        <c:noMultiLvlLbl val="0"/>
      </c:catAx>
      <c:valAx>
        <c:axId val="597791016"/>
        <c:scaling>
          <c:orientation val="minMax"/>
        </c:scaling>
        <c:delete val="0"/>
        <c:axPos val="l"/>
        <c:numFmt formatCode="[&lt;=0]\ ;[&lt;0.005]\-;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7791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'control and safety'!$R$16</c:f>
              <c:strCache>
                <c:ptCount val="1"/>
                <c:pt idx="0">
                  <c:v>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'control and safety'!$S$12:$V$12</c:f>
              <c:strCache>
                <c:ptCount val="4"/>
                <c:pt idx="0">
                  <c:v>Within a capital city</c:v>
                </c:pt>
                <c:pt idx="1">
                  <c:v>Within a major Regional city</c:v>
                </c:pt>
                <c:pt idx="2">
                  <c:v>Within a rural town or its surrounds</c:v>
                </c:pt>
                <c:pt idx="3">
                  <c:v>More than 5km from the nearest town</c:v>
                </c:pt>
              </c:strCache>
              <c:extLst/>
            </c:strRef>
          </c:cat>
          <c:val>
            <c:numRef>
              <c:f>'control and safety'!$S$16:$V$16</c:f>
              <c:numCache>
                <c:formatCode>[&lt;=0]\ ;[&lt;0.005]\-;0%</c:formatCode>
                <c:ptCount val="4"/>
                <c:pt idx="0">
                  <c:v>0.5596365410365749</c:v>
                </c:pt>
                <c:pt idx="1">
                  <c:v>0.560676775052249</c:v>
                </c:pt>
                <c:pt idx="2">
                  <c:v>0.61188393358169602</c:v>
                </c:pt>
                <c:pt idx="3">
                  <c:v>0.34107953541767499</c:v>
                </c:pt>
              </c:numCache>
            </c:numRef>
          </c:val>
          <c:extLst>
            <c:ext xmlns:c16="http://schemas.microsoft.com/office/drawing/2014/chart" uri="{C3380CC4-5D6E-409C-BE32-E72D297353CC}">
              <c16:uniqueId val="{00000000-5DD2-4241-967D-C34EAE10C509}"/>
            </c:ext>
          </c:extLst>
        </c:ser>
        <c:dLbls>
          <c:dLblPos val="inBase"/>
          <c:showLegendKey val="0"/>
          <c:showVal val="1"/>
          <c:showCatName val="0"/>
          <c:showSerName val="0"/>
          <c:showPercent val="0"/>
          <c:showBubbleSize val="0"/>
        </c:dLbls>
        <c:gapWidth val="219"/>
        <c:axId val="635663336"/>
        <c:axId val="424524832"/>
        <c:extLst>
          <c:ext xmlns:c15="http://schemas.microsoft.com/office/drawing/2012/chart" uri="{02D57815-91ED-43cb-92C2-25804820EDAC}">
            <c15:filteredBarSeries>
              <c15:ser>
                <c:idx val="2"/>
                <c:order val="2"/>
                <c:tx>
                  <c:strRef>
                    <c:extLst>
                      <c:ext uri="{02D57815-91ED-43cb-92C2-25804820EDAC}">
                        <c15:formulaRef>
                          <c15:sqref>'control and safety'!$R$18</c15:sqref>
                        </c15:formulaRef>
                      </c:ext>
                    </c:extLst>
                    <c:strCache>
                      <c:ptCount val="1"/>
                      <c:pt idx="0">
                        <c:v>Unsure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'control and safety'!$S$12:$V$12</c15:sqref>
                        </c15:formulaRef>
                      </c:ext>
                    </c:extLst>
                    <c:strCache>
                      <c:ptCount val="4"/>
                      <c:pt idx="0">
                        <c:v>Within a capital city</c:v>
                      </c:pt>
                      <c:pt idx="1">
                        <c:v>Within a major Regional city</c:v>
                      </c:pt>
                      <c:pt idx="2">
                        <c:v>Within a rural town or its surrounds</c:v>
                      </c:pt>
                      <c:pt idx="3">
                        <c:v>More than 5km from the nearest town</c:v>
                      </c:pt>
                    </c:strCache>
                  </c:strRef>
                </c:cat>
                <c:val>
                  <c:numRef>
                    <c:extLst>
                      <c:ext uri="{02D57815-91ED-43cb-92C2-25804820EDAC}">
                        <c15:formulaRef>
                          <c15:sqref>'control and safety'!$S$18:$V$18</c15:sqref>
                        </c15:formulaRef>
                      </c:ext>
                    </c:extLst>
                    <c:numCache>
                      <c:formatCode>[&lt;=0]\ ;[&lt;0.005]\-;0%</c:formatCode>
                      <c:ptCount val="4"/>
                      <c:pt idx="0">
                        <c:v>0.12108462795681001</c:v>
                      </c:pt>
                      <c:pt idx="1">
                        <c:v>0.10496605693479601</c:v>
                      </c:pt>
                      <c:pt idx="2">
                        <c:v>0.156322998147221</c:v>
                      </c:pt>
                      <c:pt idx="3">
                        <c:v>0.22548485600415299</c:v>
                      </c:pt>
                    </c:numCache>
                  </c:numRef>
                </c:val>
                <c:extLst>
                  <c:ext xmlns:c16="http://schemas.microsoft.com/office/drawing/2014/chart" uri="{C3380CC4-5D6E-409C-BE32-E72D297353CC}">
                    <c16:uniqueId val="{00000001-5DD2-4241-967D-C34EAE10C509}"/>
                  </c:ext>
                </c:extLst>
              </c15:ser>
            </c15:filteredBarSeries>
          </c:ext>
        </c:extLst>
      </c:barChart>
      <c:lineChart>
        <c:grouping val="standard"/>
        <c:varyColors val="0"/>
        <c:ser>
          <c:idx val="1"/>
          <c:order val="1"/>
          <c:tx>
            <c:strRef>
              <c:f>'control and safety'!$R$17</c:f>
              <c:strCache>
                <c:ptCount val="1"/>
                <c:pt idx="0">
                  <c:v>Average Agree</c:v>
                </c:pt>
              </c:strCache>
            </c:strRef>
          </c:tx>
          <c:spPr>
            <a:ln w="28575" cap="rnd">
              <a:solidFill>
                <a:schemeClr val="accent2"/>
              </a:solidFill>
              <a:round/>
            </a:ln>
            <a:effectLst/>
          </c:spPr>
          <c:marker>
            <c:symbol val="none"/>
          </c:marker>
          <c:dLbls>
            <c:delete val="1"/>
          </c:dLbls>
          <c:cat>
            <c:strRef>
              <c:f>'control and safety'!$S$12:$V$12</c:f>
              <c:strCache>
                <c:ptCount val="4"/>
                <c:pt idx="0">
                  <c:v>Within a capital city</c:v>
                </c:pt>
                <c:pt idx="1">
                  <c:v>Within a major Regional city</c:v>
                </c:pt>
                <c:pt idx="2">
                  <c:v>Within a rural town or its surrounds</c:v>
                </c:pt>
                <c:pt idx="3">
                  <c:v>More than 5km from the nearest town</c:v>
                </c:pt>
              </c:strCache>
              <c:extLst/>
            </c:strRef>
          </c:cat>
          <c:val>
            <c:numRef>
              <c:f>'control and safety'!$S$17:$V$17</c:f>
              <c:numCache>
                <c:formatCode>0%</c:formatCode>
                <c:ptCount val="4"/>
                <c:pt idx="0">
                  <c:v>0.56000000000000005</c:v>
                </c:pt>
                <c:pt idx="1">
                  <c:v>0.56000000000000005</c:v>
                </c:pt>
                <c:pt idx="2">
                  <c:v>0.56000000000000005</c:v>
                </c:pt>
                <c:pt idx="3">
                  <c:v>0.56000000000000005</c:v>
                </c:pt>
              </c:numCache>
            </c:numRef>
          </c:val>
          <c:smooth val="0"/>
          <c:extLst>
            <c:ext xmlns:c16="http://schemas.microsoft.com/office/drawing/2014/chart" uri="{C3380CC4-5D6E-409C-BE32-E72D297353CC}">
              <c16:uniqueId val="{00000002-5DD2-4241-967D-C34EAE10C509}"/>
            </c:ext>
          </c:extLst>
        </c:ser>
        <c:dLbls>
          <c:showLegendKey val="0"/>
          <c:showVal val="1"/>
          <c:showCatName val="0"/>
          <c:showSerName val="0"/>
          <c:showPercent val="0"/>
          <c:showBubbleSize val="0"/>
        </c:dLbls>
        <c:marker val="1"/>
        <c:smooth val="0"/>
        <c:axId val="635663336"/>
        <c:axId val="424524832"/>
      </c:lineChart>
      <c:catAx>
        <c:axId val="635663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4524832"/>
        <c:crosses val="autoZero"/>
        <c:auto val="1"/>
        <c:lblAlgn val="ctr"/>
        <c:lblOffset val="100"/>
        <c:noMultiLvlLbl val="0"/>
      </c:catAx>
      <c:valAx>
        <c:axId val="424524832"/>
        <c:scaling>
          <c:orientation val="minMax"/>
        </c:scaling>
        <c:delete val="0"/>
        <c:axPos val="l"/>
        <c:numFmt formatCode="[&lt;=0]\ ;[&lt;0.005]\-;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5663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'scams and apps'!$C$7</c:f>
              <c:strCache>
                <c:ptCount val="1"/>
                <c:pt idx="0">
                  <c:v>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'scams and apps'!$D$3:$F$3</c:f>
              <c:strCache>
                <c:ptCount val="3"/>
                <c:pt idx="0">
                  <c:v>18 to 29</c:v>
                </c:pt>
                <c:pt idx="1">
                  <c:v>30 to 49</c:v>
                </c:pt>
                <c:pt idx="2">
                  <c:v>50+</c:v>
                </c:pt>
              </c:strCache>
              <c:extLst/>
            </c:strRef>
          </c:cat>
          <c:val>
            <c:numRef>
              <c:f>'scams and apps'!$D$7:$F$7</c:f>
              <c:numCache>
                <c:formatCode>[&lt;=0]\ ;[&lt;0.005]\-;0%</c:formatCode>
                <c:ptCount val="3"/>
                <c:pt idx="0">
                  <c:v>0.72733699299348298</c:v>
                </c:pt>
                <c:pt idx="1">
                  <c:v>0.70010547756377206</c:v>
                </c:pt>
                <c:pt idx="2">
                  <c:v>0.80939552836707107</c:v>
                </c:pt>
              </c:numCache>
            </c:numRef>
          </c:val>
          <c:extLst>
            <c:ext xmlns:c16="http://schemas.microsoft.com/office/drawing/2014/chart" uri="{C3380CC4-5D6E-409C-BE32-E72D297353CC}">
              <c16:uniqueId val="{00000000-782D-4017-A7FA-D57B13C61FAC}"/>
            </c:ext>
          </c:extLst>
        </c:ser>
        <c:dLbls>
          <c:dLblPos val="inBase"/>
          <c:showLegendKey val="0"/>
          <c:showVal val="1"/>
          <c:showCatName val="0"/>
          <c:showSerName val="0"/>
          <c:showPercent val="0"/>
          <c:showBubbleSize val="0"/>
        </c:dLbls>
        <c:gapWidth val="219"/>
        <c:axId val="539022560"/>
        <c:axId val="539020920"/>
        <c:extLst>
          <c:ext xmlns:c15="http://schemas.microsoft.com/office/drawing/2012/chart" uri="{02D57815-91ED-43cb-92C2-25804820EDAC}">
            <c15:filteredBarSeries>
              <c15:ser>
                <c:idx val="2"/>
                <c:order val="2"/>
                <c:tx>
                  <c:strRef>
                    <c:extLst>
                      <c:ext uri="{02D57815-91ED-43cb-92C2-25804820EDAC}">
                        <c15:formulaRef>
                          <c15:sqref>'scams and apps'!$C$9</c15:sqref>
                        </c15:formulaRef>
                      </c:ext>
                    </c:extLst>
                    <c:strCache>
                      <c:ptCount val="1"/>
                      <c:pt idx="0">
                        <c:v>Unsure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'scams and apps'!$D$3:$F$3</c15:sqref>
                        </c15:formulaRef>
                      </c:ext>
                    </c:extLst>
                    <c:strCache>
                      <c:ptCount val="3"/>
                      <c:pt idx="0">
                        <c:v>18 to 29</c:v>
                      </c:pt>
                      <c:pt idx="1">
                        <c:v>30 to 49</c:v>
                      </c:pt>
                      <c:pt idx="2">
                        <c:v>50+</c:v>
                      </c:pt>
                    </c:strCache>
                  </c:strRef>
                </c:cat>
                <c:val>
                  <c:numRef>
                    <c:extLst>
                      <c:ext uri="{02D57815-91ED-43cb-92C2-25804820EDAC}">
                        <c15:formulaRef>
                          <c15:sqref>'scams and apps'!$D$9:$F$9</c15:sqref>
                        </c15:formulaRef>
                      </c:ext>
                    </c:extLst>
                    <c:numCache>
                      <c:formatCode>[&lt;=0]\ ;[&lt;0.005]\-;0%</c:formatCode>
                      <c:ptCount val="3"/>
                      <c:pt idx="0">
                        <c:v>7.6278187882289003E-2</c:v>
                      </c:pt>
                      <c:pt idx="1">
                        <c:v>0.12162627534406199</c:v>
                      </c:pt>
                      <c:pt idx="2">
                        <c:v>0.135403521269192</c:v>
                      </c:pt>
                    </c:numCache>
                  </c:numRef>
                </c:val>
                <c:extLst>
                  <c:ext xmlns:c16="http://schemas.microsoft.com/office/drawing/2014/chart" uri="{C3380CC4-5D6E-409C-BE32-E72D297353CC}">
                    <c16:uniqueId val="{00000001-782D-4017-A7FA-D57B13C61FAC}"/>
                  </c:ext>
                </c:extLst>
              </c15:ser>
            </c15:filteredBarSeries>
          </c:ext>
        </c:extLst>
      </c:barChart>
      <c:lineChart>
        <c:grouping val="standard"/>
        <c:varyColors val="0"/>
        <c:ser>
          <c:idx val="1"/>
          <c:order val="1"/>
          <c:tx>
            <c:strRef>
              <c:f>'scams and apps'!$C$8</c:f>
              <c:strCache>
                <c:ptCount val="1"/>
                <c:pt idx="0">
                  <c:v>Average Agree</c:v>
                </c:pt>
              </c:strCache>
            </c:strRef>
          </c:tx>
          <c:spPr>
            <a:ln w="28575" cap="rnd">
              <a:solidFill>
                <a:schemeClr val="accent2"/>
              </a:solidFill>
              <a:round/>
            </a:ln>
            <a:effectLst/>
          </c:spPr>
          <c:marker>
            <c:symbol val="none"/>
          </c:marker>
          <c:dLbls>
            <c:delete val="1"/>
          </c:dLbls>
          <c:cat>
            <c:strRef>
              <c:f>'scams and apps'!$D$3:$F$3</c:f>
              <c:strCache>
                <c:ptCount val="3"/>
                <c:pt idx="0">
                  <c:v>18 to 29</c:v>
                </c:pt>
                <c:pt idx="1">
                  <c:v>30 to 49</c:v>
                </c:pt>
                <c:pt idx="2">
                  <c:v>50+</c:v>
                </c:pt>
              </c:strCache>
              <c:extLst/>
            </c:strRef>
          </c:cat>
          <c:val>
            <c:numRef>
              <c:f>'scams and apps'!$D$8:$F$8</c:f>
              <c:numCache>
                <c:formatCode>[&lt;=0]\ ;[&lt;0.005]\-;0%</c:formatCode>
                <c:ptCount val="3"/>
                <c:pt idx="0">
                  <c:v>0.76</c:v>
                </c:pt>
                <c:pt idx="1">
                  <c:v>0.76</c:v>
                </c:pt>
                <c:pt idx="2">
                  <c:v>0.76</c:v>
                </c:pt>
              </c:numCache>
            </c:numRef>
          </c:val>
          <c:smooth val="0"/>
          <c:extLst>
            <c:ext xmlns:c16="http://schemas.microsoft.com/office/drawing/2014/chart" uri="{C3380CC4-5D6E-409C-BE32-E72D297353CC}">
              <c16:uniqueId val="{00000002-782D-4017-A7FA-D57B13C61FAC}"/>
            </c:ext>
          </c:extLst>
        </c:ser>
        <c:dLbls>
          <c:showLegendKey val="0"/>
          <c:showVal val="1"/>
          <c:showCatName val="0"/>
          <c:showSerName val="0"/>
          <c:showPercent val="0"/>
          <c:showBubbleSize val="0"/>
        </c:dLbls>
        <c:marker val="1"/>
        <c:smooth val="0"/>
        <c:axId val="539022560"/>
        <c:axId val="539020920"/>
      </c:lineChart>
      <c:catAx>
        <c:axId val="53902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9020920"/>
        <c:crosses val="autoZero"/>
        <c:auto val="1"/>
        <c:lblAlgn val="ctr"/>
        <c:lblOffset val="100"/>
        <c:noMultiLvlLbl val="0"/>
      </c:catAx>
      <c:valAx>
        <c:axId val="539020920"/>
        <c:scaling>
          <c:orientation val="minMax"/>
        </c:scaling>
        <c:delete val="0"/>
        <c:axPos val="l"/>
        <c:numFmt formatCode="[&lt;=0]\ ;[&lt;0.005]\-;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9022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'scams and apps'!$D$16</c:f>
              <c:strCache>
                <c:ptCount val="1"/>
                <c:pt idx="0">
                  <c:v>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'scams and apps'!$E$12:$G$12</c:f>
              <c:strCache>
                <c:ptCount val="3"/>
                <c:pt idx="0">
                  <c:v>18 to 29</c:v>
                </c:pt>
                <c:pt idx="1">
                  <c:v>30 to 49</c:v>
                </c:pt>
                <c:pt idx="2">
                  <c:v>50+</c:v>
                </c:pt>
              </c:strCache>
              <c:extLst/>
            </c:strRef>
          </c:cat>
          <c:val>
            <c:numRef>
              <c:f>'scams and apps'!$E$16:$G$16</c:f>
              <c:numCache>
                <c:formatCode>[&lt;=0]\ ;[&lt;0.005]\-;0%</c:formatCode>
                <c:ptCount val="3"/>
                <c:pt idx="0">
                  <c:v>0.770650682203742</c:v>
                </c:pt>
                <c:pt idx="1">
                  <c:v>0.90005751800797795</c:v>
                </c:pt>
                <c:pt idx="2">
                  <c:v>0.90898465535600503</c:v>
                </c:pt>
              </c:numCache>
            </c:numRef>
          </c:val>
          <c:extLst>
            <c:ext xmlns:c16="http://schemas.microsoft.com/office/drawing/2014/chart" uri="{C3380CC4-5D6E-409C-BE32-E72D297353CC}">
              <c16:uniqueId val="{00000000-7ADF-498E-9D91-50501A441999}"/>
            </c:ext>
          </c:extLst>
        </c:ser>
        <c:dLbls>
          <c:dLblPos val="inEnd"/>
          <c:showLegendKey val="0"/>
          <c:showVal val="1"/>
          <c:showCatName val="0"/>
          <c:showSerName val="0"/>
          <c:showPercent val="0"/>
          <c:showBubbleSize val="0"/>
        </c:dLbls>
        <c:gapWidth val="219"/>
        <c:axId val="704085448"/>
        <c:axId val="704088728"/>
      </c:barChart>
      <c:catAx>
        <c:axId val="704085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4088728"/>
        <c:crosses val="autoZero"/>
        <c:auto val="1"/>
        <c:lblAlgn val="ctr"/>
        <c:lblOffset val="100"/>
        <c:noMultiLvlLbl val="0"/>
      </c:catAx>
      <c:valAx>
        <c:axId val="704088728"/>
        <c:scaling>
          <c:orientation val="minMax"/>
        </c:scaling>
        <c:delete val="0"/>
        <c:axPos val="l"/>
        <c:numFmt formatCode="[&lt;=0]\ ;[&lt;0.005]\-;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40854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'scams and apps'!$D$21</c:f>
              <c:strCache>
                <c:ptCount val="1"/>
                <c:pt idx="0">
                  <c:v>18 to 29</c:v>
                </c:pt>
              </c:strCache>
            </c:strRef>
          </c:tx>
          <c:spPr>
            <a:solidFill>
              <a:schemeClr val="accent1"/>
            </a:solidFill>
            <a:ln>
              <a:noFill/>
            </a:ln>
            <a:effectLst/>
          </c:spPr>
          <c:invertIfNegative val="0"/>
          <c:cat>
            <c:strRef>
              <c:f>'scams and apps'!$C$22:$C$24</c:f>
              <c:strCache>
                <c:ptCount val="3"/>
                <c:pt idx="0">
                  <c:v>Somewhat agree</c:v>
                </c:pt>
                <c:pt idx="1">
                  <c:v>Agree</c:v>
                </c:pt>
                <c:pt idx="2">
                  <c:v>Strongly Agree</c:v>
                </c:pt>
              </c:strCache>
            </c:strRef>
          </c:cat>
          <c:val>
            <c:numRef>
              <c:f>'scams and apps'!$D$22:$D$24</c:f>
              <c:numCache>
                <c:formatCode>[&lt;=0]\ ;[&lt;0.005]\-;0%</c:formatCode>
                <c:ptCount val="3"/>
                <c:pt idx="0">
                  <c:v>0.23291309192149501</c:v>
                </c:pt>
                <c:pt idx="1">
                  <c:v>0.28535356217195501</c:v>
                </c:pt>
                <c:pt idx="2">
                  <c:v>0.104511022467908</c:v>
                </c:pt>
              </c:numCache>
            </c:numRef>
          </c:val>
          <c:extLst>
            <c:ext xmlns:c16="http://schemas.microsoft.com/office/drawing/2014/chart" uri="{C3380CC4-5D6E-409C-BE32-E72D297353CC}">
              <c16:uniqueId val="{00000000-7EB7-4E39-B9E7-DE01CC6D5E69}"/>
            </c:ext>
          </c:extLst>
        </c:ser>
        <c:ser>
          <c:idx val="1"/>
          <c:order val="1"/>
          <c:tx>
            <c:strRef>
              <c:f>'scams and apps'!$E$21</c:f>
              <c:strCache>
                <c:ptCount val="1"/>
                <c:pt idx="0">
                  <c:v>30 to 49</c:v>
                </c:pt>
              </c:strCache>
            </c:strRef>
          </c:tx>
          <c:spPr>
            <a:solidFill>
              <a:schemeClr val="accent2"/>
            </a:solidFill>
            <a:ln>
              <a:noFill/>
            </a:ln>
            <a:effectLst/>
          </c:spPr>
          <c:invertIfNegative val="0"/>
          <c:cat>
            <c:strRef>
              <c:f>'scams and apps'!$C$22:$C$24</c:f>
              <c:strCache>
                <c:ptCount val="3"/>
                <c:pt idx="0">
                  <c:v>Somewhat agree</c:v>
                </c:pt>
                <c:pt idx="1">
                  <c:v>Agree</c:v>
                </c:pt>
                <c:pt idx="2">
                  <c:v>Strongly Agree</c:v>
                </c:pt>
              </c:strCache>
            </c:strRef>
          </c:cat>
          <c:val>
            <c:numRef>
              <c:f>'scams and apps'!$E$22:$E$24</c:f>
              <c:numCache>
                <c:formatCode>[&lt;=0]\ ;[&lt;0.005]\-;0%</c:formatCode>
                <c:ptCount val="3"/>
                <c:pt idx="0">
                  <c:v>0.33789545449217101</c:v>
                </c:pt>
                <c:pt idx="1">
                  <c:v>0.25883885433281401</c:v>
                </c:pt>
                <c:pt idx="2">
                  <c:v>0.118158298368261</c:v>
                </c:pt>
              </c:numCache>
            </c:numRef>
          </c:val>
          <c:extLst>
            <c:ext xmlns:c16="http://schemas.microsoft.com/office/drawing/2014/chart" uri="{C3380CC4-5D6E-409C-BE32-E72D297353CC}">
              <c16:uniqueId val="{00000001-7EB7-4E39-B9E7-DE01CC6D5E69}"/>
            </c:ext>
          </c:extLst>
        </c:ser>
        <c:ser>
          <c:idx val="2"/>
          <c:order val="2"/>
          <c:tx>
            <c:strRef>
              <c:f>'scams and apps'!$F$21</c:f>
              <c:strCache>
                <c:ptCount val="1"/>
                <c:pt idx="0">
                  <c:v>50+</c:v>
                </c:pt>
              </c:strCache>
            </c:strRef>
          </c:tx>
          <c:spPr>
            <a:solidFill>
              <a:schemeClr val="accent3"/>
            </a:solidFill>
            <a:ln>
              <a:noFill/>
            </a:ln>
            <a:effectLst/>
          </c:spPr>
          <c:invertIfNegative val="0"/>
          <c:cat>
            <c:strRef>
              <c:f>'scams and apps'!$C$22:$C$24</c:f>
              <c:strCache>
                <c:ptCount val="3"/>
                <c:pt idx="0">
                  <c:v>Somewhat agree</c:v>
                </c:pt>
                <c:pt idx="1">
                  <c:v>Agree</c:v>
                </c:pt>
                <c:pt idx="2">
                  <c:v>Strongly Agree</c:v>
                </c:pt>
              </c:strCache>
            </c:strRef>
          </c:cat>
          <c:val>
            <c:numRef>
              <c:f>'scams and apps'!$F$22:$F$24</c:f>
              <c:numCache>
                <c:formatCode>[&lt;=0]\ ;[&lt;0.005]\-;0%</c:formatCode>
                <c:ptCount val="3"/>
                <c:pt idx="0">
                  <c:v>0.354458545200944</c:v>
                </c:pt>
                <c:pt idx="1">
                  <c:v>0.207061814104778</c:v>
                </c:pt>
                <c:pt idx="2">
                  <c:v>5.2607555785623997E-2</c:v>
                </c:pt>
              </c:numCache>
            </c:numRef>
          </c:val>
          <c:extLst>
            <c:ext xmlns:c16="http://schemas.microsoft.com/office/drawing/2014/chart" uri="{C3380CC4-5D6E-409C-BE32-E72D297353CC}">
              <c16:uniqueId val="{00000002-7EB7-4E39-B9E7-DE01CC6D5E69}"/>
            </c:ext>
          </c:extLst>
        </c:ser>
        <c:dLbls>
          <c:showLegendKey val="0"/>
          <c:showVal val="0"/>
          <c:showCatName val="0"/>
          <c:showSerName val="0"/>
          <c:showPercent val="0"/>
          <c:showBubbleSize val="0"/>
        </c:dLbls>
        <c:gapWidth val="219"/>
        <c:overlap val="-27"/>
        <c:axId val="709455648"/>
        <c:axId val="500869528"/>
      </c:barChart>
      <c:catAx>
        <c:axId val="709455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0869528"/>
        <c:crosses val="autoZero"/>
        <c:auto val="1"/>
        <c:lblAlgn val="ctr"/>
        <c:lblOffset val="100"/>
        <c:noMultiLvlLbl val="0"/>
      </c:catAx>
      <c:valAx>
        <c:axId val="500869528"/>
        <c:scaling>
          <c:orientation val="minMax"/>
        </c:scaling>
        <c:delete val="0"/>
        <c:axPos val="l"/>
        <c:majorGridlines>
          <c:spPr>
            <a:ln w="9525" cap="flat" cmpd="sng" algn="ctr">
              <a:solidFill>
                <a:schemeClr val="tx1">
                  <a:lumMod val="15000"/>
                  <a:lumOff val="85000"/>
                </a:schemeClr>
              </a:solidFill>
              <a:round/>
            </a:ln>
            <a:effectLst/>
          </c:spPr>
        </c:majorGridlines>
        <c:numFmt formatCode="[&lt;=0]\ ;[&lt;0.005]\-;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9455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withinLinear" id="14">
  <a:schemeClr val="accent1"/>
</cs:colorStyle>
</file>

<file path=word/charts/colors15.xml><?xml version="1.0" encoding="utf-8"?>
<cs:colorStyle xmlns:cs="http://schemas.microsoft.com/office/drawing/2012/chartStyle" xmlns:a="http://schemas.openxmlformats.org/drawingml/2006/main" meth="withinLinear" id="14">
  <a:schemeClr val="accent1"/>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3C7F4"/>
      </a:accent1>
      <a:accent2>
        <a:srgbClr val="3E79A3"/>
      </a:accent2>
      <a:accent3>
        <a:srgbClr val="F05E5E"/>
      </a:accent3>
      <a:accent4>
        <a:srgbClr val="E5BB47"/>
      </a:accent4>
      <a:accent5>
        <a:srgbClr val="4FC2C1"/>
      </a:accent5>
      <a:accent6>
        <a:srgbClr val="757FB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 xmlns:b="http://schemas.openxmlformats.org/officeDocument/2006/bibliography" xmlns="http://schemas.openxmlformats.org/officeDocument/2006/bibliography">
    <b:Tag>Placeholder3</b:Tag>
    <b:RefOrder>3</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Rebekah Sarkoezy</DisplayName>
        <AccountId>16</AccountId>
        <AccountType/>
      </UserInfo>
      <UserInfo>
        <DisplayName>Meredith Lea</DisplayName>
        <AccountId>27</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3E4A5C17F963D4A81626FBA9D0C3C6E" ma:contentTypeVersion="8" ma:contentTypeDescription="Create a new document." ma:contentTypeScope="" ma:versionID="d264556abd98f1c5225bdb984c28e778">
  <xsd:schema xmlns:xsd="http://www.w3.org/2001/XMLSchema" xmlns:xs="http://www.w3.org/2001/XMLSchema" xmlns:p="http://schemas.microsoft.com/office/2006/metadata/properties" xmlns:ns2="25af2f0e-673d-4721-b64c-73e7c4e9e0c5" xmlns:ns3="2afa1a33-c191-48ee-b288-192490d33fec" targetNamespace="http://schemas.microsoft.com/office/2006/metadata/properties" ma:root="true" ma:fieldsID="d478046a8e062f5f5d13a85f4386f560" ns2:_="" ns3:_="">
    <xsd:import namespace="25af2f0e-673d-4721-b64c-73e7c4e9e0c5"/>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f2f0e-673d-4721-b64c-73e7c4e9e0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D6AB5B-4BC6-45AF-ACC9-A99FA1A8EC38}">
  <ds:schemaRefs>
    <ds:schemaRef ds:uri="http://schemas.openxmlformats.org/officeDocument/2006/bibliography"/>
  </ds:schemaRefs>
</ds:datastoreItem>
</file>

<file path=customXml/itemProps2.xml><?xml version="1.0" encoding="utf-8"?>
<ds:datastoreItem xmlns:ds="http://schemas.openxmlformats.org/officeDocument/2006/customXml" ds:itemID="{122F4F94-1AF4-4521-991E-7AE5BA2A5212}">
  <ds:schemaRefs>
    <ds:schemaRef ds:uri="http://schemas.microsoft.com/office/2006/metadata/properties"/>
    <ds:schemaRef ds:uri="http://schemas.microsoft.com/office/infopath/2007/PartnerControls"/>
    <ds:schemaRef ds:uri="2afa1a33-c191-48ee-b288-192490d33fec"/>
  </ds:schemaRefs>
</ds:datastoreItem>
</file>

<file path=customXml/itemProps3.xml><?xml version="1.0" encoding="utf-8"?>
<ds:datastoreItem xmlns:ds="http://schemas.openxmlformats.org/officeDocument/2006/customXml" ds:itemID="{C6C21FB9-1321-4B4B-A22E-45DA56E9FF65}">
  <ds:schemaRefs>
    <ds:schemaRef ds:uri="http://schemas.microsoft.com/sharepoint/v3/contenttype/forms"/>
  </ds:schemaRefs>
</ds:datastoreItem>
</file>

<file path=customXml/itemProps4.xml><?xml version="1.0" encoding="utf-8"?>
<ds:datastoreItem xmlns:ds="http://schemas.openxmlformats.org/officeDocument/2006/customXml" ds:itemID="{00DC05F7-AAC1-452C-89FF-99055BCF2C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f2f0e-673d-4721-b64c-73e7c4e9e0c5"/>
    <ds:schemaRef ds:uri="2afa1a33-c191-48ee-b288-192490d33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DocumentTemplate-Blank.dotx</Template>
  <TotalTime>432</TotalTime>
  <Pages>1</Pages>
  <Words>3865</Words>
  <Characters>22032</Characters>
  <Application>Microsoft Office Word</Application>
  <DocSecurity>4</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25846</CharactersWithSpaces>
  <SharedDoc>false</SharedDoc>
  <HLinks>
    <vt:vector size="144" baseType="variant">
      <vt:variant>
        <vt:i4>7536702</vt:i4>
      </vt:variant>
      <vt:variant>
        <vt:i4>69</vt:i4>
      </vt:variant>
      <vt:variant>
        <vt:i4>0</vt:i4>
      </vt:variant>
      <vt:variant>
        <vt:i4>5</vt:i4>
      </vt:variant>
      <vt:variant>
        <vt:lpwstr>https://accan.org.au/accans-work/submissions/2018-accc-report-on-social-media-services-issues-paper</vt:lpwstr>
      </vt:variant>
      <vt:variant>
        <vt:lpwstr/>
      </vt:variant>
      <vt:variant>
        <vt:i4>4456533</vt:i4>
      </vt:variant>
      <vt:variant>
        <vt:i4>66</vt:i4>
      </vt:variant>
      <vt:variant>
        <vt:i4>0</vt:i4>
      </vt:variant>
      <vt:variant>
        <vt:i4>5</vt:i4>
      </vt:variant>
      <vt:variant>
        <vt:lpwstr>https://about.fb.com/news/2021/04/transfer-your-facebook-posts-and-notes-with-our-expanded-data-portability-tool/</vt:lpwstr>
      </vt:variant>
      <vt:variant>
        <vt:lpwstr/>
      </vt:variant>
      <vt:variant>
        <vt:i4>393295</vt:i4>
      </vt:variant>
      <vt:variant>
        <vt:i4>63</vt:i4>
      </vt:variant>
      <vt:variant>
        <vt:i4>0</vt:i4>
      </vt:variant>
      <vt:variant>
        <vt:i4>5</vt:i4>
      </vt:variant>
      <vt:variant>
        <vt:lpwstr>https://datatransferproject.dev/</vt:lpwstr>
      </vt:variant>
      <vt:variant>
        <vt:lpwstr/>
      </vt:variant>
      <vt:variant>
        <vt:i4>4456533</vt:i4>
      </vt:variant>
      <vt:variant>
        <vt:i4>60</vt:i4>
      </vt:variant>
      <vt:variant>
        <vt:i4>0</vt:i4>
      </vt:variant>
      <vt:variant>
        <vt:i4>5</vt:i4>
      </vt:variant>
      <vt:variant>
        <vt:lpwstr>https://about.fb.com/news/2021/04/transfer-your-facebook-posts-and-notes-with-our-expanded-data-portability-tool/</vt:lpwstr>
      </vt:variant>
      <vt:variant>
        <vt:lpwstr/>
      </vt:variant>
      <vt:variant>
        <vt:i4>3997742</vt:i4>
      </vt:variant>
      <vt:variant>
        <vt:i4>57</vt:i4>
      </vt:variant>
      <vt:variant>
        <vt:i4>0</vt:i4>
      </vt:variant>
      <vt:variant>
        <vt:i4>5</vt:i4>
      </vt:variant>
      <vt:variant>
        <vt:lpwstr>https://blog.google/outreach-initiatives/public-policy/building-data-portability-help-consumers-choose/</vt:lpwstr>
      </vt:variant>
      <vt:variant>
        <vt:lpwstr/>
      </vt:variant>
      <vt:variant>
        <vt:i4>2424889</vt:i4>
      </vt:variant>
      <vt:variant>
        <vt:i4>54</vt:i4>
      </vt:variant>
      <vt:variant>
        <vt:i4>0</vt:i4>
      </vt:variant>
      <vt:variant>
        <vt:i4>5</vt:i4>
      </vt:variant>
      <vt:variant>
        <vt:lpwstr>https://techcrunch.com/2022/03/10/googles-message-app-can-now-handle-imessage-reactions-challenges-apple-with-new-features/</vt:lpwstr>
      </vt:variant>
      <vt:variant>
        <vt:lpwstr/>
      </vt:variant>
      <vt:variant>
        <vt:i4>2162722</vt:i4>
      </vt:variant>
      <vt:variant>
        <vt:i4>51</vt:i4>
      </vt:variant>
      <vt:variant>
        <vt:i4>0</vt:i4>
      </vt:variant>
      <vt:variant>
        <vt:i4>5</vt:i4>
      </vt:variant>
      <vt:variant>
        <vt:lpwstr>https://techcrunch.com/2020/09/30/facebook-introduces-cross-app-communication-between-messenger-and-instagram-plus-other-features/</vt:lpwstr>
      </vt:variant>
      <vt:variant>
        <vt:lpwstr/>
      </vt:variant>
      <vt:variant>
        <vt:i4>5636172</vt:i4>
      </vt:variant>
      <vt:variant>
        <vt:i4>48</vt:i4>
      </vt:variant>
      <vt:variant>
        <vt:i4>0</vt:i4>
      </vt:variant>
      <vt:variant>
        <vt:i4>5</vt:i4>
      </vt:variant>
      <vt:variant>
        <vt:lpwstr>http://lbsresearch.london.edu/id/eprint/914/1/9780190845124_Barwise_Chapter 1.pdf</vt:lpwstr>
      </vt:variant>
      <vt:variant>
        <vt:lpwstr/>
      </vt:variant>
      <vt:variant>
        <vt:i4>7602298</vt:i4>
      </vt:variant>
      <vt:variant>
        <vt:i4>45</vt:i4>
      </vt:variant>
      <vt:variant>
        <vt:i4>0</vt:i4>
      </vt:variant>
      <vt:variant>
        <vt:i4>5</vt:i4>
      </vt:variant>
      <vt:variant>
        <vt:lpwstr>https://www.accc.gov.au/publications/digital-platforms-inquiry-final-report</vt:lpwstr>
      </vt:variant>
      <vt:variant>
        <vt:lpwstr/>
      </vt:variant>
      <vt:variant>
        <vt:i4>2359354</vt:i4>
      </vt:variant>
      <vt:variant>
        <vt:i4>42</vt:i4>
      </vt:variant>
      <vt:variant>
        <vt:i4>0</vt:i4>
      </vt:variant>
      <vt:variant>
        <vt:i4>5</vt:i4>
      </vt:variant>
      <vt:variant>
        <vt:lpwstr>https://www.accc.gov.au/focus-areas/inquiries-ongoing/digital-platform-services-inquiry-2020-2025/september-2022-interim-report</vt:lpwstr>
      </vt:variant>
      <vt:variant>
        <vt:lpwstr/>
      </vt:variant>
      <vt:variant>
        <vt:i4>1638475</vt:i4>
      </vt:variant>
      <vt:variant>
        <vt:i4>39</vt:i4>
      </vt:variant>
      <vt:variant>
        <vt:i4>0</vt:i4>
      </vt:variant>
      <vt:variant>
        <vt:i4>5</vt:i4>
      </vt:variant>
      <vt:variant>
        <vt:lpwstr>https://www.accc.gov.au/publications/serial-publications/digital-platform-services-inquiry-2020-2025/digital-platform-services-inquiry-march-2021-interim-report</vt:lpwstr>
      </vt:variant>
      <vt:variant>
        <vt:lpwstr/>
      </vt:variant>
      <vt:variant>
        <vt:i4>2228322</vt:i4>
      </vt:variant>
      <vt:variant>
        <vt:i4>36</vt:i4>
      </vt:variant>
      <vt:variant>
        <vt:i4>0</vt:i4>
      </vt:variant>
      <vt:variant>
        <vt:i4>5</vt:i4>
      </vt:variant>
      <vt:variant>
        <vt:lpwstr>https://www.accc.gov.au/publications/targeting-scams-report-on-scam-activity/targeting-scams-report-of-the-accc-on-scams-activity-2021</vt:lpwstr>
      </vt:variant>
      <vt:variant>
        <vt:lpwstr/>
      </vt:variant>
      <vt:variant>
        <vt:i4>1245273</vt:i4>
      </vt:variant>
      <vt:variant>
        <vt:i4>33</vt:i4>
      </vt:variant>
      <vt:variant>
        <vt:i4>0</vt:i4>
      </vt:variant>
      <vt:variant>
        <vt:i4>5</vt:i4>
      </vt:variant>
      <vt:variant>
        <vt:lpwstr>https://consumeraction.org.au/crypto-as-risky-as-gambling-and-a-haven-for-scams-that-demands-action/</vt:lpwstr>
      </vt:variant>
      <vt:variant>
        <vt:lpwstr/>
      </vt:variant>
      <vt:variant>
        <vt:i4>7471231</vt:i4>
      </vt:variant>
      <vt:variant>
        <vt:i4>30</vt:i4>
      </vt:variant>
      <vt:variant>
        <vt:i4>0</vt:i4>
      </vt:variant>
      <vt:variant>
        <vt:i4>5</vt:i4>
      </vt:variant>
      <vt:variant>
        <vt:lpwstr>https://theconversation.com/the-accc-is-suing-meta-for-celebrity-crypto-scam-ads-on-facebook-heres-why-the-tech-giant-could-be-found-liable-179655</vt:lpwstr>
      </vt:variant>
      <vt:variant>
        <vt:lpwstr/>
      </vt:variant>
      <vt:variant>
        <vt:i4>4522072</vt:i4>
      </vt:variant>
      <vt:variant>
        <vt:i4>27</vt:i4>
      </vt:variant>
      <vt:variant>
        <vt:i4>0</vt:i4>
      </vt:variant>
      <vt:variant>
        <vt:i4>5</vt:i4>
      </vt:variant>
      <vt:variant>
        <vt:lpwstr>https://www.accc.gov.au/speech/making-australia-a-harder-target-for-scammers</vt:lpwstr>
      </vt:variant>
      <vt:variant>
        <vt:lpwstr/>
      </vt:variant>
      <vt:variant>
        <vt:i4>2228322</vt:i4>
      </vt:variant>
      <vt:variant>
        <vt:i4>24</vt:i4>
      </vt:variant>
      <vt:variant>
        <vt:i4>0</vt:i4>
      </vt:variant>
      <vt:variant>
        <vt:i4>5</vt:i4>
      </vt:variant>
      <vt:variant>
        <vt:lpwstr>https://www.accc.gov.au/publications/targeting-scams-report-on-scam-activity/targeting-scams-report-of-the-accc-on-scams-activity-2021</vt:lpwstr>
      </vt:variant>
      <vt:variant>
        <vt:lpwstr/>
      </vt:variant>
      <vt:variant>
        <vt:i4>2228322</vt:i4>
      </vt:variant>
      <vt:variant>
        <vt:i4>21</vt:i4>
      </vt:variant>
      <vt:variant>
        <vt:i4>0</vt:i4>
      </vt:variant>
      <vt:variant>
        <vt:i4>5</vt:i4>
      </vt:variant>
      <vt:variant>
        <vt:lpwstr>https://www.accc.gov.au/publications/targeting-scams-report-on-scam-activity/targeting-scams-report-of-the-accc-on-scams-activity-2021</vt:lpwstr>
      </vt:variant>
      <vt:variant>
        <vt:lpwstr/>
      </vt:variant>
      <vt:variant>
        <vt:i4>5374030</vt:i4>
      </vt:variant>
      <vt:variant>
        <vt:i4>18</vt:i4>
      </vt:variant>
      <vt:variant>
        <vt:i4>0</vt:i4>
      </vt:variant>
      <vt:variant>
        <vt:i4>5</vt:i4>
      </vt:variant>
      <vt:variant>
        <vt:lpwstr>https://accan.org.au/accans-work/submissions/1977-accc-dpsi-september-interim-report</vt:lpwstr>
      </vt:variant>
      <vt:variant>
        <vt:lpwstr/>
      </vt:variant>
      <vt:variant>
        <vt:i4>6881341</vt:i4>
      </vt:variant>
      <vt:variant>
        <vt:i4>15</vt:i4>
      </vt:variant>
      <vt:variant>
        <vt:i4>0</vt:i4>
      </vt:variant>
      <vt:variant>
        <vt:i4>5</vt:i4>
      </vt:variant>
      <vt:variant>
        <vt:lpwstr>https://cprc.org.au/dupedbydesign/</vt:lpwstr>
      </vt:variant>
      <vt:variant>
        <vt:lpwstr/>
      </vt:variant>
      <vt:variant>
        <vt:i4>4128895</vt:i4>
      </vt:variant>
      <vt:variant>
        <vt:i4>12</vt:i4>
      </vt:variant>
      <vt:variant>
        <vt:i4>0</vt:i4>
      </vt:variant>
      <vt:variant>
        <vt:i4>5</vt:i4>
      </vt:variant>
      <vt:variant>
        <vt:lpwstr>https://www.digitalinclusionindex.org.au/download-reports/</vt:lpwstr>
      </vt:variant>
      <vt:variant>
        <vt:lpwstr/>
      </vt:variant>
      <vt:variant>
        <vt:i4>6881341</vt:i4>
      </vt:variant>
      <vt:variant>
        <vt:i4>9</vt:i4>
      </vt:variant>
      <vt:variant>
        <vt:i4>0</vt:i4>
      </vt:variant>
      <vt:variant>
        <vt:i4>5</vt:i4>
      </vt:variant>
      <vt:variant>
        <vt:lpwstr>https://cprc.org.au/dupedbydesign/</vt:lpwstr>
      </vt:variant>
      <vt:variant>
        <vt:lpwstr/>
      </vt:variant>
      <vt:variant>
        <vt:i4>7471231</vt:i4>
      </vt:variant>
      <vt:variant>
        <vt:i4>6</vt:i4>
      </vt:variant>
      <vt:variant>
        <vt:i4>0</vt:i4>
      </vt:variant>
      <vt:variant>
        <vt:i4>5</vt:i4>
      </vt:variant>
      <vt:variant>
        <vt:lpwstr>https://theconversation.com/the-accc-is-suing-meta-for-celebrity-crypto-scam-ads-on-facebook-heres-why-the-tech-giant-could-be-found-liable-179655</vt:lpwstr>
      </vt:variant>
      <vt:variant>
        <vt:lpwstr/>
      </vt:variant>
      <vt:variant>
        <vt:i4>983063</vt:i4>
      </vt:variant>
      <vt:variant>
        <vt:i4>3</vt:i4>
      </vt:variant>
      <vt:variant>
        <vt:i4>0</vt:i4>
      </vt:variant>
      <vt:variant>
        <vt:i4>5</vt:i4>
      </vt:variant>
      <vt:variant>
        <vt:lpwstr>https://wearesocial.com/au/blog/2022/02/digital-2022-australia-online-like-never-before/</vt:lpwstr>
      </vt:variant>
      <vt:variant>
        <vt:lpwstr/>
      </vt:variant>
      <vt:variant>
        <vt:i4>4128895</vt:i4>
      </vt:variant>
      <vt:variant>
        <vt:i4>0</vt:i4>
      </vt:variant>
      <vt:variant>
        <vt:i4>0</vt:i4>
      </vt:variant>
      <vt:variant>
        <vt:i4>5</vt:i4>
      </vt:variant>
      <vt:variant>
        <vt:lpwstr>https://www.digitalinclusionindex.org.au/download-reports/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Kininmonth</dc:creator>
  <cp:keywords/>
  <cp:lastModifiedBy>Laetitia Kwan</cp:lastModifiedBy>
  <cp:revision>63</cp:revision>
  <cp:lastPrinted>2022-03-29T02:13:00Z</cp:lastPrinted>
  <dcterms:created xsi:type="dcterms:W3CDTF">2022-10-11T20:01:00Z</dcterms:created>
  <dcterms:modified xsi:type="dcterms:W3CDTF">2022-10-19T21:44:00Z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0x010100B3E4A5C17F963D4A81626FBA9D0C3C6E</vt:lpwstr>
  </property>
  <property fmtid="{D5CDD505-2E9C-101B-9397-08002B2CF9AE}" pid="3" name="SharedWithUsers">
    <vt:lpwstr>16;#Rebekah Sarkoezy;#27;#Meredith Lea</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MediaServiceImageTags">
    <vt:lpwstr/>
  </property>
</Properties>
</file>