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DE" w:rsidRPr="00406D88" w:rsidRDefault="00F40CDE" w:rsidP="00F40CDE">
      <w:pPr>
        <w:pBdr>
          <w:bottom w:val="single" w:sz="8" w:space="4" w:color="4F81BD" w:themeColor="accent1"/>
        </w:pBdr>
        <w:spacing w:before="0" w:beforeAutospacing="0" w:after="80" w:afterAutospacing="0"/>
        <w:contextualSpacing/>
        <w:jc w:val="both"/>
        <w:rPr>
          <w:rFonts w:asciiTheme="minorHAnsi" w:eastAsiaTheme="majorEastAsia" w:hAnsiTheme="minorHAnsi" w:cstheme="majorBidi"/>
          <w:color w:val="17365D" w:themeColor="text2" w:themeShade="BF"/>
          <w:spacing w:val="5"/>
          <w:kern w:val="28"/>
          <w:sz w:val="40"/>
          <w:szCs w:val="52"/>
          <w:lang w:eastAsia="en-US"/>
        </w:rPr>
      </w:pPr>
      <w:r w:rsidRPr="00406D88">
        <w:rPr>
          <w:rFonts w:asciiTheme="minorHAnsi" w:eastAsiaTheme="majorEastAsia" w:hAnsiTheme="minorHAnsi" w:cstheme="majorBidi"/>
          <w:color w:val="17365D" w:themeColor="text2" w:themeShade="BF"/>
          <w:spacing w:val="5"/>
          <w:kern w:val="28"/>
          <w:sz w:val="40"/>
          <w:szCs w:val="52"/>
          <w:lang w:eastAsia="en-US"/>
        </w:rPr>
        <w:t>Affordable communications</w:t>
      </w:r>
    </w:p>
    <w:p w:rsidR="00852EBC" w:rsidRDefault="00852EBC" w:rsidP="00852EBC">
      <w:pPr>
        <w:keepNext/>
        <w:keepLines/>
        <w:spacing w:before="0" w:beforeAutospacing="0" w:after="0" w:afterAutospacing="0" w:line="360" w:lineRule="auto"/>
        <w:outlineLvl w:val="1"/>
        <w:rPr>
          <w:rFonts w:asciiTheme="majorHAnsi" w:eastAsiaTheme="majorEastAsia" w:hAnsiTheme="majorHAnsi" w:cstheme="majorBidi"/>
          <w:b/>
          <w:bCs/>
          <w:color w:val="4F81BD" w:themeColor="accent1"/>
          <w:sz w:val="26"/>
          <w:szCs w:val="26"/>
          <w:lang w:eastAsia="en-US"/>
        </w:rPr>
      </w:pPr>
    </w:p>
    <w:p w:rsidR="00F40CDE" w:rsidRPr="00F40CDE" w:rsidRDefault="00F40CDE" w:rsidP="00852EBC">
      <w:pPr>
        <w:keepNext/>
        <w:keepLines/>
        <w:spacing w:before="0" w:beforeAutospacing="0" w:after="0" w:afterAutospacing="0" w:line="276" w:lineRule="auto"/>
        <w:outlineLvl w:val="1"/>
        <w:rPr>
          <w:rFonts w:asciiTheme="majorHAnsi" w:eastAsiaTheme="majorEastAsia" w:hAnsiTheme="majorHAnsi" w:cstheme="majorBidi"/>
          <w:b/>
          <w:bCs/>
          <w:color w:val="4F81BD" w:themeColor="accent1"/>
          <w:sz w:val="26"/>
          <w:szCs w:val="26"/>
          <w:lang w:eastAsia="en-US"/>
        </w:rPr>
      </w:pPr>
      <w:r w:rsidRPr="00F40CDE">
        <w:rPr>
          <w:rFonts w:asciiTheme="majorHAnsi" w:eastAsiaTheme="majorEastAsia" w:hAnsiTheme="majorHAnsi" w:cstheme="majorBidi"/>
          <w:b/>
          <w:bCs/>
          <w:color w:val="4F81BD" w:themeColor="accent1"/>
          <w:sz w:val="26"/>
          <w:szCs w:val="26"/>
          <w:lang w:eastAsia="en-US"/>
        </w:rPr>
        <w:t>Problem</w:t>
      </w:r>
    </w:p>
    <w:p w:rsidR="00F40CDE" w:rsidRPr="00F40CDE" w:rsidRDefault="00F40CDE" w:rsidP="00852EBC">
      <w:pPr>
        <w:numPr>
          <w:ilvl w:val="0"/>
          <w:numId w:val="27"/>
        </w:numPr>
        <w:spacing w:before="0" w:beforeAutospacing="0" w:after="200" w:afterAutospacing="0" w:line="276" w:lineRule="auto"/>
        <w:contextualSpacing/>
        <w:rPr>
          <w:rFonts w:asciiTheme="minorHAnsi" w:hAnsiTheme="minorHAnsi"/>
          <w:lang w:eastAsia="en-US"/>
        </w:rPr>
      </w:pPr>
      <w:r w:rsidRPr="00F40CDE">
        <w:rPr>
          <w:rFonts w:asciiTheme="minorHAnsi" w:hAnsiTheme="minorHAnsi"/>
          <w:lang w:eastAsia="en-US"/>
        </w:rPr>
        <w:t>The Centrelink Telephone Allowance is no longer fit for purpose. It does not reflect the actual cost of getting and staying connected to both broadband and telephone services.</w:t>
      </w:r>
    </w:p>
    <w:p w:rsidR="00F40CDE" w:rsidRPr="00F40CDE" w:rsidRDefault="00F40CDE" w:rsidP="00852EBC">
      <w:pPr>
        <w:numPr>
          <w:ilvl w:val="0"/>
          <w:numId w:val="27"/>
        </w:numPr>
        <w:spacing w:before="0" w:beforeAutospacing="0" w:after="200" w:afterAutospacing="0" w:line="276" w:lineRule="auto"/>
        <w:contextualSpacing/>
        <w:rPr>
          <w:rFonts w:asciiTheme="minorHAnsi" w:hAnsiTheme="minorHAnsi"/>
          <w:lang w:eastAsia="en-US"/>
        </w:rPr>
      </w:pPr>
      <w:r w:rsidRPr="00F40CDE">
        <w:rPr>
          <w:rFonts w:asciiTheme="minorHAnsi" w:hAnsiTheme="minorHAnsi"/>
          <w:lang w:eastAsia="en-US"/>
        </w:rPr>
        <w:t>Many low-income consumers depend primarily on mobile connectivity.</w:t>
      </w:r>
    </w:p>
    <w:p w:rsidR="00F40CDE" w:rsidRPr="00F40CDE" w:rsidRDefault="00F40CDE" w:rsidP="00852EBC">
      <w:pPr>
        <w:numPr>
          <w:ilvl w:val="0"/>
          <w:numId w:val="27"/>
        </w:numPr>
        <w:spacing w:before="0" w:beforeAutospacing="0" w:after="200" w:afterAutospacing="0" w:line="276" w:lineRule="auto"/>
        <w:contextualSpacing/>
        <w:rPr>
          <w:rFonts w:asciiTheme="minorHAnsi" w:hAnsiTheme="minorHAnsi"/>
          <w:lang w:eastAsia="en-US"/>
        </w:rPr>
      </w:pPr>
      <w:r w:rsidRPr="00F40CDE">
        <w:rPr>
          <w:rFonts w:asciiTheme="minorHAnsi" w:hAnsiTheme="minorHAnsi"/>
          <w:lang w:eastAsia="en-US"/>
        </w:rPr>
        <w:t>There are limited solutions available to assist low-income consumers with the affordability of telecommunications access.</w:t>
      </w:r>
    </w:p>
    <w:p w:rsidR="00F40CDE" w:rsidRPr="00F40CDE" w:rsidRDefault="00F40CDE" w:rsidP="009C43BF">
      <w:pPr>
        <w:spacing w:before="240" w:beforeAutospacing="0" w:after="200" w:afterAutospacing="0" w:line="276" w:lineRule="auto"/>
        <w:ind w:left="720"/>
        <w:contextualSpacing/>
        <w:rPr>
          <w:rFonts w:asciiTheme="minorHAnsi" w:hAnsiTheme="minorHAnsi"/>
          <w:lang w:eastAsia="en-US"/>
        </w:rPr>
      </w:pPr>
    </w:p>
    <w:p w:rsidR="00F40CDE" w:rsidRPr="00F40CDE" w:rsidRDefault="00F40CDE" w:rsidP="00852EBC">
      <w:pPr>
        <w:keepNext/>
        <w:keepLines/>
        <w:spacing w:before="200" w:beforeAutospacing="0" w:after="0" w:afterAutospacing="0" w:line="276" w:lineRule="auto"/>
        <w:outlineLvl w:val="1"/>
        <w:rPr>
          <w:rFonts w:asciiTheme="majorHAnsi" w:eastAsiaTheme="majorEastAsia" w:hAnsiTheme="majorHAnsi" w:cstheme="majorBidi"/>
          <w:b/>
          <w:bCs/>
          <w:color w:val="4F81BD" w:themeColor="accent1"/>
          <w:sz w:val="26"/>
          <w:szCs w:val="26"/>
          <w:lang w:eastAsia="en-US"/>
        </w:rPr>
      </w:pPr>
      <w:r w:rsidRPr="00F40CDE">
        <w:rPr>
          <w:rFonts w:asciiTheme="majorHAnsi" w:eastAsiaTheme="majorEastAsia" w:hAnsiTheme="majorHAnsi" w:cstheme="majorBidi"/>
          <w:b/>
          <w:bCs/>
          <w:color w:val="4F81BD" w:themeColor="accent1"/>
          <w:sz w:val="26"/>
          <w:szCs w:val="26"/>
          <w:lang w:eastAsia="en-US"/>
        </w:rPr>
        <w:t>Background and Issues</w:t>
      </w:r>
    </w:p>
    <w:p w:rsidR="00F40CDE" w:rsidRPr="00F40CDE" w:rsidRDefault="00F40CDE" w:rsidP="00852EBC">
      <w:pPr>
        <w:numPr>
          <w:ilvl w:val="0"/>
          <w:numId w:val="28"/>
        </w:numPr>
        <w:spacing w:before="0" w:beforeAutospacing="0" w:after="200" w:afterAutospacing="0" w:line="276" w:lineRule="auto"/>
        <w:contextualSpacing/>
        <w:rPr>
          <w:rFonts w:asciiTheme="minorHAnsi" w:hAnsiTheme="minorHAnsi"/>
          <w:lang w:eastAsia="en-US"/>
        </w:rPr>
      </w:pPr>
      <w:r w:rsidRPr="00F40CDE">
        <w:rPr>
          <w:rFonts w:asciiTheme="minorHAnsi" w:hAnsiTheme="minorHAnsi"/>
          <w:lang w:eastAsia="en-US"/>
        </w:rPr>
        <w:t xml:space="preserve">The ACOSS </w:t>
      </w:r>
      <w:r w:rsidRPr="00F40CDE">
        <w:rPr>
          <w:rFonts w:asciiTheme="minorHAnsi" w:hAnsiTheme="minorHAnsi"/>
          <w:i/>
          <w:lang w:eastAsia="en-US"/>
        </w:rPr>
        <w:t>Poverty in Australia</w:t>
      </w:r>
      <w:r w:rsidRPr="00F40CDE">
        <w:rPr>
          <w:rFonts w:asciiTheme="minorHAnsi" w:hAnsiTheme="minorHAnsi"/>
          <w:lang w:eastAsia="en-US"/>
        </w:rPr>
        <w:t xml:space="preserve"> </w:t>
      </w:r>
      <w:r w:rsidRPr="00F40CDE">
        <w:rPr>
          <w:rFonts w:asciiTheme="minorHAnsi" w:hAnsiTheme="minorHAnsi"/>
          <w:i/>
          <w:lang w:eastAsia="en-US"/>
        </w:rPr>
        <w:t>2014</w:t>
      </w:r>
      <w:r w:rsidRPr="00F40CDE">
        <w:rPr>
          <w:rFonts w:asciiTheme="minorHAnsi" w:hAnsiTheme="minorHAnsi"/>
          <w:lang w:eastAsia="en-US"/>
        </w:rPr>
        <w:t xml:space="preserve"> report indicates that an estimated </w:t>
      </w:r>
      <w:r w:rsidRPr="00F40CDE">
        <w:rPr>
          <w:rFonts w:asciiTheme="minorHAnsi" w:hAnsiTheme="minorHAnsi" w:cs="Arial"/>
          <w:lang w:eastAsia="en-US"/>
        </w:rPr>
        <w:t>2.55 million (13.9%)</w:t>
      </w:r>
      <w:r w:rsidRPr="00F40CDE">
        <w:rPr>
          <w:rFonts w:ascii="Arial" w:hAnsi="Arial" w:cs="Arial"/>
          <w:lang w:eastAsia="en-US"/>
        </w:rPr>
        <w:t xml:space="preserve"> </w:t>
      </w:r>
      <w:r w:rsidRPr="00B16332">
        <w:rPr>
          <w:rFonts w:asciiTheme="minorHAnsi" w:hAnsiTheme="minorHAnsi" w:cs="Arial"/>
          <w:lang w:eastAsia="en-US"/>
        </w:rPr>
        <w:t xml:space="preserve">of </w:t>
      </w:r>
      <w:r w:rsidRPr="00B16332">
        <w:rPr>
          <w:rFonts w:asciiTheme="minorHAnsi" w:hAnsiTheme="minorHAnsi"/>
          <w:lang w:eastAsia="en-US"/>
        </w:rPr>
        <w:t>A</w:t>
      </w:r>
      <w:r w:rsidRPr="00F40CDE">
        <w:rPr>
          <w:rFonts w:asciiTheme="minorHAnsi" w:hAnsiTheme="minorHAnsi"/>
          <w:lang w:eastAsia="en-US"/>
        </w:rPr>
        <w:t>ustralians are living in poverty.</w:t>
      </w:r>
      <w:r w:rsidRPr="00F40CDE">
        <w:rPr>
          <w:rFonts w:asciiTheme="minorHAnsi" w:hAnsiTheme="minorHAnsi"/>
          <w:vertAlign w:val="superscript"/>
          <w:lang w:eastAsia="en-US"/>
        </w:rPr>
        <w:footnoteReference w:id="1"/>
      </w:r>
    </w:p>
    <w:p w:rsidR="00F40CDE" w:rsidRPr="00F40CDE" w:rsidRDefault="00F40CDE" w:rsidP="00852EBC">
      <w:pPr>
        <w:numPr>
          <w:ilvl w:val="0"/>
          <w:numId w:val="28"/>
        </w:numPr>
        <w:spacing w:before="0" w:beforeAutospacing="0" w:after="200" w:afterAutospacing="0" w:line="276" w:lineRule="auto"/>
        <w:contextualSpacing/>
        <w:rPr>
          <w:rFonts w:asciiTheme="minorHAnsi" w:hAnsiTheme="minorHAnsi"/>
          <w:lang w:eastAsia="en-US"/>
        </w:rPr>
      </w:pPr>
      <w:r w:rsidRPr="00F40CDE">
        <w:rPr>
          <w:rFonts w:asciiTheme="minorHAnsi" w:hAnsiTheme="minorHAnsi"/>
          <w:lang w:val="en" w:eastAsia="en-US"/>
        </w:rPr>
        <w:t>Current</w:t>
      </w:r>
      <w:r w:rsidRPr="00F40CDE">
        <w:rPr>
          <w:rFonts w:asciiTheme="minorHAnsi" w:hAnsiTheme="minorHAnsi"/>
          <w:lang w:eastAsia="en-US"/>
        </w:rPr>
        <w:t xml:space="preserve"> Australian research indicates that many low-income consumers are facing financial barriers in getting connected and staying connected to essential telephony and broadband services. Research also indicates that low-income consumers are spending a significantly higher proportion of their income for telecommunications access. </w:t>
      </w:r>
    </w:p>
    <w:p w:rsidR="00F40CDE" w:rsidRPr="00F40CDE" w:rsidRDefault="00F40CDE" w:rsidP="00852EBC">
      <w:pPr>
        <w:numPr>
          <w:ilvl w:val="0"/>
          <w:numId w:val="28"/>
        </w:numPr>
        <w:spacing w:before="0" w:beforeAutospacing="0" w:after="200" w:afterAutospacing="0" w:line="276" w:lineRule="auto"/>
        <w:contextualSpacing/>
        <w:rPr>
          <w:rFonts w:asciiTheme="minorHAnsi" w:hAnsiTheme="minorHAnsi"/>
          <w:lang w:eastAsia="en-US"/>
        </w:rPr>
      </w:pPr>
      <w:r w:rsidRPr="00F40CDE">
        <w:rPr>
          <w:rFonts w:asciiTheme="minorHAnsi" w:hAnsiTheme="minorHAnsi"/>
          <w:lang w:eastAsia="en-US"/>
        </w:rPr>
        <w:t>Increasingly essential services are accessed online, and government information and services are going ‘digital by default’.</w:t>
      </w:r>
    </w:p>
    <w:p w:rsidR="00F40CDE" w:rsidRPr="00F40CDE" w:rsidRDefault="00F40CDE" w:rsidP="00852EBC">
      <w:pPr>
        <w:numPr>
          <w:ilvl w:val="0"/>
          <w:numId w:val="28"/>
        </w:numPr>
        <w:spacing w:before="0" w:beforeAutospacing="0" w:after="200" w:afterAutospacing="0" w:line="276" w:lineRule="auto"/>
        <w:contextualSpacing/>
        <w:rPr>
          <w:rFonts w:asciiTheme="minorHAnsi" w:hAnsiTheme="minorHAnsi"/>
          <w:lang w:eastAsia="en-US"/>
        </w:rPr>
      </w:pPr>
      <w:r w:rsidRPr="00F40CDE">
        <w:rPr>
          <w:rFonts w:asciiTheme="minorHAnsi" w:hAnsiTheme="minorHAnsi"/>
          <w:lang w:eastAsia="en-US"/>
        </w:rPr>
        <w:t>Supporting more low-income consumers to become connected will increase return on the Government’s investment in the NBN and the digital transformation of government services.</w:t>
      </w:r>
    </w:p>
    <w:p w:rsidR="00F40CDE" w:rsidRPr="00F40CDE" w:rsidRDefault="00F40CDE" w:rsidP="00852EBC">
      <w:pPr>
        <w:numPr>
          <w:ilvl w:val="0"/>
          <w:numId w:val="28"/>
        </w:numPr>
        <w:spacing w:before="0" w:beforeAutospacing="0" w:after="0" w:afterAutospacing="0" w:line="276" w:lineRule="auto"/>
        <w:contextualSpacing/>
        <w:rPr>
          <w:rFonts w:asciiTheme="minorHAnsi" w:hAnsiTheme="minorHAnsi"/>
          <w:lang w:eastAsia="en-US"/>
        </w:rPr>
      </w:pPr>
      <w:r w:rsidRPr="00F40CDE">
        <w:rPr>
          <w:rFonts w:asciiTheme="minorHAnsi" w:hAnsiTheme="minorHAnsi"/>
          <w:lang w:eastAsia="en-US"/>
        </w:rPr>
        <w:t xml:space="preserve">Ensuring telecommunications affordability will increase economic, social, and community participation. </w:t>
      </w:r>
    </w:p>
    <w:p w:rsidR="00F40CDE" w:rsidRPr="009C43BF" w:rsidRDefault="00F40CDE" w:rsidP="00852EBC">
      <w:pPr>
        <w:numPr>
          <w:ilvl w:val="0"/>
          <w:numId w:val="28"/>
        </w:numPr>
        <w:spacing w:before="0" w:beforeAutospacing="0" w:after="80" w:afterAutospacing="0" w:line="276" w:lineRule="auto"/>
        <w:contextualSpacing/>
        <w:jc w:val="both"/>
        <w:rPr>
          <w:rFonts w:asciiTheme="minorHAnsi" w:eastAsiaTheme="minorHAnsi" w:hAnsiTheme="minorHAnsi"/>
          <w:lang w:val="en-US" w:eastAsia="en-US"/>
        </w:rPr>
      </w:pPr>
      <w:r w:rsidRPr="00F40CDE">
        <w:rPr>
          <w:rFonts w:asciiTheme="minorHAnsi" w:hAnsiTheme="minorHAnsi"/>
          <w:lang w:eastAsia="en-US"/>
        </w:rPr>
        <w:t>Data connectivity provides access to employment opportunities, government services, and education.</w:t>
      </w:r>
    </w:p>
    <w:p w:rsidR="009C43BF" w:rsidRPr="00F40CDE" w:rsidRDefault="009C43BF" w:rsidP="009C43BF">
      <w:pPr>
        <w:keepNext/>
        <w:keepLines/>
        <w:spacing w:before="200" w:beforeAutospacing="0" w:after="0" w:afterAutospacing="0" w:line="276" w:lineRule="auto"/>
        <w:outlineLvl w:val="1"/>
        <w:rPr>
          <w:rFonts w:asciiTheme="majorHAnsi" w:eastAsiaTheme="majorEastAsia" w:hAnsiTheme="majorHAnsi" w:cstheme="majorBidi"/>
          <w:b/>
          <w:bCs/>
          <w:color w:val="4F81BD" w:themeColor="accent1"/>
          <w:sz w:val="26"/>
          <w:szCs w:val="26"/>
          <w:lang w:eastAsia="en-US"/>
        </w:rPr>
      </w:pPr>
      <w:r w:rsidRPr="00F40CDE">
        <w:rPr>
          <w:rFonts w:asciiTheme="majorHAnsi" w:eastAsiaTheme="majorEastAsia" w:hAnsiTheme="majorHAnsi" w:cstheme="majorBidi"/>
          <w:b/>
          <w:bCs/>
          <w:color w:val="4F81BD" w:themeColor="accent1"/>
          <w:sz w:val="26"/>
          <w:szCs w:val="26"/>
          <w:lang w:eastAsia="en-US"/>
        </w:rPr>
        <w:t>Proposed Solution</w:t>
      </w:r>
    </w:p>
    <w:p w:rsidR="009C43BF" w:rsidRPr="00F40CDE" w:rsidRDefault="009C43BF" w:rsidP="009C43BF">
      <w:pPr>
        <w:spacing w:before="0" w:beforeAutospacing="0" w:after="200" w:afterAutospacing="0" w:line="276" w:lineRule="auto"/>
        <w:rPr>
          <w:rFonts w:asciiTheme="minorHAnsi" w:hAnsiTheme="minorHAnsi"/>
          <w:lang w:eastAsia="en-US"/>
        </w:rPr>
      </w:pPr>
      <w:r w:rsidRPr="00F40CDE">
        <w:rPr>
          <w:rFonts w:asciiTheme="minorHAnsi" w:hAnsiTheme="minorHAnsi"/>
          <w:lang w:eastAsia="en-US"/>
        </w:rPr>
        <w:t>ACCAN is proposing the Government implement a review of the Centrelink Telephone Allowance that delivers the following outcomes:</w:t>
      </w:r>
    </w:p>
    <w:p w:rsidR="009C43BF" w:rsidRPr="00F40CDE" w:rsidRDefault="009C43BF" w:rsidP="009C43BF">
      <w:pPr>
        <w:numPr>
          <w:ilvl w:val="0"/>
          <w:numId w:val="26"/>
        </w:numPr>
        <w:spacing w:before="0" w:beforeAutospacing="0" w:after="200" w:afterAutospacing="0" w:line="276" w:lineRule="auto"/>
        <w:contextualSpacing/>
        <w:rPr>
          <w:rFonts w:asciiTheme="minorHAnsi" w:hAnsiTheme="minorHAnsi"/>
          <w:lang w:eastAsia="en-US"/>
        </w:rPr>
      </w:pPr>
      <w:r w:rsidRPr="00F40CDE">
        <w:rPr>
          <w:rFonts w:asciiTheme="minorHAnsi" w:hAnsiTheme="minorHAnsi"/>
          <w:lang w:eastAsia="en-US"/>
        </w:rPr>
        <w:t xml:space="preserve">The allowance reflects the reality that mobile, internet and telephone connectivity are all essential to the social, economic, and community participation of low-income Australians. </w:t>
      </w:r>
    </w:p>
    <w:p w:rsidR="009C43BF" w:rsidRPr="00F40CDE" w:rsidRDefault="009C43BF" w:rsidP="009C43BF">
      <w:pPr>
        <w:numPr>
          <w:ilvl w:val="0"/>
          <w:numId w:val="26"/>
        </w:numPr>
        <w:spacing w:before="0" w:beforeAutospacing="0" w:after="200" w:afterAutospacing="0" w:line="276" w:lineRule="auto"/>
        <w:contextualSpacing/>
        <w:rPr>
          <w:rFonts w:asciiTheme="minorHAnsi" w:hAnsiTheme="minorHAnsi"/>
          <w:lang w:eastAsia="en-US"/>
        </w:rPr>
      </w:pPr>
      <w:r w:rsidRPr="00F40CDE">
        <w:rPr>
          <w:rFonts w:asciiTheme="minorHAnsi" w:hAnsiTheme="minorHAnsi"/>
          <w:lang w:eastAsia="en-US"/>
        </w:rPr>
        <w:t xml:space="preserve">Broadened eligibility to include all people on the lowest income support payments, for example </w:t>
      </w:r>
      <w:proofErr w:type="spellStart"/>
      <w:r w:rsidRPr="00F40CDE">
        <w:rPr>
          <w:rFonts w:asciiTheme="minorHAnsi" w:hAnsiTheme="minorHAnsi"/>
          <w:lang w:eastAsia="en-US"/>
        </w:rPr>
        <w:t>Newstart</w:t>
      </w:r>
      <w:proofErr w:type="spellEnd"/>
      <w:r w:rsidRPr="00F40CDE">
        <w:rPr>
          <w:rFonts w:asciiTheme="minorHAnsi" w:hAnsiTheme="minorHAnsi"/>
          <w:lang w:eastAsia="en-US"/>
        </w:rPr>
        <w:t xml:space="preserve"> recipients whose ability to engage in the labour market is dependent on communications connectivity.</w:t>
      </w:r>
    </w:p>
    <w:p w:rsidR="009C43BF" w:rsidRPr="00F40CDE" w:rsidRDefault="009C43BF" w:rsidP="009C43BF">
      <w:pPr>
        <w:numPr>
          <w:ilvl w:val="0"/>
          <w:numId w:val="26"/>
        </w:numPr>
        <w:spacing w:before="0" w:beforeAutospacing="0" w:after="200" w:afterAutospacing="0" w:line="276" w:lineRule="auto"/>
        <w:contextualSpacing/>
        <w:rPr>
          <w:rFonts w:asciiTheme="minorHAnsi" w:hAnsiTheme="minorHAnsi"/>
          <w:lang w:eastAsia="en-US"/>
        </w:rPr>
      </w:pPr>
      <w:r w:rsidRPr="00F40CDE">
        <w:rPr>
          <w:rFonts w:asciiTheme="minorHAnsi" w:hAnsiTheme="minorHAnsi"/>
          <w:lang w:eastAsia="en-US"/>
        </w:rPr>
        <w:t xml:space="preserve">Increased allowance rates to ensure barriers of affordability do not lead to ongoing lack of connection or maintenance. Recipients should be able to maintain their service without sacrificing other essential goods or </w:t>
      </w:r>
      <w:bookmarkStart w:id="0" w:name="_GoBack"/>
      <w:bookmarkEnd w:id="0"/>
      <w:r w:rsidRPr="00F40CDE">
        <w:rPr>
          <w:rFonts w:asciiTheme="minorHAnsi" w:hAnsiTheme="minorHAnsi"/>
          <w:lang w:eastAsia="en-US"/>
        </w:rPr>
        <w:t xml:space="preserve">services. </w:t>
      </w:r>
    </w:p>
    <w:p w:rsidR="009C43BF" w:rsidRPr="00F40CDE" w:rsidRDefault="009C43BF" w:rsidP="009C43BF">
      <w:pPr>
        <w:spacing w:before="0" w:beforeAutospacing="0" w:after="200" w:afterAutospacing="0" w:line="276" w:lineRule="auto"/>
        <w:rPr>
          <w:rFonts w:asciiTheme="minorHAnsi" w:eastAsiaTheme="minorHAnsi" w:hAnsiTheme="minorHAnsi"/>
          <w:lang w:val="en-US" w:eastAsia="en-US"/>
        </w:rPr>
      </w:pPr>
      <w:r w:rsidRPr="00F40CDE">
        <w:rPr>
          <w:rFonts w:asciiTheme="minorHAnsi" w:hAnsiTheme="minorHAnsi"/>
          <w:lang w:eastAsia="en-US"/>
        </w:rPr>
        <w:t>In addition, the allowance should continue to allow consumers to choose their service provider to encourage a competitive market.</w:t>
      </w:r>
    </w:p>
    <w:sectPr w:rsidR="009C43BF" w:rsidRPr="00F40CDE" w:rsidSect="00197BA1">
      <w:headerReference w:type="default" r:id="rId9"/>
      <w:footerReference w:type="default" r:id="rId10"/>
      <w:headerReference w:type="first" r:id="rId11"/>
      <w:footerReference w:type="first" r:id="rId12"/>
      <w:type w:val="continuous"/>
      <w:pgSz w:w="11906" w:h="16838" w:code="9"/>
      <w:pgMar w:top="1440" w:right="1440" w:bottom="1361" w:left="1440" w:header="709" w:footer="3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76" w:rsidRDefault="009C1876" w:rsidP="00B14DFB">
      <w:r>
        <w:separator/>
      </w:r>
    </w:p>
  </w:endnote>
  <w:endnote w:type="continuationSeparator" w:id="0">
    <w:p w:rsidR="009C1876" w:rsidRDefault="009C1876"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68" w:rsidRDefault="00AC0168"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383022">
      <w:rPr>
        <w:noProof/>
      </w:rPr>
      <w:t>2</w:t>
    </w:r>
    <w:r w:rsidRPr="00C4251E">
      <w:rPr>
        <w:noProof/>
      </w:rPr>
      <w:fldChar w:fldCharType="end"/>
    </w:r>
  </w:p>
  <w:p w:rsidR="00AC0168" w:rsidRPr="000F58CC" w:rsidRDefault="00AC0168"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68" w:rsidRDefault="00AC0168" w:rsidP="00A13B92">
    <w:pPr>
      <w:pStyle w:val="Footerpage1"/>
    </w:pPr>
    <w:r w:rsidRPr="004A0B0A">
      <w:rPr>
        <w:color w:val="44C8F5"/>
      </w:rPr>
      <w:t>Australian Communications Consumer Action Network (ACCAN)</w:t>
    </w:r>
  </w:p>
  <w:p w:rsidR="00AC0168" w:rsidRDefault="00AC0168" w:rsidP="00A13B92">
    <w:pPr>
      <w:pStyle w:val="Footerpage1"/>
      <w:rPr>
        <w:i/>
      </w:rPr>
    </w:pPr>
    <w:r w:rsidRPr="004A0B0A">
      <w:rPr>
        <w:i/>
        <w:color w:val="44C8F5"/>
      </w:rPr>
      <w:t>Australia’s peak telecommunications consumer organisation</w:t>
    </w:r>
  </w:p>
  <w:p w:rsidR="00AC0168" w:rsidRDefault="00AC0168" w:rsidP="00A13B92">
    <w:pPr>
      <w:pStyle w:val="Footerpage1"/>
    </w:pPr>
    <w:r w:rsidRPr="008E763A">
      <w:rPr>
        <w:noProof/>
        <w:lang w:eastAsia="en-AU"/>
      </w:rPr>
      <mc:AlternateContent>
        <mc:Choice Requires="wps">
          <w:drawing>
            <wp:inline distT="0" distB="0" distL="0" distR="0" wp14:anchorId="1A96C12C" wp14:editId="247D6B3C">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C0168" w:rsidRDefault="00AC0168" w:rsidP="00A13B92">
    <w:pPr>
      <w:pStyle w:val="Footerpage1"/>
    </w:pPr>
    <w:r w:rsidRPr="008E763A">
      <w:t>Tel: (02) 9288 4000 | TTY: (02) 9281 5322 | Fax: (02) 9288 4019</w:t>
    </w:r>
  </w:p>
  <w:p w:rsidR="00AC0168" w:rsidRDefault="00AC0168"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76" w:rsidRDefault="009C1876" w:rsidP="00B14DFB">
      <w:r>
        <w:separator/>
      </w:r>
    </w:p>
  </w:footnote>
  <w:footnote w:type="continuationSeparator" w:id="0">
    <w:p w:rsidR="009C1876" w:rsidRDefault="009C1876" w:rsidP="00B14DFB">
      <w:r>
        <w:continuationSeparator/>
      </w:r>
    </w:p>
  </w:footnote>
  <w:footnote w:id="1">
    <w:p w:rsidR="00F40CDE" w:rsidRPr="00A06B52" w:rsidRDefault="00F40CDE" w:rsidP="00F40CDE">
      <w:pPr>
        <w:pStyle w:val="FootnoteText"/>
      </w:pPr>
      <w:r>
        <w:rPr>
          <w:rStyle w:val="FootnoteReference"/>
        </w:rPr>
        <w:footnoteRef/>
      </w:r>
      <w:r>
        <w:t xml:space="preserve"> </w:t>
      </w:r>
      <w:proofErr w:type="gramStart"/>
      <w:r>
        <w:t>As at 2012.</w:t>
      </w:r>
      <w:proofErr w:type="gramEnd"/>
      <w:r>
        <w:t xml:space="preserve"> </w:t>
      </w:r>
      <w:proofErr w:type="gramStart"/>
      <w:r w:rsidRPr="001A0F65">
        <w:t>P</w:t>
      </w:r>
      <w:r>
        <w:t xml:space="preserve"> </w:t>
      </w:r>
      <w:r>
        <w:rPr>
          <w:color w:val="111111"/>
          <w:shd w:val="clear" w:color="auto" w:fill="FBFBF3"/>
        </w:rPr>
        <w:t>Saunders,</w:t>
      </w:r>
      <w:r w:rsidRPr="00F00392">
        <w:rPr>
          <w:color w:val="111111"/>
          <w:shd w:val="clear" w:color="auto" w:fill="FBFBF3"/>
        </w:rPr>
        <w:t xml:space="preserve"> </w:t>
      </w:r>
      <w:r>
        <w:rPr>
          <w:color w:val="111111"/>
          <w:shd w:val="clear" w:color="auto" w:fill="FBFBF3"/>
        </w:rPr>
        <w:t>B Bradbury &amp; M</w:t>
      </w:r>
      <w:r w:rsidRPr="00F00392">
        <w:rPr>
          <w:color w:val="111111"/>
          <w:shd w:val="clear" w:color="auto" w:fill="FBFBF3"/>
        </w:rPr>
        <w:t xml:space="preserve"> Wong</w:t>
      </w:r>
      <w:r>
        <w:rPr>
          <w:color w:val="111111"/>
          <w:shd w:val="clear" w:color="auto" w:fill="FBFBF3"/>
        </w:rPr>
        <w:t xml:space="preserve"> (ACOSS, Sydney, </w:t>
      </w:r>
      <w:r w:rsidRPr="00F00392">
        <w:rPr>
          <w:color w:val="111111"/>
          <w:shd w:val="clear" w:color="auto" w:fill="FBFBF3"/>
        </w:rPr>
        <w:t>2014</w:t>
      </w:r>
      <w:r>
        <w:rPr>
          <w:color w:val="111111"/>
          <w:shd w:val="clear" w:color="auto" w:fill="FBFBF3"/>
        </w:rPr>
        <w:t>),</w:t>
      </w:r>
      <w:r w:rsidRPr="00F00392">
        <w:rPr>
          <w:color w:val="111111"/>
          <w:shd w:val="clear" w:color="auto" w:fill="FBFBF3"/>
        </w:rPr>
        <w:t xml:space="preserve"> </w:t>
      </w:r>
      <w:r w:rsidRPr="00D12124">
        <w:rPr>
          <w:i/>
          <w:color w:val="111111"/>
          <w:shd w:val="clear" w:color="auto" w:fill="FBFBF3"/>
        </w:rPr>
        <w:t>Poverty in Australia 2014</w:t>
      </w:r>
      <w:r>
        <w:rPr>
          <w:color w:val="111111"/>
          <w:shd w:val="clear" w:color="auto" w:fill="FBFBF3"/>
        </w:rPr>
        <w:t xml:space="preserve">, </w:t>
      </w:r>
      <w:hyperlink r:id="rId1" w:history="1">
        <w:r w:rsidRPr="00771CDE">
          <w:rPr>
            <w:rStyle w:val="Hyperlink"/>
            <w:shd w:val="clear" w:color="auto" w:fill="FBFBF3"/>
          </w:rPr>
          <w:t>http://www.acoss.org.au/images/uploads/ACOSS_Poverty_in_Australia_2014.pdf</w:t>
        </w:r>
      </w:hyperlink>
      <w:r>
        <w:rPr>
          <w:color w:val="111111"/>
          <w:shd w:val="clear" w:color="auto" w:fill="FBFBF3"/>
        </w:rPr>
        <w:t>, p8.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68" w:rsidRDefault="00AC0168" w:rsidP="00E45E4C">
    <w:pPr>
      <w:pStyle w:val="Header"/>
      <w:jc w:val="right"/>
    </w:pPr>
    <w:r>
      <w:rPr>
        <w:noProof/>
        <w:lang w:eastAsia="en-AU"/>
      </w:rPr>
      <w:drawing>
        <wp:inline distT="0" distB="0" distL="0" distR="0" wp14:anchorId="53C8512C" wp14:editId="46DEE019">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68" w:rsidRDefault="00383022" w:rsidP="00383022">
    <w:pPr>
      <w:pStyle w:val="Header"/>
      <w:jc w:val="right"/>
    </w:pPr>
    <w:r>
      <w:rPr>
        <w:noProof/>
        <w:lang w:eastAsia="en-AU"/>
      </w:rPr>
      <w:drawing>
        <wp:inline distT="0" distB="0" distL="0" distR="0" wp14:anchorId="19CB14BB" wp14:editId="1EE6F6D1">
          <wp:extent cx="678787" cy="296066"/>
          <wp:effectExtent l="0" t="0" r="7620" b="8890"/>
          <wp:docPr id="2" name="Picture 2"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4FD"/>
    <w:multiLevelType w:val="hybridMultilevel"/>
    <w:tmpl w:val="7366AEC2"/>
    <w:lvl w:ilvl="0" w:tplc="C43846E2">
      <w:start w:val="1"/>
      <w:numFmt w:val="bullet"/>
      <w:lvlText w:val="•"/>
      <w:lvlJc w:val="left"/>
      <w:pPr>
        <w:tabs>
          <w:tab w:val="num" w:pos="720"/>
        </w:tabs>
        <w:ind w:left="720" w:hanging="360"/>
      </w:pPr>
      <w:rPr>
        <w:rFonts w:ascii="Arial" w:hAnsi="Arial" w:hint="default"/>
      </w:rPr>
    </w:lvl>
    <w:lvl w:ilvl="1" w:tplc="9F748C08" w:tentative="1">
      <w:start w:val="1"/>
      <w:numFmt w:val="bullet"/>
      <w:lvlText w:val="•"/>
      <w:lvlJc w:val="left"/>
      <w:pPr>
        <w:tabs>
          <w:tab w:val="num" w:pos="1440"/>
        </w:tabs>
        <w:ind w:left="1440" w:hanging="360"/>
      </w:pPr>
      <w:rPr>
        <w:rFonts w:ascii="Arial" w:hAnsi="Arial" w:hint="default"/>
      </w:rPr>
    </w:lvl>
    <w:lvl w:ilvl="2" w:tplc="9C5E52EA" w:tentative="1">
      <w:start w:val="1"/>
      <w:numFmt w:val="bullet"/>
      <w:lvlText w:val="•"/>
      <w:lvlJc w:val="left"/>
      <w:pPr>
        <w:tabs>
          <w:tab w:val="num" w:pos="2160"/>
        </w:tabs>
        <w:ind w:left="2160" w:hanging="360"/>
      </w:pPr>
      <w:rPr>
        <w:rFonts w:ascii="Arial" w:hAnsi="Arial" w:hint="default"/>
      </w:rPr>
    </w:lvl>
    <w:lvl w:ilvl="3" w:tplc="5D56235A" w:tentative="1">
      <w:start w:val="1"/>
      <w:numFmt w:val="bullet"/>
      <w:lvlText w:val="•"/>
      <w:lvlJc w:val="left"/>
      <w:pPr>
        <w:tabs>
          <w:tab w:val="num" w:pos="2880"/>
        </w:tabs>
        <w:ind w:left="2880" w:hanging="360"/>
      </w:pPr>
      <w:rPr>
        <w:rFonts w:ascii="Arial" w:hAnsi="Arial" w:hint="default"/>
      </w:rPr>
    </w:lvl>
    <w:lvl w:ilvl="4" w:tplc="AC164A02" w:tentative="1">
      <w:start w:val="1"/>
      <w:numFmt w:val="bullet"/>
      <w:lvlText w:val="•"/>
      <w:lvlJc w:val="left"/>
      <w:pPr>
        <w:tabs>
          <w:tab w:val="num" w:pos="3600"/>
        </w:tabs>
        <w:ind w:left="3600" w:hanging="360"/>
      </w:pPr>
      <w:rPr>
        <w:rFonts w:ascii="Arial" w:hAnsi="Arial" w:hint="default"/>
      </w:rPr>
    </w:lvl>
    <w:lvl w:ilvl="5" w:tplc="A4DE7288" w:tentative="1">
      <w:start w:val="1"/>
      <w:numFmt w:val="bullet"/>
      <w:lvlText w:val="•"/>
      <w:lvlJc w:val="left"/>
      <w:pPr>
        <w:tabs>
          <w:tab w:val="num" w:pos="4320"/>
        </w:tabs>
        <w:ind w:left="4320" w:hanging="360"/>
      </w:pPr>
      <w:rPr>
        <w:rFonts w:ascii="Arial" w:hAnsi="Arial" w:hint="default"/>
      </w:rPr>
    </w:lvl>
    <w:lvl w:ilvl="6" w:tplc="588C5858" w:tentative="1">
      <w:start w:val="1"/>
      <w:numFmt w:val="bullet"/>
      <w:lvlText w:val="•"/>
      <w:lvlJc w:val="left"/>
      <w:pPr>
        <w:tabs>
          <w:tab w:val="num" w:pos="5040"/>
        </w:tabs>
        <w:ind w:left="5040" w:hanging="360"/>
      </w:pPr>
      <w:rPr>
        <w:rFonts w:ascii="Arial" w:hAnsi="Arial" w:hint="default"/>
      </w:rPr>
    </w:lvl>
    <w:lvl w:ilvl="7" w:tplc="964EC906" w:tentative="1">
      <w:start w:val="1"/>
      <w:numFmt w:val="bullet"/>
      <w:lvlText w:val="•"/>
      <w:lvlJc w:val="left"/>
      <w:pPr>
        <w:tabs>
          <w:tab w:val="num" w:pos="5760"/>
        </w:tabs>
        <w:ind w:left="5760" w:hanging="360"/>
      </w:pPr>
      <w:rPr>
        <w:rFonts w:ascii="Arial" w:hAnsi="Arial" w:hint="default"/>
      </w:rPr>
    </w:lvl>
    <w:lvl w:ilvl="8" w:tplc="653C1FEE" w:tentative="1">
      <w:start w:val="1"/>
      <w:numFmt w:val="bullet"/>
      <w:lvlText w:val="•"/>
      <w:lvlJc w:val="left"/>
      <w:pPr>
        <w:tabs>
          <w:tab w:val="num" w:pos="6480"/>
        </w:tabs>
        <w:ind w:left="6480" w:hanging="360"/>
      </w:pPr>
      <w:rPr>
        <w:rFonts w:ascii="Arial" w:hAnsi="Arial" w:hint="default"/>
      </w:rPr>
    </w:lvl>
  </w:abstractNum>
  <w:abstractNum w:abstractNumId="1">
    <w:nsid w:val="1D1856C5"/>
    <w:multiLevelType w:val="hybridMultilevel"/>
    <w:tmpl w:val="FE1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457F5"/>
    <w:multiLevelType w:val="hybridMultilevel"/>
    <w:tmpl w:val="2272E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nsid w:val="30A261C6"/>
    <w:multiLevelType w:val="hybridMultilevel"/>
    <w:tmpl w:val="581A6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37C5FB2"/>
    <w:multiLevelType w:val="multilevel"/>
    <w:tmpl w:val="6AFEEB4C"/>
    <w:numStyleLink w:val="Bullets"/>
  </w:abstractNum>
  <w:abstractNum w:abstractNumId="6">
    <w:nsid w:val="33D9536F"/>
    <w:multiLevelType w:val="multilevel"/>
    <w:tmpl w:val="A7920A6E"/>
    <w:numStyleLink w:val="Headings"/>
  </w:abstractNum>
  <w:abstractNum w:abstractNumId="7">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nsid w:val="39860C67"/>
    <w:multiLevelType w:val="multilevel"/>
    <w:tmpl w:val="A7920A6E"/>
    <w:numStyleLink w:val="Headings"/>
  </w:abstractNum>
  <w:abstractNum w:abstractNumId="9">
    <w:nsid w:val="3DF936BD"/>
    <w:multiLevelType w:val="multilevel"/>
    <w:tmpl w:val="A7920A6E"/>
    <w:numStyleLink w:val="Headings"/>
  </w:abstractNum>
  <w:abstractNum w:abstractNumId="10">
    <w:nsid w:val="46294C76"/>
    <w:multiLevelType w:val="hybridMultilevel"/>
    <w:tmpl w:val="03D0B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5A467144"/>
    <w:multiLevelType w:val="multilevel"/>
    <w:tmpl w:val="989E8E90"/>
    <w:numStyleLink w:val="Appendices"/>
  </w:abstractNum>
  <w:abstractNum w:abstractNumId="13">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AAF098D"/>
    <w:multiLevelType w:val="multilevel"/>
    <w:tmpl w:val="A7920A6E"/>
    <w:numStyleLink w:val="Headings"/>
  </w:abstractNum>
  <w:abstractNum w:abstractNumId="15">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765E552A"/>
    <w:multiLevelType w:val="hybridMultilevel"/>
    <w:tmpl w:val="0E14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3"/>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3"/>
  </w:num>
  <w:num w:numId="7">
    <w:abstractNumId w:val="9"/>
  </w:num>
  <w:num w:numId="8">
    <w:abstractNumId w:val="5"/>
  </w:num>
  <w:num w:numId="9">
    <w:abstractNumId w:val="5"/>
  </w:num>
  <w:num w:numId="10">
    <w:abstractNumId w:val="5"/>
  </w:num>
  <w:num w:numId="11">
    <w:abstractNumId w:val="5"/>
  </w:num>
  <w:num w:numId="12">
    <w:abstractNumId w:val="3"/>
  </w:num>
  <w:num w:numId="13">
    <w:abstractNumId w:val="6"/>
  </w:num>
  <w:num w:numId="14">
    <w:abstractNumId w:val="6"/>
  </w:num>
  <w:num w:numId="15">
    <w:abstractNumId w:val="6"/>
  </w:num>
  <w:num w:numId="16">
    <w:abstractNumId w:val="17"/>
  </w:num>
  <w:num w:numId="17">
    <w:abstractNumId w:val="11"/>
  </w:num>
  <w:num w:numId="18">
    <w:abstractNumId w:val="12"/>
  </w:num>
  <w:num w:numId="19">
    <w:abstractNumId w:val="12"/>
  </w:num>
  <w:num w:numId="20">
    <w:abstractNumId w:val="15"/>
  </w:num>
  <w:num w:numId="21">
    <w:abstractNumId w:val="15"/>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10"/>
  </w:num>
  <w:num w:numId="28">
    <w:abstractNumId w:val="2"/>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5A"/>
    <w:rsid w:val="00027253"/>
    <w:rsid w:val="000352CA"/>
    <w:rsid w:val="00047257"/>
    <w:rsid w:val="00097A7E"/>
    <w:rsid w:val="000D51F4"/>
    <w:rsid w:val="000F58CC"/>
    <w:rsid w:val="00131BBD"/>
    <w:rsid w:val="00147A7F"/>
    <w:rsid w:val="00197BA1"/>
    <w:rsid w:val="001C28E7"/>
    <w:rsid w:val="001C6657"/>
    <w:rsid w:val="002127F0"/>
    <w:rsid w:val="00234042"/>
    <w:rsid w:val="002448A5"/>
    <w:rsid w:val="002A629E"/>
    <w:rsid w:val="002E4872"/>
    <w:rsid w:val="003441E5"/>
    <w:rsid w:val="0036351B"/>
    <w:rsid w:val="00383022"/>
    <w:rsid w:val="003B1499"/>
    <w:rsid w:val="003E6503"/>
    <w:rsid w:val="003E76C5"/>
    <w:rsid w:val="003F6199"/>
    <w:rsid w:val="00406D88"/>
    <w:rsid w:val="00447E1F"/>
    <w:rsid w:val="004552EA"/>
    <w:rsid w:val="00472C7E"/>
    <w:rsid w:val="00472CA7"/>
    <w:rsid w:val="00477BDB"/>
    <w:rsid w:val="004A01EB"/>
    <w:rsid w:val="004A3BCA"/>
    <w:rsid w:val="004A55CC"/>
    <w:rsid w:val="004A791B"/>
    <w:rsid w:val="004B7462"/>
    <w:rsid w:val="004C055B"/>
    <w:rsid w:val="004C3886"/>
    <w:rsid w:val="004F2201"/>
    <w:rsid w:val="00511400"/>
    <w:rsid w:val="00542267"/>
    <w:rsid w:val="00553427"/>
    <w:rsid w:val="005820C9"/>
    <w:rsid w:val="00585E52"/>
    <w:rsid w:val="00592615"/>
    <w:rsid w:val="00593975"/>
    <w:rsid w:val="005A673E"/>
    <w:rsid w:val="005C2EBF"/>
    <w:rsid w:val="005D08F7"/>
    <w:rsid w:val="00600E0B"/>
    <w:rsid w:val="00613698"/>
    <w:rsid w:val="00654E49"/>
    <w:rsid w:val="006578D7"/>
    <w:rsid w:val="006C33C8"/>
    <w:rsid w:val="006C7C58"/>
    <w:rsid w:val="006D153D"/>
    <w:rsid w:val="006D4B09"/>
    <w:rsid w:val="007506AE"/>
    <w:rsid w:val="007571FD"/>
    <w:rsid w:val="007869B2"/>
    <w:rsid w:val="007A3E1A"/>
    <w:rsid w:val="007D3F16"/>
    <w:rsid w:val="007F0737"/>
    <w:rsid w:val="008338A0"/>
    <w:rsid w:val="0084206C"/>
    <w:rsid w:val="00852EBC"/>
    <w:rsid w:val="00874386"/>
    <w:rsid w:val="0088571C"/>
    <w:rsid w:val="00886444"/>
    <w:rsid w:val="008A19E7"/>
    <w:rsid w:val="008D7013"/>
    <w:rsid w:val="008E1CC4"/>
    <w:rsid w:val="008F7E90"/>
    <w:rsid w:val="00927102"/>
    <w:rsid w:val="009A227B"/>
    <w:rsid w:val="009C1876"/>
    <w:rsid w:val="009C43BF"/>
    <w:rsid w:val="009C4D05"/>
    <w:rsid w:val="009C61C5"/>
    <w:rsid w:val="009F4B9D"/>
    <w:rsid w:val="00A022BC"/>
    <w:rsid w:val="00A13B92"/>
    <w:rsid w:val="00A4447D"/>
    <w:rsid w:val="00A615CC"/>
    <w:rsid w:val="00A96349"/>
    <w:rsid w:val="00AA686C"/>
    <w:rsid w:val="00AC0168"/>
    <w:rsid w:val="00AD032B"/>
    <w:rsid w:val="00AE2840"/>
    <w:rsid w:val="00B02AEB"/>
    <w:rsid w:val="00B14DFB"/>
    <w:rsid w:val="00B16332"/>
    <w:rsid w:val="00B4140A"/>
    <w:rsid w:val="00B418A0"/>
    <w:rsid w:val="00B87233"/>
    <w:rsid w:val="00BA5C36"/>
    <w:rsid w:val="00BB496C"/>
    <w:rsid w:val="00BC30FC"/>
    <w:rsid w:val="00BD00E3"/>
    <w:rsid w:val="00C02722"/>
    <w:rsid w:val="00C12182"/>
    <w:rsid w:val="00C613FC"/>
    <w:rsid w:val="00C860BB"/>
    <w:rsid w:val="00CF5B31"/>
    <w:rsid w:val="00D17C22"/>
    <w:rsid w:val="00D34878"/>
    <w:rsid w:val="00D3636E"/>
    <w:rsid w:val="00D62BCE"/>
    <w:rsid w:val="00D76C0E"/>
    <w:rsid w:val="00DD7C1C"/>
    <w:rsid w:val="00DF2349"/>
    <w:rsid w:val="00DF287A"/>
    <w:rsid w:val="00E05115"/>
    <w:rsid w:val="00E30643"/>
    <w:rsid w:val="00E45E4C"/>
    <w:rsid w:val="00E54047"/>
    <w:rsid w:val="00E81ECD"/>
    <w:rsid w:val="00E8505A"/>
    <w:rsid w:val="00E879CE"/>
    <w:rsid w:val="00E94B67"/>
    <w:rsid w:val="00EB7A62"/>
    <w:rsid w:val="00EC1696"/>
    <w:rsid w:val="00EE1CFF"/>
    <w:rsid w:val="00F12A72"/>
    <w:rsid w:val="00F40CDE"/>
    <w:rsid w:val="00F43B24"/>
    <w:rsid w:val="00F61950"/>
    <w:rsid w:val="00F627A6"/>
    <w:rsid w:val="00F77AEE"/>
    <w:rsid w:val="00F860D4"/>
    <w:rsid w:val="00F91DBB"/>
    <w:rsid w:val="00FC26CB"/>
    <w:rsid w:val="00FC5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oss.org.au/images/uploads/ACOSS_Poverty_in_Australia_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1661-8A64-49E8-BAC4-DC32D19E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Evans</dc:creator>
  <cp:lastModifiedBy>Xavier O'Halloran</cp:lastModifiedBy>
  <cp:revision>4</cp:revision>
  <cp:lastPrinted>2016-02-19T07:01:00Z</cp:lastPrinted>
  <dcterms:created xsi:type="dcterms:W3CDTF">2016-03-18T03:34:00Z</dcterms:created>
  <dcterms:modified xsi:type="dcterms:W3CDTF">2016-03-18T04:03:00Z</dcterms:modified>
</cp:coreProperties>
</file>