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2" w:rsidRDefault="00064F1A" w:rsidP="00064F1A">
      <w:pPr>
        <w:pStyle w:val="Heading1"/>
      </w:pPr>
      <w:r>
        <w:t>Why digital inclusion matters</w:t>
      </w:r>
    </w:p>
    <w:p w:rsidR="00064F1A" w:rsidRDefault="004A39F8" w:rsidP="00064F1A">
      <w:r>
        <w:t xml:space="preserve">Digital inclusion ensures that no one is left behind as we move towards an increasingly digital future. </w:t>
      </w:r>
      <w:r w:rsidR="00064F1A">
        <w:t xml:space="preserve">For </w:t>
      </w:r>
      <w:hyperlink r:id="rId6" w:history="1">
        <w:r w:rsidR="00064F1A" w:rsidRPr="00064F1A">
          <w:rPr>
            <w:rStyle w:val="Hyperlink"/>
          </w:rPr>
          <w:t>Social Inclusion Week 2015</w:t>
        </w:r>
      </w:hyperlink>
      <w:r w:rsidR="00064F1A">
        <w:t xml:space="preserve">, we </w:t>
      </w:r>
      <w:r w:rsidR="00A815DC">
        <w:t>thought we’d outline</w:t>
      </w:r>
      <w:r w:rsidR="00B426D6">
        <w:t xml:space="preserve"> why digital inclusion is vital for all Australians</w:t>
      </w:r>
      <w:r>
        <w:t>.</w:t>
      </w:r>
    </w:p>
    <w:p w:rsidR="00927BE0" w:rsidRDefault="00927BE0" w:rsidP="00064F1A">
      <w:r>
        <w:t xml:space="preserve">While many of us have smartphones and access to the internet at home, there are some </w:t>
      </w:r>
      <w:r w:rsidR="00A815DC">
        <w:t>consumers</w:t>
      </w:r>
      <w:r w:rsidR="00F37606">
        <w:t xml:space="preserve"> who </w:t>
      </w:r>
      <w:r w:rsidR="00252E37">
        <w:t>don’t</w:t>
      </w:r>
      <w:r>
        <w:t>. Two issues often cited</w:t>
      </w:r>
      <w:r w:rsidR="00F37606">
        <w:t xml:space="preserve"> as barriers to digital inclusion</w:t>
      </w:r>
      <w:r>
        <w:t xml:space="preserve"> are affordability </w:t>
      </w:r>
      <w:r w:rsidR="00A815DC">
        <w:t>and</w:t>
      </w:r>
      <w:r>
        <w:t xml:space="preserve"> a lack of digital literacy.</w:t>
      </w:r>
    </w:p>
    <w:p w:rsidR="00395CC8" w:rsidRDefault="00395CC8" w:rsidP="00395CC8">
      <w:pPr>
        <w:pStyle w:val="Heading2"/>
      </w:pPr>
      <w:r>
        <w:t>Affordability divide</w:t>
      </w:r>
    </w:p>
    <w:p w:rsidR="00064F1A" w:rsidRDefault="00252E37" w:rsidP="00064F1A">
      <w:hyperlink r:id="rId7" w:history="1">
        <w:r w:rsidR="00927BE0" w:rsidRPr="00927BE0">
          <w:rPr>
            <w:rStyle w:val="Hyperlink"/>
          </w:rPr>
          <w:t>Research</w:t>
        </w:r>
      </w:hyperlink>
      <w:r w:rsidR="00927BE0">
        <w:t xml:space="preserve"> from the Australian Bureau of Statistics shows that in </w:t>
      </w:r>
      <w:r w:rsidR="00927BE0" w:rsidRPr="00927BE0">
        <w:t>2012–13,</w:t>
      </w:r>
      <w:r w:rsidR="00927BE0">
        <w:t xml:space="preserve"> </w:t>
      </w:r>
      <w:r w:rsidR="00927BE0" w:rsidRPr="00927BE0">
        <w:t>98 per cent of households with a household income of $120,000 or more had internet access, compared to only 57 per cent of households with a househ</w:t>
      </w:r>
      <w:r w:rsidR="00927BE0">
        <w:t>o</w:t>
      </w:r>
      <w:r w:rsidR="00F37606">
        <w:t>ld income of less than $40,000, suggesting an ‘affordability divide’ when it comes to broadband.</w:t>
      </w:r>
    </w:p>
    <w:p w:rsidR="00927BE0" w:rsidRDefault="00927BE0" w:rsidP="00064F1A">
      <w:r>
        <w:t xml:space="preserve">There are many groups who may be affected by this, including low-income consumers and seniors. ACCAN believes that all consumers should have access to affordable telecommunications services </w:t>
      </w:r>
      <w:r w:rsidR="00F37606">
        <w:t xml:space="preserve">as </w:t>
      </w:r>
      <w:r>
        <w:t xml:space="preserve">these are becoming increasingly essential for </w:t>
      </w:r>
      <w:r w:rsidR="00F37606">
        <w:t>consumers to fully</w:t>
      </w:r>
      <w:r>
        <w:t xml:space="preserve"> participate in our digital society.</w:t>
      </w:r>
    </w:p>
    <w:p w:rsidR="00B426D6" w:rsidRDefault="00B426D6" w:rsidP="00064F1A">
      <w:r>
        <w:t xml:space="preserve">We explored telecommunications affordability issues at our </w:t>
      </w:r>
      <w:hyperlink r:id="rId8" w:history="1">
        <w:r w:rsidRPr="00B426D6">
          <w:rPr>
            <w:rStyle w:val="Hyperlink"/>
          </w:rPr>
          <w:t>2015 National Conference</w:t>
        </w:r>
      </w:hyperlink>
      <w:r>
        <w:t xml:space="preserve">. The </w:t>
      </w:r>
      <w:r w:rsidR="00E33B10">
        <w:t xml:space="preserve">event </w:t>
      </w:r>
      <w:r w:rsidR="00F37606">
        <w:t xml:space="preserve">brought together delegates from the </w:t>
      </w:r>
      <w:proofErr w:type="spellStart"/>
      <w:r w:rsidR="00F37606">
        <w:t>telcos</w:t>
      </w:r>
      <w:proofErr w:type="spellEnd"/>
      <w:r w:rsidR="00F37606">
        <w:t xml:space="preserve">, community groups, government and regulators to discuss affordability issues </w:t>
      </w:r>
      <w:r w:rsidR="00A815DC">
        <w:t>for consumers</w:t>
      </w:r>
      <w:r w:rsidR="00F37606">
        <w:t xml:space="preserve"> across Australia.</w:t>
      </w:r>
    </w:p>
    <w:p w:rsidR="00395CC8" w:rsidRPr="00B426D6" w:rsidRDefault="00395CC8" w:rsidP="00395CC8">
      <w:pPr>
        <w:pStyle w:val="Heading2"/>
      </w:pPr>
      <w:r>
        <w:t>Digital literacy</w:t>
      </w:r>
    </w:p>
    <w:p w:rsidR="00927BE0" w:rsidRDefault="00A815DC" w:rsidP="00064F1A">
      <w:r>
        <w:t>Lack of d</w:t>
      </w:r>
      <w:r w:rsidR="00287D94">
        <w:t xml:space="preserve">igital literacy is </w:t>
      </w:r>
      <w:r>
        <w:t xml:space="preserve">an </w:t>
      </w:r>
      <w:r w:rsidR="00287D94">
        <w:t xml:space="preserve">increasingly </w:t>
      </w:r>
      <w:r w:rsidR="00F37606">
        <w:t>significant</w:t>
      </w:r>
      <w:r>
        <w:t xml:space="preserve"> issue</w:t>
      </w:r>
      <w:r w:rsidR="00287D94">
        <w:t xml:space="preserve"> as more government services move online as part of the Federal Government’s Digital First Strategy</w:t>
      </w:r>
      <w:r w:rsidR="00B426D6">
        <w:t xml:space="preserve"> which will require </w:t>
      </w:r>
      <w:r w:rsidR="00B426D6" w:rsidRPr="00B426D6">
        <w:t>all services and public interactions to be available online by 2017.</w:t>
      </w:r>
      <w:r w:rsidR="00B426D6">
        <w:t xml:space="preserve"> T</w:t>
      </w:r>
      <w:r w:rsidR="00F37606">
        <w:t>he</w:t>
      </w:r>
      <w:r w:rsidR="00B426D6">
        <w:t xml:space="preserve"> issue </w:t>
      </w:r>
      <w:r w:rsidR="00287D94">
        <w:t xml:space="preserve">is detailed in a 2015 </w:t>
      </w:r>
      <w:hyperlink r:id="rId9" w:history="1">
        <w:r w:rsidR="00287D94" w:rsidRPr="00287D94">
          <w:rPr>
            <w:rStyle w:val="Hyperlink"/>
          </w:rPr>
          <w:t>OECD report</w:t>
        </w:r>
      </w:hyperlink>
      <w:r w:rsidR="00287D94">
        <w:t xml:space="preserve"> </w:t>
      </w:r>
      <w:r w:rsidR="00B426D6">
        <w:t xml:space="preserve">which identified </w:t>
      </w:r>
      <w:r w:rsidR="00B426D6" w:rsidRPr="00B426D6">
        <w:t xml:space="preserve">digital literacy as a barrier to uptake of </w:t>
      </w:r>
      <w:r w:rsidR="007257A0">
        <w:t>online</w:t>
      </w:r>
      <w:r w:rsidR="00B426D6" w:rsidRPr="00B426D6">
        <w:t xml:space="preserve"> services stating that “many adults do not have sufficient proficiency in computer skills to feel confident in using e-government services.”</w:t>
      </w:r>
    </w:p>
    <w:p w:rsidR="00B426D6" w:rsidRDefault="00A379FE" w:rsidP="00064F1A">
      <w:r>
        <w:t>ACCAN is concerned that a lack of digital literacy will affect some consumers’ ability to access essential Governmen</w:t>
      </w:r>
      <w:r w:rsidR="00395CC8">
        <w:t xml:space="preserve">t services such as </w:t>
      </w:r>
      <w:proofErr w:type="spellStart"/>
      <w:r w:rsidR="00395CC8">
        <w:t>Centrelink</w:t>
      </w:r>
      <w:proofErr w:type="spellEnd"/>
      <w:r w:rsidR="00395CC8">
        <w:t xml:space="preserve"> and</w:t>
      </w:r>
      <w:r>
        <w:t xml:space="preserve"> Medicare as </w:t>
      </w:r>
      <w:proofErr w:type="gramStart"/>
      <w:r w:rsidR="00A815DC">
        <w:t>these</w:t>
      </w:r>
      <w:r>
        <w:t xml:space="preserve"> move</w:t>
      </w:r>
      <w:proofErr w:type="gramEnd"/>
      <w:r>
        <w:t xml:space="preserve"> online.</w:t>
      </w:r>
      <w:r w:rsidR="004351FA">
        <w:t xml:space="preserve"> In reality, everyone is required to continuously update their digital capability to stay in touch and included due to updates to technology and changing applications.</w:t>
      </w:r>
    </w:p>
    <w:p w:rsidR="00A379FE" w:rsidRPr="00A379FE" w:rsidRDefault="00252E37" w:rsidP="00A379FE">
      <w:hyperlink r:id="rId10" w:history="1">
        <w:r w:rsidR="00A379FE">
          <w:rPr>
            <w:rStyle w:val="Hyperlink"/>
          </w:rPr>
          <w:t>The Digital Age Project</w:t>
        </w:r>
      </w:hyperlink>
      <w:r w:rsidR="00A379FE" w:rsidRPr="00A379FE">
        <w:t>,</w:t>
      </w:r>
      <w:r w:rsidR="00BA4932">
        <w:t xml:space="preserve"> </w:t>
      </w:r>
      <w:r>
        <w:t>which was funded through the</w:t>
      </w:r>
      <w:r w:rsidR="00BA4932">
        <w:t xml:space="preserve"> ACCAN Grants Scheme,</w:t>
      </w:r>
      <w:r w:rsidR="004351FA">
        <w:t xml:space="preserve"> explores</w:t>
      </w:r>
      <w:r w:rsidR="00A379FE" w:rsidRPr="00A379FE">
        <w:t xml:space="preserve"> strategies to enable older social housing residents to use the internet</w:t>
      </w:r>
      <w:r w:rsidR="00A379FE">
        <w:t xml:space="preserve"> by</w:t>
      </w:r>
      <w:r w:rsidR="00A379FE" w:rsidRPr="00A379FE">
        <w:t xml:space="preserve"> set</w:t>
      </w:r>
      <w:r w:rsidR="00A379FE">
        <w:t>ting</w:t>
      </w:r>
      <w:r w:rsidR="00A379FE" w:rsidRPr="00A379FE">
        <w:t xml:space="preserve"> up computers and internet access in three communities of older, social housing tenants in Coffs Harbour. At the </w:t>
      </w:r>
      <w:r w:rsidR="00395CC8">
        <w:t>start</w:t>
      </w:r>
      <w:r w:rsidR="00A379FE" w:rsidRPr="00A379FE">
        <w:t xml:space="preserve"> of the project, the participants had a lack of confidence using </w:t>
      </w:r>
      <w:r w:rsidR="00A379FE">
        <w:t>technology</w:t>
      </w:r>
      <w:r w:rsidR="00A379FE" w:rsidRPr="00A379FE">
        <w:t>. By the project</w:t>
      </w:r>
      <w:r w:rsidR="00F37606">
        <w:t>’s end</w:t>
      </w:r>
      <w:r w:rsidR="00A379FE" w:rsidRPr="00A379FE">
        <w:t xml:space="preserve"> more than half said the training had improved aspects of their social engagement and personal confidence showing that education and training projects are viable to help </w:t>
      </w:r>
      <w:r>
        <w:t xml:space="preserve">improve </w:t>
      </w:r>
      <w:r w:rsidR="00BA4932">
        <w:t>digital literacy.</w:t>
      </w:r>
    </w:p>
    <w:p w:rsidR="00BA4932" w:rsidRDefault="00BA4932" w:rsidP="00064F1A">
      <w:r>
        <w:t xml:space="preserve">Not-for-profit organisation and ACCAN member, </w:t>
      </w:r>
      <w:proofErr w:type="spellStart"/>
      <w:r>
        <w:t>Infoxchange</w:t>
      </w:r>
      <w:proofErr w:type="spellEnd"/>
      <w:r>
        <w:t xml:space="preserve">, </w:t>
      </w:r>
      <w:r w:rsidRPr="00BA4932">
        <w:t xml:space="preserve">runs a program called </w:t>
      </w:r>
      <w:hyperlink r:id="rId11" w:history="1">
        <w:r>
          <w:rPr>
            <w:rStyle w:val="Hyperlink"/>
          </w:rPr>
          <w:t xml:space="preserve">Go </w:t>
        </w:r>
        <w:proofErr w:type="spellStart"/>
        <w:r>
          <w:rPr>
            <w:rStyle w:val="Hyperlink"/>
          </w:rPr>
          <w:t>Digi</w:t>
        </w:r>
        <w:proofErr w:type="spellEnd"/>
      </w:hyperlink>
      <w:r>
        <w:rPr>
          <w:color w:val="1F497D"/>
        </w:rPr>
        <w:t xml:space="preserve"> </w:t>
      </w:r>
      <w:r w:rsidRPr="00BA4932">
        <w:t xml:space="preserve">which aims to help consumers </w:t>
      </w:r>
      <w:r w:rsidR="00252E37" w:rsidRPr="00BA4932">
        <w:t>advance</w:t>
      </w:r>
      <w:r w:rsidRPr="00BA4932">
        <w:t xml:space="preserve"> their digital literacy</w:t>
      </w:r>
      <w:r w:rsidR="00252E37">
        <w:t xml:space="preserve"> skills</w:t>
      </w:r>
      <w:r w:rsidRPr="00BA4932">
        <w:t xml:space="preserve"> and get onl</w:t>
      </w:r>
      <w:r w:rsidR="00252E37">
        <w:t xml:space="preserve">ine. Consumers can sign up as </w:t>
      </w:r>
      <w:r w:rsidRPr="00BA4932">
        <w:t>learner</w:t>
      </w:r>
      <w:r w:rsidR="00252E37">
        <w:t>s</w:t>
      </w:r>
      <w:r w:rsidRPr="00BA4932">
        <w:t xml:space="preserve"> or as mentor</w:t>
      </w:r>
      <w:r w:rsidR="00252E37">
        <w:t>s to help others</w:t>
      </w:r>
      <w:r w:rsidRPr="00BA4932">
        <w:t xml:space="preserve"> become more comfo</w:t>
      </w:r>
      <w:r w:rsidR="00395CC8">
        <w:t>rtable with using the internet.</w:t>
      </w:r>
    </w:p>
    <w:p w:rsidR="00A379FE" w:rsidRDefault="00BA4932" w:rsidP="00064F1A">
      <w:r w:rsidRPr="00BA4932">
        <w:lastRenderedPageBreak/>
        <w:t xml:space="preserve">At </w:t>
      </w:r>
      <w:r w:rsidR="00395CC8">
        <w:t>our 2015</w:t>
      </w:r>
      <w:r w:rsidRPr="00BA4932">
        <w:t xml:space="preserve"> Conference</w:t>
      </w:r>
      <w:r w:rsidR="00A815DC">
        <w:t>,</w:t>
      </w:r>
      <w:bookmarkStart w:id="0" w:name="_GoBack"/>
      <w:bookmarkEnd w:id="0"/>
      <w:r w:rsidRPr="00BA4932">
        <w:t xml:space="preserve"> </w:t>
      </w:r>
      <w:proofErr w:type="spellStart"/>
      <w:r w:rsidRPr="00BA4932">
        <w:t>Infoxchange</w:t>
      </w:r>
      <w:proofErr w:type="spellEnd"/>
      <w:r w:rsidRPr="00BA4932">
        <w:t xml:space="preserve"> announced 2016 as the </w:t>
      </w:r>
      <w:hyperlink r:id="rId12" w:history="1">
        <w:r>
          <w:rPr>
            <w:rStyle w:val="Hyperlink"/>
          </w:rPr>
          <w:t>National Year of Digital Inclusion</w:t>
        </w:r>
      </w:hyperlink>
      <w:r w:rsidRPr="00BA4932">
        <w:t xml:space="preserve">. This project will include events across Australia to raise awareness about digital inclusion and its benefits. </w:t>
      </w:r>
      <w:r>
        <w:t>Go to the website to find out how you can get involved.</w:t>
      </w:r>
    </w:p>
    <w:p w:rsidR="00B426D6" w:rsidRPr="00064F1A" w:rsidRDefault="00B426D6" w:rsidP="00064F1A">
      <w:r>
        <w:t xml:space="preserve">This week we’ll be sharing relevant content on </w:t>
      </w:r>
      <w:hyperlink r:id="rId13" w:history="1">
        <w:r w:rsidRPr="00B426D6">
          <w:rPr>
            <w:rStyle w:val="Hyperlink"/>
          </w:rPr>
          <w:t>Twitter</w:t>
        </w:r>
      </w:hyperlink>
      <w:r>
        <w:t xml:space="preserve"> and </w:t>
      </w:r>
      <w:hyperlink r:id="rId14" w:history="1">
        <w:r w:rsidRPr="00B426D6">
          <w:rPr>
            <w:rStyle w:val="Hyperlink"/>
          </w:rPr>
          <w:t>Facebook</w:t>
        </w:r>
      </w:hyperlink>
      <w:r>
        <w:t xml:space="preserve"> using the #SIW15 </w:t>
      </w:r>
      <w:proofErr w:type="spellStart"/>
      <w:r>
        <w:t>hashtag</w:t>
      </w:r>
      <w:proofErr w:type="spellEnd"/>
      <w:r>
        <w:t>.</w:t>
      </w:r>
    </w:p>
    <w:sectPr w:rsidR="00B426D6" w:rsidRPr="0006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1A"/>
    <w:rsid w:val="00064F1A"/>
    <w:rsid w:val="00141619"/>
    <w:rsid w:val="00252E37"/>
    <w:rsid w:val="00287D94"/>
    <w:rsid w:val="00395CC8"/>
    <w:rsid w:val="004351FA"/>
    <w:rsid w:val="004A39F8"/>
    <w:rsid w:val="00503CCE"/>
    <w:rsid w:val="007257A0"/>
    <w:rsid w:val="00927BE0"/>
    <w:rsid w:val="00A379FE"/>
    <w:rsid w:val="00A815DC"/>
    <w:rsid w:val="00B426D6"/>
    <w:rsid w:val="00BA4932"/>
    <w:rsid w:val="00E33B10"/>
    <w:rsid w:val="00F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4F1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5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52E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4F1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5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52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n.org.au/accanevents/1053-conference-2015" TargetMode="External"/><Relationship Id="rId13" Type="http://schemas.openxmlformats.org/officeDocument/2006/relationships/hyperlink" Target="https://twitter.com/accan_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bs.gov.au/ausstats/abs@.nsf/Lookup/D0DD505F12749281CA257C89000E3F5E?opendocument" TargetMode="External"/><Relationship Id="rId12" Type="http://schemas.openxmlformats.org/officeDocument/2006/relationships/hyperlink" Target="https://www.godigi.org.au/NY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ialinclusionweek.com.au/" TargetMode="External"/><Relationship Id="rId11" Type="http://schemas.openxmlformats.org/officeDocument/2006/relationships/hyperlink" Target="https://godigi.org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can.org.au/grants/completed-grants/622-digital-stories-empowering-low-ses-communities-to-use-the-internet-for-services-education-and-empower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-ilibrary.org/education/adults-computers-and-problem-solving_9789264236844-en" TargetMode="External"/><Relationship Id="rId14" Type="http://schemas.openxmlformats.org/officeDocument/2006/relationships/hyperlink" Target="https://www.facebook.com/acca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1C4E-A2B4-4F48-BBB0-09041E89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7</cp:revision>
  <dcterms:created xsi:type="dcterms:W3CDTF">2015-10-28T23:26:00Z</dcterms:created>
  <dcterms:modified xsi:type="dcterms:W3CDTF">2015-11-22T23:34:00Z</dcterms:modified>
</cp:coreProperties>
</file>