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2D" w:rsidRPr="000E03A5" w:rsidRDefault="000E03A5" w:rsidP="000E03A5">
      <w:pPr>
        <w:spacing w:after="0" w:line="360" w:lineRule="auto"/>
        <w:rPr>
          <w:b/>
        </w:rPr>
      </w:pPr>
      <w:r w:rsidRPr="002E012E">
        <w:rPr>
          <w:b/>
          <w:noProof/>
          <w:lang w:eastAsia="en-AU"/>
        </w:rPr>
        <w:drawing>
          <wp:anchor distT="0" distB="0" distL="114300" distR="114300" simplePos="0" relativeHeight="251659264" behindDoc="1" locked="0" layoutInCell="1" allowOverlap="1" wp14:anchorId="19858038" wp14:editId="3194A23C">
            <wp:simplePos x="0" y="0"/>
            <wp:positionH relativeFrom="column">
              <wp:posOffset>3845201</wp:posOffset>
            </wp:positionH>
            <wp:positionV relativeFrom="paragraph">
              <wp:posOffset>-62865</wp:posOffset>
            </wp:positionV>
            <wp:extent cx="1917700" cy="11125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 DL logo.jpg"/>
                    <pic:cNvPicPr/>
                  </pic:nvPicPr>
                  <pic:blipFill>
                    <a:blip r:embed="rId9">
                      <a:extLst>
                        <a:ext uri="{28A0092B-C50C-407E-A947-70E740481C1C}">
                          <a14:useLocalDpi xmlns:a14="http://schemas.microsoft.com/office/drawing/2010/main" val="0"/>
                        </a:ext>
                      </a:extLst>
                    </a:blip>
                    <a:stretch>
                      <a:fillRect/>
                    </a:stretch>
                  </pic:blipFill>
                  <pic:spPr>
                    <a:xfrm>
                      <a:off x="0" y="0"/>
                      <a:ext cx="1917700" cy="1112520"/>
                    </a:xfrm>
                    <a:prstGeom prst="rect">
                      <a:avLst/>
                    </a:prstGeom>
                  </pic:spPr>
                </pic:pic>
              </a:graphicData>
            </a:graphic>
            <wp14:sizeRelH relativeFrom="page">
              <wp14:pctWidth>0</wp14:pctWidth>
            </wp14:sizeRelH>
            <wp14:sizeRelV relativeFrom="page">
              <wp14:pctHeight>0</wp14:pctHeight>
            </wp14:sizeRelV>
          </wp:anchor>
        </w:drawing>
      </w:r>
      <w:r w:rsidR="00AA3A2D" w:rsidRPr="000E03A5">
        <w:rPr>
          <w:b/>
        </w:rPr>
        <w:t>Teresa Corbin</w:t>
      </w:r>
      <w:r w:rsidR="0008128F" w:rsidRPr="000E03A5">
        <w:rPr>
          <w:b/>
        </w:rPr>
        <w:t xml:space="preserve">, </w:t>
      </w:r>
      <w:r w:rsidR="00AA3A2D" w:rsidRPr="000E03A5">
        <w:rPr>
          <w:b/>
        </w:rPr>
        <w:t>CEO</w:t>
      </w:r>
      <w:r w:rsidR="0008128F" w:rsidRPr="000E03A5">
        <w:rPr>
          <w:b/>
        </w:rPr>
        <w:t>,</w:t>
      </w:r>
      <w:r w:rsidR="00AA3A2D" w:rsidRPr="000E03A5">
        <w:rPr>
          <w:b/>
        </w:rPr>
        <w:t xml:space="preserve"> ACCAN</w:t>
      </w:r>
    </w:p>
    <w:p w:rsidR="00E85C2C" w:rsidRPr="000E03A5" w:rsidRDefault="0008128F" w:rsidP="000E03A5">
      <w:pPr>
        <w:spacing w:after="0" w:line="360" w:lineRule="auto"/>
        <w:rPr>
          <w:b/>
        </w:rPr>
      </w:pPr>
      <w:r w:rsidRPr="000E03A5">
        <w:rPr>
          <w:b/>
        </w:rPr>
        <w:t>Comms</w:t>
      </w:r>
      <w:r w:rsidR="004F2059" w:rsidRPr="000E03A5">
        <w:rPr>
          <w:b/>
        </w:rPr>
        <w:t>Day speech</w:t>
      </w:r>
    </w:p>
    <w:p w:rsidR="004F2059" w:rsidRPr="000E03A5" w:rsidRDefault="004F2059" w:rsidP="000E03A5">
      <w:pPr>
        <w:spacing w:after="0" w:line="360" w:lineRule="auto"/>
        <w:rPr>
          <w:b/>
        </w:rPr>
      </w:pPr>
      <w:r w:rsidRPr="000E03A5">
        <w:rPr>
          <w:b/>
        </w:rPr>
        <w:t>8 October 2013</w:t>
      </w:r>
    </w:p>
    <w:p w:rsidR="004F2059" w:rsidRPr="00E55E02" w:rsidRDefault="00E55E02" w:rsidP="00362FCD">
      <w:pPr>
        <w:spacing w:before="240" w:line="360" w:lineRule="auto"/>
        <w:rPr>
          <w:b/>
        </w:rPr>
      </w:pPr>
      <w:r w:rsidRPr="00E55E02">
        <w:rPr>
          <w:b/>
        </w:rPr>
        <w:t>Intro</w:t>
      </w:r>
      <w:r w:rsidR="00EC057E">
        <w:rPr>
          <w:b/>
        </w:rPr>
        <w:t xml:space="preserve"> </w:t>
      </w:r>
      <w:bookmarkStart w:id="0" w:name="_GoBack"/>
      <w:bookmarkEnd w:id="0"/>
    </w:p>
    <w:p w:rsidR="00E55E02" w:rsidRDefault="00416317" w:rsidP="00362FCD">
      <w:pPr>
        <w:spacing w:before="240" w:line="360" w:lineRule="auto"/>
      </w:pPr>
      <w:r>
        <w:t>It’s been t</w:t>
      </w:r>
      <w:r w:rsidR="00E55E02">
        <w:t>hree and a half y</w:t>
      </w:r>
      <w:r w:rsidR="003835F7">
        <w:t>ears</w:t>
      </w:r>
      <w:r w:rsidR="00931EBC">
        <w:t xml:space="preserve"> </w:t>
      </w:r>
      <w:r>
        <w:t>since</w:t>
      </w:r>
      <w:r w:rsidR="00931EBC">
        <w:t xml:space="preserve"> the industry faced an ultimatum to clean up its act or face regulation.</w:t>
      </w:r>
      <w:r w:rsidR="00E85C2C">
        <w:rPr>
          <w:rStyle w:val="FootnoteReference"/>
        </w:rPr>
        <w:footnoteReference w:id="1"/>
      </w:r>
      <w:r w:rsidR="003835F7">
        <w:t xml:space="preserve"> </w:t>
      </w:r>
      <w:r w:rsidR="00F4045C">
        <w:t>Since then</w:t>
      </w:r>
      <w:r w:rsidR="001714A0">
        <w:t>,</w:t>
      </w:r>
      <w:r w:rsidR="00F4045C">
        <w:t xml:space="preserve"> these industry summits have become an important occasion to update everyone on the progress of the self-regulatory consumer protection process. </w:t>
      </w:r>
      <w:r w:rsidR="00931EBC">
        <w:t>Things have changed a lot lately but</w:t>
      </w:r>
      <w:r w:rsidR="003835F7">
        <w:t xml:space="preserve"> there is still a</w:t>
      </w:r>
      <w:r w:rsidR="00E55E02">
        <w:t xml:space="preserve"> conversation to have with </w:t>
      </w:r>
      <w:r w:rsidR="001E0B2B">
        <w:t xml:space="preserve">you, </w:t>
      </w:r>
      <w:r>
        <w:t xml:space="preserve">the </w:t>
      </w:r>
      <w:r w:rsidR="001E0B2B">
        <w:t>representatives of the telecommunications industry,</w:t>
      </w:r>
      <w:r w:rsidR="00E55E02">
        <w:t xml:space="preserve"> about </w:t>
      </w:r>
      <w:r w:rsidR="001E0B2B">
        <w:t>where we’ve got to</w:t>
      </w:r>
      <w:r w:rsidR="003835F7">
        <w:t>,</w:t>
      </w:r>
      <w:r w:rsidR="00E55E02">
        <w:t xml:space="preserve"> how far there </w:t>
      </w:r>
      <w:r w:rsidR="0029607F">
        <w:t xml:space="preserve">is </w:t>
      </w:r>
      <w:r w:rsidR="00E55E02">
        <w:t>still to go</w:t>
      </w:r>
      <w:r w:rsidR="003835F7">
        <w:t xml:space="preserve"> and </w:t>
      </w:r>
      <w:r w:rsidR="00F4045C">
        <w:t xml:space="preserve">of course </w:t>
      </w:r>
      <w:r w:rsidR="003835F7">
        <w:t>the new consumer challenges in the marketplace</w:t>
      </w:r>
      <w:r w:rsidR="00E55E02">
        <w:t>.</w:t>
      </w:r>
    </w:p>
    <w:p w:rsidR="00E55E02" w:rsidRDefault="00E55E02" w:rsidP="00362FCD">
      <w:pPr>
        <w:spacing w:before="240" w:line="360" w:lineRule="auto"/>
      </w:pPr>
      <w:r>
        <w:t xml:space="preserve">Today I’m </w:t>
      </w:r>
      <w:r w:rsidR="00C7351E">
        <w:t>looking</w:t>
      </w:r>
      <w:r>
        <w:t xml:space="preserve"> </w:t>
      </w:r>
      <w:r w:rsidR="003835F7">
        <w:t xml:space="preserve">at what’s needed to finish the job </w:t>
      </w:r>
      <w:r>
        <w:t>the ACMA</w:t>
      </w:r>
      <w:r w:rsidR="003835F7">
        <w:t xml:space="preserve"> started with its</w:t>
      </w:r>
      <w:r>
        <w:t xml:space="preserve"> </w:t>
      </w:r>
      <w:r w:rsidRPr="004A1E09">
        <w:rPr>
          <w:i/>
        </w:rPr>
        <w:t xml:space="preserve">Reconnecting the Customer </w:t>
      </w:r>
      <w:r w:rsidRPr="0029607F">
        <w:rPr>
          <w:i/>
        </w:rPr>
        <w:t>Inquiry</w:t>
      </w:r>
      <w:r w:rsidR="00096661">
        <w:rPr>
          <w:i/>
        </w:rPr>
        <w:t xml:space="preserve"> </w:t>
      </w:r>
      <w:r w:rsidR="00096661">
        <w:t>in April 2010</w:t>
      </w:r>
      <w:r>
        <w:t>.</w:t>
      </w:r>
      <w:r w:rsidR="003835F7">
        <w:t xml:space="preserve"> </w:t>
      </w:r>
    </w:p>
    <w:p w:rsidR="00E55E02" w:rsidRDefault="00E55E02" w:rsidP="00362FCD">
      <w:pPr>
        <w:spacing w:before="240" w:line="360" w:lineRule="auto"/>
      </w:pPr>
      <w:r>
        <w:t xml:space="preserve">Then </w:t>
      </w:r>
      <w:r w:rsidR="00C7351E">
        <w:t>I want to talk about how</w:t>
      </w:r>
      <w:r w:rsidR="00F1373D">
        <w:t xml:space="preserve"> </w:t>
      </w:r>
      <w:r w:rsidR="00C7351E">
        <w:t xml:space="preserve">Australian telcos still have a </w:t>
      </w:r>
      <w:r w:rsidR="00302EC1">
        <w:t xml:space="preserve">lot to do to improve customer perceptions of their sector. </w:t>
      </w:r>
      <w:r w:rsidR="00F4045C">
        <w:t>It is clear that</w:t>
      </w:r>
      <w:r w:rsidR="00F1373D">
        <w:t xml:space="preserve"> some of the more egregious practices have been </w:t>
      </w:r>
      <w:r w:rsidR="00F4045C">
        <w:t xml:space="preserve">successfully </w:t>
      </w:r>
      <w:r w:rsidR="00F1373D">
        <w:t>stamped out</w:t>
      </w:r>
      <w:r w:rsidR="00F4045C">
        <w:t>. But</w:t>
      </w:r>
      <w:r w:rsidR="00F1373D">
        <w:t xml:space="preserve"> after years of really bad service, the telcos aren’t in clear waters just yet. </w:t>
      </w:r>
      <w:r w:rsidR="00302EC1">
        <w:t xml:space="preserve">And you might be surprised where I think they can look for inspiration. </w:t>
      </w:r>
    </w:p>
    <w:p w:rsidR="00E55E02" w:rsidRDefault="00302EC1" w:rsidP="00362FCD">
      <w:pPr>
        <w:spacing w:before="240" w:line="360" w:lineRule="auto"/>
      </w:pPr>
      <w:r>
        <w:t>I’m also going to make a prediction about the next challenge</w:t>
      </w:r>
      <w:r w:rsidR="00B613EC">
        <w:t>s</w:t>
      </w:r>
      <w:r w:rsidR="00614D2C">
        <w:t xml:space="preserve"> facing customers</w:t>
      </w:r>
      <w:r>
        <w:t xml:space="preserve"> as the uptake of mobile communications </w:t>
      </w:r>
      <w:r w:rsidR="00B613EC">
        <w:t>moves into</w:t>
      </w:r>
      <w:r>
        <w:t xml:space="preserve"> the next gear. </w:t>
      </w:r>
    </w:p>
    <w:p w:rsidR="00302EC1" w:rsidRPr="0029607F" w:rsidRDefault="0029607F" w:rsidP="00362FCD">
      <w:pPr>
        <w:spacing w:before="240" w:line="360" w:lineRule="auto"/>
      </w:pPr>
      <w:r w:rsidRPr="0029607F">
        <w:t xml:space="preserve">And I’ll close on a </w:t>
      </w:r>
      <w:r>
        <w:t xml:space="preserve">cautionary </w:t>
      </w:r>
      <w:r w:rsidRPr="0029607F">
        <w:t xml:space="preserve">note about </w:t>
      </w:r>
      <w:r w:rsidR="00A85490">
        <w:t xml:space="preserve">our views on the </w:t>
      </w:r>
      <w:r w:rsidR="00EC057E">
        <w:t xml:space="preserve">regulatory red-tape </w:t>
      </w:r>
      <w:r w:rsidR="0008128F">
        <w:t xml:space="preserve">reviews and the future outlook for </w:t>
      </w:r>
      <w:r w:rsidR="00A85490">
        <w:t>telecommunications regulation and consumer protection.</w:t>
      </w:r>
    </w:p>
    <w:p w:rsidR="004F2059" w:rsidRPr="00E55E02" w:rsidRDefault="006A6FA2" w:rsidP="00362FCD">
      <w:pPr>
        <w:spacing w:before="240" w:line="360" w:lineRule="auto"/>
        <w:rPr>
          <w:b/>
        </w:rPr>
      </w:pPr>
      <w:r w:rsidRPr="00E55E02">
        <w:rPr>
          <w:b/>
        </w:rPr>
        <w:t>TCP Code &amp; RTC implementation</w:t>
      </w:r>
      <w:r w:rsidR="00EC057E">
        <w:rPr>
          <w:b/>
        </w:rPr>
        <w:t xml:space="preserve"> </w:t>
      </w:r>
    </w:p>
    <w:p w:rsidR="00041991" w:rsidRPr="00041991" w:rsidRDefault="00416317" w:rsidP="00362FCD">
      <w:pPr>
        <w:spacing w:before="240" w:line="360" w:lineRule="auto"/>
      </w:pPr>
      <w:r>
        <w:t>So first up, to th</w:t>
      </w:r>
      <w:r w:rsidRPr="00A85490">
        <w:t xml:space="preserve">e ACMA’s </w:t>
      </w:r>
      <w:r w:rsidRPr="00A85490">
        <w:rPr>
          <w:i/>
        </w:rPr>
        <w:t>Reconnecting the Customer</w:t>
      </w:r>
      <w:r w:rsidRPr="00A85490">
        <w:t xml:space="preserve"> recommendations. </w:t>
      </w:r>
      <w:r w:rsidR="00F4045C" w:rsidRPr="00A85490">
        <w:t>As you heard from</w:t>
      </w:r>
      <w:r w:rsidR="008E5840">
        <w:t xml:space="preserve"> ACMA deputy chair</w:t>
      </w:r>
      <w:r w:rsidR="00F4045C" w:rsidRPr="00A85490">
        <w:t xml:space="preserve"> Richard</w:t>
      </w:r>
      <w:r w:rsidR="008E5840">
        <w:t xml:space="preserve"> Bean</w:t>
      </w:r>
      <w:r w:rsidR="00F4045C" w:rsidRPr="00A85490">
        <w:t xml:space="preserve"> this morning, the</w:t>
      </w:r>
      <w:r w:rsidR="00F4045C">
        <w:t xml:space="preserve"> rolling implementation of customer usage alerts has commenced and we’re now left waiting for the last of the ACMA’s six recommendations, namely customer service performance metrics. This</w:t>
      </w:r>
      <w:r>
        <w:t xml:space="preserve"> recommendation</w:t>
      </w:r>
      <w:r w:rsidR="001D60CA">
        <w:t>,</w:t>
      </w:r>
      <w:r>
        <w:t xml:space="preserve"> which is </w:t>
      </w:r>
      <w:r w:rsidRPr="000E5224">
        <w:t xml:space="preserve">now </w:t>
      </w:r>
      <w:r w:rsidR="00F65C8E">
        <w:t>7</w:t>
      </w:r>
      <w:r w:rsidRPr="000E5224">
        <w:t xml:space="preserve"> months</w:t>
      </w:r>
      <w:r>
        <w:t xml:space="preserve"> overdue</w:t>
      </w:r>
      <w:r w:rsidR="00662CD6">
        <w:t xml:space="preserve"> in its implementation</w:t>
      </w:r>
      <w:r w:rsidR="00963A3D">
        <w:rPr>
          <w:rStyle w:val="FootnoteReference"/>
        </w:rPr>
        <w:footnoteReference w:id="2"/>
      </w:r>
      <w:r w:rsidR="00F4045C">
        <w:t>,</w:t>
      </w:r>
      <w:r>
        <w:t xml:space="preserve"> </w:t>
      </w:r>
      <w:r w:rsidR="00F4045C">
        <w:t>will see</w:t>
      </w:r>
      <w:r>
        <w:t xml:space="preserve"> the development of </w:t>
      </w:r>
      <w:r w:rsidR="00041991" w:rsidRPr="00041991">
        <w:t>a standardised, transparent and robust method of measuring customer care performance in a comparable way</w:t>
      </w:r>
      <w:r w:rsidR="00041991">
        <w:t>.</w:t>
      </w:r>
      <w:r w:rsidR="00A85490">
        <w:t xml:space="preserve"> RTC proposed that the industry </w:t>
      </w:r>
      <w:r w:rsidR="00A85490">
        <w:lastRenderedPageBreak/>
        <w:t>develop a complaints metrics framework within 6 months of the TCP code registration</w:t>
      </w:r>
      <w:r w:rsidR="00F65C8E">
        <w:t>,</w:t>
      </w:r>
      <w:r w:rsidR="00A85490">
        <w:t xml:space="preserve"> </w:t>
      </w:r>
      <w:r w:rsidR="0008128F">
        <w:t xml:space="preserve">which </w:t>
      </w:r>
      <w:r w:rsidR="00A85490">
        <w:t>was on March 2013.</w:t>
      </w:r>
    </w:p>
    <w:p w:rsidR="001213AB" w:rsidRPr="00B613EC" w:rsidRDefault="001213AB" w:rsidP="00362FCD">
      <w:pPr>
        <w:spacing w:before="240" w:line="360" w:lineRule="auto"/>
        <w:rPr>
          <w:rFonts w:cstheme="minorHAnsi"/>
        </w:rPr>
      </w:pPr>
      <w:r>
        <w:t>The root cause of the problem</w:t>
      </w:r>
      <w:r w:rsidR="00B613EC">
        <w:t xml:space="preserve"> prompting this action</w:t>
      </w:r>
      <w:r>
        <w:t xml:space="preserve"> was </w:t>
      </w:r>
      <w:r w:rsidR="006E65B7">
        <w:t>telcos’</w:t>
      </w:r>
      <w:r>
        <w:t xml:space="preserve"> poor record in dealing with customer problems. </w:t>
      </w:r>
      <w:r w:rsidRPr="00B613EC">
        <w:rPr>
          <w:rFonts w:cstheme="minorHAnsi"/>
        </w:rPr>
        <w:t xml:space="preserve">Among the issues noted by the ACMA were </w:t>
      </w:r>
      <w:r w:rsidR="00B613EC" w:rsidRPr="00B613EC">
        <w:rPr>
          <w:rFonts w:cstheme="minorHAnsi"/>
        </w:rPr>
        <w:t>customers</w:t>
      </w:r>
      <w:r w:rsidR="0008128F">
        <w:rPr>
          <w:rFonts w:cstheme="minorHAnsi"/>
        </w:rPr>
        <w:t>:</w:t>
      </w:r>
    </w:p>
    <w:p w:rsidR="001213AB" w:rsidRPr="00B613EC" w:rsidRDefault="001213AB" w:rsidP="00362FCD">
      <w:pPr>
        <w:pStyle w:val="ListParagraph"/>
        <w:numPr>
          <w:ilvl w:val="0"/>
          <w:numId w:val="1"/>
        </w:numPr>
        <w:spacing w:before="240" w:line="360" w:lineRule="auto"/>
        <w:rPr>
          <w:rFonts w:eastAsia="Times New Roman" w:cstheme="minorHAnsi"/>
          <w:lang w:eastAsia="en-AU"/>
        </w:rPr>
      </w:pPr>
      <w:r w:rsidRPr="00B613EC">
        <w:rPr>
          <w:rFonts w:eastAsia="Times New Roman" w:cstheme="minorHAnsi"/>
          <w:lang w:eastAsia="en-AU"/>
        </w:rPr>
        <w:t xml:space="preserve">making requests that were not acted on; </w:t>
      </w:r>
    </w:p>
    <w:p w:rsidR="001213AB" w:rsidRPr="00B613EC" w:rsidRDefault="001213AB" w:rsidP="00362FCD">
      <w:pPr>
        <w:pStyle w:val="ListParagraph"/>
        <w:numPr>
          <w:ilvl w:val="0"/>
          <w:numId w:val="1"/>
        </w:numPr>
        <w:spacing w:before="240" w:line="360" w:lineRule="auto"/>
        <w:rPr>
          <w:rFonts w:eastAsia="Times New Roman" w:cstheme="minorHAnsi"/>
          <w:lang w:eastAsia="en-AU"/>
        </w:rPr>
      </w:pPr>
      <w:r w:rsidRPr="00B613EC">
        <w:rPr>
          <w:rFonts w:eastAsia="Times New Roman" w:cstheme="minorHAnsi"/>
          <w:lang w:eastAsia="en-AU"/>
        </w:rPr>
        <w:t xml:space="preserve">receiving inaccurate, inconsistent or incorrect advice; and </w:t>
      </w:r>
    </w:p>
    <w:p w:rsidR="001213AB" w:rsidRPr="00B613EC" w:rsidRDefault="001213AB" w:rsidP="00362FCD">
      <w:pPr>
        <w:pStyle w:val="ListParagraph"/>
        <w:numPr>
          <w:ilvl w:val="0"/>
          <w:numId w:val="1"/>
        </w:numPr>
        <w:spacing w:before="240" w:line="360" w:lineRule="auto"/>
        <w:rPr>
          <w:rFonts w:eastAsia="Times New Roman" w:cstheme="minorHAnsi"/>
          <w:lang w:eastAsia="en-AU"/>
        </w:rPr>
      </w:pPr>
      <w:r w:rsidRPr="00B613EC">
        <w:rPr>
          <w:rFonts w:eastAsia="Times New Roman" w:cstheme="minorHAnsi"/>
          <w:lang w:eastAsia="en-AU"/>
        </w:rPr>
        <w:t>being unable to rely on promises or undertakings from their service provider.</w:t>
      </w:r>
      <w:r w:rsidRPr="00B613EC">
        <w:rPr>
          <w:rStyle w:val="FootnoteReference"/>
          <w:rFonts w:eastAsia="Times New Roman" w:cstheme="minorHAnsi"/>
          <w:lang w:eastAsia="en-AU"/>
        </w:rPr>
        <w:footnoteReference w:id="3"/>
      </w:r>
      <w:r w:rsidRPr="00B613EC">
        <w:rPr>
          <w:rFonts w:eastAsia="Times New Roman" w:cstheme="minorHAnsi"/>
          <w:lang w:eastAsia="en-AU"/>
        </w:rPr>
        <w:t xml:space="preserve"> </w:t>
      </w:r>
    </w:p>
    <w:p w:rsidR="001213AB" w:rsidRPr="001213AB" w:rsidRDefault="001213AB" w:rsidP="00362FCD">
      <w:pPr>
        <w:spacing w:before="240" w:line="360" w:lineRule="auto"/>
        <w:rPr>
          <w:rFonts w:eastAsia="Times New Roman" w:cstheme="minorHAnsi"/>
          <w:lang w:eastAsia="en-AU"/>
        </w:rPr>
      </w:pPr>
      <w:r w:rsidRPr="00B613EC">
        <w:rPr>
          <w:rFonts w:eastAsia="Times New Roman" w:cstheme="minorHAnsi"/>
          <w:lang w:eastAsia="en-AU"/>
        </w:rPr>
        <w:t xml:space="preserve">The regulator observed that </w:t>
      </w:r>
      <w:r w:rsidRPr="001213AB">
        <w:rPr>
          <w:rFonts w:eastAsia="Times New Roman" w:cstheme="minorHAnsi"/>
          <w:lang w:eastAsia="en-AU"/>
        </w:rPr>
        <w:t xml:space="preserve">these matters </w:t>
      </w:r>
      <w:r w:rsidRPr="00B613EC">
        <w:rPr>
          <w:rFonts w:eastAsia="Times New Roman" w:cstheme="minorHAnsi"/>
          <w:lang w:eastAsia="en-AU"/>
        </w:rPr>
        <w:t xml:space="preserve">often </w:t>
      </w:r>
      <w:r w:rsidRPr="001213AB">
        <w:rPr>
          <w:rFonts w:eastAsia="Times New Roman" w:cstheme="minorHAnsi"/>
          <w:lang w:eastAsia="en-AU"/>
        </w:rPr>
        <w:t>start as straightforward enquiries or requests but escalate as the matter remains unresolved</w:t>
      </w:r>
      <w:r w:rsidR="00B613EC">
        <w:rPr>
          <w:rFonts w:eastAsia="Times New Roman" w:cstheme="minorHAnsi"/>
          <w:lang w:eastAsia="en-AU"/>
        </w:rPr>
        <w:t xml:space="preserve">. </w:t>
      </w:r>
    </w:p>
    <w:p w:rsidR="00BC498A" w:rsidRDefault="00DF19D4" w:rsidP="00362FCD">
      <w:pPr>
        <w:spacing w:before="240" w:line="360" w:lineRule="auto"/>
      </w:pPr>
      <w:r>
        <w:t xml:space="preserve">It’s now more than 2 years since the ACMA asked the </w:t>
      </w:r>
      <w:r w:rsidR="00D11EA2">
        <w:t>industry</w:t>
      </w:r>
      <w:r>
        <w:t xml:space="preserve"> to develop these cu</w:t>
      </w:r>
      <w:r w:rsidR="00787D46">
        <w:t xml:space="preserve">stomer service metrics. </w:t>
      </w:r>
    </w:p>
    <w:p w:rsidR="00D11EA2" w:rsidRDefault="00787D46" w:rsidP="00362FCD">
      <w:pPr>
        <w:spacing w:before="240" w:line="360" w:lineRule="auto"/>
      </w:pPr>
      <w:r>
        <w:t xml:space="preserve">ACCAN continues to see a role for </w:t>
      </w:r>
      <w:r w:rsidR="00D11EA2">
        <w:t>this published data</w:t>
      </w:r>
      <w:r>
        <w:t xml:space="preserve">. </w:t>
      </w:r>
    </w:p>
    <w:p w:rsidR="00BC498A" w:rsidRDefault="00787D46" w:rsidP="00362FCD">
      <w:pPr>
        <w:spacing w:before="240" w:line="360" w:lineRule="auto"/>
      </w:pPr>
      <w:r>
        <w:t xml:space="preserve">In the United Kingdom, </w:t>
      </w:r>
      <w:r w:rsidR="00BC498A">
        <w:t xml:space="preserve">Energy companies have started publishing </w:t>
      </w:r>
      <w:r w:rsidR="00F4045C">
        <w:t>this kind of</w:t>
      </w:r>
      <w:r w:rsidR="00BC498A">
        <w:t xml:space="preserve"> data with considerable success. In this case, </w:t>
      </w:r>
      <w:r w:rsidR="00F4045C">
        <w:t>energy providers have</w:t>
      </w:r>
      <w:r w:rsidR="00BC498A">
        <w:t xml:space="preserve"> used internal </w:t>
      </w:r>
      <w:r w:rsidR="007D77E8">
        <w:t>complaints per 10,000 customers</w:t>
      </w:r>
      <w:r w:rsidR="00BC498A">
        <w:t xml:space="preserve"> and the percentage of complaints resolved within various timeframes, such as 48 hours</w:t>
      </w:r>
      <w:r w:rsidR="007D77E8">
        <w:t>, as the basis of comparison</w:t>
      </w:r>
      <w:r w:rsidR="00BC498A">
        <w:t xml:space="preserve">. And in publishing the data on their websites, the </w:t>
      </w:r>
      <w:r w:rsidR="007D77E8">
        <w:t>better</w:t>
      </w:r>
      <w:r w:rsidR="00BC498A">
        <w:t xml:space="preserve"> </w:t>
      </w:r>
      <w:r w:rsidR="007D77E8">
        <w:t>energy suppliers</w:t>
      </w:r>
      <w:r w:rsidR="00BC498A">
        <w:t xml:space="preserve"> have started honest conversations with their cu</w:t>
      </w:r>
      <w:r w:rsidR="00F4045C">
        <w:t>stomers about the problems they’</w:t>
      </w:r>
      <w:r w:rsidR="00BC498A">
        <w:t>ve encountered and how they</w:t>
      </w:r>
      <w:r w:rsidR="00F4045C">
        <w:t>’</w:t>
      </w:r>
      <w:r w:rsidR="00BC498A">
        <w:t>ve gone about rectifying the issue.</w:t>
      </w:r>
      <w:r w:rsidR="007D77E8">
        <w:t xml:space="preserve"> Trending improvements in customer service are easy to see and mistakes are more understandable. In all, the suppliers have </w:t>
      </w:r>
      <w:r w:rsidR="00573D23">
        <w:t xml:space="preserve">used the publication of this data to establish </w:t>
      </w:r>
      <w:r w:rsidR="007D77E8">
        <w:t>a more trustworthy relationship with their customers.</w:t>
      </w:r>
    </w:p>
    <w:p w:rsidR="00963A3D" w:rsidRDefault="00963A3D" w:rsidP="00362FCD">
      <w:pPr>
        <w:spacing w:before="240" w:line="360" w:lineRule="auto"/>
      </w:pPr>
      <w:r>
        <w:t>In a blog post a couple of months ago, industry commentator David Havyatt observed that;</w:t>
      </w:r>
    </w:p>
    <w:p w:rsidR="00963A3D" w:rsidRPr="00963A3D" w:rsidRDefault="00963A3D" w:rsidP="00362FCD">
      <w:pPr>
        <w:spacing w:before="240" w:line="360" w:lineRule="auto"/>
        <w:ind w:left="720"/>
        <w:rPr>
          <w:i/>
        </w:rPr>
      </w:pPr>
      <w:r w:rsidRPr="00963A3D">
        <w:rPr>
          <w:i/>
        </w:rPr>
        <w:t>It is impossible not to notice that telcos are rediscovering consumer trust as an important lever in delivering financial results</w:t>
      </w:r>
      <w:r>
        <w:rPr>
          <w:rStyle w:val="FootnoteReference"/>
          <w:i/>
        </w:rPr>
        <w:footnoteReference w:id="4"/>
      </w:r>
    </w:p>
    <w:p w:rsidR="00963A3D" w:rsidRPr="00963A3D" w:rsidRDefault="00963A3D" w:rsidP="00362FCD">
      <w:pPr>
        <w:spacing w:before="240" w:line="360" w:lineRule="auto"/>
      </w:pPr>
      <w:r w:rsidRPr="00963A3D">
        <w:t xml:space="preserve">He pointed to </w:t>
      </w:r>
      <w:r w:rsidR="004E14FF">
        <w:t>the increased prominence of customer service in keynote addresses and reports</w:t>
      </w:r>
      <w:r w:rsidRPr="00963A3D">
        <w:t>.</w:t>
      </w:r>
      <w:r w:rsidR="004E14FF">
        <w:t xml:space="preserve"> For example:</w:t>
      </w:r>
    </w:p>
    <w:p w:rsidR="00963A3D" w:rsidRDefault="00963A3D" w:rsidP="00362FCD">
      <w:pPr>
        <w:pStyle w:val="ListParagraph"/>
        <w:numPr>
          <w:ilvl w:val="0"/>
          <w:numId w:val="4"/>
        </w:numPr>
        <w:spacing w:before="240" w:line="360" w:lineRule="auto"/>
      </w:pPr>
      <w:r>
        <w:t>Telstra’s strategic commit</w:t>
      </w:r>
      <w:r w:rsidR="0008128F">
        <w:t>ment to customer satisfaction at</w:t>
      </w:r>
      <w:r>
        <w:t xml:space="preserve"> it</w:t>
      </w:r>
      <w:r w:rsidR="0008128F">
        <w:t xml:space="preserve">s October 2012 Investor </w:t>
      </w:r>
      <w:r>
        <w:t>day</w:t>
      </w:r>
    </w:p>
    <w:p w:rsidR="00963A3D" w:rsidRDefault="0008128F" w:rsidP="00362FCD">
      <w:pPr>
        <w:pStyle w:val="ListParagraph"/>
        <w:numPr>
          <w:ilvl w:val="0"/>
          <w:numId w:val="4"/>
        </w:numPr>
        <w:spacing w:before="240" w:line="360" w:lineRule="auto"/>
      </w:pPr>
      <w:r>
        <w:lastRenderedPageBreak/>
        <w:t>Optus chief</w:t>
      </w:r>
      <w:r w:rsidR="00963A3D">
        <w:t xml:space="preserve"> Kevin Russell’s speech in May in which he said that </w:t>
      </w:r>
      <w:r>
        <w:t>“</w:t>
      </w:r>
      <w:r w:rsidR="00963A3D">
        <w:t xml:space="preserve">standards of service in Australia relative to standards of service that I'd seen change in the UK, just seem to, </w:t>
      </w:r>
      <w:r w:rsidR="004E14FF">
        <w:t>in my view, have gone backwards”</w:t>
      </w:r>
      <w:r w:rsidR="00963A3D">
        <w:t xml:space="preserve"> </w:t>
      </w:r>
    </w:p>
    <w:p w:rsidR="004E14FF" w:rsidRDefault="004E14FF" w:rsidP="00362FCD">
      <w:pPr>
        <w:pStyle w:val="ListParagraph"/>
        <w:numPr>
          <w:ilvl w:val="0"/>
          <w:numId w:val="4"/>
        </w:numPr>
        <w:spacing w:before="240" w:line="360" w:lineRule="auto"/>
      </w:pPr>
      <w:r>
        <w:t>Vodafone’s Bill Morrow comments that “2013 is all about trying to earn back trust”</w:t>
      </w:r>
    </w:p>
    <w:p w:rsidR="004E14FF" w:rsidRDefault="004E14FF" w:rsidP="00362FCD">
      <w:pPr>
        <w:spacing w:before="240" w:line="360" w:lineRule="auto"/>
      </w:pPr>
      <w:r>
        <w:t xml:space="preserve">Havyatt concluded that industry needed to work together to improve reputation and restore trust. </w:t>
      </w:r>
    </w:p>
    <w:p w:rsidR="004E14FF" w:rsidRDefault="004E14FF" w:rsidP="00362FCD">
      <w:pPr>
        <w:spacing w:before="240" w:line="360" w:lineRule="auto"/>
      </w:pPr>
      <w:r>
        <w:t>The commitment to comparable data is one critical way that such trust can be restored.</w:t>
      </w:r>
      <w:r w:rsidR="001714A0">
        <w:t xml:space="preserve"> </w:t>
      </w:r>
      <w:r>
        <w:t>It</w:t>
      </w:r>
      <w:r w:rsidR="00BC498A" w:rsidRPr="004E14FF">
        <w:t xml:space="preserve"> will signal to customers that telcos have arrived at the next stage of their journey on delivering a better customer service environment.</w:t>
      </w:r>
      <w:r w:rsidR="003806BA" w:rsidRPr="004E14FF">
        <w:t xml:space="preserve"> </w:t>
      </w:r>
      <w:r>
        <w:t>An enlightened view of comparable data will see that there are financial rewards for a small investment in this data.</w:t>
      </w:r>
    </w:p>
    <w:p w:rsidR="006A6FA2" w:rsidRDefault="003806BA" w:rsidP="00362FCD">
      <w:pPr>
        <w:spacing w:before="240" w:line="360" w:lineRule="auto"/>
      </w:pPr>
      <w:r w:rsidRPr="004E14FF">
        <w:t>I urge the ACMA to move now to implement these metrics.</w:t>
      </w:r>
      <w:r w:rsidR="00217BFF" w:rsidRPr="004E14FF">
        <w:t xml:space="preserve"> </w:t>
      </w:r>
      <w:r w:rsidR="004E14FF">
        <w:t>T</w:t>
      </w:r>
      <w:r w:rsidR="00217BFF" w:rsidRPr="004E14FF">
        <w:t>his data will start to address the trust problem that continues to plague the sector.</w:t>
      </w:r>
    </w:p>
    <w:p w:rsidR="006A6FA2" w:rsidRPr="00E55E02" w:rsidRDefault="006A6FA2" w:rsidP="00362FCD">
      <w:pPr>
        <w:spacing w:before="240" w:line="360" w:lineRule="auto"/>
        <w:rPr>
          <w:b/>
        </w:rPr>
      </w:pPr>
      <w:r w:rsidRPr="00E55E02">
        <w:rPr>
          <w:b/>
        </w:rPr>
        <w:t>Better than the banks</w:t>
      </w:r>
      <w:r w:rsidR="00EC057E">
        <w:rPr>
          <w:b/>
        </w:rPr>
        <w:t xml:space="preserve"> </w:t>
      </w:r>
    </w:p>
    <w:p w:rsidR="00662CD6" w:rsidRDefault="00B04B09" w:rsidP="00362FCD">
      <w:pPr>
        <w:spacing w:before="240" w:line="360" w:lineRule="auto"/>
      </w:pPr>
      <w:r>
        <w:t>But I’</w:t>
      </w:r>
      <w:r w:rsidR="00FF0760">
        <w:t>m not here today to focus on</w:t>
      </w:r>
      <w:r>
        <w:t xml:space="preserve"> what hasn’t been done. A</w:t>
      </w:r>
      <w:r w:rsidR="00FF0760">
        <w:t xml:space="preserve"> huge amount has recently </w:t>
      </w:r>
      <w:r w:rsidR="00E85C2C">
        <w:t xml:space="preserve">been </w:t>
      </w:r>
      <w:r w:rsidR="00FF0760">
        <w:t>achieved.</w:t>
      </w:r>
      <w:r w:rsidR="00662CD6">
        <w:t xml:space="preserve"> The ACMA set about instituting a new regime that would materially improve outcomes for consumers in their “life-cycle” phases with their telecommunications provider. And a great deal has been done to achieve exactly that. </w:t>
      </w:r>
    </w:p>
    <w:p w:rsidR="00FF0760" w:rsidRDefault="00FF0760" w:rsidP="00362FCD">
      <w:pPr>
        <w:pStyle w:val="ListParagraph"/>
        <w:numPr>
          <w:ilvl w:val="0"/>
          <w:numId w:val="2"/>
        </w:numPr>
        <w:spacing w:before="240" w:line="360" w:lineRule="auto"/>
      </w:pPr>
      <w:r>
        <w:t>Misleading terms like “caps” are a thing of the past</w:t>
      </w:r>
    </w:p>
    <w:p w:rsidR="00FF0760" w:rsidRDefault="00FF0760" w:rsidP="00362FCD">
      <w:pPr>
        <w:pStyle w:val="ListParagraph"/>
        <w:numPr>
          <w:ilvl w:val="0"/>
          <w:numId w:val="2"/>
        </w:numPr>
        <w:spacing w:before="240" w:line="360" w:lineRule="auto"/>
      </w:pPr>
      <w:r>
        <w:t>Information is more readily available about customer rights to contact the TIO</w:t>
      </w:r>
    </w:p>
    <w:p w:rsidR="00FF0760" w:rsidRDefault="00FF0760" w:rsidP="00362FCD">
      <w:pPr>
        <w:pStyle w:val="ListParagraph"/>
        <w:numPr>
          <w:ilvl w:val="0"/>
          <w:numId w:val="2"/>
        </w:numPr>
        <w:spacing w:before="240" w:line="360" w:lineRule="auto"/>
      </w:pPr>
      <w:r>
        <w:t xml:space="preserve">Critical Information </w:t>
      </w:r>
      <w:r w:rsidR="003A6DF2">
        <w:t xml:space="preserve">Summaries </w:t>
      </w:r>
      <w:r>
        <w:t>are giving consumers clearer information at the point of purchase</w:t>
      </w:r>
    </w:p>
    <w:p w:rsidR="00FF0760" w:rsidRDefault="00FF0760" w:rsidP="00362FCD">
      <w:pPr>
        <w:pStyle w:val="ListParagraph"/>
        <w:numPr>
          <w:ilvl w:val="0"/>
          <w:numId w:val="2"/>
        </w:numPr>
        <w:spacing w:before="240" w:line="360" w:lineRule="auto"/>
      </w:pPr>
      <w:r>
        <w:t xml:space="preserve">Customers are starting to receive usage alerts to help them </w:t>
      </w:r>
      <w:r w:rsidR="00DE216B">
        <w:t>avoid bill shock</w:t>
      </w:r>
      <w:r>
        <w:t>.</w:t>
      </w:r>
    </w:p>
    <w:p w:rsidR="00FF0760" w:rsidRDefault="00FF0760" w:rsidP="00362FCD">
      <w:pPr>
        <w:spacing w:before="240" w:line="360" w:lineRule="auto"/>
      </w:pPr>
      <w:r>
        <w:t xml:space="preserve">And that’s just a few of the positive changes. </w:t>
      </w:r>
    </w:p>
    <w:p w:rsidR="00DE216B" w:rsidRDefault="003D35F2" w:rsidP="00362FCD">
      <w:pPr>
        <w:spacing w:before="240" w:line="360" w:lineRule="auto"/>
      </w:pPr>
      <w:r>
        <w:t>Q</w:t>
      </w:r>
      <w:r w:rsidR="00FF0760">
        <w:t xml:space="preserve">uarterly complaints data from the TIO is trending </w:t>
      </w:r>
      <w:r w:rsidR="008226B2">
        <w:t xml:space="preserve">well </w:t>
      </w:r>
      <w:r w:rsidR="00FF0760">
        <w:t>down for the fi</w:t>
      </w:r>
      <w:r>
        <w:t>r</w:t>
      </w:r>
      <w:r w:rsidR="00FF0760">
        <w:t xml:space="preserve">st </w:t>
      </w:r>
      <w:r>
        <w:t>time in recent memory.</w:t>
      </w:r>
    </w:p>
    <w:p w:rsidR="00FF0760" w:rsidRDefault="00DE216B" w:rsidP="00362FCD">
      <w:pPr>
        <w:spacing w:before="240" w:line="360" w:lineRule="auto"/>
      </w:pPr>
      <w:r>
        <w:br w:type="column"/>
      </w:r>
    </w:p>
    <w:tbl>
      <w:tblPr>
        <w:tblStyle w:val="ColorfulShading-Accent6"/>
        <w:tblW w:w="0" w:type="auto"/>
        <w:tblLook w:val="04A0" w:firstRow="1" w:lastRow="0" w:firstColumn="1" w:lastColumn="0" w:noHBand="0" w:noVBand="1"/>
      </w:tblPr>
      <w:tblGrid>
        <w:gridCol w:w="3080"/>
        <w:gridCol w:w="3081"/>
        <w:gridCol w:w="3081"/>
      </w:tblGrid>
      <w:tr w:rsidR="008B0896" w:rsidTr="000028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0" w:type="dxa"/>
          </w:tcPr>
          <w:p w:rsidR="008B0896" w:rsidRDefault="008B0896" w:rsidP="00362FCD">
            <w:pPr>
              <w:spacing w:line="360" w:lineRule="auto"/>
            </w:pPr>
          </w:p>
        </w:tc>
        <w:tc>
          <w:tcPr>
            <w:tcW w:w="3081" w:type="dxa"/>
          </w:tcPr>
          <w:p w:rsidR="008B0896" w:rsidRDefault="008B0896" w:rsidP="00362FCD">
            <w:pPr>
              <w:spacing w:line="360" w:lineRule="auto"/>
              <w:cnfStyle w:val="100000000000" w:firstRow="1" w:lastRow="0" w:firstColumn="0" w:lastColumn="0" w:oddVBand="0" w:evenVBand="0" w:oddHBand="0" w:evenHBand="0" w:firstRowFirstColumn="0" w:firstRowLastColumn="0" w:lastRowFirstColumn="0" w:lastRowLastColumn="0"/>
            </w:pPr>
            <w:r>
              <w:t>2011/12</w:t>
            </w:r>
            <w:r w:rsidR="000028C7">
              <w:t xml:space="preserve"> new complaints</w:t>
            </w:r>
          </w:p>
        </w:tc>
        <w:tc>
          <w:tcPr>
            <w:tcW w:w="3081" w:type="dxa"/>
          </w:tcPr>
          <w:p w:rsidR="008B0896" w:rsidRDefault="008B0896" w:rsidP="00362FCD">
            <w:pPr>
              <w:spacing w:line="360" w:lineRule="auto"/>
              <w:cnfStyle w:val="100000000000" w:firstRow="1" w:lastRow="0" w:firstColumn="0" w:lastColumn="0" w:oddVBand="0" w:evenVBand="0" w:oddHBand="0" w:evenHBand="0" w:firstRowFirstColumn="0" w:firstRowLastColumn="0" w:lastRowFirstColumn="0" w:lastRowLastColumn="0"/>
            </w:pPr>
            <w:r>
              <w:t>2012/13 new complaints</w:t>
            </w:r>
          </w:p>
        </w:tc>
      </w:tr>
      <w:tr w:rsidR="008B0896" w:rsidTr="0000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8B0896" w:rsidRDefault="008B0896" w:rsidP="00362FCD">
            <w:pPr>
              <w:spacing w:line="360" w:lineRule="auto"/>
            </w:pPr>
            <w:r>
              <w:t>Q1</w:t>
            </w:r>
          </w:p>
        </w:tc>
        <w:tc>
          <w:tcPr>
            <w:tcW w:w="3081" w:type="dxa"/>
          </w:tcPr>
          <w:p w:rsidR="008B0896" w:rsidRDefault="008B0896" w:rsidP="00362FCD">
            <w:pPr>
              <w:spacing w:line="360" w:lineRule="auto"/>
              <w:cnfStyle w:val="000000100000" w:firstRow="0" w:lastRow="0" w:firstColumn="0" w:lastColumn="0" w:oddVBand="0" w:evenVBand="0" w:oddHBand="1" w:evenHBand="0" w:firstRowFirstColumn="0" w:firstRowLastColumn="0" w:lastRowFirstColumn="0" w:lastRowLastColumn="0"/>
            </w:pPr>
            <w:r>
              <w:t>51,196</w:t>
            </w:r>
          </w:p>
        </w:tc>
        <w:tc>
          <w:tcPr>
            <w:tcW w:w="3081" w:type="dxa"/>
          </w:tcPr>
          <w:p w:rsidR="008B0896" w:rsidRDefault="008B0896" w:rsidP="00362FCD">
            <w:pPr>
              <w:spacing w:line="360" w:lineRule="auto"/>
              <w:cnfStyle w:val="000000100000" w:firstRow="0" w:lastRow="0" w:firstColumn="0" w:lastColumn="0" w:oddVBand="0" w:evenVBand="0" w:oddHBand="1" w:evenHBand="0" w:firstRowFirstColumn="0" w:firstRowLastColumn="0" w:lastRowFirstColumn="0" w:lastRowLastColumn="0"/>
            </w:pPr>
            <w:r>
              <w:t>37,777</w:t>
            </w:r>
          </w:p>
        </w:tc>
      </w:tr>
      <w:tr w:rsidR="008B0896" w:rsidTr="000028C7">
        <w:tc>
          <w:tcPr>
            <w:cnfStyle w:val="001000000000" w:firstRow="0" w:lastRow="0" w:firstColumn="1" w:lastColumn="0" w:oddVBand="0" w:evenVBand="0" w:oddHBand="0" w:evenHBand="0" w:firstRowFirstColumn="0" w:firstRowLastColumn="0" w:lastRowFirstColumn="0" w:lastRowLastColumn="0"/>
            <w:tcW w:w="3080" w:type="dxa"/>
          </w:tcPr>
          <w:p w:rsidR="008B0896" w:rsidRDefault="008B0896" w:rsidP="00362FCD">
            <w:pPr>
              <w:spacing w:line="360" w:lineRule="auto"/>
            </w:pPr>
            <w:r>
              <w:t>Q2</w:t>
            </w:r>
          </w:p>
        </w:tc>
        <w:tc>
          <w:tcPr>
            <w:tcW w:w="3081" w:type="dxa"/>
          </w:tcPr>
          <w:p w:rsidR="008B0896" w:rsidRDefault="008B0896" w:rsidP="00362FCD">
            <w:pPr>
              <w:spacing w:line="360" w:lineRule="auto"/>
              <w:cnfStyle w:val="000000000000" w:firstRow="0" w:lastRow="0" w:firstColumn="0" w:lastColumn="0" w:oddVBand="0" w:evenVBand="0" w:oddHBand="0" w:evenHBand="0" w:firstRowFirstColumn="0" w:firstRowLastColumn="0" w:lastRowFirstColumn="0" w:lastRowLastColumn="0"/>
            </w:pPr>
            <w:r>
              <w:t>48,100</w:t>
            </w:r>
          </w:p>
        </w:tc>
        <w:tc>
          <w:tcPr>
            <w:tcW w:w="3081" w:type="dxa"/>
          </w:tcPr>
          <w:p w:rsidR="008B0896" w:rsidRDefault="008B0896" w:rsidP="00362FCD">
            <w:pPr>
              <w:spacing w:line="360" w:lineRule="auto"/>
              <w:cnfStyle w:val="000000000000" w:firstRow="0" w:lastRow="0" w:firstColumn="0" w:lastColumn="0" w:oddVBand="0" w:evenVBand="0" w:oddHBand="0" w:evenHBand="0" w:firstRowFirstColumn="0" w:firstRowLastColumn="0" w:lastRowFirstColumn="0" w:lastRowLastColumn="0"/>
            </w:pPr>
            <w:r>
              <w:t>38,287</w:t>
            </w:r>
          </w:p>
        </w:tc>
      </w:tr>
      <w:tr w:rsidR="008B0896" w:rsidTr="0000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8B0896" w:rsidRDefault="008B0896" w:rsidP="00362FCD">
            <w:pPr>
              <w:spacing w:line="360" w:lineRule="auto"/>
            </w:pPr>
            <w:r>
              <w:t>Q3</w:t>
            </w:r>
          </w:p>
        </w:tc>
        <w:tc>
          <w:tcPr>
            <w:tcW w:w="3081" w:type="dxa"/>
          </w:tcPr>
          <w:p w:rsidR="008B0896" w:rsidRPr="008B0896" w:rsidRDefault="008B0896" w:rsidP="00362FCD">
            <w:pPr>
              <w:spacing w:line="360" w:lineRule="auto"/>
              <w:cnfStyle w:val="000000100000" w:firstRow="0" w:lastRow="0" w:firstColumn="0" w:lastColumn="0" w:oddVBand="0" w:evenVBand="0" w:oddHBand="1" w:evenHBand="0" w:firstRowFirstColumn="0" w:firstRowLastColumn="0" w:lastRowFirstColumn="0" w:lastRowLastColumn="0"/>
            </w:pPr>
            <w:r>
              <w:t>52,231</w:t>
            </w:r>
          </w:p>
        </w:tc>
        <w:tc>
          <w:tcPr>
            <w:tcW w:w="3081" w:type="dxa"/>
          </w:tcPr>
          <w:p w:rsidR="008B0896" w:rsidRPr="008B0896" w:rsidRDefault="008B0896" w:rsidP="00362FCD">
            <w:pPr>
              <w:spacing w:line="360" w:lineRule="auto"/>
              <w:cnfStyle w:val="000000100000" w:firstRow="0" w:lastRow="0" w:firstColumn="0" w:lastColumn="0" w:oddVBand="0" w:evenVBand="0" w:oddHBand="1" w:evenHBand="0" w:firstRowFirstColumn="0" w:firstRowLastColumn="0" w:lastRowFirstColumn="0" w:lastRowLastColumn="0"/>
            </w:pPr>
            <w:r w:rsidRPr="008B0896">
              <w:rPr>
                <w:rStyle w:val="Strong"/>
                <w:b w:val="0"/>
              </w:rPr>
              <w:t>40,021</w:t>
            </w:r>
          </w:p>
        </w:tc>
      </w:tr>
      <w:tr w:rsidR="008B0896" w:rsidTr="000028C7">
        <w:tc>
          <w:tcPr>
            <w:cnfStyle w:val="001000000000" w:firstRow="0" w:lastRow="0" w:firstColumn="1" w:lastColumn="0" w:oddVBand="0" w:evenVBand="0" w:oddHBand="0" w:evenHBand="0" w:firstRowFirstColumn="0" w:firstRowLastColumn="0" w:lastRowFirstColumn="0" w:lastRowLastColumn="0"/>
            <w:tcW w:w="3080" w:type="dxa"/>
          </w:tcPr>
          <w:p w:rsidR="008B0896" w:rsidRDefault="008B0896" w:rsidP="00362FCD">
            <w:pPr>
              <w:spacing w:line="360" w:lineRule="auto"/>
            </w:pPr>
            <w:r>
              <w:t>Q4</w:t>
            </w:r>
          </w:p>
        </w:tc>
        <w:tc>
          <w:tcPr>
            <w:tcW w:w="3081" w:type="dxa"/>
          </w:tcPr>
          <w:p w:rsidR="008B0896" w:rsidRDefault="008B0896" w:rsidP="00362FCD">
            <w:pPr>
              <w:spacing w:line="360" w:lineRule="auto"/>
              <w:cnfStyle w:val="000000000000" w:firstRow="0" w:lastRow="0" w:firstColumn="0" w:lastColumn="0" w:oddVBand="0" w:evenVBand="0" w:oddHBand="0" w:evenHBand="0" w:firstRowFirstColumn="0" w:firstRowLastColumn="0" w:lastRowFirstColumn="0" w:lastRowLastColumn="0"/>
            </w:pPr>
            <w:r>
              <w:t>42,353</w:t>
            </w:r>
          </w:p>
        </w:tc>
        <w:tc>
          <w:tcPr>
            <w:tcW w:w="3081" w:type="dxa"/>
          </w:tcPr>
          <w:p w:rsidR="008B0896" w:rsidRDefault="008B0896" w:rsidP="00362FCD">
            <w:pPr>
              <w:spacing w:line="360" w:lineRule="auto"/>
              <w:cnfStyle w:val="000000000000" w:firstRow="0" w:lastRow="0" w:firstColumn="0" w:lastColumn="0" w:oddVBand="0" w:evenVBand="0" w:oddHBand="0" w:evenHBand="0" w:firstRowFirstColumn="0" w:firstRowLastColumn="0" w:lastRowFirstColumn="0" w:lastRowLastColumn="0"/>
            </w:pPr>
            <w:r>
              <w:t>?</w:t>
            </w:r>
          </w:p>
        </w:tc>
      </w:tr>
      <w:tr w:rsidR="008B0896" w:rsidRPr="008B0896" w:rsidTr="0000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8B0896" w:rsidRPr="008B0896" w:rsidRDefault="008B0896" w:rsidP="00362FCD">
            <w:pPr>
              <w:spacing w:line="360" w:lineRule="auto"/>
              <w:rPr>
                <w:b/>
              </w:rPr>
            </w:pPr>
            <w:r w:rsidRPr="008B0896">
              <w:rPr>
                <w:b/>
              </w:rPr>
              <w:t>Total</w:t>
            </w:r>
          </w:p>
        </w:tc>
        <w:tc>
          <w:tcPr>
            <w:tcW w:w="3081" w:type="dxa"/>
          </w:tcPr>
          <w:p w:rsidR="008B0896" w:rsidRPr="008B0896" w:rsidRDefault="008B0896" w:rsidP="00362FCD">
            <w:pPr>
              <w:spacing w:line="360" w:lineRule="auto"/>
              <w:cnfStyle w:val="000000100000" w:firstRow="0" w:lastRow="0" w:firstColumn="0" w:lastColumn="0" w:oddVBand="0" w:evenVBand="0" w:oddHBand="1" w:evenHBand="0" w:firstRowFirstColumn="0" w:firstRowLastColumn="0" w:lastRowFirstColumn="0" w:lastRowLastColumn="0"/>
              <w:rPr>
                <w:b/>
              </w:rPr>
            </w:pPr>
            <w:r w:rsidRPr="008B0896">
              <w:rPr>
                <w:b/>
              </w:rPr>
              <w:t>193</w:t>
            </w:r>
            <w:r w:rsidR="005A6776">
              <w:rPr>
                <w:b/>
              </w:rPr>
              <w:t>,</w:t>
            </w:r>
            <w:r w:rsidRPr="008B0896">
              <w:rPr>
                <w:b/>
              </w:rPr>
              <w:t>702</w:t>
            </w:r>
          </w:p>
        </w:tc>
        <w:tc>
          <w:tcPr>
            <w:tcW w:w="3081" w:type="dxa"/>
          </w:tcPr>
          <w:p w:rsidR="008B0896" w:rsidRPr="008B0896" w:rsidRDefault="008B0896" w:rsidP="00362FCD">
            <w:pPr>
              <w:spacing w:line="360" w:lineRule="auto"/>
              <w:cnfStyle w:val="000000100000" w:firstRow="0" w:lastRow="0" w:firstColumn="0" w:lastColumn="0" w:oddVBand="0" w:evenVBand="0" w:oddHBand="1" w:evenHBand="0" w:firstRowFirstColumn="0" w:firstRowLastColumn="0" w:lastRowFirstColumn="0" w:lastRowLastColumn="0"/>
              <w:rPr>
                <w:b/>
              </w:rPr>
            </w:pPr>
            <w:r w:rsidRPr="008B0896">
              <w:rPr>
                <w:b/>
              </w:rPr>
              <w:t>?</w:t>
            </w:r>
            <w:r w:rsidR="005A6776">
              <w:rPr>
                <w:b/>
              </w:rPr>
              <w:t xml:space="preserve"> </w:t>
            </w:r>
          </w:p>
        </w:tc>
      </w:tr>
    </w:tbl>
    <w:p w:rsidR="00DE216B" w:rsidRPr="00E85C2C" w:rsidRDefault="00E85C2C" w:rsidP="00362FCD">
      <w:pPr>
        <w:spacing w:before="240" w:line="360" w:lineRule="auto"/>
        <w:rPr>
          <w:sz w:val="18"/>
          <w:szCs w:val="18"/>
        </w:rPr>
      </w:pPr>
      <w:r w:rsidRPr="00E85C2C">
        <w:rPr>
          <w:sz w:val="18"/>
          <w:szCs w:val="18"/>
        </w:rPr>
        <w:t>Source: TIO Talks, TIO Annual Report 2011-2012</w:t>
      </w:r>
    </w:p>
    <w:p w:rsidR="008B0896" w:rsidRDefault="005A6776" w:rsidP="00362FCD">
      <w:pPr>
        <w:spacing w:before="240" w:line="360" w:lineRule="auto"/>
      </w:pPr>
      <w:r>
        <w:t xml:space="preserve">Unless the fourth quarter of 2012/13 was terrible, which I very much doubt, overall new TIO complaints for 2012/13 are likely to </w:t>
      </w:r>
      <w:r w:rsidR="00A85490">
        <w:t xml:space="preserve">show </w:t>
      </w:r>
      <w:r>
        <w:t>a significant turnaround</w:t>
      </w:r>
      <w:r w:rsidR="00A85490">
        <w:t xml:space="preserve"> because there is a clear trend over statistics published from several quarters already.</w:t>
      </w:r>
    </w:p>
    <w:p w:rsidR="005A6776" w:rsidRDefault="005A6776" w:rsidP="00362FCD">
      <w:pPr>
        <w:spacing w:before="240" w:line="360" w:lineRule="auto"/>
      </w:pPr>
      <w:r>
        <w:t xml:space="preserve">But </w:t>
      </w:r>
      <w:r w:rsidR="008D7052">
        <w:t xml:space="preserve">it’s </w:t>
      </w:r>
      <w:r w:rsidR="00DE216B">
        <w:t xml:space="preserve">not </w:t>
      </w:r>
      <w:r w:rsidR="008D7052">
        <w:t xml:space="preserve">quite time to pop the champagne because even </w:t>
      </w:r>
      <w:r>
        <w:t>at these levels, the indu</w:t>
      </w:r>
      <w:r w:rsidR="008D7052">
        <w:t>stry ca</w:t>
      </w:r>
      <w:r w:rsidR="00DE216B">
        <w:t>n</w:t>
      </w:r>
      <w:r w:rsidR="008D7052">
        <w:t>n</w:t>
      </w:r>
      <w:r w:rsidR="00DE216B">
        <w:t>ot</w:t>
      </w:r>
      <w:r w:rsidR="008D7052">
        <w:t xml:space="preserve"> afford to be complacen</w:t>
      </w:r>
      <w:r w:rsidR="000028C7">
        <w:t>t</w:t>
      </w:r>
      <w:r>
        <w:t>.</w:t>
      </w:r>
    </w:p>
    <w:p w:rsidR="00DE6E4A" w:rsidRDefault="003456D3" w:rsidP="00362FCD">
      <w:pPr>
        <w:spacing w:before="240" w:line="360" w:lineRule="auto"/>
      </w:pPr>
      <w:r>
        <w:t xml:space="preserve">Let me show you a few figures which might give you some insight into </w:t>
      </w:r>
      <w:r w:rsidR="008C488C">
        <w:t xml:space="preserve">the nature of my concerns. </w:t>
      </w:r>
    </w:p>
    <w:p w:rsidR="005A6776" w:rsidRDefault="00DE6E4A" w:rsidP="00362FCD">
      <w:pPr>
        <w:spacing w:line="360" w:lineRule="auto"/>
      </w:pPr>
      <w:r>
        <w:t xml:space="preserve">During </w:t>
      </w:r>
      <w:r w:rsidR="004B71CF">
        <w:t xml:space="preserve">January – March </w:t>
      </w:r>
      <w:r>
        <w:t>201</w:t>
      </w:r>
      <w:r w:rsidR="004B71CF">
        <w:t>3</w:t>
      </w:r>
      <w:r>
        <w:t>,</w:t>
      </w:r>
      <w:r w:rsidR="008C488C">
        <w:t xml:space="preserve"> the TIO recorded around </w:t>
      </w:r>
      <w:r w:rsidR="004B71CF">
        <w:t>40,021</w:t>
      </w:r>
      <w:r w:rsidR="008C488C">
        <w:t xml:space="preserve"> new complaints. </w:t>
      </w:r>
      <w:r w:rsidR="008D7052">
        <w:t xml:space="preserve">For the TIO it was a pretty good </w:t>
      </w:r>
      <w:r>
        <w:t>quarter</w:t>
      </w:r>
      <w:r w:rsidR="00217BFF">
        <w:t xml:space="preserve"> – one of the best in recent years</w:t>
      </w:r>
      <w:r w:rsidR="008D7052">
        <w:t>.</w:t>
      </w:r>
      <w:r w:rsidR="004B71CF">
        <w:t xml:space="preserve"> (Vodafone – 10,368; Telstra – 14,579; Optus – 6,135; NB: The Optus number includes Optus Broadband Pty Ltd, Optus Mobile Pty Ltd and Optus Networks Pty Ltd)</w:t>
      </w:r>
      <w:r w:rsidR="008C488C">
        <w:t>.</w:t>
      </w:r>
      <w:r w:rsidR="00E85C2C">
        <w:rPr>
          <w:rStyle w:val="FootnoteReference"/>
        </w:rPr>
        <w:footnoteReference w:id="5"/>
      </w:r>
      <w:r w:rsidR="008C488C">
        <w:t xml:space="preserve"> </w:t>
      </w:r>
    </w:p>
    <w:p w:rsidR="008C488C" w:rsidRDefault="008C488C" w:rsidP="00362FCD">
      <w:pPr>
        <w:spacing w:before="240" w:line="360" w:lineRule="auto"/>
      </w:pPr>
      <w:r>
        <w:t xml:space="preserve">Now if we look at complaints to a </w:t>
      </w:r>
      <w:r w:rsidR="008D7052">
        <w:t>similar</w:t>
      </w:r>
      <w:r>
        <w:t xml:space="preserve"> scheme, the Financial Ombudsman Service</w:t>
      </w:r>
      <w:r w:rsidR="00DE6E4A">
        <w:t xml:space="preserve"> or FOS</w:t>
      </w:r>
      <w:r>
        <w:t>,</w:t>
      </w:r>
      <w:r w:rsidR="00DE6E4A">
        <w:t xml:space="preserve"> in the same quarter</w:t>
      </w:r>
      <w:r>
        <w:t xml:space="preserve"> recorded just </w:t>
      </w:r>
      <w:r w:rsidR="004B71CF">
        <w:t>7,720</w:t>
      </w:r>
      <w:r>
        <w:t xml:space="preserve"> new complaints from all of its members, which include the Big Four banks and </w:t>
      </w:r>
      <w:r w:rsidR="008D7052">
        <w:t>another</w:t>
      </w:r>
      <w:r>
        <w:t xml:space="preserve"> 15,000 financial service providers.</w:t>
      </w:r>
      <w:r w:rsidR="00E85C2C">
        <w:rPr>
          <w:rStyle w:val="FootnoteReference"/>
        </w:rPr>
        <w:footnoteReference w:id="6"/>
      </w:r>
      <w:r>
        <w:t xml:space="preserve"> </w:t>
      </w:r>
    </w:p>
    <w:p w:rsidR="000028C7" w:rsidRDefault="00362FCD" w:rsidP="00362FCD">
      <w:pPr>
        <w:spacing w:before="240" w:line="360" w:lineRule="auto"/>
      </w:pPr>
      <w:r w:rsidRPr="00362FCD">
        <w:rPr>
          <w:noProof/>
          <w:highlight w:val="yellow"/>
          <w:lang w:eastAsia="en-AU"/>
        </w:rPr>
        <w:lastRenderedPageBreak/>
        <w:drawing>
          <wp:inline distT="0" distB="0" distL="0" distR="0" wp14:anchorId="0D8F8502" wp14:editId="55EE64D5">
            <wp:extent cx="5731510" cy="3567498"/>
            <wp:effectExtent l="0" t="0" r="2159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6E4A" w:rsidRDefault="00227E82" w:rsidP="00362FCD">
      <w:pPr>
        <w:spacing w:before="240" w:line="360" w:lineRule="auto"/>
      </w:pPr>
      <w:r>
        <w:t xml:space="preserve">Now that’s just one snapshot that paints </w:t>
      </w:r>
      <w:r w:rsidR="007754C4">
        <w:t>one</w:t>
      </w:r>
      <w:r>
        <w:t xml:space="preserve"> picture</w:t>
      </w:r>
      <w:r w:rsidR="00DE6E4A">
        <w:t xml:space="preserve">: </w:t>
      </w:r>
      <w:r>
        <w:t xml:space="preserve">Complaint levels in this sector </w:t>
      </w:r>
      <w:r w:rsidR="00744DF1">
        <w:t>are</w:t>
      </w:r>
      <w:r>
        <w:t xml:space="preserve"> high</w:t>
      </w:r>
      <w:r w:rsidR="00DB0996">
        <w:t xml:space="preserve"> compared to the financial services sector</w:t>
      </w:r>
      <w:r>
        <w:t>.</w:t>
      </w:r>
      <w:r w:rsidR="00DB0996">
        <w:t xml:space="preserve"> </w:t>
      </w:r>
    </w:p>
    <w:p w:rsidR="00227E82" w:rsidRDefault="00DB0996" w:rsidP="00362FCD">
      <w:pPr>
        <w:spacing w:before="240" w:line="360" w:lineRule="auto"/>
      </w:pPr>
      <w:r>
        <w:t>Nationally aggregated data from other service sectors like the</w:t>
      </w:r>
      <w:r w:rsidR="00DE6E4A">
        <w:t xml:space="preserve"> energy sector are difficult to compare</w:t>
      </w:r>
      <w:r>
        <w:t xml:space="preserve">. </w:t>
      </w:r>
      <w:r w:rsidRPr="00D9767B">
        <w:t xml:space="preserve">But the TIO is generally regarded as one of the busiest ombudsman services in </w:t>
      </w:r>
      <w:r w:rsidRPr="005662ED">
        <w:t>Australia.</w:t>
      </w:r>
    </w:p>
    <w:p w:rsidR="00227E82" w:rsidRDefault="00D13D67" w:rsidP="00362FCD">
      <w:pPr>
        <w:spacing w:before="240" w:line="360" w:lineRule="auto"/>
      </w:pPr>
      <w:r>
        <w:t>T</w:t>
      </w:r>
      <w:r w:rsidR="00227E82">
        <w:t>here remains significant scope to drive down the level of complaints much further.</w:t>
      </w:r>
      <w:r w:rsidR="007754C4">
        <w:t xml:space="preserve"> And that’s because, as the telcos know well, they’ve had a long run of poor practices and </w:t>
      </w:r>
      <w:r w:rsidR="00405409">
        <w:t>they are on a long journey to turn these practices around</w:t>
      </w:r>
      <w:r w:rsidR="007754C4">
        <w:t>.</w:t>
      </w:r>
      <w:r w:rsidR="004B71CF">
        <w:t xml:space="preserve"> Vicky Brady explained this well from Optus’ perspective this morning.</w:t>
      </w:r>
    </w:p>
    <w:p w:rsidR="000028C7" w:rsidRDefault="00227E82" w:rsidP="00362FCD">
      <w:pPr>
        <w:spacing w:before="240" w:line="360" w:lineRule="auto"/>
      </w:pPr>
      <w:r>
        <w:t xml:space="preserve">A number of studies </w:t>
      </w:r>
      <w:r w:rsidR="00744DF1">
        <w:t xml:space="preserve">published recently </w:t>
      </w:r>
      <w:r>
        <w:t xml:space="preserve">point </w:t>
      </w:r>
      <w:r w:rsidR="00FC57CB">
        <w:t>to</w:t>
      </w:r>
      <w:r w:rsidR="00744DF1">
        <w:t xml:space="preserve"> the</w:t>
      </w:r>
      <w:r w:rsidR="00FC57CB">
        <w:t xml:space="preserve"> persisting consumer concerns in the sector</w:t>
      </w:r>
      <w:r w:rsidR="000028C7">
        <w:t>.</w:t>
      </w:r>
    </w:p>
    <w:p w:rsidR="007A47D8" w:rsidRDefault="007A47D8" w:rsidP="00362FCD">
      <w:pPr>
        <w:spacing w:before="240" w:line="360" w:lineRule="auto"/>
      </w:pPr>
      <w:r>
        <w:t>A mystery shopper survey published by global auditing firm KPMG in July compared the experiences of customers in 25 countries.</w:t>
      </w:r>
    </w:p>
    <w:p w:rsidR="00154C7B" w:rsidRDefault="007A47D8" w:rsidP="00362FCD">
      <w:pPr>
        <w:spacing w:before="240" w:line="360" w:lineRule="auto"/>
      </w:pPr>
      <w:r>
        <w:t xml:space="preserve">Australian telcos performed </w:t>
      </w:r>
      <w:r w:rsidR="00154C7B">
        <w:t>badly, rating</w:t>
      </w:r>
      <w:r>
        <w:t xml:space="preserve"> 19th in over-the-phone customer service, which included user-friendliness, voice recognition, and the helpfulness of call-centre staff.</w:t>
      </w:r>
      <w:r w:rsidR="00154C7B">
        <w:t xml:space="preserve"> </w:t>
      </w:r>
      <w:r>
        <w:t xml:space="preserve">This put Australia behind nations </w:t>
      </w:r>
      <w:r w:rsidR="00154C7B">
        <w:t>including</w:t>
      </w:r>
      <w:r>
        <w:t xml:space="preserve"> Nigeria and Indonesia.</w:t>
      </w:r>
      <w:r w:rsidR="00154C7B">
        <w:rPr>
          <w:rStyle w:val="FootnoteReference"/>
        </w:rPr>
        <w:footnoteReference w:id="7"/>
      </w:r>
    </w:p>
    <w:p w:rsidR="000028C7" w:rsidRDefault="000028C7" w:rsidP="00362FCD">
      <w:pPr>
        <w:spacing w:before="240" w:line="360" w:lineRule="auto"/>
      </w:pPr>
      <w:r>
        <w:lastRenderedPageBreak/>
        <w:t xml:space="preserve">Survey data published </w:t>
      </w:r>
      <w:r w:rsidR="00CE7AEB">
        <w:t xml:space="preserve">this year </w:t>
      </w:r>
      <w:r>
        <w:t>by Communications Alliance</w:t>
      </w:r>
      <w:r w:rsidR="00227E82">
        <w:t xml:space="preserve"> </w:t>
      </w:r>
      <w:r>
        <w:t xml:space="preserve">has shown that customer satisfaction </w:t>
      </w:r>
      <w:r w:rsidR="003A6DF2">
        <w:t xml:space="preserve">levels </w:t>
      </w:r>
      <w:r w:rsidR="0054625E">
        <w:t>across</w:t>
      </w:r>
      <w:r>
        <w:t xml:space="preserve"> the industry are steady</w:t>
      </w:r>
      <w:r w:rsidR="00AB00D7">
        <w:t>, w</w:t>
      </w:r>
      <w:r w:rsidR="003A6DF2">
        <w:t>ith</w:t>
      </w:r>
      <w:r>
        <w:t xml:space="preserve"> 65%</w:t>
      </w:r>
      <w:r w:rsidR="00227E82">
        <w:t xml:space="preserve"> of customer</w:t>
      </w:r>
      <w:r w:rsidR="003A6DF2">
        <w:t>s</w:t>
      </w:r>
      <w:r w:rsidR="00227E82">
        <w:t xml:space="preserve"> either</w:t>
      </w:r>
      <w:r w:rsidR="00FC57CB">
        <w:t xml:space="preserve"> satisfied or very satisfied</w:t>
      </w:r>
      <w:r w:rsidR="00227E82">
        <w:t xml:space="preserve"> with overall customer</w:t>
      </w:r>
      <w:r w:rsidR="0061702B">
        <w:t xml:space="preserve"> service</w:t>
      </w:r>
      <w:r w:rsidR="00FC57CB">
        <w:t>.</w:t>
      </w:r>
      <w:r w:rsidR="00154C7B">
        <w:rPr>
          <w:rStyle w:val="FootnoteReference"/>
        </w:rPr>
        <w:footnoteReference w:id="8"/>
      </w:r>
    </w:p>
    <w:p w:rsidR="00A972CA" w:rsidRDefault="00FC57CB" w:rsidP="00362FCD">
      <w:pPr>
        <w:spacing w:before="240" w:line="360" w:lineRule="auto"/>
      </w:pPr>
      <w:r>
        <w:t xml:space="preserve">Among the banks, </w:t>
      </w:r>
      <w:r w:rsidR="00372364">
        <w:t xml:space="preserve">however, </w:t>
      </w:r>
      <w:r>
        <w:t xml:space="preserve">satisfaction levels tell a different story. </w:t>
      </w:r>
    </w:p>
    <w:p w:rsidR="00FC57CB" w:rsidRDefault="00227E82" w:rsidP="00362FCD">
      <w:pPr>
        <w:spacing w:before="240" w:line="360" w:lineRule="auto"/>
      </w:pPr>
      <w:r>
        <w:t xml:space="preserve">After hitting a rock bottom low of 60% in 2001, steady improvements have seen bank customer satisfaction </w:t>
      </w:r>
      <w:r w:rsidR="00183580">
        <w:t>reach a record high of</w:t>
      </w:r>
      <w:r>
        <w:t xml:space="preserve"> 80.8% in February this year.</w:t>
      </w:r>
      <w:r w:rsidR="00154C7B">
        <w:rPr>
          <w:rStyle w:val="FootnoteReference"/>
        </w:rPr>
        <w:footnoteReference w:id="9"/>
      </w:r>
      <w:r>
        <w:t xml:space="preserve"> </w:t>
      </w:r>
    </w:p>
    <w:p w:rsidR="00227E82" w:rsidRDefault="007754C4" w:rsidP="00362FCD">
      <w:pPr>
        <w:spacing w:before="240" w:line="360" w:lineRule="auto"/>
      </w:pPr>
      <w:r>
        <w:t xml:space="preserve">Banks are in fact a good example </w:t>
      </w:r>
      <w:r w:rsidR="00AB00D7">
        <w:t>of</w:t>
      </w:r>
      <w:r>
        <w:t xml:space="preserve"> how improv</w:t>
      </w:r>
      <w:r w:rsidR="00073A7B">
        <w:t>ing</w:t>
      </w:r>
      <w:r>
        <w:t xml:space="preserve"> consumer products and </w:t>
      </w:r>
      <w:r w:rsidR="00073A7B">
        <w:t xml:space="preserve">restoring confidence in </w:t>
      </w:r>
      <w:r>
        <w:t xml:space="preserve">customer service requires service providers to settle in for the long run. </w:t>
      </w:r>
      <w:r w:rsidR="00073A7B">
        <w:t>Banks’</w:t>
      </w:r>
      <w:r>
        <w:t xml:space="preserve"> reputations, while not completely intact, aren</w:t>
      </w:r>
      <w:r w:rsidR="00073A7B">
        <w:t>’</w:t>
      </w:r>
      <w:r>
        <w:t xml:space="preserve">t the easy fodder for the sport of bank-bashing that they once were. </w:t>
      </w:r>
    </w:p>
    <w:p w:rsidR="0011066D" w:rsidRDefault="00227E82" w:rsidP="00362FCD">
      <w:pPr>
        <w:spacing w:before="240" w:line="360" w:lineRule="auto"/>
      </w:pPr>
      <w:r>
        <w:t>I believe there is a persistent</w:t>
      </w:r>
      <w:r w:rsidR="007754C4">
        <w:t xml:space="preserve"> resentment among </w:t>
      </w:r>
      <w:r w:rsidR="0011066D">
        <w:t>customers</w:t>
      </w:r>
      <w:r w:rsidR="007754C4">
        <w:t xml:space="preserve"> of telecommunications providers that </w:t>
      </w:r>
      <w:r w:rsidR="007754C4" w:rsidRPr="0054625E">
        <w:t xml:space="preserve">will still take </w:t>
      </w:r>
      <w:r w:rsidR="007E6BAA" w:rsidRPr="0054625E">
        <w:t>a great</w:t>
      </w:r>
      <w:r w:rsidR="007754C4" w:rsidRPr="0054625E">
        <w:t xml:space="preserve"> effort to change. </w:t>
      </w:r>
      <w:r w:rsidR="00096661">
        <w:t>For example, according</w:t>
      </w:r>
      <w:r w:rsidR="004B71CF">
        <w:t xml:space="preserve"> to </w:t>
      </w:r>
      <w:r w:rsidR="00096661">
        <w:t>research released by Communications Alliance, 3</w:t>
      </w:r>
      <w:r w:rsidR="00641032">
        <w:t xml:space="preserve">4% of consumers who have complained </w:t>
      </w:r>
      <w:r w:rsidR="00096661">
        <w:t xml:space="preserve">to a telecommunication provider </w:t>
      </w:r>
      <w:r w:rsidR="00641032">
        <w:t>in the last 6 months</w:t>
      </w:r>
      <w:r w:rsidR="00907856">
        <w:t xml:space="preserve"> were</w:t>
      </w:r>
      <w:r w:rsidR="00641032">
        <w:t xml:space="preserve"> not satisfied with </w:t>
      </w:r>
      <w:r w:rsidR="00096661">
        <w:t>how their complaint was handled.</w:t>
      </w:r>
    </w:p>
    <w:p w:rsidR="00587F3C" w:rsidRPr="0054625E" w:rsidRDefault="00587F3C" w:rsidP="00362FCD">
      <w:pPr>
        <w:spacing w:before="240" w:line="360" w:lineRule="auto"/>
      </w:pPr>
      <w:r>
        <w:t xml:space="preserve">But there are </w:t>
      </w:r>
      <w:r w:rsidR="001959DB">
        <w:t xml:space="preserve">also </w:t>
      </w:r>
      <w:r>
        <w:t>a lot of good signs in the marketplace.</w:t>
      </w:r>
    </w:p>
    <w:p w:rsidR="00587F3C" w:rsidRDefault="007754C4" w:rsidP="00362FCD">
      <w:pPr>
        <w:spacing w:before="240" w:line="360" w:lineRule="auto"/>
      </w:pPr>
      <w:r w:rsidRPr="0054625E">
        <w:t xml:space="preserve">Recent re-branding initiatives from the major providers </w:t>
      </w:r>
      <w:r w:rsidR="007E6BAA" w:rsidRPr="0054625E">
        <w:t>show that the telcos</w:t>
      </w:r>
      <w:r w:rsidRPr="0054625E">
        <w:t xml:space="preserve"> </w:t>
      </w:r>
      <w:r w:rsidR="007E6BAA" w:rsidRPr="0054625E">
        <w:t>are up to the challenge</w:t>
      </w:r>
      <w:r w:rsidRPr="0054625E">
        <w:t>.</w:t>
      </w:r>
      <w:r w:rsidR="007E6BAA">
        <w:t xml:space="preserve"> </w:t>
      </w:r>
    </w:p>
    <w:p w:rsidR="00587F3C" w:rsidRDefault="007E6BAA" w:rsidP="00362FCD">
      <w:pPr>
        <w:spacing w:before="240" w:line="360" w:lineRule="auto"/>
      </w:pPr>
      <w:r>
        <w:t>And the</w:t>
      </w:r>
      <w:r w:rsidR="001959DB">
        <w:t>re has been a</w:t>
      </w:r>
      <w:r>
        <w:t xml:space="preserve"> swag of</w:t>
      </w:r>
      <w:r w:rsidR="0054625E">
        <w:t xml:space="preserve"> recent </w:t>
      </w:r>
      <w:r>
        <w:t xml:space="preserve">pro-consumer </w:t>
      </w:r>
      <w:r w:rsidR="0054625E">
        <w:t>announcements</w:t>
      </w:r>
      <w:r>
        <w:t xml:space="preserve">, </w:t>
      </w:r>
      <w:r w:rsidR="001959DB">
        <w:t>such as</w:t>
      </w:r>
    </w:p>
    <w:p w:rsidR="007E6BAA" w:rsidRDefault="007E6BAA" w:rsidP="00362FCD">
      <w:pPr>
        <w:pStyle w:val="ListParagraph"/>
        <w:numPr>
          <w:ilvl w:val="0"/>
          <w:numId w:val="6"/>
        </w:numPr>
        <w:spacing w:before="240" w:line="360" w:lineRule="auto"/>
      </w:pPr>
      <w:r>
        <w:t>Optus’ announcement last week that it would</w:t>
      </w:r>
      <w:r w:rsidR="001959DB">
        <w:t xml:space="preserve"> cut unfair fees </w:t>
      </w:r>
    </w:p>
    <w:p w:rsidR="00FE0D91" w:rsidRDefault="00FE0D91" w:rsidP="00362FCD">
      <w:pPr>
        <w:pStyle w:val="ListParagraph"/>
        <w:numPr>
          <w:ilvl w:val="0"/>
          <w:numId w:val="6"/>
        </w:numPr>
        <w:spacing w:before="240" w:line="360" w:lineRule="auto"/>
      </w:pPr>
      <w:r>
        <w:t xml:space="preserve">Optus’ new plans </w:t>
      </w:r>
      <w:r w:rsidR="00096661">
        <w:t xml:space="preserve">put an </w:t>
      </w:r>
      <w:r>
        <w:t xml:space="preserve">end </w:t>
      </w:r>
      <w:r w:rsidR="00D9767B">
        <w:t xml:space="preserve">to </w:t>
      </w:r>
      <w:r>
        <w:t>huge excess usage fees and introduce minutes instead or confusing ‘included value’ buckets</w:t>
      </w:r>
    </w:p>
    <w:p w:rsidR="001959DB" w:rsidRDefault="00AB00D7" w:rsidP="00362FCD">
      <w:pPr>
        <w:pStyle w:val="ListParagraph"/>
        <w:numPr>
          <w:ilvl w:val="0"/>
          <w:numId w:val="6"/>
        </w:numPr>
        <w:spacing w:before="240" w:line="360" w:lineRule="auto"/>
      </w:pPr>
      <w:r>
        <w:t>Since Telstra’s changes there are</w:t>
      </w:r>
      <w:r w:rsidR="00D9767B">
        <w:t xml:space="preserve"> l</w:t>
      </w:r>
      <w:r w:rsidR="001959DB">
        <w:t>ess and less contracts selling locked handsets</w:t>
      </w:r>
    </w:p>
    <w:p w:rsidR="001959DB" w:rsidRDefault="001959DB" w:rsidP="00362FCD">
      <w:pPr>
        <w:pStyle w:val="ListParagraph"/>
        <w:numPr>
          <w:ilvl w:val="0"/>
          <w:numId w:val="6"/>
        </w:numPr>
        <w:spacing w:before="240" w:line="360" w:lineRule="auto"/>
      </w:pPr>
      <w:r>
        <w:t xml:space="preserve">Improvements </w:t>
      </w:r>
      <w:r w:rsidR="00641032">
        <w:t xml:space="preserve">across the board </w:t>
      </w:r>
      <w:r>
        <w:t>in global roaming charges</w:t>
      </w:r>
      <w:r w:rsidR="00D9767B">
        <w:t xml:space="preserve"> led initially by Vodafone </w:t>
      </w:r>
    </w:p>
    <w:p w:rsidR="00227E82" w:rsidRDefault="007754C4" w:rsidP="00362FCD">
      <w:pPr>
        <w:spacing w:before="240" w:line="360" w:lineRule="auto"/>
      </w:pPr>
      <w:r>
        <w:t>And new entrants in the marketplace are</w:t>
      </w:r>
      <w:r w:rsidR="004A60ED">
        <w:t xml:space="preserve"> in many cases</w:t>
      </w:r>
      <w:r>
        <w:t xml:space="preserve"> presenting a very different product and service model.</w:t>
      </w:r>
    </w:p>
    <w:p w:rsidR="007514D5" w:rsidRDefault="007514D5" w:rsidP="00362FCD">
      <w:pPr>
        <w:spacing w:before="240" w:line="360" w:lineRule="auto"/>
      </w:pPr>
      <w:r w:rsidRPr="00B50627">
        <w:t>So how does this relate to falling TIO complaints?</w:t>
      </w:r>
    </w:p>
    <w:p w:rsidR="00B50627" w:rsidRDefault="00B50627" w:rsidP="00362FCD">
      <w:pPr>
        <w:spacing w:before="240" w:line="360" w:lineRule="auto"/>
      </w:pPr>
      <w:r>
        <w:lastRenderedPageBreak/>
        <w:t xml:space="preserve">The picture I want to paint for you is that even with the good work that has been done, there’s still a lot more to do. As David Thodey said recently, </w:t>
      </w:r>
    </w:p>
    <w:p w:rsidR="00B50627" w:rsidRPr="00B50627" w:rsidRDefault="00B50627" w:rsidP="00362FCD">
      <w:pPr>
        <w:spacing w:before="240" w:line="360" w:lineRule="auto"/>
        <w:ind w:left="720"/>
        <w:rPr>
          <w:i/>
        </w:rPr>
      </w:pPr>
      <w:r>
        <w:rPr>
          <w:i/>
        </w:rPr>
        <w:t>“</w:t>
      </w:r>
      <w:r w:rsidRPr="00B50627">
        <w:rPr>
          <w:i/>
        </w:rPr>
        <w:t xml:space="preserve">I think this (improving customer service) is definitely a marathon and I have got through </w:t>
      </w:r>
      <w:r>
        <w:rPr>
          <w:i/>
        </w:rPr>
        <w:t>the first 10km. It is a big job”</w:t>
      </w:r>
      <w:r>
        <w:rPr>
          <w:rStyle w:val="FootnoteReference"/>
          <w:i/>
        </w:rPr>
        <w:footnoteReference w:id="10"/>
      </w:r>
    </w:p>
    <w:p w:rsidR="007514D5" w:rsidRDefault="00E15C23" w:rsidP="00362FCD">
      <w:pPr>
        <w:spacing w:before="240" w:line="360" w:lineRule="auto"/>
      </w:pPr>
      <w:r>
        <w:t>In the coming months</w:t>
      </w:r>
      <w:r w:rsidR="007514D5">
        <w:t xml:space="preserve"> you’ll hear ACCAN keep calling for even lower complaint levels</w:t>
      </w:r>
      <w:r w:rsidR="00B84227">
        <w:t>.</w:t>
      </w:r>
      <w:r w:rsidR="00907856">
        <w:t xml:space="preserve"> We won’t be calling for this just because it makes sense for consumers, but because it makes sense for business. Complaint levels are inextricably linked to industry measured Net Promoter Scores. It is </w:t>
      </w:r>
      <w:r w:rsidR="00CC39D1">
        <w:t>self-evident</w:t>
      </w:r>
      <w:r w:rsidR="00907856">
        <w:t xml:space="preserve"> that consumers </w:t>
      </w:r>
      <w:r w:rsidR="00CC39D1">
        <w:t xml:space="preserve">who can come to an agreeable solution with their telco are far more likely to recommend that company to their friends and colleagues. </w:t>
      </w:r>
    </w:p>
    <w:p w:rsidR="00B84227" w:rsidRDefault="00E15C23" w:rsidP="00362FCD">
      <w:pPr>
        <w:spacing w:before="240" w:line="360" w:lineRule="auto"/>
      </w:pPr>
      <w:r>
        <w:t>And I know t</w:t>
      </w:r>
      <w:r w:rsidR="00B84227">
        <w:t xml:space="preserve">he </w:t>
      </w:r>
      <w:r>
        <w:t xml:space="preserve">burning </w:t>
      </w:r>
      <w:r w:rsidR="00B84227">
        <w:t xml:space="preserve">question </w:t>
      </w:r>
      <w:r w:rsidR="00641032">
        <w:t xml:space="preserve">telecommunications providers </w:t>
      </w:r>
      <w:r w:rsidR="00AB00D7">
        <w:t>want to ask is</w:t>
      </w:r>
      <w:r w:rsidR="00B84227">
        <w:t>: What level should complaints be?</w:t>
      </w:r>
    </w:p>
    <w:p w:rsidR="00641032" w:rsidRDefault="00B84227" w:rsidP="00362FCD">
      <w:pPr>
        <w:spacing w:before="240" w:line="360" w:lineRule="auto"/>
      </w:pPr>
      <w:r>
        <w:t xml:space="preserve">My answer to </w:t>
      </w:r>
      <w:r w:rsidR="00641032">
        <w:t>you is this:</w:t>
      </w:r>
    </w:p>
    <w:p w:rsidR="00B84227" w:rsidRPr="00E360E2" w:rsidRDefault="00641032" w:rsidP="00362FCD">
      <w:pPr>
        <w:spacing w:before="240" w:line="360" w:lineRule="auto"/>
        <w:rPr>
          <w:i/>
        </w:rPr>
      </w:pPr>
      <w:r w:rsidRPr="00E360E2">
        <w:rPr>
          <w:i/>
        </w:rPr>
        <w:t>It is for you to decide</w:t>
      </w:r>
      <w:r w:rsidR="00B84227" w:rsidRPr="00E360E2">
        <w:rPr>
          <w:i/>
        </w:rPr>
        <w:t>.</w:t>
      </w:r>
    </w:p>
    <w:p w:rsidR="00B84227" w:rsidRDefault="00B84227" w:rsidP="00362FCD">
      <w:pPr>
        <w:spacing w:before="240" w:line="360" w:lineRule="auto"/>
      </w:pPr>
      <w:r>
        <w:t xml:space="preserve">Over the coming months I’m asking the telcos to set their own benchmarks based on how much better they think they can do. </w:t>
      </w:r>
    </w:p>
    <w:p w:rsidR="00B84227" w:rsidRDefault="00B84227" w:rsidP="00362FCD">
      <w:pPr>
        <w:spacing w:before="240" w:line="360" w:lineRule="auto"/>
      </w:pPr>
      <w:r>
        <w:t xml:space="preserve">They might like </w:t>
      </w:r>
      <w:r w:rsidR="00966AA5">
        <w:t xml:space="preserve">to set a comparable benchmark, like </w:t>
      </w:r>
      <w:r>
        <w:t xml:space="preserve">Origin Energy did in 2007 </w:t>
      </w:r>
      <w:r w:rsidR="00966AA5">
        <w:t xml:space="preserve">when it </w:t>
      </w:r>
      <w:r>
        <w:t xml:space="preserve">set a five-year target of reducing their </w:t>
      </w:r>
      <w:r w:rsidR="0098338A">
        <w:t xml:space="preserve">ombudsman </w:t>
      </w:r>
      <w:r>
        <w:t xml:space="preserve">complaints to 1.5 complaints per 1,000 customers (which </w:t>
      </w:r>
      <w:r w:rsidR="00966AA5">
        <w:t>incidentally</w:t>
      </w:r>
      <w:r>
        <w:t xml:space="preserve"> they didn’t achieve but they kept trying and explaining</w:t>
      </w:r>
      <w:r w:rsidR="0098338A">
        <w:t xml:space="preserve"> publicly</w:t>
      </w:r>
      <w:r>
        <w:t xml:space="preserve"> the steps they were taking to get there).</w:t>
      </w:r>
      <w:r w:rsidR="00154C7B">
        <w:rPr>
          <w:rStyle w:val="FootnoteReference"/>
        </w:rPr>
        <w:footnoteReference w:id="11"/>
      </w:r>
      <w:r>
        <w:t xml:space="preserve"> </w:t>
      </w:r>
      <w:r w:rsidR="00966AA5">
        <w:t xml:space="preserve">Telcos </w:t>
      </w:r>
      <w:r>
        <w:t>might prefer to express their target in terms of the number of services in operation, and even by the type of service – all of which I would welcome.</w:t>
      </w:r>
      <w:r w:rsidR="004B2DF4">
        <w:t xml:space="preserve"> They may prefer to benchmark themselves to another industry and simply aim to be better than the banks when it comes to complaint levels.</w:t>
      </w:r>
    </w:p>
    <w:p w:rsidR="00B84227" w:rsidRPr="000028C7" w:rsidRDefault="004B2DF4" w:rsidP="00362FCD">
      <w:pPr>
        <w:spacing w:before="240" w:line="360" w:lineRule="auto"/>
      </w:pPr>
      <w:r>
        <w:t xml:space="preserve">There is no doubt in my mind that complaint levels have much further to fall. So when the next round of TIO numbers are released I think we can all </w:t>
      </w:r>
      <w:r w:rsidR="00A44651">
        <w:t>breathe a sigh of relief that the numbers are finally trending in the right direction. B</w:t>
      </w:r>
      <w:r>
        <w:t>ut keep the best champagne on ice for now.</w:t>
      </w:r>
    </w:p>
    <w:p w:rsidR="00D9767B" w:rsidRDefault="00D9767B" w:rsidP="00362FCD">
      <w:pPr>
        <w:spacing w:before="240" w:line="360" w:lineRule="auto"/>
        <w:rPr>
          <w:b/>
          <w:highlight w:val="cyan"/>
        </w:rPr>
      </w:pPr>
    </w:p>
    <w:p w:rsidR="006A6FA2" w:rsidRPr="00D9767B" w:rsidRDefault="006A6FA2" w:rsidP="00362FCD">
      <w:pPr>
        <w:spacing w:before="240" w:line="360" w:lineRule="auto"/>
        <w:rPr>
          <w:b/>
        </w:rPr>
      </w:pPr>
      <w:r w:rsidRPr="00D9767B">
        <w:rPr>
          <w:b/>
        </w:rPr>
        <w:lastRenderedPageBreak/>
        <w:t xml:space="preserve">New challenges – in-app purchases </w:t>
      </w:r>
    </w:p>
    <w:p w:rsidR="00FB2AEA" w:rsidRDefault="00E360E2" w:rsidP="00362FCD">
      <w:pPr>
        <w:spacing w:before="240" w:line="360" w:lineRule="auto"/>
      </w:pPr>
      <w:r>
        <w:t xml:space="preserve">The telecommunications industry has always been a rapidly changing space. This means unique challenges for developing consumer protections which are adaptable and don’t stifle innovation. </w:t>
      </w:r>
      <w:r w:rsidR="001723C1">
        <w:t>Smartphones</w:t>
      </w:r>
      <w:r w:rsidR="00FB2AEA">
        <w:t xml:space="preserve"> and app stores</w:t>
      </w:r>
      <w:r w:rsidR="001723C1">
        <w:t xml:space="preserve"> have been a boon for consumer </w:t>
      </w:r>
      <w:r w:rsidR="007E7383">
        <w:t xml:space="preserve">connectedness, </w:t>
      </w:r>
      <w:r w:rsidR="001723C1">
        <w:t>accessibility</w:t>
      </w:r>
      <w:r w:rsidR="007E7383">
        <w:t xml:space="preserve"> and entertainment. Within this space we are seeing an evolving regulatory effort. In some circumstances this is being led by industry</w:t>
      </w:r>
      <w:r w:rsidR="003B5119">
        <w:t>,</w:t>
      </w:r>
      <w:r w:rsidR="007E7383">
        <w:t xml:space="preserve"> with the development of </w:t>
      </w:r>
      <w:r w:rsidR="00FB2AEA">
        <w:t>customer review schemes</w:t>
      </w:r>
      <w:r w:rsidR="001946CA">
        <w:t>, parental controls</w:t>
      </w:r>
      <w:r w:rsidR="00FB2AEA">
        <w:t xml:space="preserve"> and walled gardens. </w:t>
      </w:r>
    </w:p>
    <w:p w:rsidR="006C3482" w:rsidRDefault="00FB2AEA" w:rsidP="00362FCD">
      <w:pPr>
        <w:spacing w:before="240" w:line="360" w:lineRule="auto"/>
      </w:pPr>
      <w:r>
        <w:t xml:space="preserve">There is still </w:t>
      </w:r>
      <w:r w:rsidR="003B5119">
        <w:t>more that needs to be done to inform consumers, particularly parents around the traps of in-app purchases. While consumer education is part of the answer</w:t>
      </w:r>
      <w:r w:rsidR="001946CA">
        <w:t>,</w:t>
      </w:r>
      <w:r w:rsidR="003B5119">
        <w:t xml:space="preserve"> the big app stores of Google and Apple need to take </w:t>
      </w:r>
      <w:r w:rsidR="001946CA">
        <w:t xml:space="preserve">more </w:t>
      </w:r>
      <w:r w:rsidR="003B5119">
        <w:t xml:space="preserve">responsibility for the apps </w:t>
      </w:r>
      <w:r w:rsidR="006C3482">
        <w:t>they sell</w:t>
      </w:r>
      <w:r w:rsidR="003B5119">
        <w:t>. Many of these apps involve aggressive selling practices targeted at children. On top of this they often have incoherent complaint and refund mechanisms. ACCAN recognises that new regulation is not always the answe</w:t>
      </w:r>
      <w:r w:rsidR="006C3482">
        <w:t>r.</w:t>
      </w:r>
      <w:r w:rsidR="003B5119">
        <w:t xml:space="preserve"> In fact, existing consumer law</w:t>
      </w:r>
      <w:r w:rsidR="001946CA">
        <w:t xml:space="preserve"> and direct measures taken by industry</w:t>
      </w:r>
      <w:r w:rsidR="003B5119">
        <w:t xml:space="preserve"> would solve many of these problems. </w:t>
      </w:r>
      <w:r w:rsidR="006C3482">
        <w:t>ACCAN is currently developing a set of principles with industry collaboration to help educate app developers. The goal is to communicate at time</w:t>
      </w:r>
      <w:r w:rsidR="008E5840">
        <w:t xml:space="preserve"> of purchase</w:t>
      </w:r>
      <w:r w:rsidR="006C3482">
        <w:t xml:space="preserve"> complex consumer protection obligations so that they are easily understandable and relevant to app makers. </w:t>
      </w:r>
    </w:p>
    <w:p w:rsidR="004E2637" w:rsidRDefault="006C3482" w:rsidP="00362FCD">
      <w:pPr>
        <w:spacing w:before="240" w:line="360" w:lineRule="auto"/>
      </w:pPr>
      <w:r>
        <w:t xml:space="preserve">We understand regulation has its limitations and can be </w:t>
      </w:r>
      <w:r w:rsidR="00643D27">
        <w:t>costly;</w:t>
      </w:r>
      <w:r>
        <w:t xml:space="preserve"> therefore it will rarely be our first response. However, if it is required we will not </w:t>
      </w:r>
      <w:r w:rsidR="00D9767B">
        <w:t xml:space="preserve">shy away from campaigning for </w:t>
      </w:r>
      <w:r w:rsidR="004B71CF">
        <w:t xml:space="preserve">additional </w:t>
      </w:r>
      <w:r w:rsidR="00D9767B">
        <w:t>regulation</w:t>
      </w:r>
      <w:r>
        <w:t xml:space="preserve"> to ensure consumers are not being misled or taken advantage of.</w:t>
      </w:r>
    </w:p>
    <w:p w:rsidR="003B5119" w:rsidRDefault="003B5119" w:rsidP="00362FCD">
      <w:pPr>
        <w:spacing w:before="240" w:line="360" w:lineRule="auto"/>
      </w:pPr>
      <w:r>
        <w:t xml:space="preserve">We call on these new industry players </w:t>
      </w:r>
      <w:r w:rsidR="007E6981">
        <w:t xml:space="preserve">to comply with </w:t>
      </w:r>
      <w:r w:rsidR="004B71CF">
        <w:t>existing</w:t>
      </w:r>
      <w:r w:rsidR="007E6981">
        <w:t xml:space="preserve"> laws so that they are competing on an even keel with the rest of the Australian communications industry.</w:t>
      </w:r>
    </w:p>
    <w:p w:rsidR="009E669E" w:rsidRPr="009E669E" w:rsidRDefault="009E669E" w:rsidP="00362FCD">
      <w:pPr>
        <w:spacing w:before="240" w:line="360" w:lineRule="auto"/>
        <w:rPr>
          <w:b/>
        </w:rPr>
      </w:pPr>
      <w:r w:rsidRPr="009E669E">
        <w:rPr>
          <w:b/>
        </w:rPr>
        <w:t xml:space="preserve">New challenges – mobile commerce </w:t>
      </w:r>
    </w:p>
    <w:p w:rsidR="004E2637" w:rsidRDefault="004E2637" w:rsidP="00362FCD">
      <w:pPr>
        <w:spacing w:before="240" w:line="360" w:lineRule="auto"/>
      </w:pPr>
      <w:r>
        <w:t xml:space="preserve">Another related </w:t>
      </w:r>
      <w:r w:rsidR="00A44651">
        <w:t>piece</w:t>
      </w:r>
      <w:r>
        <w:t xml:space="preserve"> of work for ACCAN is in the area of mobile commerce. With the widespread uptake of mobile devices, the potential market for m-commerce has expanded, and since early this year a number of Australian banks, retailers and communications providers are exploring their options for offering m-commerce services to consumers.</w:t>
      </w:r>
    </w:p>
    <w:p w:rsidR="004E2637" w:rsidRPr="004E2637" w:rsidRDefault="004E2637" w:rsidP="00362FCD">
      <w:pPr>
        <w:spacing w:before="240" w:line="360" w:lineRule="auto"/>
      </w:pPr>
      <w:r>
        <w:t xml:space="preserve">While the take-up of m-commerce in Australia has so far been relatively modest, the m-commerce market is likely to grow in the future. ACCAN and consumer group CHOICE will shortly launch a joint position statement on m-commerce. We are keen to ensure that industry, consumers and regulators </w:t>
      </w:r>
      <w:r>
        <w:lastRenderedPageBreak/>
        <w:t>fully understand the range of risks to consumers of these new products and ensure that protections, such as easy access to refunds and protection from fraud</w:t>
      </w:r>
      <w:r w:rsidR="008E5840">
        <w:t>,</w:t>
      </w:r>
      <w:r>
        <w:t xml:space="preserve"> are assured.</w:t>
      </w:r>
    </w:p>
    <w:p w:rsidR="004F2059" w:rsidRPr="00EC057E" w:rsidRDefault="00EC057E" w:rsidP="00362FCD">
      <w:pPr>
        <w:spacing w:before="240" w:line="360" w:lineRule="auto"/>
        <w:rPr>
          <w:b/>
        </w:rPr>
      </w:pPr>
      <w:r w:rsidRPr="00EC057E">
        <w:rPr>
          <w:b/>
        </w:rPr>
        <w:t xml:space="preserve">Red tape </w:t>
      </w:r>
    </w:p>
    <w:p w:rsidR="00470604" w:rsidRDefault="00BC78CF" w:rsidP="00362FCD">
      <w:pPr>
        <w:spacing w:before="240" w:line="360" w:lineRule="auto"/>
      </w:pPr>
      <w:r w:rsidRPr="00BC78CF">
        <w:t>It would be remiss</w:t>
      </w:r>
      <w:r>
        <w:t xml:space="preserve"> of me to comment on new consumer challenges without also acknowledging the recent change of government. </w:t>
      </w:r>
    </w:p>
    <w:p w:rsidR="00BC78CF" w:rsidRDefault="00BC78CF" w:rsidP="00362FCD">
      <w:pPr>
        <w:spacing w:before="240" w:line="360" w:lineRule="auto"/>
      </w:pPr>
      <w:r w:rsidRPr="00F65C8E">
        <w:t xml:space="preserve">It was great to hear the Minister this morning talking about </w:t>
      </w:r>
      <w:r w:rsidR="004B71CF">
        <w:t>reducing red tape and inviting input from those attending the Commsday Summit. We will be keen to take up this invitation.</w:t>
      </w:r>
    </w:p>
    <w:p w:rsidR="00BC78CF" w:rsidRDefault="00BC78CF" w:rsidP="00362FCD">
      <w:pPr>
        <w:spacing w:before="240" w:line="360" w:lineRule="auto"/>
      </w:pPr>
      <w:r>
        <w:t xml:space="preserve">As better, more efficient regulations are </w:t>
      </w:r>
      <w:r w:rsidR="00366419">
        <w:t>considered by the industry as part of the review</w:t>
      </w:r>
      <w:r>
        <w:t xml:space="preserve">, it is appropriate to commit to a process of </w:t>
      </w:r>
      <w:r w:rsidR="00366419">
        <w:t>weighing up</w:t>
      </w:r>
      <w:r>
        <w:t xml:space="preserve"> </w:t>
      </w:r>
      <w:r w:rsidR="00366419">
        <w:t xml:space="preserve">all </w:t>
      </w:r>
      <w:r>
        <w:t xml:space="preserve">regulatory obligations. However, I am concerned that some expectations are that this will be a means to repeal large tranches of regulatory rules deemed by industry to be burdensome. </w:t>
      </w:r>
    </w:p>
    <w:p w:rsidR="00BC78CF" w:rsidRDefault="00BC78CF" w:rsidP="00362FCD">
      <w:pPr>
        <w:spacing w:before="240" w:line="360" w:lineRule="auto"/>
      </w:pPr>
      <w:r>
        <w:t xml:space="preserve">I expect to participate in carefully considered reviews of regulation on a case-by-case basis. </w:t>
      </w:r>
      <w:r w:rsidR="006E5F7F">
        <w:t>I expect we will see some changes, indeed many that will be supported by ACCAN. But equally there are many longstanding and important consumer protections, especially to more vulnerable consumer</w:t>
      </w:r>
      <w:r w:rsidR="00641032">
        <w:t>s</w:t>
      </w:r>
      <w:r w:rsidR="006E5F7F">
        <w:t xml:space="preserve"> such as those in regional and remote Australia, which must remain part of the </w:t>
      </w:r>
      <w:r w:rsidR="00577BA7">
        <w:t>telecommunications</w:t>
      </w:r>
      <w:r w:rsidR="006E5F7F">
        <w:t xml:space="preserve"> landscape for the foreseeable future.</w:t>
      </w:r>
    </w:p>
    <w:p w:rsidR="00BC78CF" w:rsidRPr="00BC78CF" w:rsidRDefault="00BC78CF" w:rsidP="00362FCD">
      <w:pPr>
        <w:spacing w:before="240" w:line="360" w:lineRule="auto"/>
      </w:pPr>
      <w:r>
        <w:t>I</w:t>
      </w:r>
      <w:r w:rsidR="006E5F7F">
        <w:t>n terms of better regulation, I</w:t>
      </w:r>
      <w:r>
        <w:t xml:space="preserve"> also hope to see the </w:t>
      </w:r>
      <w:r w:rsidR="006C38D2">
        <w:rPr>
          <w:i/>
          <w:iCs/>
          <w:lang w:eastAsia="en-AU"/>
        </w:rPr>
        <w:t>Telecommunications Legislation Amendment (Consumer Protection) Bill</w:t>
      </w:r>
      <w:r w:rsidR="006C38D2">
        <w:rPr>
          <w:lang w:eastAsia="en-AU"/>
        </w:rPr>
        <w:t xml:space="preserve"> 2013</w:t>
      </w:r>
      <w:r>
        <w:t>, drafted in the final session of the last parliament</w:t>
      </w:r>
      <w:r w:rsidR="008E5840">
        <w:t>,</w:t>
      </w:r>
      <w:r>
        <w:t xml:space="preserve"> to be</w:t>
      </w:r>
      <w:r w:rsidR="006E5F7F">
        <w:t xml:space="preserve"> re-introduced by the </w:t>
      </w:r>
      <w:r w:rsidR="006C38D2">
        <w:t>Co</w:t>
      </w:r>
      <w:r w:rsidR="006E5F7F">
        <w:t xml:space="preserve">alition </w:t>
      </w:r>
      <w:r w:rsidR="006C38D2">
        <w:t>G</w:t>
      </w:r>
      <w:r w:rsidR="006E5F7F">
        <w:t>overnment. This Bill</w:t>
      </w:r>
      <w:r w:rsidR="008E5840">
        <w:t>,</w:t>
      </w:r>
      <w:r w:rsidR="006E5F7F">
        <w:t xml:space="preserve"> which was supported unamended by industry and consumer representatives</w:t>
      </w:r>
      <w:r w:rsidR="008E5840">
        <w:t>,</w:t>
      </w:r>
      <w:r w:rsidR="006E5F7F">
        <w:t xml:space="preserve"> forms a necessary update to the industry’s self-regulatory processes.</w:t>
      </w:r>
    </w:p>
    <w:p w:rsidR="00EC057E" w:rsidRDefault="00EC057E" w:rsidP="00362FCD">
      <w:pPr>
        <w:spacing w:before="240" w:line="360" w:lineRule="auto"/>
        <w:rPr>
          <w:b/>
        </w:rPr>
      </w:pPr>
      <w:r>
        <w:rPr>
          <w:b/>
        </w:rPr>
        <w:t xml:space="preserve">Close </w:t>
      </w:r>
    </w:p>
    <w:p w:rsidR="00470604" w:rsidRDefault="00470604" w:rsidP="00362FCD">
      <w:pPr>
        <w:spacing w:before="240" w:line="360" w:lineRule="auto"/>
      </w:pPr>
      <w:r>
        <w:t>I look forward to</w:t>
      </w:r>
      <w:r w:rsidR="008E5840">
        <w:t xml:space="preserve"> addressing you again next year, a</w:t>
      </w:r>
      <w:r>
        <w:t>t which time I hope to</w:t>
      </w:r>
      <w:r w:rsidR="008E5840">
        <w:t>:</w:t>
      </w:r>
      <w:r>
        <w:t xml:space="preserve"> </w:t>
      </w:r>
    </w:p>
    <w:p w:rsidR="00470604" w:rsidRDefault="00470604" w:rsidP="00362FCD">
      <w:pPr>
        <w:pStyle w:val="ListParagraph"/>
        <w:numPr>
          <w:ilvl w:val="0"/>
          <w:numId w:val="3"/>
        </w:numPr>
        <w:spacing w:before="240" w:line="360" w:lineRule="auto"/>
      </w:pPr>
      <w:r>
        <w:t>discuss the comparable customer care performance metrics published by the ACMA,</w:t>
      </w:r>
    </w:p>
    <w:p w:rsidR="00470604" w:rsidRDefault="00470604" w:rsidP="00362FCD">
      <w:pPr>
        <w:pStyle w:val="ListParagraph"/>
        <w:numPr>
          <w:ilvl w:val="0"/>
          <w:numId w:val="3"/>
        </w:numPr>
        <w:spacing w:before="240" w:line="360" w:lineRule="auto"/>
      </w:pPr>
      <w:r>
        <w:t>hear an honest assessment of how the telcos are going about achieving their ambitious TIO complaint targets, and</w:t>
      </w:r>
    </w:p>
    <w:p w:rsidR="00470604" w:rsidRDefault="00470604" w:rsidP="00362FCD">
      <w:pPr>
        <w:pStyle w:val="ListParagraph"/>
        <w:numPr>
          <w:ilvl w:val="0"/>
          <w:numId w:val="3"/>
        </w:numPr>
        <w:spacing w:before="240" w:line="360" w:lineRule="auto"/>
      </w:pPr>
      <w:r>
        <w:t>have some concrete strategies on the table to make sure that in-app purchases aren’t the next mobile premium service scandal.</w:t>
      </w:r>
    </w:p>
    <w:p w:rsidR="00437616" w:rsidRDefault="00437616" w:rsidP="00362FCD">
      <w:pPr>
        <w:spacing w:before="240" w:line="360" w:lineRule="auto"/>
      </w:pPr>
      <w:r>
        <w:lastRenderedPageBreak/>
        <w:t>T</w:t>
      </w:r>
      <w:r w:rsidR="00470604">
        <w:t xml:space="preserve">hese changes will be </w:t>
      </w:r>
      <w:r>
        <w:t>achieved</w:t>
      </w:r>
      <w:r w:rsidR="00470604">
        <w:t xml:space="preserve"> through close collaboration between industry and consumers. </w:t>
      </w:r>
      <w:r>
        <w:t>So I’m also pleased to announce that o</w:t>
      </w:r>
      <w:r w:rsidR="00470604">
        <w:t>ver the next month I will be having conversations with industry about ACCAN’s Industry Engagement Framework which will be pub</w:t>
      </w:r>
      <w:r>
        <w:t>lished by the end of this year, and which will form the basis of a continuing st</w:t>
      </w:r>
      <w:r w:rsidR="00BE4C09">
        <w:t xml:space="preserve">rong relationship between ACCAN, the telecommunications </w:t>
      </w:r>
      <w:r>
        <w:t>industry and its representatives.</w:t>
      </w:r>
    </w:p>
    <w:p w:rsidR="00437616" w:rsidRPr="00470604" w:rsidRDefault="00437616" w:rsidP="00362FCD">
      <w:pPr>
        <w:spacing w:before="240" w:line="360" w:lineRule="auto"/>
      </w:pPr>
      <w:r>
        <w:t>Thank you.</w:t>
      </w:r>
    </w:p>
    <w:sectPr w:rsidR="00437616" w:rsidRPr="0047060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27D" w:rsidRDefault="000E127D" w:rsidP="001213AB">
      <w:pPr>
        <w:spacing w:after="0" w:line="240" w:lineRule="auto"/>
      </w:pPr>
      <w:r>
        <w:separator/>
      </w:r>
    </w:p>
  </w:endnote>
  <w:endnote w:type="continuationSeparator" w:id="0">
    <w:p w:rsidR="000E127D" w:rsidRDefault="000E127D" w:rsidP="0012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09995"/>
      <w:docPartObj>
        <w:docPartGallery w:val="Page Numbers (Bottom of Page)"/>
        <w:docPartUnique/>
      </w:docPartObj>
    </w:sdtPr>
    <w:sdtEndPr>
      <w:rPr>
        <w:noProof/>
      </w:rPr>
    </w:sdtEndPr>
    <w:sdtContent>
      <w:p w:rsidR="00154C7B" w:rsidRDefault="00154C7B">
        <w:pPr>
          <w:pStyle w:val="Footer"/>
          <w:jc w:val="right"/>
        </w:pPr>
        <w:r>
          <w:fldChar w:fldCharType="begin"/>
        </w:r>
        <w:r>
          <w:instrText xml:space="preserve"> PAGE   \* MERGEFORMAT </w:instrText>
        </w:r>
        <w:r>
          <w:fldChar w:fldCharType="separate"/>
        </w:r>
        <w:r w:rsidR="000E03A5">
          <w:rPr>
            <w:noProof/>
          </w:rPr>
          <w:t>3</w:t>
        </w:r>
        <w:r>
          <w:rPr>
            <w:noProof/>
          </w:rPr>
          <w:fldChar w:fldCharType="end"/>
        </w:r>
      </w:p>
    </w:sdtContent>
  </w:sdt>
  <w:p w:rsidR="00154C7B" w:rsidRDefault="00154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27D" w:rsidRDefault="000E127D" w:rsidP="001213AB">
      <w:pPr>
        <w:spacing w:after="0" w:line="240" w:lineRule="auto"/>
      </w:pPr>
      <w:r>
        <w:separator/>
      </w:r>
    </w:p>
  </w:footnote>
  <w:footnote w:type="continuationSeparator" w:id="0">
    <w:p w:rsidR="000E127D" w:rsidRDefault="000E127D" w:rsidP="001213AB">
      <w:pPr>
        <w:spacing w:after="0" w:line="240" w:lineRule="auto"/>
      </w:pPr>
      <w:r>
        <w:continuationSeparator/>
      </w:r>
    </w:p>
  </w:footnote>
  <w:footnote w:id="1">
    <w:p w:rsidR="00154C7B" w:rsidRPr="00E85C2C" w:rsidRDefault="00154C7B">
      <w:pPr>
        <w:pStyle w:val="FootnoteText"/>
        <w:rPr>
          <w:lang w:val="en-US"/>
        </w:rPr>
      </w:pPr>
      <w:r>
        <w:rPr>
          <w:rStyle w:val="FootnoteReference"/>
        </w:rPr>
        <w:footnoteRef/>
      </w:r>
      <w:r>
        <w:t xml:space="preserve"> </w:t>
      </w:r>
      <w:r w:rsidR="00D9767B">
        <w:rPr>
          <w:lang w:val="en-US"/>
        </w:rPr>
        <w:t>Chris Chapman Launch of Reconnecting the Customer Inquiry April 2010</w:t>
      </w:r>
    </w:p>
  </w:footnote>
  <w:footnote w:id="2">
    <w:p w:rsidR="00154C7B" w:rsidRDefault="00154C7B">
      <w:pPr>
        <w:pStyle w:val="FootnoteText"/>
      </w:pPr>
      <w:r>
        <w:rPr>
          <w:rStyle w:val="FootnoteReference"/>
        </w:rPr>
        <w:footnoteRef/>
      </w:r>
      <w:r>
        <w:t xml:space="preserve"> RTC published in Sept 2011 allowed 5 months to register code. Code registered in May 2012, which allowed a further 6 months for metrics. Metrics should have been done in November 2012 </w:t>
      </w:r>
    </w:p>
  </w:footnote>
  <w:footnote w:id="3">
    <w:p w:rsidR="00154C7B" w:rsidRDefault="00154C7B">
      <w:pPr>
        <w:pStyle w:val="FootnoteText"/>
      </w:pPr>
      <w:r>
        <w:rPr>
          <w:rStyle w:val="FootnoteReference"/>
        </w:rPr>
        <w:footnoteRef/>
      </w:r>
      <w:r>
        <w:t xml:space="preserve"> RTC Final Report p 3</w:t>
      </w:r>
    </w:p>
  </w:footnote>
  <w:footnote w:id="4">
    <w:p w:rsidR="00154C7B" w:rsidRDefault="00154C7B">
      <w:pPr>
        <w:pStyle w:val="FootnoteText"/>
      </w:pPr>
      <w:r>
        <w:rPr>
          <w:rStyle w:val="FootnoteReference"/>
        </w:rPr>
        <w:footnoteRef/>
      </w:r>
      <w:r>
        <w:t xml:space="preserve"> </w:t>
      </w:r>
      <w:r w:rsidRPr="00963A3D">
        <w:t>http://davidhavyatt.blogspot.com.au/2013/07/telcos-and-trust.html</w:t>
      </w:r>
    </w:p>
  </w:footnote>
  <w:footnote w:id="5">
    <w:p w:rsidR="00154C7B" w:rsidRPr="00E85C2C" w:rsidRDefault="00154C7B">
      <w:pPr>
        <w:pStyle w:val="FootnoteText"/>
        <w:rPr>
          <w:lang w:val="en-US"/>
        </w:rPr>
      </w:pPr>
      <w:r>
        <w:rPr>
          <w:rStyle w:val="FootnoteReference"/>
        </w:rPr>
        <w:footnoteRef/>
      </w:r>
      <w:r>
        <w:t xml:space="preserve"> TIO Quarterly Statistics </w:t>
      </w:r>
      <w:r w:rsidR="00362FCD">
        <w:t>January</w:t>
      </w:r>
      <w:r>
        <w:t>-</w:t>
      </w:r>
      <w:r w:rsidR="00362FCD">
        <w:t>March 2013</w:t>
      </w:r>
    </w:p>
  </w:footnote>
  <w:footnote w:id="6">
    <w:p w:rsidR="00154C7B" w:rsidRPr="00E85C2C" w:rsidRDefault="00154C7B">
      <w:pPr>
        <w:pStyle w:val="FootnoteText"/>
        <w:rPr>
          <w:lang w:val="en-US"/>
        </w:rPr>
      </w:pPr>
      <w:r>
        <w:rPr>
          <w:rStyle w:val="FootnoteReference"/>
        </w:rPr>
        <w:footnoteRef/>
      </w:r>
      <w:r>
        <w:t xml:space="preserve"> FOS Circular Autumn 2013, </w:t>
      </w:r>
      <w:r w:rsidR="00362FCD">
        <w:t>January-March 2013 Statistics update</w:t>
      </w:r>
    </w:p>
  </w:footnote>
  <w:footnote w:id="7">
    <w:p w:rsidR="00154C7B" w:rsidRPr="00154C7B" w:rsidRDefault="00154C7B">
      <w:pPr>
        <w:pStyle w:val="FootnoteText"/>
        <w:rPr>
          <w:lang w:val="en-US"/>
        </w:rPr>
      </w:pPr>
      <w:r>
        <w:rPr>
          <w:rStyle w:val="FootnoteReference"/>
        </w:rPr>
        <w:footnoteRef/>
      </w:r>
      <w:r>
        <w:t xml:space="preserve"> </w:t>
      </w:r>
      <w:hyperlink r:id="rId1" w:history="1">
        <w:r w:rsidRPr="00BC639B">
          <w:rPr>
            <w:rStyle w:val="Hyperlink"/>
          </w:rPr>
          <w:t>http://news.ninemsn.com.au/technology/2013/07/23/18/36/mobile-phone-customer-service-poor-report</w:t>
        </w:r>
      </w:hyperlink>
    </w:p>
  </w:footnote>
  <w:footnote w:id="8">
    <w:p w:rsidR="00154C7B" w:rsidRPr="00154C7B" w:rsidRDefault="00154C7B">
      <w:pPr>
        <w:pStyle w:val="FootnoteText"/>
        <w:rPr>
          <w:lang w:val="en-US"/>
        </w:rPr>
      </w:pPr>
      <w:r>
        <w:rPr>
          <w:rStyle w:val="FootnoteReference"/>
        </w:rPr>
        <w:footnoteRef/>
      </w:r>
      <w:r>
        <w:t xml:space="preserve"> </w:t>
      </w:r>
      <w:hyperlink r:id="rId2" w:history="1">
        <w:r w:rsidRPr="000847B3">
          <w:rPr>
            <w:rStyle w:val="Hyperlink"/>
          </w:rPr>
          <w:t>http://www.commsalliance.com.au/__data/assets/pdf_file/0019/40870/Customer-Satisfaction-Survey-June-2013.pdf</w:t>
        </w:r>
      </w:hyperlink>
      <w:r>
        <w:t xml:space="preserve"> and March 2013</w:t>
      </w:r>
    </w:p>
  </w:footnote>
  <w:footnote w:id="9">
    <w:p w:rsidR="00154C7B" w:rsidRPr="00154C7B" w:rsidRDefault="00154C7B">
      <w:pPr>
        <w:pStyle w:val="FootnoteText"/>
        <w:rPr>
          <w:lang w:val="en-US"/>
        </w:rPr>
      </w:pPr>
      <w:r>
        <w:rPr>
          <w:rStyle w:val="FootnoteReference"/>
        </w:rPr>
        <w:footnoteRef/>
      </w:r>
      <w:r>
        <w:t xml:space="preserve"> </w:t>
      </w:r>
      <w:hyperlink r:id="rId3" w:history="1">
        <w:r w:rsidRPr="000847B3">
          <w:rPr>
            <w:rStyle w:val="Hyperlink"/>
            <w:lang w:val="en-US"/>
          </w:rPr>
          <w:t>http://www.bankers.asn.au/Banks-in-Australia/Facts-and-Figures</w:t>
        </w:r>
      </w:hyperlink>
      <w:r>
        <w:rPr>
          <w:lang w:val="en-US"/>
        </w:rPr>
        <w:t xml:space="preserve">  Customers factsheet</w:t>
      </w:r>
    </w:p>
  </w:footnote>
  <w:footnote w:id="10">
    <w:p w:rsidR="00154C7B" w:rsidRDefault="00154C7B">
      <w:pPr>
        <w:pStyle w:val="FootnoteText"/>
      </w:pPr>
      <w:r>
        <w:rPr>
          <w:rStyle w:val="FootnoteReference"/>
        </w:rPr>
        <w:footnoteRef/>
      </w:r>
      <w:r>
        <w:t xml:space="preserve"> </w:t>
      </w:r>
      <w:hyperlink r:id="rId4" w:history="1">
        <w:r w:rsidRPr="00BC639B">
          <w:rPr>
            <w:rStyle w:val="Hyperlink"/>
          </w:rPr>
          <w:t>http://www.heraldsun.com.au/news/through-his-unwavering-commitment-to-customer-service-david-thodey-has-turned-telstras-fortunes-around/story-e6frf7jo-1226624795433</w:t>
        </w:r>
      </w:hyperlink>
      <w:r>
        <w:t xml:space="preserve"> </w:t>
      </w:r>
    </w:p>
  </w:footnote>
  <w:footnote w:id="11">
    <w:p w:rsidR="00154C7B" w:rsidRPr="00154C7B" w:rsidRDefault="00154C7B">
      <w:pPr>
        <w:pStyle w:val="FootnoteText"/>
        <w:rPr>
          <w:lang w:val="en-US"/>
        </w:rPr>
      </w:pPr>
      <w:r>
        <w:rPr>
          <w:rStyle w:val="FootnoteReference"/>
        </w:rPr>
        <w:footnoteRef/>
      </w:r>
      <w:r w:rsidR="00047D4A">
        <w:t xml:space="preserve"> See Origin Energy Sustainability Report 2011 </w:t>
      </w:r>
      <w:r w:rsidR="00047D4A">
        <w:rPr>
          <w:lang w:val="en-US"/>
        </w:rPr>
        <w:t xml:space="preserve"> </w:t>
      </w:r>
      <w:r w:rsidR="00047D4A" w:rsidRPr="00047D4A">
        <w:rPr>
          <w:lang w:val="en-US"/>
        </w:rPr>
        <w:t>http://reports.originenergy.com.au/2011/sustainability/key_targets/customers/</w:t>
      </w:r>
      <w:r w:rsidR="00047D4A">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390"/>
    <w:multiLevelType w:val="hybridMultilevel"/>
    <w:tmpl w:val="5100E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6953D3"/>
    <w:multiLevelType w:val="hybridMultilevel"/>
    <w:tmpl w:val="1E9A6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03E5537"/>
    <w:multiLevelType w:val="hybridMultilevel"/>
    <w:tmpl w:val="E8326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521BDF"/>
    <w:multiLevelType w:val="hybridMultilevel"/>
    <w:tmpl w:val="EBF6C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D2275E"/>
    <w:multiLevelType w:val="hybridMultilevel"/>
    <w:tmpl w:val="119A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A9E382F"/>
    <w:multiLevelType w:val="hybridMultilevel"/>
    <w:tmpl w:val="6768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59"/>
    <w:rsid w:val="000028C7"/>
    <w:rsid w:val="000257B8"/>
    <w:rsid w:val="00041991"/>
    <w:rsid w:val="00047D4A"/>
    <w:rsid w:val="00073A7B"/>
    <w:rsid w:val="0008128F"/>
    <w:rsid w:val="00096661"/>
    <w:rsid w:val="000A466D"/>
    <w:rsid w:val="000E03A5"/>
    <w:rsid w:val="000E127D"/>
    <w:rsid w:val="000E5224"/>
    <w:rsid w:val="0011066D"/>
    <w:rsid w:val="001213AB"/>
    <w:rsid w:val="00154C7B"/>
    <w:rsid w:val="001714A0"/>
    <w:rsid w:val="001723C1"/>
    <w:rsid w:val="00183580"/>
    <w:rsid w:val="001946CA"/>
    <w:rsid w:val="001959DB"/>
    <w:rsid w:val="001D60CA"/>
    <w:rsid w:val="001E0B2B"/>
    <w:rsid w:val="001E0C5B"/>
    <w:rsid w:val="00217BFF"/>
    <w:rsid w:val="00227E82"/>
    <w:rsid w:val="0026180B"/>
    <w:rsid w:val="0027757A"/>
    <w:rsid w:val="0029607F"/>
    <w:rsid w:val="002F1A14"/>
    <w:rsid w:val="00302EC1"/>
    <w:rsid w:val="003456D3"/>
    <w:rsid w:val="00362FCD"/>
    <w:rsid w:val="00366419"/>
    <w:rsid w:val="003709D8"/>
    <w:rsid w:val="00372364"/>
    <w:rsid w:val="003806BA"/>
    <w:rsid w:val="003835F7"/>
    <w:rsid w:val="00385117"/>
    <w:rsid w:val="003A6DF2"/>
    <w:rsid w:val="003B5119"/>
    <w:rsid w:val="003C5895"/>
    <w:rsid w:val="003D35F2"/>
    <w:rsid w:val="003E15F8"/>
    <w:rsid w:val="00405409"/>
    <w:rsid w:val="00416317"/>
    <w:rsid w:val="00437616"/>
    <w:rsid w:val="00470604"/>
    <w:rsid w:val="004800D9"/>
    <w:rsid w:val="004A1E09"/>
    <w:rsid w:val="004A60ED"/>
    <w:rsid w:val="004B2DF4"/>
    <w:rsid w:val="004B71CF"/>
    <w:rsid w:val="004E14FF"/>
    <w:rsid w:val="004E2637"/>
    <w:rsid w:val="004F2059"/>
    <w:rsid w:val="00541F42"/>
    <w:rsid w:val="0054625E"/>
    <w:rsid w:val="005662ED"/>
    <w:rsid w:val="00573D23"/>
    <w:rsid w:val="00577BA7"/>
    <w:rsid w:val="00587F3C"/>
    <w:rsid w:val="005A6776"/>
    <w:rsid w:val="00614D2C"/>
    <w:rsid w:val="0061702B"/>
    <w:rsid w:val="00641032"/>
    <w:rsid w:val="00643D27"/>
    <w:rsid w:val="00662CD6"/>
    <w:rsid w:val="006A6FA2"/>
    <w:rsid w:val="006C3482"/>
    <w:rsid w:val="006C38D2"/>
    <w:rsid w:val="006C4492"/>
    <w:rsid w:val="006E5F7F"/>
    <w:rsid w:val="006E65B7"/>
    <w:rsid w:val="00710473"/>
    <w:rsid w:val="007110C5"/>
    <w:rsid w:val="00744DF1"/>
    <w:rsid w:val="007514D5"/>
    <w:rsid w:val="007754C4"/>
    <w:rsid w:val="00787D46"/>
    <w:rsid w:val="007A47D8"/>
    <w:rsid w:val="007D77E8"/>
    <w:rsid w:val="007E6981"/>
    <w:rsid w:val="007E6BAA"/>
    <w:rsid w:val="007E7383"/>
    <w:rsid w:val="008226B2"/>
    <w:rsid w:val="00863BDE"/>
    <w:rsid w:val="008B0896"/>
    <w:rsid w:val="008C488C"/>
    <w:rsid w:val="008D7052"/>
    <w:rsid w:val="008D7594"/>
    <w:rsid w:val="008E5840"/>
    <w:rsid w:val="008F7DFB"/>
    <w:rsid w:val="00907856"/>
    <w:rsid w:val="00916BC0"/>
    <w:rsid w:val="00931EBC"/>
    <w:rsid w:val="00963A3D"/>
    <w:rsid w:val="00966AA5"/>
    <w:rsid w:val="0098338A"/>
    <w:rsid w:val="009E669E"/>
    <w:rsid w:val="00A44651"/>
    <w:rsid w:val="00A85490"/>
    <w:rsid w:val="00A972CA"/>
    <w:rsid w:val="00AA3A2D"/>
    <w:rsid w:val="00AB00D7"/>
    <w:rsid w:val="00AB21BF"/>
    <w:rsid w:val="00B04B09"/>
    <w:rsid w:val="00B50627"/>
    <w:rsid w:val="00B613EC"/>
    <w:rsid w:val="00B84227"/>
    <w:rsid w:val="00BC498A"/>
    <w:rsid w:val="00BC78CF"/>
    <w:rsid w:val="00BE4C09"/>
    <w:rsid w:val="00C7351E"/>
    <w:rsid w:val="00CC39D1"/>
    <w:rsid w:val="00CE7AEB"/>
    <w:rsid w:val="00CF4D1F"/>
    <w:rsid w:val="00D11EA2"/>
    <w:rsid w:val="00D13D67"/>
    <w:rsid w:val="00D3019C"/>
    <w:rsid w:val="00D77A6E"/>
    <w:rsid w:val="00D9767B"/>
    <w:rsid w:val="00DB0996"/>
    <w:rsid w:val="00DE216B"/>
    <w:rsid w:val="00DE6E4A"/>
    <w:rsid w:val="00DF19D4"/>
    <w:rsid w:val="00E15C23"/>
    <w:rsid w:val="00E360E2"/>
    <w:rsid w:val="00E55E02"/>
    <w:rsid w:val="00E85C2C"/>
    <w:rsid w:val="00EC057E"/>
    <w:rsid w:val="00EC38EA"/>
    <w:rsid w:val="00F1373D"/>
    <w:rsid w:val="00F14377"/>
    <w:rsid w:val="00F4045C"/>
    <w:rsid w:val="00F636CA"/>
    <w:rsid w:val="00F65C8E"/>
    <w:rsid w:val="00FB2AEA"/>
    <w:rsid w:val="00FC57CB"/>
    <w:rsid w:val="00FE0D91"/>
    <w:rsid w:val="00FF0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AB"/>
    <w:pPr>
      <w:ind w:left="720"/>
      <w:contextualSpacing/>
    </w:pPr>
  </w:style>
  <w:style w:type="paragraph" w:styleId="FootnoteText">
    <w:name w:val="footnote text"/>
    <w:basedOn w:val="Normal"/>
    <w:link w:val="FootnoteTextChar"/>
    <w:uiPriority w:val="99"/>
    <w:unhideWhenUsed/>
    <w:rsid w:val="001213AB"/>
    <w:pPr>
      <w:spacing w:after="0" w:line="240" w:lineRule="auto"/>
    </w:pPr>
    <w:rPr>
      <w:sz w:val="20"/>
      <w:szCs w:val="20"/>
    </w:rPr>
  </w:style>
  <w:style w:type="character" w:customStyle="1" w:styleId="FootnoteTextChar">
    <w:name w:val="Footnote Text Char"/>
    <w:basedOn w:val="DefaultParagraphFont"/>
    <w:link w:val="FootnoteText"/>
    <w:uiPriority w:val="99"/>
    <w:rsid w:val="001213AB"/>
    <w:rPr>
      <w:sz w:val="20"/>
      <w:szCs w:val="20"/>
    </w:rPr>
  </w:style>
  <w:style w:type="character" w:styleId="FootnoteReference">
    <w:name w:val="footnote reference"/>
    <w:basedOn w:val="DefaultParagraphFont"/>
    <w:uiPriority w:val="99"/>
    <w:unhideWhenUsed/>
    <w:rsid w:val="001213AB"/>
    <w:rPr>
      <w:vertAlign w:val="superscript"/>
    </w:rPr>
  </w:style>
  <w:style w:type="table" w:styleId="TableGrid">
    <w:name w:val="Table Grid"/>
    <w:basedOn w:val="TableNormal"/>
    <w:uiPriority w:val="59"/>
    <w:rsid w:val="008B0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B0896"/>
    <w:rPr>
      <w:b/>
      <w:bCs/>
    </w:rPr>
  </w:style>
  <w:style w:type="paragraph" w:styleId="BalloonText">
    <w:name w:val="Balloon Text"/>
    <w:basedOn w:val="Normal"/>
    <w:link w:val="BalloonTextChar"/>
    <w:uiPriority w:val="99"/>
    <w:semiHidden/>
    <w:unhideWhenUsed/>
    <w:rsid w:val="008C4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8C"/>
    <w:rPr>
      <w:rFonts w:ascii="Tahoma" w:hAnsi="Tahoma" w:cs="Tahoma"/>
      <w:sz w:val="16"/>
      <w:szCs w:val="16"/>
    </w:rPr>
  </w:style>
  <w:style w:type="table" w:styleId="ColorfulShading-Accent6">
    <w:name w:val="Colorful Shading Accent 6"/>
    <w:basedOn w:val="TableNormal"/>
    <w:uiPriority w:val="71"/>
    <w:rsid w:val="000028C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577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BA7"/>
  </w:style>
  <w:style w:type="paragraph" w:styleId="Footer">
    <w:name w:val="footer"/>
    <w:basedOn w:val="Normal"/>
    <w:link w:val="FooterChar"/>
    <w:uiPriority w:val="99"/>
    <w:unhideWhenUsed/>
    <w:rsid w:val="00577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BA7"/>
  </w:style>
  <w:style w:type="character" w:styleId="CommentReference">
    <w:name w:val="annotation reference"/>
    <w:basedOn w:val="DefaultParagraphFont"/>
    <w:uiPriority w:val="99"/>
    <w:semiHidden/>
    <w:unhideWhenUsed/>
    <w:rsid w:val="00614D2C"/>
    <w:rPr>
      <w:sz w:val="16"/>
      <w:szCs w:val="16"/>
    </w:rPr>
  </w:style>
  <w:style w:type="paragraph" w:styleId="CommentText">
    <w:name w:val="annotation text"/>
    <w:basedOn w:val="Normal"/>
    <w:link w:val="CommentTextChar"/>
    <w:uiPriority w:val="99"/>
    <w:semiHidden/>
    <w:unhideWhenUsed/>
    <w:rsid w:val="00614D2C"/>
    <w:pPr>
      <w:spacing w:line="240" w:lineRule="auto"/>
    </w:pPr>
    <w:rPr>
      <w:sz w:val="20"/>
      <w:szCs w:val="20"/>
    </w:rPr>
  </w:style>
  <w:style w:type="character" w:customStyle="1" w:styleId="CommentTextChar">
    <w:name w:val="Comment Text Char"/>
    <w:basedOn w:val="DefaultParagraphFont"/>
    <w:link w:val="CommentText"/>
    <w:uiPriority w:val="99"/>
    <w:semiHidden/>
    <w:rsid w:val="00614D2C"/>
    <w:rPr>
      <w:sz w:val="20"/>
      <w:szCs w:val="20"/>
    </w:rPr>
  </w:style>
  <w:style w:type="paragraph" w:styleId="CommentSubject">
    <w:name w:val="annotation subject"/>
    <w:basedOn w:val="CommentText"/>
    <w:next w:val="CommentText"/>
    <w:link w:val="CommentSubjectChar"/>
    <w:uiPriority w:val="99"/>
    <w:semiHidden/>
    <w:unhideWhenUsed/>
    <w:rsid w:val="00614D2C"/>
    <w:rPr>
      <w:b/>
      <w:bCs/>
    </w:rPr>
  </w:style>
  <w:style w:type="character" w:customStyle="1" w:styleId="CommentSubjectChar">
    <w:name w:val="Comment Subject Char"/>
    <w:basedOn w:val="CommentTextChar"/>
    <w:link w:val="CommentSubject"/>
    <w:uiPriority w:val="99"/>
    <w:semiHidden/>
    <w:rsid w:val="00614D2C"/>
    <w:rPr>
      <w:b/>
      <w:bCs/>
      <w:sz w:val="20"/>
      <w:szCs w:val="20"/>
    </w:rPr>
  </w:style>
  <w:style w:type="character" w:styleId="Hyperlink">
    <w:name w:val="Hyperlink"/>
    <w:basedOn w:val="DefaultParagraphFont"/>
    <w:uiPriority w:val="99"/>
    <w:unhideWhenUsed/>
    <w:rsid w:val="007E6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AB"/>
    <w:pPr>
      <w:ind w:left="720"/>
      <w:contextualSpacing/>
    </w:pPr>
  </w:style>
  <w:style w:type="paragraph" w:styleId="FootnoteText">
    <w:name w:val="footnote text"/>
    <w:basedOn w:val="Normal"/>
    <w:link w:val="FootnoteTextChar"/>
    <w:uiPriority w:val="99"/>
    <w:unhideWhenUsed/>
    <w:rsid w:val="001213AB"/>
    <w:pPr>
      <w:spacing w:after="0" w:line="240" w:lineRule="auto"/>
    </w:pPr>
    <w:rPr>
      <w:sz w:val="20"/>
      <w:szCs w:val="20"/>
    </w:rPr>
  </w:style>
  <w:style w:type="character" w:customStyle="1" w:styleId="FootnoteTextChar">
    <w:name w:val="Footnote Text Char"/>
    <w:basedOn w:val="DefaultParagraphFont"/>
    <w:link w:val="FootnoteText"/>
    <w:uiPriority w:val="99"/>
    <w:rsid w:val="001213AB"/>
    <w:rPr>
      <w:sz w:val="20"/>
      <w:szCs w:val="20"/>
    </w:rPr>
  </w:style>
  <w:style w:type="character" w:styleId="FootnoteReference">
    <w:name w:val="footnote reference"/>
    <w:basedOn w:val="DefaultParagraphFont"/>
    <w:uiPriority w:val="99"/>
    <w:unhideWhenUsed/>
    <w:rsid w:val="001213AB"/>
    <w:rPr>
      <w:vertAlign w:val="superscript"/>
    </w:rPr>
  </w:style>
  <w:style w:type="table" w:styleId="TableGrid">
    <w:name w:val="Table Grid"/>
    <w:basedOn w:val="TableNormal"/>
    <w:uiPriority w:val="59"/>
    <w:rsid w:val="008B0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B0896"/>
    <w:rPr>
      <w:b/>
      <w:bCs/>
    </w:rPr>
  </w:style>
  <w:style w:type="paragraph" w:styleId="BalloonText">
    <w:name w:val="Balloon Text"/>
    <w:basedOn w:val="Normal"/>
    <w:link w:val="BalloonTextChar"/>
    <w:uiPriority w:val="99"/>
    <w:semiHidden/>
    <w:unhideWhenUsed/>
    <w:rsid w:val="008C4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8C"/>
    <w:rPr>
      <w:rFonts w:ascii="Tahoma" w:hAnsi="Tahoma" w:cs="Tahoma"/>
      <w:sz w:val="16"/>
      <w:szCs w:val="16"/>
    </w:rPr>
  </w:style>
  <w:style w:type="table" w:styleId="ColorfulShading-Accent6">
    <w:name w:val="Colorful Shading Accent 6"/>
    <w:basedOn w:val="TableNormal"/>
    <w:uiPriority w:val="71"/>
    <w:rsid w:val="000028C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577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BA7"/>
  </w:style>
  <w:style w:type="paragraph" w:styleId="Footer">
    <w:name w:val="footer"/>
    <w:basedOn w:val="Normal"/>
    <w:link w:val="FooterChar"/>
    <w:uiPriority w:val="99"/>
    <w:unhideWhenUsed/>
    <w:rsid w:val="00577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BA7"/>
  </w:style>
  <w:style w:type="character" w:styleId="CommentReference">
    <w:name w:val="annotation reference"/>
    <w:basedOn w:val="DefaultParagraphFont"/>
    <w:uiPriority w:val="99"/>
    <w:semiHidden/>
    <w:unhideWhenUsed/>
    <w:rsid w:val="00614D2C"/>
    <w:rPr>
      <w:sz w:val="16"/>
      <w:szCs w:val="16"/>
    </w:rPr>
  </w:style>
  <w:style w:type="paragraph" w:styleId="CommentText">
    <w:name w:val="annotation text"/>
    <w:basedOn w:val="Normal"/>
    <w:link w:val="CommentTextChar"/>
    <w:uiPriority w:val="99"/>
    <w:semiHidden/>
    <w:unhideWhenUsed/>
    <w:rsid w:val="00614D2C"/>
    <w:pPr>
      <w:spacing w:line="240" w:lineRule="auto"/>
    </w:pPr>
    <w:rPr>
      <w:sz w:val="20"/>
      <w:szCs w:val="20"/>
    </w:rPr>
  </w:style>
  <w:style w:type="character" w:customStyle="1" w:styleId="CommentTextChar">
    <w:name w:val="Comment Text Char"/>
    <w:basedOn w:val="DefaultParagraphFont"/>
    <w:link w:val="CommentText"/>
    <w:uiPriority w:val="99"/>
    <w:semiHidden/>
    <w:rsid w:val="00614D2C"/>
    <w:rPr>
      <w:sz w:val="20"/>
      <w:szCs w:val="20"/>
    </w:rPr>
  </w:style>
  <w:style w:type="paragraph" w:styleId="CommentSubject">
    <w:name w:val="annotation subject"/>
    <w:basedOn w:val="CommentText"/>
    <w:next w:val="CommentText"/>
    <w:link w:val="CommentSubjectChar"/>
    <w:uiPriority w:val="99"/>
    <w:semiHidden/>
    <w:unhideWhenUsed/>
    <w:rsid w:val="00614D2C"/>
    <w:rPr>
      <w:b/>
      <w:bCs/>
    </w:rPr>
  </w:style>
  <w:style w:type="character" w:customStyle="1" w:styleId="CommentSubjectChar">
    <w:name w:val="Comment Subject Char"/>
    <w:basedOn w:val="CommentTextChar"/>
    <w:link w:val="CommentSubject"/>
    <w:uiPriority w:val="99"/>
    <w:semiHidden/>
    <w:rsid w:val="00614D2C"/>
    <w:rPr>
      <w:b/>
      <w:bCs/>
      <w:sz w:val="20"/>
      <w:szCs w:val="20"/>
    </w:rPr>
  </w:style>
  <w:style w:type="character" w:styleId="Hyperlink">
    <w:name w:val="Hyperlink"/>
    <w:basedOn w:val="DefaultParagraphFont"/>
    <w:uiPriority w:val="99"/>
    <w:unhideWhenUsed/>
    <w:rsid w:val="007E6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5191">
      <w:bodyDiv w:val="1"/>
      <w:marLeft w:val="0"/>
      <w:marRight w:val="0"/>
      <w:marTop w:val="0"/>
      <w:marBottom w:val="0"/>
      <w:divBdr>
        <w:top w:val="none" w:sz="0" w:space="0" w:color="auto"/>
        <w:left w:val="none" w:sz="0" w:space="0" w:color="auto"/>
        <w:bottom w:val="none" w:sz="0" w:space="0" w:color="auto"/>
        <w:right w:val="none" w:sz="0" w:space="0" w:color="auto"/>
      </w:divBdr>
      <w:divsChild>
        <w:div w:id="1928419734">
          <w:marLeft w:val="0"/>
          <w:marRight w:val="0"/>
          <w:marTop w:val="0"/>
          <w:marBottom w:val="0"/>
          <w:divBdr>
            <w:top w:val="none" w:sz="0" w:space="0" w:color="auto"/>
            <w:left w:val="none" w:sz="0" w:space="0" w:color="auto"/>
            <w:bottom w:val="none" w:sz="0" w:space="0" w:color="auto"/>
            <w:right w:val="none" w:sz="0" w:space="0" w:color="auto"/>
          </w:divBdr>
        </w:div>
        <w:div w:id="90053616">
          <w:marLeft w:val="0"/>
          <w:marRight w:val="0"/>
          <w:marTop w:val="0"/>
          <w:marBottom w:val="0"/>
          <w:divBdr>
            <w:top w:val="none" w:sz="0" w:space="0" w:color="auto"/>
            <w:left w:val="none" w:sz="0" w:space="0" w:color="auto"/>
            <w:bottom w:val="none" w:sz="0" w:space="0" w:color="auto"/>
            <w:right w:val="none" w:sz="0" w:space="0" w:color="auto"/>
          </w:divBdr>
        </w:div>
        <w:div w:id="1338577184">
          <w:marLeft w:val="0"/>
          <w:marRight w:val="0"/>
          <w:marTop w:val="0"/>
          <w:marBottom w:val="0"/>
          <w:divBdr>
            <w:top w:val="none" w:sz="0" w:space="0" w:color="auto"/>
            <w:left w:val="none" w:sz="0" w:space="0" w:color="auto"/>
            <w:bottom w:val="none" w:sz="0" w:space="0" w:color="auto"/>
            <w:right w:val="none" w:sz="0" w:space="0" w:color="auto"/>
          </w:divBdr>
        </w:div>
        <w:div w:id="322242881">
          <w:marLeft w:val="0"/>
          <w:marRight w:val="0"/>
          <w:marTop w:val="0"/>
          <w:marBottom w:val="0"/>
          <w:divBdr>
            <w:top w:val="none" w:sz="0" w:space="0" w:color="auto"/>
            <w:left w:val="none" w:sz="0" w:space="0" w:color="auto"/>
            <w:bottom w:val="none" w:sz="0" w:space="0" w:color="auto"/>
            <w:right w:val="none" w:sz="0" w:space="0" w:color="auto"/>
          </w:divBdr>
        </w:div>
      </w:divsChild>
    </w:div>
    <w:div w:id="354505909">
      <w:bodyDiv w:val="1"/>
      <w:marLeft w:val="0"/>
      <w:marRight w:val="0"/>
      <w:marTop w:val="0"/>
      <w:marBottom w:val="0"/>
      <w:divBdr>
        <w:top w:val="none" w:sz="0" w:space="0" w:color="auto"/>
        <w:left w:val="none" w:sz="0" w:space="0" w:color="auto"/>
        <w:bottom w:val="none" w:sz="0" w:space="0" w:color="auto"/>
        <w:right w:val="none" w:sz="0" w:space="0" w:color="auto"/>
      </w:divBdr>
      <w:divsChild>
        <w:div w:id="963973120">
          <w:marLeft w:val="0"/>
          <w:marRight w:val="0"/>
          <w:marTop w:val="0"/>
          <w:marBottom w:val="0"/>
          <w:divBdr>
            <w:top w:val="none" w:sz="0" w:space="0" w:color="auto"/>
            <w:left w:val="none" w:sz="0" w:space="0" w:color="auto"/>
            <w:bottom w:val="none" w:sz="0" w:space="0" w:color="auto"/>
            <w:right w:val="none" w:sz="0" w:space="0" w:color="auto"/>
          </w:divBdr>
        </w:div>
        <w:div w:id="1783955458">
          <w:marLeft w:val="0"/>
          <w:marRight w:val="0"/>
          <w:marTop w:val="0"/>
          <w:marBottom w:val="0"/>
          <w:divBdr>
            <w:top w:val="none" w:sz="0" w:space="0" w:color="auto"/>
            <w:left w:val="none" w:sz="0" w:space="0" w:color="auto"/>
            <w:bottom w:val="none" w:sz="0" w:space="0" w:color="auto"/>
            <w:right w:val="none" w:sz="0" w:space="0" w:color="auto"/>
          </w:divBdr>
        </w:div>
        <w:div w:id="1569145704">
          <w:marLeft w:val="0"/>
          <w:marRight w:val="0"/>
          <w:marTop w:val="0"/>
          <w:marBottom w:val="0"/>
          <w:divBdr>
            <w:top w:val="none" w:sz="0" w:space="0" w:color="auto"/>
            <w:left w:val="none" w:sz="0" w:space="0" w:color="auto"/>
            <w:bottom w:val="none" w:sz="0" w:space="0" w:color="auto"/>
            <w:right w:val="none" w:sz="0" w:space="0" w:color="auto"/>
          </w:divBdr>
        </w:div>
        <w:div w:id="125511220">
          <w:marLeft w:val="0"/>
          <w:marRight w:val="0"/>
          <w:marTop w:val="0"/>
          <w:marBottom w:val="0"/>
          <w:divBdr>
            <w:top w:val="none" w:sz="0" w:space="0" w:color="auto"/>
            <w:left w:val="none" w:sz="0" w:space="0" w:color="auto"/>
            <w:bottom w:val="none" w:sz="0" w:space="0" w:color="auto"/>
            <w:right w:val="none" w:sz="0" w:space="0" w:color="auto"/>
          </w:divBdr>
        </w:div>
        <w:div w:id="737214646">
          <w:marLeft w:val="0"/>
          <w:marRight w:val="0"/>
          <w:marTop w:val="0"/>
          <w:marBottom w:val="0"/>
          <w:divBdr>
            <w:top w:val="none" w:sz="0" w:space="0" w:color="auto"/>
            <w:left w:val="none" w:sz="0" w:space="0" w:color="auto"/>
            <w:bottom w:val="none" w:sz="0" w:space="0" w:color="auto"/>
            <w:right w:val="none" w:sz="0" w:space="0" w:color="auto"/>
          </w:divBdr>
        </w:div>
        <w:div w:id="1615205975">
          <w:marLeft w:val="0"/>
          <w:marRight w:val="0"/>
          <w:marTop w:val="0"/>
          <w:marBottom w:val="0"/>
          <w:divBdr>
            <w:top w:val="none" w:sz="0" w:space="0" w:color="auto"/>
            <w:left w:val="none" w:sz="0" w:space="0" w:color="auto"/>
            <w:bottom w:val="none" w:sz="0" w:space="0" w:color="auto"/>
            <w:right w:val="none" w:sz="0" w:space="0" w:color="auto"/>
          </w:divBdr>
        </w:div>
      </w:divsChild>
    </w:div>
    <w:div w:id="1342856599">
      <w:bodyDiv w:val="1"/>
      <w:marLeft w:val="0"/>
      <w:marRight w:val="0"/>
      <w:marTop w:val="0"/>
      <w:marBottom w:val="0"/>
      <w:divBdr>
        <w:top w:val="none" w:sz="0" w:space="0" w:color="auto"/>
        <w:left w:val="none" w:sz="0" w:space="0" w:color="auto"/>
        <w:bottom w:val="none" w:sz="0" w:space="0" w:color="auto"/>
        <w:right w:val="none" w:sz="0" w:space="0" w:color="auto"/>
      </w:divBdr>
      <w:divsChild>
        <w:div w:id="1518471306">
          <w:marLeft w:val="0"/>
          <w:marRight w:val="0"/>
          <w:marTop w:val="0"/>
          <w:marBottom w:val="0"/>
          <w:divBdr>
            <w:top w:val="none" w:sz="0" w:space="0" w:color="auto"/>
            <w:left w:val="none" w:sz="0" w:space="0" w:color="auto"/>
            <w:bottom w:val="none" w:sz="0" w:space="0" w:color="auto"/>
            <w:right w:val="none" w:sz="0" w:space="0" w:color="auto"/>
          </w:divBdr>
        </w:div>
        <w:div w:id="661664581">
          <w:marLeft w:val="0"/>
          <w:marRight w:val="0"/>
          <w:marTop w:val="0"/>
          <w:marBottom w:val="0"/>
          <w:divBdr>
            <w:top w:val="none" w:sz="0" w:space="0" w:color="auto"/>
            <w:left w:val="none" w:sz="0" w:space="0" w:color="auto"/>
            <w:bottom w:val="none" w:sz="0" w:space="0" w:color="auto"/>
            <w:right w:val="none" w:sz="0" w:space="0" w:color="auto"/>
          </w:divBdr>
        </w:div>
        <w:div w:id="14892155">
          <w:marLeft w:val="0"/>
          <w:marRight w:val="0"/>
          <w:marTop w:val="0"/>
          <w:marBottom w:val="0"/>
          <w:divBdr>
            <w:top w:val="none" w:sz="0" w:space="0" w:color="auto"/>
            <w:left w:val="none" w:sz="0" w:space="0" w:color="auto"/>
            <w:bottom w:val="none" w:sz="0" w:space="0" w:color="auto"/>
            <w:right w:val="none" w:sz="0" w:space="0" w:color="auto"/>
          </w:divBdr>
        </w:div>
        <w:div w:id="1393311112">
          <w:marLeft w:val="0"/>
          <w:marRight w:val="0"/>
          <w:marTop w:val="0"/>
          <w:marBottom w:val="0"/>
          <w:divBdr>
            <w:top w:val="none" w:sz="0" w:space="0" w:color="auto"/>
            <w:left w:val="none" w:sz="0" w:space="0" w:color="auto"/>
            <w:bottom w:val="none" w:sz="0" w:space="0" w:color="auto"/>
            <w:right w:val="none" w:sz="0" w:space="0" w:color="auto"/>
          </w:divBdr>
        </w:div>
        <w:div w:id="884173282">
          <w:marLeft w:val="0"/>
          <w:marRight w:val="0"/>
          <w:marTop w:val="0"/>
          <w:marBottom w:val="0"/>
          <w:divBdr>
            <w:top w:val="none" w:sz="0" w:space="0" w:color="auto"/>
            <w:left w:val="none" w:sz="0" w:space="0" w:color="auto"/>
            <w:bottom w:val="none" w:sz="0" w:space="0" w:color="auto"/>
            <w:right w:val="none" w:sz="0" w:space="0" w:color="auto"/>
          </w:divBdr>
        </w:div>
        <w:div w:id="639774215">
          <w:marLeft w:val="0"/>
          <w:marRight w:val="0"/>
          <w:marTop w:val="0"/>
          <w:marBottom w:val="0"/>
          <w:divBdr>
            <w:top w:val="none" w:sz="0" w:space="0" w:color="auto"/>
            <w:left w:val="none" w:sz="0" w:space="0" w:color="auto"/>
            <w:bottom w:val="none" w:sz="0" w:space="0" w:color="auto"/>
            <w:right w:val="none" w:sz="0" w:space="0" w:color="auto"/>
          </w:divBdr>
        </w:div>
      </w:divsChild>
    </w:div>
    <w:div w:id="1675186136">
      <w:bodyDiv w:val="1"/>
      <w:marLeft w:val="0"/>
      <w:marRight w:val="0"/>
      <w:marTop w:val="0"/>
      <w:marBottom w:val="0"/>
      <w:divBdr>
        <w:top w:val="none" w:sz="0" w:space="0" w:color="auto"/>
        <w:left w:val="none" w:sz="0" w:space="0" w:color="auto"/>
        <w:bottom w:val="none" w:sz="0" w:space="0" w:color="auto"/>
        <w:right w:val="none" w:sz="0" w:space="0" w:color="auto"/>
      </w:divBdr>
    </w:div>
    <w:div w:id="20932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www.bankers.asn.au/Banks-in-Australia/Facts-and-Figures" TargetMode="External"/><Relationship Id="rId2" Type="http://schemas.openxmlformats.org/officeDocument/2006/relationships/hyperlink" Target="http://www.commsalliance.com.au/__data/assets/pdf_file/0019/40870/Customer-Satisfaction-Survey-June-2013.pdf" TargetMode="External"/><Relationship Id="rId1" Type="http://schemas.openxmlformats.org/officeDocument/2006/relationships/hyperlink" Target="http://news.ninemsn.com.au/technology/2013/07/23/18/36/mobile-phone-customer-service-poor-report" TargetMode="External"/><Relationship Id="rId4" Type="http://schemas.openxmlformats.org/officeDocument/2006/relationships/hyperlink" Target="http://www.heraldsun.com.au/news/through-his-unwavering-commitment-to-customer-service-david-thodey-has-turned-telstras-fortunes-around/story-e6frf7jo-122662479543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AU" sz="1200" dirty="0"/>
              <a:t>Customer Complaints to Ombudsman </a:t>
            </a:r>
          </a:p>
          <a:p>
            <a:pPr>
              <a:defRPr/>
            </a:pPr>
            <a:r>
              <a:rPr lang="en-AU" sz="1200" dirty="0" smtClean="0"/>
              <a:t>January-March 2013</a:t>
            </a:r>
            <a:endParaRPr lang="en-AU" sz="1200" dirty="0"/>
          </a:p>
        </c:rich>
      </c:tx>
      <c:overlay val="0"/>
    </c:title>
    <c:autoTitleDeleted val="0"/>
    <c:plotArea>
      <c:layout/>
      <c:barChart>
        <c:barDir val="col"/>
        <c:grouping val="clustered"/>
        <c:varyColors val="0"/>
        <c:ser>
          <c:idx val="0"/>
          <c:order val="0"/>
          <c:tx>
            <c:strRef>
              <c:f>Sheet1!$B$1</c:f>
              <c:strCache>
                <c:ptCount val="1"/>
                <c:pt idx="0">
                  <c:v>Customer Complaints to Ombudsman (Last quarter 2012)</c:v>
                </c:pt>
              </c:strCache>
            </c:strRef>
          </c:tx>
          <c:invertIfNegative val="0"/>
          <c:dLbls>
            <c:txPr>
              <a:bodyPr/>
              <a:lstStyle/>
              <a:p>
                <a:pPr>
                  <a:defRPr sz="1000" baseline="0"/>
                </a:pPr>
                <a:endParaRPr lang="en-US"/>
              </a:p>
            </c:txPr>
            <c:showLegendKey val="0"/>
            <c:showVal val="1"/>
            <c:showCatName val="0"/>
            <c:showSerName val="0"/>
            <c:showPercent val="0"/>
            <c:showBubbleSize val="0"/>
            <c:showLeaderLines val="0"/>
          </c:dLbls>
          <c:cat>
            <c:strRef>
              <c:f>Sheet1!$A$2:$A$5</c:f>
              <c:strCache>
                <c:ptCount val="4"/>
                <c:pt idx="0">
                  <c:v>Optus</c:v>
                </c:pt>
                <c:pt idx="1">
                  <c:v>Telstra</c:v>
                </c:pt>
                <c:pt idx="2">
                  <c:v>Vodafone</c:v>
                </c:pt>
                <c:pt idx="3">
                  <c:v>All Financial Service providers</c:v>
                </c:pt>
              </c:strCache>
            </c:strRef>
          </c:cat>
          <c:val>
            <c:numRef>
              <c:f>Sheet1!$B$2:$B$5</c:f>
              <c:numCache>
                <c:formatCode>General</c:formatCode>
                <c:ptCount val="4"/>
                <c:pt idx="0">
                  <c:v>6135</c:v>
                </c:pt>
                <c:pt idx="1">
                  <c:v>14579</c:v>
                </c:pt>
                <c:pt idx="2">
                  <c:v>10368</c:v>
                </c:pt>
                <c:pt idx="3">
                  <c:v>7720</c:v>
                </c:pt>
              </c:numCache>
            </c:numRef>
          </c:val>
        </c:ser>
        <c:dLbls>
          <c:showLegendKey val="0"/>
          <c:showVal val="0"/>
          <c:showCatName val="0"/>
          <c:showSerName val="0"/>
          <c:showPercent val="0"/>
          <c:showBubbleSize val="0"/>
        </c:dLbls>
        <c:gapWidth val="150"/>
        <c:axId val="133001600"/>
        <c:axId val="133003520"/>
      </c:barChart>
      <c:catAx>
        <c:axId val="133001600"/>
        <c:scaling>
          <c:orientation val="minMax"/>
        </c:scaling>
        <c:delete val="0"/>
        <c:axPos val="b"/>
        <c:majorTickMark val="out"/>
        <c:minorTickMark val="none"/>
        <c:tickLblPos val="nextTo"/>
        <c:txPr>
          <a:bodyPr/>
          <a:lstStyle/>
          <a:p>
            <a:pPr>
              <a:defRPr sz="1000" baseline="0"/>
            </a:pPr>
            <a:endParaRPr lang="en-US"/>
          </a:p>
        </c:txPr>
        <c:crossAx val="133003520"/>
        <c:crosses val="autoZero"/>
        <c:auto val="1"/>
        <c:lblAlgn val="ctr"/>
        <c:lblOffset val="100"/>
        <c:noMultiLvlLbl val="0"/>
      </c:catAx>
      <c:valAx>
        <c:axId val="133003520"/>
        <c:scaling>
          <c:orientation val="minMax"/>
        </c:scaling>
        <c:delete val="0"/>
        <c:axPos val="l"/>
        <c:majorGridlines/>
        <c:numFmt formatCode="General" sourceLinked="1"/>
        <c:majorTickMark val="out"/>
        <c:minorTickMark val="none"/>
        <c:tickLblPos val="nextTo"/>
        <c:txPr>
          <a:bodyPr/>
          <a:lstStyle/>
          <a:p>
            <a:pPr>
              <a:defRPr sz="1000" baseline="0"/>
            </a:pPr>
            <a:endParaRPr lang="en-US"/>
          </a:p>
        </c:txPr>
        <c:crossAx val="133001600"/>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3DFA-7D61-4EF4-B546-EEACECA2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Freeman</dc:creator>
  <cp:lastModifiedBy>Richard Van Der Male</cp:lastModifiedBy>
  <cp:revision>2</cp:revision>
  <cp:lastPrinted>2013-10-01T05:18:00Z</cp:lastPrinted>
  <dcterms:created xsi:type="dcterms:W3CDTF">2013-10-08T05:44:00Z</dcterms:created>
  <dcterms:modified xsi:type="dcterms:W3CDTF">2013-10-08T05:44:00Z</dcterms:modified>
</cp:coreProperties>
</file>