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57" w:rsidRDefault="005B7A57" w:rsidP="005B7A57">
      <w:pPr>
        <w:pStyle w:val="Heading1"/>
        <w:spacing w:before="0" w:after="240"/>
      </w:pPr>
      <w:r>
        <w:t>BCR consultation on regional NBN funding</w:t>
      </w:r>
    </w:p>
    <w:p w:rsidR="000E1DD9" w:rsidRDefault="005D630E" w:rsidP="000E1DD9">
      <w:r>
        <w:t xml:space="preserve">The Bureau of Communications Research (BCR), a </w:t>
      </w:r>
      <w:r w:rsidR="003F47CF">
        <w:t>unit</w:t>
      </w:r>
      <w:r>
        <w:t xml:space="preserve"> established last year in the </w:t>
      </w:r>
      <w:r w:rsidR="00AE215A">
        <w:t>D</w:t>
      </w:r>
      <w:r>
        <w:t xml:space="preserve">epartment of Communications and </w:t>
      </w:r>
      <w:r w:rsidR="00DC2E72">
        <w:t xml:space="preserve">the </w:t>
      </w:r>
      <w:r>
        <w:t xml:space="preserve">Arts, was asked </w:t>
      </w:r>
      <w:r w:rsidR="00AE215A">
        <w:t xml:space="preserve">by the Government </w:t>
      </w:r>
      <w:r>
        <w:t xml:space="preserve">to consider the funding of the National Broadband Network (NBN) to regional Australia. </w:t>
      </w:r>
      <w:r w:rsidR="000E1DD9">
        <w:t xml:space="preserve">The initial policy arrangement saw nbn funding the services, covering any losses internally from other areas of the network. The Government policy now is to distribute the cost further than the nbn network. </w:t>
      </w:r>
    </w:p>
    <w:p w:rsidR="00931B5A" w:rsidRDefault="00DC2E72">
      <w:r>
        <w:t>The BCR</w:t>
      </w:r>
      <w:r w:rsidR="005D630E">
        <w:t xml:space="preserve"> ha</w:t>
      </w:r>
      <w:r>
        <w:t>s</w:t>
      </w:r>
      <w:r w:rsidR="005D630E">
        <w:t xml:space="preserve"> produced a </w:t>
      </w:r>
      <w:hyperlink r:id="rId7" w:history="1">
        <w:r w:rsidR="005D630E" w:rsidRPr="00CD6059">
          <w:rPr>
            <w:rStyle w:val="Hyperlink"/>
          </w:rPr>
          <w:t>consultation paper</w:t>
        </w:r>
      </w:hyperlink>
      <w:r w:rsidR="005D630E">
        <w:t xml:space="preserve"> presenting their preliminary findings</w:t>
      </w:r>
      <w:r>
        <w:t>. Below is a summary of these findings</w:t>
      </w:r>
      <w:r w:rsidR="005D630E">
        <w:t>.</w:t>
      </w:r>
    </w:p>
    <w:p w:rsidR="00C04BFA" w:rsidRDefault="00C04BFA" w:rsidP="000B0C36">
      <w:pPr>
        <w:pStyle w:val="ListParagraph"/>
        <w:numPr>
          <w:ilvl w:val="0"/>
          <w:numId w:val="2"/>
        </w:numPr>
      </w:pPr>
      <w:r w:rsidRPr="00C04BFA">
        <w:rPr>
          <w:b/>
        </w:rPr>
        <w:t>Services included as non-commercial</w:t>
      </w:r>
      <w:r w:rsidR="00DC2E72">
        <w:t xml:space="preserve"> – the BCR is</w:t>
      </w:r>
      <w:r>
        <w:t xml:space="preserve"> recommending that the fixed wireless and satellite </w:t>
      </w:r>
      <w:r w:rsidR="004E639E">
        <w:t>services are considered</w:t>
      </w:r>
      <w:r w:rsidR="00AE215A">
        <w:t>,</w:t>
      </w:r>
      <w:r w:rsidR="004E639E">
        <w:t xml:space="preserve"> as at an aggregate </w:t>
      </w:r>
      <w:r>
        <w:t>level these technologies are not capable of recovering their costs over time.</w:t>
      </w:r>
    </w:p>
    <w:p w:rsidR="000B0C36" w:rsidRDefault="00C04BFA" w:rsidP="000B0C36">
      <w:pPr>
        <w:pStyle w:val="ListParagraph"/>
        <w:numPr>
          <w:ilvl w:val="0"/>
          <w:numId w:val="2"/>
        </w:numPr>
      </w:pPr>
      <w:r>
        <w:rPr>
          <w:b/>
        </w:rPr>
        <w:t>T</w:t>
      </w:r>
      <w:r w:rsidR="000B0C36" w:rsidRPr="00C04BFA">
        <w:rPr>
          <w:b/>
        </w:rPr>
        <w:t xml:space="preserve">he accounting framework </w:t>
      </w:r>
      <w:r w:rsidR="00C20549" w:rsidRPr="00C04BFA">
        <w:rPr>
          <w:b/>
        </w:rPr>
        <w:t>and methodology that should be used</w:t>
      </w:r>
      <w:r w:rsidR="000B0C36" w:rsidRPr="00C04BFA">
        <w:rPr>
          <w:b/>
        </w:rPr>
        <w:t xml:space="preserve"> to assess the losses</w:t>
      </w:r>
      <w:r>
        <w:t xml:space="preserve"> - </w:t>
      </w:r>
      <w:r w:rsidR="00C20549">
        <w:t xml:space="preserve">the BCR </w:t>
      </w:r>
      <w:r w:rsidR="000E1DD9">
        <w:t>modelled the loss us</w:t>
      </w:r>
      <w:r w:rsidR="00DC2E72">
        <w:t xml:space="preserve">ing a discounted cash flow and </w:t>
      </w:r>
      <w:r w:rsidR="000E1DD9">
        <w:t xml:space="preserve">an </w:t>
      </w:r>
      <w:r w:rsidR="000B0C36">
        <w:t>avoidable cost approach</w:t>
      </w:r>
      <w:r w:rsidR="000E1DD9">
        <w:t xml:space="preserve">, </w:t>
      </w:r>
      <w:r w:rsidR="00C20549">
        <w:t>which results in a loss of approximately $9 billion</w:t>
      </w:r>
      <w:r w:rsidR="00AE215A">
        <w:t>.</w:t>
      </w:r>
    </w:p>
    <w:p w:rsidR="00CD6059" w:rsidRDefault="00C04BFA" w:rsidP="000B0C36">
      <w:pPr>
        <w:pStyle w:val="ListParagraph"/>
        <w:numPr>
          <w:ilvl w:val="0"/>
          <w:numId w:val="2"/>
        </w:numPr>
      </w:pPr>
      <w:r w:rsidRPr="00C04BFA">
        <w:rPr>
          <w:b/>
        </w:rPr>
        <w:t>T</w:t>
      </w:r>
      <w:r w:rsidR="00CD6059" w:rsidRPr="00C04BFA">
        <w:rPr>
          <w:b/>
        </w:rPr>
        <w:t>he guiding principles</w:t>
      </w:r>
      <w:r w:rsidRPr="00C04BFA">
        <w:rPr>
          <w:b/>
        </w:rPr>
        <w:t xml:space="preserve"> to designing funding options</w:t>
      </w:r>
      <w:r>
        <w:t xml:space="preserve"> - t</w:t>
      </w:r>
      <w:r w:rsidR="00DC2E72">
        <w:t>he BCR is</w:t>
      </w:r>
      <w:r w:rsidR="00CD6059">
        <w:t xml:space="preserve"> recommending the principles of transparency, contestability, sustainability, economic efficiency, equity and competitive neutrality.</w:t>
      </w:r>
    </w:p>
    <w:p w:rsidR="00C04BFA" w:rsidRPr="00C04BFA" w:rsidRDefault="00C04BFA" w:rsidP="00C04BFA">
      <w:pPr>
        <w:pStyle w:val="ListParagraph"/>
        <w:numPr>
          <w:ilvl w:val="0"/>
          <w:numId w:val="2"/>
        </w:numPr>
      </w:pPr>
      <w:r w:rsidRPr="00C04BFA">
        <w:rPr>
          <w:b/>
        </w:rPr>
        <w:t>Funding options</w:t>
      </w:r>
      <w:r w:rsidRPr="00C04BFA">
        <w:t xml:space="preserve"> – the BCR </w:t>
      </w:r>
      <w:r w:rsidR="00DC2E72">
        <w:t>is</w:t>
      </w:r>
      <w:r>
        <w:t xml:space="preserve"> recommending that </w:t>
      </w:r>
      <w:proofErr w:type="spellStart"/>
      <w:r>
        <w:t>nbn</w:t>
      </w:r>
      <w:proofErr w:type="spellEnd"/>
      <w:r>
        <w:t xml:space="preserve"> and </w:t>
      </w:r>
      <w:r w:rsidR="00810322">
        <w:t>equivalent</w:t>
      </w:r>
      <w:r>
        <w:t xml:space="preserve"> networks</w:t>
      </w:r>
      <w:r w:rsidR="008A7B2B">
        <w:t xml:space="preserve"> (e.g. </w:t>
      </w:r>
      <w:proofErr w:type="spellStart"/>
      <w:r w:rsidR="008A7B2B">
        <w:t>OptiComm</w:t>
      </w:r>
      <w:proofErr w:type="spellEnd"/>
      <w:r w:rsidR="008A7B2B">
        <w:t xml:space="preserve"> and TPG)</w:t>
      </w:r>
      <w:r>
        <w:t xml:space="preserve"> in the fixed footprint should be required to fund these services</w:t>
      </w:r>
      <w:r w:rsidR="00992542">
        <w:t>. N</w:t>
      </w:r>
      <w:r w:rsidR="000E1DD9">
        <w:t xml:space="preserve">etworks which are </w:t>
      </w:r>
      <w:r>
        <w:t>transitioning</w:t>
      </w:r>
      <w:r w:rsidR="000E1DD9">
        <w:t xml:space="preserve"> to the nbn under the Definitive Agreements (i.e. Telstra and Optus)</w:t>
      </w:r>
      <w:r w:rsidR="00992542">
        <w:t xml:space="preserve"> should be excluded.</w:t>
      </w:r>
    </w:p>
    <w:p w:rsidR="00C04BFA" w:rsidRDefault="00810322" w:rsidP="000B0C36">
      <w:pPr>
        <w:pStyle w:val="ListParagraph"/>
        <w:numPr>
          <w:ilvl w:val="0"/>
          <w:numId w:val="2"/>
        </w:numPr>
      </w:pPr>
      <w:r w:rsidRPr="00810322">
        <w:rPr>
          <w:b/>
        </w:rPr>
        <w:t>Contributions and implications</w:t>
      </w:r>
      <w:r>
        <w:t xml:space="preserve"> – the BCR has estimated that this amounts to a $6.75 </w:t>
      </w:r>
      <w:r w:rsidR="008A7B2B">
        <w:t xml:space="preserve">monthly contribution </w:t>
      </w:r>
      <w:r>
        <w:t>per fixed line</w:t>
      </w:r>
      <w:r w:rsidR="0085061C">
        <w:t xml:space="preserve"> from nbn and equivalent networks</w:t>
      </w:r>
      <w:r>
        <w:t xml:space="preserve">. This is estimated to result in no change, or a slight decrease, in the wholesale price charged by nbn. </w:t>
      </w:r>
      <w:r w:rsidR="008A7B2B">
        <w:t>For equivalent networks</w:t>
      </w:r>
      <w:r w:rsidR="0085061C">
        <w:t>,</w:t>
      </w:r>
      <w:r w:rsidR="008A7B2B">
        <w:t xml:space="preserve"> it is estimated that it may result in a ma</w:t>
      </w:r>
      <w:r w:rsidR="00DC2E72">
        <w:t>ximum increase of 22 per cent</w:t>
      </w:r>
      <w:r w:rsidR="008A7B2B">
        <w:t xml:space="preserve"> in wholesale prices, if passed on in full. </w:t>
      </w:r>
    </w:p>
    <w:p w:rsidR="000B0C36" w:rsidRDefault="00842555" w:rsidP="000B0C36">
      <w:pPr>
        <w:pStyle w:val="ListParagraph"/>
        <w:numPr>
          <w:ilvl w:val="0"/>
          <w:numId w:val="2"/>
        </w:numPr>
      </w:pPr>
      <w:r w:rsidRPr="00C04BFA">
        <w:rPr>
          <w:b/>
        </w:rPr>
        <w:t xml:space="preserve">The implementation </w:t>
      </w:r>
      <w:r w:rsidR="00EC5392" w:rsidRPr="00C04BFA">
        <w:rPr>
          <w:b/>
        </w:rPr>
        <w:t>and administration arrangements</w:t>
      </w:r>
      <w:r w:rsidR="00C04BFA">
        <w:t xml:space="preserve"> </w:t>
      </w:r>
      <w:r w:rsidR="00810322">
        <w:t>–</w:t>
      </w:r>
      <w:r w:rsidR="00C04BFA">
        <w:t xml:space="preserve"> </w:t>
      </w:r>
      <w:r w:rsidR="00DC2E72">
        <w:t>the BCR has</w:t>
      </w:r>
      <w:r w:rsidR="00810322">
        <w:t xml:space="preserve"> recommended that the ACCC, Dep</w:t>
      </w:r>
      <w:r w:rsidR="00AE215A">
        <w:t>ar</w:t>
      </w:r>
      <w:r w:rsidR="00810322">
        <w:t>t</w:t>
      </w:r>
      <w:r w:rsidR="00AE215A">
        <w:t>ment</w:t>
      </w:r>
      <w:r w:rsidR="00810322">
        <w:t xml:space="preserve"> of Communications and</w:t>
      </w:r>
      <w:r w:rsidR="00DC2E72">
        <w:t xml:space="preserve"> the</w:t>
      </w:r>
      <w:r w:rsidR="00810322">
        <w:t xml:space="preserve"> Arts or the BCR should calculate the funding requirements and the </w:t>
      </w:r>
      <w:r>
        <w:t xml:space="preserve">ACMA </w:t>
      </w:r>
      <w:bookmarkStart w:id="0" w:name="_GoBack"/>
      <w:bookmarkEnd w:id="0"/>
      <w:r w:rsidR="00810322">
        <w:t xml:space="preserve">should </w:t>
      </w:r>
      <w:r w:rsidR="00EC5392">
        <w:t xml:space="preserve">collect and distribute the funds. </w:t>
      </w:r>
      <w:r w:rsidR="00810322">
        <w:t>The funding arrangement should be re</w:t>
      </w:r>
      <w:r w:rsidR="00DC2E72">
        <w:t>viewed every five to ten years.</w:t>
      </w:r>
    </w:p>
    <w:p w:rsidR="000729EC" w:rsidRDefault="000729EC" w:rsidP="000729EC">
      <w:r>
        <w:t xml:space="preserve">The document also presents some of the discussion around technology limitations and substitutions (such as mobile and low earth satellites) and related policy considerations such as the </w:t>
      </w:r>
      <w:r w:rsidR="00DC2E72">
        <w:t>U</w:t>
      </w:r>
      <w:r>
        <w:t xml:space="preserve">niversal </w:t>
      </w:r>
      <w:r w:rsidR="00DC2E72">
        <w:t>S</w:t>
      </w:r>
      <w:r>
        <w:t xml:space="preserve">ervices </w:t>
      </w:r>
      <w:r w:rsidR="00DC2E72">
        <w:t>Obligation (USO)</w:t>
      </w:r>
      <w:r>
        <w:t>.</w:t>
      </w:r>
    </w:p>
    <w:p w:rsidR="0066045C" w:rsidRDefault="000B0C36">
      <w:r>
        <w:t xml:space="preserve">The consultation is highly technical in terms of economic and financial accounting models. </w:t>
      </w:r>
      <w:r w:rsidR="00931B5A">
        <w:t xml:space="preserve">ACCAN </w:t>
      </w:r>
      <w:hyperlink r:id="rId8" w:history="1">
        <w:r w:rsidR="00931B5A" w:rsidRPr="004E639E">
          <w:rPr>
            <w:rStyle w:val="Hyperlink"/>
          </w:rPr>
          <w:t>submitted</w:t>
        </w:r>
      </w:hyperlink>
      <w:r w:rsidR="00931B5A">
        <w:t xml:space="preserve"> to the first consultation process and may also submit to this round.</w:t>
      </w:r>
      <w:r w:rsidR="003F47CF">
        <w:t xml:space="preserve"> In our submission we commented on some of the financial accounting arrangements. However, ultimately our concern lies in the mechanism chosen</w:t>
      </w:r>
      <w:r w:rsidR="0066045C">
        <w:t>: that it</w:t>
      </w:r>
      <w:r w:rsidR="003F47CF">
        <w:t xml:space="preserve"> meets the</w:t>
      </w:r>
      <w:r w:rsidR="00F811C2">
        <w:t xml:space="preserve"> principl</w:t>
      </w:r>
      <w:r w:rsidR="0066045C">
        <w:t>e</w:t>
      </w:r>
      <w:r w:rsidR="00F811C2">
        <w:t>s</w:t>
      </w:r>
      <w:r w:rsidR="0066045C">
        <w:t>;</w:t>
      </w:r>
      <w:r w:rsidR="00992542">
        <w:t xml:space="preserve"> </w:t>
      </w:r>
      <w:r w:rsidR="003F47CF">
        <w:t>that</w:t>
      </w:r>
      <w:r w:rsidR="00F811C2">
        <w:t xml:space="preserve"> it</w:t>
      </w:r>
      <w:r w:rsidR="003F47CF">
        <w:t xml:space="preserve"> ultimately does not impede the delivery of </w:t>
      </w:r>
      <w:r w:rsidR="003F47CF">
        <w:lastRenderedPageBreak/>
        <w:t>services in regional Australia</w:t>
      </w:r>
      <w:r w:rsidR="0066045C">
        <w:t>;</w:t>
      </w:r>
      <w:r w:rsidR="00F811C2">
        <w:t xml:space="preserve"> and </w:t>
      </w:r>
      <w:r w:rsidR="0066045C">
        <w:t xml:space="preserve">causes </w:t>
      </w:r>
      <w:r w:rsidR="00F811C2">
        <w:t>minimal disruption to competiti</w:t>
      </w:r>
      <w:r w:rsidR="0066045C">
        <w:t>on</w:t>
      </w:r>
      <w:r w:rsidR="00F811C2">
        <w:t xml:space="preserve"> and affordability of services in all areas.</w:t>
      </w:r>
    </w:p>
    <w:p w:rsidR="005D630E" w:rsidRDefault="000729EC">
      <w:r>
        <w:t>Interested parties are invited</w:t>
      </w:r>
      <w:r w:rsidR="0066045C">
        <w:t xml:space="preserve"> by the BCR</w:t>
      </w:r>
      <w:r>
        <w:t xml:space="preserve"> to </w:t>
      </w:r>
      <w:hyperlink r:id="rId9" w:history="1">
        <w:r w:rsidR="00992542" w:rsidRPr="00053A47">
          <w:rPr>
            <w:rStyle w:val="Hyperlink"/>
          </w:rPr>
          <w:t>comment</w:t>
        </w:r>
      </w:hyperlink>
      <w:r w:rsidR="00992542">
        <w:t xml:space="preserve"> by</w:t>
      </w:r>
      <w:r>
        <w:t xml:space="preserve"> 3 November</w:t>
      </w:r>
      <w:r w:rsidR="005B7A57">
        <w:t>, 2015</w:t>
      </w:r>
      <w:r>
        <w:t>.</w:t>
      </w:r>
    </w:p>
    <w:sectPr w:rsidR="005D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28D"/>
    <w:multiLevelType w:val="hybridMultilevel"/>
    <w:tmpl w:val="403E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F32AB"/>
    <w:multiLevelType w:val="hybridMultilevel"/>
    <w:tmpl w:val="FFB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0E"/>
    <w:rsid w:val="00053A47"/>
    <w:rsid w:val="000729EC"/>
    <w:rsid w:val="000B0C36"/>
    <w:rsid w:val="000E1DD9"/>
    <w:rsid w:val="000E4B0D"/>
    <w:rsid w:val="001123D9"/>
    <w:rsid w:val="001B3753"/>
    <w:rsid w:val="003C0F2F"/>
    <w:rsid w:val="003F47CF"/>
    <w:rsid w:val="004E639E"/>
    <w:rsid w:val="00515577"/>
    <w:rsid w:val="005A19BA"/>
    <w:rsid w:val="005B7A57"/>
    <w:rsid w:val="005D630E"/>
    <w:rsid w:val="0066045C"/>
    <w:rsid w:val="00810322"/>
    <w:rsid w:val="0081109D"/>
    <w:rsid w:val="00842555"/>
    <w:rsid w:val="0085061C"/>
    <w:rsid w:val="008A7B2B"/>
    <w:rsid w:val="00926B22"/>
    <w:rsid w:val="00931B5A"/>
    <w:rsid w:val="00992542"/>
    <w:rsid w:val="00AE215A"/>
    <w:rsid w:val="00BF41FA"/>
    <w:rsid w:val="00C04BFA"/>
    <w:rsid w:val="00C20549"/>
    <w:rsid w:val="00CD6059"/>
    <w:rsid w:val="00DC2E72"/>
    <w:rsid w:val="00EC5392"/>
    <w:rsid w:val="00ED0768"/>
    <w:rsid w:val="00F66E1B"/>
    <w:rsid w:val="00F811C2"/>
    <w:rsid w:val="00FB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5A"/>
    <w:pPr>
      <w:ind w:left="720"/>
      <w:contextualSpacing/>
    </w:pPr>
  </w:style>
  <w:style w:type="character" w:styleId="Hyperlink">
    <w:name w:val="Hyperlink"/>
    <w:basedOn w:val="DefaultParagraphFont"/>
    <w:uiPriority w:val="99"/>
    <w:unhideWhenUsed/>
    <w:rsid w:val="00CD6059"/>
    <w:rPr>
      <w:color w:val="0000FF" w:themeColor="hyperlink"/>
      <w:u w:val="single"/>
    </w:rPr>
  </w:style>
  <w:style w:type="character" w:styleId="CommentReference">
    <w:name w:val="annotation reference"/>
    <w:basedOn w:val="DefaultParagraphFont"/>
    <w:uiPriority w:val="99"/>
    <w:semiHidden/>
    <w:unhideWhenUsed/>
    <w:rsid w:val="00AE215A"/>
    <w:rPr>
      <w:sz w:val="16"/>
      <w:szCs w:val="16"/>
    </w:rPr>
  </w:style>
  <w:style w:type="paragraph" w:styleId="CommentText">
    <w:name w:val="annotation text"/>
    <w:basedOn w:val="Normal"/>
    <w:link w:val="CommentTextChar"/>
    <w:uiPriority w:val="99"/>
    <w:semiHidden/>
    <w:unhideWhenUsed/>
    <w:rsid w:val="00AE215A"/>
    <w:pPr>
      <w:spacing w:line="240" w:lineRule="auto"/>
    </w:pPr>
    <w:rPr>
      <w:sz w:val="20"/>
      <w:szCs w:val="20"/>
    </w:rPr>
  </w:style>
  <w:style w:type="character" w:customStyle="1" w:styleId="CommentTextChar">
    <w:name w:val="Comment Text Char"/>
    <w:basedOn w:val="DefaultParagraphFont"/>
    <w:link w:val="CommentText"/>
    <w:uiPriority w:val="99"/>
    <w:semiHidden/>
    <w:rsid w:val="00AE215A"/>
    <w:rPr>
      <w:sz w:val="20"/>
      <w:szCs w:val="20"/>
    </w:rPr>
  </w:style>
  <w:style w:type="paragraph" w:styleId="CommentSubject">
    <w:name w:val="annotation subject"/>
    <w:basedOn w:val="CommentText"/>
    <w:next w:val="CommentText"/>
    <w:link w:val="CommentSubjectChar"/>
    <w:uiPriority w:val="99"/>
    <w:semiHidden/>
    <w:unhideWhenUsed/>
    <w:rsid w:val="00AE215A"/>
    <w:rPr>
      <w:b/>
      <w:bCs/>
    </w:rPr>
  </w:style>
  <w:style w:type="character" w:customStyle="1" w:styleId="CommentSubjectChar">
    <w:name w:val="Comment Subject Char"/>
    <w:basedOn w:val="CommentTextChar"/>
    <w:link w:val="CommentSubject"/>
    <w:uiPriority w:val="99"/>
    <w:semiHidden/>
    <w:rsid w:val="00AE215A"/>
    <w:rPr>
      <w:b/>
      <w:bCs/>
      <w:sz w:val="20"/>
      <w:szCs w:val="20"/>
    </w:rPr>
  </w:style>
  <w:style w:type="paragraph" w:styleId="BalloonText">
    <w:name w:val="Balloon Text"/>
    <w:basedOn w:val="Normal"/>
    <w:link w:val="BalloonTextChar"/>
    <w:uiPriority w:val="99"/>
    <w:semiHidden/>
    <w:unhideWhenUsed/>
    <w:rsid w:val="00AE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5A"/>
    <w:rPr>
      <w:rFonts w:ascii="Tahoma" w:hAnsi="Tahoma" w:cs="Tahoma"/>
      <w:sz w:val="16"/>
      <w:szCs w:val="16"/>
    </w:rPr>
  </w:style>
  <w:style w:type="character" w:customStyle="1" w:styleId="Heading1Char">
    <w:name w:val="Heading 1 Char"/>
    <w:basedOn w:val="DefaultParagraphFont"/>
    <w:link w:val="Heading1"/>
    <w:uiPriority w:val="9"/>
    <w:rsid w:val="005B7A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5A"/>
    <w:pPr>
      <w:ind w:left="720"/>
      <w:contextualSpacing/>
    </w:pPr>
  </w:style>
  <w:style w:type="character" w:styleId="Hyperlink">
    <w:name w:val="Hyperlink"/>
    <w:basedOn w:val="DefaultParagraphFont"/>
    <w:uiPriority w:val="99"/>
    <w:unhideWhenUsed/>
    <w:rsid w:val="00CD6059"/>
    <w:rPr>
      <w:color w:val="0000FF" w:themeColor="hyperlink"/>
      <w:u w:val="single"/>
    </w:rPr>
  </w:style>
  <w:style w:type="character" w:styleId="CommentReference">
    <w:name w:val="annotation reference"/>
    <w:basedOn w:val="DefaultParagraphFont"/>
    <w:uiPriority w:val="99"/>
    <w:semiHidden/>
    <w:unhideWhenUsed/>
    <w:rsid w:val="00AE215A"/>
    <w:rPr>
      <w:sz w:val="16"/>
      <w:szCs w:val="16"/>
    </w:rPr>
  </w:style>
  <w:style w:type="paragraph" w:styleId="CommentText">
    <w:name w:val="annotation text"/>
    <w:basedOn w:val="Normal"/>
    <w:link w:val="CommentTextChar"/>
    <w:uiPriority w:val="99"/>
    <w:semiHidden/>
    <w:unhideWhenUsed/>
    <w:rsid w:val="00AE215A"/>
    <w:pPr>
      <w:spacing w:line="240" w:lineRule="auto"/>
    </w:pPr>
    <w:rPr>
      <w:sz w:val="20"/>
      <w:szCs w:val="20"/>
    </w:rPr>
  </w:style>
  <w:style w:type="character" w:customStyle="1" w:styleId="CommentTextChar">
    <w:name w:val="Comment Text Char"/>
    <w:basedOn w:val="DefaultParagraphFont"/>
    <w:link w:val="CommentText"/>
    <w:uiPriority w:val="99"/>
    <w:semiHidden/>
    <w:rsid w:val="00AE215A"/>
    <w:rPr>
      <w:sz w:val="20"/>
      <w:szCs w:val="20"/>
    </w:rPr>
  </w:style>
  <w:style w:type="paragraph" w:styleId="CommentSubject">
    <w:name w:val="annotation subject"/>
    <w:basedOn w:val="CommentText"/>
    <w:next w:val="CommentText"/>
    <w:link w:val="CommentSubjectChar"/>
    <w:uiPriority w:val="99"/>
    <w:semiHidden/>
    <w:unhideWhenUsed/>
    <w:rsid w:val="00AE215A"/>
    <w:rPr>
      <w:b/>
      <w:bCs/>
    </w:rPr>
  </w:style>
  <w:style w:type="character" w:customStyle="1" w:styleId="CommentSubjectChar">
    <w:name w:val="Comment Subject Char"/>
    <w:basedOn w:val="CommentTextChar"/>
    <w:link w:val="CommentSubject"/>
    <w:uiPriority w:val="99"/>
    <w:semiHidden/>
    <w:rsid w:val="00AE215A"/>
    <w:rPr>
      <w:b/>
      <w:bCs/>
      <w:sz w:val="20"/>
      <w:szCs w:val="20"/>
    </w:rPr>
  </w:style>
  <w:style w:type="paragraph" w:styleId="BalloonText">
    <w:name w:val="Balloon Text"/>
    <w:basedOn w:val="Normal"/>
    <w:link w:val="BalloonTextChar"/>
    <w:uiPriority w:val="99"/>
    <w:semiHidden/>
    <w:unhideWhenUsed/>
    <w:rsid w:val="00AE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5A"/>
    <w:rPr>
      <w:rFonts w:ascii="Tahoma" w:hAnsi="Tahoma" w:cs="Tahoma"/>
      <w:sz w:val="16"/>
      <w:szCs w:val="16"/>
    </w:rPr>
  </w:style>
  <w:style w:type="character" w:customStyle="1" w:styleId="Heading1Char">
    <w:name w:val="Heading 1 Char"/>
    <w:basedOn w:val="DefaultParagraphFont"/>
    <w:link w:val="Heading1"/>
    <w:uiPriority w:val="9"/>
    <w:rsid w:val="005B7A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n.org.au/our-work/submissions/1061-funding-for-fixed-wireless-and-satellite-services" TargetMode="External"/><Relationship Id="rId3" Type="http://schemas.openxmlformats.org/officeDocument/2006/relationships/styles" Target="styles.xml"/><Relationship Id="rId7" Type="http://schemas.openxmlformats.org/officeDocument/2006/relationships/hyperlink" Target="https://www.communications.gov.au/departmental-news/further-consultation-nbn-non-commercial-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ommunications.gov.au/have-your-say/final-consultation-nbn-non-commercial-services-funding-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8E4C-4ED0-4A32-9419-C74732EA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Luke Sutton</cp:lastModifiedBy>
  <cp:revision>3</cp:revision>
  <cp:lastPrinted>2015-10-20T00:40:00Z</cp:lastPrinted>
  <dcterms:created xsi:type="dcterms:W3CDTF">2015-10-19T21:46:00Z</dcterms:created>
  <dcterms:modified xsi:type="dcterms:W3CDTF">2015-10-20T00:40:00Z</dcterms:modified>
</cp:coreProperties>
</file>