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Pr="00DB5DD2" w:rsidRDefault="00DB5DD2" w:rsidP="00A051AC">
      <w:pPr>
        <w:tabs>
          <w:tab w:val="left" w:pos="4251"/>
        </w:tabs>
        <w:rPr>
          <w:b/>
          <w:color w:val="FF0000"/>
          <w:sz w:val="28"/>
        </w:rPr>
      </w:pPr>
      <w:r w:rsidRPr="00DB5DD2">
        <w:rPr>
          <w:noProof/>
          <w:sz w:val="24"/>
          <w:lang w:eastAsia="en-AU"/>
        </w:rPr>
        <w:drawing>
          <wp:anchor distT="0" distB="0" distL="114300" distR="114300" simplePos="0" relativeHeight="251675648" behindDoc="0" locked="0" layoutInCell="1" allowOverlap="1" wp14:anchorId="3B0CD05B" wp14:editId="75A1F897">
            <wp:simplePos x="0" y="0"/>
            <wp:positionH relativeFrom="column">
              <wp:posOffset>-32657</wp:posOffset>
            </wp:positionH>
            <wp:positionV relativeFrom="paragraph">
              <wp:posOffset>-326572</wp:posOffset>
            </wp:positionV>
            <wp:extent cx="1248354" cy="602864"/>
            <wp:effectExtent l="0" t="0" r="9525" b="6985"/>
            <wp:wrapNone/>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8354" cy="602864"/>
                    </a:xfrm>
                    <a:prstGeom prst="rect">
                      <a:avLst/>
                    </a:prstGeom>
                  </pic:spPr>
                </pic:pic>
              </a:graphicData>
            </a:graphic>
            <wp14:sizeRelH relativeFrom="page">
              <wp14:pctWidth>0</wp14:pctWidth>
            </wp14:sizeRelH>
            <wp14:sizeRelV relativeFrom="page">
              <wp14:pctHeight>0</wp14:pctHeight>
            </wp14:sizeRelV>
          </wp:anchor>
        </w:drawing>
      </w:r>
      <w:r w:rsidR="005F4EC5" w:rsidRPr="00DB5DD2">
        <w:rPr>
          <w:rFonts w:ascii="Calibri" w:hAnsi="Calibri"/>
          <w:noProof/>
          <w:color w:val="000000"/>
          <w:sz w:val="36"/>
          <w:lang w:eastAsia="en-AU"/>
        </w:rPr>
        <mc:AlternateContent>
          <mc:Choice Requires="wps">
            <w:drawing>
              <wp:anchor distT="0" distB="0" distL="114300" distR="114300" simplePos="0" relativeHeight="251674624" behindDoc="0" locked="0" layoutInCell="1" allowOverlap="1" wp14:anchorId="6693CD5D" wp14:editId="4F3A4A7E">
                <wp:simplePos x="0" y="0"/>
                <wp:positionH relativeFrom="column">
                  <wp:posOffset>4322473</wp:posOffset>
                </wp:positionH>
                <wp:positionV relativeFrom="paragraph">
                  <wp:posOffset>691515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rsidR="00E23E5E" w:rsidRPr="000A3624" w:rsidRDefault="00BA48F0" w:rsidP="00E23E5E">
                            <w:pPr>
                              <w:rPr>
                                <w:b/>
                              </w:rPr>
                            </w:pPr>
                            <w:r>
                              <w:rPr>
                                <w:b/>
                              </w:rPr>
                              <w:t>Friday</w:t>
                            </w:r>
                            <w:r w:rsidR="00E23E5E" w:rsidRPr="000A3624">
                              <w:rPr>
                                <w:b/>
                              </w:rPr>
                              <w:t>,</w:t>
                            </w:r>
                            <w:r>
                              <w:rPr>
                                <w:b/>
                              </w:rPr>
                              <w:t xml:space="preserve"> 28</w:t>
                            </w:r>
                            <w:r w:rsidRPr="00BA48F0">
                              <w:rPr>
                                <w:b/>
                                <w:vertAlign w:val="superscript"/>
                              </w:rPr>
                              <w:t>th</w:t>
                            </w:r>
                            <w:r w:rsidR="00E23E5E" w:rsidRPr="000A3624">
                              <w:rPr>
                                <w:b/>
                              </w:rPr>
                              <w:t xml:space="preserve"> </w:t>
                            </w:r>
                            <w:r w:rsidR="00325BB8">
                              <w:rPr>
                                <w:b/>
                              </w:rPr>
                              <w:t>February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35pt;margin-top:54.45pt;width:198.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" stroked="f">
                <v:textbox>
                  <w:txbxContent>
                    <w:p w:rsidR="00E23E5E" w:rsidRPr="000A3624" w:rsidRDefault="00BA48F0" w:rsidP="00E23E5E">
                      <w:pPr>
                        <w:rPr>
                          <w:b/>
                        </w:rPr>
                      </w:pPr>
                      <w:r>
                        <w:rPr>
                          <w:b/>
                        </w:rPr>
                        <w:t>Friday</w:t>
                      </w:r>
                      <w:r w:rsidR="00E23E5E" w:rsidRPr="000A3624">
                        <w:rPr>
                          <w:b/>
                        </w:rPr>
                        <w:t>,</w:t>
                      </w:r>
                      <w:r>
                        <w:rPr>
                          <w:b/>
                        </w:rPr>
                        <w:t xml:space="preserve"> 28</w:t>
                      </w:r>
                      <w:r w:rsidRPr="00BA48F0">
                        <w:rPr>
                          <w:b/>
                          <w:vertAlign w:val="superscript"/>
                        </w:rPr>
                        <w:t>th</w:t>
                      </w:r>
                      <w:r w:rsidR="00E23E5E" w:rsidRPr="000A3624">
                        <w:rPr>
                          <w:b/>
                        </w:rPr>
                        <w:t xml:space="preserve"> </w:t>
                      </w:r>
                      <w:r w:rsidR="00325BB8">
                        <w:rPr>
                          <w:b/>
                        </w:rPr>
                        <w:t>February 2020</w:t>
                      </w:r>
                    </w:p>
                  </w:txbxContent>
                </v:textbox>
              </v:shape>
            </w:pict>
          </mc:Fallback>
        </mc:AlternateContent>
      </w:r>
      <w:r w:rsidR="00594048" w:rsidRPr="00DB5DD2">
        <w:rPr>
          <w:noProof/>
          <w:sz w:val="24"/>
          <w:lang w:eastAsia="en-AU"/>
        </w:rPr>
        <mc:AlternateContent>
          <mc:Choice Requires="wps">
            <w:drawing>
              <wp:anchor distT="0" distB="0" distL="114300" distR="114300" simplePos="0" relativeHeight="251672576" behindDoc="0" locked="0" layoutInCell="1" allowOverlap="1" wp14:anchorId="1E046B05" wp14:editId="2A8A6E04">
                <wp:simplePos x="0" y="0"/>
                <wp:positionH relativeFrom="column">
                  <wp:posOffset>26726</wp:posOffset>
                </wp:positionH>
                <wp:positionV relativeFrom="paragraph">
                  <wp:posOffset>642096</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pt,50.55pt" to="534.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" strokecolor="#4579b8 [3044]">
                <v:stroke dashstyle="3 1" endcap="square"/>
              </v:line>
            </w:pict>
          </mc:Fallback>
        </mc:AlternateContent>
      </w:r>
      <w:r w:rsidRPr="00DB5DD2">
        <w:rPr>
          <w:b/>
          <w:color w:val="FF0000"/>
          <w:sz w:val="24"/>
        </w:rPr>
        <w:t>0</w:t>
      </w:r>
    </w:p>
    <w:p w:rsidR="007170E2" w:rsidRDefault="005F4EC5" w:rsidP="007170E2">
      <w:r>
        <w:rPr>
          <w:noProof/>
          <w:lang w:eastAsia="en-AU"/>
        </w:rPr>
        <w:drawing>
          <wp:inline distT="0" distB="0" distL="0" distR="0" wp14:anchorId="7BEE90B3" wp14:editId="0A321F90">
            <wp:extent cx="1192695" cy="299697"/>
            <wp:effectExtent l="0" t="0" r="0" b="571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744" cy="302473"/>
                    </a:xfrm>
                    <a:prstGeom prst="rect">
                      <a:avLst/>
                    </a:prstGeom>
                  </pic:spPr>
                </pic:pic>
              </a:graphicData>
            </a:graphic>
          </wp:inline>
        </w:drawing>
      </w:r>
    </w:p>
    <w:p w:rsidR="00843369" w:rsidRPr="00843369" w:rsidRDefault="001B31BB" w:rsidP="001B31BB">
      <w:pPr>
        <w:pStyle w:val="Heading1"/>
        <w:tabs>
          <w:tab w:val="center" w:pos="5233"/>
        </w:tabs>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New telco rules </w:t>
      </w:r>
      <w:r w:rsidR="00F87C9D">
        <w:rPr>
          <w:rFonts w:ascii="Calibri" w:hAnsi="Calibri"/>
          <w:color w:val="000000"/>
          <w:sz w:val="32"/>
        </w:rPr>
        <w:t>aim to stop scammers</w:t>
      </w:r>
      <w:r>
        <w:rPr>
          <w:rFonts w:ascii="Calibri" w:hAnsi="Calibri"/>
          <w:color w:val="000000"/>
          <w:sz w:val="32"/>
        </w:rPr>
        <w:t xml:space="preserve">  </w:t>
      </w:r>
    </w:p>
    <w:p w:rsidR="000F1758" w:rsidRDefault="00E5582A" w:rsidP="00256F3F">
      <w:pPr>
        <w:tabs>
          <w:tab w:val="left" w:pos="1090"/>
        </w:tabs>
      </w:pPr>
      <w:r>
        <w:t>T</w:t>
      </w:r>
      <w:r w:rsidR="00BA48F0">
        <w:t>he Australian Communications Consumer Action Network (ACCAN)</w:t>
      </w:r>
      <w:r>
        <w:t xml:space="preserve"> has welcomed the </w:t>
      </w:r>
      <w:r w:rsidR="000F1758">
        <w:t>announcement</w:t>
      </w:r>
      <w:r>
        <w:t xml:space="preserve"> of additional identity checks as a positive step towards protecting mobile phone users against scammers</w:t>
      </w:r>
      <w:r w:rsidR="000F1758">
        <w:t>.</w:t>
      </w:r>
    </w:p>
    <w:p w:rsidR="000F1758" w:rsidRDefault="000F1758" w:rsidP="00256F3F">
      <w:pPr>
        <w:tabs>
          <w:tab w:val="left" w:pos="1090"/>
        </w:tabs>
      </w:pPr>
      <w:r>
        <w:t>The introduction of the Australian Communications and Media Authority (ACMA)’s new Telecommunications (Mobile Number Pre-porting Additional I</w:t>
      </w:r>
      <w:r w:rsidR="001B31BB">
        <w:t>dentit</w:t>
      </w:r>
      <w:r>
        <w:t>y Verification) Industry Standard 2020 aims to prevent fraudulent number porting by</w:t>
      </w:r>
      <w:r w:rsidR="0090256B">
        <w:t xml:space="preserve"> requiring </w:t>
      </w:r>
      <w:proofErr w:type="spellStart"/>
      <w:r w:rsidR="0090256B">
        <w:t>telcos</w:t>
      </w:r>
      <w:proofErr w:type="spellEnd"/>
      <w:r w:rsidR="0090256B">
        <w:t xml:space="preserve"> to apply stronger </w:t>
      </w:r>
      <w:r>
        <w:t xml:space="preserve">identity checks before they transfer a mobile phone number to another provider.   </w:t>
      </w:r>
    </w:p>
    <w:p w:rsidR="0090256B" w:rsidRDefault="0090256B" w:rsidP="0090256B">
      <w:pPr>
        <w:tabs>
          <w:tab w:val="left" w:pos="1090"/>
        </w:tabs>
      </w:pPr>
      <w:r>
        <w:t>After stealing a person’s private information (such as date of birth), scammers use these details to fraudulently port the consumer</w:t>
      </w:r>
      <w:r w:rsidR="001F7526">
        <w:t>’</w:t>
      </w:r>
      <w:r>
        <w:t>s mobile number from one provider to another. Once a phone number has been ported, thieves can access bank accounts and cause serious damage to victims.</w:t>
      </w:r>
    </w:p>
    <w:p w:rsidR="0090256B" w:rsidRDefault="0090256B" w:rsidP="0090256B">
      <w:pPr>
        <w:tabs>
          <w:tab w:val="left" w:pos="1090"/>
        </w:tabs>
      </w:pPr>
      <w:r>
        <w:t xml:space="preserve">As the voice for phone and internet consumers in Australia, ACCAN has heard countless stories from people who have </w:t>
      </w:r>
      <w:r>
        <w:rPr>
          <w:noProof/>
          <w:lang w:eastAsia="en-AU"/>
        </w:rPr>
        <w:t xml:space="preserve">fallen victim to </w:t>
      </w:r>
      <w:r>
        <w:t>fraudulent mobile number porting and identity theft.</w:t>
      </w:r>
    </w:p>
    <w:p w:rsidR="00C42372" w:rsidRPr="00AF4898" w:rsidRDefault="0090256B" w:rsidP="00C42372">
      <w:pPr>
        <w:tabs>
          <w:tab w:val="left" w:pos="1090"/>
        </w:tabs>
        <w:rPr>
          <w:rFonts w:cstheme="minorHAnsi"/>
        </w:rPr>
      </w:pPr>
      <w:r>
        <w:t>“</w:t>
      </w:r>
      <w:r w:rsidR="00767D1C">
        <w:t>This</w:t>
      </w:r>
      <w:r>
        <w:t xml:space="preserve"> is a serious issue that causes significant harm to people all across Australia,” said ACCAN CEO, Teresa Corbin. </w:t>
      </w:r>
      <w:r w:rsidRPr="00AF4898">
        <w:rPr>
          <w:rFonts w:cstheme="minorHAnsi"/>
        </w:rPr>
        <w:t xml:space="preserve">“The ACMA’s </w:t>
      </w:r>
      <w:r w:rsidR="00AE46BC" w:rsidRPr="00AF4898">
        <w:rPr>
          <w:rFonts w:cstheme="minorHAnsi"/>
        </w:rPr>
        <w:t>action is a much-needed first step towards stopping scammers and protecting</w:t>
      </w:r>
      <w:r w:rsidRPr="00AF4898">
        <w:rPr>
          <w:rFonts w:cstheme="minorHAnsi"/>
        </w:rPr>
        <w:t xml:space="preserve"> mobile phone users.”</w:t>
      </w:r>
    </w:p>
    <w:p w:rsidR="00C42372" w:rsidRPr="00AF4898" w:rsidRDefault="00C42372" w:rsidP="00C42372">
      <w:pPr>
        <w:tabs>
          <w:tab w:val="left" w:pos="1090"/>
        </w:tabs>
        <w:rPr>
          <w:rFonts w:cstheme="minorHAnsi"/>
          <w:color w:val="000000"/>
        </w:rPr>
      </w:pPr>
      <w:r w:rsidRPr="00AF4898">
        <w:rPr>
          <w:rFonts w:cstheme="minorHAnsi"/>
          <w:color w:val="000000"/>
        </w:rPr>
        <w:t xml:space="preserve">The ACMA has the power to direct </w:t>
      </w:r>
      <w:proofErr w:type="spellStart"/>
      <w:r w:rsidRPr="00AF4898">
        <w:rPr>
          <w:rFonts w:cstheme="minorHAnsi"/>
          <w:color w:val="000000"/>
        </w:rPr>
        <w:t>telcos</w:t>
      </w:r>
      <w:proofErr w:type="spellEnd"/>
      <w:r w:rsidRPr="00AF4898">
        <w:rPr>
          <w:rFonts w:cstheme="minorHAnsi"/>
          <w:color w:val="000000"/>
        </w:rPr>
        <w:t xml:space="preserve"> to comply with the Standard and fine those who fail to</w:t>
      </w:r>
      <w:r w:rsidR="002C5E85">
        <w:rPr>
          <w:rFonts w:cstheme="minorHAnsi"/>
          <w:color w:val="000000"/>
        </w:rPr>
        <w:t xml:space="preserve"> do</w:t>
      </w:r>
      <w:r w:rsidRPr="00AF4898">
        <w:rPr>
          <w:rFonts w:cstheme="minorHAnsi"/>
          <w:color w:val="000000"/>
        </w:rPr>
        <w:t xml:space="preserve"> so.</w:t>
      </w:r>
    </w:p>
    <w:p w:rsidR="00C42372" w:rsidRPr="00AF4898" w:rsidRDefault="00C42372" w:rsidP="00256F3F">
      <w:pPr>
        <w:tabs>
          <w:tab w:val="left" w:pos="1090"/>
        </w:tabs>
        <w:rPr>
          <w:rFonts w:cstheme="minorHAnsi"/>
        </w:rPr>
      </w:pPr>
      <w:r w:rsidRPr="00AF4898">
        <w:rPr>
          <w:rFonts w:cstheme="minorHAnsi"/>
          <w:color w:val="000000"/>
        </w:rPr>
        <w:t xml:space="preserve">“The risk </w:t>
      </w:r>
      <w:r w:rsidR="00AF4898" w:rsidRPr="00AF4898">
        <w:rPr>
          <w:rFonts w:cstheme="minorHAnsi"/>
          <w:color w:val="000000"/>
        </w:rPr>
        <w:t>of up to $250,000 in fines should act as a deterrent to any telco who may have weak identity verification practices.”</w:t>
      </w:r>
    </w:p>
    <w:p w:rsidR="00AE46BC" w:rsidRPr="00AF4898" w:rsidRDefault="00AE46BC" w:rsidP="00256F3F">
      <w:pPr>
        <w:tabs>
          <w:tab w:val="left" w:pos="1090"/>
        </w:tabs>
        <w:rPr>
          <w:rFonts w:cstheme="minorHAnsi"/>
        </w:rPr>
      </w:pPr>
      <w:r w:rsidRPr="00AF4898">
        <w:rPr>
          <w:rFonts w:cstheme="minorHAnsi"/>
        </w:rPr>
        <w:t xml:space="preserve">While ACCAN is broadly supportive of the Standard, there are still </w:t>
      </w:r>
      <w:r w:rsidR="00B53381" w:rsidRPr="00AF4898">
        <w:rPr>
          <w:rFonts w:cstheme="minorHAnsi"/>
        </w:rPr>
        <w:t>further opportunities to strengthen porting processes.</w:t>
      </w:r>
      <w:r w:rsidRPr="00AF4898">
        <w:rPr>
          <w:rFonts w:cstheme="minorHAnsi"/>
        </w:rPr>
        <w:t xml:space="preserve"> </w:t>
      </w:r>
    </w:p>
    <w:p w:rsidR="00B53381" w:rsidRDefault="00B53381" w:rsidP="00256F3F">
      <w:pPr>
        <w:tabs>
          <w:tab w:val="left" w:pos="1090"/>
        </w:tabs>
      </w:pPr>
      <w:r>
        <w:t xml:space="preserve">“Requiring all </w:t>
      </w:r>
      <w:proofErr w:type="spellStart"/>
      <w:r>
        <w:t>telcos</w:t>
      </w:r>
      <w:proofErr w:type="spellEnd"/>
      <w:r>
        <w:t xml:space="preserve"> to use multifactor authentication before they port a mobile number is a good idea, however, it’s important that this two-step process is secure. SMS messages aren’t secure enough to prevent fraudulent mobile number porting,” explained Ms Corbin.</w:t>
      </w:r>
    </w:p>
    <w:p w:rsidR="00AE46BC" w:rsidRPr="00AF4898" w:rsidRDefault="00B53381" w:rsidP="00256F3F">
      <w:pPr>
        <w:tabs>
          <w:tab w:val="left" w:pos="1090"/>
        </w:tabs>
        <w:rPr>
          <w:rFonts w:cstheme="minorHAnsi"/>
          <w:color w:val="000000"/>
        </w:rPr>
      </w:pPr>
      <w:r>
        <w:t>“</w:t>
      </w:r>
      <w:r w:rsidRPr="00B53381">
        <w:rPr>
          <w:rFonts w:cstheme="minorHAnsi"/>
        </w:rPr>
        <w:t xml:space="preserve">We’d like to </w:t>
      </w:r>
      <w:r w:rsidRPr="00517918">
        <w:rPr>
          <w:rFonts w:cstheme="minorHAnsi"/>
        </w:rPr>
        <w:t xml:space="preserve">see the ACMA require </w:t>
      </w:r>
      <w:proofErr w:type="spellStart"/>
      <w:r w:rsidRPr="00517918">
        <w:rPr>
          <w:rFonts w:cstheme="minorHAnsi"/>
        </w:rPr>
        <w:t>telcos</w:t>
      </w:r>
      <w:proofErr w:type="spellEnd"/>
      <w:r w:rsidRPr="00517918">
        <w:rPr>
          <w:rFonts w:cstheme="minorHAnsi"/>
        </w:rPr>
        <w:t xml:space="preserve"> to use highly secure forms of verification such as </w:t>
      </w:r>
      <w:r w:rsidRPr="00517918">
        <w:rPr>
          <w:rFonts w:cstheme="minorHAnsi"/>
          <w:color w:val="000000"/>
        </w:rPr>
        <w:t>hardware or software authentication tokens</w:t>
      </w:r>
      <w:r w:rsidR="00517918">
        <w:rPr>
          <w:rFonts w:cstheme="minorHAnsi"/>
          <w:color w:val="000000"/>
        </w:rPr>
        <w:t xml:space="preserve"> which are generated </w:t>
      </w:r>
      <w:r w:rsidR="00517918" w:rsidRPr="00517918">
        <w:rPr>
          <w:rFonts w:eastAsia="Calibri" w:cstheme="minorHAnsi"/>
          <w:color w:val="000000"/>
        </w:rPr>
        <w:t>with a mobile app</w:t>
      </w:r>
      <w:r w:rsidR="00517918">
        <w:rPr>
          <w:rFonts w:eastAsia="Calibri" w:cstheme="minorHAnsi"/>
          <w:color w:val="000000"/>
        </w:rPr>
        <w:t>. We’ve already seen</w:t>
      </w:r>
      <w:r w:rsidR="00AF4898">
        <w:rPr>
          <w:rFonts w:eastAsia="Calibri" w:cstheme="minorHAnsi"/>
          <w:color w:val="000000"/>
        </w:rPr>
        <w:t xml:space="preserve"> some</w:t>
      </w:r>
      <w:r w:rsidR="00517918">
        <w:rPr>
          <w:rFonts w:eastAsia="Calibri" w:cstheme="minorHAnsi"/>
          <w:color w:val="000000"/>
        </w:rPr>
        <w:t xml:space="preserve"> </w:t>
      </w:r>
      <w:r w:rsidR="00C42372">
        <w:rPr>
          <w:rFonts w:eastAsia="Calibri" w:cstheme="minorHAnsi"/>
          <w:color w:val="000000"/>
        </w:rPr>
        <w:t>government services</w:t>
      </w:r>
      <w:r w:rsidR="00517918">
        <w:rPr>
          <w:rFonts w:eastAsia="Calibri" w:cstheme="minorHAnsi"/>
          <w:color w:val="000000"/>
        </w:rPr>
        <w:t xml:space="preserve"> </w:t>
      </w:r>
      <w:r w:rsidR="00C42372">
        <w:rPr>
          <w:rFonts w:eastAsia="Calibri" w:cstheme="minorHAnsi"/>
          <w:color w:val="000000"/>
        </w:rPr>
        <w:t>adopt</w:t>
      </w:r>
      <w:r w:rsidR="00517918">
        <w:rPr>
          <w:rFonts w:eastAsia="Calibri" w:cstheme="minorHAnsi"/>
          <w:color w:val="000000"/>
        </w:rPr>
        <w:t xml:space="preserve"> this </w:t>
      </w:r>
      <w:r w:rsidR="00517918" w:rsidRPr="00AF4898">
        <w:rPr>
          <w:rFonts w:eastAsia="Calibri" w:cstheme="minorHAnsi"/>
          <w:color w:val="000000"/>
        </w:rPr>
        <w:t xml:space="preserve">approach through the development of the </w:t>
      </w:r>
      <w:proofErr w:type="spellStart"/>
      <w:r w:rsidR="00517918" w:rsidRPr="00AF4898">
        <w:rPr>
          <w:rFonts w:eastAsia="Calibri" w:cstheme="minorHAnsi"/>
          <w:color w:val="000000"/>
        </w:rPr>
        <w:t>myGov</w:t>
      </w:r>
      <w:proofErr w:type="spellEnd"/>
      <w:r w:rsidR="00517918" w:rsidRPr="00AF4898">
        <w:rPr>
          <w:rFonts w:eastAsia="Calibri" w:cstheme="minorHAnsi"/>
          <w:color w:val="000000"/>
        </w:rPr>
        <w:t xml:space="preserve"> Code Generator app.” </w:t>
      </w:r>
      <w:r w:rsidR="00517918" w:rsidRPr="00AF4898">
        <w:rPr>
          <w:rFonts w:cstheme="minorHAnsi"/>
          <w:color w:val="000000"/>
        </w:rPr>
        <w:t xml:space="preserve"> </w:t>
      </w:r>
    </w:p>
    <w:p w:rsidR="00AF4898" w:rsidRPr="00AF4898" w:rsidRDefault="00DB5DD2" w:rsidP="00AF4898">
      <w:pPr>
        <w:tabs>
          <w:tab w:val="left" w:pos="1090"/>
        </w:tabs>
        <w:rPr>
          <w:rFonts w:cstheme="minorHAnsi"/>
          <w:bCs/>
          <w:color w:val="000000"/>
        </w:rPr>
      </w:pPr>
      <w:r>
        <w:rPr>
          <w:rFonts w:cstheme="minorHAnsi"/>
          <w:bCs/>
          <w:color w:val="000000"/>
        </w:rPr>
        <w:t>A warning sign</w:t>
      </w:r>
      <w:r w:rsidR="00AF4898" w:rsidRPr="00AF4898">
        <w:rPr>
          <w:rFonts w:cstheme="minorHAnsi"/>
          <w:bCs/>
          <w:color w:val="000000"/>
        </w:rPr>
        <w:t xml:space="preserve"> of fraudulent mobile number porting </w:t>
      </w:r>
      <w:r>
        <w:rPr>
          <w:rFonts w:cstheme="minorHAnsi"/>
          <w:bCs/>
          <w:color w:val="000000"/>
        </w:rPr>
        <w:t>is when your</w:t>
      </w:r>
      <w:r w:rsidR="00AF4898" w:rsidRPr="00AF4898">
        <w:rPr>
          <w:rFonts w:cstheme="minorHAnsi"/>
          <w:bCs/>
          <w:color w:val="000000"/>
        </w:rPr>
        <w:t xml:space="preserve"> </w:t>
      </w:r>
      <w:r w:rsidR="00AF4898" w:rsidRPr="00AF4898">
        <w:rPr>
          <w:rFonts w:cstheme="minorHAnsi"/>
          <w:color w:val="000000"/>
        </w:rPr>
        <w:t>mobile screen shows ‘SOS only’ where the reception bars usually appear.</w:t>
      </w:r>
    </w:p>
    <w:p w:rsidR="009B56EE" w:rsidRDefault="00AF4898" w:rsidP="00AF4898">
      <w:pPr>
        <w:tabs>
          <w:tab w:val="left" w:pos="1090"/>
        </w:tabs>
        <w:rPr>
          <w:rFonts w:cstheme="minorHAnsi"/>
          <w:bCs/>
          <w:color w:val="000000"/>
        </w:rPr>
      </w:pPr>
      <w:r w:rsidRPr="00AF4898">
        <w:rPr>
          <w:rFonts w:cstheme="minorHAnsi"/>
          <w:bCs/>
          <w:color w:val="000000"/>
        </w:rPr>
        <w:t xml:space="preserve">Consumers who have had their number fraudulently ported should report the scam to </w:t>
      </w:r>
      <w:hyperlink r:id="rId11" w:tgtFrame="_blank" w:tooltip="Scamwatch website [opens in a new window]" w:history="1">
        <w:proofErr w:type="spellStart"/>
        <w:r w:rsidRPr="00AF4898">
          <w:rPr>
            <w:rStyle w:val="Hyperlink"/>
            <w:rFonts w:cstheme="minorHAnsi"/>
            <w:bCs/>
          </w:rPr>
          <w:t>Scamwatch</w:t>
        </w:r>
        <w:proofErr w:type="spellEnd"/>
      </w:hyperlink>
      <w:r w:rsidRPr="00AF4898">
        <w:rPr>
          <w:rFonts w:cstheme="minorHAnsi"/>
          <w:bCs/>
          <w:color w:val="000000"/>
        </w:rPr>
        <w:t xml:space="preserve"> and </w:t>
      </w:r>
      <w:hyperlink r:id="rId12" w:history="1">
        <w:proofErr w:type="spellStart"/>
        <w:r w:rsidRPr="00AF4898">
          <w:rPr>
            <w:rStyle w:val="Hyperlink"/>
            <w:rFonts w:cstheme="minorHAnsi"/>
            <w:bCs/>
          </w:rPr>
          <w:t>ReportCyber</w:t>
        </w:r>
        <w:proofErr w:type="spellEnd"/>
      </w:hyperlink>
      <w:r w:rsidRPr="00AF4898">
        <w:rPr>
          <w:rFonts w:cstheme="minorHAnsi"/>
          <w:bCs/>
          <w:color w:val="000000"/>
        </w:rPr>
        <w:t xml:space="preserve">. </w:t>
      </w:r>
    </w:p>
    <w:p w:rsidR="00AF4898" w:rsidRPr="00AF4898" w:rsidRDefault="00AF4898" w:rsidP="00AF4898">
      <w:pPr>
        <w:tabs>
          <w:tab w:val="left" w:pos="1090"/>
        </w:tabs>
        <w:rPr>
          <w:rFonts w:cstheme="minorHAnsi"/>
          <w:bCs/>
          <w:color w:val="000000"/>
        </w:rPr>
      </w:pPr>
      <w:bookmarkStart w:id="0" w:name="_GoBack"/>
      <w:bookmarkEnd w:id="0"/>
      <w:r w:rsidRPr="00AF4898">
        <w:rPr>
          <w:rFonts w:cstheme="minorHAnsi"/>
          <w:bCs/>
          <w:color w:val="000000"/>
        </w:rPr>
        <w:t xml:space="preserve">For help with identity fraud, contact </w:t>
      </w:r>
      <w:hyperlink r:id="rId13" w:tgtFrame="_blank" w:tooltip="IDCare website [opens in a new window]" w:history="1">
        <w:proofErr w:type="spellStart"/>
        <w:r w:rsidRPr="00AF4898">
          <w:rPr>
            <w:rStyle w:val="Hyperlink"/>
            <w:rFonts w:cstheme="minorHAnsi"/>
            <w:bCs/>
          </w:rPr>
          <w:t>IDCare</w:t>
        </w:r>
        <w:proofErr w:type="spellEnd"/>
      </w:hyperlink>
      <w:r w:rsidRPr="00AF4898">
        <w:rPr>
          <w:rFonts w:cstheme="minorHAnsi"/>
          <w:bCs/>
          <w:color w:val="000000"/>
        </w:rPr>
        <w:t>.</w:t>
      </w:r>
    </w:p>
    <w:p w:rsidR="00AF4898" w:rsidRPr="00AF4898" w:rsidRDefault="00AF4898" w:rsidP="00AF4898">
      <w:pPr>
        <w:tabs>
          <w:tab w:val="left" w:pos="1090"/>
        </w:tabs>
        <w:ind w:left="360"/>
        <w:jc w:val="center"/>
        <w:rPr>
          <w:rFonts w:ascii="Arial" w:hAnsi="Arial" w:cs="Arial"/>
          <w:b/>
          <w:bCs/>
          <w:color w:val="000000"/>
        </w:rPr>
      </w:pPr>
      <w:r w:rsidRPr="00AF4898">
        <w:rPr>
          <w:rFonts w:ascii="Arial" w:hAnsi="Arial" w:cs="Arial"/>
          <w:b/>
          <w:bCs/>
          <w:color w:val="000000"/>
        </w:rPr>
        <w:t>-</w:t>
      </w:r>
      <w:r>
        <w:rPr>
          <w:rFonts w:ascii="Arial" w:hAnsi="Arial" w:cs="Arial"/>
          <w:b/>
          <w:bCs/>
          <w:color w:val="000000"/>
        </w:rPr>
        <w:t xml:space="preserve">  </w:t>
      </w:r>
      <w:r w:rsidRPr="00AF4898">
        <w:rPr>
          <w:rFonts w:ascii="Arial" w:hAnsi="Arial" w:cs="Arial"/>
          <w:b/>
          <w:bCs/>
          <w:color w:val="000000"/>
        </w:rPr>
        <w:t>ENDS -</w:t>
      </w:r>
    </w:p>
    <w:p w:rsidR="00C42372" w:rsidRDefault="00AF4898" w:rsidP="00C42372">
      <w:pPr>
        <w:tabs>
          <w:tab w:val="left" w:pos="1090"/>
        </w:tabs>
        <w:rPr>
          <w:rFonts w:ascii="Arial" w:hAnsi="Arial" w:cs="Arial"/>
          <w:b/>
          <w:bCs/>
          <w:color w:val="000000"/>
        </w:rPr>
      </w:pPr>
      <w:r>
        <w:rPr>
          <w:rFonts w:ascii="Arial" w:hAnsi="Arial" w:cs="Arial"/>
          <w:b/>
          <w:bCs/>
          <w:color w:val="000000"/>
        </w:rPr>
        <w:t xml:space="preserve"> </w:t>
      </w:r>
    </w:p>
    <w:p w:rsidR="00AF4898" w:rsidRDefault="00AF4898" w:rsidP="00AF4898">
      <w:pPr>
        <w:pStyle w:val="Heading2"/>
      </w:pPr>
      <w:r>
        <w:lastRenderedPageBreak/>
        <w:t>How to protect yourself from fraudulent mobile number porting</w:t>
      </w:r>
    </w:p>
    <w:p w:rsidR="00AF4898" w:rsidRDefault="00AF4898" w:rsidP="00AF4898">
      <w:pPr>
        <w:pStyle w:val="ListParagraph"/>
        <w:numPr>
          <w:ilvl w:val="0"/>
          <w:numId w:val="36"/>
        </w:numPr>
      </w:pPr>
      <w:r>
        <w:t>Set up a secret PIN or password with your telco to identify yourself</w:t>
      </w:r>
    </w:p>
    <w:p w:rsidR="00A32A16" w:rsidRDefault="00DB5DD2" w:rsidP="00AF4898">
      <w:pPr>
        <w:pStyle w:val="ListParagraph"/>
        <w:numPr>
          <w:ilvl w:val="0"/>
          <w:numId w:val="36"/>
        </w:numPr>
      </w:pPr>
      <w:r>
        <w:t>Don’t use</w:t>
      </w:r>
      <w:r w:rsidR="00A32A16">
        <w:t xml:space="preserve"> your mobile phone number and birthdate </w:t>
      </w:r>
      <w:r>
        <w:t>on</w:t>
      </w:r>
      <w:r w:rsidR="00A32A16">
        <w:t xml:space="preserve"> social media and other public accounts</w:t>
      </w:r>
    </w:p>
    <w:p w:rsidR="00A32A16" w:rsidRDefault="00A32A16" w:rsidP="00A32A16">
      <w:pPr>
        <w:pStyle w:val="ListParagraph"/>
        <w:numPr>
          <w:ilvl w:val="0"/>
          <w:numId w:val="36"/>
        </w:numPr>
      </w:pPr>
      <w:r w:rsidRPr="00A32A16">
        <w:t>Create strong passwords for your online accounts and use different passwords for different accounts.</w:t>
      </w:r>
    </w:p>
    <w:p w:rsidR="00A32A16" w:rsidRDefault="00A32A16" w:rsidP="00A32A16">
      <w:pPr>
        <w:pStyle w:val="ListParagraph"/>
        <w:numPr>
          <w:ilvl w:val="0"/>
          <w:numId w:val="36"/>
        </w:numPr>
      </w:pPr>
      <w:r>
        <w:t>Use two-step verification to login to your online accounts wherever possible</w:t>
      </w:r>
    </w:p>
    <w:p w:rsidR="00A32A16" w:rsidRDefault="00A32A16" w:rsidP="00A32A16">
      <w:pPr>
        <w:pStyle w:val="ListParagraph"/>
        <w:numPr>
          <w:ilvl w:val="0"/>
          <w:numId w:val="36"/>
        </w:numPr>
      </w:pPr>
      <w:r>
        <w:t>Don’t leave mail that conta</w:t>
      </w:r>
      <w:r w:rsidR="00DB5DD2">
        <w:t>ins personal information in an unlocked letterbox</w:t>
      </w:r>
    </w:p>
    <w:sectPr w:rsidR="00A32A16" w:rsidSect="00494950">
      <w:headerReference w:type="default" r:id="rId14"/>
      <w:footerReference w:type="default" r:id="rId15"/>
      <w:pgSz w:w="11906" w:h="16838"/>
      <w:pgMar w:top="720" w:right="720" w:bottom="720" w:left="720" w:header="227" w:footer="141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521" w:rsidRDefault="00695521" w:rsidP="00E87F3A">
      <w:pPr>
        <w:spacing w:after="0" w:line="240" w:lineRule="auto"/>
      </w:pPr>
      <w:r>
        <w:separator/>
      </w:r>
    </w:p>
  </w:endnote>
  <w:endnote w:type="continuationSeparator" w:id="0">
    <w:p w:rsidR="00695521" w:rsidRDefault="0069552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6A7DFDD3" wp14:editId="7E7F6C9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9755D4D" wp14:editId="268956A0">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7DCCF124" wp14:editId="3A4BFB0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0FEAD6B3" wp14:editId="3F3B549D">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521" w:rsidRDefault="00695521" w:rsidP="00E87F3A">
      <w:pPr>
        <w:spacing w:after="0" w:line="240" w:lineRule="auto"/>
      </w:pPr>
      <w:r>
        <w:separator/>
      </w:r>
    </w:p>
  </w:footnote>
  <w:footnote w:type="continuationSeparator" w:id="0">
    <w:p w:rsidR="00695521" w:rsidRDefault="0069552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33B8D5CD" wp14:editId="54EEDC15">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21C3F24"/>
    <w:multiLevelType w:val="hybridMultilevel"/>
    <w:tmpl w:val="FF82A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BA4BA5"/>
    <w:multiLevelType w:val="hybridMultilevel"/>
    <w:tmpl w:val="9BD85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C55E74"/>
    <w:multiLevelType w:val="multilevel"/>
    <w:tmpl w:val="9DE6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4280E38"/>
    <w:multiLevelType w:val="hybridMultilevel"/>
    <w:tmpl w:val="C89A3E58"/>
    <w:lvl w:ilvl="0" w:tplc="0DBAE7FE">
      <w:numFmt w:val="bullet"/>
      <w:lvlText w:val="-"/>
      <w:lvlJc w:val="left"/>
      <w:pPr>
        <w:ind w:left="720" w:hanging="360"/>
      </w:pPr>
      <w:rPr>
        <w:rFonts w:ascii="Arial" w:eastAsiaTheme="minorHAnsi" w:hAnsi="Arial" w:cs="Arial" w:hint="default"/>
      </w:rPr>
    </w:lvl>
    <w:lvl w:ilvl="1" w:tplc="494C673C">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2C009B"/>
    <w:multiLevelType w:val="hybridMultilevel"/>
    <w:tmpl w:val="8926D6FE"/>
    <w:lvl w:ilvl="0" w:tplc="F70E59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273466"/>
    <w:multiLevelType w:val="multilevel"/>
    <w:tmpl w:val="E64A5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129353C"/>
    <w:multiLevelType w:val="hybridMultilevel"/>
    <w:tmpl w:val="BA106E22"/>
    <w:lvl w:ilvl="0" w:tplc="0DBAE7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98D23B8"/>
    <w:multiLevelType w:val="hybridMultilevel"/>
    <w:tmpl w:val="F23209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67C3CD8"/>
    <w:multiLevelType w:val="multilevel"/>
    <w:tmpl w:val="C5AC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3">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32"/>
  </w:num>
  <w:num w:numId="4">
    <w:abstractNumId w:val="5"/>
  </w:num>
  <w:num w:numId="5">
    <w:abstractNumId w:val="12"/>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5"/>
  </w:num>
  <w:num w:numId="11">
    <w:abstractNumId w:val="13"/>
  </w:num>
  <w:num w:numId="12">
    <w:abstractNumId w:val="10"/>
  </w:num>
  <w:num w:numId="13">
    <w:abstractNumId w:val="4"/>
  </w:num>
  <w:num w:numId="14">
    <w:abstractNumId w:val="3"/>
  </w:num>
  <w:num w:numId="15">
    <w:abstractNumId w:val="2"/>
  </w:num>
  <w:num w:numId="16">
    <w:abstractNumId w:val="18"/>
  </w:num>
  <w:num w:numId="17">
    <w:abstractNumId w:val="28"/>
  </w:num>
  <w:num w:numId="18">
    <w:abstractNumId w:val="29"/>
  </w:num>
  <w:num w:numId="19">
    <w:abstractNumId w:val="14"/>
  </w:num>
  <w:num w:numId="20">
    <w:abstractNumId w:val="27"/>
  </w:num>
  <w:num w:numId="21">
    <w:abstractNumId w:val="17"/>
  </w:num>
  <w:num w:numId="22">
    <w:abstractNumId w:val="31"/>
  </w:num>
  <w:num w:numId="23">
    <w:abstractNumId w:val="22"/>
  </w:num>
  <w:num w:numId="24">
    <w:abstractNumId w:val="24"/>
  </w:num>
  <w:num w:numId="25">
    <w:abstractNumId w:val="33"/>
  </w:num>
  <w:num w:numId="26">
    <w:abstractNumId w:val="34"/>
  </w:num>
  <w:num w:numId="27">
    <w:abstractNumId w:val="15"/>
  </w:num>
  <w:num w:numId="28">
    <w:abstractNumId w:val="19"/>
  </w:num>
  <w:num w:numId="29">
    <w:abstractNumId w:val="6"/>
  </w:num>
  <w:num w:numId="30">
    <w:abstractNumId w:val="30"/>
  </w:num>
  <w:num w:numId="31">
    <w:abstractNumId w:val="9"/>
  </w:num>
  <w:num w:numId="32">
    <w:abstractNumId w:val="16"/>
  </w:num>
  <w:num w:numId="33">
    <w:abstractNumId w:val="23"/>
  </w:num>
  <w:num w:numId="34">
    <w:abstractNumId w:val="11"/>
  </w:num>
  <w:num w:numId="35">
    <w:abstractNumId w:val="26"/>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20C1"/>
    <w:rsid w:val="0003618C"/>
    <w:rsid w:val="00037620"/>
    <w:rsid w:val="00037D23"/>
    <w:rsid w:val="000414E0"/>
    <w:rsid w:val="000458A5"/>
    <w:rsid w:val="000479F6"/>
    <w:rsid w:val="00047D3C"/>
    <w:rsid w:val="00050DE4"/>
    <w:rsid w:val="00051A66"/>
    <w:rsid w:val="00051A97"/>
    <w:rsid w:val="00055CC2"/>
    <w:rsid w:val="00064E7E"/>
    <w:rsid w:val="00065C28"/>
    <w:rsid w:val="0007277E"/>
    <w:rsid w:val="00076459"/>
    <w:rsid w:val="00081946"/>
    <w:rsid w:val="000865BC"/>
    <w:rsid w:val="00093640"/>
    <w:rsid w:val="000A1432"/>
    <w:rsid w:val="000A61EA"/>
    <w:rsid w:val="000A7668"/>
    <w:rsid w:val="000B2496"/>
    <w:rsid w:val="000B3C95"/>
    <w:rsid w:val="000C0981"/>
    <w:rsid w:val="000C0A4C"/>
    <w:rsid w:val="000C0F2D"/>
    <w:rsid w:val="000C2EF5"/>
    <w:rsid w:val="000D1918"/>
    <w:rsid w:val="000D38CB"/>
    <w:rsid w:val="000E2B75"/>
    <w:rsid w:val="000F0AFB"/>
    <w:rsid w:val="000F1758"/>
    <w:rsid w:val="000F2BC5"/>
    <w:rsid w:val="000F7A50"/>
    <w:rsid w:val="0010439C"/>
    <w:rsid w:val="0010495D"/>
    <w:rsid w:val="00117897"/>
    <w:rsid w:val="00122908"/>
    <w:rsid w:val="001257F2"/>
    <w:rsid w:val="00126202"/>
    <w:rsid w:val="0012662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31BB"/>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1F7526"/>
    <w:rsid w:val="00201924"/>
    <w:rsid w:val="00204231"/>
    <w:rsid w:val="00204DE1"/>
    <w:rsid w:val="00210CE2"/>
    <w:rsid w:val="002133DD"/>
    <w:rsid w:val="0021471D"/>
    <w:rsid w:val="002212E9"/>
    <w:rsid w:val="002279B3"/>
    <w:rsid w:val="00231AD9"/>
    <w:rsid w:val="0023229A"/>
    <w:rsid w:val="00237B60"/>
    <w:rsid w:val="00241F35"/>
    <w:rsid w:val="0024402E"/>
    <w:rsid w:val="002455F7"/>
    <w:rsid w:val="00253503"/>
    <w:rsid w:val="00256F3F"/>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C5E85"/>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5BB8"/>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96AA5"/>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8E6"/>
    <w:rsid w:val="00406D10"/>
    <w:rsid w:val="004074DC"/>
    <w:rsid w:val="00407BA3"/>
    <w:rsid w:val="004106A0"/>
    <w:rsid w:val="00412E9F"/>
    <w:rsid w:val="0041491D"/>
    <w:rsid w:val="00414D97"/>
    <w:rsid w:val="00416F2E"/>
    <w:rsid w:val="0042234F"/>
    <w:rsid w:val="00423139"/>
    <w:rsid w:val="004231B8"/>
    <w:rsid w:val="004233A3"/>
    <w:rsid w:val="00423F9C"/>
    <w:rsid w:val="0042616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1B6"/>
    <w:rsid w:val="004914BD"/>
    <w:rsid w:val="00492242"/>
    <w:rsid w:val="0049314F"/>
    <w:rsid w:val="00494950"/>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17918"/>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EC5"/>
    <w:rsid w:val="006029BB"/>
    <w:rsid w:val="00610CE3"/>
    <w:rsid w:val="00610FD6"/>
    <w:rsid w:val="0061113F"/>
    <w:rsid w:val="006159F7"/>
    <w:rsid w:val="0061718F"/>
    <w:rsid w:val="006266DC"/>
    <w:rsid w:val="00627C19"/>
    <w:rsid w:val="00631256"/>
    <w:rsid w:val="0063373D"/>
    <w:rsid w:val="0063542B"/>
    <w:rsid w:val="00635B47"/>
    <w:rsid w:val="0063644C"/>
    <w:rsid w:val="00640A9A"/>
    <w:rsid w:val="006416A4"/>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95521"/>
    <w:rsid w:val="006A0B44"/>
    <w:rsid w:val="006A5984"/>
    <w:rsid w:val="006A5E73"/>
    <w:rsid w:val="006A7F74"/>
    <w:rsid w:val="006B0FDD"/>
    <w:rsid w:val="006B1C88"/>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04FF"/>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3732E"/>
    <w:rsid w:val="00742E14"/>
    <w:rsid w:val="00746353"/>
    <w:rsid w:val="00753FF7"/>
    <w:rsid w:val="007561FD"/>
    <w:rsid w:val="00760807"/>
    <w:rsid w:val="00763BA3"/>
    <w:rsid w:val="00765066"/>
    <w:rsid w:val="00765758"/>
    <w:rsid w:val="00766CAF"/>
    <w:rsid w:val="00767D1C"/>
    <w:rsid w:val="00776532"/>
    <w:rsid w:val="00783E62"/>
    <w:rsid w:val="00791D45"/>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1AF3"/>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4F95"/>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0CFA"/>
    <w:rsid w:val="008D06FA"/>
    <w:rsid w:val="008D699F"/>
    <w:rsid w:val="008D7596"/>
    <w:rsid w:val="008E0881"/>
    <w:rsid w:val="008E2E38"/>
    <w:rsid w:val="008E66BA"/>
    <w:rsid w:val="008E6914"/>
    <w:rsid w:val="008E796C"/>
    <w:rsid w:val="008E7F36"/>
    <w:rsid w:val="008F08C3"/>
    <w:rsid w:val="0090256B"/>
    <w:rsid w:val="009026CB"/>
    <w:rsid w:val="00904E8C"/>
    <w:rsid w:val="00906CBA"/>
    <w:rsid w:val="00913402"/>
    <w:rsid w:val="00915925"/>
    <w:rsid w:val="00926E82"/>
    <w:rsid w:val="00927C57"/>
    <w:rsid w:val="0093087E"/>
    <w:rsid w:val="00933FBC"/>
    <w:rsid w:val="00934158"/>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6EE"/>
    <w:rsid w:val="009B5762"/>
    <w:rsid w:val="009B6827"/>
    <w:rsid w:val="009B6DD2"/>
    <w:rsid w:val="009B6E68"/>
    <w:rsid w:val="009C1D87"/>
    <w:rsid w:val="009C77FD"/>
    <w:rsid w:val="009D5CFE"/>
    <w:rsid w:val="009E3503"/>
    <w:rsid w:val="009E3D8B"/>
    <w:rsid w:val="009E4796"/>
    <w:rsid w:val="009E6216"/>
    <w:rsid w:val="009F3A28"/>
    <w:rsid w:val="00A01EF1"/>
    <w:rsid w:val="00A02DED"/>
    <w:rsid w:val="00A033CE"/>
    <w:rsid w:val="00A042C9"/>
    <w:rsid w:val="00A051AC"/>
    <w:rsid w:val="00A108CE"/>
    <w:rsid w:val="00A1137D"/>
    <w:rsid w:val="00A11AA2"/>
    <w:rsid w:val="00A153FA"/>
    <w:rsid w:val="00A154AD"/>
    <w:rsid w:val="00A16D0F"/>
    <w:rsid w:val="00A20DD6"/>
    <w:rsid w:val="00A211CA"/>
    <w:rsid w:val="00A231BD"/>
    <w:rsid w:val="00A32A16"/>
    <w:rsid w:val="00A35BD1"/>
    <w:rsid w:val="00A36877"/>
    <w:rsid w:val="00A37502"/>
    <w:rsid w:val="00A42790"/>
    <w:rsid w:val="00A428CF"/>
    <w:rsid w:val="00A42B69"/>
    <w:rsid w:val="00A43D41"/>
    <w:rsid w:val="00A44415"/>
    <w:rsid w:val="00A45337"/>
    <w:rsid w:val="00A454F7"/>
    <w:rsid w:val="00A470ED"/>
    <w:rsid w:val="00A474E7"/>
    <w:rsid w:val="00A5154A"/>
    <w:rsid w:val="00A52EE8"/>
    <w:rsid w:val="00A535E0"/>
    <w:rsid w:val="00A5504E"/>
    <w:rsid w:val="00A57023"/>
    <w:rsid w:val="00A613BD"/>
    <w:rsid w:val="00A65C99"/>
    <w:rsid w:val="00A65E8D"/>
    <w:rsid w:val="00A704B1"/>
    <w:rsid w:val="00A71ADA"/>
    <w:rsid w:val="00A736B8"/>
    <w:rsid w:val="00A73FF1"/>
    <w:rsid w:val="00A74672"/>
    <w:rsid w:val="00A75E59"/>
    <w:rsid w:val="00A77556"/>
    <w:rsid w:val="00A80250"/>
    <w:rsid w:val="00A86A73"/>
    <w:rsid w:val="00A90793"/>
    <w:rsid w:val="00A91B1A"/>
    <w:rsid w:val="00A9654D"/>
    <w:rsid w:val="00AA078B"/>
    <w:rsid w:val="00AA1E17"/>
    <w:rsid w:val="00AA5A07"/>
    <w:rsid w:val="00AB10E5"/>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46BC"/>
    <w:rsid w:val="00AE7923"/>
    <w:rsid w:val="00AF447F"/>
    <w:rsid w:val="00AF4647"/>
    <w:rsid w:val="00AF4667"/>
    <w:rsid w:val="00AF4898"/>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381"/>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2A2D"/>
    <w:rsid w:val="00B9659D"/>
    <w:rsid w:val="00BA48F0"/>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12C7"/>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2372"/>
    <w:rsid w:val="00C442FE"/>
    <w:rsid w:val="00C44B28"/>
    <w:rsid w:val="00C4695B"/>
    <w:rsid w:val="00C51B16"/>
    <w:rsid w:val="00C5375D"/>
    <w:rsid w:val="00C539D8"/>
    <w:rsid w:val="00C55490"/>
    <w:rsid w:val="00C60A48"/>
    <w:rsid w:val="00C61BAD"/>
    <w:rsid w:val="00C644F0"/>
    <w:rsid w:val="00C6479A"/>
    <w:rsid w:val="00C65FE2"/>
    <w:rsid w:val="00C71C38"/>
    <w:rsid w:val="00C72709"/>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007F"/>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67A0B"/>
    <w:rsid w:val="00D71B18"/>
    <w:rsid w:val="00D71EF1"/>
    <w:rsid w:val="00D71F2C"/>
    <w:rsid w:val="00D724DA"/>
    <w:rsid w:val="00D726DC"/>
    <w:rsid w:val="00D72F86"/>
    <w:rsid w:val="00D750FF"/>
    <w:rsid w:val="00D82DB5"/>
    <w:rsid w:val="00D83B37"/>
    <w:rsid w:val="00D84292"/>
    <w:rsid w:val="00D84998"/>
    <w:rsid w:val="00D84EE5"/>
    <w:rsid w:val="00D90906"/>
    <w:rsid w:val="00D91807"/>
    <w:rsid w:val="00D94DE4"/>
    <w:rsid w:val="00D97113"/>
    <w:rsid w:val="00DA2EDE"/>
    <w:rsid w:val="00DA3C56"/>
    <w:rsid w:val="00DA3E2D"/>
    <w:rsid w:val="00DA4853"/>
    <w:rsid w:val="00DA53E6"/>
    <w:rsid w:val="00DA5BFB"/>
    <w:rsid w:val="00DA5DAD"/>
    <w:rsid w:val="00DB3D9D"/>
    <w:rsid w:val="00DB5DD2"/>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3E5E"/>
    <w:rsid w:val="00E2546D"/>
    <w:rsid w:val="00E254E5"/>
    <w:rsid w:val="00E3017C"/>
    <w:rsid w:val="00E3095D"/>
    <w:rsid w:val="00E31272"/>
    <w:rsid w:val="00E34BEF"/>
    <w:rsid w:val="00E37183"/>
    <w:rsid w:val="00E500DA"/>
    <w:rsid w:val="00E51032"/>
    <w:rsid w:val="00E52713"/>
    <w:rsid w:val="00E52F9A"/>
    <w:rsid w:val="00E53B4B"/>
    <w:rsid w:val="00E5582A"/>
    <w:rsid w:val="00E5677C"/>
    <w:rsid w:val="00E63A86"/>
    <w:rsid w:val="00E63B83"/>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A43D1"/>
    <w:rsid w:val="00EB0726"/>
    <w:rsid w:val="00EB2613"/>
    <w:rsid w:val="00EB2CEC"/>
    <w:rsid w:val="00EC24D0"/>
    <w:rsid w:val="00EC5A32"/>
    <w:rsid w:val="00EC5CAF"/>
    <w:rsid w:val="00EC70E8"/>
    <w:rsid w:val="00EE24E6"/>
    <w:rsid w:val="00EE62B9"/>
    <w:rsid w:val="00EE78B6"/>
    <w:rsid w:val="00EF0142"/>
    <w:rsid w:val="00EF63F7"/>
    <w:rsid w:val="00F053E9"/>
    <w:rsid w:val="00F05542"/>
    <w:rsid w:val="00F06F86"/>
    <w:rsid w:val="00F11041"/>
    <w:rsid w:val="00F14CC4"/>
    <w:rsid w:val="00F22E2F"/>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1AA4"/>
    <w:rsid w:val="00F824E8"/>
    <w:rsid w:val="00F82AEB"/>
    <w:rsid w:val="00F83730"/>
    <w:rsid w:val="00F83C63"/>
    <w:rsid w:val="00F86A2A"/>
    <w:rsid w:val="00F87C9D"/>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D6C4C"/>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w:basedOn w:val="Normal"/>
    <w:link w:val="FootnoteTextChar"/>
    <w:unhideWhenUsed/>
    <w:rsid w:val="0073351E"/>
    <w:pPr>
      <w:spacing w:after="0" w:line="240" w:lineRule="auto"/>
    </w:pPr>
    <w:rPr>
      <w:color w:val="auto"/>
      <w:sz w:val="20"/>
      <w:szCs w:val="20"/>
      <w:lang w:val="en-GB"/>
    </w:rPr>
  </w:style>
  <w:style w:type="character" w:customStyle="1" w:styleId="FootnoteTextChar">
    <w:name w:val="Footnote Text Char"/>
    <w:aliases w:val="Footnote text Char"/>
    <w:basedOn w:val="DefaultParagraphFont"/>
    <w:link w:val="FootnoteText"/>
    <w:rsid w:val="0073351E"/>
    <w:rPr>
      <w:color w:val="auto"/>
      <w:sz w:val="20"/>
      <w:szCs w:val="20"/>
      <w:lang w:val="en-GB"/>
    </w:rPr>
  </w:style>
  <w:style w:type="character" w:styleId="FootnoteReference">
    <w:name w:val="footnote reference"/>
    <w:basedOn w:val="DefaultParagraphFont"/>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BodyText1">
    <w:name w:val="Body Text1"/>
    <w:basedOn w:val="Normal"/>
    <w:rsid w:val="001F7526"/>
    <w:rPr>
      <w:rFonts w:ascii="Arial" w:hAnsi="Arial" w:cs="Arial"/>
      <w:color w:val="000000"/>
    </w:rPr>
  </w:style>
  <w:style w:type="paragraph" w:customStyle="1" w:styleId="Paragraph">
    <w:name w:val="Paragraph"/>
    <w:basedOn w:val="Normal"/>
    <w:qFormat/>
    <w:rsid w:val="00AE46BC"/>
    <w:pPr>
      <w:spacing w:after="240" w:line="240" w:lineRule="atLeast"/>
    </w:pPr>
    <w:rPr>
      <w:rFonts w:ascii="Arial" w:eastAsia="Times New Roman" w:hAnsi="Arial" w:cs="Arial"/>
      <w:color w:val="auto"/>
      <w:sz w:val="20"/>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w:basedOn w:val="Normal"/>
    <w:link w:val="FootnoteTextChar"/>
    <w:unhideWhenUsed/>
    <w:rsid w:val="0073351E"/>
    <w:pPr>
      <w:spacing w:after="0" w:line="240" w:lineRule="auto"/>
    </w:pPr>
    <w:rPr>
      <w:color w:val="auto"/>
      <w:sz w:val="20"/>
      <w:szCs w:val="20"/>
      <w:lang w:val="en-GB"/>
    </w:rPr>
  </w:style>
  <w:style w:type="character" w:customStyle="1" w:styleId="FootnoteTextChar">
    <w:name w:val="Footnote Text Char"/>
    <w:aliases w:val="Footnote text Char"/>
    <w:basedOn w:val="DefaultParagraphFont"/>
    <w:link w:val="FootnoteText"/>
    <w:rsid w:val="0073351E"/>
    <w:rPr>
      <w:color w:val="auto"/>
      <w:sz w:val="20"/>
      <w:szCs w:val="20"/>
      <w:lang w:val="en-GB"/>
    </w:rPr>
  </w:style>
  <w:style w:type="character" w:styleId="FootnoteReference">
    <w:name w:val="footnote reference"/>
    <w:basedOn w:val="DefaultParagraphFont"/>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BodyText1">
    <w:name w:val="Body Text1"/>
    <w:basedOn w:val="Normal"/>
    <w:rsid w:val="001F7526"/>
    <w:rPr>
      <w:rFonts w:ascii="Arial" w:hAnsi="Arial" w:cs="Arial"/>
      <w:color w:val="000000"/>
    </w:rPr>
  </w:style>
  <w:style w:type="paragraph" w:customStyle="1" w:styleId="Paragraph">
    <w:name w:val="Paragraph"/>
    <w:basedOn w:val="Normal"/>
    <w:qFormat/>
    <w:rsid w:val="00AE46BC"/>
    <w:pPr>
      <w:spacing w:after="240" w:line="240" w:lineRule="atLeast"/>
    </w:pPr>
    <w:rPr>
      <w:rFonts w:ascii="Arial" w:eastAsia="Times New Roman" w:hAnsi="Arial" w:cs="Arial"/>
      <w:color w:val="auto"/>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5195858">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258029113">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83342923">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1934159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27932406">
      <w:bodyDiv w:val="1"/>
      <w:marLeft w:val="0"/>
      <w:marRight w:val="0"/>
      <w:marTop w:val="0"/>
      <w:marBottom w:val="0"/>
      <w:divBdr>
        <w:top w:val="none" w:sz="0" w:space="0" w:color="auto"/>
        <w:left w:val="none" w:sz="0" w:space="0" w:color="auto"/>
        <w:bottom w:val="none" w:sz="0" w:space="0" w:color="auto"/>
        <w:right w:val="none" w:sz="0" w:space="0" w:color="auto"/>
      </w:divBdr>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3839934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8633048">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33365393">
      <w:bodyDiv w:val="1"/>
      <w:marLeft w:val="0"/>
      <w:marRight w:val="0"/>
      <w:marTop w:val="0"/>
      <w:marBottom w:val="0"/>
      <w:divBdr>
        <w:top w:val="none" w:sz="0" w:space="0" w:color="auto"/>
        <w:left w:val="none" w:sz="0" w:space="0" w:color="auto"/>
        <w:bottom w:val="none" w:sz="0" w:space="0" w:color="auto"/>
        <w:right w:val="none" w:sz="0" w:space="0" w:color="auto"/>
      </w:divBdr>
    </w:div>
    <w:div w:id="1679187924">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710840767">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35819346">
      <w:bodyDiv w:val="1"/>
      <w:marLeft w:val="0"/>
      <w:marRight w:val="0"/>
      <w:marTop w:val="0"/>
      <w:marBottom w:val="0"/>
      <w:divBdr>
        <w:top w:val="none" w:sz="0" w:space="0" w:color="auto"/>
        <w:left w:val="none" w:sz="0" w:space="0" w:color="auto"/>
        <w:bottom w:val="none" w:sz="0" w:space="0" w:color="auto"/>
        <w:right w:val="none" w:sz="0" w:space="0" w:color="auto"/>
      </w:divBdr>
    </w:div>
    <w:div w:id="1954749068">
      <w:bodyDiv w:val="1"/>
      <w:marLeft w:val="0"/>
      <w:marRight w:val="0"/>
      <w:marTop w:val="0"/>
      <w:marBottom w:val="0"/>
      <w:divBdr>
        <w:top w:val="none" w:sz="0" w:space="0" w:color="auto"/>
        <w:left w:val="none" w:sz="0" w:space="0" w:color="auto"/>
        <w:bottom w:val="none" w:sz="0" w:space="0" w:color="auto"/>
        <w:right w:val="none" w:sz="0" w:space="0" w:color="auto"/>
      </w:divBdr>
      <w:divsChild>
        <w:div w:id="126769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 w:id="2106460103">
      <w:bodyDiv w:val="1"/>
      <w:marLeft w:val="0"/>
      <w:marRight w:val="0"/>
      <w:marTop w:val="0"/>
      <w:marBottom w:val="0"/>
      <w:divBdr>
        <w:top w:val="none" w:sz="0" w:space="0" w:color="auto"/>
        <w:left w:val="none" w:sz="0" w:space="0" w:color="auto"/>
        <w:bottom w:val="none" w:sz="0" w:space="0" w:color="auto"/>
        <w:right w:val="none" w:sz="0" w:space="0" w:color="auto"/>
      </w:divBdr>
    </w:div>
    <w:div w:id="2117864438">
      <w:bodyDiv w:val="1"/>
      <w:marLeft w:val="0"/>
      <w:marRight w:val="0"/>
      <w:marTop w:val="0"/>
      <w:marBottom w:val="0"/>
      <w:divBdr>
        <w:top w:val="none" w:sz="0" w:space="0" w:color="auto"/>
        <w:left w:val="none" w:sz="0" w:space="0" w:color="auto"/>
        <w:bottom w:val="none" w:sz="0" w:space="0" w:color="auto"/>
        <w:right w:val="none" w:sz="0" w:space="0" w:color="auto"/>
      </w:divBdr>
    </w:div>
    <w:div w:id="214022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dcare.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ber.gov.au/repor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amwatch.gov.au/report-a-sca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6365B-518B-4286-887C-574D51E2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6</cp:revision>
  <cp:lastPrinted>2019-09-24T05:32:00Z</cp:lastPrinted>
  <dcterms:created xsi:type="dcterms:W3CDTF">2020-02-27T10:12:00Z</dcterms:created>
  <dcterms:modified xsi:type="dcterms:W3CDTF">2020-02-27T10:47:00Z</dcterms:modified>
</cp:coreProperties>
</file>