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65"/>
        <w:gridCol w:w="3883"/>
      </w:tblGrid>
      <w:tr w:rsidR="005D1141" w:rsidRPr="005D1141" w:rsidTr="00AE0D18">
        <w:tc>
          <w:tcPr>
            <w:tcW w:w="5965" w:type="dxa"/>
          </w:tcPr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Policy Officer </w:t>
            </w: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Description</w:t>
            </w: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83" w:type="dxa"/>
          </w:tcPr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7659873" wp14:editId="2F9630C5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>l Australian consumers with particular concern for vulnerable consumers whose needs are under</w:t>
      </w:r>
      <w:r w:rsidR="00F361A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represented. 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 w:rsidR="001A2CD9"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Government, regulators and the </w:t>
      </w:r>
      <w:r w:rsidR="007D51D1">
        <w:rPr>
          <w:rFonts w:ascii="Arial" w:hAnsi="Arial" w:cs="Arial"/>
        </w:rPr>
        <w:t>t</w:t>
      </w:r>
      <w:r w:rsidRPr="0010784F">
        <w:rPr>
          <w:rFonts w:ascii="Arial" w:hAnsi="Arial" w:cs="Arial"/>
        </w:rPr>
        <w:t>elecommunications/communications industry;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markets work well for consumers,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difference for consumers with disabilities.</w:t>
      </w:r>
    </w:p>
    <w:p w:rsidR="000C1296" w:rsidRDefault="000C1296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0C1296" w:rsidRPr="0010784F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5D1141" w:rsidRPr="005D1141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The purpose of the Policy Officer </w:t>
      </w:r>
      <w:r w:rsidR="00B038FE">
        <w:rPr>
          <w:rFonts w:ascii="Arial" w:eastAsia="Cambria" w:hAnsi="Arial" w:cs="Arial"/>
          <w:lang w:val="en-US"/>
        </w:rPr>
        <w:t>position</w:t>
      </w:r>
      <w:r w:rsidRPr="0078029D">
        <w:rPr>
          <w:rFonts w:ascii="Arial" w:eastAsia="Cambria" w:hAnsi="Arial" w:cs="Arial"/>
          <w:lang w:val="en-US"/>
        </w:rPr>
        <w:t xml:space="preserve"> is to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contribute to the achievement of the goals and objectives set out in the </w:t>
      </w:r>
      <w:r w:rsidR="00F361A3" w:rsidRPr="007D51D1">
        <w:rPr>
          <w:rFonts w:ascii="Arial" w:hAnsi="Arial" w:cs="Arial"/>
        </w:rPr>
        <w:t xml:space="preserve">ACCAN </w:t>
      </w:r>
      <w:r w:rsidRPr="007D51D1">
        <w:rPr>
          <w:rFonts w:ascii="Arial" w:hAnsi="Arial" w:cs="Arial"/>
        </w:rPr>
        <w:t>St</w:t>
      </w:r>
      <w:r w:rsidR="00F361A3" w:rsidRPr="007D51D1">
        <w:rPr>
          <w:rFonts w:ascii="Arial" w:hAnsi="Arial" w:cs="Arial"/>
        </w:rPr>
        <w:t>rategic Plan and the annual Operational</w:t>
      </w:r>
      <w:r w:rsidRPr="007D51D1">
        <w:rPr>
          <w:rFonts w:ascii="Arial" w:hAnsi="Arial" w:cs="Arial"/>
        </w:rPr>
        <w:t xml:space="preserve"> Plan; 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research, develop and publish policy positions on communications issues that affect consumers</w:t>
      </w:r>
      <w:r w:rsidR="001A2CD9" w:rsidRPr="007D51D1">
        <w:rPr>
          <w:rFonts w:ascii="Arial" w:hAnsi="Arial" w:cs="Arial"/>
        </w:rPr>
        <w:t xml:space="preserve">, </w:t>
      </w:r>
      <w:r w:rsidRPr="007D51D1">
        <w:rPr>
          <w:rFonts w:ascii="Arial" w:hAnsi="Arial" w:cs="Arial"/>
        </w:rPr>
        <w:t xml:space="preserve">and 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advocate on behalf of communications consumers </w:t>
      </w:r>
      <w:r w:rsidR="001A2CD9" w:rsidRPr="007D51D1">
        <w:rPr>
          <w:rFonts w:ascii="Arial" w:hAnsi="Arial" w:cs="Arial"/>
        </w:rPr>
        <w:t xml:space="preserve">generally, </w:t>
      </w:r>
      <w:r w:rsidRPr="007D51D1">
        <w:rPr>
          <w:rFonts w:ascii="Arial" w:hAnsi="Arial" w:cs="Arial"/>
        </w:rPr>
        <w:t>and work with industry, government and consumer stakeholders to improve outcomes for communication consumers</w:t>
      </w:r>
    </w:p>
    <w:p w:rsidR="005D1141" w:rsidRPr="005D1141" w:rsidRDefault="005D1141" w:rsidP="003A3073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5D1141" w:rsidRPr="003A3073" w:rsidRDefault="005D1141" w:rsidP="003A3073">
      <w:pPr>
        <w:spacing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proofErr w:type="gramStart"/>
      <w:r w:rsidRPr="0078029D">
        <w:rPr>
          <w:rFonts w:ascii="Arial" w:eastAsia="Cambria" w:hAnsi="Arial" w:cs="Arial"/>
        </w:rPr>
        <w:t>Relevant tertiary qualifications or equivalent experience in a communications policy role.</w:t>
      </w:r>
      <w:proofErr w:type="gramEnd"/>
      <w:r w:rsidRPr="0078029D">
        <w:rPr>
          <w:rFonts w:ascii="Arial" w:eastAsia="Cambria" w:hAnsi="Arial" w:cs="Arial"/>
        </w:rPr>
        <w:t xml:space="preserve"> </w:t>
      </w:r>
    </w:p>
    <w:p w:rsidR="005D1141" w:rsidRPr="005D1141" w:rsidRDefault="005D1141" w:rsidP="003A3073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Duties</w:t>
      </w: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Prepare and publish policy positions, discussion papers and submissions, where possible based on direct community consultations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Collect  data, information and case studies to support ACCAN </w:t>
      </w:r>
      <w:r w:rsidR="00F361A3" w:rsidRPr="007D51D1">
        <w:rPr>
          <w:rFonts w:ascii="Arial" w:hAnsi="Arial" w:cs="Arial"/>
        </w:rPr>
        <w:t>consumer representation</w:t>
      </w:r>
      <w:r w:rsidRPr="007D51D1">
        <w:rPr>
          <w:rFonts w:ascii="Arial" w:hAnsi="Arial" w:cs="Arial"/>
        </w:rPr>
        <w:t xml:space="preserve"> and policy work</w:t>
      </w:r>
    </w:p>
    <w:p w:rsidR="005D1141" w:rsidRPr="005D1141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proofErr w:type="spellStart"/>
      <w:r w:rsidRPr="007D51D1">
        <w:rPr>
          <w:rFonts w:ascii="Arial" w:hAnsi="Arial" w:cs="Arial"/>
        </w:rPr>
        <w:t>Analyse</w:t>
      </w:r>
      <w:proofErr w:type="spellEnd"/>
      <w:r w:rsidRPr="007D51D1">
        <w:rPr>
          <w:rFonts w:ascii="Arial" w:hAnsi="Arial" w:cs="Arial"/>
        </w:rPr>
        <w:t xml:space="preserve"> and monitor developments relevant to communications regulation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Identify  potential areas for ACCAN research and policy development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Ensure</w:t>
      </w:r>
      <w:r w:rsidR="00F361A3" w:rsidRPr="007D51D1">
        <w:rPr>
          <w:rFonts w:ascii="Arial" w:hAnsi="Arial" w:cs="Arial"/>
        </w:rPr>
        <w:t xml:space="preserve"> the</w:t>
      </w:r>
      <w:r w:rsidRPr="007D51D1">
        <w:rPr>
          <w:rFonts w:ascii="Arial" w:hAnsi="Arial" w:cs="Arial"/>
        </w:rPr>
        <w:t xml:space="preserve"> ACCAN </w:t>
      </w:r>
      <w:r w:rsidR="00F361A3" w:rsidRPr="007D51D1">
        <w:rPr>
          <w:rFonts w:ascii="Arial" w:hAnsi="Arial" w:cs="Arial"/>
        </w:rPr>
        <w:t>team</w:t>
      </w:r>
      <w:r w:rsidRPr="007D51D1">
        <w:rPr>
          <w:rFonts w:ascii="Arial" w:hAnsi="Arial" w:cs="Arial"/>
        </w:rPr>
        <w:t xml:space="preserve"> are informed and understand priority policy issues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Liaise with </w:t>
      </w:r>
      <w:r w:rsidR="00F361A3" w:rsidRPr="007D51D1">
        <w:rPr>
          <w:rFonts w:ascii="Arial" w:hAnsi="Arial" w:cs="Arial"/>
        </w:rPr>
        <w:t xml:space="preserve">industry, </w:t>
      </w:r>
      <w:r w:rsidRPr="007D51D1">
        <w:rPr>
          <w:rFonts w:ascii="Arial" w:hAnsi="Arial" w:cs="Arial"/>
        </w:rPr>
        <w:t xml:space="preserve">regulatory agencies and </w:t>
      </w:r>
      <w:r w:rsidR="00F361A3" w:rsidRPr="007D51D1">
        <w:rPr>
          <w:rFonts w:ascii="Arial" w:hAnsi="Arial" w:cs="Arial"/>
        </w:rPr>
        <w:t>g</w:t>
      </w:r>
      <w:r w:rsidRPr="007D51D1">
        <w:rPr>
          <w:rFonts w:ascii="Arial" w:hAnsi="Arial" w:cs="Arial"/>
        </w:rPr>
        <w:t xml:space="preserve">overnment on </w:t>
      </w:r>
      <w:r w:rsidR="00F361A3" w:rsidRPr="007D51D1">
        <w:rPr>
          <w:rFonts w:ascii="Arial" w:hAnsi="Arial" w:cs="Arial"/>
        </w:rPr>
        <w:t xml:space="preserve">codes, guidelines, </w:t>
      </w:r>
      <w:proofErr w:type="gramStart"/>
      <w:r w:rsidRPr="007D51D1">
        <w:rPr>
          <w:rFonts w:ascii="Arial" w:hAnsi="Arial" w:cs="Arial"/>
        </w:rPr>
        <w:t>legislation</w:t>
      </w:r>
      <w:proofErr w:type="gramEnd"/>
      <w:r w:rsidRPr="007D51D1">
        <w:rPr>
          <w:rFonts w:ascii="Arial" w:hAnsi="Arial" w:cs="Arial"/>
        </w:rPr>
        <w:t xml:space="preserve"> and subsidiary regulatory instruments.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5D1141" w:rsidRPr="007D51D1" w:rsidRDefault="00F361A3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Participate in </w:t>
      </w:r>
      <w:r w:rsidR="005D1141" w:rsidRPr="007D51D1">
        <w:rPr>
          <w:rFonts w:ascii="Arial" w:hAnsi="Arial" w:cs="Arial"/>
        </w:rPr>
        <w:t xml:space="preserve">ACCAN’s </w:t>
      </w:r>
      <w:r w:rsidRPr="007D51D1">
        <w:rPr>
          <w:rFonts w:ascii="Arial" w:hAnsi="Arial" w:cs="Arial"/>
        </w:rPr>
        <w:t>member consultative forums and expert working groups</w:t>
      </w:r>
    </w:p>
    <w:p w:rsidR="005D1141" w:rsidRPr="007D51D1" w:rsidRDefault="00F361A3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Consult ACCAN members both formally and informally</w:t>
      </w:r>
      <w:r w:rsidR="005D1141" w:rsidRPr="007D51D1">
        <w:rPr>
          <w:rFonts w:ascii="Arial" w:hAnsi="Arial" w:cs="Arial"/>
        </w:rPr>
        <w:t xml:space="preserve"> to ensure effective representation of their views on communications matters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Represent ACCAN in public forums, on </w:t>
      </w:r>
      <w:r w:rsidR="00F361A3" w:rsidRPr="007D51D1">
        <w:rPr>
          <w:rFonts w:ascii="Arial" w:hAnsi="Arial" w:cs="Arial"/>
        </w:rPr>
        <w:t xml:space="preserve">external </w:t>
      </w:r>
      <w:r w:rsidRPr="007D51D1">
        <w:rPr>
          <w:rFonts w:ascii="Arial" w:hAnsi="Arial" w:cs="Arial"/>
        </w:rPr>
        <w:t xml:space="preserve">committees and working groups as required 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Develop material to inform members and the community about </w:t>
      </w:r>
      <w:r w:rsidR="00F361A3" w:rsidRPr="007D51D1">
        <w:rPr>
          <w:rFonts w:ascii="Arial" w:hAnsi="Arial" w:cs="Arial"/>
        </w:rPr>
        <w:t>policy priorities</w:t>
      </w:r>
      <w:r w:rsidRPr="007D51D1">
        <w:rPr>
          <w:rFonts w:ascii="Arial" w:hAnsi="Arial" w:cs="Arial"/>
        </w:rPr>
        <w:t xml:space="preserve"> and key policy issues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Assist with meetings, seminars and outreach activities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Assist with the organisation, promotion and support for ACCAN conferences and events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As part of a team, ensure members are regularly informed of ACCAN activities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0C1296" w:rsidRPr="003A3073" w:rsidRDefault="000C1296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Assist with consumer co</w:t>
      </w:r>
      <w:r w:rsidR="00A04F5E" w:rsidRPr="007D51D1">
        <w:rPr>
          <w:rFonts w:ascii="Arial" w:hAnsi="Arial" w:cs="Arial"/>
        </w:rPr>
        <w:t>ntacts</w:t>
      </w:r>
      <w:r w:rsidRPr="007D51D1">
        <w:rPr>
          <w:rFonts w:ascii="Arial" w:hAnsi="Arial" w:cs="Arial"/>
        </w:rPr>
        <w:t xml:space="preserve"> </w:t>
      </w:r>
      <w:r w:rsidR="00467F27" w:rsidRPr="007D51D1">
        <w:rPr>
          <w:rFonts w:ascii="Arial" w:hAnsi="Arial" w:cs="Arial"/>
        </w:rPr>
        <w:t>and</w:t>
      </w:r>
      <w:r w:rsidRPr="007D51D1">
        <w:rPr>
          <w:rFonts w:ascii="Arial" w:hAnsi="Arial" w:cs="Arial"/>
        </w:rPr>
        <w:t xml:space="preserve"> enquiries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Assist with general</w:t>
      </w:r>
      <w:r w:rsidR="00A04F5E" w:rsidRPr="007D51D1">
        <w:rPr>
          <w:rFonts w:ascii="Arial" w:hAnsi="Arial" w:cs="Arial"/>
        </w:rPr>
        <w:t xml:space="preserve"> administrative tasks as needed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Other duties as ass</w:t>
      </w:r>
      <w:r w:rsidR="00AE0D18" w:rsidRPr="007D51D1">
        <w:rPr>
          <w:rFonts w:ascii="Arial" w:hAnsi="Arial" w:cs="Arial"/>
        </w:rPr>
        <w:t>igned by the Director of Policy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85C92" w:rsidRPr="00CD2789" w:rsidRDefault="00CD2789" w:rsidP="005D1141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:rsidR="005D1141" w:rsidRPr="00A85C92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85C92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:rsidR="005D1141" w:rsidRPr="007D51D1" w:rsidRDefault="00A04F5E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A demonstrated interest in </w:t>
      </w:r>
      <w:r w:rsidR="005D1141" w:rsidRPr="007D51D1">
        <w:rPr>
          <w:rFonts w:ascii="Arial" w:hAnsi="Arial" w:cs="Arial"/>
        </w:rPr>
        <w:t xml:space="preserve">communications policy issues generally , or the capacity to quickly acquire this knowledge 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A commitment to the effective representation of consumers </w:t>
      </w:r>
    </w:p>
    <w:p w:rsidR="000F7ABC" w:rsidRPr="007D51D1" w:rsidRDefault="000F7ABC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An understanding of the Australian Consumer Law and consumer rights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Knowledge of public policy</w:t>
      </w:r>
      <w:r w:rsidR="00D46F4D" w:rsidRPr="007D51D1">
        <w:rPr>
          <w:rFonts w:ascii="Arial" w:hAnsi="Arial" w:cs="Arial"/>
        </w:rPr>
        <w:t xml:space="preserve"> and industry self-regulatory</w:t>
      </w:r>
      <w:r w:rsidRPr="007D51D1">
        <w:rPr>
          <w:rFonts w:ascii="Arial" w:hAnsi="Arial" w:cs="Arial"/>
        </w:rPr>
        <w:t xml:space="preserve"> processes</w:t>
      </w:r>
    </w:p>
    <w:p w:rsidR="005D1141" w:rsidRPr="007D51D1" w:rsidRDefault="00232A35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Highly developed</w:t>
      </w:r>
      <w:r w:rsidR="006A175B" w:rsidRPr="007D51D1">
        <w:rPr>
          <w:rFonts w:ascii="Arial" w:hAnsi="Arial" w:cs="Arial"/>
        </w:rPr>
        <w:t xml:space="preserve"> </w:t>
      </w:r>
      <w:r w:rsidR="005D1141" w:rsidRPr="007D51D1">
        <w:rPr>
          <w:rFonts w:ascii="Arial" w:hAnsi="Arial" w:cs="Arial"/>
        </w:rPr>
        <w:t xml:space="preserve">oral and written communication skills 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Good analytical and research skills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lastRenderedPageBreak/>
        <w:t xml:space="preserve">Ability to work collaboratively as part of a team 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Capacity to work independently with minimal supervision</w:t>
      </w:r>
    </w:p>
    <w:p w:rsidR="00A04F5E" w:rsidRPr="007D51D1" w:rsidRDefault="00A04F5E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Proficiency in information and communications technology</w:t>
      </w:r>
    </w:p>
    <w:p w:rsidR="00232A35" w:rsidRPr="007D51D1" w:rsidRDefault="00232A35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 xml:space="preserve">An academic background in economics/law/public policy/ </w:t>
      </w:r>
      <w:r w:rsidR="00D46F4D" w:rsidRPr="007D51D1">
        <w:rPr>
          <w:rFonts w:ascii="Arial" w:hAnsi="Arial" w:cs="Arial"/>
        </w:rPr>
        <w:t xml:space="preserve">telecommunications </w:t>
      </w:r>
      <w:r w:rsidR="00665636" w:rsidRPr="007D51D1">
        <w:rPr>
          <w:rFonts w:ascii="Arial" w:hAnsi="Arial" w:cs="Arial"/>
        </w:rPr>
        <w:t xml:space="preserve">related </w:t>
      </w:r>
      <w:r w:rsidR="00D46F4D" w:rsidRPr="007D51D1">
        <w:rPr>
          <w:rFonts w:ascii="Arial" w:hAnsi="Arial" w:cs="Arial"/>
        </w:rPr>
        <w:t xml:space="preserve">technology </w:t>
      </w:r>
    </w:p>
    <w:p w:rsidR="00232A35" w:rsidRPr="0078029D" w:rsidRDefault="00232A35" w:rsidP="0004106F">
      <w:pPr>
        <w:spacing w:after="0" w:line="240" w:lineRule="auto"/>
        <w:ind w:left="720"/>
        <w:rPr>
          <w:rFonts w:ascii="Arial" w:eastAsia="Cambria" w:hAnsi="Arial" w:cs="Arial"/>
          <w:lang w:val="en-US"/>
        </w:rPr>
      </w:pPr>
    </w:p>
    <w:p w:rsidR="005D1141" w:rsidRPr="00A85C92" w:rsidRDefault="005D1141" w:rsidP="0021251B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A85C92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t>Desired Skills for position</w:t>
      </w:r>
    </w:p>
    <w:p w:rsidR="002C19C2" w:rsidRPr="007D51D1" w:rsidRDefault="002C19C2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bookmarkStart w:id="0" w:name="_GoBack"/>
      <w:r w:rsidRPr="007D51D1">
        <w:rPr>
          <w:rFonts w:ascii="Arial" w:hAnsi="Arial" w:cs="Arial"/>
        </w:rPr>
        <w:t>Knowledge of and experience of working in the community sector</w:t>
      </w:r>
    </w:p>
    <w:p w:rsidR="005D1141" w:rsidRPr="007D51D1" w:rsidRDefault="005D1141" w:rsidP="007D5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20" w:hanging="299"/>
        <w:rPr>
          <w:rFonts w:ascii="Arial" w:hAnsi="Arial" w:cs="Arial"/>
        </w:rPr>
      </w:pPr>
      <w:r w:rsidRPr="007D51D1">
        <w:rPr>
          <w:rFonts w:ascii="Arial" w:hAnsi="Arial" w:cs="Arial"/>
        </w:rPr>
        <w:t>Understanding of the needs of people with disabilities</w:t>
      </w:r>
    </w:p>
    <w:bookmarkEnd w:id="0"/>
    <w:p w:rsidR="00635130" w:rsidRDefault="00635130" w:rsidP="00635130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635130" w:rsidRDefault="00635130" w:rsidP="00635130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635130" w:rsidRDefault="00635130" w:rsidP="00635130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635130" w:rsidRPr="00635130" w:rsidRDefault="00635130" w:rsidP="00635130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635130" w:rsidRPr="00635130" w:rsidRDefault="00635130" w:rsidP="00635130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635130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ACCAN is an EEO employer:  Aboriginal and Torres Strait Islander peoples, persons with disabilities, and people from diverse cultural, linguistic and religious backgrounds are encouraged to apply</w:t>
      </w:r>
    </w:p>
    <w:p w:rsidR="00635130" w:rsidRPr="00635130" w:rsidRDefault="00635130" w:rsidP="00635130">
      <w:pPr>
        <w:spacing w:after="0" w:line="240" w:lineRule="auto"/>
        <w:rPr>
          <w:rFonts w:ascii="Arial" w:eastAsia="Cambria" w:hAnsi="Arial" w:cs="Arial"/>
          <w:b/>
          <w:bCs/>
        </w:rPr>
      </w:pP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sz w:val="10"/>
          <w:szCs w:val="10"/>
          <w:lang w:val="en-US"/>
        </w:rPr>
      </w:pP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635130">
        <w:rPr>
          <w:rFonts w:ascii="Arial" w:eastAsia="Cambria" w:hAnsi="Arial" w:cs="Arial"/>
          <w:b/>
          <w:bCs/>
          <w:sz w:val="24"/>
          <w:szCs w:val="24"/>
          <w:lang w:val="en-US"/>
        </w:rPr>
        <w:t>I have received a copy of the position description and have read and understand its contents.</w:t>
      </w: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635130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  <w:t>_____________________</w:t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  <w:t>___________</w:t>
      </w: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635130">
        <w:rPr>
          <w:rFonts w:ascii="Arial" w:eastAsia="Cambria" w:hAnsi="Arial" w:cs="Arial"/>
          <w:sz w:val="20"/>
          <w:szCs w:val="20"/>
          <w:lang w:val="en-US"/>
        </w:rPr>
        <w:t>Employees Name (please print)</w:t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635130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  <w:t>_____________________</w:t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</w:r>
      <w:r w:rsidRPr="00635130">
        <w:rPr>
          <w:rFonts w:ascii="Arial" w:eastAsia="Cambria" w:hAnsi="Arial" w:cs="Arial"/>
          <w:sz w:val="24"/>
          <w:szCs w:val="24"/>
          <w:lang w:val="en-US"/>
        </w:rPr>
        <w:tab/>
        <w:t>___________</w:t>
      </w: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635130">
        <w:rPr>
          <w:rFonts w:ascii="Arial" w:eastAsia="Cambria" w:hAnsi="Arial" w:cs="Arial"/>
          <w:sz w:val="20"/>
          <w:szCs w:val="20"/>
          <w:lang w:val="en-US"/>
        </w:rPr>
        <w:t>Supervisor’s Name (please print)</w:t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</w:r>
      <w:r w:rsidRPr="00635130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p w:rsidR="00635130" w:rsidRPr="00635130" w:rsidRDefault="00635130" w:rsidP="006351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16"/>
          <w:szCs w:val="16"/>
          <w:lang w:val="en-US"/>
        </w:rPr>
      </w:pPr>
    </w:p>
    <w:p w:rsidR="00635130" w:rsidRPr="0078029D" w:rsidRDefault="00635130" w:rsidP="00635130">
      <w:pPr>
        <w:spacing w:after="0" w:line="240" w:lineRule="auto"/>
        <w:rPr>
          <w:rFonts w:ascii="Arial" w:eastAsia="Cambria" w:hAnsi="Arial" w:cs="Arial"/>
          <w:lang w:val="en-US"/>
        </w:rPr>
      </w:pPr>
    </w:p>
    <w:sectPr w:rsidR="00635130" w:rsidRPr="0078029D" w:rsidSect="003A3073">
      <w:footerReference w:type="default" r:id="rId10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17" w:rsidRDefault="00E75617">
      <w:pPr>
        <w:spacing w:after="0" w:line="240" w:lineRule="auto"/>
      </w:pPr>
      <w:r>
        <w:separator/>
      </w:r>
    </w:p>
  </w:endnote>
  <w:endnote w:type="continuationSeparator" w:id="0">
    <w:p w:rsidR="00E75617" w:rsidRDefault="00E7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9809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35130" w:rsidRDefault="00635130" w:rsidP="0063513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1D1" w:rsidRPr="007D51D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17" w:rsidRDefault="00E75617">
      <w:pPr>
        <w:spacing w:after="0" w:line="240" w:lineRule="auto"/>
      </w:pPr>
      <w:r>
        <w:separator/>
      </w:r>
    </w:p>
  </w:footnote>
  <w:footnote w:type="continuationSeparator" w:id="0">
    <w:p w:rsidR="00E75617" w:rsidRDefault="00E7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1"/>
    <w:rsid w:val="000234C7"/>
    <w:rsid w:val="0004106F"/>
    <w:rsid w:val="000C1296"/>
    <w:rsid w:val="000C1648"/>
    <w:rsid w:val="000F7ABC"/>
    <w:rsid w:val="001A2CD9"/>
    <w:rsid w:val="0021251B"/>
    <w:rsid w:val="002167E4"/>
    <w:rsid w:val="00232A35"/>
    <w:rsid w:val="002624E9"/>
    <w:rsid w:val="002B2C90"/>
    <w:rsid w:val="002C19C2"/>
    <w:rsid w:val="002E5FA8"/>
    <w:rsid w:val="00306D5A"/>
    <w:rsid w:val="003A3073"/>
    <w:rsid w:val="003D364F"/>
    <w:rsid w:val="00457A9D"/>
    <w:rsid w:val="00467F27"/>
    <w:rsid w:val="005927DD"/>
    <w:rsid w:val="005B4C37"/>
    <w:rsid w:val="005D1141"/>
    <w:rsid w:val="00635130"/>
    <w:rsid w:val="00647A0C"/>
    <w:rsid w:val="00665636"/>
    <w:rsid w:val="0069140F"/>
    <w:rsid w:val="006A175B"/>
    <w:rsid w:val="007655B7"/>
    <w:rsid w:val="0078029D"/>
    <w:rsid w:val="007D51D1"/>
    <w:rsid w:val="008A2C56"/>
    <w:rsid w:val="008F6D3D"/>
    <w:rsid w:val="00910E4E"/>
    <w:rsid w:val="009D243E"/>
    <w:rsid w:val="00A04F5E"/>
    <w:rsid w:val="00A85C92"/>
    <w:rsid w:val="00AD1F4C"/>
    <w:rsid w:val="00AE0D18"/>
    <w:rsid w:val="00B038FE"/>
    <w:rsid w:val="00B422C2"/>
    <w:rsid w:val="00BC1A1D"/>
    <w:rsid w:val="00C13734"/>
    <w:rsid w:val="00C26317"/>
    <w:rsid w:val="00C82E44"/>
    <w:rsid w:val="00CD2789"/>
    <w:rsid w:val="00D46F4D"/>
    <w:rsid w:val="00E75617"/>
    <w:rsid w:val="00EA2FA7"/>
    <w:rsid w:val="00EE7F28"/>
    <w:rsid w:val="00F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D899-13E9-4DD0-9698-DD7DED90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4</cp:revision>
  <cp:lastPrinted>2014-10-03T01:31:00Z</cp:lastPrinted>
  <dcterms:created xsi:type="dcterms:W3CDTF">2017-06-20T05:13:00Z</dcterms:created>
  <dcterms:modified xsi:type="dcterms:W3CDTF">2017-06-20T05:15:00Z</dcterms:modified>
</cp:coreProperties>
</file>