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Caption w:val="Connectivity Costs"/>
        <w:tblDescription w:val="Telecommunications Affordability and Waged Poor Households by Greg Ogle and Rebecca Law South Australian Council of Socical Service in conjunction with the Australian Council of Socical Service, the Tasmanian Council of Socical Service and the ACT Council of Socical Service.  June 2020"/>
      </w:tblPr>
      <w:tblGrid>
        <w:gridCol w:w="9026"/>
      </w:tblGrid>
      <w:tr w:rsidR="00A30BBF" w14:paraId="3E67835A" w14:textId="77777777" w:rsidTr="00033323">
        <w:trPr>
          <w:trHeight w:val="2268"/>
          <w:jc w:val="center"/>
        </w:trPr>
        <w:tc>
          <w:tcPr>
            <w:tcW w:w="5000" w:type="pct"/>
            <w:vAlign w:val="bottom"/>
          </w:tcPr>
          <w:p w14:paraId="6BCD4F49" w14:textId="77777777" w:rsidR="00A30BBF" w:rsidRPr="00954CA1" w:rsidRDefault="00A30BBF" w:rsidP="00033323">
            <w:pPr>
              <w:pStyle w:val="NoSpacing"/>
              <w:rPr>
                <w:rFonts w:ascii="Cambria" w:eastAsia="Times New Roman" w:hAnsi="Cambria" w:cs="Times New Roman"/>
                <w:caps/>
              </w:rPr>
            </w:pPr>
            <w:bookmarkStart w:id="0" w:name="_GoBack"/>
            <w:bookmarkEnd w:id="0"/>
          </w:p>
        </w:tc>
      </w:tr>
      <w:tr w:rsidR="00A30BBF" w:rsidRPr="00824A9E" w14:paraId="064ADD3C" w14:textId="77777777" w:rsidTr="009977F4">
        <w:trPr>
          <w:trHeight w:val="1440"/>
          <w:jc w:val="center"/>
        </w:trPr>
        <w:tc>
          <w:tcPr>
            <w:tcW w:w="5000" w:type="pct"/>
            <w:vAlign w:val="center"/>
          </w:tcPr>
          <w:p w14:paraId="2426F9D3" w14:textId="1B00CB93" w:rsidR="00A30BBF" w:rsidRPr="00824A9E" w:rsidRDefault="00FC494E" w:rsidP="009977F4">
            <w:pPr>
              <w:pStyle w:val="Title1"/>
              <w:jc w:val="center"/>
            </w:pPr>
            <w:r>
              <w:t>Connectivity Costs II</w:t>
            </w:r>
          </w:p>
        </w:tc>
      </w:tr>
      <w:tr w:rsidR="00A30BBF" w14:paraId="45514888" w14:textId="77777777" w:rsidTr="009977F4">
        <w:trPr>
          <w:trHeight w:val="720"/>
          <w:jc w:val="center"/>
        </w:trPr>
        <w:tc>
          <w:tcPr>
            <w:tcW w:w="5000" w:type="pct"/>
            <w:vAlign w:val="center"/>
          </w:tcPr>
          <w:p w14:paraId="01160883" w14:textId="5E49015D" w:rsidR="00A30BBF" w:rsidRPr="008D1CAF" w:rsidRDefault="00FC494E" w:rsidP="00FC494E">
            <w:pPr>
              <w:pStyle w:val="TITLE2"/>
              <w:ind w:left="0"/>
            </w:pPr>
            <w:r>
              <w:t>Telecommunications Affordability and Waged Poor Households</w:t>
            </w:r>
          </w:p>
        </w:tc>
      </w:tr>
      <w:tr w:rsidR="00A30BBF" w14:paraId="097760F6" w14:textId="77777777" w:rsidTr="009977F4">
        <w:trPr>
          <w:trHeight w:val="360"/>
          <w:jc w:val="center"/>
        </w:trPr>
        <w:tc>
          <w:tcPr>
            <w:tcW w:w="5000" w:type="pct"/>
            <w:vAlign w:val="center"/>
          </w:tcPr>
          <w:p w14:paraId="5A585310" w14:textId="77777777" w:rsidR="00A30BBF" w:rsidRDefault="00A30BBF" w:rsidP="009977F4">
            <w:pPr>
              <w:pStyle w:val="NoSpacing"/>
              <w:jc w:val="center"/>
            </w:pPr>
          </w:p>
        </w:tc>
      </w:tr>
      <w:tr w:rsidR="00A30BBF" w14:paraId="3DBC5DFF" w14:textId="77777777" w:rsidTr="009977F4">
        <w:trPr>
          <w:trHeight w:val="360"/>
          <w:jc w:val="center"/>
        </w:trPr>
        <w:tc>
          <w:tcPr>
            <w:tcW w:w="5000" w:type="pct"/>
            <w:vAlign w:val="center"/>
          </w:tcPr>
          <w:p w14:paraId="43CF702B" w14:textId="77777777" w:rsidR="00A30BBF" w:rsidRDefault="00A30BBF" w:rsidP="009977F4">
            <w:pPr>
              <w:pStyle w:val="NoSpacing"/>
              <w:jc w:val="center"/>
              <w:rPr>
                <w:b/>
                <w:bCs/>
                <w:sz w:val="24"/>
                <w:szCs w:val="24"/>
                <w:lang w:val="en-AU"/>
              </w:rPr>
            </w:pPr>
            <w:r>
              <w:rPr>
                <w:b/>
                <w:bCs/>
                <w:sz w:val="24"/>
                <w:szCs w:val="24"/>
                <w:lang w:val="en-AU"/>
              </w:rPr>
              <w:t>Greg Ogle and Rebecca Law</w:t>
            </w:r>
          </w:p>
          <w:p w14:paraId="080F014F" w14:textId="3C5F4C69" w:rsidR="00A30BBF" w:rsidRDefault="00A30BBF" w:rsidP="009977F4">
            <w:pPr>
              <w:pStyle w:val="NoSpacing"/>
              <w:jc w:val="center"/>
              <w:rPr>
                <w:b/>
                <w:bCs/>
                <w:sz w:val="24"/>
                <w:szCs w:val="24"/>
                <w:lang w:val="en-AU"/>
              </w:rPr>
            </w:pPr>
          </w:p>
          <w:p w14:paraId="2F032A58" w14:textId="77777777" w:rsidR="00496C1C" w:rsidRDefault="00496C1C" w:rsidP="009977F4">
            <w:pPr>
              <w:pStyle w:val="NoSpacing"/>
              <w:jc w:val="center"/>
              <w:rPr>
                <w:b/>
                <w:bCs/>
                <w:sz w:val="24"/>
                <w:szCs w:val="24"/>
                <w:lang w:val="en-AU"/>
              </w:rPr>
            </w:pPr>
          </w:p>
          <w:p w14:paraId="65048CBA" w14:textId="77777777" w:rsidR="00174F09" w:rsidRDefault="00A30BBF" w:rsidP="009977F4">
            <w:pPr>
              <w:pStyle w:val="NoSpacing"/>
              <w:jc w:val="center"/>
              <w:rPr>
                <w:b/>
                <w:bCs/>
                <w:sz w:val="24"/>
                <w:szCs w:val="24"/>
                <w:lang w:val="en-AU"/>
              </w:rPr>
            </w:pPr>
            <w:r>
              <w:rPr>
                <w:b/>
                <w:bCs/>
                <w:sz w:val="24"/>
                <w:szCs w:val="24"/>
                <w:lang w:val="en-AU"/>
              </w:rPr>
              <w:t>South Australian Council of Social Service</w:t>
            </w:r>
          </w:p>
          <w:p w14:paraId="42B1E574" w14:textId="48F473A0" w:rsidR="00A30BBF" w:rsidRPr="00B37BFE" w:rsidRDefault="00A30BBF" w:rsidP="009977F4">
            <w:pPr>
              <w:pStyle w:val="NoSpacing"/>
              <w:jc w:val="center"/>
              <w:rPr>
                <w:b/>
                <w:bCs/>
                <w:sz w:val="24"/>
                <w:szCs w:val="24"/>
              </w:rPr>
            </w:pPr>
            <w:r>
              <w:rPr>
                <w:b/>
                <w:bCs/>
                <w:sz w:val="24"/>
                <w:szCs w:val="24"/>
                <w:lang w:val="en-AU"/>
              </w:rPr>
              <w:t xml:space="preserve">in conjunction with the Australian Council of Social Service, Tasmanian Council of Social Service and </w:t>
            </w:r>
            <w:r w:rsidR="006F70F8">
              <w:rPr>
                <w:b/>
                <w:bCs/>
                <w:sz w:val="24"/>
                <w:szCs w:val="24"/>
                <w:lang w:val="en-AU"/>
              </w:rPr>
              <w:t xml:space="preserve">the </w:t>
            </w:r>
            <w:r>
              <w:rPr>
                <w:b/>
                <w:bCs/>
                <w:sz w:val="24"/>
                <w:szCs w:val="24"/>
                <w:lang w:val="en-AU"/>
              </w:rPr>
              <w:t>ACT Council of Social Service</w:t>
            </w:r>
          </w:p>
        </w:tc>
      </w:tr>
      <w:tr w:rsidR="00A30BBF" w14:paraId="7A7DB2D0" w14:textId="77777777" w:rsidTr="009977F4">
        <w:trPr>
          <w:trHeight w:val="360"/>
          <w:jc w:val="center"/>
        </w:trPr>
        <w:tc>
          <w:tcPr>
            <w:tcW w:w="5000" w:type="pct"/>
            <w:vAlign w:val="center"/>
          </w:tcPr>
          <w:p w14:paraId="7E6EC4B8" w14:textId="77777777" w:rsidR="00A30BBF" w:rsidRPr="00B37BFE" w:rsidRDefault="00A30BBF" w:rsidP="009977F4">
            <w:pPr>
              <w:pStyle w:val="NoSpacing"/>
              <w:jc w:val="center"/>
              <w:rPr>
                <w:b/>
                <w:bCs/>
                <w:sz w:val="24"/>
                <w:szCs w:val="24"/>
              </w:rPr>
            </w:pPr>
            <w:r>
              <w:rPr>
                <w:b/>
                <w:bCs/>
                <w:sz w:val="24"/>
                <w:szCs w:val="24"/>
              </w:rPr>
              <w:t>June 2020</w:t>
            </w:r>
          </w:p>
        </w:tc>
      </w:tr>
      <w:tr w:rsidR="00496C1C" w14:paraId="729620D6" w14:textId="77777777" w:rsidTr="009977F4">
        <w:trPr>
          <w:trHeight w:val="360"/>
          <w:jc w:val="center"/>
        </w:trPr>
        <w:tc>
          <w:tcPr>
            <w:tcW w:w="5000" w:type="pct"/>
            <w:vAlign w:val="center"/>
          </w:tcPr>
          <w:p w14:paraId="6233A6E2" w14:textId="0CA17D7C" w:rsidR="00496C1C" w:rsidRDefault="00496C1C" w:rsidP="009977F4">
            <w:pPr>
              <w:pStyle w:val="NoSpacing"/>
              <w:jc w:val="center"/>
              <w:rPr>
                <w:b/>
                <w:bCs/>
                <w:sz w:val="24"/>
                <w:szCs w:val="24"/>
              </w:rPr>
            </w:pPr>
          </w:p>
        </w:tc>
      </w:tr>
    </w:tbl>
    <w:p w14:paraId="4341CC06" w14:textId="6FDD9E23" w:rsidR="00A30BBF" w:rsidRDefault="00A30BBF" w:rsidP="00033323">
      <w:pPr>
        <w:spacing w:after="0"/>
        <w:rPr>
          <w:b/>
        </w:rPr>
      </w:pPr>
    </w:p>
    <w:p w14:paraId="24089FAD" w14:textId="0DC67B32" w:rsidR="00496C1C" w:rsidRDefault="00496C1C" w:rsidP="00033323">
      <w:pPr>
        <w:spacing w:after="0"/>
        <w:rPr>
          <w:b/>
        </w:rPr>
      </w:pPr>
    </w:p>
    <w:p w14:paraId="6EF55572" w14:textId="54DBE8E7" w:rsidR="00033323" w:rsidRDefault="00033323" w:rsidP="00033323">
      <w:pPr>
        <w:spacing w:after="0"/>
        <w:rPr>
          <w:b/>
        </w:rPr>
      </w:pPr>
    </w:p>
    <w:p w14:paraId="27D12795" w14:textId="77777777" w:rsidR="00033323" w:rsidRDefault="00033323" w:rsidP="00033323">
      <w:pPr>
        <w:spacing w:after="0"/>
        <w:rPr>
          <w:b/>
        </w:rPr>
      </w:pPr>
    </w:p>
    <w:p w14:paraId="7CE20107" w14:textId="7A979FF9" w:rsidR="00033323" w:rsidRDefault="00033323" w:rsidP="00033323">
      <w:pPr>
        <w:spacing w:after="0"/>
        <w:rPr>
          <w:b/>
        </w:rPr>
      </w:pPr>
    </w:p>
    <w:p w14:paraId="25E0FC95" w14:textId="4346B3F9" w:rsidR="00174F09" w:rsidRDefault="00174F09" w:rsidP="00033323">
      <w:pPr>
        <w:spacing w:after="0"/>
        <w:rPr>
          <w:b/>
        </w:rPr>
      </w:pPr>
    </w:p>
    <w:p w14:paraId="0A733B1E" w14:textId="01AF9158" w:rsidR="00174F09" w:rsidRDefault="00174F09" w:rsidP="00033323">
      <w:pPr>
        <w:spacing w:after="0"/>
        <w:rPr>
          <w:b/>
        </w:rPr>
      </w:pPr>
    </w:p>
    <w:p w14:paraId="47678D39" w14:textId="6AA19CA6" w:rsidR="00174F09" w:rsidRDefault="00174F09" w:rsidP="00033323">
      <w:pPr>
        <w:spacing w:after="0"/>
        <w:rPr>
          <w:b/>
        </w:rPr>
      </w:pPr>
    </w:p>
    <w:p w14:paraId="55036E16" w14:textId="7FA31D67" w:rsidR="00174F09" w:rsidRDefault="00174F09" w:rsidP="00033323">
      <w:pPr>
        <w:spacing w:after="0"/>
        <w:rPr>
          <w:b/>
        </w:rPr>
      </w:pPr>
    </w:p>
    <w:p w14:paraId="2FABE956" w14:textId="712357E3" w:rsidR="00174F09" w:rsidRDefault="00174F09" w:rsidP="00033323">
      <w:pPr>
        <w:spacing w:after="0"/>
        <w:rPr>
          <w:b/>
        </w:rPr>
      </w:pPr>
    </w:p>
    <w:p w14:paraId="73EFA2E3" w14:textId="4B48CF62" w:rsidR="00174F09" w:rsidRDefault="00174F09" w:rsidP="00033323">
      <w:pPr>
        <w:spacing w:after="0"/>
        <w:rPr>
          <w:b/>
        </w:rPr>
      </w:pPr>
    </w:p>
    <w:p w14:paraId="6343FC1B" w14:textId="77777777" w:rsidR="00A86BA1" w:rsidRDefault="00A86BA1" w:rsidP="00033323">
      <w:pPr>
        <w:spacing w:after="0"/>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4956"/>
      </w:tblGrid>
      <w:tr w:rsidR="00496C1C" w14:paraId="7E3BF7D5" w14:textId="77777777" w:rsidTr="005A6002">
        <w:trPr>
          <w:jc w:val="center"/>
        </w:trPr>
        <w:tc>
          <w:tcPr>
            <w:tcW w:w="4508" w:type="dxa"/>
          </w:tcPr>
          <w:p w14:paraId="3DA2E349" w14:textId="40B814EE" w:rsidR="00496C1C" w:rsidRDefault="00496C1C" w:rsidP="00496C1C">
            <w:pPr>
              <w:jc w:val="center"/>
              <w:rPr>
                <w:b/>
              </w:rPr>
            </w:pPr>
            <w:r>
              <w:rPr>
                <w:noProof/>
                <w:lang w:eastAsia="en-AU"/>
              </w:rPr>
              <w:drawing>
                <wp:inline distT="0" distB="0" distL="0" distR="0" wp14:anchorId="7107B916" wp14:editId="136F7B3F">
                  <wp:extent cx="1628775" cy="821791"/>
                  <wp:effectExtent l="0" t="0" r="0" b="0"/>
                  <wp:docPr id="21" name="Picture 21" descr="SACOSS South Australian Council of Social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238" cy="836152"/>
                          </a:xfrm>
                          <a:prstGeom prst="rect">
                            <a:avLst/>
                          </a:prstGeom>
                          <a:noFill/>
                          <a:ln>
                            <a:noFill/>
                          </a:ln>
                        </pic:spPr>
                      </pic:pic>
                    </a:graphicData>
                  </a:graphic>
                </wp:inline>
              </w:drawing>
            </w:r>
          </w:p>
        </w:tc>
        <w:tc>
          <w:tcPr>
            <w:tcW w:w="4508" w:type="dxa"/>
          </w:tcPr>
          <w:p w14:paraId="2CF64183" w14:textId="29F2527F" w:rsidR="00496C1C" w:rsidRDefault="00496C1C" w:rsidP="00496C1C">
            <w:pPr>
              <w:ind w:left="2160"/>
              <w:jc w:val="center"/>
              <w:rPr>
                <w:b/>
              </w:rPr>
            </w:pPr>
            <w:r>
              <w:rPr>
                <w:noProof/>
              </w:rPr>
              <w:drawing>
                <wp:inline distT="0" distB="0" distL="0" distR="0" wp14:anchorId="50538A8F" wp14:editId="55A7FA4F">
                  <wp:extent cx="1634400" cy="846000"/>
                  <wp:effectExtent l="0" t="0" r="4445" b="0"/>
                  <wp:docPr id="18" name="Picture 2"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A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4400" cy="846000"/>
                          </a:xfrm>
                          <a:prstGeom prst="rect">
                            <a:avLst/>
                          </a:prstGeom>
                          <a:noFill/>
                        </pic:spPr>
                      </pic:pic>
                    </a:graphicData>
                  </a:graphic>
                </wp:inline>
              </w:drawing>
            </w:r>
          </w:p>
        </w:tc>
      </w:tr>
    </w:tbl>
    <w:p w14:paraId="5BA3E86A" w14:textId="77777777" w:rsidR="00496C1C" w:rsidRDefault="00496C1C" w:rsidP="00A30BBF">
      <w:pPr>
        <w:rPr>
          <w:b/>
        </w:rPr>
      </w:pPr>
    </w:p>
    <w:p w14:paraId="4E3CE2C3" w14:textId="77777777" w:rsidR="00A30BBF" w:rsidRDefault="00A30BBF" w:rsidP="00A30BBF">
      <w:pPr>
        <w:sectPr w:rsidR="00A30BBF" w:rsidSect="00EA0FC1">
          <w:headerReference w:type="even" r:id="rId13"/>
          <w:headerReference w:type="default" r:id="rId14"/>
          <w:footerReference w:type="default" r:id="rId15"/>
          <w:pgSz w:w="11906" w:h="16838"/>
          <w:pgMar w:top="1440" w:right="1440" w:bottom="1440" w:left="1440" w:header="708" w:footer="708" w:gutter="0"/>
          <w:pgNumType w:start="0"/>
          <w:cols w:space="708"/>
          <w:titlePg/>
          <w:docGrid w:linePitch="360"/>
        </w:sectPr>
      </w:pPr>
    </w:p>
    <w:p w14:paraId="10D431DA" w14:textId="6E8F37DA" w:rsidR="00A30BBF" w:rsidRPr="009A0297" w:rsidRDefault="0015757E" w:rsidP="00A30BBF">
      <w:pPr>
        <w:rPr>
          <w:b/>
          <w:bCs/>
          <w:iCs/>
        </w:rPr>
      </w:pPr>
      <w:r>
        <w:rPr>
          <w:b/>
          <w:bCs/>
          <w:iCs/>
          <w:color w:val="000000"/>
          <w:szCs w:val="21"/>
        </w:rPr>
        <w:lastRenderedPageBreak/>
        <w:t xml:space="preserve">Connectivity Costs II: </w:t>
      </w:r>
      <w:r w:rsidR="00A30BBF" w:rsidRPr="009A0297">
        <w:rPr>
          <w:b/>
          <w:bCs/>
          <w:iCs/>
          <w:color w:val="000000"/>
          <w:szCs w:val="21"/>
        </w:rPr>
        <w:t xml:space="preserve">Telecommunications </w:t>
      </w:r>
      <w:r w:rsidR="00E37216">
        <w:rPr>
          <w:b/>
          <w:bCs/>
          <w:iCs/>
          <w:color w:val="000000"/>
          <w:szCs w:val="21"/>
        </w:rPr>
        <w:t xml:space="preserve">Affordability </w:t>
      </w:r>
      <w:r w:rsidR="00A30BBF" w:rsidRPr="009A0297">
        <w:rPr>
          <w:b/>
          <w:bCs/>
          <w:iCs/>
          <w:color w:val="000000"/>
          <w:szCs w:val="21"/>
        </w:rPr>
        <w:t xml:space="preserve">and </w:t>
      </w:r>
      <w:r w:rsidR="00170969">
        <w:rPr>
          <w:b/>
          <w:bCs/>
          <w:iCs/>
          <w:color w:val="000000"/>
          <w:szCs w:val="21"/>
        </w:rPr>
        <w:t xml:space="preserve">Waged </w:t>
      </w:r>
      <w:r w:rsidR="00897FF7">
        <w:rPr>
          <w:b/>
          <w:bCs/>
          <w:iCs/>
          <w:color w:val="000000"/>
          <w:szCs w:val="21"/>
        </w:rPr>
        <w:t>P</w:t>
      </w:r>
      <w:r w:rsidR="00170969">
        <w:rPr>
          <w:b/>
          <w:bCs/>
          <w:iCs/>
          <w:color w:val="000000"/>
          <w:szCs w:val="21"/>
        </w:rPr>
        <w:t>oor</w:t>
      </w:r>
      <w:r w:rsidR="00A30BBF" w:rsidRPr="009A0297">
        <w:rPr>
          <w:b/>
          <w:bCs/>
          <w:iCs/>
          <w:color w:val="000000"/>
          <w:szCs w:val="21"/>
        </w:rPr>
        <w:t xml:space="preserve"> </w:t>
      </w:r>
      <w:r w:rsidR="00A30BBF">
        <w:rPr>
          <w:b/>
          <w:bCs/>
          <w:iCs/>
          <w:color w:val="000000"/>
          <w:szCs w:val="21"/>
        </w:rPr>
        <w:t>Households</w:t>
      </w:r>
      <w:r>
        <w:rPr>
          <w:b/>
          <w:bCs/>
          <w:iCs/>
          <w:color w:val="000000"/>
          <w:szCs w:val="21"/>
        </w:rPr>
        <w:t xml:space="preserve"> – F</w:t>
      </w:r>
      <w:r w:rsidR="00A30BBF">
        <w:rPr>
          <w:b/>
          <w:bCs/>
          <w:iCs/>
          <w:color w:val="000000"/>
          <w:szCs w:val="21"/>
        </w:rPr>
        <w:t>inal Report</w:t>
      </w:r>
    </w:p>
    <w:p w14:paraId="378937F6" w14:textId="77777777" w:rsidR="00A30BBF" w:rsidRPr="00735098" w:rsidRDefault="00A30BBF" w:rsidP="00A30BBF">
      <w:pPr>
        <w:rPr>
          <w:b/>
        </w:rPr>
      </w:pPr>
      <w:r>
        <w:t xml:space="preserve">Authored by </w:t>
      </w:r>
      <w:r w:rsidRPr="00735098">
        <w:rPr>
          <w:b/>
        </w:rPr>
        <w:t>Dr Greg Ogle and Rebecca Law</w:t>
      </w:r>
    </w:p>
    <w:p w14:paraId="2634A1F3" w14:textId="77777777" w:rsidR="00A30BBF" w:rsidRDefault="00A30BBF" w:rsidP="00A30BBF">
      <w:r>
        <w:t xml:space="preserve">Published in </w:t>
      </w:r>
      <w:r>
        <w:rPr>
          <w:b/>
        </w:rPr>
        <w:t>2020</w:t>
      </w:r>
    </w:p>
    <w:p w14:paraId="2A66E360" w14:textId="36081EFB" w:rsidR="0015757E" w:rsidRDefault="0015757E" w:rsidP="0015757E">
      <w:pPr>
        <w:spacing w:after="0" w:line="240" w:lineRule="auto"/>
        <w:rPr>
          <w:lang w:eastAsia="en-AU"/>
        </w:rPr>
      </w:pPr>
      <w:r w:rsidRPr="006501F6">
        <w:rPr>
          <w:lang w:eastAsia="en-AU"/>
        </w:rPr>
        <w:t>This project was funded by a grant from the Australian Communications Consumer Action Network (ACCAN).</w:t>
      </w:r>
    </w:p>
    <w:p w14:paraId="70994472" w14:textId="77777777" w:rsidR="00AD14B6" w:rsidRPr="006501F6" w:rsidRDefault="00AD14B6" w:rsidP="0015757E">
      <w:pPr>
        <w:spacing w:after="0" w:line="240" w:lineRule="auto"/>
        <w:rPr>
          <w:lang w:eastAsia="en-AU"/>
        </w:rPr>
      </w:pPr>
    </w:p>
    <w:p w14:paraId="482DB43D" w14:textId="3E63E798" w:rsidR="0015757E" w:rsidRDefault="0015757E" w:rsidP="0015757E">
      <w:pPr>
        <w:spacing w:after="0" w:line="240" w:lineRule="auto"/>
        <w:rPr>
          <w:lang w:eastAsia="en-AU"/>
        </w:rPr>
      </w:pPr>
      <w:r w:rsidRPr="006501F6">
        <w:rPr>
          <w:lang w:eastAsia="en-AU"/>
        </w:rPr>
        <w:t xml:space="preserve">The operation of the Australian Communications Consumer Action Network is made possible by funding provided by the Commonwealth of Australia under section 593 of the </w:t>
      </w:r>
      <w:r w:rsidRPr="006501F6">
        <w:rPr>
          <w:i/>
          <w:lang w:eastAsia="en-AU"/>
        </w:rPr>
        <w:t>Telecommunications Act 1997</w:t>
      </w:r>
      <w:r w:rsidRPr="006501F6">
        <w:rPr>
          <w:lang w:eastAsia="en-AU"/>
        </w:rPr>
        <w:t>. This funding is recovered from charges on telecommunications carriers.</w:t>
      </w:r>
    </w:p>
    <w:p w14:paraId="19B88BC3" w14:textId="57D66DA3" w:rsidR="0015757E" w:rsidRDefault="0015757E" w:rsidP="0015757E">
      <w:pPr>
        <w:spacing w:after="0" w:line="240" w:lineRule="auto"/>
        <w:rPr>
          <w:lang w:eastAsia="en-AU"/>
        </w:rPr>
      </w:pPr>
    </w:p>
    <w:p w14:paraId="5838F016" w14:textId="77777777" w:rsidR="0015757E" w:rsidRPr="006501F6" w:rsidRDefault="0015757E" w:rsidP="0015757E">
      <w:pPr>
        <w:spacing w:after="0" w:line="240" w:lineRule="auto"/>
        <w:rPr>
          <w:lang w:eastAsia="en-AU"/>
        </w:rPr>
      </w:pPr>
    </w:p>
    <w:p w14:paraId="526D22A2" w14:textId="77777777" w:rsidR="00A30BBF" w:rsidRDefault="00A30BBF" w:rsidP="00A30BBF">
      <w:r>
        <w:rPr>
          <w:b/>
        </w:rPr>
        <w:t>South Australian Council of Social Service</w:t>
      </w:r>
      <w:r>
        <w:br/>
        <w:t xml:space="preserve">Website: </w:t>
      </w:r>
      <w:hyperlink r:id="rId16" w:history="1">
        <w:r w:rsidRPr="00735098">
          <w:rPr>
            <w:rStyle w:val="Hyperlink"/>
          </w:rPr>
          <w:t>www.sacoss.org.au</w:t>
        </w:r>
      </w:hyperlink>
      <w:r>
        <w:rPr>
          <w:b/>
        </w:rPr>
        <w:t xml:space="preserve"> </w:t>
      </w:r>
      <w:r>
        <w:br/>
        <w:t xml:space="preserve">Email: </w:t>
      </w:r>
      <w:hyperlink r:id="rId17" w:history="1">
        <w:r w:rsidRPr="00987F99">
          <w:rPr>
            <w:rStyle w:val="Hyperlink"/>
          </w:rPr>
          <w:t>greg@sacoss.org.au</w:t>
        </w:r>
      </w:hyperlink>
      <w:r>
        <w:t xml:space="preserve"> </w:t>
      </w:r>
      <w:r>
        <w:br/>
        <w:t>Telephone: 08 8305 4222</w:t>
      </w:r>
    </w:p>
    <w:p w14:paraId="41CFFBD5" w14:textId="77777777" w:rsidR="00AD14B6" w:rsidRPr="006501F6" w:rsidRDefault="00AD14B6" w:rsidP="00AD14B6">
      <w:pPr>
        <w:spacing w:after="0" w:line="240" w:lineRule="auto"/>
        <w:rPr>
          <w:lang w:eastAsia="en-AU"/>
        </w:rPr>
      </w:pPr>
      <w:r w:rsidRPr="006501F6">
        <w:rPr>
          <w:b/>
          <w:lang w:eastAsia="en-AU"/>
        </w:rPr>
        <w:t>Australian Communications Consumer Action Network</w:t>
      </w:r>
      <w:r w:rsidRPr="006501F6">
        <w:rPr>
          <w:b/>
          <w:lang w:eastAsia="en-AU"/>
        </w:rPr>
        <w:br/>
      </w:r>
      <w:r w:rsidRPr="006501F6">
        <w:rPr>
          <w:lang w:eastAsia="en-AU"/>
        </w:rPr>
        <w:t xml:space="preserve">Website: </w:t>
      </w:r>
      <w:hyperlink r:id="rId18" w:tooltip="ACCAN website [opens in separate window]" w:history="1">
        <w:r w:rsidRPr="006501F6">
          <w:rPr>
            <w:rStyle w:val="Hyperlink"/>
            <w:lang w:eastAsia="en-AU"/>
          </w:rPr>
          <w:t>www.accan.org.au</w:t>
        </w:r>
      </w:hyperlink>
      <w:r w:rsidRPr="006501F6">
        <w:rPr>
          <w:lang w:eastAsia="en-AU"/>
        </w:rPr>
        <w:t xml:space="preserve"> </w:t>
      </w:r>
      <w:r w:rsidRPr="006501F6">
        <w:rPr>
          <w:lang w:eastAsia="en-AU"/>
        </w:rPr>
        <w:br/>
        <w:t xml:space="preserve">Email: </w:t>
      </w:r>
      <w:hyperlink r:id="rId19" w:history="1">
        <w:r w:rsidRPr="006501F6">
          <w:rPr>
            <w:rStyle w:val="Hyperlink"/>
            <w:lang w:eastAsia="en-AU"/>
          </w:rPr>
          <w:t>grants@accan.org.au</w:t>
        </w:r>
      </w:hyperlink>
      <w:r w:rsidRPr="006501F6">
        <w:rPr>
          <w:lang w:eastAsia="en-AU"/>
        </w:rPr>
        <w:t xml:space="preserve"> </w:t>
      </w:r>
      <w:r w:rsidRPr="006501F6">
        <w:rPr>
          <w:lang w:eastAsia="en-AU"/>
        </w:rPr>
        <w:br/>
        <w:t>Telephone: 02 9288 4000</w:t>
      </w:r>
    </w:p>
    <w:p w14:paraId="6DC638F7" w14:textId="77777777" w:rsidR="008E1E8D" w:rsidRDefault="008E1E8D" w:rsidP="00A30BBF">
      <w:pPr>
        <w:rPr>
          <w:b/>
        </w:rPr>
      </w:pPr>
    </w:p>
    <w:p w14:paraId="255B2560" w14:textId="087E3BBB" w:rsidR="00A30BBF" w:rsidRPr="004E682E" w:rsidRDefault="00A30BBF" w:rsidP="00A30BBF">
      <w:r w:rsidRPr="00560CC4">
        <w:rPr>
          <w:iCs/>
        </w:rPr>
        <w:t>If</w:t>
      </w:r>
      <w:r>
        <w:rPr>
          <w:iCs/>
        </w:rPr>
        <w:t xml:space="preserve"> </w:t>
      </w:r>
      <w:r w:rsidRPr="00560CC4">
        <w:rPr>
          <w:iCs/>
        </w:rPr>
        <w:t>you</w:t>
      </w:r>
      <w:r>
        <w:rPr>
          <w:iCs/>
        </w:rPr>
        <w:t xml:space="preserve"> </w:t>
      </w:r>
      <w:r w:rsidRPr="00560CC4">
        <w:rPr>
          <w:iCs/>
        </w:rPr>
        <w:t>are</w:t>
      </w:r>
      <w:r>
        <w:rPr>
          <w:iCs/>
        </w:rPr>
        <w:t xml:space="preserve"> </w:t>
      </w:r>
      <w:r w:rsidRPr="00560CC4">
        <w:rPr>
          <w:iCs/>
        </w:rPr>
        <w:t>deaf,</w:t>
      </w:r>
      <w:r>
        <w:rPr>
          <w:iCs/>
        </w:rPr>
        <w:t xml:space="preserve"> </w:t>
      </w:r>
      <w:r w:rsidRPr="00560CC4">
        <w:rPr>
          <w:iCs/>
        </w:rPr>
        <w:t>or</w:t>
      </w:r>
      <w:r>
        <w:rPr>
          <w:iCs/>
        </w:rPr>
        <w:t xml:space="preserve"> </w:t>
      </w:r>
      <w:r w:rsidRPr="00560CC4">
        <w:rPr>
          <w:iCs/>
        </w:rPr>
        <w:t>have</w:t>
      </w:r>
      <w:r>
        <w:rPr>
          <w:iCs/>
        </w:rPr>
        <w:t xml:space="preserve"> </w:t>
      </w:r>
      <w:r w:rsidRPr="00560CC4">
        <w:rPr>
          <w:iCs/>
        </w:rPr>
        <w:t>a</w:t>
      </w:r>
      <w:r>
        <w:rPr>
          <w:iCs/>
        </w:rPr>
        <w:t xml:space="preserve"> </w:t>
      </w:r>
      <w:r w:rsidRPr="00560CC4">
        <w:rPr>
          <w:iCs/>
        </w:rPr>
        <w:t>hearing</w:t>
      </w:r>
      <w:r>
        <w:rPr>
          <w:iCs/>
        </w:rPr>
        <w:t xml:space="preserve"> </w:t>
      </w:r>
      <w:r w:rsidRPr="00560CC4">
        <w:rPr>
          <w:iCs/>
        </w:rPr>
        <w:t>or</w:t>
      </w:r>
      <w:r>
        <w:rPr>
          <w:iCs/>
        </w:rPr>
        <w:t xml:space="preserve"> </w:t>
      </w:r>
      <w:r w:rsidRPr="00560CC4">
        <w:rPr>
          <w:iCs/>
        </w:rPr>
        <w:t>speech</w:t>
      </w:r>
      <w:r>
        <w:rPr>
          <w:iCs/>
        </w:rPr>
        <w:t xml:space="preserve"> </w:t>
      </w:r>
      <w:r w:rsidRPr="00560CC4">
        <w:rPr>
          <w:iCs/>
        </w:rPr>
        <w:t>impairment,</w:t>
      </w:r>
      <w:r>
        <w:rPr>
          <w:iCs/>
        </w:rPr>
        <w:t xml:space="preserve"> </w:t>
      </w:r>
      <w:r w:rsidRPr="00560CC4">
        <w:rPr>
          <w:iCs/>
        </w:rPr>
        <w:t>contact</w:t>
      </w:r>
      <w:r>
        <w:rPr>
          <w:iCs/>
        </w:rPr>
        <w:t xml:space="preserve"> us through </w:t>
      </w:r>
      <w:r w:rsidRPr="00560CC4">
        <w:rPr>
          <w:iCs/>
        </w:rPr>
        <w:t>the</w:t>
      </w:r>
      <w:r>
        <w:rPr>
          <w:iCs/>
        </w:rPr>
        <w:t xml:space="preserve"> </w:t>
      </w:r>
      <w:r w:rsidRPr="00560CC4">
        <w:rPr>
          <w:iCs/>
        </w:rPr>
        <w:t>National</w:t>
      </w:r>
      <w:r>
        <w:rPr>
          <w:iCs/>
        </w:rPr>
        <w:t xml:space="preserve"> </w:t>
      </w:r>
      <w:r w:rsidRPr="00560CC4">
        <w:rPr>
          <w:iCs/>
        </w:rPr>
        <w:t>Relay</w:t>
      </w:r>
      <w:r>
        <w:rPr>
          <w:iCs/>
        </w:rPr>
        <w:t xml:space="preserve"> </w:t>
      </w:r>
      <w:r w:rsidRPr="00560CC4">
        <w:rPr>
          <w:iCs/>
        </w:rPr>
        <w:t>Service:</w:t>
      </w:r>
      <w:r>
        <w:rPr>
          <w:iCs/>
        </w:rPr>
        <w:t xml:space="preserve"> </w:t>
      </w:r>
      <w:hyperlink r:id="rId20" w:history="1">
        <w:r>
          <w:rPr>
            <w:rStyle w:val="Hyperlink"/>
          </w:rPr>
          <w:t>https://www.communications.gov.au/what-we-do/phone/services-people-disability/accesshub/national-relay-service/service-features/national-relay-service-call-numbers</w:t>
        </w:r>
      </w:hyperlink>
    </w:p>
    <w:p w14:paraId="4B4AE70B" w14:textId="77777777" w:rsidR="00B570A3" w:rsidRPr="0042486E" w:rsidRDefault="00A30BBF" w:rsidP="00B570A3">
      <w:pPr>
        <w:spacing w:after="0" w:line="240" w:lineRule="auto"/>
        <w:rPr>
          <w:rFonts w:ascii="Arial" w:eastAsia="Times New Roman" w:hAnsi="Arial" w:cs="Arial"/>
          <w:sz w:val="20"/>
          <w:szCs w:val="20"/>
          <w:lang w:eastAsia="en-AU"/>
        </w:rPr>
      </w:pPr>
      <w:r>
        <w:t xml:space="preserve">ISBN: </w:t>
      </w:r>
      <w:r w:rsidR="00B570A3" w:rsidRPr="0042486E">
        <w:rPr>
          <w:rFonts w:ascii="Arial" w:eastAsia="Times New Roman" w:hAnsi="Arial" w:cs="Arial"/>
          <w:sz w:val="20"/>
          <w:szCs w:val="20"/>
          <w:lang w:eastAsia="en-AU"/>
        </w:rPr>
        <w:t>978-1-921974-64-9 </w:t>
      </w:r>
    </w:p>
    <w:p w14:paraId="34B59DE8" w14:textId="1A077D3D" w:rsidR="00A30BBF" w:rsidRDefault="00A30BBF" w:rsidP="00A30BBF"/>
    <w:p w14:paraId="36779271" w14:textId="6CF5D042" w:rsidR="00A30BBF" w:rsidRDefault="00CB43E1" w:rsidP="00A30BBF">
      <w:pPr>
        <w:autoSpaceDE w:val="0"/>
        <w:autoSpaceDN w:val="0"/>
        <w:adjustRightInd w:val="0"/>
      </w:pPr>
      <w:r>
        <w:rPr>
          <w:noProof/>
          <w:lang w:eastAsia="en-AU"/>
        </w:rPr>
        <w:drawing>
          <wp:inline distT="0" distB="0" distL="0" distR="0" wp14:anchorId="7412BA27" wp14:editId="05E63E6F">
            <wp:extent cx="1121787" cy="388026"/>
            <wp:effectExtent l="0" t="0" r="0" b="0"/>
            <wp:docPr id="2" name="Picture 2"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4" title="Creative Commons logo"/>
                    <pic:cNvPicPr>
                      <a:picLocks noChangeAspect="1" noChangeArrowheads="1"/>
                    </pic:cNvPicPr>
                  </pic:nvPicPr>
                  <pic:blipFill>
                    <a:blip r:embed="rId21" cstate="print"/>
                    <a:srcRect/>
                    <a:stretch>
                      <a:fillRect/>
                    </a:stretch>
                  </pic:blipFill>
                  <pic:spPr bwMode="auto">
                    <a:xfrm>
                      <a:off x="0" y="0"/>
                      <a:ext cx="1121410" cy="387985"/>
                    </a:xfrm>
                    <a:prstGeom prst="rect">
                      <a:avLst/>
                    </a:prstGeom>
                    <a:noFill/>
                    <a:ln w="9525">
                      <a:noFill/>
                      <a:miter lim="800000"/>
                      <a:headEnd/>
                      <a:tailEnd/>
                    </a:ln>
                  </pic:spPr>
                </pic:pic>
              </a:graphicData>
            </a:graphic>
          </wp:inline>
        </w:drawing>
      </w:r>
    </w:p>
    <w:p w14:paraId="2439C5A1" w14:textId="42E3AB45" w:rsidR="00A30BBF" w:rsidRDefault="00A30BBF" w:rsidP="00A30BBF">
      <w:pPr>
        <w:autoSpaceDE w:val="0"/>
        <w:autoSpaceDN w:val="0"/>
        <w:adjustRightInd w:val="0"/>
        <w:rPr>
          <w:rStyle w:val="Hyperlink"/>
        </w:rPr>
      </w:pPr>
      <w:r w:rsidRPr="00DA61B3">
        <w:t xml:space="preserve">This work is copyright, licensed under the Creative Commons Attribution </w:t>
      </w:r>
      <w:r>
        <w:t>4</w:t>
      </w:r>
      <w:r w:rsidRPr="00DA61B3">
        <w:t xml:space="preserve">.0 </w:t>
      </w:r>
      <w:r>
        <w:t>International</w:t>
      </w:r>
      <w:r w:rsidRPr="00DA61B3">
        <w:t xml:space="preserve"> Licence. You are free to</w:t>
      </w:r>
      <w:r>
        <w:t xml:space="preserve"> </w:t>
      </w:r>
      <w:r w:rsidRPr="00DA61B3">
        <w:t>cite, copy, communicate and adapt this work, so lo</w:t>
      </w:r>
      <w:r>
        <w:t>ng as you attribute the authors and “SACOSS” supported by a grant from the Australian Communications Consumer Action Network”. To view a copy of this licenc</w:t>
      </w:r>
      <w:r w:rsidRPr="00DA61B3">
        <w:t xml:space="preserve">e, visit </w:t>
      </w:r>
      <w:hyperlink r:id="rId22" w:tooltip="Creative commons licensing website [opens in separate window]" w:history="1">
        <w:r w:rsidRPr="00ED072C">
          <w:rPr>
            <w:rStyle w:val="Hyperlink"/>
          </w:rPr>
          <w:t>http://creativecommons.org/licenses/by/4.0/</w:t>
        </w:r>
      </w:hyperlink>
    </w:p>
    <w:p w14:paraId="332E5899" w14:textId="77777777" w:rsidR="00AD14B6" w:rsidRDefault="00AD14B6" w:rsidP="00A30BBF">
      <w:pPr>
        <w:autoSpaceDE w:val="0"/>
        <w:autoSpaceDN w:val="0"/>
        <w:adjustRightInd w:val="0"/>
      </w:pPr>
    </w:p>
    <w:p w14:paraId="575F7D64" w14:textId="7F134CEB" w:rsidR="00A30BBF" w:rsidRDefault="00A30BBF" w:rsidP="00A30BBF">
      <w:pPr>
        <w:rPr>
          <w:color w:val="000000"/>
          <w:szCs w:val="21"/>
        </w:rPr>
      </w:pPr>
      <w:r>
        <w:rPr>
          <w:color w:val="000000"/>
          <w:szCs w:val="21"/>
        </w:rPr>
        <w:t xml:space="preserve">This work can be cited as: Ogle, G. &amp; Law, R. </w:t>
      </w:r>
      <w:r w:rsidRPr="00824A9E">
        <w:rPr>
          <w:color w:val="000000"/>
          <w:szCs w:val="21"/>
        </w:rPr>
        <w:t>20</w:t>
      </w:r>
      <w:r w:rsidR="00C94940">
        <w:rPr>
          <w:color w:val="000000"/>
          <w:szCs w:val="21"/>
        </w:rPr>
        <w:t>20</w:t>
      </w:r>
      <w:r>
        <w:rPr>
          <w:color w:val="000000"/>
          <w:szCs w:val="21"/>
        </w:rPr>
        <w:t>,</w:t>
      </w:r>
      <w:r w:rsidRPr="00824A9E">
        <w:rPr>
          <w:color w:val="000000"/>
          <w:szCs w:val="21"/>
        </w:rPr>
        <w:t xml:space="preserve"> </w:t>
      </w:r>
      <w:r w:rsidR="00AD14B6" w:rsidRPr="00AD14B6">
        <w:rPr>
          <w:i/>
          <w:iCs/>
          <w:color w:val="000000"/>
          <w:szCs w:val="21"/>
        </w:rPr>
        <w:t>Connectivity Costs II:</w:t>
      </w:r>
      <w:r w:rsidR="00AD14B6">
        <w:rPr>
          <w:color w:val="000000"/>
          <w:szCs w:val="21"/>
        </w:rPr>
        <w:t xml:space="preserve"> </w:t>
      </w:r>
      <w:r>
        <w:rPr>
          <w:i/>
          <w:color w:val="000000"/>
          <w:szCs w:val="21"/>
        </w:rPr>
        <w:t xml:space="preserve">Telecommunications </w:t>
      </w:r>
      <w:r w:rsidR="00E37216">
        <w:rPr>
          <w:i/>
          <w:color w:val="000000"/>
          <w:szCs w:val="21"/>
        </w:rPr>
        <w:t xml:space="preserve">Affordability </w:t>
      </w:r>
      <w:r>
        <w:rPr>
          <w:i/>
          <w:color w:val="000000"/>
          <w:szCs w:val="21"/>
        </w:rPr>
        <w:t xml:space="preserve">and </w:t>
      </w:r>
      <w:r w:rsidR="00170969">
        <w:rPr>
          <w:i/>
          <w:color w:val="000000"/>
          <w:szCs w:val="21"/>
        </w:rPr>
        <w:t>Waged poor</w:t>
      </w:r>
      <w:r>
        <w:rPr>
          <w:i/>
          <w:color w:val="000000"/>
          <w:szCs w:val="21"/>
        </w:rPr>
        <w:t xml:space="preserve"> Households: Survey Final Report</w:t>
      </w:r>
      <w:r w:rsidRPr="00824A9E">
        <w:rPr>
          <w:color w:val="000000"/>
          <w:szCs w:val="21"/>
        </w:rPr>
        <w:t>, Australian Communications Consumer Action Network, Sydney.</w:t>
      </w:r>
    </w:p>
    <w:p w14:paraId="055A3F3F" w14:textId="77777777" w:rsidR="000D3F93" w:rsidRDefault="00A30BBF" w:rsidP="00AE36AE">
      <w:r>
        <w:br w:type="page"/>
      </w:r>
    </w:p>
    <w:p w14:paraId="497E050D" w14:textId="77777777" w:rsidR="00002AE1" w:rsidRDefault="00617AE2" w:rsidP="00A555FF">
      <w:pPr>
        <w:pStyle w:val="Heading1"/>
        <w:rPr>
          <w:noProof/>
        </w:rPr>
      </w:pPr>
      <w:bookmarkStart w:id="1" w:name="_Toc42719008"/>
      <w:r>
        <w:rPr>
          <w:lang w:val="en-US" w:eastAsia="ja-JP"/>
        </w:rPr>
        <w:lastRenderedPageBreak/>
        <w:t>Table of Contents</w:t>
      </w:r>
      <w:bookmarkEnd w:id="1"/>
      <w:r w:rsidR="00A555FF">
        <w:rPr>
          <w:lang w:val="en-US" w:eastAsia="ja-JP"/>
        </w:rPr>
        <w:fldChar w:fldCharType="begin"/>
      </w:r>
      <w:r w:rsidR="00A555FF">
        <w:rPr>
          <w:lang w:val="en-US" w:eastAsia="ja-JP"/>
        </w:rPr>
        <w:instrText xml:space="preserve"> TOC \o "1-3" \u </w:instrText>
      </w:r>
      <w:r w:rsidR="00A555FF">
        <w:rPr>
          <w:lang w:val="en-US" w:eastAsia="ja-JP"/>
        </w:rPr>
        <w:fldChar w:fldCharType="separate"/>
      </w:r>
    </w:p>
    <w:p w14:paraId="0A96B823" w14:textId="615EA37C" w:rsidR="00002AE1" w:rsidRDefault="00002AE1">
      <w:pPr>
        <w:pStyle w:val="TOC1"/>
        <w:tabs>
          <w:tab w:val="right" w:leader="dot" w:pos="9016"/>
        </w:tabs>
        <w:rPr>
          <w:rFonts w:asciiTheme="minorHAnsi" w:eastAsiaTheme="minorEastAsia" w:hAnsiTheme="minorHAnsi" w:cstheme="minorBidi"/>
          <w:noProof/>
          <w:lang w:eastAsia="en-AU"/>
        </w:rPr>
      </w:pPr>
      <w:r>
        <w:rPr>
          <w:noProof/>
        </w:rPr>
        <w:t>Acknowledgements</w:t>
      </w:r>
      <w:r>
        <w:rPr>
          <w:noProof/>
        </w:rPr>
        <w:tab/>
      </w:r>
      <w:r>
        <w:rPr>
          <w:noProof/>
        </w:rPr>
        <w:fldChar w:fldCharType="begin"/>
      </w:r>
      <w:r>
        <w:rPr>
          <w:noProof/>
        </w:rPr>
        <w:instrText xml:space="preserve"> PAGEREF _Toc42719010 \h </w:instrText>
      </w:r>
      <w:r>
        <w:rPr>
          <w:noProof/>
        </w:rPr>
      </w:r>
      <w:r>
        <w:rPr>
          <w:noProof/>
        </w:rPr>
        <w:fldChar w:fldCharType="separate"/>
      </w:r>
      <w:r w:rsidR="004C6DF3">
        <w:rPr>
          <w:noProof/>
        </w:rPr>
        <w:t>1</w:t>
      </w:r>
      <w:r>
        <w:rPr>
          <w:noProof/>
        </w:rPr>
        <w:fldChar w:fldCharType="end"/>
      </w:r>
    </w:p>
    <w:p w14:paraId="5322C94A" w14:textId="11056AF2" w:rsidR="00002AE1" w:rsidRDefault="00002AE1">
      <w:pPr>
        <w:pStyle w:val="TOC1"/>
        <w:tabs>
          <w:tab w:val="right" w:leader="dot" w:pos="9016"/>
        </w:tabs>
        <w:rPr>
          <w:rFonts w:asciiTheme="minorHAnsi" w:eastAsiaTheme="minorEastAsia" w:hAnsiTheme="minorHAnsi" w:cstheme="minorBidi"/>
          <w:noProof/>
          <w:lang w:eastAsia="en-AU"/>
        </w:rPr>
      </w:pPr>
      <w:r>
        <w:rPr>
          <w:noProof/>
        </w:rPr>
        <w:t>Executive Summary</w:t>
      </w:r>
      <w:r>
        <w:rPr>
          <w:noProof/>
        </w:rPr>
        <w:tab/>
      </w:r>
      <w:r>
        <w:rPr>
          <w:noProof/>
        </w:rPr>
        <w:fldChar w:fldCharType="begin"/>
      </w:r>
      <w:r>
        <w:rPr>
          <w:noProof/>
        </w:rPr>
        <w:instrText xml:space="preserve"> PAGEREF _Toc42719011 \h </w:instrText>
      </w:r>
      <w:r>
        <w:rPr>
          <w:noProof/>
        </w:rPr>
      </w:r>
      <w:r>
        <w:rPr>
          <w:noProof/>
        </w:rPr>
        <w:fldChar w:fldCharType="separate"/>
      </w:r>
      <w:r w:rsidR="004C6DF3">
        <w:rPr>
          <w:noProof/>
        </w:rPr>
        <w:t>2</w:t>
      </w:r>
      <w:r>
        <w:rPr>
          <w:noProof/>
        </w:rPr>
        <w:fldChar w:fldCharType="end"/>
      </w:r>
    </w:p>
    <w:p w14:paraId="78910D05" w14:textId="36591D3D" w:rsidR="00002AE1" w:rsidRDefault="00002AE1">
      <w:pPr>
        <w:pStyle w:val="TOC1"/>
        <w:tabs>
          <w:tab w:val="right" w:leader="dot" w:pos="9016"/>
        </w:tabs>
        <w:rPr>
          <w:rFonts w:asciiTheme="minorHAnsi" w:eastAsiaTheme="minorEastAsia" w:hAnsiTheme="minorHAnsi" w:cstheme="minorBidi"/>
          <w:noProof/>
          <w:lang w:eastAsia="en-AU"/>
        </w:rPr>
      </w:pPr>
      <w:r w:rsidRPr="009F5169">
        <w:rPr>
          <w:noProof/>
          <w:lang w:val="en-US" w:eastAsia="ja-JP"/>
        </w:rPr>
        <w:t>Introduction</w:t>
      </w:r>
      <w:r>
        <w:rPr>
          <w:noProof/>
        </w:rPr>
        <w:tab/>
      </w:r>
      <w:r>
        <w:rPr>
          <w:noProof/>
        </w:rPr>
        <w:fldChar w:fldCharType="begin"/>
      </w:r>
      <w:r>
        <w:rPr>
          <w:noProof/>
        </w:rPr>
        <w:instrText xml:space="preserve"> PAGEREF _Toc42719012 \h </w:instrText>
      </w:r>
      <w:r>
        <w:rPr>
          <w:noProof/>
        </w:rPr>
      </w:r>
      <w:r>
        <w:rPr>
          <w:noProof/>
        </w:rPr>
        <w:fldChar w:fldCharType="separate"/>
      </w:r>
      <w:r w:rsidR="004C6DF3">
        <w:rPr>
          <w:noProof/>
        </w:rPr>
        <w:t>6</w:t>
      </w:r>
      <w:r>
        <w:rPr>
          <w:noProof/>
        </w:rPr>
        <w:fldChar w:fldCharType="end"/>
      </w:r>
    </w:p>
    <w:p w14:paraId="6FAD83A8" w14:textId="4CF135C3" w:rsidR="00002AE1" w:rsidRDefault="00002AE1">
      <w:pPr>
        <w:pStyle w:val="TOC1"/>
        <w:tabs>
          <w:tab w:val="right" w:leader="dot" w:pos="9016"/>
        </w:tabs>
        <w:rPr>
          <w:rFonts w:asciiTheme="minorHAnsi" w:eastAsiaTheme="minorEastAsia" w:hAnsiTheme="minorHAnsi" w:cstheme="minorBidi"/>
          <w:noProof/>
          <w:lang w:eastAsia="en-AU"/>
        </w:rPr>
      </w:pPr>
      <w:r w:rsidRPr="009F5169">
        <w:rPr>
          <w:noProof/>
          <w:lang w:val="en-US" w:eastAsia="ja-JP"/>
        </w:rPr>
        <w:t>Literature Review: What We Know About Waged Poverty</w:t>
      </w:r>
      <w:r>
        <w:rPr>
          <w:noProof/>
        </w:rPr>
        <w:tab/>
      </w:r>
      <w:r>
        <w:rPr>
          <w:noProof/>
        </w:rPr>
        <w:fldChar w:fldCharType="begin"/>
      </w:r>
      <w:r>
        <w:rPr>
          <w:noProof/>
        </w:rPr>
        <w:instrText xml:space="preserve"> PAGEREF _Toc42719013 \h </w:instrText>
      </w:r>
      <w:r>
        <w:rPr>
          <w:noProof/>
        </w:rPr>
      </w:r>
      <w:r>
        <w:rPr>
          <w:noProof/>
        </w:rPr>
        <w:fldChar w:fldCharType="separate"/>
      </w:r>
      <w:r w:rsidR="004C6DF3">
        <w:rPr>
          <w:noProof/>
        </w:rPr>
        <w:t>9</w:t>
      </w:r>
      <w:r>
        <w:rPr>
          <w:noProof/>
        </w:rPr>
        <w:fldChar w:fldCharType="end"/>
      </w:r>
    </w:p>
    <w:p w14:paraId="6EA0B432" w14:textId="3FA21744" w:rsidR="00002AE1" w:rsidRDefault="00002AE1">
      <w:pPr>
        <w:pStyle w:val="TOC2"/>
        <w:tabs>
          <w:tab w:val="right" w:leader="dot" w:pos="9016"/>
        </w:tabs>
        <w:rPr>
          <w:rFonts w:asciiTheme="minorHAnsi" w:eastAsiaTheme="minorEastAsia" w:hAnsiTheme="minorHAnsi" w:cstheme="minorBidi"/>
          <w:noProof/>
          <w:lang w:val="en-AU" w:eastAsia="en-AU"/>
        </w:rPr>
      </w:pPr>
      <w:r>
        <w:rPr>
          <w:noProof/>
        </w:rPr>
        <w:t>International and Australian Literature</w:t>
      </w:r>
      <w:r>
        <w:rPr>
          <w:noProof/>
        </w:rPr>
        <w:tab/>
      </w:r>
      <w:r>
        <w:rPr>
          <w:noProof/>
        </w:rPr>
        <w:fldChar w:fldCharType="begin"/>
      </w:r>
      <w:r>
        <w:rPr>
          <w:noProof/>
        </w:rPr>
        <w:instrText xml:space="preserve"> PAGEREF _Toc42719014 \h </w:instrText>
      </w:r>
      <w:r>
        <w:rPr>
          <w:noProof/>
        </w:rPr>
      </w:r>
      <w:r>
        <w:rPr>
          <w:noProof/>
        </w:rPr>
        <w:fldChar w:fldCharType="separate"/>
      </w:r>
      <w:r w:rsidR="004C6DF3">
        <w:rPr>
          <w:noProof/>
        </w:rPr>
        <w:t>9</w:t>
      </w:r>
      <w:r>
        <w:rPr>
          <w:noProof/>
        </w:rPr>
        <w:fldChar w:fldCharType="end"/>
      </w:r>
    </w:p>
    <w:p w14:paraId="262DDF39" w14:textId="25053C28" w:rsidR="00002AE1" w:rsidRDefault="00002AE1">
      <w:pPr>
        <w:pStyle w:val="TOC2"/>
        <w:tabs>
          <w:tab w:val="right" w:leader="dot" w:pos="9016"/>
        </w:tabs>
        <w:rPr>
          <w:rFonts w:asciiTheme="minorHAnsi" w:eastAsiaTheme="minorEastAsia" w:hAnsiTheme="minorHAnsi" w:cstheme="minorBidi"/>
          <w:noProof/>
          <w:lang w:val="en-AU" w:eastAsia="en-AU"/>
        </w:rPr>
      </w:pPr>
      <w:r>
        <w:rPr>
          <w:noProof/>
        </w:rPr>
        <w:t>A Profile of Waged Poverty in Australia</w:t>
      </w:r>
      <w:r>
        <w:rPr>
          <w:noProof/>
        </w:rPr>
        <w:tab/>
      </w:r>
      <w:r>
        <w:rPr>
          <w:noProof/>
        </w:rPr>
        <w:fldChar w:fldCharType="begin"/>
      </w:r>
      <w:r>
        <w:rPr>
          <w:noProof/>
        </w:rPr>
        <w:instrText xml:space="preserve"> PAGEREF _Toc42719015 \h </w:instrText>
      </w:r>
      <w:r>
        <w:rPr>
          <w:noProof/>
        </w:rPr>
      </w:r>
      <w:r>
        <w:rPr>
          <w:noProof/>
        </w:rPr>
        <w:fldChar w:fldCharType="separate"/>
      </w:r>
      <w:r w:rsidR="004C6DF3">
        <w:rPr>
          <w:noProof/>
        </w:rPr>
        <w:t>10</w:t>
      </w:r>
      <w:r>
        <w:rPr>
          <w:noProof/>
        </w:rPr>
        <w:fldChar w:fldCharType="end"/>
      </w:r>
    </w:p>
    <w:p w14:paraId="48D94754" w14:textId="6DC23552" w:rsidR="00002AE1" w:rsidRDefault="00002AE1">
      <w:pPr>
        <w:pStyle w:val="TOC3"/>
        <w:tabs>
          <w:tab w:val="right" w:leader="dot" w:pos="9016"/>
        </w:tabs>
        <w:rPr>
          <w:rFonts w:asciiTheme="minorHAnsi" w:eastAsiaTheme="minorEastAsia" w:hAnsiTheme="minorHAnsi" w:cstheme="minorBidi"/>
          <w:noProof/>
          <w:lang w:val="en-AU" w:eastAsia="en-AU"/>
        </w:rPr>
      </w:pPr>
      <w:r>
        <w:rPr>
          <w:noProof/>
        </w:rPr>
        <w:t>Prevalence</w:t>
      </w:r>
      <w:r>
        <w:rPr>
          <w:noProof/>
        </w:rPr>
        <w:tab/>
      </w:r>
      <w:r>
        <w:rPr>
          <w:noProof/>
        </w:rPr>
        <w:fldChar w:fldCharType="begin"/>
      </w:r>
      <w:r>
        <w:rPr>
          <w:noProof/>
        </w:rPr>
        <w:instrText xml:space="preserve"> PAGEREF _Toc42719016 \h </w:instrText>
      </w:r>
      <w:r>
        <w:rPr>
          <w:noProof/>
        </w:rPr>
      </w:r>
      <w:r>
        <w:rPr>
          <w:noProof/>
        </w:rPr>
        <w:fldChar w:fldCharType="separate"/>
      </w:r>
      <w:r w:rsidR="004C6DF3">
        <w:rPr>
          <w:noProof/>
        </w:rPr>
        <w:t>10</w:t>
      </w:r>
      <w:r>
        <w:rPr>
          <w:noProof/>
        </w:rPr>
        <w:fldChar w:fldCharType="end"/>
      </w:r>
    </w:p>
    <w:p w14:paraId="52922F24" w14:textId="4D2E4B85" w:rsidR="00002AE1" w:rsidRDefault="00002AE1">
      <w:pPr>
        <w:pStyle w:val="TOC3"/>
        <w:tabs>
          <w:tab w:val="right" w:leader="dot" w:pos="9016"/>
        </w:tabs>
        <w:rPr>
          <w:rFonts w:asciiTheme="minorHAnsi" w:eastAsiaTheme="minorEastAsia" w:hAnsiTheme="minorHAnsi" w:cstheme="minorBidi"/>
          <w:noProof/>
          <w:lang w:val="en-AU" w:eastAsia="en-AU"/>
        </w:rPr>
      </w:pPr>
      <w:r>
        <w:rPr>
          <w:noProof/>
        </w:rPr>
        <w:t>Income and Expenditure</w:t>
      </w:r>
      <w:r>
        <w:rPr>
          <w:noProof/>
        </w:rPr>
        <w:tab/>
      </w:r>
      <w:r>
        <w:rPr>
          <w:noProof/>
        </w:rPr>
        <w:fldChar w:fldCharType="begin"/>
      </w:r>
      <w:r>
        <w:rPr>
          <w:noProof/>
        </w:rPr>
        <w:instrText xml:space="preserve"> PAGEREF _Toc42719017 \h </w:instrText>
      </w:r>
      <w:r>
        <w:rPr>
          <w:noProof/>
        </w:rPr>
      </w:r>
      <w:r>
        <w:rPr>
          <w:noProof/>
        </w:rPr>
        <w:fldChar w:fldCharType="separate"/>
      </w:r>
      <w:r w:rsidR="004C6DF3">
        <w:rPr>
          <w:noProof/>
        </w:rPr>
        <w:t>12</w:t>
      </w:r>
      <w:r>
        <w:rPr>
          <w:noProof/>
        </w:rPr>
        <w:fldChar w:fldCharType="end"/>
      </w:r>
    </w:p>
    <w:p w14:paraId="4D2758CF" w14:textId="11B0A0B2" w:rsidR="00002AE1" w:rsidRDefault="00002AE1">
      <w:pPr>
        <w:pStyle w:val="TOC3"/>
        <w:tabs>
          <w:tab w:val="right" w:leader="dot" w:pos="9016"/>
        </w:tabs>
        <w:rPr>
          <w:rFonts w:asciiTheme="minorHAnsi" w:eastAsiaTheme="minorEastAsia" w:hAnsiTheme="minorHAnsi" w:cstheme="minorBidi"/>
          <w:noProof/>
          <w:lang w:val="en-AU" w:eastAsia="en-AU"/>
        </w:rPr>
      </w:pPr>
      <w:r>
        <w:rPr>
          <w:noProof/>
        </w:rPr>
        <w:t>Family Formation Cohort</w:t>
      </w:r>
      <w:r>
        <w:rPr>
          <w:noProof/>
        </w:rPr>
        <w:tab/>
      </w:r>
      <w:r>
        <w:rPr>
          <w:noProof/>
        </w:rPr>
        <w:fldChar w:fldCharType="begin"/>
      </w:r>
      <w:r>
        <w:rPr>
          <w:noProof/>
        </w:rPr>
        <w:instrText xml:space="preserve"> PAGEREF _Toc42719018 \h </w:instrText>
      </w:r>
      <w:r>
        <w:rPr>
          <w:noProof/>
        </w:rPr>
      </w:r>
      <w:r>
        <w:rPr>
          <w:noProof/>
        </w:rPr>
        <w:fldChar w:fldCharType="separate"/>
      </w:r>
      <w:r w:rsidR="004C6DF3">
        <w:rPr>
          <w:noProof/>
        </w:rPr>
        <w:t>13</w:t>
      </w:r>
      <w:r>
        <w:rPr>
          <w:noProof/>
        </w:rPr>
        <w:fldChar w:fldCharType="end"/>
      </w:r>
    </w:p>
    <w:p w14:paraId="7986EA24" w14:textId="7A3CD8F2" w:rsidR="00002AE1" w:rsidRDefault="00002AE1">
      <w:pPr>
        <w:pStyle w:val="TOC3"/>
        <w:tabs>
          <w:tab w:val="right" w:leader="dot" w:pos="9016"/>
        </w:tabs>
        <w:rPr>
          <w:rFonts w:asciiTheme="minorHAnsi" w:eastAsiaTheme="minorEastAsia" w:hAnsiTheme="minorHAnsi" w:cstheme="minorBidi"/>
          <w:noProof/>
          <w:lang w:val="en-AU" w:eastAsia="en-AU"/>
        </w:rPr>
      </w:pPr>
      <w:r>
        <w:rPr>
          <w:noProof/>
        </w:rPr>
        <w:t>Household Tenure</w:t>
      </w:r>
      <w:r>
        <w:rPr>
          <w:noProof/>
        </w:rPr>
        <w:tab/>
      </w:r>
      <w:r>
        <w:rPr>
          <w:noProof/>
        </w:rPr>
        <w:fldChar w:fldCharType="begin"/>
      </w:r>
      <w:r>
        <w:rPr>
          <w:noProof/>
        </w:rPr>
        <w:instrText xml:space="preserve"> PAGEREF _Toc42719019 \h </w:instrText>
      </w:r>
      <w:r>
        <w:rPr>
          <w:noProof/>
        </w:rPr>
      </w:r>
      <w:r>
        <w:rPr>
          <w:noProof/>
        </w:rPr>
        <w:fldChar w:fldCharType="separate"/>
      </w:r>
      <w:r w:rsidR="004C6DF3">
        <w:rPr>
          <w:noProof/>
        </w:rPr>
        <w:t>14</w:t>
      </w:r>
      <w:r>
        <w:rPr>
          <w:noProof/>
        </w:rPr>
        <w:fldChar w:fldCharType="end"/>
      </w:r>
    </w:p>
    <w:p w14:paraId="47D16B54" w14:textId="583B88DB" w:rsidR="00002AE1" w:rsidRDefault="00002AE1">
      <w:pPr>
        <w:pStyle w:val="TOC3"/>
        <w:tabs>
          <w:tab w:val="right" w:leader="dot" w:pos="9016"/>
        </w:tabs>
        <w:rPr>
          <w:rFonts w:asciiTheme="minorHAnsi" w:eastAsiaTheme="minorEastAsia" w:hAnsiTheme="minorHAnsi" w:cstheme="minorBidi"/>
          <w:noProof/>
          <w:lang w:val="en-AU" w:eastAsia="en-AU"/>
        </w:rPr>
      </w:pPr>
      <w:r>
        <w:rPr>
          <w:noProof/>
        </w:rPr>
        <w:t>Financial Hardship and Support</w:t>
      </w:r>
      <w:r>
        <w:rPr>
          <w:noProof/>
        </w:rPr>
        <w:tab/>
      </w:r>
      <w:r>
        <w:rPr>
          <w:noProof/>
        </w:rPr>
        <w:fldChar w:fldCharType="begin"/>
      </w:r>
      <w:r>
        <w:rPr>
          <w:noProof/>
        </w:rPr>
        <w:instrText xml:space="preserve"> PAGEREF _Toc42719020 \h </w:instrText>
      </w:r>
      <w:r>
        <w:rPr>
          <w:noProof/>
        </w:rPr>
      </w:r>
      <w:r>
        <w:rPr>
          <w:noProof/>
        </w:rPr>
        <w:fldChar w:fldCharType="separate"/>
      </w:r>
      <w:r w:rsidR="004C6DF3">
        <w:rPr>
          <w:noProof/>
        </w:rPr>
        <w:t>14</w:t>
      </w:r>
      <w:r>
        <w:rPr>
          <w:noProof/>
        </w:rPr>
        <w:fldChar w:fldCharType="end"/>
      </w:r>
    </w:p>
    <w:p w14:paraId="480F3FEB" w14:textId="755794EC" w:rsidR="00002AE1" w:rsidRDefault="00002AE1">
      <w:pPr>
        <w:pStyle w:val="TOC3"/>
        <w:tabs>
          <w:tab w:val="right" w:leader="dot" w:pos="9016"/>
        </w:tabs>
        <w:rPr>
          <w:rFonts w:asciiTheme="minorHAnsi" w:eastAsiaTheme="minorEastAsia" w:hAnsiTheme="minorHAnsi" w:cstheme="minorBidi"/>
          <w:noProof/>
          <w:lang w:val="en-AU" w:eastAsia="en-AU"/>
        </w:rPr>
      </w:pPr>
      <w:r>
        <w:rPr>
          <w:noProof/>
        </w:rPr>
        <w:t>Summary</w:t>
      </w:r>
      <w:r>
        <w:rPr>
          <w:noProof/>
        </w:rPr>
        <w:tab/>
      </w:r>
      <w:r>
        <w:rPr>
          <w:noProof/>
        </w:rPr>
        <w:fldChar w:fldCharType="begin"/>
      </w:r>
      <w:r>
        <w:rPr>
          <w:noProof/>
        </w:rPr>
        <w:instrText xml:space="preserve"> PAGEREF _Toc42719021 \h </w:instrText>
      </w:r>
      <w:r>
        <w:rPr>
          <w:noProof/>
        </w:rPr>
      </w:r>
      <w:r>
        <w:rPr>
          <w:noProof/>
        </w:rPr>
        <w:fldChar w:fldCharType="separate"/>
      </w:r>
      <w:r w:rsidR="004C6DF3">
        <w:rPr>
          <w:noProof/>
        </w:rPr>
        <w:t>15</w:t>
      </w:r>
      <w:r>
        <w:rPr>
          <w:noProof/>
        </w:rPr>
        <w:fldChar w:fldCharType="end"/>
      </w:r>
    </w:p>
    <w:p w14:paraId="0C140260" w14:textId="5BE3309C" w:rsidR="00002AE1" w:rsidRDefault="00002AE1">
      <w:pPr>
        <w:pStyle w:val="TOC1"/>
        <w:tabs>
          <w:tab w:val="right" w:leader="dot" w:pos="9016"/>
        </w:tabs>
        <w:rPr>
          <w:rFonts w:asciiTheme="minorHAnsi" w:eastAsiaTheme="minorEastAsia" w:hAnsiTheme="minorHAnsi" w:cstheme="minorBidi"/>
          <w:noProof/>
          <w:lang w:eastAsia="en-AU"/>
        </w:rPr>
      </w:pPr>
      <w:r w:rsidRPr="009F5169">
        <w:rPr>
          <w:noProof/>
          <w:lang w:val="en-US" w:eastAsia="ja-JP"/>
        </w:rPr>
        <w:t>Methodology</w:t>
      </w:r>
      <w:r>
        <w:rPr>
          <w:noProof/>
        </w:rPr>
        <w:tab/>
      </w:r>
      <w:r>
        <w:rPr>
          <w:noProof/>
        </w:rPr>
        <w:fldChar w:fldCharType="begin"/>
      </w:r>
      <w:r>
        <w:rPr>
          <w:noProof/>
        </w:rPr>
        <w:instrText xml:space="preserve"> PAGEREF _Toc42719022 \h </w:instrText>
      </w:r>
      <w:r>
        <w:rPr>
          <w:noProof/>
        </w:rPr>
      </w:r>
      <w:r>
        <w:rPr>
          <w:noProof/>
        </w:rPr>
        <w:fldChar w:fldCharType="separate"/>
      </w:r>
      <w:r w:rsidR="004C6DF3">
        <w:rPr>
          <w:noProof/>
        </w:rPr>
        <w:t>18</w:t>
      </w:r>
      <w:r>
        <w:rPr>
          <w:noProof/>
        </w:rPr>
        <w:fldChar w:fldCharType="end"/>
      </w:r>
    </w:p>
    <w:p w14:paraId="76ABD4D8" w14:textId="0B456C45" w:rsidR="00002AE1" w:rsidRDefault="00002AE1">
      <w:pPr>
        <w:pStyle w:val="TOC3"/>
        <w:tabs>
          <w:tab w:val="right" w:leader="dot" w:pos="9016"/>
        </w:tabs>
        <w:rPr>
          <w:rFonts w:asciiTheme="minorHAnsi" w:eastAsiaTheme="minorEastAsia" w:hAnsiTheme="minorHAnsi" w:cstheme="minorBidi"/>
          <w:noProof/>
          <w:lang w:val="en-AU" w:eastAsia="en-AU"/>
        </w:rPr>
      </w:pPr>
      <w:r>
        <w:rPr>
          <w:noProof/>
        </w:rPr>
        <w:t>Background</w:t>
      </w:r>
      <w:r>
        <w:rPr>
          <w:noProof/>
        </w:rPr>
        <w:tab/>
      </w:r>
      <w:r>
        <w:rPr>
          <w:noProof/>
        </w:rPr>
        <w:fldChar w:fldCharType="begin"/>
      </w:r>
      <w:r>
        <w:rPr>
          <w:noProof/>
        </w:rPr>
        <w:instrText xml:space="preserve"> PAGEREF _Toc42719023 \h </w:instrText>
      </w:r>
      <w:r>
        <w:rPr>
          <w:noProof/>
        </w:rPr>
      </w:r>
      <w:r>
        <w:rPr>
          <w:noProof/>
        </w:rPr>
        <w:fldChar w:fldCharType="separate"/>
      </w:r>
      <w:r w:rsidR="004C6DF3">
        <w:rPr>
          <w:noProof/>
        </w:rPr>
        <w:t>18</w:t>
      </w:r>
      <w:r>
        <w:rPr>
          <w:noProof/>
        </w:rPr>
        <w:fldChar w:fldCharType="end"/>
      </w:r>
    </w:p>
    <w:p w14:paraId="3911569C" w14:textId="0BDB3870" w:rsidR="00002AE1" w:rsidRDefault="00002AE1">
      <w:pPr>
        <w:pStyle w:val="TOC2"/>
        <w:tabs>
          <w:tab w:val="right" w:leader="dot" w:pos="9016"/>
        </w:tabs>
        <w:rPr>
          <w:rFonts w:asciiTheme="minorHAnsi" w:eastAsiaTheme="minorEastAsia" w:hAnsiTheme="minorHAnsi" w:cstheme="minorBidi"/>
          <w:noProof/>
          <w:lang w:val="en-AU" w:eastAsia="en-AU"/>
        </w:rPr>
      </w:pPr>
      <w:r>
        <w:rPr>
          <w:noProof/>
        </w:rPr>
        <w:t>Stage 1 – Quantitative Survey</w:t>
      </w:r>
      <w:r>
        <w:rPr>
          <w:noProof/>
        </w:rPr>
        <w:tab/>
      </w:r>
      <w:r>
        <w:rPr>
          <w:noProof/>
        </w:rPr>
        <w:fldChar w:fldCharType="begin"/>
      </w:r>
      <w:r>
        <w:rPr>
          <w:noProof/>
        </w:rPr>
        <w:instrText xml:space="preserve"> PAGEREF _Toc42719024 \h </w:instrText>
      </w:r>
      <w:r>
        <w:rPr>
          <w:noProof/>
        </w:rPr>
      </w:r>
      <w:r>
        <w:rPr>
          <w:noProof/>
        </w:rPr>
        <w:fldChar w:fldCharType="separate"/>
      </w:r>
      <w:r w:rsidR="004C6DF3">
        <w:rPr>
          <w:noProof/>
        </w:rPr>
        <w:t>18</w:t>
      </w:r>
      <w:r>
        <w:rPr>
          <w:noProof/>
        </w:rPr>
        <w:fldChar w:fldCharType="end"/>
      </w:r>
    </w:p>
    <w:p w14:paraId="69346720" w14:textId="47B8E920" w:rsidR="00002AE1" w:rsidRDefault="00002AE1">
      <w:pPr>
        <w:pStyle w:val="TOC2"/>
        <w:tabs>
          <w:tab w:val="right" w:leader="dot" w:pos="9016"/>
        </w:tabs>
        <w:rPr>
          <w:rFonts w:asciiTheme="minorHAnsi" w:eastAsiaTheme="minorEastAsia" w:hAnsiTheme="minorHAnsi" w:cstheme="minorBidi"/>
          <w:noProof/>
          <w:lang w:val="en-AU" w:eastAsia="en-AU"/>
        </w:rPr>
      </w:pPr>
      <w:r>
        <w:rPr>
          <w:noProof/>
        </w:rPr>
        <w:t>Stage 2 – Qualitative Interviews</w:t>
      </w:r>
      <w:r>
        <w:rPr>
          <w:noProof/>
        </w:rPr>
        <w:tab/>
      </w:r>
      <w:r>
        <w:rPr>
          <w:noProof/>
        </w:rPr>
        <w:fldChar w:fldCharType="begin"/>
      </w:r>
      <w:r>
        <w:rPr>
          <w:noProof/>
        </w:rPr>
        <w:instrText xml:space="preserve"> PAGEREF _Toc42719025 \h </w:instrText>
      </w:r>
      <w:r>
        <w:rPr>
          <w:noProof/>
        </w:rPr>
      </w:r>
      <w:r>
        <w:rPr>
          <w:noProof/>
        </w:rPr>
        <w:fldChar w:fldCharType="separate"/>
      </w:r>
      <w:r w:rsidR="004C6DF3">
        <w:rPr>
          <w:noProof/>
        </w:rPr>
        <w:t>20</w:t>
      </w:r>
      <w:r>
        <w:rPr>
          <w:noProof/>
        </w:rPr>
        <w:fldChar w:fldCharType="end"/>
      </w:r>
    </w:p>
    <w:p w14:paraId="1A652945" w14:textId="3A7E85CD" w:rsidR="00002AE1" w:rsidRDefault="00002AE1">
      <w:pPr>
        <w:pStyle w:val="TOC2"/>
        <w:tabs>
          <w:tab w:val="right" w:leader="dot" w:pos="9016"/>
        </w:tabs>
        <w:rPr>
          <w:rFonts w:asciiTheme="minorHAnsi" w:eastAsiaTheme="minorEastAsia" w:hAnsiTheme="minorHAnsi" w:cstheme="minorBidi"/>
          <w:noProof/>
          <w:lang w:val="en-AU" w:eastAsia="en-AU"/>
        </w:rPr>
      </w:pPr>
      <w:r>
        <w:rPr>
          <w:noProof/>
        </w:rPr>
        <w:t>Stage 3 – Stakeholder Engagement</w:t>
      </w:r>
      <w:r>
        <w:rPr>
          <w:noProof/>
        </w:rPr>
        <w:tab/>
      </w:r>
      <w:r>
        <w:rPr>
          <w:noProof/>
        </w:rPr>
        <w:fldChar w:fldCharType="begin"/>
      </w:r>
      <w:r>
        <w:rPr>
          <w:noProof/>
        </w:rPr>
        <w:instrText xml:space="preserve"> PAGEREF _Toc42719026 \h </w:instrText>
      </w:r>
      <w:r>
        <w:rPr>
          <w:noProof/>
        </w:rPr>
      </w:r>
      <w:r>
        <w:rPr>
          <w:noProof/>
        </w:rPr>
        <w:fldChar w:fldCharType="separate"/>
      </w:r>
      <w:r w:rsidR="004C6DF3">
        <w:rPr>
          <w:noProof/>
        </w:rPr>
        <w:t>20</w:t>
      </w:r>
      <w:r>
        <w:rPr>
          <w:noProof/>
        </w:rPr>
        <w:fldChar w:fldCharType="end"/>
      </w:r>
    </w:p>
    <w:p w14:paraId="35ECEC19" w14:textId="7EBC2CCA" w:rsidR="00002AE1" w:rsidRDefault="00002AE1">
      <w:pPr>
        <w:pStyle w:val="TOC1"/>
        <w:tabs>
          <w:tab w:val="right" w:leader="dot" w:pos="9016"/>
        </w:tabs>
        <w:rPr>
          <w:rFonts w:asciiTheme="minorHAnsi" w:eastAsiaTheme="minorEastAsia" w:hAnsiTheme="minorHAnsi" w:cstheme="minorBidi"/>
          <w:noProof/>
          <w:lang w:eastAsia="en-AU"/>
        </w:rPr>
      </w:pPr>
      <w:r w:rsidRPr="009F5169">
        <w:rPr>
          <w:noProof/>
          <w:lang w:val="en-US" w:eastAsia="ja-JP"/>
        </w:rPr>
        <w:t>Results</w:t>
      </w:r>
      <w:r>
        <w:rPr>
          <w:noProof/>
        </w:rPr>
        <w:tab/>
      </w:r>
      <w:r>
        <w:rPr>
          <w:noProof/>
        </w:rPr>
        <w:fldChar w:fldCharType="begin"/>
      </w:r>
      <w:r>
        <w:rPr>
          <w:noProof/>
        </w:rPr>
        <w:instrText xml:space="preserve"> PAGEREF _Toc42719027 \h </w:instrText>
      </w:r>
      <w:r>
        <w:rPr>
          <w:noProof/>
        </w:rPr>
      </w:r>
      <w:r>
        <w:rPr>
          <w:noProof/>
        </w:rPr>
        <w:fldChar w:fldCharType="separate"/>
      </w:r>
      <w:r w:rsidR="004C6DF3">
        <w:rPr>
          <w:noProof/>
        </w:rPr>
        <w:t>21</w:t>
      </w:r>
      <w:r>
        <w:rPr>
          <w:noProof/>
        </w:rPr>
        <w:fldChar w:fldCharType="end"/>
      </w:r>
    </w:p>
    <w:p w14:paraId="5D2A3F1E" w14:textId="250C8F01" w:rsidR="00002AE1" w:rsidRDefault="00002AE1">
      <w:pPr>
        <w:pStyle w:val="TOC2"/>
        <w:tabs>
          <w:tab w:val="right" w:leader="dot" w:pos="9016"/>
        </w:tabs>
        <w:rPr>
          <w:rFonts w:asciiTheme="minorHAnsi" w:eastAsiaTheme="minorEastAsia" w:hAnsiTheme="minorHAnsi" w:cstheme="minorBidi"/>
          <w:noProof/>
          <w:lang w:val="en-AU" w:eastAsia="en-AU"/>
        </w:rPr>
      </w:pPr>
      <w:r>
        <w:rPr>
          <w:noProof/>
        </w:rPr>
        <w:t>Usage</w:t>
      </w:r>
      <w:r>
        <w:rPr>
          <w:noProof/>
        </w:rPr>
        <w:tab/>
      </w:r>
      <w:r>
        <w:rPr>
          <w:noProof/>
        </w:rPr>
        <w:fldChar w:fldCharType="begin"/>
      </w:r>
      <w:r>
        <w:rPr>
          <w:noProof/>
        </w:rPr>
        <w:instrText xml:space="preserve"> PAGEREF _Toc42719028 \h </w:instrText>
      </w:r>
      <w:r>
        <w:rPr>
          <w:noProof/>
        </w:rPr>
      </w:r>
      <w:r>
        <w:rPr>
          <w:noProof/>
        </w:rPr>
        <w:fldChar w:fldCharType="separate"/>
      </w:r>
      <w:r w:rsidR="004C6DF3">
        <w:rPr>
          <w:noProof/>
        </w:rPr>
        <w:t>21</w:t>
      </w:r>
      <w:r>
        <w:rPr>
          <w:noProof/>
        </w:rPr>
        <w:fldChar w:fldCharType="end"/>
      </w:r>
    </w:p>
    <w:p w14:paraId="38C4390A" w14:textId="6793A236" w:rsidR="00002AE1" w:rsidRDefault="00002AE1">
      <w:pPr>
        <w:pStyle w:val="TOC3"/>
        <w:tabs>
          <w:tab w:val="right" w:leader="dot" w:pos="9016"/>
        </w:tabs>
        <w:rPr>
          <w:rFonts w:asciiTheme="minorHAnsi" w:eastAsiaTheme="minorEastAsia" w:hAnsiTheme="minorHAnsi" w:cstheme="minorBidi"/>
          <w:noProof/>
          <w:lang w:val="en-AU" w:eastAsia="en-AU"/>
        </w:rPr>
      </w:pPr>
      <w:r>
        <w:rPr>
          <w:noProof/>
        </w:rPr>
        <w:t>Services and Devices</w:t>
      </w:r>
      <w:r>
        <w:rPr>
          <w:noProof/>
        </w:rPr>
        <w:tab/>
      </w:r>
      <w:r>
        <w:rPr>
          <w:noProof/>
        </w:rPr>
        <w:fldChar w:fldCharType="begin"/>
      </w:r>
      <w:r>
        <w:rPr>
          <w:noProof/>
        </w:rPr>
        <w:instrText xml:space="preserve"> PAGEREF _Toc42719029 \h </w:instrText>
      </w:r>
      <w:r>
        <w:rPr>
          <w:noProof/>
        </w:rPr>
      </w:r>
      <w:r>
        <w:rPr>
          <w:noProof/>
        </w:rPr>
        <w:fldChar w:fldCharType="separate"/>
      </w:r>
      <w:r w:rsidR="004C6DF3">
        <w:rPr>
          <w:noProof/>
        </w:rPr>
        <w:t>21</w:t>
      </w:r>
      <w:r>
        <w:rPr>
          <w:noProof/>
        </w:rPr>
        <w:fldChar w:fldCharType="end"/>
      </w:r>
    </w:p>
    <w:p w14:paraId="5ACD17FD" w14:textId="3F993B6E" w:rsidR="00002AE1" w:rsidRDefault="00002AE1">
      <w:pPr>
        <w:pStyle w:val="TOC3"/>
        <w:tabs>
          <w:tab w:val="right" w:leader="dot" w:pos="9016"/>
        </w:tabs>
        <w:rPr>
          <w:rFonts w:asciiTheme="minorHAnsi" w:eastAsiaTheme="minorEastAsia" w:hAnsiTheme="minorHAnsi" w:cstheme="minorBidi"/>
          <w:noProof/>
          <w:lang w:val="en-AU" w:eastAsia="en-AU"/>
        </w:rPr>
      </w:pPr>
      <w:r>
        <w:rPr>
          <w:noProof/>
        </w:rPr>
        <w:t>Access Points</w:t>
      </w:r>
      <w:r>
        <w:rPr>
          <w:noProof/>
        </w:rPr>
        <w:tab/>
      </w:r>
      <w:r>
        <w:rPr>
          <w:noProof/>
        </w:rPr>
        <w:fldChar w:fldCharType="begin"/>
      </w:r>
      <w:r>
        <w:rPr>
          <w:noProof/>
        </w:rPr>
        <w:instrText xml:space="preserve"> PAGEREF _Toc42719030 \h </w:instrText>
      </w:r>
      <w:r>
        <w:rPr>
          <w:noProof/>
        </w:rPr>
      </w:r>
      <w:r>
        <w:rPr>
          <w:noProof/>
        </w:rPr>
        <w:fldChar w:fldCharType="separate"/>
      </w:r>
      <w:r w:rsidR="004C6DF3">
        <w:rPr>
          <w:noProof/>
        </w:rPr>
        <w:t>23</w:t>
      </w:r>
      <w:r>
        <w:rPr>
          <w:noProof/>
        </w:rPr>
        <w:fldChar w:fldCharType="end"/>
      </w:r>
    </w:p>
    <w:p w14:paraId="091E1935" w14:textId="65EDAB85" w:rsidR="00002AE1" w:rsidRDefault="00002AE1">
      <w:pPr>
        <w:pStyle w:val="TOC3"/>
        <w:tabs>
          <w:tab w:val="right" w:leader="dot" w:pos="9016"/>
        </w:tabs>
        <w:rPr>
          <w:rFonts w:asciiTheme="minorHAnsi" w:eastAsiaTheme="minorEastAsia" w:hAnsiTheme="minorHAnsi" w:cstheme="minorBidi"/>
          <w:noProof/>
          <w:lang w:val="en-AU" w:eastAsia="en-AU"/>
        </w:rPr>
      </w:pPr>
      <w:r>
        <w:rPr>
          <w:noProof/>
        </w:rPr>
        <w:t>Work Issues and Usage</w:t>
      </w:r>
      <w:r>
        <w:rPr>
          <w:noProof/>
        </w:rPr>
        <w:tab/>
      </w:r>
      <w:r>
        <w:rPr>
          <w:noProof/>
        </w:rPr>
        <w:fldChar w:fldCharType="begin"/>
      </w:r>
      <w:r>
        <w:rPr>
          <w:noProof/>
        </w:rPr>
        <w:instrText xml:space="preserve"> PAGEREF _Toc42719031 \h </w:instrText>
      </w:r>
      <w:r>
        <w:rPr>
          <w:noProof/>
        </w:rPr>
      </w:r>
      <w:r>
        <w:rPr>
          <w:noProof/>
        </w:rPr>
        <w:fldChar w:fldCharType="separate"/>
      </w:r>
      <w:r w:rsidR="004C6DF3">
        <w:rPr>
          <w:noProof/>
        </w:rPr>
        <w:t>26</w:t>
      </w:r>
      <w:r>
        <w:rPr>
          <w:noProof/>
        </w:rPr>
        <w:fldChar w:fldCharType="end"/>
      </w:r>
    </w:p>
    <w:p w14:paraId="62B9C6FD" w14:textId="6A88188B" w:rsidR="00002AE1" w:rsidRDefault="00002AE1">
      <w:pPr>
        <w:pStyle w:val="TOC3"/>
        <w:tabs>
          <w:tab w:val="right" w:leader="dot" w:pos="9016"/>
        </w:tabs>
        <w:rPr>
          <w:rFonts w:asciiTheme="minorHAnsi" w:eastAsiaTheme="minorEastAsia" w:hAnsiTheme="minorHAnsi" w:cstheme="minorBidi"/>
          <w:noProof/>
          <w:lang w:val="en-AU" w:eastAsia="en-AU"/>
        </w:rPr>
      </w:pPr>
      <w:r>
        <w:rPr>
          <w:noProof/>
        </w:rPr>
        <w:t>Children and Schooling</w:t>
      </w:r>
      <w:r>
        <w:rPr>
          <w:noProof/>
        </w:rPr>
        <w:tab/>
      </w:r>
      <w:r>
        <w:rPr>
          <w:noProof/>
        </w:rPr>
        <w:fldChar w:fldCharType="begin"/>
      </w:r>
      <w:r>
        <w:rPr>
          <w:noProof/>
        </w:rPr>
        <w:instrText xml:space="preserve"> PAGEREF _Toc42719032 \h </w:instrText>
      </w:r>
      <w:r>
        <w:rPr>
          <w:noProof/>
        </w:rPr>
      </w:r>
      <w:r>
        <w:rPr>
          <w:noProof/>
        </w:rPr>
        <w:fldChar w:fldCharType="separate"/>
      </w:r>
      <w:r w:rsidR="004C6DF3">
        <w:rPr>
          <w:noProof/>
        </w:rPr>
        <w:t>28</w:t>
      </w:r>
      <w:r>
        <w:rPr>
          <w:noProof/>
        </w:rPr>
        <w:fldChar w:fldCharType="end"/>
      </w:r>
    </w:p>
    <w:p w14:paraId="0C13D5B8" w14:textId="7DE1F5B8" w:rsidR="00002AE1" w:rsidRDefault="00002AE1">
      <w:pPr>
        <w:pStyle w:val="TOC2"/>
        <w:tabs>
          <w:tab w:val="right" w:leader="dot" w:pos="9016"/>
        </w:tabs>
        <w:rPr>
          <w:rFonts w:asciiTheme="minorHAnsi" w:eastAsiaTheme="minorEastAsia" w:hAnsiTheme="minorHAnsi" w:cstheme="minorBidi"/>
          <w:noProof/>
          <w:lang w:val="en-AU" w:eastAsia="en-AU"/>
        </w:rPr>
      </w:pPr>
      <w:r>
        <w:rPr>
          <w:noProof/>
        </w:rPr>
        <w:t>Case Study: Ariel (Tasmania)</w:t>
      </w:r>
      <w:r>
        <w:rPr>
          <w:noProof/>
        </w:rPr>
        <w:tab/>
      </w:r>
      <w:r>
        <w:rPr>
          <w:noProof/>
        </w:rPr>
        <w:fldChar w:fldCharType="begin"/>
      </w:r>
      <w:r>
        <w:rPr>
          <w:noProof/>
        </w:rPr>
        <w:instrText xml:space="preserve"> PAGEREF _Toc42719033 \h </w:instrText>
      </w:r>
      <w:r>
        <w:rPr>
          <w:noProof/>
        </w:rPr>
      </w:r>
      <w:r>
        <w:rPr>
          <w:noProof/>
        </w:rPr>
        <w:fldChar w:fldCharType="separate"/>
      </w:r>
      <w:r w:rsidR="004C6DF3">
        <w:rPr>
          <w:noProof/>
        </w:rPr>
        <w:t>31</w:t>
      </w:r>
      <w:r>
        <w:rPr>
          <w:noProof/>
        </w:rPr>
        <w:fldChar w:fldCharType="end"/>
      </w:r>
    </w:p>
    <w:p w14:paraId="6FFAA658" w14:textId="721676F6" w:rsidR="00002AE1" w:rsidRDefault="00002AE1">
      <w:pPr>
        <w:pStyle w:val="TOC2"/>
        <w:tabs>
          <w:tab w:val="right" w:leader="dot" w:pos="9016"/>
        </w:tabs>
        <w:rPr>
          <w:rFonts w:asciiTheme="minorHAnsi" w:eastAsiaTheme="minorEastAsia" w:hAnsiTheme="minorHAnsi" w:cstheme="minorBidi"/>
          <w:noProof/>
          <w:lang w:val="en-AU" w:eastAsia="en-AU"/>
        </w:rPr>
      </w:pPr>
      <w:r>
        <w:rPr>
          <w:noProof/>
        </w:rPr>
        <w:t>Affordability</w:t>
      </w:r>
      <w:r>
        <w:rPr>
          <w:noProof/>
        </w:rPr>
        <w:tab/>
      </w:r>
      <w:r>
        <w:rPr>
          <w:noProof/>
        </w:rPr>
        <w:fldChar w:fldCharType="begin"/>
      </w:r>
      <w:r>
        <w:rPr>
          <w:noProof/>
        </w:rPr>
        <w:instrText xml:space="preserve"> PAGEREF _Toc42719034 \h </w:instrText>
      </w:r>
      <w:r>
        <w:rPr>
          <w:noProof/>
        </w:rPr>
      </w:r>
      <w:r>
        <w:rPr>
          <w:noProof/>
        </w:rPr>
        <w:fldChar w:fldCharType="separate"/>
      </w:r>
      <w:r w:rsidR="004C6DF3">
        <w:rPr>
          <w:noProof/>
        </w:rPr>
        <w:t>32</w:t>
      </w:r>
      <w:r>
        <w:rPr>
          <w:noProof/>
        </w:rPr>
        <w:fldChar w:fldCharType="end"/>
      </w:r>
    </w:p>
    <w:p w14:paraId="7DCC6824" w14:textId="15FF7F84" w:rsidR="00002AE1" w:rsidRDefault="00002AE1">
      <w:pPr>
        <w:pStyle w:val="TOC3"/>
        <w:tabs>
          <w:tab w:val="right" w:leader="dot" w:pos="9016"/>
        </w:tabs>
        <w:rPr>
          <w:rFonts w:asciiTheme="minorHAnsi" w:eastAsiaTheme="minorEastAsia" w:hAnsiTheme="minorHAnsi" w:cstheme="minorBidi"/>
          <w:noProof/>
          <w:lang w:val="en-AU" w:eastAsia="en-AU"/>
        </w:rPr>
      </w:pPr>
      <w:r>
        <w:rPr>
          <w:noProof/>
        </w:rPr>
        <w:t>Telecommunications in the Household Budget</w:t>
      </w:r>
      <w:r>
        <w:rPr>
          <w:noProof/>
        </w:rPr>
        <w:tab/>
      </w:r>
      <w:r>
        <w:rPr>
          <w:noProof/>
        </w:rPr>
        <w:fldChar w:fldCharType="begin"/>
      </w:r>
      <w:r>
        <w:rPr>
          <w:noProof/>
        </w:rPr>
        <w:instrText xml:space="preserve"> PAGEREF _Toc42719035 \h </w:instrText>
      </w:r>
      <w:r>
        <w:rPr>
          <w:noProof/>
        </w:rPr>
      </w:r>
      <w:r>
        <w:rPr>
          <w:noProof/>
        </w:rPr>
        <w:fldChar w:fldCharType="separate"/>
      </w:r>
      <w:r w:rsidR="004C6DF3">
        <w:rPr>
          <w:noProof/>
        </w:rPr>
        <w:t>32</w:t>
      </w:r>
      <w:r>
        <w:rPr>
          <w:noProof/>
        </w:rPr>
        <w:fldChar w:fldCharType="end"/>
      </w:r>
    </w:p>
    <w:p w14:paraId="25C415C1" w14:textId="707848E5" w:rsidR="00002AE1" w:rsidRDefault="00002AE1">
      <w:pPr>
        <w:pStyle w:val="TOC3"/>
        <w:tabs>
          <w:tab w:val="right" w:leader="dot" w:pos="9016"/>
        </w:tabs>
        <w:rPr>
          <w:rFonts w:asciiTheme="minorHAnsi" w:eastAsiaTheme="minorEastAsia" w:hAnsiTheme="minorHAnsi" w:cstheme="minorBidi"/>
          <w:noProof/>
          <w:lang w:val="en-AU" w:eastAsia="en-AU"/>
        </w:rPr>
      </w:pPr>
      <w:r>
        <w:rPr>
          <w:noProof/>
        </w:rPr>
        <w:t>Telecommunications Expenditure</w:t>
      </w:r>
      <w:r>
        <w:rPr>
          <w:noProof/>
        </w:rPr>
        <w:tab/>
      </w:r>
      <w:r>
        <w:rPr>
          <w:noProof/>
        </w:rPr>
        <w:fldChar w:fldCharType="begin"/>
      </w:r>
      <w:r>
        <w:rPr>
          <w:noProof/>
        </w:rPr>
        <w:instrText xml:space="preserve"> PAGEREF _Toc42719036 \h </w:instrText>
      </w:r>
      <w:r>
        <w:rPr>
          <w:noProof/>
        </w:rPr>
      </w:r>
      <w:r>
        <w:rPr>
          <w:noProof/>
        </w:rPr>
        <w:fldChar w:fldCharType="separate"/>
      </w:r>
      <w:r w:rsidR="004C6DF3">
        <w:rPr>
          <w:noProof/>
        </w:rPr>
        <w:t>33</w:t>
      </w:r>
      <w:r>
        <w:rPr>
          <w:noProof/>
        </w:rPr>
        <w:fldChar w:fldCharType="end"/>
      </w:r>
    </w:p>
    <w:p w14:paraId="6E835D82" w14:textId="55554494" w:rsidR="00002AE1" w:rsidRDefault="00002AE1">
      <w:pPr>
        <w:pStyle w:val="TOC3"/>
        <w:tabs>
          <w:tab w:val="right" w:leader="dot" w:pos="9016"/>
        </w:tabs>
        <w:rPr>
          <w:rFonts w:asciiTheme="minorHAnsi" w:eastAsiaTheme="minorEastAsia" w:hAnsiTheme="minorHAnsi" w:cstheme="minorBidi"/>
          <w:noProof/>
          <w:lang w:val="en-AU" w:eastAsia="en-AU"/>
        </w:rPr>
      </w:pPr>
      <w:r>
        <w:rPr>
          <w:noProof/>
        </w:rPr>
        <w:t>Changes over time</w:t>
      </w:r>
      <w:r>
        <w:rPr>
          <w:noProof/>
        </w:rPr>
        <w:tab/>
      </w:r>
      <w:r>
        <w:rPr>
          <w:noProof/>
        </w:rPr>
        <w:fldChar w:fldCharType="begin"/>
      </w:r>
      <w:r>
        <w:rPr>
          <w:noProof/>
        </w:rPr>
        <w:instrText xml:space="preserve"> PAGEREF _Toc42719037 \h </w:instrText>
      </w:r>
      <w:r>
        <w:rPr>
          <w:noProof/>
        </w:rPr>
      </w:r>
      <w:r>
        <w:rPr>
          <w:noProof/>
        </w:rPr>
        <w:fldChar w:fldCharType="separate"/>
      </w:r>
      <w:r w:rsidR="004C6DF3">
        <w:rPr>
          <w:noProof/>
        </w:rPr>
        <w:t>35</w:t>
      </w:r>
      <w:r>
        <w:rPr>
          <w:noProof/>
        </w:rPr>
        <w:fldChar w:fldCharType="end"/>
      </w:r>
    </w:p>
    <w:p w14:paraId="40A7409C" w14:textId="59221A13" w:rsidR="00002AE1" w:rsidRDefault="00002AE1">
      <w:pPr>
        <w:pStyle w:val="TOC3"/>
        <w:tabs>
          <w:tab w:val="right" w:leader="dot" w:pos="9016"/>
        </w:tabs>
        <w:rPr>
          <w:rFonts w:asciiTheme="minorHAnsi" w:eastAsiaTheme="minorEastAsia" w:hAnsiTheme="minorHAnsi" w:cstheme="minorBidi"/>
          <w:noProof/>
          <w:lang w:val="en-AU" w:eastAsia="en-AU"/>
        </w:rPr>
      </w:pPr>
      <w:r>
        <w:rPr>
          <w:noProof/>
        </w:rPr>
        <w:t>Work and Telecommunications Costs</w:t>
      </w:r>
      <w:r>
        <w:rPr>
          <w:noProof/>
        </w:rPr>
        <w:tab/>
      </w:r>
      <w:r>
        <w:rPr>
          <w:noProof/>
        </w:rPr>
        <w:fldChar w:fldCharType="begin"/>
      </w:r>
      <w:r>
        <w:rPr>
          <w:noProof/>
        </w:rPr>
        <w:instrText xml:space="preserve"> PAGEREF _Toc42719038 \h </w:instrText>
      </w:r>
      <w:r>
        <w:rPr>
          <w:noProof/>
        </w:rPr>
      </w:r>
      <w:r>
        <w:rPr>
          <w:noProof/>
        </w:rPr>
        <w:fldChar w:fldCharType="separate"/>
      </w:r>
      <w:r w:rsidR="004C6DF3">
        <w:rPr>
          <w:noProof/>
        </w:rPr>
        <w:t>36</w:t>
      </w:r>
      <w:r>
        <w:rPr>
          <w:noProof/>
        </w:rPr>
        <w:fldChar w:fldCharType="end"/>
      </w:r>
    </w:p>
    <w:p w14:paraId="6B66683A" w14:textId="549D2F0C" w:rsidR="00002AE1" w:rsidRDefault="00002AE1">
      <w:pPr>
        <w:pStyle w:val="TOC2"/>
        <w:tabs>
          <w:tab w:val="right" w:leader="dot" w:pos="9016"/>
        </w:tabs>
        <w:rPr>
          <w:rFonts w:asciiTheme="minorHAnsi" w:eastAsiaTheme="minorEastAsia" w:hAnsiTheme="minorHAnsi" w:cstheme="minorBidi"/>
          <w:noProof/>
          <w:lang w:val="en-AU" w:eastAsia="en-AU"/>
        </w:rPr>
      </w:pPr>
      <w:r>
        <w:rPr>
          <w:noProof/>
          <w:lang w:eastAsia="en-AU"/>
        </w:rPr>
        <w:t>Case Study: Alison (ACT)</w:t>
      </w:r>
      <w:r>
        <w:rPr>
          <w:noProof/>
        </w:rPr>
        <w:tab/>
      </w:r>
      <w:r>
        <w:rPr>
          <w:noProof/>
        </w:rPr>
        <w:fldChar w:fldCharType="begin"/>
      </w:r>
      <w:r>
        <w:rPr>
          <w:noProof/>
        </w:rPr>
        <w:instrText xml:space="preserve"> PAGEREF _Toc42719039 \h </w:instrText>
      </w:r>
      <w:r>
        <w:rPr>
          <w:noProof/>
        </w:rPr>
      </w:r>
      <w:r>
        <w:rPr>
          <w:noProof/>
        </w:rPr>
        <w:fldChar w:fldCharType="separate"/>
      </w:r>
      <w:r w:rsidR="004C6DF3">
        <w:rPr>
          <w:noProof/>
        </w:rPr>
        <w:t>39</w:t>
      </w:r>
      <w:r>
        <w:rPr>
          <w:noProof/>
        </w:rPr>
        <w:fldChar w:fldCharType="end"/>
      </w:r>
    </w:p>
    <w:p w14:paraId="52B964D1" w14:textId="28194BD9" w:rsidR="00002AE1" w:rsidRDefault="00002AE1">
      <w:pPr>
        <w:pStyle w:val="TOC2"/>
        <w:tabs>
          <w:tab w:val="right" w:leader="dot" w:pos="9016"/>
        </w:tabs>
        <w:rPr>
          <w:rFonts w:asciiTheme="minorHAnsi" w:eastAsiaTheme="minorEastAsia" w:hAnsiTheme="minorHAnsi" w:cstheme="minorBidi"/>
          <w:noProof/>
          <w:lang w:val="en-AU" w:eastAsia="en-AU"/>
        </w:rPr>
      </w:pPr>
      <w:r>
        <w:rPr>
          <w:noProof/>
        </w:rPr>
        <w:lastRenderedPageBreak/>
        <w:t>Unmet Demand</w:t>
      </w:r>
      <w:r>
        <w:rPr>
          <w:noProof/>
        </w:rPr>
        <w:tab/>
      </w:r>
      <w:r>
        <w:rPr>
          <w:noProof/>
        </w:rPr>
        <w:fldChar w:fldCharType="begin"/>
      </w:r>
      <w:r>
        <w:rPr>
          <w:noProof/>
        </w:rPr>
        <w:instrText xml:space="preserve"> PAGEREF _Toc42719040 \h </w:instrText>
      </w:r>
      <w:r>
        <w:rPr>
          <w:noProof/>
        </w:rPr>
      </w:r>
      <w:r>
        <w:rPr>
          <w:noProof/>
        </w:rPr>
        <w:fldChar w:fldCharType="separate"/>
      </w:r>
      <w:r w:rsidR="004C6DF3">
        <w:rPr>
          <w:noProof/>
        </w:rPr>
        <w:t>40</w:t>
      </w:r>
      <w:r>
        <w:rPr>
          <w:noProof/>
        </w:rPr>
        <w:fldChar w:fldCharType="end"/>
      </w:r>
    </w:p>
    <w:p w14:paraId="2D5D878F" w14:textId="51162095" w:rsidR="00002AE1" w:rsidRDefault="00002AE1">
      <w:pPr>
        <w:pStyle w:val="TOC2"/>
        <w:tabs>
          <w:tab w:val="right" w:leader="dot" w:pos="9016"/>
        </w:tabs>
        <w:rPr>
          <w:rFonts w:asciiTheme="minorHAnsi" w:eastAsiaTheme="minorEastAsia" w:hAnsiTheme="minorHAnsi" w:cstheme="minorBidi"/>
          <w:noProof/>
          <w:lang w:val="en-AU" w:eastAsia="en-AU"/>
        </w:rPr>
      </w:pPr>
      <w:r>
        <w:rPr>
          <w:noProof/>
        </w:rPr>
        <w:t>Case Study: Stephen SA</w:t>
      </w:r>
      <w:r>
        <w:rPr>
          <w:noProof/>
        </w:rPr>
        <w:tab/>
      </w:r>
      <w:r>
        <w:rPr>
          <w:noProof/>
        </w:rPr>
        <w:fldChar w:fldCharType="begin"/>
      </w:r>
      <w:r>
        <w:rPr>
          <w:noProof/>
        </w:rPr>
        <w:instrText xml:space="preserve"> PAGEREF _Toc42719041 \h </w:instrText>
      </w:r>
      <w:r>
        <w:rPr>
          <w:noProof/>
        </w:rPr>
      </w:r>
      <w:r>
        <w:rPr>
          <w:noProof/>
        </w:rPr>
        <w:fldChar w:fldCharType="separate"/>
      </w:r>
      <w:r w:rsidR="004C6DF3">
        <w:rPr>
          <w:noProof/>
        </w:rPr>
        <w:t>41</w:t>
      </w:r>
      <w:r>
        <w:rPr>
          <w:noProof/>
        </w:rPr>
        <w:fldChar w:fldCharType="end"/>
      </w:r>
    </w:p>
    <w:p w14:paraId="7826466C" w14:textId="10306E90" w:rsidR="00002AE1" w:rsidRDefault="00002AE1">
      <w:pPr>
        <w:pStyle w:val="TOC2"/>
        <w:tabs>
          <w:tab w:val="right" w:leader="dot" w:pos="9016"/>
        </w:tabs>
        <w:rPr>
          <w:rFonts w:asciiTheme="minorHAnsi" w:eastAsiaTheme="minorEastAsia" w:hAnsiTheme="minorHAnsi" w:cstheme="minorBidi"/>
          <w:noProof/>
          <w:lang w:val="en-AU" w:eastAsia="en-AU"/>
        </w:rPr>
      </w:pPr>
      <w:r>
        <w:rPr>
          <w:noProof/>
        </w:rPr>
        <w:t>Seeking Help</w:t>
      </w:r>
      <w:r>
        <w:rPr>
          <w:noProof/>
        </w:rPr>
        <w:tab/>
      </w:r>
      <w:r>
        <w:rPr>
          <w:noProof/>
        </w:rPr>
        <w:fldChar w:fldCharType="begin"/>
      </w:r>
      <w:r>
        <w:rPr>
          <w:noProof/>
        </w:rPr>
        <w:instrText xml:space="preserve"> PAGEREF _Toc42719042 \h </w:instrText>
      </w:r>
      <w:r>
        <w:rPr>
          <w:noProof/>
        </w:rPr>
      </w:r>
      <w:r>
        <w:rPr>
          <w:noProof/>
        </w:rPr>
        <w:fldChar w:fldCharType="separate"/>
      </w:r>
      <w:r w:rsidR="004C6DF3">
        <w:rPr>
          <w:noProof/>
        </w:rPr>
        <w:t>42</w:t>
      </w:r>
      <w:r>
        <w:rPr>
          <w:noProof/>
        </w:rPr>
        <w:fldChar w:fldCharType="end"/>
      </w:r>
    </w:p>
    <w:p w14:paraId="6F689664" w14:textId="156E0B2E" w:rsidR="00002AE1" w:rsidRDefault="00002AE1">
      <w:pPr>
        <w:pStyle w:val="TOC3"/>
        <w:tabs>
          <w:tab w:val="right" w:leader="dot" w:pos="9016"/>
        </w:tabs>
        <w:rPr>
          <w:rFonts w:asciiTheme="minorHAnsi" w:eastAsiaTheme="minorEastAsia" w:hAnsiTheme="minorHAnsi" w:cstheme="minorBidi"/>
          <w:noProof/>
          <w:lang w:val="en-AU" w:eastAsia="en-AU"/>
        </w:rPr>
      </w:pPr>
      <w:r>
        <w:rPr>
          <w:noProof/>
        </w:rPr>
        <w:t>Telco Retailers</w:t>
      </w:r>
      <w:r>
        <w:rPr>
          <w:noProof/>
        </w:rPr>
        <w:tab/>
      </w:r>
      <w:r>
        <w:rPr>
          <w:noProof/>
        </w:rPr>
        <w:fldChar w:fldCharType="begin"/>
      </w:r>
      <w:r>
        <w:rPr>
          <w:noProof/>
        </w:rPr>
        <w:instrText xml:space="preserve"> PAGEREF _Toc42719043 \h </w:instrText>
      </w:r>
      <w:r>
        <w:rPr>
          <w:noProof/>
        </w:rPr>
      </w:r>
      <w:r>
        <w:rPr>
          <w:noProof/>
        </w:rPr>
        <w:fldChar w:fldCharType="separate"/>
      </w:r>
      <w:r w:rsidR="004C6DF3">
        <w:rPr>
          <w:noProof/>
        </w:rPr>
        <w:t>42</w:t>
      </w:r>
      <w:r>
        <w:rPr>
          <w:noProof/>
        </w:rPr>
        <w:fldChar w:fldCharType="end"/>
      </w:r>
    </w:p>
    <w:p w14:paraId="1A5E6F98" w14:textId="21954F1C" w:rsidR="00002AE1" w:rsidRDefault="00002AE1">
      <w:pPr>
        <w:pStyle w:val="TOC3"/>
        <w:tabs>
          <w:tab w:val="right" w:leader="dot" w:pos="9016"/>
        </w:tabs>
        <w:rPr>
          <w:rFonts w:asciiTheme="minorHAnsi" w:eastAsiaTheme="minorEastAsia" w:hAnsiTheme="minorHAnsi" w:cstheme="minorBidi"/>
          <w:noProof/>
          <w:lang w:val="en-AU" w:eastAsia="en-AU"/>
        </w:rPr>
      </w:pPr>
      <w:r>
        <w:rPr>
          <w:noProof/>
        </w:rPr>
        <w:t>Charities and NGOs</w:t>
      </w:r>
      <w:r>
        <w:rPr>
          <w:noProof/>
        </w:rPr>
        <w:tab/>
      </w:r>
      <w:r>
        <w:rPr>
          <w:noProof/>
        </w:rPr>
        <w:fldChar w:fldCharType="begin"/>
      </w:r>
      <w:r>
        <w:rPr>
          <w:noProof/>
        </w:rPr>
        <w:instrText xml:space="preserve"> PAGEREF _Toc42719044 \h </w:instrText>
      </w:r>
      <w:r>
        <w:rPr>
          <w:noProof/>
        </w:rPr>
      </w:r>
      <w:r>
        <w:rPr>
          <w:noProof/>
        </w:rPr>
        <w:fldChar w:fldCharType="separate"/>
      </w:r>
      <w:r w:rsidR="004C6DF3">
        <w:rPr>
          <w:noProof/>
        </w:rPr>
        <w:t>45</w:t>
      </w:r>
      <w:r>
        <w:rPr>
          <w:noProof/>
        </w:rPr>
        <w:fldChar w:fldCharType="end"/>
      </w:r>
    </w:p>
    <w:p w14:paraId="33EBD809" w14:textId="7FDD070E" w:rsidR="00002AE1" w:rsidRDefault="00002AE1">
      <w:pPr>
        <w:pStyle w:val="TOC1"/>
        <w:tabs>
          <w:tab w:val="right" w:leader="dot" w:pos="9016"/>
        </w:tabs>
        <w:rPr>
          <w:rFonts w:asciiTheme="minorHAnsi" w:eastAsiaTheme="minorEastAsia" w:hAnsiTheme="minorHAnsi" w:cstheme="minorBidi"/>
          <w:noProof/>
          <w:lang w:eastAsia="en-AU"/>
        </w:rPr>
      </w:pPr>
      <w:r w:rsidRPr="009F5169">
        <w:rPr>
          <w:noProof/>
          <w:lang w:val="en-US" w:eastAsia="ja-JP"/>
        </w:rPr>
        <w:t>Discussion and Conclusions</w:t>
      </w:r>
      <w:r>
        <w:rPr>
          <w:noProof/>
        </w:rPr>
        <w:tab/>
      </w:r>
      <w:r>
        <w:rPr>
          <w:noProof/>
        </w:rPr>
        <w:fldChar w:fldCharType="begin"/>
      </w:r>
      <w:r>
        <w:rPr>
          <w:noProof/>
        </w:rPr>
        <w:instrText xml:space="preserve"> PAGEREF _Toc42719045 \h </w:instrText>
      </w:r>
      <w:r>
        <w:rPr>
          <w:noProof/>
        </w:rPr>
      </w:r>
      <w:r>
        <w:rPr>
          <w:noProof/>
        </w:rPr>
        <w:fldChar w:fldCharType="separate"/>
      </w:r>
      <w:r w:rsidR="004C6DF3">
        <w:rPr>
          <w:noProof/>
        </w:rPr>
        <w:t>51</w:t>
      </w:r>
      <w:r>
        <w:rPr>
          <w:noProof/>
        </w:rPr>
        <w:fldChar w:fldCharType="end"/>
      </w:r>
    </w:p>
    <w:p w14:paraId="79CBA57C" w14:textId="78E87DA9" w:rsidR="00002AE1" w:rsidRDefault="00002AE1">
      <w:pPr>
        <w:pStyle w:val="TOC3"/>
        <w:tabs>
          <w:tab w:val="right" w:leader="dot" w:pos="9016"/>
        </w:tabs>
        <w:rPr>
          <w:rFonts w:asciiTheme="minorHAnsi" w:eastAsiaTheme="minorEastAsia" w:hAnsiTheme="minorHAnsi" w:cstheme="minorBidi"/>
          <w:noProof/>
          <w:lang w:val="en-AU" w:eastAsia="en-AU"/>
        </w:rPr>
      </w:pPr>
      <w:r>
        <w:rPr>
          <w:noProof/>
        </w:rPr>
        <w:t>Poverty Problems Still Apply</w:t>
      </w:r>
      <w:r>
        <w:rPr>
          <w:noProof/>
        </w:rPr>
        <w:tab/>
      </w:r>
      <w:r>
        <w:rPr>
          <w:noProof/>
        </w:rPr>
        <w:fldChar w:fldCharType="begin"/>
      </w:r>
      <w:r>
        <w:rPr>
          <w:noProof/>
        </w:rPr>
        <w:instrText xml:space="preserve"> PAGEREF _Toc42719046 \h </w:instrText>
      </w:r>
      <w:r>
        <w:rPr>
          <w:noProof/>
        </w:rPr>
      </w:r>
      <w:r>
        <w:rPr>
          <w:noProof/>
        </w:rPr>
        <w:fldChar w:fldCharType="separate"/>
      </w:r>
      <w:r w:rsidR="004C6DF3">
        <w:rPr>
          <w:noProof/>
        </w:rPr>
        <w:t>51</w:t>
      </w:r>
      <w:r>
        <w:rPr>
          <w:noProof/>
        </w:rPr>
        <w:fldChar w:fldCharType="end"/>
      </w:r>
    </w:p>
    <w:p w14:paraId="14988C8C" w14:textId="7E602976" w:rsidR="00002AE1" w:rsidRDefault="00002AE1">
      <w:pPr>
        <w:pStyle w:val="TOC3"/>
        <w:tabs>
          <w:tab w:val="right" w:leader="dot" w:pos="9016"/>
        </w:tabs>
        <w:rPr>
          <w:rFonts w:asciiTheme="minorHAnsi" w:eastAsiaTheme="minorEastAsia" w:hAnsiTheme="minorHAnsi" w:cstheme="minorBidi"/>
          <w:noProof/>
          <w:lang w:val="en-AU" w:eastAsia="en-AU"/>
        </w:rPr>
      </w:pPr>
      <w:r>
        <w:rPr>
          <w:noProof/>
        </w:rPr>
        <w:t>Waged Poor Issues</w:t>
      </w:r>
      <w:r>
        <w:rPr>
          <w:noProof/>
        </w:rPr>
        <w:tab/>
      </w:r>
      <w:r>
        <w:rPr>
          <w:noProof/>
        </w:rPr>
        <w:fldChar w:fldCharType="begin"/>
      </w:r>
      <w:r>
        <w:rPr>
          <w:noProof/>
        </w:rPr>
        <w:instrText xml:space="preserve"> PAGEREF _Toc42719047 \h </w:instrText>
      </w:r>
      <w:r>
        <w:rPr>
          <w:noProof/>
        </w:rPr>
      </w:r>
      <w:r>
        <w:rPr>
          <w:noProof/>
        </w:rPr>
        <w:fldChar w:fldCharType="separate"/>
      </w:r>
      <w:r w:rsidR="004C6DF3">
        <w:rPr>
          <w:noProof/>
        </w:rPr>
        <w:t>54</w:t>
      </w:r>
      <w:r>
        <w:rPr>
          <w:noProof/>
        </w:rPr>
        <w:fldChar w:fldCharType="end"/>
      </w:r>
    </w:p>
    <w:p w14:paraId="3B548C22" w14:textId="5075F98F" w:rsidR="00002AE1" w:rsidRDefault="00002AE1">
      <w:pPr>
        <w:pStyle w:val="TOC1"/>
        <w:tabs>
          <w:tab w:val="right" w:leader="dot" w:pos="9016"/>
        </w:tabs>
        <w:rPr>
          <w:rFonts w:asciiTheme="minorHAnsi" w:eastAsiaTheme="minorEastAsia" w:hAnsiTheme="minorHAnsi" w:cstheme="minorBidi"/>
          <w:noProof/>
          <w:lang w:eastAsia="en-AU"/>
        </w:rPr>
      </w:pPr>
      <w:r w:rsidRPr="009F5169">
        <w:rPr>
          <w:noProof/>
          <w:lang w:val="en-US" w:eastAsia="ja-JP"/>
        </w:rPr>
        <w:t>Recommendations</w:t>
      </w:r>
      <w:r>
        <w:rPr>
          <w:noProof/>
        </w:rPr>
        <w:tab/>
      </w:r>
      <w:r>
        <w:rPr>
          <w:noProof/>
        </w:rPr>
        <w:fldChar w:fldCharType="begin"/>
      </w:r>
      <w:r>
        <w:rPr>
          <w:noProof/>
        </w:rPr>
        <w:instrText xml:space="preserve"> PAGEREF _Toc42719048 \h </w:instrText>
      </w:r>
      <w:r>
        <w:rPr>
          <w:noProof/>
        </w:rPr>
      </w:r>
      <w:r>
        <w:rPr>
          <w:noProof/>
        </w:rPr>
        <w:fldChar w:fldCharType="separate"/>
      </w:r>
      <w:r w:rsidR="004C6DF3">
        <w:rPr>
          <w:noProof/>
        </w:rPr>
        <w:t>55</w:t>
      </w:r>
      <w:r>
        <w:rPr>
          <w:noProof/>
        </w:rPr>
        <w:fldChar w:fldCharType="end"/>
      </w:r>
    </w:p>
    <w:p w14:paraId="3590D3D0" w14:textId="1D4A58C4" w:rsidR="00002AE1" w:rsidRDefault="00002AE1">
      <w:pPr>
        <w:pStyle w:val="TOC1"/>
        <w:tabs>
          <w:tab w:val="right" w:leader="dot" w:pos="9016"/>
        </w:tabs>
        <w:rPr>
          <w:rFonts w:asciiTheme="minorHAnsi" w:eastAsiaTheme="minorEastAsia" w:hAnsiTheme="minorHAnsi" w:cstheme="minorBidi"/>
          <w:noProof/>
          <w:lang w:eastAsia="en-AU"/>
        </w:rPr>
      </w:pPr>
      <w:r w:rsidRPr="009F5169">
        <w:rPr>
          <w:noProof/>
          <w:lang w:val="en-US" w:eastAsia="ja-JP"/>
        </w:rPr>
        <w:t>Authors</w:t>
      </w:r>
      <w:r>
        <w:rPr>
          <w:noProof/>
        </w:rPr>
        <w:tab/>
      </w:r>
      <w:r>
        <w:rPr>
          <w:noProof/>
        </w:rPr>
        <w:fldChar w:fldCharType="begin"/>
      </w:r>
      <w:r>
        <w:rPr>
          <w:noProof/>
        </w:rPr>
        <w:instrText xml:space="preserve"> PAGEREF _Toc42719049 \h </w:instrText>
      </w:r>
      <w:r>
        <w:rPr>
          <w:noProof/>
        </w:rPr>
      </w:r>
      <w:r>
        <w:rPr>
          <w:noProof/>
        </w:rPr>
        <w:fldChar w:fldCharType="separate"/>
      </w:r>
      <w:r w:rsidR="004C6DF3">
        <w:rPr>
          <w:noProof/>
        </w:rPr>
        <w:t>57</w:t>
      </w:r>
      <w:r>
        <w:rPr>
          <w:noProof/>
        </w:rPr>
        <w:fldChar w:fldCharType="end"/>
      </w:r>
    </w:p>
    <w:p w14:paraId="101A95C7" w14:textId="47662DDA" w:rsidR="00002AE1" w:rsidRDefault="00002AE1">
      <w:pPr>
        <w:pStyle w:val="TOC1"/>
        <w:tabs>
          <w:tab w:val="right" w:leader="dot" w:pos="9016"/>
        </w:tabs>
        <w:rPr>
          <w:rFonts w:asciiTheme="minorHAnsi" w:eastAsiaTheme="minorEastAsia" w:hAnsiTheme="minorHAnsi" w:cstheme="minorBidi"/>
          <w:noProof/>
          <w:lang w:eastAsia="en-AU"/>
        </w:rPr>
      </w:pPr>
      <w:r w:rsidRPr="009F5169">
        <w:rPr>
          <w:noProof/>
          <w:lang w:val="en-US" w:eastAsia="ja-JP"/>
        </w:rPr>
        <w:t>Appendix 1: Survey Methodology and Demographics</w:t>
      </w:r>
      <w:r>
        <w:rPr>
          <w:noProof/>
        </w:rPr>
        <w:tab/>
      </w:r>
      <w:r>
        <w:rPr>
          <w:noProof/>
        </w:rPr>
        <w:fldChar w:fldCharType="begin"/>
      </w:r>
      <w:r>
        <w:rPr>
          <w:noProof/>
        </w:rPr>
        <w:instrText xml:space="preserve"> PAGEREF _Toc42719050 \h </w:instrText>
      </w:r>
      <w:r>
        <w:rPr>
          <w:noProof/>
        </w:rPr>
      </w:r>
      <w:r>
        <w:rPr>
          <w:noProof/>
        </w:rPr>
        <w:fldChar w:fldCharType="separate"/>
      </w:r>
      <w:r w:rsidR="004C6DF3">
        <w:rPr>
          <w:noProof/>
        </w:rPr>
        <w:t>58</w:t>
      </w:r>
      <w:r>
        <w:rPr>
          <w:noProof/>
        </w:rPr>
        <w:fldChar w:fldCharType="end"/>
      </w:r>
    </w:p>
    <w:p w14:paraId="66F0A425" w14:textId="4B918A6B" w:rsidR="00002AE1" w:rsidRDefault="00002AE1">
      <w:pPr>
        <w:pStyle w:val="TOC3"/>
        <w:tabs>
          <w:tab w:val="right" w:leader="dot" w:pos="9016"/>
        </w:tabs>
        <w:rPr>
          <w:rFonts w:asciiTheme="minorHAnsi" w:eastAsiaTheme="minorEastAsia" w:hAnsiTheme="minorHAnsi" w:cstheme="minorBidi"/>
          <w:noProof/>
          <w:lang w:val="en-AU" w:eastAsia="en-AU"/>
        </w:rPr>
      </w:pPr>
      <w:r>
        <w:rPr>
          <w:noProof/>
        </w:rPr>
        <w:t>Methodology</w:t>
      </w:r>
      <w:r>
        <w:rPr>
          <w:noProof/>
        </w:rPr>
        <w:tab/>
      </w:r>
      <w:r>
        <w:rPr>
          <w:noProof/>
        </w:rPr>
        <w:fldChar w:fldCharType="begin"/>
      </w:r>
      <w:r>
        <w:rPr>
          <w:noProof/>
        </w:rPr>
        <w:instrText xml:space="preserve"> PAGEREF _Toc42719051 \h </w:instrText>
      </w:r>
      <w:r>
        <w:rPr>
          <w:noProof/>
        </w:rPr>
      </w:r>
      <w:r>
        <w:rPr>
          <w:noProof/>
        </w:rPr>
        <w:fldChar w:fldCharType="separate"/>
      </w:r>
      <w:r w:rsidR="004C6DF3">
        <w:rPr>
          <w:noProof/>
        </w:rPr>
        <w:t>58</w:t>
      </w:r>
      <w:r>
        <w:rPr>
          <w:noProof/>
        </w:rPr>
        <w:fldChar w:fldCharType="end"/>
      </w:r>
    </w:p>
    <w:p w14:paraId="38D609C4" w14:textId="7D36E1D4" w:rsidR="00002AE1" w:rsidRDefault="00002AE1">
      <w:pPr>
        <w:pStyle w:val="TOC3"/>
        <w:tabs>
          <w:tab w:val="right" w:leader="dot" w:pos="9016"/>
        </w:tabs>
        <w:rPr>
          <w:rFonts w:asciiTheme="minorHAnsi" w:eastAsiaTheme="minorEastAsia" w:hAnsiTheme="minorHAnsi" w:cstheme="minorBidi"/>
          <w:noProof/>
          <w:lang w:val="en-AU" w:eastAsia="en-AU"/>
        </w:rPr>
      </w:pPr>
      <w:r>
        <w:rPr>
          <w:noProof/>
        </w:rPr>
        <w:t>Key Demographics</w:t>
      </w:r>
      <w:r>
        <w:rPr>
          <w:noProof/>
        </w:rPr>
        <w:tab/>
      </w:r>
      <w:r>
        <w:rPr>
          <w:noProof/>
        </w:rPr>
        <w:fldChar w:fldCharType="begin"/>
      </w:r>
      <w:r>
        <w:rPr>
          <w:noProof/>
        </w:rPr>
        <w:instrText xml:space="preserve"> PAGEREF _Toc42719052 \h </w:instrText>
      </w:r>
      <w:r>
        <w:rPr>
          <w:noProof/>
        </w:rPr>
      </w:r>
      <w:r>
        <w:rPr>
          <w:noProof/>
        </w:rPr>
        <w:fldChar w:fldCharType="separate"/>
      </w:r>
      <w:r w:rsidR="004C6DF3">
        <w:rPr>
          <w:noProof/>
        </w:rPr>
        <w:t>58</w:t>
      </w:r>
      <w:r>
        <w:rPr>
          <w:noProof/>
        </w:rPr>
        <w:fldChar w:fldCharType="end"/>
      </w:r>
    </w:p>
    <w:p w14:paraId="06417461" w14:textId="5129A2EB" w:rsidR="00002AE1" w:rsidRDefault="00002AE1">
      <w:pPr>
        <w:pStyle w:val="TOC1"/>
        <w:tabs>
          <w:tab w:val="right" w:leader="dot" w:pos="9016"/>
        </w:tabs>
        <w:rPr>
          <w:rFonts w:asciiTheme="minorHAnsi" w:eastAsiaTheme="minorEastAsia" w:hAnsiTheme="minorHAnsi" w:cstheme="minorBidi"/>
          <w:noProof/>
          <w:lang w:eastAsia="en-AU"/>
        </w:rPr>
      </w:pPr>
      <w:r w:rsidRPr="009F5169">
        <w:rPr>
          <w:noProof/>
          <w:lang w:val="en-US" w:eastAsia="ja-JP"/>
        </w:rPr>
        <w:t>Appendix 2: Summary of Interviewees</w:t>
      </w:r>
      <w:r>
        <w:rPr>
          <w:noProof/>
        </w:rPr>
        <w:tab/>
      </w:r>
      <w:r>
        <w:rPr>
          <w:noProof/>
        </w:rPr>
        <w:fldChar w:fldCharType="begin"/>
      </w:r>
      <w:r>
        <w:rPr>
          <w:noProof/>
        </w:rPr>
        <w:instrText xml:space="preserve"> PAGEREF _Toc42719053 \h </w:instrText>
      </w:r>
      <w:r>
        <w:rPr>
          <w:noProof/>
        </w:rPr>
      </w:r>
      <w:r>
        <w:rPr>
          <w:noProof/>
        </w:rPr>
        <w:fldChar w:fldCharType="separate"/>
      </w:r>
      <w:r w:rsidR="004C6DF3">
        <w:rPr>
          <w:noProof/>
        </w:rPr>
        <w:t>62</w:t>
      </w:r>
      <w:r>
        <w:rPr>
          <w:noProof/>
        </w:rPr>
        <w:fldChar w:fldCharType="end"/>
      </w:r>
    </w:p>
    <w:p w14:paraId="181A6E5B" w14:textId="71F0ED12" w:rsidR="00002AE1" w:rsidRDefault="00002AE1">
      <w:pPr>
        <w:pStyle w:val="TOC1"/>
        <w:tabs>
          <w:tab w:val="right" w:leader="dot" w:pos="9016"/>
        </w:tabs>
        <w:rPr>
          <w:rFonts w:asciiTheme="minorHAnsi" w:eastAsiaTheme="minorEastAsia" w:hAnsiTheme="minorHAnsi" w:cstheme="minorBidi"/>
          <w:noProof/>
          <w:lang w:eastAsia="en-AU"/>
        </w:rPr>
      </w:pPr>
      <w:r w:rsidRPr="009F5169">
        <w:rPr>
          <w:noProof/>
          <w:lang w:val="en-US" w:eastAsia="ja-JP"/>
        </w:rPr>
        <w:t>Appendix 3: Stakeholder Roundtable Participants</w:t>
      </w:r>
      <w:r>
        <w:rPr>
          <w:noProof/>
        </w:rPr>
        <w:tab/>
      </w:r>
      <w:r>
        <w:rPr>
          <w:noProof/>
        </w:rPr>
        <w:fldChar w:fldCharType="begin"/>
      </w:r>
      <w:r>
        <w:rPr>
          <w:noProof/>
        </w:rPr>
        <w:instrText xml:space="preserve"> PAGEREF _Toc42719054 \h </w:instrText>
      </w:r>
      <w:r>
        <w:rPr>
          <w:noProof/>
        </w:rPr>
      </w:r>
      <w:r>
        <w:rPr>
          <w:noProof/>
        </w:rPr>
        <w:fldChar w:fldCharType="separate"/>
      </w:r>
      <w:r w:rsidR="004C6DF3">
        <w:rPr>
          <w:noProof/>
        </w:rPr>
        <w:t>64</w:t>
      </w:r>
      <w:r>
        <w:rPr>
          <w:noProof/>
        </w:rPr>
        <w:fldChar w:fldCharType="end"/>
      </w:r>
    </w:p>
    <w:p w14:paraId="4908469D" w14:textId="6C356C26" w:rsidR="00002AE1" w:rsidRDefault="00002AE1">
      <w:pPr>
        <w:pStyle w:val="TOC1"/>
        <w:tabs>
          <w:tab w:val="right" w:leader="dot" w:pos="9016"/>
        </w:tabs>
        <w:rPr>
          <w:rFonts w:asciiTheme="minorHAnsi" w:eastAsiaTheme="minorEastAsia" w:hAnsiTheme="minorHAnsi" w:cstheme="minorBidi"/>
          <w:noProof/>
          <w:lang w:eastAsia="en-AU"/>
        </w:rPr>
      </w:pPr>
      <w:r w:rsidRPr="009F5169">
        <w:rPr>
          <w:noProof/>
          <w:lang w:val="en-US" w:eastAsia="ja-JP"/>
        </w:rPr>
        <w:t>References</w:t>
      </w:r>
      <w:r>
        <w:rPr>
          <w:noProof/>
        </w:rPr>
        <w:tab/>
      </w:r>
      <w:r>
        <w:rPr>
          <w:noProof/>
        </w:rPr>
        <w:fldChar w:fldCharType="begin"/>
      </w:r>
      <w:r>
        <w:rPr>
          <w:noProof/>
        </w:rPr>
        <w:instrText xml:space="preserve"> PAGEREF _Toc42719055 \h </w:instrText>
      </w:r>
      <w:r>
        <w:rPr>
          <w:noProof/>
        </w:rPr>
      </w:r>
      <w:r>
        <w:rPr>
          <w:noProof/>
        </w:rPr>
        <w:fldChar w:fldCharType="separate"/>
      </w:r>
      <w:r w:rsidR="004C6DF3">
        <w:rPr>
          <w:noProof/>
        </w:rPr>
        <w:t>65</w:t>
      </w:r>
      <w:r>
        <w:rPr>
          <w:noProof/>
        </w:rPr>
        <w:fldChar w:fldCharType="end"/>
      </w:r>
    </w:p>
    <w:p w14:paraId="3E4B5866" w14:textId="14DF098A" w:rsidR="00A555FF" w:rsidRDefault="00A555FF" w:rsidP="00A555FF">
      <w:pPr>
        <w:pStyle w:val="Heading1"/>
      </w:pPr>
      <w:r>
        <w:rPr>
          <w:lang w:val="en-US" w:eastAsia="ja-JP"/>
        </w:rPr>
        <w:lastRenderedPageBreak/>
        <w:fldChar w:fldCharType="end"/>
      </w:r>
      <w:bookmarkStart w:id="2" w:name="_Toc42719009"/>
      <w:r>
        <w:t>Figures and Tables</w:t>
      </w:r>
      <w:bookmarkEnd w:id="2"/>
    </w:p>
    <w:p w14:paraId="5093EBE2" w14:textId="51E03CC1" w:rsidR="00617AE2" w:rsidRPr="00F842F1" w:rsidRDefault="00F842F1" w:rsidP="00617AE2">
      <w:pPr>
        <w:rPr>
          <w:b/>
          <w:bCs/>
          <w:lang w:val="en-US" w:eastAsia="ja-JP"/>
        </w:rPr>
      </w:pPr>
      <w:r w:rsidRPr="00104E0B">
        <w:rPr>
          <w:b/>
          <w:bCs/>
          <w:lang w:val="en-US" w:eastAsia="ja-JP"/>
        </w:rPr>
        <w:t>Tables</w:t>
      </w:r>
    </w:p>
    <w:p w14:paraId="572E3FD4" w14:textId="11FCDA8C" w:rsidR="00104E0B" w:rsidRDefault="00104E0B" w:rsidP="00104E0B">
      <w:pPr>
        <w:pStyle w:val="TableofFigures"/>
        <w:tabs>
          <w:tab w:val="right" w:leader="dot" w:pos="9016"/>
        </w:tabs>
        <w:spacing w:after="120"/>
        <w:rPr>
          <w:rFonts w:asciiTheme="minorHAnsi" w:eastAsiaTheme="minorEastAsia" w:hAnsiTheme="minorHAnsi" w:cstheme="minorBidi"/>
          <w:noProof/>
          <w:lang w:eastAsia="en-AU"/>
        </w:rPr>
      </w:pPr>
      <w:r>
        <w:rPr>
          <w:lang w:val="en-US" w:eastAsia="ja-JP"/>
        </w:rPr>
        <w:fldChar w:fldCharType="begin"/>
      </w:r>
      <w:r>
        <w:rPr>
          <w:lang w:val="en-US" w:eastAsia="ja-JP"/>
        </w:rPr>
        <w:instrText xml:space="preserve"> TOC \h \z \c "Table" </w:instrText>
      </w:r>
      <w:r>
        <w:rPr>
          <w:lang w:val="en-US" w:eastAsia="ja-JP"/>
        </w:rPr>
        <w:fldChar w:fldCharType="separate"/>
      </w:r>
      <w:hyperlink w:anchor="_Toc41989580" w:history="1">
        <w:r w:rsidRPr="00A23071">
          <w:rPr>
            <w:rStyle w:val="Hyperlink"/>
            <w:noProof/>
          </w:rPr>
          <w:t>Table 1: Poverty Lines by Household Composition</w:t>
        </w:r>
        <w:r>
          <w:rPr>
            <w:noProof/>
            <w:webHidden/>
          </w:rPr>
          <w:tab/>
        </w:r>
        <w:r>
          <w:rPr>
            <w:noProof/>
            <w:webHidden/>
          </w:rPr>
          <w:fldChar w:fldCharType="begin"/>
        </w:r>
        <w:r>
          <w:rPr>
            <w:noProof/>
            <w:webHidden/>
          </w:rPr>
          <w:instrText xml:space="preserve"> PAGEREF _Toc41989580 \h </w:instrText>
        </w:r>
        <w:r>
          <w:rPr>
            <w:noProof/>
            <w:webHidden/>
          </w:rPr>
        </w:r>
        <w:r>
          <w:rPr>
            <w:noProof/>
            <w:webHidden/>
          </w:rPr>
          <w:fldChar w:fldCharType="separate"/>
        </w:r>
        <w:r w:rsidR="004C6DF3">
          <w:rPr>
            <w:noProof/>
            <w:webHidden/>
          </w:rPr>
          <w:t>7</w:t>
        </w:r>
        <w:r>
          <w:rPr>
            <w:noProof/>
            <w:webHidden/>
          </w:rPr>
          <w:fldChar w:fldCharType="end"/>
        </w:r>
      </w:hyperlink>
    </w:p>
    <w:p w14:paraId="2453848E" w14:textId="07F75F32" w:rsidR="00104E0B" w:rsidRDefault="00357AAD" w:rsidP="00104E0B">
      <w:pPr>
        <w:pStyle w:val="TableofFigures"/>
        <w:tabs>
          <w:tab w:val="right" w:leader="dot" w:pos="9016"/>
        </w:tabs>
        <w:spacing w:after="120"/>
        <w:rPr>
          <w:rFonts w:asciiTheme="minorHAnsi" w:eastAsiaTheme="minorEastAsia" w:hAnsiTheme="minorHAnsi" w:cstheme="minorBidi"/>
          <w:noProof/>
          <w:lang w:eastAsia="en-AU"/>
        </w:rPr>
      </w:pPr>
      <w:hyperlink w:anchor="_Toc41989581" w:history="1">
        <w:r w:rsidR="00104E0B" w:rsidRPr="00A23071">
          <w:rPr>
            <w:rStyle w:val="Hyperlink"/>
            <w:noProof/>
          </w:rPr>
          <w:t>Table 2: Income Comparison of Waged Poor, Income Support and All Households</w:t>
        </w:r>
        <w:r w:rsidR="00104E0B">
          <w:rPr>
            <w:noProof/>
            <w:webHidden/>
          </w:rPr>
          <w:tab/>
        </w:r>
        <w:r w:rsidR="00104E0B">
          <w:rPr>
            <w:noProof/>
            <w:webHidden/>
          </w:rPr>
          <w:fldChar w:fldCharType="begin"/>
        </w:r>
        <w:r w:rsidR="00104E0B">
          <w:rPr>
            <w:noProof/>
            <w:webHidden/>
          </w:rPr>
          <w:instrText xml:space="preserve"> PAGEREF _Toc41989581 \h </w:instrText>
        </w:r>
        <w:r w:rsidR="00104E0B">
          <w:rPr>
            <w:noProof/>
            <w:webHidden/>
          </w:rPr>
        </w:r>
        <w:r w:rsidR="00104E0B">
          <w:rPr>
            <w:noProof/>
            <w:webHidden/>
          </w:rPr>
          <w:fldChar w:fldCharType="separate"/>
        </w:r>
        <w:r w:rsidR="004C6DF3">
          <w:rPr>
            <w:noProof/>
            <w:webHidden/>
          </w:rPr>
          <w:t>12</w:t>
        </w:r>
        <w:r w:rsidR="00104E0B">
          <w:rPr>
            <w:noProof/>
            <w:webHidden/>
          </w:rPr>
          <w:fldChar w:fldCharType="end"/>
        </w:r>
      </w:hyperlink>
    </w:p>
    <w:p w14:paraId="3310FB93" w14:textId="7FBD5E62" w:rsidR="00104E0B" w:rsidRDefault="00357AAD" w:rsidP="00104E0B">
      <w:pPr>
        <w:pStyle w:val="TableofFigures"/>
        <w:tabs>
          <w:tab w:val="right" w:leader="dot" w:pos="9016"/>
        </w:tabs>
        <w:spacing w:after="120"/>
        <w:rPr>
          <w:rFonts w:asciiTheme="minorHAnsi" w:eastAsiaTheme="minorEastAsia" w:hAnsiTheme="minorHAnsi" w:cstheme="minorBidi"/>
          <w:noProof/>
          <w:lang w:eastAsia="en-AU"/>
        </w:rPr>
      </w:pPr>
      <w:hyperlink w:anchor="_Toc41989582" w:history="1">
        <w:r w:rsidR="00104E0B" w:rsidRPr="00A23071">
          <w:rPr>
            <w:rStyle w:val="Hyperlink"/>
            <w:noProof/>
          </w:rPr>
          <w:t>Table 3: Communications Expenditure</w:t>
        </w:r>
        <w:r w:rsidR="00104E0B">
          <w:rPr>
            <w:noProof/>
            <w:webHidden/>
          </w:rPr>
          <w:tab/>
        </w:r>
        <w:r w:rsidR="00104E0B">
          <w:rPr>
            <w:noProof/>
            <w:webHidden/>
          </w:rPr>
          <w:fldChar w:fldCharType="begin"/>
        </w:r>
        <w:r w:rsidR="00104E0B">
          <w:rPr>
            <w:noProof/>
            <w:webHidden/>
          </w:rPr>
          <w:instrText xml:space="preserve"> PAGEREF _Toc41989582 \h </w:instrText>
        </w:r>
        <w:r w:rsidR="00104E0B">
          <w:rPr>
            <w:noProof/>
            <w:webHidden/>
          </w:rPr>
        </w:r>
        <w:r w:rsidR="00104E0B">
          <w:rPr>
            <w:noProof/>
            <w:webHidden/>
          </w:rPr>
          <w:fldChar w:fldCharType="separate"/>
        </w:r>
        <w:r w:rsidR="004C6DF3">
          <w:rPr>
            <w:noProof/>
            <w:webHidden/>
          </w:rPr>
          <w:t>13</w:t>
        </w:r>
        <w:r w:rsidR="00104E0B">
          <w:rPr>
            <w:noProof/>
            <w:webHidden/>
          </w:rPr>
          <w:fldChar w:fldCharType="end"/>
        </w:r>
      </w:hyperlink>
    </w:p>
    <w:p w14:paraId="2D9014E3" w14:textId="245DB852" w:rsidR="00104E0B" w:rsidRDefault="00357AAD">
      <w:pPr>
        <w:pStyle w:val="TableofFigures"/>
        <w:tabs>
          <w:tab w:val="right" w:leader="dot" w:pos="9016"/>
        </w:tabs>
        <w:rPr>
          <w:rFonts w:asciiTheme="minorHAnsi" w:eastAsiaTheme="minorEastAsia" w:hAnsiTheme="minorHAnsi" w:cstheme="minorBidi"/>
          <w:noProof/>
          <w:lang w:eastAsia="en-AU"/>
        </w:rPr>
      </w:pPr>
      <w:hyperlink w:anchor="_Toc41989583" w:history="1">
        <w:r w:rsidR="00104E0B" w:rsidRPr="00A23071">
          <w:rPr>
            <w:rStyle w:val="Hyperlink"/>
            <w:noProof/>
          </w:rPr>
          <w:t>Table 4: Poverty Lines for Different Household Composition</w:t>
        </w:r>
        <w:r w:rsidR="00104E0B">
          <w:rPr>
            <w:noProof/>
            <w:webHidden/>
          </w:rPr>
          <w:tab/>
        </w:r>
        <w:r w:rsidR="00104E0B">
          <w:rPr>
            <w:noProof/>
            <w:webHidden/>
          </w:rPr>
          <w:fldChar w:fldCharType="begin"/>
        </w:r>
        <w:r w:rsidR="00104E0B">
          <w:rPr>
            <w:noProof/>
            <w:webHidden/>
          </w:rPr>
          <w:instrText xml:space="preserve"> PAGEREF _Toc41989583 \h </w:instrText>
        </w:r>
        <w:r w:rsidR="00104E0B">
          <w:rPr>
            <w:noProof/>
            <w:webHidden/>
          </w:rPr>
        </w:r>
        <w:r w:rsidR="00104E0B">
          <w:rPr>
            <w:noProof/>
            <w:webHidden/>
          </w:rPr>
          <w:fldChar w:fldCharType="separate"/>
        </w:r>
        <w:r w:rsidR="004C6DF3">
          <w:rPr>
            <w:noProof/>
            <w:webHidden/>
          </w:rPr>
          <w:t>19</w:t>
        </w:r>
        <w:r w:rsidR="00104E0B">
          <w:rPr>
            <w:noProof/>
            <w:webHidden/>
          </w:rPr>
          <w:fldChar w:fldCharType="end"/>
        </w:r>
      </w:hyperlink>
    </w:p>
    <w:p w14:paraId="7C54BC23" w14:textId="0B7E242E" w:rsidR="00F842F1" w:rsidRDefault="00104E0B" w:rsidP="00617AE2">
      <w:pPr>
        <w:rPr>
          <w:lang w:val="en-US" w:eastAsia="ja-JP"/>
        </w:rPr>
      </w:pPr>
      <w:r>
        <w:rPr>
          <w:lang w:val="en-US" w:eastAsia="ja-JP"/>
        </w:rPr>
        <w:fldChar w:fldCharType="end"/>
      </w:r>
    </w:p>
    <w:p w14:paraId="55B66FB9" w14:textId="768D3344" w:rsidR="00F842F1" w:rsidRPr="00F842F1" w:rsidRDefault="00F842F1" w:rsidP="00617AE2">
      <w:pPr>
        <w:rPr>
          <w:b/>
          <w:bCs/>
          <w:lang w:val="en-US" w:eastAsia="ja-JP"/>
        </w:rPr>
      </w:pPr>
      <w:r w:rsidRPr="00F842F1">
        <w:rPr>
          <w:b/>
          <w:bCs/>
          <w:lang w:val="en-US" w:eastAsia="ja-JP"/>
        </w:rPr>
        <w:t>Figures</w:t>
      </w:r>
    </w:p>
    <w:p w14:paraId="439660B9" w14:textId="19CDEFBE" w:rsidR="00F842F1" w:rsidRDefault="00F842F1" w:rsidP="00104E0B">
      <w:pPr>
        <w:pStyle w:val="TableofFigures"/>
        <w:tabs>
          <w:tab w:val="right" w:leader="dot" w:pos="9016"/>
        </w:tabs>
        <w:spacing w:after="120"/>
        <w:rPr>
          <w:noProof/>
        </w:rPr>
      </w:pPr>
      <w:r>
        <w:rPr>
          <w:lang w:val="en-US" w:eastAsia="ja-JP"/>
        </w:rPr>
        <w:fldChar w:fldCharType="begin"/>
      </w:r>
      <w:r>
        <w:rPr>
          <w:lang w:val="en-US" w:eastAsia="ja-JP"/>
        </w:rPr>
        <w:instrText xml:space="preserve"> TOC \h \z \c "Figure" </w:instrText>
      </w:r>
      <w:r>
        <w:rPr>
          <w:lang w:val="en-US" w:eastAsia="ja-JP"/>
        </w:rPr>
        <w:fldChar w:fldCharType="separate"/>
      </w:r>
      <w:hyperlink w:anchor="_Toc41920112" w:history="1">
        <w:r w:rsidRPr="006870C4">
          <w:rPr>
            <w:rStyle w:val="Hyperlink"/>
            <w:noProof/>
          </w:rPr>
          <w:t>Figure 1: Waged Poor Households in Context of All Households</w:t>
        </w:r>
        <w:r>
          <w:rPr>
            <w:noProof/>
            <w:webHidden/>
          </w:rPr>
          <w:tab/>
        </w:r>
        <w:r>
          <w:rPr>
            <w:noProof/>
            <w:webHidden/>
          </w:rPr>
          <w:fldChar w:fldCharType="begin"/>
        </w:r>
        <w:r>
          <w:rPr>
            <w:noProof/>
            <w:webHidden/>
          </w:rPr>
          <w:instrText xml:space="preserve"> PAGEREF _Toc41920112 \h </w:instrText>
        </w:r>
        <w:r>
          <w:rPr>
            <w:noProof/>
            <w:webHidden/>
          </w:rPr>
        </w:r>
        <w:r>
          <w:rPr>
            <w:noProof/>
            <w:webHidden/>
          </w:rPr>
          <w:fldChar w:fldCharType="separate"/>
        </w:r>
        <w:r w:rsidR="004C6DF3">
          <w:rPr>
            <w:noProof/>
            <w:webHidden/>
          </w:rPr>
          <w:t>11</w:t>
        </w:r>
        <w:r>
          <w:rPr>
            <w:noProof/>
            <w:webHidden/>
          </w:rPr>
          <w:fldChar w:fldCharType="end"/>
        </w:r>
      </w:hyperlink>
    </w:p>
    <w:p w14:paraId="7B096EFF" w14:textId="291471AD" w:rsidR="00F842F1" w:rsidRDefault="00357AAD" w:rsidP="00104E0B">
      <w:pPr>
        <w:pStyle w:val="TableofFigures"/>
        <w:tabs>
          <w:tab w:val="right" w:leader="dot" w:pos="9016"/>
        </w:tabs>
        <w:spacing w:after="120"/>
        <w:rPr>
          <w:noProof/>
        </w:rPr>
      </w:pPr>
      <w:hyperlink w:anchor="_Toc41920113" w:history="1">
        <w:r w:rsidR="00F842F1" w:rsidRPr="006870C4">
          <w:rPr>
            <w:rStyle w:val="Hyperlink"/>
            <w:noProof/>
          </w:rPr>
          <w:t>Figure 2: Composition of Different Household Groups</w:t>
        </w:r>
        <w:r w:rsidR="00F842F1">
          <w:rPr>
            <w:noProof/>
            <w:webHidden/>
          </w:rPr>
          <w:tab/>
        </w:r>
        <w:r w:rsidR="00F842F1">
          <w:rPr>
            <w:noProof/>
            <w:webHidden/>
          </w:rPr>
          <w:fldChar w:fldCharType="begin"/>
        </w:r>
        <w:r w:rsidR="00F842F1">
          <w:rPr>
            <w:noProof/>
            <w:webHidden/>
          </w:rPr>
          <w:instrText xml:space="preserve"> PAGEREF _Toc41920113 \h </w:instrText>
        </w:r>
        <w:r w:rsidR="00F842F1">
          <w:rPr>
            <w:noProof/>
            <w:webHidden/>
          </w:rPr>
        </w:r>
        <w:r w:rsidR="00F842F1">
          <w:rPr>
            <w:noProof/>
            <w:webHidden/>
          </w:rPr>
          <w:fldChar w:fldCharType="separate"/>
        </w:r>
        <w:r w:rsidR="004C6DF3">
          <w:rPr>
            <w:noProof/>
            <w:webHidden/>
          </w:rPr>
          <w:t>13</w:t>
        </w:r>
        <w:r w:rsidR="00F842F1">
          <w:rPr>
            <w:noProof/>
            <w:webHidden/>
          </w:rPr>
          <w:fldChar w:fldCharType="end"/>
        </w:r>
      </w:hyperlink>
    </w:p>
    <w:p w14:paraId="33F42C04" w14:textId="29A1BB7C" w:rsidR="00F842F1" w:rsidRDefault="00357AAD" w:rsidP="00104E0B">
      <w:pPr>
        <w:pStyle w:val="TableofFigures"/>
        <w:tabs>
          <w:tab w:val="right" w:leader="dot" w:pos="9016"/>
        </w:tabs>
        <w:spacing w:after="120"/>
        <w:rPr>
          <w:noProof/>
        </w:rPr>
      </w:pPr>
      <w:hyperlink w:anchor="_Toc41920114" w:history="1">
        <w:r w:rsidR="00F842F1" w:rsidRPr="006870C4">
          <w:rPr>
            <w:rStyle w:val="Hyperlink"/>
            <w:noProof/>
          </w:rPr>
          <w:t>Figure 3: Housing Tenure by Different Household Groups</w:t>
        </w:r>
        <w:r w:rsidR="00F842F1">
          <w:rPr>
            <w:noProof/>
            <w:webHidden/>
          </w:rPr>
          <w:tab/>
        </w:r>
        <w:r w:rsidR="00F842F1">
          <w:rPr>
            <w:noProof/>
            <w:webHidden/>
          </w:rPr>
          <w:fldChar w:fldCharType="begin"/>
        </w:r>
        <w:r w:rsidR="00F842F1">
          <w:rPr>
            <w:noProof/>
            <w:webHidden/>
          </w:rPr>
          <w:instrText xml:space="preserve"> PAGEREF _Toc41920114 \h </w:instrText>
        </w:r>
        <w:r w:rsidR="00F842F1">
          <w:rPr>
            <w:noProof/>
            <w:webHidden/>
          </w:rPr>
        </w:r>
        <w:r w:rsidR="00F842F1">
          <w:rPr>
            <w:noProof/>
            <w:webHidden/>
          </w:rPr>
          <w:fldChar w:fldCharType="separate"/>
        </w:r>
        <w:r w:rsidR="004C6DF3">
          <w:rPr>
            <w:noProof/>
            <w:webHidden/>
          </w:rPr>
          <w:t>14</w:t>
        </w:r>
        <w:r w:rsidR="00F842F1">
          <w:rPr>
            <w:noProof/>
            <w:webHidden/>
          </w:rPr>
          <w:fldChar w:fldCharType="end"/>
        </w:r>
      </w:hyperlink>
    </w:p>
    <w:p w14:paraId="39496733" w14:textId="350C0D3B" w:rsidR="00F842F1" w:rsidRDefault="00357AAD" w:rsidP="00104E0B">
      <w:pPr>
        <w:pStyle w:val="TableofFigures"/>
        <w:tabs>
          <w:tab w:val="right" w:leader="dot" w:pos="9016"/>
        </w:tabs>
        <w:spacing w:after="120"/>
        <w:rPr>
          <w:noProof/>
        </w:rPr>
      </w:pPr>
      <w:hyperlink w:anchor="_Toc41920115" w:history="1">
        <w:r w:rsidR="00F842F1" w:rsidRPr="006870C4">
          <w:rPr>
            <w:rStyle w:val="Hyperlink"/>
            <w:noProof/>
          </w:rPr>
          <w:t>Figure 4: Selected Financial Stress Indicators</w:t>
        </w:r>
        <w:r w:rsidR="00F842F1">
          <w:rPr>
            <w:noProof/>
            <w:webHidden/>
          </w:rPr>
          <w:tab/>
        </w:r>
        <w:r w:rsidR="00F842F1">
          <w:rPr>
            <w:noProof/>
            <w:webHidden/>
          </w:rPr>
          <w:fldChar w:fldCharType="begin"/>
        </w:r>
        <w:r w:rsidR="00F842F1">
          <w:rPr>
            <w:noProof/>
            <w:webHidden/>
          </w:rPr>
          <w:instrText xml:space="preserve"> PAGEREF _Toc41920115 \h </w:instrText>
        </w:r>
        <w:r w:rsidR="00F842F1">
          <w:rPr>
            <w:noProof/>
            <w:webHidden/>
          </w:rPr>
        </w:r>
        <w:r w:rsidR="00F842F1">
          <w:rPr>
            <w:noProof/>
            <w:webHidden/>
          </w:rPr>
          <w:fldChar w:fldCharType="separate"/>
        </w:r>
        <w:r w:rsidR="004C6DF3">
          <w:rPr>
            <w:noProof/>
            <w:webHidden/>
          </w:rPr>
          <w:t>15</w:t>
        </w:r>
        <w:r w:rsidR="00F842F1">
          <w:rPr>
            <w:noProof/>
            <w:webHidden/>
          </w:rPr>
          <w:fldChar w:fldCharType="end"/>
        </w:r>
      </w:hyperlink>
    </w:p>
    <w:p w14:paraId="5008EFE2" w14:textId="654FA97E" w:rsidR="00F842F1" w:rsidRDefault="00357AAD" w:rsidP="00104E0B">
      <w:pPr>
        <w:pStyle w:val="TableofFigures"/>
        <w:tabs>
          <w:tab w:val="right" w:leader="dot" w:pos="9016"/>
        </w:tabs>
        <w:spacing w:after="120"/>
        <w:rPr>
          <w:noProof/>
        </w:rPr>
      </w:pPr>
      <w:hyperlink w:anchor="_Toc41920116" w:history="1">
        <w:r w:rsidR="00F842F1" w:rsidRPr="006870C4">
          <w:rPr>
            <w:rStyle w:val="Hyperlink"/>
            <w:noProof/>
          </w:rPr>
          <w:t>Figure 5: Drivers and Characteristics of Waged Poverty</w:t>
        </w:r>
        <w:r w:rsidR="00F842F1">
          <w:rPr>
            <w:noProof/>
            <w:webHidden/>
          </w:rPr>
          <w:tab/>
        </w:r>
        <w:r w:rsidR="00F842F1">
          <w:rPr>
            <w:noProof/>
            <w:webHidden/>
          </w:rPr>
          <w:fldChar w:fldCharType="begin"/>
        </w:r>
        <w:r w:rsidR="00F842F1">
          <w:rPr>
            <w:noProof/>
            <w:webHidden/>
          </w:rPr>
          <w:instrText xml:space="preserve"> PAGEREF _Toc41920116 \h </w:instrText>
        </w:r>
        <w:r w:rsidR="00F842F1">
          <w:rPr>
            <w:noProof/>
            <w:webHidden/>
          </w:rPr>
        </w:r>
        <w:r w:rsidR="00F842F1">
          <w:rPr>
            <w:noProof/>
            <w:webHidden/>
          </w:rPr>
          <w:fldChar w:fldCharType="separate"/>
        </w:r>
        <w:r w:rsidR="004C6DF3">
          <w:rPr>
            <w:noProof/>
            <w:webHidden/>
          </w:rPr>
          <w:t>17</w:t>
        </w:r>
        <w:r w:rsidR="00F842F1">
          <w:rPr>
            <w:noProof/>
            <w:webHidden/>
          </w:rPr>
          <w:fldChar w:fldCharType="end"/>
        </w:r>
      </w:hyperlink>
    </w:p>
    <w:p w14:paraId="01E7A193" w14:textId="431CE862" w:rsidR="00F842F1" w:rsidRDefault="00357AAD" w:rsidP="00104E0B">
      <w:pPr>
        <w:pStyle w:val="TableofFigures"/>
        <w:tabs>
          <w:tab w:val="right" w:leader="dot" w:pos="9016"/>
        </w:tabs>
        <w:spacing w:after="120"/>
        <w:rPr>
          <w:noProof/>
        </w:rPr>
      </w:pPr>
      <w:hyperlink w:anchor="_Toc41920117" w:history="1">
        <w:r w:rsidR="00F842F1" w:rsidRPr="006870C4">
          <w:rPr>
            <w:rStyle w:val="Hyperlink"/>
            <w:noProof/>
          </w:rPr>
          <w:t>Figure 6: Telecommunications Uses in Waged Poor Households</w:t>
        </w:r>
        <w:r w:rsidR="00F842F1">
          <w:rPr>
            <w:noProof/>
            <w:webHidden/>
          </w:rPr>
          <w:tab/>
        </w:r>
        <w:r w:rsidR="00F842F1">
          <w:rPr>
            <w:noProof/>
            <w:webHidden/>
          </w:rPr>
          <w:fldChar w:fldCharType="begin"/>
        </w:r>
        <w:r w:rsidR="00F842F1">
          <w:rPr>
            <w:noProof/>
            <w:webHidden/>
          </w:rPr>
          <w:instrText xml:space="preserve"> PAGEREF _Toc41920117 \h </w:instrText>
        </w:r>
        <w:r w:rsidR="00F842F1">
          <w:rPr>
            <w:noProof/>
            <w:webHidden/>
          </w:rPr>
        </w:r>
        <w:r w:rsidR="00F842F1">
          <w:rPr>
            <w:noProof/>
            <w:webHidden/>
          </w:rPr>
          <w:fldChar w:fldCharType="separate"/>
        </w:r>
        <w:r w:rsidR="004C6DF3">
          <w:rPr>
            <w:noProof/>
            <w:webHidden/>
          </w:rPr>
          <w:t>21</w:t>
        </w:r>
        <w:r w:rsidR="00F842F1">
          <w:rPr>
            <w:noProof/>
            <w:webHidden/>
          </w:rPr>
          <w:fldChar w:fldCharType="end"/>
        </w:r>
      </w:hyperlink>
    </w:p>
    <w:p w14:paraId="2E2E2A2B" w14:textId="423EBAB9" w:rsidR="00F842F1" w:rsidRDefault="00357AAD" w:rsidP="00104E0B">
      <w:pPr>
        <w:pStyle w:val="TableofFigures"/>
        <w:tabs>
          <w:tab w:val="right" w:leader="dot" w:pos="9016"/>
        </w:tabs>
        <w:spacing w:after="120"/>
        <w:rPr>
          <w:noProof/>
        </w:rPr>
      </w:pPr>
      <w:hyperlink w:anchor="_Toc41920118" w:history="1">
        <w:r w:rsidR="00F842F1" w:rsidRPr="006870C4">
          <w:rPr>
            <w:rStyle w:val="Hyperlink"/>
            <w:noProof/>
          </w:rPr>
          <w:t>Figure 7: Telecommunications Devices and Services Used, All Waged Poor Households</w:t>
        </w:r>
        <w:r w:rsidR="00F842F1">
          <w:rPr>
            <w:noProof/>
            <w:webHidden/>
          </w:rPr>
          <w:tab/>
        </w:r>
        <w:r w:rsidR="00F842F1">
          <w:rPr>
            <w:noProof/>
            <w:webHidden/>
          </w:rPr>
          <w:fldChar w:fldCharType="begin"/>
        </w:r>
        <w:r w:rsidR="00F842F1">
          <w:rPr>
            <w:noProof/>
            <w:webHidden/>
          </w:rPr>
          <w:instrText xml:space="preserve"> PAGEREF _Toc41920118 \h </w:instrText>
        </w:r>
        <w:r w:rsidR="00F842F1">
          <w:rPr>
            <w:noProof/>
            <w:webHidden/>
          </w:rPr>
        </w:r>
        <w:r w:rsidR="00F842F1">
          <w:rPr>
            <w:noProof/>
            <w:webHidden/>
          </w:rPr>
          <w:fldChar w:fldCharType="separate"/>
        </w:r>
        <w:r w:rsidR="004C6DF3">
          <w:rPr>
            <w:noProof/>
            <w:webHidden/>
          </w:rPr>
          <w:t>22</w:t>
        </w:r>
        <w:r w:rsidR="00F842F1">
          <w:rPr>
            <w:noProof/>
            <w:webHidden/>
          </w:rPr>
          <w:fldChar w:fldCharType="end"/>
        </w:r>
      </w:hyperlink>
    </w:p>
    <w:p w14:paraId="3C147C14" w14:textId="201BEDF2" w:rsidR="00F842F1" w:rsidRDefault="00357AAD" w:rsidP="00104E0B">
      <w:pPr>
        <w:pStyle w:val="TableofFigures"/>
        <w:tabs>
          <w:tab w:val="right" w:leader="dot" w:pos="9016"/>
        </w:tabs>
        <w:spacing w:after="120"/>
        <w:rPr>
          <w:noProof/>
        </w:rPr>
      </w:pPr>
      <w:hyperlink w:anchor="_Toc41920119" w:history="1">
        <w:r w:rsidR="00F842F1" w:rsidRPr="006870C4">
          <w:rPr>
            <w:rStyle w:val="Hyperlink"/>
            <w:noProof/>
          </w:rPr>
          <w:t>Figure 8: Most Common Ways to Access the Internet</w:t>
        </w:r>
        <w:r w:rsidR="00F842F1">
          <w:rPr>
            <w:noProof/>
            <w:webHidden/>
          </w:rPr>
          <w:tab/>
        </w:r>
        <w:r w:rsidR="00F842F1">
          <w:rPr>
            <w:noProof/>
            <w:webHidden/>
          </w:rPr>
          <w:fldChar w:fldCharType="begin"/>
        </w:r>
        <w:r w:rsidR="00F842F1">
          <w:rPr>
            <w:noProof/>
            <w:webHidden/>
          </w:rPr>
          <w:instrText xml:space="preserve"> PAGEREF _Toc41920119 \h </w:instrText>
        </w:r>
        <w:r w:rsidR="00F842F1">
          <w:rPr>
            <w:noProof/>
            <w:webHidden/>
          </w:rPr>
        </w:r>
        <w:r w:rsidR="00F842F1">
          <w:rPr>
            <w:noProof/>
            <w:webHidden/>
          </w:rPr>
          <w:fldChar w:fldCharType="separate"/>
        </w:r>
        <w:r w:rsidR="004C6DF3">
          <w:rPr>
            <w:noProof/>
            <w:webHidden/>
          </w:rPr>
          <w:t>23</w:t>
        </w:r>
        <w:r w:rsidR="00F842F1">
          <w:rPr>
            <w:noProof/>
            <w:webHidden/>
          </w:rPr>
          <w:fldChar w:fldCharType="end"/>
        </w:r>
      </w:hyperlink>
    </w:p>
    <w:p w14:paraId="78E8EE8B" w14:textId="5AAD5313" w:rsidR="00F842F1" w:rsidRDefault="00357AAD" w:rsidP="00104E0B">
      <w:pPr>
        <w:pStyle w:val="TableofFigures"/>
        <w:tabs>
          <w:tab w:val="right" w:leader="dot" w:pos="9016"/>
        </w:tabs>
        <w:spacing w:after="120"/>
        <w:rPr>
          <w:noProof/>
        </w:rPr>
      </w:pPr>
      <w:hyperlink w:anchor="_Toc41920120" w:history="1">
        <w:r w:rsidR="00F842F1" w:rsidRPr="006870C4">
          <w:rPr>
            <w:rStyle w:val="Hyperlink"/>
            <w:noProof/>
          </w:rPr>
          <w:t>Figure 9: Most Common Ways to Access Internet, Labour Force</w:t>
        </w:r>
        <w:r w:rsidR="00F842F1">
          <w:rPr>
            <w:noProof/>
            <w:webHidden/>
          </w:rPr>
          <w:tab/>
        </w:r>
        <w:r w:rsidR="00F842F1">
          <w:rPr>
            <w:noProof/>
            <w:webHidden/>
          </w:rPr>
          <w:fldChar w:fldCharType="begin"/>
        </w:r>
        <w:r w:rsidR="00F842F1">
          <w:rPr>
            <w:noProof/>
            <w:webHidden/>
          </w:rPr>
          <w:instrText xml:space="preserve"> PAGEREF _Toc41920120 \h </w:instrText>
        </w:r>
        <w:r w:rsidR="00F842F1">
          <w:rPr>
            <w:noProof/>
            <w:webHidden/>
          </w:rPr>
        </w:r>
        <w:r w:rsidR="00F842F1">
          <w:rPr>
            <w:noProof/>
            <w:webHidden/>
          </w:rPr>
          <w:fldChar w:fldCharType="separate"/>
        </w:r>
        <w:r w:rsidR="004C6DF3">
          <w:rPr>
            <w:noProof/>
            <w:webHidden/>
          </w:rPr>
          <w:t>26</w:t>
        </w:r>
        <w:r w:rsidR="00F842F1">
          <w:rPr>
            <w:noProof/>
            <w:webHidden/>
          </w:rPr>
          <w:fldChar w:fldCharType="end"/>
        </w:r>
      </w:hyperlink>
    </w:p>
    <w:p w14:paraId="1B143E30" w14:textId="7037B65F" w:rsidR="00F842F1" w:rsidRDefault="00357AAD" w:rsidP="00104E0B">
      <w:pPr>
        <w:pStyle w:val="TableofFigures"/>
        <w:tabs>
          <w:tab w:val="right" w:leader="dot" w:pos="9016"/>
        </w:tabs>
        <w:spacing w:after="120"/>
        <w:rPr>
          <w:noProof/>
        </w:rPr>
      </w:pPr>
      <w:hyperlink w:anchor="_Toc41920121" w:history="1">
        <w:r w:rsidR="00F842F1" w:rsidRPr="006870C4">
          <w:rPr>
            <w:rStyle w:val="Hyperlink"/>
            <w:noProof/>
          </w:rPr>
          <w:t>Figure 10: Importance of Employment Activities</w:t>
        </w:r>
        <w:r w:rsidR="00F842F1">
          <w:rPr>
            <w:noProof/>
            <w:webHidden/>
          </w:rPr>
          <w:tab/>
        </w:r>
        <w:r w:rsidR="00F842F1">
          <w:rPr>
            <w:noProof/>
            <w:webHidden/>
          </w:rPr>
          <w:fldChar w:fldCharType="begin"/>
        </w:r>
        <w:r w:rsidR="00F842F1">
          <w:rPr>
            <w:noProof/>
            <w:webHidden/>
          </w:rPr>
          <w:instrText xml:space="preserve"> PAGEREF _Toc41920121 \h </w:instrText>
        </w:r>
        <w:r w:rsidR="00F842F1">
          <w:rPr>
            <w:noProof/>
            <w:webHidden/>
          </w:rPr>
        </w:r>
        <w:r w:rsidR="00F842F1">
          <w:rPr>
            <w:noProof/>
            <w:webHidden/>
          </w:rPr>
          <w:fldChar w:fldCharType="separate"/>
        </w:r>
        <w:r w:rsidR="004C6DF3">
          <w:rPr>
            <w:noProof/>
            <w:webHidden/>
          </w:rPr>
          <w:t>27</w:t>
        </w:r>
        <w:r w:rsidR="00F842F1">
          <w:rPr>
            <w:noProof/>
            <w:webHidden/>
          </w:rPr>
          <w:fldChar w:fldCharType="end"/>
        </w:r>
      </w:hyperlink>
    </w:p>
    <w:p w14:paraId="72A27C4B" w14:textId="7C20D712" w:rsidR="00F842F1" w:rsidRDefault="00357AAD" w:rsidP="00104E0B">
      <w:pPr>
        <w:pStyle w:val="TableofFigures"/>
        <w:tabs>
          <w:tab w:val="right" w:leader="dot" w:pos="9016"/>
        </w:tabs>
        <w:spacing w:after="120"/>
        <w:rPr>
          <w:noProof/>
        </w:rPr>
      </w:pPr>
      <w:hyperlink w:anchor="_Toc41920122" w:history="1">
        <w:r w:rsidR="00F842F1" w:rsidRPr="006870C4">
          <w:rPr>
            <w:rStyle w:val="Hyperlink"/>
            <w:noProof/>
          </w:rPr>
          <w:t>Figure 11: Expenses in Household Budget</w:t>
        </w:r>
        <w:r w:rsidR="00F842F1">
          <w:rPr>
            <w:noProof/>
            <w:webHidden/>
          </w:rPr>
          <w:tab/>
        </w:r>
        <w:r w:rsidR="00F842F1">
          <w:rPr>
            <w:noProof/>
            <w:webHidden/>
          </w:rPr>
          <w:fldChar w:fldCharType="begin"/>
        </w:r>
        <w:r w:rsidR="00F842F1">
          <w:rPr>
            <w:noProof/>
            <w:webHidden/>
          </w:rPr>
          <w:instrText xml:space="preserve"> PAGEREF _Toc41920122 \h </w:instrText>
        </w:r>
        <w:r w:rsidR="00F842F1">
          <w:rPr>
            <w:noProof/>
            <w:webHidden/>
          </w:rPr>
        </w:r>
        <w:r w:rsidR="00F842F1">
          <w:rPr>
            <w:noProof/>
            <w:webHidden/>
          </w:rPr>
          <w:fldChar w:fldCharType="separate"/>
        </w:r>
        <w:r w:rsidR="004C6DF3">
          <w:rPr>
            <w:noProof/>
            <w:webHidden/>
          </w:rPr>
          <w:t>32</w:t>
        </w:r>
        <w:r w:rsidR="00F842F1">
          <w:rPr>
            <w:noProof/>
            <w:webHidden/>
          </w:rPr>
          <w:fldChar w:fldCharType="end"/>
        </w:r>
      </w:hyperlink>
    </w:p>
    <w:p w14:paraId="5E8746AD" w14:textId="113FEB76" w:rsidR="00F842F1" w:rsidRDefault="00357AAD" w:rsidP="00104E0B">
      <w:pPr>
        <w:pStyle w:val="TableofFigures"/>
        <w:tabs>
          <w:tab w:val="right" w:leader="dot" w:pos="9016"/>
        </w:tabs>
        <w:spacing w:after="120"/>
        <w:rPr>
          <w:noProof/>
        </w:rPr>
      </w:pPr>
      <w:hyperlink w:anchor="_Toc41920123" w:history="1">
        <w:r w:rsidR="00F842F1" w:rsidRPr="006870C4">
          <w:rPr>
            <w:rStyle w:val="Hyperlink"/>
            <w:noProof/>
          </w:rPr>
          <w:t>Figure 12: Telecommunications Financial Stress Markers for Waged Poor Households</w:t>
        </w:r>
        <w:r w:rsidR="00F842F1">
          <w:rPr>
            <w:noProof/>
            <w:webHidden/>
          </w:rPr>
          <w:tab/>
        </w:r>
        <w:r w:rsidR="00F842F1">
          <w:rPr>
            <w:noProof/>
            <w:webHidden/>
          </w:rPr>
          <w:fldChar w:fldCharType="begin"/>
        </w:r>
        <w:r w:rsidR="00F842F1">
          <w:rPr>
            <w:noProof/>
            <w:webHidden/>
          </w:rPr>
          <w:instrText xml:space="preserve"> PAGEREF _Toc41920123 \h </w:instrText>
        </w:r>
        <w:r w:rsidR="00F842F1">
          <w:rPr>
            <w:noProof/>
            <w:webHidden/>
          </w:rPr>
        </w:r>
        <w:r w:rsidR="00F842F1">
          <w:rPr>
            <w:noProof/>
            <w:webHidden/>
          </w:rPr>
          <w:fldChar w:fldCharType="separate"/>
        </w:r>
        <w:r w:rsidR="004C6DF3">
          <w:rPr>
            <w:noProof/>
            <w:webHidden/>
          </w:rPr>
          <w:t>34</w:t>
        </w:r>
        <w:r w:rsidR="00F842F1">
          <w:rPr>
            <w:noProof/>
            <w:webHidden/>
          </w:rPr>
          <w:fldChar w:fldCharType="end"/>
        </w:r>
      </w:hyperlink>
    </w:p>
    <w:p w14:paraId="06AF3763" w14:textId="58CADE98" w:rsidR="00F842F1" w:rsidRDefault="00357AAD" w:rsidP="00104E0B">
      <w:pPr>
        <w:pStyle w:val="TableofFigures"/>
        <w:tabs>
          <w:tab w:val="right" w:leader="dot" w:pos="9016"/>
        </w:tabs>
        <w:spacing w:after="120"/>
        <w:rPr>
          <w:noProof/>
        </w:rPr>
      </w:pPr>
      <w:hyperlink w:anchor="_Toc41920124" w:history="1">
        <w:r w:rsidR="00F842F1" w:rsidRPr="006870C4">
          <w:rPr>
            <w:rStyle w:val="Hyperlink"/>
            <w:noProof/>
          </w:rPr>
          <w:t>Figure 13: Telecommunications Expenditure Changes Over Time</w:t>
        </w:r>
        <w:r w:rsidR="00F842F1">
          <w:rPr>
            <w:noProof/>
            <w:webHidden/>
          </w:rPr>
          <w:tab/>
        </w:r>
        <w:r w:rsidR="00F842F1">
          <w:rPr>
            <w:noProof/>
            <w:webHidden/>
          </w:rPr>
          <w:fldChar w:fldCharType="begin"/>
        </w:r>
        <w:r w:rsidR="00F842F1">
          <w:rPr>
            <w:noProof/>
            <w:webHidden/>
          </w:rPr>
          <w:instrText xml:space="preserve"> PAGEREF _Toc41920124 \h </w:instrText>
        </w:r>
        <w:r w:rsidR="00F842F1">
          <w:rPr>
            <w:noProof/>
            <w:webHidden/>
          </w:rPr>
        </w:r>
        <w:r w:rsidR="00F842F1">
          <w:rPr>
            <w:noProof/>
            <w:webHidden/>
          </w:rPr>
          <w:fldChar w:fldCharType="separate"/>
        </w:r>
        <w:r w:rsidR="004C6DF3">
          <w:rPr>
            <w:noProof/>
            <w:webHidden/>
          </w:rPr>
          <w:t>35</w:t>
        </w:r>
        <w:r w:rsidR="00F842F1">
          <w:rPr>
            <w:noProof/>
            <w:webHidden/>
          </w:rPr>
          <w:fldChar w:fldCharType="end"/>
        </w:r>
      </w:hyperlink>
    </w:p>
    <w:p w14:paraId="0AEC90F5" w14:textId="7DAE07CD" w:rsidR="00F842F1" w:rsidRDefault="00357AAD" w:rsidP="00104E0B">
      <w:pPr>
        <w:pStyle w:val="TableofFigures"/>
        <w:tabs>
          <w:tab w:val="right" w:leader="dot" w:pos="9016"/>
        </w:tabs>
        <w:spacing w:after="120"/>
        <w:rPr>
          <w:noProof/>
        </w:rPr>
      </w:pPr>
      <w:hyperlink w:anchor="_Toc41920125" w:history="1">
        <w:r w:rsidR="00F842F1" w:rsidRPr="006870C4">
          <w:rPr>
            <w:rStyle w:val="Hyperlink"/>
            <w:noProof/>
          </w:rPr>
          <w:t>Figure 14: Respondents' Strategies if in Payment Difficulty</w:t>
        </w:r>
        <w:r w:rsidR="00F842F1">
          <w:rPr>
            <w:noProof/>
            <w:webHidden/>
          </w:rPr>
          <w:tab/>
        </w:r>
        <w:r w:rsidR="00F842F1">
          <w:rPr>
            <w:noProof/>
            <w:webHidden/>
          </w:rPr>
          <w:fldChar w:fldCharType="begin"/>
        </w:r>
        <w:r w:rsidR="00F842F1">
          <w:rPr>
            <w:noProof/>
            <w:webHidden/>
          </w:rPr>
          <w:instrText xml:space="preserve"> PAGEREF _Toc41920125 \h </w:instrText>
        </w:r>
        <w:r w:rsidR="00F842F1">
          <w:rPr>
            <w:noProof/>
            <w:webHidden/>
          </w:rPr>
        </w:r>
        <w:r w:rsidR="00F842F1">
          <w:rPr>
            <w:noProof/>
            <w:webHidden/>
          </w:rPr>
          <w:fldChar w:fldCharType="separate"/>
        </w:r>
        <w:r w:rsidR="004C6DF3">
          <w:rPr>
            <w:noProof/>
            <w:webHidden/>
          </w:rPr>
          <w:t>42</w:t>
        </w:r>
        <w:r w:rsidR="00F842F1">
          <w:rPr>
            <w:noProof/>
            <w:webHidden/>
          </w:rPr>
          <w:fldChar w:fldCharType="end"/>
        </w:r>
      </w:hyperlink>
    </w:p>
    <w:p w14:paraId="21F49C56" w14:textId="3081BF20" w:rsidR="00F842F1" w:rsidRDefault="00F842F1" w:rsidP="00104E0B">
      <w:pPr>
        <w:spacing w:after="120"/>
        <w:rPr>
          <w:lang w:val="en-US" w:eastAsia="ja-JP"/>
        </w:rPr>
      </w:pPr>
      <w:r>
        <w:rPr>
          <w:lang w:val="en-US" w:eastAsia="ja-JP"/>
        </w:rPr>
        <w:fldChar w:fldCharType="end"/>
      </w:r>
    </w:p>
    <w:p w14:paraId="14DFC793" w14:textId="77777777" w:rsidR="00F842F1" w:rsidRDefault="00F842F1" w:rsidP="00617AE2">
      <w:pPr>
        <w:rPr>
          <w:lang w:val="en-US" w:eastAsia="ja-JP"/>
        </w:rPr>
      </w:pPr>
    </w:p>
    <w:p w14:paraId="55CD1B23" w14:textId="77777777" w:rsidR="00740379" w:rsidRPr="00617AE2" w:rsidRDefault="00740379" w:rsidP="00617AE2">
      <w:pPr>
        <w:rPr>
          <w:lang w:val="en-US" w:eastAsia="ja-JP"/>
        </w:rPr>
        <w:sectPr w:rsidR="00740379" w:rsidRPr="00617AE2" w:rsidSect="00DD6F0E">
          <w:headerReference w:type="even" r:id="rId23"/>
          <w:headerReference w:type="default" r:id="rId24"/>
          <w:headerReference w:type="first" r:id="rId25"/>
          <w:footerReference w:type="first" r:id="rId26"/>
          <w:pgSz w:w="11906" w:h="16838"/>
          <w:pgMar w:top="1440" w:right="1440" w:bottom="1440" w:left="1440" w:header="708" w:footer="283" w:gutter="0"/>
          <w:pgNumType w:fmt="lowerRoman" w:start="1"/>
          <w:cols w:space="708"/>
          <w:titlePg/>
          <w:docGrid w:linePitch="360"/>
        </w:sectPr>
      </w:pPr>
    </w:p>
    <w:p w14:paraId="12CE1D1E" w14:textId="77777777" w:rsidR="00B721E6" w:rsidRPr="00DD6F0E" w:rsidRDefault="00B721E6" w:rsidP="00B721E6">
      <w:pPr>
        <w:pStyle w:val="Heading1"/>
      </w:pPr>
      <w:bookmarkStart w:id="3" w:name="_Toc42719010"/>
      <w:r w:rsidRPr="00DD6F0E">
        <w:lastRenderedPageBreak/>
        <w:t>Acknowledgements</w:t>
      </w:r>
      <w:bookmarkEnd w:id="3"/>
    </w:p>
    <w:p w14:paraId="083FD0E2" w14:textId="67A3BA6A" w:rsidR="00B721E6" w:rsidRDefault="00796C7A" w:rsidP="00B721E6">
      <w:r>
        <w:t xml:space="preserve">The research was conducted by the authors </w:t>
      </w:r>
      <w:r w:rsidR="00174F09">
        <w:t>on behalf of</w:t>
      </w:r>
      <w:r>
        <w:t xml:space="preserve"> the South Australian Council of Social Services</w:t>
      </w:r>
      <w:r w:rsidR="00174F09">
        <w:t xml:space="preserve"> (SACOSS)</w:t>
      </w:r>
      <w:r>
        <w:t>. It was conducted in collaboration with the Tasmanian Council of Social Service</w:t>
      </w:r>
      <w:r w:rsidR="00C94940">
        <w:t xml:space="preserve"> (T</w:t>
      </w:r>
      <w:r w:rsidR="00B570A3">
        <w:t>as</w:t>
      </w:r>
      <w:r w:rsidR="00C94940">
        <w:t>COSS)</w:t>
      </w:r>
      <w:r>
        <w:t>, the ACT Council of Social Service</w:t>
      </w:r>
      <w:r w:rsidR="00C94940">
        <w:t xml:space="preserve"> (ACTCOSS)</w:t>
      </w:r>
      <w:r>
        <w:t xml:space="preserve"> and at the national level, the Australian Council of Social Services</w:t>
      </w:r>
      <w:r w:rsidR="00C94940">
        <w:t xml:space="preserve"> (ACOSS)</w:t>
      </w:r>
      <w:r w:rsidR="00002AE1">
        <w:t>. W</w:t>
      </w:r>
      <w:r>
        <w:t xml:space="preserve">e thank our colleagues in those organisations, and </w:t>
      </w:r>
      <w:r w:rsidR="00C94940">
        <w:t xml:space="preserve">in </w:t>
      </w:r>
      <w:r>
        <w:t>particular Charlie Burton (</w:t>
      </w:r>
      <w:r w:rsidR="003F15D2">
        <w:t>Tas</w:t>
      </w:r>
      <w:r>
        <w:t>COSS), Geoff Buchanan (ACTCOSS) and John Mikelsons (ACOSS) for their input.</w:t>
      </w:r>
    </w:p>
    <w:p w14:paraId="2AC541DF" w14:textId="06F6B826" w:rsidR="00B721E6" w:rsidRDefault="00024BC9" w:rsidP="00B721E6">
      <w:r>
        <w:t>The research was funded by ACCAN through its research grants program and</w:t>
      </w:r>
      <w:r w:rsidR="00DE47B1">
        <w:t xml:space="preserve"> in the context of that program was a significant </w:t>
      </w:r>
      <w:r>
        <w:t xml:space="preserve">grant. We thank </w:t>
      </w:r>
      <w:r w:rsidR="006F5BE6">
        <w:t>ACCAN</w:t>
      </w:r>
      <w:r>
        <w:t xml:space="preserve"> for their confidence in SACOSS to deliver this project, but also for their cooperation and partnership in making it happen. In particular, thank you to Tanya </w:t>
      </w:r>
      <w:r w:rsidRPr="00024BC9">
        <w:t>Karliychu</w:t>
      </w:r>
      <w:r>
        <w:t>k and Una Lawrence for your work and advice.</w:t>
      </w:r>
    </w:p>
    <w:p w14:paraId="0F6B94EF" w14:textId="17C08318" w:rsidR="00C94174" w:rsidRDefault="00C94174" w:rsidP="00B721E6">
      <w:r>
        <w:t xml:space="preserve">This project also drew heavily on research SACOSS conducted on energy affordability for waged poor households. That research was funded by Energy Consumers Australia </w:t>
      </w:r>
      <w:r w:rsidR="00B6558E">
        <w:t>and we acknowledge the importance of that work in this research.</w:t>
      </w:r>
    </w:p>
    <w:p w14:paraId="3C619A40" w14:textId="56D9ADD4" w:rsidR="002504A6" w:rsidRDefault="002504A6" w:rsidP="00B721E6">
      <w:r>
        <w:t>A</w:t>
      </w:r>
      <w:r w:rsidR="00024BC9">
        <w:t xml:space="preserve"> special thank you </w:t>
      </w:r>
      <w:r>
        <w:t xml:space="preserve">is also owed </w:t>
      </w:r>
      <w:r w:rsidR="00024BC9">
        <w:t xml:space="preserve">to the </w:t>
      </w:r>
      <w:r>
        <w:t>survey respondents and interviewees</w:t>
      </w:r>
      <w:r w:rsidR="00024BC9">
        <w:t xml:space="preserve"> who contributed their knowledge and life-experience to this project, and to the stakeholder groups (listed in Appendix </w:t>
      </w:r>
      <w:r w:rsidR="00275589">
        <w:t>3</w:t>
      </w:r>
      <w:r w:rsidR="00024BC9">
        <w:t>) who added their expertise.</w:t>
      </w:r>
      <w:r>
        <w:t xml:space="preserve"> </w:t>
      </w:r>
    </w:p>
    <w:p w14:paraId="6C7CCEAB" w14:textId="4446DFFA" w:rsidR="00B721E6" w:rsidRDefault="002504A6" w:rsidP="00B721E6">
      <w:r>
        <w:t xml:space="preserve">In relation to those survey respondents and interviewees, we also acknowledge that the term “waged poor” </w:t>
      </w:r>
      <w:r w:rsidR="00126B3B">
        <w:t xml:space="preserve">households </w:t>
      </w:r>
      <w:r>
        <w:t>is far from ideal. As will be seen in the literature review, there are a variety of terms used to describe the cohort of people who are the subject of this research</w:t>
      </w:r>
      <w:r w:rsidR="00A56887">
        <w:t>. M</w:t>
      </w:r>
      <w:r>
        <w:t>ost are problematic</w:t>
      </w:r>
      <w:r w:rsidR="00A56887">
        <w:t>, including because</w:t>
      </w:r>
      <w:r>
        <w:t xml:space="preserve"> the term “poor” may carry </w:t>
      </w:r>
      <w:r w:rsidR="00A56887">
        <w:t xml:space="preserve">limiting or </w:t>
      </w:r>
      <w:r>
        <w:t>negative connotations</w:t>
      </w:r>
      <w:r w:rsidR="00B43153">
        <w:t xml:space="preserve"> (even though it simply signifies an income level below the designated poverty line)</w:t>
      </w:r>
      <w:r>
        <w:t xml:space="preserve">. We continue to use </w:t>
      </w:r>
      <w:r w:rsidR="00A56887">
        <w:t>“poor”</w:t>
      </w:r>
      <w:r>
        <w:t xml:space="preserve"> as an adjective to describe the households in this study simply because there is no generally agreed term, and the combination with the often positively-valued “waged” highlights the</w:t>
      </w:r>
      <w:r w:rsidR="00A56887">
        <w:t xml:space="preserve"> circumstances and</w:t>
      </w:r>
      <w:r>
        <w:t xml:space="preserve"> contradictions of these households. However, the authors apologise to anyone (and in particular to any study participants) if the term </w:t>
      </w:r>
      <w:r w:rsidR="00DD40DE">
        <w:t xml:space="preserve">is uncomfortable or </w:t>
      </w:r>
      <w:r>
        <w:t>causes offence.</w:t>
      </w:r>
    </w:p>
    <w:p w14:paraId="0B115AFA" w14:textId="77777777" w:rsidR="00B721E6" w:rsidRDefault="00B721E6" w:rsidP="00B721E6">
      <w:pPr>
        <w:pStyle w:val="Heading1"/>
      </w:pPr>
      <w:bookmarkStart w:id="4" w:name="_Toc42719011"/>
      <w:r>
        <w:lastRenderedPageBreak/>
        <w:t>Executive Summary</w:t>
      </w:r>
      <w:bookmarkEnd w:id="4"/>
    </w:p>
    <w:p w14:paraId="11F9FD74" w14:textId="7C58CE3B" w:rsidR="009C1AD0" w:rsidRDefault="009C1AD0" w:rsidP="009C1AD0">
      <w:pPr>
        <w:pStyle w:val="Heading4"/>
        <w:rPr>
          <w:lang w:eastAsia="ja-JP"/>
        </w:rPr>
      </w:pPr>
      <w:r>
        <w:rPr>
          <w:lang w:eastAsia="ja-JP"/>
        </w:rPr>
        <w:t>Background</w:t>
      </w:r>
    </w:p>
    <w:p w14:paraId="3EC2627A" w14:textId="5F2DA059" w:rsidR="00B6558E" w:rsidRDefault="00B6558E" w:rsidP="009713B1">
      <w:pPr>
        <w:rPr>
          <w:lang w:eastAsia="ja-JP"/>
        </w:rPr>
      </w:pPr>
      <w:r w:rsidRPr="00B6558E">
        <w:rPr>
          <w:lang w:eastAsia="ja-JP"/>
        </w:rPr>
        <w:t xml:space="preserve">Waged poor households </w:t>
      </w:r>
      <w:r>
        <w:rPr>
          <w:lang w:eastAsia="ja-JP"/>
        </w:rPr>
        <w:t xml:space="preserve">can be defined as </w:t>
      </w:r>
      <w:r w:rsidRPr="00B6558E">
        <w:rPr>
          <w:lang w:eastAsia="ja-JP"/>
        </w:rPr>
        <w:t>those living below the poverty line (50% of median equivalised household disposable income)</w:t>
      </w:r>
      <w:r>
        <w:rPr>
          <w:lang w:eastAsia="ja-JP"/>
        </w:rPr>
        <w:t xml:space="preserve"> whose</w:t>
      </w:r>
      <w:r w:rsidRPr="00B6558E">
        <w:rPr>
          <w:lang w:eastAsia="ja-JP"/>
        </w:rPr>
        <w:t xml:space="preserve"> main source of household income </w:t>
      </w:r>
      <w:r w:rsidR="003B01E7">
        <w:rPr>
          <w:lang w:eastAsia="ja-JP"/>
        </w:rPr>
        <w:t>i</w:t>
      </w:r>
      <w:r w:rsidRPr="00B6558E">
        <w:rPr>
          <w:lang w:eastAsia="ja-JP"/>
        </w:rPr>
        <w:t>s wages and salaries.</w:t>
      </w:r>
      <w:r>
        <w:rPr>
          <w:lang w:eastAsia="ja-JP"/>
        </w:rPr>
        <w:t xml:space="preserve"> </w:t>
      </w:r>
      <w:r w:rsidR="00C94174">
        <w:rPr>
          <w:lang w:val="en-US" w:eastAsia="ja-JP"/>
        </w:rPr>
        <w:t>Previous SACOSS research</w:t>
      </w:r>
      <w:r>
        <w:rPr>
          <w:lang w:val="en-US" w:eastAsia="ja-JP"/>
        </w:rPr>
        <w:t xml:space="preserve"> using the 2015-16 ABS </w:t>
      </w:r>
      <w:r w:rsidRPr="00B6558E">
        <w:rPr>
          <w:i/>
          <w:iCs/>
          <w:lang w:val="en-US" w:eastAsia="ja-JP"/>
        </w:rPr>
        <w:t>Household Expenditure Survey</w:t>
      </w:r>
      <w:r w:rsidR="0028775F">
        <w:rPr>
          <w:lang w:val="en-US" w:eastAsia="ja-JP"/>
        </w:rPr>
        <w:t xml:space="preserve"> (HES)</w:t>
      </w:r>
      <w:r>
        <w:rPr>
          <w:lang w:val="en-US" w:eastAsia="ja-JP"/>
        </w:rPr>
        <w:t xml:space="preserve"> found that </w:t>
      </w:r>
      <w:r>
        <w:rPr>
          <w:lang w:eastAsia="ja-JP"/>
        </w:rPr>
        <w:t xml:space="preserve">there were </w:t>
      </w:r>
      <w:r w:rsidRPr="00FF1B4F">
        <w:rPr>
          <w:lang w:eastAsia="ja-JP"/>
        </w:rPr>
        <w:t>249,818 waged po</w:t>
      </w:r>
      <w:r>
        <w:rPr>
          <w:lang w:eastAsia="ja-JP"/>
        </w:rPr>
        <w:t>or households in Australia</w:t>
      </w:r>
      <w:r w:rsidR="009713B1">
        <w:rPr>
          <w:lang w:eastAsia="ja-JP"/>
        </w:rPr>
        <w:t xml:space="preserve"> </w:t>
      </w:r>
      <w:r>
        <w:rPr>
          <w:lang w:eastAsia="ja-JP"/>
        </w:rPr>
        <w:t>equating to 23.8% of households in poverty and accounting for 685,744 people.</w:t>
      </w:r>
    </w:p>
    <w:p w14:paraId="0A35F9D0" w14:textId="66BFE5C1" w:rsidR="009737BD" w:rsidRDefault="00B6558E" w:rsidP="009737BD">
      <w:pPr>
        <w:rPr>
          <w:lang w:eastAsia="ja-JP"/>
        </w:rPr>
      </w:pPr>
      <w:r>
        <w:rPr>
          <w:lang w:val="en-US" w:eastAsia="ja-JP"/>
        </w:rPr>
        <w:t>The ABS data also showed that</w:t>
      </w:r>
      <w:r w:rsidR="009737BD">
        <w:rPr>
          <w:lang w:val="en-US" w:eastAsia="ja-JP"/>
        </w:rPr>
        <w:t>,</w:t>
      </w:r>
      <w:r>
        <w:rPr>
          <w:lang w:val="en-US" w:eastAsia="ja-JP"/>
        </w:rPr>
        <w:t xml:space="preserve"> </w:t>
      </w:r>
      <w:r w:rsidR="009737BD">
        <w:rPr>
          <w:lang w:eastAsia="ja-JP"/>
        </w:rPr>
        <w:t>by comparison with other households below the poverty line, waged poor households are likely to be:</w:t>
      </w:r>
    </w:p>
    <w:p w14:paraId="53BD578F" w14:textId="77777777" w:rsidR="009737BD" w:rsidRDefault="009737BD" w:rsidP="009737BD">
      <w:pPr>
        <w:numPr>
          <w:ilvl w:val="0"/>
          <w:numId w:val="12"/>
        </w:numPr>
        <w:rPr>
          <w:lang w:eastAsia="ja-JP"/>
        </w:rPr>
      </w:pPr>
      <w:bookmarkStart w:id="5" w:name="_Hlk43381720"/>
      <w:r>
        <w:rPr>
          <w:lang w:eastAsia="ja-JP"/>
        </w:rPr>
        <w:t>larger (more persons per household);</w:t>
      </w:r>
    </w:p>
    <w:p w14:paraId="21D4EF3A" w14:textId="3328B576" w:rsidR="009737BD" w:rsidRDefault="009737BD" w:rsidP="009737BD">
      <w:pPr>
        <w:numPr>
          <w:ilvl w:val="0"/>
          <w:numId w:val="12"/>
        </w:numPr>
        <w:rPr>
          <w:lang w:eastAsia="ja-JP"/>
        </w:rPr>
      </w:pPr>
      <w:r w:rsidRPr="00FF1B4F">
        <w:rPr>
          <w:lang w:eastAsia="ja-JP"/>
        </w:rPr>
        <w:t xml:space="preserve">couples </w:t>
      </w:r>
      <w:r w:rsidR="00A833E2">
        <w:rPr>
          <w:lang w:eastAsia="ja-JP"/>
        </w:rPr>
        <w:t>or</w:t>
      </w:r>
      <w:r w:rsidR="00A833E2" w:rsidRPr="00FF1B4F">
        <w:rPr>
          <w:lang w:eastAsia="ja-JP"/>
        </w:rPr>
        <w:t xml:space="preserve"> </w:t>
      </w:r>
      <w:r w:rsidRPr="00FF1B4F">
        <w:rPr>
          <w:lang w:eastAsia="ja-JP"/>
        </w:rPr>
        <w:t>couples with children</w:t>
      </w:r>
      <w:r>
        <w:rPr>
          <w:lang w:eastAsia="ja-JP"/>
        </w:rPr>
        <w:t>;</w:t>
      </w:r>
    </w:p>
    <w:p w14:paraId="00EA5B97" w14:textId="77777777" w:rsidR="009737BD" w:rsidRDefault="009737BD" w:rsidP="009737BD">
      <w:pPr>
        <w:numPr>
          <w:ilvl w:val="0"/>
          <w:numId w:val="12"/>
        </w:numPr>
        <w:rPr>
          <w:lang w:eastAsia="ja-JP"/>
        </w:rPr>
      </w:pPr>
      <w:r>
        <w:rPr>
          <w:lang w:eastAsia="ja-JP"/>
        </w:rPr>
        <w:t>renting;</w:t>
      </w:r>
    </w:p>
    <w:p w14:paraId="61BF450D" w14:textId="3BC63C5F" w:rsidR="00A833E2" w:rsidRDefault="009737BD" w:rsidP="009737BD">
      <w:pPr>
        <w:numPr>
          <w:ilvl w:val="0"/>
          <w:numId w:val="12"/>
        </w:numPr>
        <w:rPr>
          <w:lang w:eastAsia="ja-JP"/>
        </w:rPr>
      </w:pPr>
      <w:r>
        <w:rPr>
          <w:lang w:eastAsia="ja-JP"/>
        </w:rPr>
        <w:t>spending more on telecommunications;</w:t>
      </w:r>
      <w:r w:rsidR="00A833E2">
        <w:rPr>
          <w:lang w:eastAsia="ja-JP"/>
        </w:rPr>
        <w:t xml:space="preserve"> </w:t>
      </w:r>
      <w:r>
        <w:rPr>
          <w:lang w:eastAsia="ja-JP"/>
        </w:rPr>
        <w:t>and</w:t>
      </w:r>
    </w:p>
    <w:p w14:paraId="587D7B34" w14:textId="3F06CD72" w:rsidR="009737BD" w:rsidRDefault="009737BD" w:rsidP="008C6AD5">
      <w:pPr>
        <w:numPr>
          <w:ilvl w:val="0"/>
          <w:numId w:val="12"/>
        </w:numPr>
        <w:rPr>
          <w:lang w:eastAsia="ja-JP"/>
        </w:rPr>
      </w:pPr>
      <w:r>
        <w:rPr>
          <w:lang w:eastAsia="ja-JP"/>
        </w:rPr>
        <w:t>less likely to seek support from charities and non-government organisations.</w:t>
      </w:r>
    </w:p>
    <w:bookmarkEnd w:id="5"/>
    <w:p w14:paraId="7BC62CC2" w14:textId="5F552C30" w:rsidR="00B6558E" w:rsidRDefault="00A833E2" w:rsidP="00B721E6">
      <w:pPr>
        <w:rPr>
          <w:lang w:val="en-US" w:eastAsia="ja-JP"/>
        </w:rPr>
      </w:pPr>
      <w:r>
        <w:rPr>
          <w:lang w:val="en-US" w:eastAsia="ja-JP"/>
        </w:rPr>
        <w:t>W</w:t>
      </w:r>
      <w:r w:rsidR="009737BD">
        <w:rPr>
          <w:lang w:val="en-US" w:eastAsia="ja-JP"/>
        </w:rPr>
        <w:t xml:space="preserve">aged poor households also face many of the same issues as others in poverty, including struggling to make ends meet, having to go without or delay important household and personal expenditures, and </w:t>
      </w:r>
      <w:r w:rsidR="003B01E7">
        <w:rPr>
          <w:lang w:val="en-US" w:eastAsia="ja-JP"/>
        </w:rPr>
        <w:t xml:space="preserve">having </w:t>
      </w:r>
      <w:r w:rsidR="009737BD">
        <w:rPr>
          <w:lang w:val="en-US" w:eastAsia="ja-JP"/>
        </w:rPr>
        <w:t>difficulties in paying essential bills. These commonalties arise from the shared experience of poverty, but there are also specifics arising from waged-poverty including bigger household size</w:t>
      </w:r>
      <w:r w:rsidR="00016B7E">
        <w:rPr>
          <w:lang w:val="en-US" w:eastAsia="ja-JP"/>
        </w:rPr>
        <w:t>s lead</w:t>
      </w:r>
      <w:r w:rsidR="009737BD">
        <w:rPr>
          <w:lang w:val="en-US" w:eastAsia="ja-JP"/>
        </w:rPr>
        <w:t xml:space="preserve">ing </w:t>
      </w:r>
      <w:r w:rsidR="00016B7E">
        <w:rPr>
          <w:lang w:val="en-US" w:eastAsia="ja-JP"/>
        </w:rPr>
        <w:t xml:space="preserve">to </w:t>
      </w:r>
      <w:r w:rsidR="009737BD">
        <w:rPr>
          <w:lang w:val="en-US" w:eastAsia="ja-JP"/>
        </w:rPr>
        <w:t xml:space="preserve">higher demand for services, significant variations in work hours and </w:t>
      </w:r>
      <w:r w:rsidR="00104E0B">
        <w:rPr>
          <w:lang w:val="en-US" w:eastAsia="ja-JP"/>
        </w:rPr>
        <w:t>income</w:t>
      </w:r>
      <w:r w:rsidR="009737BD">
        <w:rPr>
          <w:lang w:val="en-US" w:eastAsia="ja-JP"/>
        </w:rPr>
        <w:t xml:space="preserve">, and specific </w:t>
      </w:r>
      <w:r w:rsidR="007F7B1C">
        <w:rPr>
          <w:lang w:val="en-US" w:eastAsia="ja-JP"/>
        </w:rPr>
        <w:t>employment</w:t>
      </w:r>
      <w:r w:rsidR="009737BD">
        <w:rPr>
          <w:lang w:val="en-US" w:eastAsia="ja-JP"/>
        </w:rPr>
        <w:t>-related issues.</w:t>
      </w:r>
    </w:p>
    <w:p w14:paraId="0DD5DF0E" w14:textId="38BA45CD" w:rsidR="00C94174" w:rsidRDefault="009737BD" w:rsidP="00B721E6">
      <w:pPr>
        <w:rPr>
          <w:lang w:val="en-US" w:eastAsia="ja-JP"/>
        </w:rPr>
      </w:pPr>
      <w:r>
        <w:rPr>
          <w:lang w:val="en-US" w:eastAsia="ja-JP"/>
        </w:rPr>
        <w:t xml:space="preserve">Against this background, this project sought to </w:t>
      </w:r>
      <w:r w:rsidR="00192EF6">
        <w:rPr>
          <w:lang w:val="en-US" w:eastAsia="ja-JP"/>
        </w:rPr>
        <w:t xml:space="preserve">examine telecommunications usage and affordability issues by conducting a national survey of 500 waged poor households and qualitative interviews in South Australia, Tasmania and the ACT. </w:t>
      </w:r>
    </w:p>
    <w:p w14:paraId="2A7E5577" w14:textId="7F03D1BC" w:rsidR="009C1AD0" w:rsidRDefault="009C1AD0" w:rsidP="009C1AD0">
      <w:pPr>
        <w:pStyle w:val="Heading4"/>
        <w:rPr>
          <w:lang w:val="en-US" w:eastAsia="ja-JP"/>
        </w:rPr>
      </w:pPr>
      <w:r>
        <w:rPr>
          <w:lang w:val="en-US" w:eastAsia="ja-JP"/>
        </w:rPr>
        <w:t>Usage</w:t>
      </w:r>
    </w:p>
    <w:p w14:paraId="11718CA0" w14:textId="0A207D72" w:rsidR="00192EF6" w:rsidRDefault="00192EF6" w:rsidP="00B721E6">
      <w:pPr>
        <w:rPr>
          <w:lang w:val="en-US" w:eastAsia="ja-JP"/>
        </w:rPr>
      </w:pPr>
      <w:r>
        <w:rPr>
          <w:lang w:val="en-US" w:eastAsia="ja-JP"/>
        </w:rPr>
        <w:t xml:space="preserve">The </w:t>
      </w:r>
      <w:r w:rsidR="003B01E7">
        <w:rPr>
          <w:lang w:val="en-US" w:eastAsia="ja-JP"/>
        </w:rPr>
        <w:t xml:space="preserve">survey </w:t>
      </w:r>
      <w:r>
        <w:rPr>
          <w:lang w:val="en-US" w:eastAsia="ja-JP"/>
        </w:rPr>
        <w:t>data showed</w:t>
      </w:r>
      <w:r w:rsidR="00104E0B">
        <w:rPr>
          <w:lang w:val="en-US" w:eastAsia="ja-JP"/>
        </w:rPr>
        <w:t xml:space="preserve"> waged poor households have broadly similar patterns of internet activity as average households (banking, bill-paying, social networking the most common uses), with slightly lower levels of entertainment usage among waged poor households.</w:t>
      </w:r>
      <w:r>
        <w:rPr>
          <w:lang w:val="en-US" w:eastAsia="ja-JP"/>
        </w:rPr>
        <w:t xml:space="preserve"> </w:t>
      </w:r>
      <w:r w:rsidR="00104E0B">
        <w:rPr>
          <w:lang w:val="en-US" w:eastAsia="ja-JP"/>
        </w:rPr>
        <w:t xml:space="preserve">Survey respondents also had </w:t>
      </w:r>
      <w:r>
        <w:rPr>
          <w:lang w:val="en-US" w:eastAsia="ja-JP"/>
        </w:rPr>
        <w:t>high levels of phone and internet use, with 87% having smart phones and 73% having NBN</w:t>
      </w:r>
      <w:r w:rsidR="003B01E7">
        <w:rPr>
          <w:lang w:val="en-US" w:eastAsia="ja-JP"/>
        </w:rPr>
        <w:t xml:space="preserve"> – although renters had</w:t>
      </w:r>
      <w:r w:rsidR="00274806">
        <w:rPr>
          <w:lang w:val="en-US" w:eastAsia="ja-JP"/>
        </w:rPr>
        <w:t xml:space="preserve"> slightly fewer landlines and NBN connections</w:t>
      </w:r>
      <w:r>
        <w:rPr>
          <w:lang w:val="en-US" w:eastAsia="ja-JP"/>
        </w:rPr>
        <w:t xml:space="preserve">. </w:t>
      </w:r>
      <w:r w:rsidR="00274806">
        <w:rPr>
          <w:lang w:val="en-US" w:eastAsia="ja-JP"/>
        </w:rPr>
        <w:t>T</w:t>
      </w:r>
      <w:r>
        <w:rPr>
          <w:lang w:val="en-US" w:eastAsia="ja-JP"/>
        </w:rPr>
        <w:t xml:space="preserve">here was </w:t>
      </w:r>
      <w:r w:rsidR="00274806">
        <w:rPr>
          <w:lang w:val="en-US" w:eastAsia="ja-JP"/>
        </w:rPr>
        <w:t>a</w:t>
      </w:r>
      <w:r w:rsidR="00106440">
        <w:rPr>
          <w:lang w:val="en-US" w:eastAsia="ja-JP"/>
        </w:rPr>
        <w:t>lso</w:t>
      </w:r>
      <w:r>
        <w:rPr>
          <w:lang w:val="en-US" w:eastAsia="ja-JP"/>
        </w:rPr>
        <w:t xml:space="preserve"> substantial </w:t>
      </w:r>
      <w:r w:rsidR="004E1BB9">
        <w:rPr>
          <w:lang w:val="en-US" w:eastAsia="ja-JP"/>
        </w:rPr>
        <w:t>use</w:t>
      </w:r>
      <w:r w:rsidR="00274806">
        <w:rPr>
          <w:lang w:val="en-US" w:eastAsia="ja-JP"/>
        </w:rPr>
        <w:t xml:space="preserve"> </w:t>
      </w:r>
      <w:r>
        <w:rPr>
          <w:lang w:val="en-US" w:eastAsia="ja-JP"/>
        </w:rPr>
        <w:t>of streaming services</w:t>
      </w:r>
      <w:r w:rsidR="00274806">
        <w:rPr>
          <w:lang w:val="en-US" w:eastAsia="ja-JP"/>
        </w:rPr>
        <w:t xml:space="preserve"> </w:t>
      </w:r>
      <w:r>
        <w:rPr>
          <w:lang w:val="en-US" w:eastAsia="ja-JP"/>
        </w:rPr>
        <w:t xml:space="preserve">like Netflix (in part a reflection of the numbers </w:t>
      </w:r>
      <w:r w:rsidR="00274806">
        <w:rPr>
          <w:lang w:val="en-US" w:eastAsia="ja-JP"/>
        </w:rPr>
        <w:t>of households with children or young adults).</w:t>
      </w:r>
    </w:p>
    <w:p w14:paraId="3B8E59AA" w14:textId="11988F1F" w:rsidR="00274806" w:rsidRDefault="00274806" w:rsidP="00274806">
      <w:r>
        <w:rPr>
          <w:lang w:val="en-US" w:eastAsia="ja-JP"/>
        </w:rPr>
        <w:t>The</w:t>
      </w:r>
      <w:r w:rsidRPr="00914743">
        <w:rPr>
          <w:lang w:eastAsia="en-AU"/>
        </w:rPr>
        <w:t xml:space="preserve"> top 3 places </w:t>
      </w:r>
      <w:r>
        <w:rPr>
          <w:lang w:eastAsia="en-AU"/>
        </w:rPr>
        <w:t xml:space="preserve">survey </w:t>
      </w:r>
      <w:r w:rsidRPr="00914743">
        <w:rPr>
          <w:lang w:eastAsia="en-AU"/>
        </w:rPr>
        <w:t>respondents accessed the internet were via</w:t>
      </w:r>
      <w:r>
        <w:rPr>
          <w:lang w:eastAsia="en-AU"/>
        </w:rPr>
        <w:t xml:space="preserve"> t</w:t>
      </w:r>
      <w:r w:rsidRPr="00914743">
        <w:t>heir mobile phone (53%)</w:t>
      </w:r>
      <w:r>
        <w:t>, b</w:t>
      </w:r>
      <w:r w:rsidRPr="00914743">
        <w:t>roadband at home (79%)</w:t>
      </w:r>
      <w:r>
        <w:t>,</w:t>
      </w:r>
      <w:r w:rsidRPr="00914743">
        <w:t xml:space="preserve"> and</w:t>
      </w:r>
      <w:r>
        <w:t xml:space="preserve"> through p</w:t>
      </w:r>
      <w:r w:rsidRPr="00914743">
        <w:t xml:space="preserve">ublic </w:t>
      </w:r>
      <w:r w:rsidR="00FD3792">
        <w:t>WiFi</w:t>
      </w:r>
      <w:r w:rsidRPr="00914743">
        <w:t xml:space="preserve"> (25%)</w:t>
      </w:r>
      <w:r>
        <w:t xml:space="preserve">. </w:t>
      </w:r>
      <w:r w:rsidR="00185DB8">
        <w:t>However, many i</w:t>
      </w:r>
      <w:r>
        <w:t>n</w:t>
      </w:r>
      <w:r w:rsidR="00106440">
        <w:t>terviewees</w:t>
      </w:r>
      <w:r>
        <w:t xml:space="preserve"> found public </w:t>
      </w:r>
      <w:r w:rsidR="00FD3792">
        <w:t>WiFi</w:t>
      </w:r>
      <w:r>
        <w:t xml:space="preserve"> to be </w:t>
      </w:r>
      <w:r>
        <w:rPr>
          <w:lang w:eastAsia="en-AU"/>
        </w:rPr>
        <w:t>slow, unreliable</w:t>
      </w:r>
      <w:r w:rsidR="00185DB8">
        <w:rPr>
          <w:lang w:eastAsia="en-AU"/>
        </w:rPr>
        <w:t xml:space="preserve"> </w:t>
      </w:r>
      <w:r>
        <w:rPr>
          <w:lang w:eastAsia="en-AU"/>
        </w:rPr>
        <w:t>or difficult to access, and other</w:t>
      </w:r>
      <w:r w:rsidR="00185DB8">
        <w:rPr>
          <w:lang w:eastAsia="en-AU"/>
        </w:rPr>
        <w:t>s</w:t>
      </w:r>
      <w:r>
        <w:rPr>
          <w:lang w:eastAsia="en-AU"/>
        </w:rPr>
        <w:t xml:space="preserve"> refused to use it because of privacy and security concerns. </w:t>
      </w:r>
      <w:r w:rsidR="00185DB8">
        <w:rPr>
          <w:lang w:eastAsia="en-AU"/>
        </w:rPr>
        <w:t>That said,</w:t>
      </w:r>
      <w:r w:rsidR="003C3428">
        <w:rPr>
          <w:lang w:eastAsia="en-AU"/>
        </w:rPr>
        <w:t xml:space="preserve"> </w:t>
      </w:r>
      <w:r w:rsidR="00016B7E">
        <w:rPr>
          <w:lang w:eastAsia="en-AU"/>
        </w:rPr>
        <w:t xml:space="preserve">when noting these problems </w:t>
      </w:r>
      <w:r w:rsidR="003C3428">
        <w:rPr>
          <w:lang w:eastAsia="en-AU"/>
        </w:rPr>
        <w:t xml:space="preserve">most interviewees were </w:t>
      </w:r>
      <w:r w:rsidR="003C3428">
        <w:rPr>
          <w:lang w:eastAsia="en-AU"/>
        </w:rPr>
        <w:lastRenderedPageBreak/>
        <w:t xml:space="preserve">referring to corporate sources </w:t>
      </w:r>
      <w:r w:rsidR="00185DB8">
        <w:rPr>
          <w:lang w:eastAsia="en-AU"/>
        </w:rPr>
        <w:t>(e.g.</w:t>
      </w:r>
      <w:r w:rsidR="003C3428">
        <w:rPr>
          <w:lang w:eastAsia="en-AU"/>
        </w:rPr>
        <w:t xml:space="preserve"> at McDonalds or Westfield</w:t>
      </w:r>
      <w:r w:rsidR="00185DB8">
        <w:rPr>
          <w:lang w:eastAsia="en-AU"/>
        </w:rPr>
        <w:t>)</w:t>
      </w:r>
      <w:r w:rsidR="003C3428">
        <w:rPr>
          <w:lang w:eastAsia="en-AU"/>
        </w:rPr>
        <w:t xml:space="preserve">. Those who had experience of the Canberra Free Public </w:t>
      </w:r>
      <w:r w:rsidR="00FD3792">
        <w:rPr>
          <w:lang w:eastAsia="en-AU"/>
        </w:rPr>
        <w:t>WiFi</w:t>
      </w:r>
      <w:r w:rsidR="003C3428">
        <w:rPr>
          <w:lang w:eastAsia="en-AU"/>
        </w:rPr>
        <w:t xml:space="preserve"> found it more reliable, and a number of participants also accessed </w:t>
      </w:r>
      <w:r w:rsidR="00FD3792">
        <w:rPr>
          <w:lang w:eastAsia="en-AU"/>
        </w:rPr>
        <w:t>WiFi</w:t>
      </w:r>
      <w:r w:rsidR="003C3428">
        <w:rPr>
          <w:lang w:eastAsia="en-AU"/>
        </w:rPr>
        <w:t xml:space="preserve"> through public libraries</w:t>
      </w:r>
      <w:r w:rsidR="00185DB8">
        <w:rPr>
          <w:lang w:eastAsia="en-AU"/>
        </w:rPr>
        <w:t xml:space="preserve"> (which also provided vital </w:t>
      </w:r>
      <w:r w:rsidR="003C3428">
        <w:rPr>
          <w:lang w:eastAsia="en-AU"/>
        </w:rPr>
        <w:t xml:space="preserve">access to computers and printers that were not otherwise available to the waged poor </w:t>
      </w:r>
      <w:r w:rsidR="00106440">
        <w:rPr>
          <w:lang w:eastAsia="en-AU"/>
        </w:rPr>
        <w:t>households</w:t>
      </w:r>
      <w:r w:rsidR="00185DB8">
        <w:rPr>
          <w:lang w:eastAsia="en-AU"/>
        </w:rPr>
        <w:t>)</w:t>
      </w:r>
      <w:r w:rsidR="003C3428">
        <w:rPr>
          <w:lang w:eastAsia="en-AU"/>
        </w:rPr>
        <w:t>.</w:t>
      </w:r>
    </w:p>
    <w:p w14:paraId="2EED2E98" w14:textId="3382C0C9" w:rsidR="00274806" w:rsidRDefault="003C3428" w:rsidP="00B721E6">
      <w:pPr>
        <w:rPr>
          <w:lang w:eastAsia="en-AU"/>
        </w:rPr>
      </w:pPr>
      <w:r>
        <w:rPr>
          <w:lang w:val="en-US" w:eastAsia="ja-JP"/>
        </w:rPr>
        <w:t xml:space="preserve">However, the biggest usage issues were around work and school. </w:t>
      </w:r>
      <w:r>
        <w:rPr>
          <w:lang w:eastAsia="en-AU"/>
        </w:rPr>
        <w:t xml:space="preserve">70% of respondents who were </w:t>
      </w:r>
      <w:r w:rsidR="00185DB8">
        <w:rPr>
          <w:lang w:eastAsia="en-AU"/>
        </w:rPr>
        <w:t>employed</w:t>
      </w:r>
      <w:r>
        <w:rPr>
          <w:lang w:eastAsia="en-AU"/>
        </w:rPr>
        <w:t xml:space="preserve"> used their personal telecommunications devices and service</w:t>
      </w:r>
      <w:r w:rsidR="00164F90">
        <w:rPr>
          <w:lang w:eastAsia="en-AU"/>
        </w:rPr>
        <w:t>s</w:t>
      </w:r>
      <w:r>
        <w:rPr>
          <w:lang w:eastAsia="en-AU"/>
        </w:rPr>
        <w:t xml:space="preserve"> for work</w:t>
      </w:r>
      <w:r w:rsidR="00164F90">
        <w:rPr>
          <w:lang w:eastAsia="en-AU"/>
        </w:rPr>
        <w:t xml:space="preserve">. Several respondents </w:t>
      </w:r>
      <w:r w:rsidR="00185DB8">
        <w:rPr>
          <w:lang w:eastAsia="en-AU"/>
        </w:rPr>
        <w:t xml:space="preserve">used their phone or internet to </w:t>
      </w:r>
      <w:r w:rsidR="00164F90">
        <w:rPr>
          <w:lang w:eastAsia="en-AU"/>
        </w:rPr>
        <w:t>check</w:t>
      </w:r>
      <w:r w:rsidR="00185DB8">
        <w:rPr>
          <w:lang w:eastAsia="en-AU"/>
        </w:rPr>
        <w:t xml:space="preserve"> </w:t>
      </w:r>
      <w:r w:rsidR="00164F90">
        <w:rPr>
          <w:lang w:eastAsia="en-AU"/>
        </w:rPr>
        <w:t xml:space="preserve">rosters or </w:t>
      </w:r>
      <w:r w:rsidR="00185DB8">
        <w:rPr>
          <w:lang w:eastAsia="en-AU"/>
        </w:rPr>
        <w:t>get</w:t>
      </w:r>
      <w:r w:rsidR="00164F90">
        <w:rPr>
          <w:lang w:eastAsia="en-AU"/>
        </w:rPr>
        <w:t xml:space="preserve"> advised </w:t>
      </w:r>
      <w:r w:rsidR="00185DB8">
        <w:rPr>
          <w:lang w:eastAsia="en-AU"/>
        </w:rPr>
        <w:t>of</w:t>
      </w:r>
      <w:r w:rsidR="00164F90">
        <w:rPr>
          <w:lang w:eastAsia="en-AU"/>
        </w:rPr>
        <w:t xml:space="preserve"> shifts, for others </w:t>
      </w:r>
      <w:r w:rsidR="00185DB8">
        <w:rPr>
          <w:lang w:eastAsia="en-AU"/>
        </w:rPr>
        <w:t>their telecommunications services</w:t>
      </w:r>
      <w:r w:rsidR="00164F90">
        <w:rPr>
          <w:lang w:eastAsia="en-AU"/>
        </w:rPr>
        <w:t xml:space="preserve"> </w:t>
      </w:r>
      <w:r w:rsidR="00164F90" w:rsidRPr="00674863">
        <w:rPr>
          <w:lang w:eastAsia="en-AU"/>
        </w:rPr>
        <w:t>enabled</w:t>
      </w:r>
      <w:r w:rsidR="00164F90">
        <w:rPr>
          <w:lang w:eastAsia="en-AU"/>
        </w:rPr>
        <w:t xml:space="preserve"> work </w:t>
      </w:r>
      <w:r w:rsidR="00CE6974">
        <w:rPr>
          <w:lang w:eastAsia="en-AU"/>
        </w:rPr>
        <w:t>in</w:t>
      </w:r>
      <w:r w:rsidR="00164F90">
        <w:rPr>
          <w:lang w:eastAsia="en-AU"/>
        </w:rPr>
        <w:t xml:space="preserve"> </w:t>
      </w:r>
      <w:r w:rsidR="00185DB8">
        <w:rPr>
          <w:lang w:eastAsia="en-AU"/>
        </w:rPr>
        <w:t>contacting customers</w:t>
      </w:r>
      <w:r w:rsidR="00164F90">
        <w:rPr>
          <w:lang w:eastAsia="en-AU"/>
        </w:rPr>
        <w:t>, navigat</w:t>
      </w:r>
      <w:r w:rsidR="00185DB8">
        <w:rPr>
          <w:lang w:eastAsia="en-AU"/>
        </w:rPr>
        <w:t>ing</w:t>
      </w:r>
      <w:r w:rsidR="00164F90">
        <w:rPr>
          <w:lang w:eastAsia="en-AU"/>
        </w:rPr>
        <w:t xml:space="preserve"> to different sites or trouble-sho</w:t>
      </w:r>
      <w:r w:rsidR="00185DB8">
        <w:rPr>
          <w:lang w:eastAsia="en-AU"/>
        </w:rPr>
        <w:t>o</w:t>
      </w:r>
      <w:r w:rsidR="00164F90">
        <w:rPr>
          <w:lang w:eastAsia="en-AU"/>
        </w:rPr>
        <w:t>t</w:t>
      </w:r>
      <w:r w:rsidR="00185DB8">
        <w:rPr>
          <w:lang w:eastAsia="en-AU"/>
        </w:rPr>
        <w:t>ing</w:t>
      </w:r>
      <w:r w:rsidR="00164F90">
        <w:rPr>
          <w:lang w:eastAsia="en-AU"/>
        </w:rPr>
        <w:t xml:space="preserve"> urgent issues – although in these cases it was not a big part of their work. By contrast, for others their personal phone or internet service was a primary tool of their trade </w:t>
      </w:r>
      <w:r w:rsidR="00185DB8">
        <w:rPr>
          <w:lang w:eastAsia="en-AU"/>
        </w:rPr>
        <w:t>and</w:t>
      </w:r>
      <w:r w:rsidR="00164F90">
        <w:rPr>
          <w:lang w:eastAsia="en-AU"/>
        </w:rPr>
        <w:t xml:space="preserve"> in some cases</w:t>
      </w:r>
      <w:r w:rsidR="00D07EDF">
        <w:rPr>
          <w:lang w:eastAsia="en-AU"/>
        </w:rPr>
        <w:t>,</w:t>
      </w:r>
      <w:r w:rsidR="00164F90">
        <w:rPr>
          <w:lang w:eastAsia="en-AU"/>
        </w:rPr>
        <w:t xml:space="preserve"> </w:t>
      </w:r>
      <w:r w:rsidR="003108A9">
        <w:rPr>
          <w:lang w:eastAsia="en-AU"/>
        </w:rPr>
        <w:t>it</w:t>
      </w:r>
      <w:r w:rsidR="00164F90">
        <w:rPr>
          <w:lang w:eastAsia="en-AU"/>
        </w:rPr>
        <w:t xml:space="preserve"> was a core part of the </w:t>
      </w:r>
      <w:r w:rsidR="00674863">
        <w:rPr>
          <w:lang w:eastAsia="en-AU"/>
        </w:rPr>
        <w:t xml:space="preserve">employers’ </w:t>
      </w:r>
      <w:r w:rsidR="00164F90">
        <w:rPr>
          <w:lang w:eastAsia="en-AU"/>
        </w:rPr>
        <w:t xml:space="preserve">business model. </w:t>
      </w:r>
    </w:p>
    <w:p w14:paraId="5D64964B" w14:textId="4A0D557F" w:rsidR="00164F90" w:rsidRDefault="00164F90" w:rsidP="00B721E6">
      <w:pPr>
        <w:rPr>
          <w:lang w:eastAsia="en-AU"/>
        </w:rPr>
      </w:pPr>
      <w:r>
        <w:rPr>
          <w:lang w:eastAsia="en-AU"/>
        </w:rPr>
        <w:t xml:space="preserve">While digital connection for children is a concern for many parents, it is particularly important for waged poor households because of the </w:t>
      </w:r>
      <w:r w:rsidR="009C0FD4">
        <w:rPr>
          <w:lang w:eastAsia="en-AU"/>
        </w:rPr>
        <w:t xml:space="preserve">prevalence of </w:t>
      </w:r>
      <w:r>
        <w:rPr>
          <w:lang w:eastAsia="en-AU"/>
        </w:rPr>
        <w:t xml:space="preserve">family formation </w:t>
      </w:r>
      <w:r w:rsidR="009C0FD4">
        <w:rPr>
          <w:lang w:eastAsia="en-AU"/>
        </w:rPr>
        <w:t>households</w:t>
      </w:r>
      <w:r>
        <w:rPr>
          <w:lang w:eastAsia="en-AU"/>
        </w:rPr>
        <w:t xml:space="preserve"> </w:t>
      </w:r>
      <w:r w:rsidR="008C6AD5">
        <w:rPr>
          <w:lang w:eastAsia="en-AU"/>
        </w:rPr>
        <w:t xml:space="preserve">(younger households with children) </w:t>
      </w:r>
      <w:r>
        <w:rPr>
          <w:lang w:eastAsia="en-AU"/>
        </w:rPr>
        <w:t xml:space="preserve">and because they may lack the money to provide good home connection. </w:t>
      </w:r>
      <w:r w:rsidR="009C1AD0">
        <w:rPr>
          <w:lang w:eastAsia="en-AU"/>
        </w:rPr>
        <w:t xml:space="preserve">While public programs like the ACT government’s provision of Chromebooks were seen as important, there were holes in that program and similar programs did not exist elsewhere. The issues of home internet connections for children became </w:t>
      </w:r>
      <w:r w:rsidR="009C0FD4">
        <w:rPr>
          <w:lang w:eastAsia="en-AU"/>
        </w:rPr>
        <w:t>particularly</w:t>
      </w:r>
      <w:r w:rsidR="009C1AD0">
        <w:rPr>
          <w:lang w:eastAsia="en-AU"/>
        </w:rPr>
        <w:t xml:space="preserve"> important with the COVID-19 school shutdowns.</w:t>
      </w:r>
    </w:p>
    <w:p w14:paraId="07B96D46" w14:textId="1E6EB619" w:rsidR="009C1AD0" w:rsidRDefault="009C1AD0" w:rsidP="009C1AD0">
      <w:pPr>
        <w:pStyle w:val="Heading4"/>
        <w:rPr>
          <w:lang w:val="en-US" w:eastAsia="ja-JP"/>
        </w:rPr>
      </w:pPr>
      <w:r>
        <w:rPr>
          <w:lang w:val="en-US" w:eastAsia="ja-JP"/>
        </w:rPr>
        <w:t>Affordability</w:t>
      </w:r>
    </w:p>
    <w:p w14:paraId="3EDAC7C2" w14:textId="4FB90680" w:rsidR="006424CD" w:rsidRDefault="009C1AD0" w:rsidP="00881FF8">
      <w:pPr>
        <w:rPr>
          <w:lang w:eastAsia="en-AU"/>
        </w:rPr>
      </w:pPr>
      <w:r>
        <w:rPr>
          <w:lang w:eastAsia="en-AU"/>
        </w:rPr>
        <w:t>Telecommunications bills were rated as a major household expenditure by the majority of wage</w:t>
      </w:r>
      <w:r w:rsidR="006424CD">
        <w:rPr>
          <w:lang w:eastAsia="en-AU"/>
        </w:rPr>
        <w:t>d</w:t>
      </w:r>
      <w:r>
        <w:rPr>
          <w:lang w:eastAsia="en-AU"/>
        </w:rPr>
        <w:t xml:space="preserve"> poor households, alongside food/groceries, energy, housing, and transport</w:t>
      </w:r>
      <w:r w:rsidR="005B19D2">
        <w:rPr>
          <w:lang w:eastAsia="en-AU"/>
        </w:rPr>
        <w:t xml:space="preserve">. Given </w:t>
      </w:r>
      <w:r w:rsidR="00881FF8">
        <w:rPr>
          <w:lang w:val="en-US" w:eastAsia="ja-JP"/>
        </w:rPr>
        <w:t>low income</w:t>
      </w:r>
      <w:r w:rsidR="005B19D2">
        <w:rPr>
          <w:lang w:val="en-US" w:eastAsia="ja-JP"/>
        </w:rPr>
        <w:t>s,</w:t>
      </w:r>
      <w:r w:rsidR="00881FF8">
        <w:rPr>
          <w:lang w:val="en-US" w:eastAsia="ja-JP"/>
        </w:rPr>
        <w:t xml:space="preserve"> it is not surprising that half of </w:t>
      </w:r>
      <w:r w:rsidR="006424CD">
        <w:rPr>
          <w:lang w:val="en-US" w:eastAsia="ja-JP"/>
        </w:rPr>
        <w:t>the households</w:t>
      </w:r>
      <w:r w:rsidR="00881FF8">
        <w:rPr>
          <w:lang w:val="en-US" w:eastAsia="ja-JP"/>
        </w:rPr>
        <w:t xml:space="preserve"> with smart </w:t>
      </w:r>
      <w:r w:rsidR="00881FF8" w:rsidRPr="005F2584">
        <w:rPr>
          <w:lang w:eastAsia="en-AU"/>
        </w:rPr>
        <w:t>phones and 46% with NBN or other home broadband</w:t>
      </w:r>
      <w:r w:rsidR="005B19D2">
        <w:rPr>
          <w:lang w:eastAsia="en-AU"/>
        </w:rPr>
        <w:t xml:space="preserve"> reported </w:t>
      </w:r>
      <w:r w:rsidR="00881FF8" w:rsidRPr="005F2584">
        <w:rPr>
          <w:lang w:eastAsia="en-AU"/>
        </w:rPr>
        <w:t>ha</w:t>
      </w:r>
      <w:r w:rsidR="005B19D2">
        <w:rPr>
          <w:lang w:eastAsia="en-AU"/>
        </w:rPr>
        <w:t>ving</w:t>
      </w:r>
      <w:r w:rsidR="00881FF8" w:rsidRPr="005F2584">
        <w:rPr>
          <w:lang w:eastAsia="en-AU"/>
        </w:rPr>
        <w:t xml:space="preserve"> trouble paying for the ongoing costs of those services</w:t>
      </w:r>
      <w:r w:rsidR="005B19D2">
        <w:rPr>
          <w:lang w:eastAsia="en-AU"/>
        </w:rPr>
        <w:t xml:space="preserve"> </w:t>
      </w:r>
      <w:r w:rsidR="005B19D2" w:rsidRPr="005F2584">
        <w:rPr>
          <w:lang w:eastAsia="en-AU"/>
        </w:rPr>
        <w:t>“sometimes, usually or always”</w:t>
      </w:r>
      <w:r w:rsidR="00881FF8" w:rsidRPr="005F2584">
        <w:rPr>
          <w:lang w:eastAsia="en-AU"/>
        </w:rPr>
        <w:t xml:space="preserve">. </w:t>
      </w:r>
      <w:r w:rsidR="00881FF8">
        <w:rPr>
          <w:lang w:eastAsia="en-AU"/>
        </w:rPr>
        <w:t xml:space="preserve">Around a third of these usually or always had trouble paying. </w:t>
      </w:r>
    </w:p>
    <w:p w14:paraId="44B9B4B6" w14:textId="4A23EC09" w:rsidR="00881FF8" w:rsidRDefault="006424CD" w:rsidP="00881FF8">
      <w:pPr>
        <w:rPr>
          <w:lang w:eastAsia="en-AU"/>
        </w:rPr>
      </w:pPr>
      <w:r>
        <w:rPr>
          <w:lang w:eastAsia="en-AU"/>
        </w:rPr>
        <w:t>E</w:t>
      </w:r>
      <w:r w:rsidR="00881FF8">
        <w:rPr>
          <w:lang w:eastAsia="en-AU"/>
        </w:rPr>
        <w:t xml:space="preserve">ven </w:t>
      </w:r>
      <w:r>
        <w:rPr>
          <w:lang w:eastAsia="en-AU"/>
        </w:rPr>
        <w:t xml:space="preserve">where respondents said they did not have trouble </w:t>
      </w:r>
      <w:r w:rsidR="00881FF8">
        <w:rPr>
          <w:lang w:eastAsia="en-AU"/>
        </w:rPr>
        <w:t xml:space="preserve">paying, it did not necessarily mean telecommunications </w:t>
      </w:r>
      <w:r>
        <w:rPr>
          <w:lang w:eastAsia="en-AU"/>
        </w:rPr>
        <w:t xml:space="preserve">were </w:t>
      </w:r>
      <w:r w:rsidR="00881FF8">
        <w:rPr>
          <w:lang w:eastAsia="en-AU"/>
        </w:rPr>
        <w:t>affordable. For some, the regular monthly cycle and fixed amount made it easier to pay (</w:t>
      </w:r>
      <w:r w:rsidR="00F7466B">
        <w:rPr>
          <w:lang w:eastAsia="en-AU"/>
        </w:rPr>
        <w:t>by comparison to</w:t>
      </w:r>
      <w:r w:rsidR="00881FF8">
        <w:rPr>
          <w:lang w:eastAsia="en-AU"/>
        </w:rPr>
        <w:t xml:space="preserve"> lumpy and “surprising” energy bills)</w:t>
      </w:r>
      <w:r w:rsidR="00F7466B">
        <w:rPr>
          <w:lang w:eastAsia="en-AU"/>
        </w:rPr>
        <w:t>. F</w:t>
      </w:r>
      <w:r w:rsidR="00881FF8">
        <w:rPr>
          <w:lang w:eastAsia="en-AU"/>
        </w:rPr>
        <w:t xml:space="preserve">or others affordability was managed by using pre-paid services which meant </w:t>
      </w:r>
      <w:r>
        <w:rPr>
          <w:lang w:eastAsia="en-AU"/>
        </w:rPr>
        <w:t xml:space="preserve">that </w:t>
      </w:r>
      <w:r w:rsidR="009C0FD4" w:rsidRPr="006010D0">
        <w:rPr>
          <w:lang w:eastAsia="en-AU"/>
        </w:rPr>
        <w:t>rather</w:t>
      </w:r>
      <w:r w:rsidR="006010D0" w:rsidRPr="006010D0">
        <w:rPr>
          <w:lang w:eastAsia="en-AU"/>
        </w:rPr>
        <w:t xml:space="preserve"> than</w:t>
      </w:r>
      <w:r w:rsidR="009C0FD4" w:rsidRPr="006010D0">
        <w:rPr>
          <w:lang w:eastAsia="en-AU"/>
        </w:rPr>
        <w:t xml:space="preserve"> </w:t>
      </w:r>
      <w:r w:rsidR="00881FF8" w:rsidRPr="006010D0">
        <w:rPr>
          <w:lang w:eastAsia="en-AU"/>
        </w:rPr>
        <w:t>hav</w:t>
      </w:r>
      <w:r w:rsidR="009C0FD4" w:rsidRPr="006010D0">
        <w:rPr>
          <w:lang w:eastAsia="en-AU"/>
        </w:rPr>
        <w:t>ing</w:t>
      </w:r>
      <w:r w:rsidR="00881FF8">
        <w:rPr>
          <w:lang w:eastAsia="en-AU"/>
        </w:rPr>
        <w:t xml:space="preserve"> trouble paying – they just </w:t>
      </w:r>
      <w:r w:rsidR="009C0FD4">
        <w:rPr>
          <w:lang w:eastAsia="en-AU"/>
        </w:rPr>
        <w:t>ran out of credit and went without</w:t>
      </w:r>
      <w:r w:rsidR="00881FF8">
        <w:rPr>
          <w:lang w:eastAsia="en-AU"/>
        </w:rPr>
        <w:t xml:space="preserve">. Finally, the ability to pay phone and internet bills was often simply premised on prioritising those bills and going without other things </w:t>
      </w:r>
      <w:r w:rsidR="007C3C31">
        <w:rPr>
          <w:lang w:eastAsia="en-AU"/>
        </w:rPr>
        <w:t>–</w:t>
      </w:r>
      <w:r w:rsidR="00881FF8">
        <w:rPr>
          <w:lang w:eastAsia="en-AU"/>
        </w:rPr>
        <w:t xml:space="preserve"> </w:t>
      </w:r>
      <w:r w:rsidR="007C3C31">
        <w:rPr>
          <w:lang w:eastAsia="en-AU"/>
        </w:rPr>
        <w:t>not exactly a mark of affordability.</w:t>
      </w:r>
    </w:p>
    <w:p w14:paraId="3E230306" w14:textId="083B3931" w:rsidR="00DD0491" w:rsidRDefault="007C3C31" w:rsidP="007C3C31">
      <w:pPr>
        <w:rPr>
          <w:lang w:eastAsia="en-AU"/>
        </w:rPr>
      </w:pPr>
      <w:r>
        <w:rPr>
          <w:lang w:eastAsia="en-AU"/>
        </w:rPr>
        <w:t xml:space="preserve">The affordability issues arising out of usage of personal phone and internet services for </w:t>
      </w:r>
      <w:r w:rsidR="006424CD">
        <w:rPr>
          <w:lang w:eastAsia="en-AU"/>
        </w:rPr>
        <w:t>employment</w:t>
      </w:r>
      <w:r>
        <w:rPr>
          <w:lang w:eastAsia="en-AU"/>
        </w:rPr>
        <w:t xml:space="preserve"> were not straightforward. </w:t>
      </w:r>
      <w:r>
        <w:t>For some, the work usage was minor</w:t>
      </w:r>
      <w:r w:rsidR="006424CD">
        <w:t xml:space="preserve">, </w:t>
      </w:r>
      <w:r>
        <w:t xml:space="preserve">and </w:t>
      </w:r>
      <w:r w:rsidR="006424CD">
        <w:t>e</w:t>
      </w:r>
      <w:r>
        <w:t xml:space="preserve">ven when </w:t>
      </w:r>
      <w:r w:rsidR="006424CD">
        <w:t>it</w:t>
      </w:r>
      <w:r>
        <w:t xml:space="preserve"> was more sustained, </w:t>
      </w:r>
      <w:r w:rsidR="00564DE6">
        <w:t>it did not necessarily increase the actual bill (if the plans were big enough)</w:t>
      </w:r>
      <w:r>
        <w:t>. However</w:t>
      </w:r>
      <w:r w:rsidR="00564DE6">
        <w:t>,</w:t>
      </w:r>
      <w:r>
        <w:rPr>
          <w:lang w:eastAsia="en-AU"/>
        </w:rPr>
        <w:t xml:space="preserve"> those employees were </w:t>
      </w:r>
      <w:r w:rsidR="006424CD">
        <w:rPr>
          <w:lang w:eastAsia="en-AU"/>
        </w:rPr>
        <w:t xml:space="preserve">still </w:t>
      </w:r>
      <w:r>
        <w:rPr>
          <w:lang w:eastAsia="en-AU"/>
        </w:rPr>
        <w:t>assumed or required to have th</w:t>
      </w:r>
      <w:r w:rsidR="00564DE6">
        <w:rPr>
          <w:lang w:eastAsia="en-AU"/>
        </w:rPr>
        <w:t>eir own</w:t>
      </w:r>
      <w:r>
        <w:rPr>
          <w:lang w:eastAsia="en-AU"/>
        </w:rPr>
        <w:t xml:space="preserve"> </w:t>
      </w:r>
      <w:r w:rsidR="00564DE6">
        <w:rPr>
          <w:lang w:eastAsia="en-AU"/>
        </w:rPr>
        <w:t>devices and services</w:t>
      </w:r>
      <w:r>
        <w:rPr>
          <w:lang w:eastAsia="en-AU"/>
        </w:rPr>
        <w:t xml:space="preserve"> and </w:t>
      </w:r>
      <w:r w:rsidR="006424CD">
        <w:rPr>
          <w:lang w:eastAsia="en-AU"/>
        </w:rPr>
        <w:t xml:space="preserve">to </w:t>
      </w:r>
      <w:r>
        <w:rPr>
          <w:lang w:eastAsia="en-AU"/>
        </w:rPr>
        <w:t xml:space="preserve">be able to use </w:t>
      </w:r>
      <w:r w:rsidR="00564DE6">
        <w:rPr>
          <w:lang w:eastAsia="en-AU"/>
        </w:rPr>
        <w:t>them</w:t>
      </w:r>
      <w:r>
        <w:rPr>
          <w:lang w:eastAsia="en-AU"/>
        </w:rPr>
        <w:t xml:space="preserve"> for work</w:t>
      </w:r>
      <w:r w:rsidR="008D4D69">
        <w:rPr>
          <w:lang w:eastAsia="en-AU"/>
        </w:rPr>
        <w:t xml:space="preserve"> – yet none of them were </w:t>
      </w:r>
      <w:r w:rsidR="009E5D0C">
        <w:rPr>
          <w:lang w:eastAsia="en-AU"/>
        </w:rPr>
        <w:t xml:space="preserve">reimbursed by their employer for </w:t>
      </w:r>
      <w:r w:rsidR="00564DE6">
        <w:rPr>
          <w:lang w:eastAsia="en-AU"/>
        </w:rPr>
        <w:t xml:space="preserve">this </w:t>
      </w:r>
      <w:r w:rsidR="008D4D69">
        <w:rPr>
          <w:lang w:eastAsia="en-AU"/>
        </w:rPr>
        <w:t xml:space="preserve">work </w:t>
      </w:r>
      <w:r w:rsidR="00564DE6">
        <w:rPr>
          <w:lang w:eastAsia="en-AU"/>
        </w:rPr>
        <w:t>usage</w:t>
      </w:r>
      <w:r>
        <w:rPr>
          <w:lang w:eastAsia="en-AU"/>
        </w:rPr>
        <w:t xml:space="preserve">. </w:t>
      </w:r>
    </w:p>
    <w:p w14:paraId="50D1908C" w14:textId="1E6BF36B" w:rsidR="00DD0491" w:rsidRDefault="009E5D0C" w:rsidP="00881FF8">
      <w:r>
        <w:t>While</w:t>
      </w:r>
      <w:r w:rsidR="007C3C31">
        <w:t xml:space="preserve"> it may not be feasible to reimburse for individual instances of calls or data use</w:t>
      </w:r>
      <w:r w:rsidR="00080604">
        <w:t xml:space="preserve">, </w:t>
      </w:r>
      <w:r w:rsidR="007C3C31">
        <w:t>employees should be reimbursed a part of the cost of their telecommunication plans – because it is those plans that enable them to bring their telecommunications capital to work.</w:t>
      </w:r>
      <w:r w:rsidR="00DD0491">
        <w:t xml:space="preserve"> This would be a fairer outcome </w:t>
      </w:r>
      <w:r w:rsidR="00DD0491">
        <w:lastRenderedPageBreak/>
        <w:t xml:space="preserve">than simply allowing for tax deductions which are delayed, don’t cover the whole cost and are not available to a number of </w:t>
      </w:r>
      <w:r w:rsidR="00170969">
        <w:t>waged poor</w:t>
      </w:r>
      <w:r w:rsidR="00DD0491">
        <w:t xml:space="preserve"> households (e.g. because they don’t earn enough to pay tax).</w:t>
      </w:r>
    </w:p>
    <w:p w14:paraId="763AC7A1" w14:textId="1A83F904" w:rsidR="009C1AD0" w:rsidRDefault="007C3C31" w:rsidP="007C3C31">
      <w:pPr>
        <w:pStyle w:val="Heading4"/>
        <w:rPr>
          <w:lang w:val="en-US" w:eastAsia="ja-JP"/>
        </w:rPr>
      </w:pPr>
      <w:r>
        <w:rPr>
          <w:lang w:val="en-US" w:eastAsia="ja-JP"/>
        </w:rPr>
        <w:t>Unmet Demand</w:t>
      </w:r>
    </w:p>
    <w:p w14:paraId="53F4DBA1" w14:textId="7204A19A" w:rsidR="00DD0491" w:rsidRPr="00DD0491" w:rsidRDefault="00DD0491" w:rsidP="00DD0491">
      <w:pPr>
        <w:rPr>
          <w:lang w:val="en-US" w:eastAsia="ja-JP"/>
        </w:rPr>
      </w:pPr>
      <w:r>
        <w:rPr>
          <w:lang w:val="en-US" w:eastAsia="ja-JP"/>
        </w:rPr>
        <w:t xml:space="preserve">The survey data found little unmet demand for new services, with 70% of respondents </w:t>
      </w:r>
      <w:r w:rsidR="006424CD">
        <w:rPr>
          <w:lang w:val="en-US" w:eastAsia="ja-JP"/>
        </w:rPr>
        <w:t xml:space="preserve">not identifying a need for </w:t>
      </w:r>
      <w:r>
        <w:rPr>
          <w:lang w:val="en-US" w:eastAsia="ja-JP"/>
        </w:rPr>
        <w:t>any other services</w:t>
      </w:r>
      <w:r w:rsidR="006424CD">
        <w:rPr>
          <w:lang w:val="en-US" w:eastAsia="ja-JP"/>
        </w:rPr>
        <w:t>.</w:t>
      </w:r>
      <w:r>
        <w:rPr>
          <w:lang w:val="en-US" w:eastAsia="ja-JP"/>
        </w:rPr>
        <w:t xml:space="preserve"> However, there was much more interest in upgrading existing services (including getting more data) if financial circumstances improved. T</w:t>
      </w:r>
      <w:r w:rsidRPr="002875A8">
        <w:rPr>
          <w:lang w:eastAsia="en-AU"/>
        </w:rPr>
        <w:t xml:space="preserve">his suggests that waged poor households are prioritising telecommunications expenditure to ensure they have the </w:t>
      </w:r>
      <w:r w:rsidRPr="00170969">
        <w:rPr>
          <w:lang w:eastAsia="en-AU"/>
        </w:rPr>
        <w:t>basics</w:t>
      </w:r>
      <w:r w:rsidR="00A51720" w:rsidRPr="00170969">
        <w:rPr>
          <w:lang w:eastAsia="en-AU"/>
        </w:rPr>
        <w:t xml:space="preserve"> </w:t>
      </w:r>
      <w:r w:rsidRPr="00170969">
        <w:rPr>
          <w:lang w:eastAsia="en-AU"/>
        </w:rPr>
        <w:t>but</w:t>
      </w:r>
      <w:r w:rsidRPr="002875A8">
        <w:rPr>
          <w:lang w:eastAsia="en-AU"/>
        </w:rPr>
        <w:t xml:space="preserve"> are using sub-par services and devices.</w:t>
      </w:r>
      <w:r>
        <w:rPr>
          <w:lang w:eastAsia="en-AU"/>
        </w:rPr>
        <w:t xml:space="preserve"> </w:t>
      </w:r>
      <w:r w:rsidR="006B4146">
        <w:rPr>
          <w:lang w:eastAsia="en-AU"/>
        </w:rPr>
        <w:t xml:space="preserve">This was also </w:t>
      </w:r>
      <w:r w:rsidR="006424CD">
        <w:rPr>
          <w:lang w:eastAsia="en-AU"/>
        </w:rPr>
        <w:t>evident</w:t>
      </w:r>
      <w:r w:rsidR="006B4146">
        <w:rPr>
          <w:lang w:eastAsia="en-AU"/>
        </w:rPr>
        <w:t xml:space="preserve"> in the qualitative data </w:t>
      </w:r>
      <w:r w:rsidR="006424CD">
        <w:rPr>
          <w:lang w:eastAsia="en-AU"/>
        </w:rPr>
        <w:t xml:space="preserve">where </w:t>
      </w:r>
      <w:r w:rsidR="006B4146">
        <w:rPr>
          <w:lang w:eastAsia="en-AU"/>
        </w:rPr>
        <w:t xml:space="preserve">most interviewees did not identify wanting more services, </w:t>
      </w:r>
      <w:r w:rsidR="006424CD">
        <w:rPr>
          <w:lang w:eastAsia="en-AU"/>
        </w:rPr>
        <w:t xml:space="preserve">but </w:t>
      </w:r>
      <w:r w:rsidR="006B4146">
        <w:rPr>
          <w:lang w:eastAsia="en-AU"/>
        </w:rPr>
        <w:t>a</w:t>
      </w:r>
      <w:r>
        <w:rPr>
          <w:lang w:eastAsia="en-AU"/>
        </w:rPr>
        <w:t xml:space="preserve"> number noted that they were using the cheapest phone </w:t>
      </w:r>
      <w:r w:rsidR="006B4146">
        <w:rPr>
          <w:lang w:eastAsia="en-AU"/>
        </w:rPr>
        <w:t xml:space="preserve">available </w:t>
      </w:r>
      <w:r>
        <w:rPr>
          <w:lang w:eastAsia="en-AU"/>
        </w:rPr>
        <w:t>or old equipment</w:t>
      </w:r>
      <w:r w:rsidR="006B4146">
        <w:rPr>
          <w:lang w:eastAsia="en-AU"/>
        </w:rPr>
        <w:t>.</w:t>
      </w:r>
    </w:p>
    <w:p w14:paraId="7477339A" w14:textId="18076BDE" w:rsidR="009C1AD0" w:rsidRDefault="009C1AD0" w:rsidP="007C3C31">
      <w:pPr>
        <w:pStyle w:val="Heading4"/>
        <w:rPr>
          <w:lang w:val="en-US" w:eastAsia="ja-JP"/>
        </w:rPr>
      </w:pPr>
      <w:r>
        <w:rPr>
          <w:lang w:val="en-US" w:eastAsia="ja-JP"/>
        </w:rPr>
        <w:t>S</w:t>
      </w:r>
      <w:r w:rsidR="006B4146">
        <w:rPr>
          <w:lang w:val="en-US" w:eastAsia="ja-JP"/>
        </w:rPr>
        <w:t>eeking Help</w:t>
      </w:r>
    </w:p>
    <w:p w14:paraId="4C8E413F" w14:textId="77777777" w:rsidR="00070D5F" w:rsidRDefault="006B4146" w:rsidP="006B4146">
      <w:pPr>
        <w:rPr>
          <w:lang w:val="en-US" w:eastAsia="ja-JP"/>
        </w:rPr>
      </w:pPr>
      <w:r>
        <w:rPr>
          <w:lang w:val="en-US" w:eastAsia="ja-JP"/>
        </w:rPr>
        <w:t xml:space="preserve">Against a background of the ABS data showing that waged poor households are unlikely to seek help from charities and </w:t>
      </w:r>
      <w:r w:rsidR="00211A63">
        <w:rPr>
          <w:lang w:val="en-US" w:eastAsia="ja-JP"/>
        </w:rPr>
        <w:t>non-government welfare organisations (NGOs)</w:t>
      </w:r>
      <w:r>
        <w:rPr>
          <w:lang w:val="en-US" w:eastAsia="ja-JP"/>
        </w:rPr>
        <w:t xml:space="preserve">, 46% of survey respondents said that they would approach a service provider if they could not pay their bills, but only 7.2% would go to a charity or NGO. </w:t>
      </w:r>
    </w:p>
    <w:p w14:paraId="3B920147" w14:textId="753BAAAF" w:rsidR="006B4146" w:rsidRDefault="006B4146" w:rsidP="006B4146">
      <w:pPr>
        <w:rPr>
          <w:lang w:eastAsia="en-AU"/>
        </w:rPr>
      </w:pPr>
      <w:r>
        <w:rPr>
          <w:lang w:val="en-US" w:eastAsia="ja-JP"/>
        </w:rPr>
        <w:t xml:space="preserve">For the telecommunications </w:t>
      </w:r>
      <w:r w:rsidR="00475A32">
        <w:rPr>
          <w:lang w:val="en-US" w:eastAsia="ja-JP"/>
        </w:rPr>
        <w:t>companies</w:t>
      </w:r>
      <w:r>
        <w:rPr>
          <w:lang w:val="en-US" w:eastAsia="ja-JP"/>
        </w:rPr>
        <w:t xml:space="preserve">, this means that over </w:t>
      </w:r>
      <w:r>
        <w:rPr>
          <w:lang w:eastAsia="en-AU"/>
        </w:rPr>
        <w:t>half of survey respondents would not approach their retailer – which may be a particular concern given that 19% of respondents said they would cancel the service and 14% said they would avoid or delay payment. Many respondents did not think it was possible to negotiate with a retailer, or that it would be of any use as they would still have to pay the money in the end, while others were put off by the perceived hassles or negative feelings towards the telecommunications companies.</w:t>
      </w:r>
    </w:p>
    <w:p w14:paraId="4710670E" w14:textId="68D9ACF5" w:rsidR="006B4146" w:rsidRDefault="00211A63" w:rsidP="006B4146">
      <w:pPr>
        <w:rPr>
          <w:lang w:eastAsia="en-AU"/>
        </w:rPr>
      </w:pPr>
      <w:r>
        <w:rPr>
          <w:lang w:eastAsia="en-AU"/>
        </w:rPr>
        <w:t xml:space="preserve">That said, </w:t>
      </w:r>
      <w:r w:rsidR="008D4D69">
        <w:rPr>
          <w:lang w:eastAsia="en-AU"/>
        </w:rPr>
        <w:t xml:space="preserve">the </w:t>
      </w:r>
      <w:r w:rsidR="006B4146">
        <w:rPr>
          <w:lang w:eastAsia="en-AU"/>
        </w:rPr>
        <w:t xml:space="preserve">majority of </w:t>
      </w:r>
      <w:r w:rsidR="008D4D69">
        <w:rPr>
          <w:lang w:eastAsia="en-AU"/>
        </w:rPr>
        <w:t>interviewees</w:t>
      </w:r>
      <w:r w:rsidR="006B4146">
        <w:rPr>
          <w:lang w:eastAsia="en-AU"/>
        </w:rPr>
        <w:t xml:space="preserve"> who had approached their retailers found it easy to get an extension and were positive about the experience. </w:t>
      </w:r>
      <w:r w:rsidR="005B19D2">
        <w:rPr>
          <w:lang w:eastAsia="en-AU"/>
        </w:rPr>
        <w:t>W</w:t>
      </w:r>
      <w:r>
        <w:rPr>
          <w:lang w:eastAsia="en-AU"/>
        </w:rPr>
        <w:t xml:space="preserve">hen asked what other assistance retailers could give, a number wanted relief from high prices and one pointed to the need for a concession plan. Another couple </w:t>
      </w:r>
      <w:r w:rsidR="00475A32">
        <w:rPr>
          <w:lang w:eastAsia="en-AU"/>
        </w:rPr>
        <w:t xml:space="preserve">of interviewees </w:t>
      </w:r>
      <w:r>
        <w:rPr>
          <w:lang w:eastAsia="en-AU"/>
        </w:rPr>
        <w:t>highlighted the need for a flexible plan so that they could change the amount they would use and pay in response to</w:t>
      </w:r>
      <w:r w:rsidR="008D4D69">
        <w:rPr>
          <w:lang w:eastAsia="en-AU"/>
        </w:rPr>
        <w:t xml:space="preserve"> variations in</w:t>
      </w:r>
      <w:r>
        <w:rPr>
          <w:lang w:eastAsia="en-AU"/>
        </w:rPr>
        <w:t xml:space="preserve"> their income.</w:t>
      </w:r>
      <w:r w:rsidR="00296D68">
        <w:rPr>
          <w:lang w:eastAsia="en-AU"/>
        </w:rPr>
        <w:t xml:space="preserve"> The Stakeholder Workshop pointed out that many retail plans without </w:t>
      </w:r>
      <w:r w:rsidR="00170969" w:rsidRPr="00170969">
        <w:rPr>
          <w:lang w:eastAsia="en-AU"/>
        </w:rPr>
        <w:t xml:space="preserve">any </w:t>
      </w:r>
      <w:r w:rsidR="00296D68" w:rsidRPr="00170969">
        <w:rPr>
          <w:lang w:eastAsia="en-AU"/>
        </w:rPr>
        <w:t>lock-ins</w:t>
      </w:r>
      <w:r w:rsidR="00296D68">
        <w:rPr>
          <w:lang w:eastAsia="en-AU"/>
        </w:rPr>
        <w:t xml:space="preserve"> now had such flexibility, so the issue is as much about communication of the possibilities as it is about the products on offer.</w:t>
      </w:r>
    </w:p>
    <w:p w14:paraId="5B60FA3F" w14:textId="471B3562" w:rsidR="007F4147" w:rsidRDefault="00211A63" w:rsidP="006B4146">
      <w:pPr>
        <w:rPr>
          <w:lang w:eastAsia="en-AU"/>
        </w:rPr>
      </w:pPr>
      <w:r>
        <w:rPr>
          <w:lang w:eastAsia="en-AU"/>
        </w:rPr>
        <w:t>For charities and NGOs, the low numbers of waged poor people seeking help could be</w:t>
      </w:r>
      <w:r w:rsidR="005242AB">
        <w:rPr>
          <w:lang w:eastAsia="en-AU"/>
        </w:rPr>
        <w:t xml:space="preserve"> partly</w:t>
      </w:r>
      <w:r>
        <w:rPr>
          <w:lang w:eastAsia="en-AU"/>
        </w:rPr>
        <w:t xml:space="preserve"> attributed to a lack of knowledge about where to go and what services were available. This creates quite a challenge for charities and NGOs. Their </w:t>
      </w:r>
      <w:r w:rsidR="007F4147">
        <w:rPr>
          <w:lang w:eastAsia="en-AU"/>
        </w:rPr>
        <w:t xml:space="preserve">current </w:t>
      </w:r>
      <w:r>
        <w:rPr>
          <w:lang w:eastAsia="en-AU"/>
        </w:rPr>
        <w:t xml:space="preserve">outreach and referral models are not reaching waged poor households, and </w:t>
      </w:r>
      <w:r w:rsidR="00ED25C5">
        <w:rPr>
          <w:lang w:eastAsia="en-AU"/>
        </w:rPr>
        <w:t xml:space="preserve">better </w:t>
      </w:r>
      <w:r>
        <w:rPr>
          <w:lang w:eastAsia="en-AU"/>
        </w:rPr>
        <w:t xml:space="preserve">advertising </w:t>
      </w:r>
      <w:r w:rsidR="00ED25C5">
        <w:rPr>
          <w:lang w:eastAsia="en-AU"/>
        </w:rPr>
        <w:t xml:space="preserve">of their </w:t>
      </w:r>
      <w:r>
        <w:rPr>
          <w:lang w:eastAsia="en-AU"/>
        </w:rPr>
        <w:t xml:space="preserve">services </w:t>
      </w:r>
      <w:r w:rsidR="00ED25C5">
        <w:rPr>
          <w:lang w:eastAsia="en-AU"/>
        </w:rPr>
        <w:t>may be</w:t>
      </w:r>
      <w:r>
        <w:rPr>
          <w:lang w:eastAsia="en-AU"/>
        </w:rPr>
        <w:t xml:space="preserve"> constrained by funding arrangements and capacity. But it is not simply about </w:t>
      </w:r>
      <w:r w:rsidR="007F4147">
        <w:rPr>
          <w:lang w:eastAsia="en-AU"/>
        </w:rPr>
        <w:t xml:space="preserve">knowledge and </w:t>
      </w:r>
      <w:r>
        <w:rPr>
          <w:lang w:eastAsia="en-AU"/>
        </w:rPr>
        <w:t>advertising</w:t>
      </w:r>
      <w:r w:rsidR="007F4147">
        <w:rPr>
          <w:lang w:eastAsia="en-AU"/>
        </w:rPr>
        <w:t xml:space="preserve">. In both the survey and interviews people said they would be too ashamed, awkward, embarrassed to go to a charity, while others said they would not because of pride or independence. There were some gender dimensions to the articulation, but charity was clearly not seen as normal </w:t>
      </w:r>
      <w:r w:rsidR="008D4D69">
        <w:rPr>
          <w:lang w:eastAsia="en-AU"/>
        </w:rPr>
        <w:t>or appropriate</w:t>
      </w:r>
      <w:r w:rsidR="007F4147">
        <w:rPr>
          <w:lang w:eastAsia="en-AU"/>
        </w:rPr>
        <w:t xml:space="preserve">. </w:t>
      </w:r>
    </w:p>
    <w:p w14:paraId="30C30854" w14:textId="3D41C5B8" w:rsidR="007F4147" w:rsidRDefault="005242AB" w:rsidP="006B4146">
      <w:pPr>
        <w:rPr>
          <w:lang w:eastAsia="en-AU"/>
        </w:rPr>
      </w:pPr>
      <w:r>
        <w:rPr>
          <w:lang w:eastAsia="en-AU"/>
        </w:rPr>
        <w:t>To overcome these cultural barriers</w:t>
      </w:r>
      <w:r w:rsidR="007F4147">
        <w:rPr>
          <w:lang w:eastAsia="en-AU"/>
        </w:rPr>
        <w:t xml:space="preserve"> the marketing challenge is not just to inform about services offered, but to normalise those services so</w:t>
      </w:r>
      <w:r>
        <w:rPr>
          <w:lang w:eastAsia="en-AU"/>
        </w:rPr>
        <w:t xml:space="preserve"> </w:t>
      </w:r>
      <w:r w:rsidR="007F4147">
        <w:rPr>
          <w:lang w:eastAsia="en-AU"/>
        </w:rPr>
        <w:t xml:space="preserve">waged poor people will think it is ok to go to those service providers. </w:t>
      </w:r>
      <w:r>
        <w:rPr>
          <w:lang w:eastAsia="en-AU"/>
        </w:rPr>
        <w:t xml:space="preserve">Yet </w:t>
      </w:r>
      <w:r w:rsidR="007F4147">
        <w:rPr>
          <w:lang w:eastAsia="en-AU"/>
        </w:rPr>
        <w:t>charities</w:t>
      </w:r>
      <w:r w:rsidR="00475A32">
        <w:rPr>
          <w:lang w:eastAsia="en-AU"/>
        </w:rPr>
        <w:t>’</w:t>
      </w:r>
      <w:r w:rsidR="007F4147">
        <w:rPr>
          <w:lang w:eastAsia="en-AU"/>
        </w:rPr>
        <w:t xml:space="preserve"> own advertising often promotes</w:t>
      </w:r>
      <w:r w:rsidR="0023633F">
        <w:rPr>
          <w:lang w:eastAsia="en-AU"/>
        </w:rPr>
        <w:t xml:space="preserve"> the “otherness” of their services</w:t>
      </w:r>
      <w:r>
        <w:rPr>
          <w:lang w:eastAsia="en-AU"/>
        </w:rPr>
        <w:t xml:space="preserve"> with </w:t>
      </w:r>
      <w:r w:rsidR="0023633F">
        <w:rPr>
          <w:lang w:eastAsia="en-AU"/>
        </w:rPr>
        <w:t xml:space="preserve">images and marketing pitches built around desperate unfortunates – objects of pity, not </w:t>
      </w:r>
      <w:r w:rsidR="0023633F">
        <w:rPr>
          <w:lang w:eastAsia="en-AU"/>
        </w:rPr>
        <w:lastRenderedPageBreak/>
        <w:t xml:space="preserve">ordinary people in tough times. The contrast to the successful marketing of some commercial providers in this area </w:t>
      </w:r>
      <w:r>
        <w:rPr>
          <w:lang w:eastAsia="en-AU"/>
        </w:rPr>
        <w:t>is</w:t>
      </w:r>
      <w:r w:rsidR="0023633F">
        <w:rPr>
          <w:lang w:eastAsia="en-AU"/>
        </w:rPr>
        <w:t xml:space="preserve"> stark and it reinforces the cultural barriers to accepting help from NGOs.</w:t>
      </w:r>
    </w:p>
    <w:p w14:paraId="14C200CA" w14:textId="35A61AFA" w:rsidR="0023633F" w:rsidRDefault="0023633F" w:rsidP="0023633F">
      <w:pPr>
        <w:pStyle w:val="Heading4"/>
        <w:rPr>
          <w:lang w:eastAsia="en-AU"/>
        </w:rPr>
      </w:pPr>
      <w:r>
        <w:rPr>
          <w:lang w:eastAsia="en-AU"/>
        </w:rPr>
        <w:t>Other Issues</w:t>
      </w:r>
    </w:p>
    <w:p w14:paraId="4065B9D1" w14:textId="6E6C5524" w:rsidR="0023633F" w:rsidRDefault="00070D5F" w:rsidP="0023633F">
      <w:pPr>
        <w:rPr>
          <w:lang w:eastAsia="en-AU"/>
        </w:rPr>
      </w:pPr>
      <w:r>
        <w:rPr>
          <w:lang w:eastAsia="en-AU"/>
        </w:rPr>
        <w:t xml:space="preserve">It is important to note that </w:t>
      </w:r>
      <w:r w:rsidR="006455CA">
        <w:rPr>
          <w:lang w:eastAsia="en-AU"/>
        </w:rPr>
        <w:t xml:space="preserve">telecommunications </w:t>
      </w:r>
      <w:r w:rsidR="00475A32">
        <w:rPr>
          <w:lang w:eastAsia="en-AU"/>
        </w:rPr>
        <w:t>issues</w:t>
      </w:r>
      <w:r w:rsidR="006455CA">
        <w:rPr>
          <w:lang w:eastAsia="en-AU"/>
        </w:rPr>
        <w:t xml:space="preserve"> </w:t>
      </w:r>
      <w:r>
        <w:rPr>
          <w:lang w:eastAsia="en-AU"/>
        </w:rPr>
        <w:t xml:space="preserve">for waged (and other) poor households </w:t>
      </w:r>
      <w:r w:rsidR="00475A32">
        <w:rPr>
          <w:lang w:eastAsia="en-AU"/>
        </w:rPr>
        <w:t>are</w:t>
      </w:r>
      <w:r>
        <w:rPr>
          <w:lang w:eastAsia="en-AU"/>
        </w:rPr>
        <w:t xml:space="preserve"> </w:t>
      </w:r>
      <w:r w:rsidR="006455CA">
        <w:rPr>
          <w:lang w:eastAsia="en-AU"/>
        </w:rPr>
        <w:t>not limited only to telecommunications issues. Some of the affordability issues come simply from poverty</w:t>
      </w:r>
      <w:r w:rsidR="00475A32">
        <w:rPr>
          <w:lang w:eastAsia="en-AU"/>
        </w:rPr>
        <w:t>. I</w:t>
      </w:r>
      <w:r w:rsidR="006455CA">
        <w:rPr>
          <w:lang w:eastAsia="en-AU"/>
        </w:rPr>
        <w:t xml:space="preserve">t should not be surprising that households are struggling with telecommunications costs </w:t>
      </w:r>
      <w:r w:rsidR="00475A32">
        <w:rPr>
          <w:lang w:eastAsia="en-AU"/>
        </w:rPr>
        <w:t>when</w:t>
      </w:r>
      <w:r w:rsidR="006455CA">
        <w:rPr>
          <w:lang w:eastAsia="en-AU"/>
        </w:rPr>
        <w:t xml:space="preserve"> their income is inadequate</w:t>
      </w:r>
      <w:r w:rsidR="00475A32">
        <w:rPr>
          <w:lang w:eastAsia="en-AU"/>
        </w:rPr>
        <w:t>. Th</w:t>
      </w:r>
      <w:r w:rsidR="006455CA">
        <w:rPr>
          <w:lang w:eastAsia="en-AU"/>
        </w:rPr>
        <w:t xml:space="preserve">ey are </w:t>
      </w:r>
      <w:r w:rsidR="00475A32">
        <w:rPr>
          <w:lang w:eastAsia="en-AU"/>
        </w:rPr>
        <w:t xml:space="preserve">likely to be </w:t>
      </w:r>
      <w:r w:rsidR="006455CA">
        <w:rPr>
          <w:lang w:eastAsia="en-AU"/>
        </w:rPr>
        <w:t xml:space="preserve">struggling with all costs. Accordingly, addressing income issues in both employment and the income support system is </w:t>
      </w:r>
      <w:r w:rsidR="005242AB">
        <w:rPr>
          <w:lang w:eastAsia="en-AU"/>
        </w:rPr>
        <w:t xml:space="preserve">also </w:t>
      </w:r>
      <w:r w:rsidR="006455CA">
        <w:rPr>
          <w:lang w:eastAsia="en-AU"/>
        </w:rPr>
        <w:t>a</w:t>
      </w:r>
      <w:r>
        <w:rPr>
          <w:lang w:eastAsia="en-AU"/>
        </w:rPr>
        <w:t xml:space="preserve"> </w:t>
      </w:r>
      <w:r w:rsidR="006455CA">
        <w:rPr>
          <w:lang w:eastAsia="en-AU"/>
        </w:rPr>
        <w:t xml:space="preserve">part of ensuring telecommunications affordability – otherwise </w:t>
      </w:r>
      <w:r w:rsidR="005242AB">
        <w:rPr>
          <w:lang w:eastAsia="en-AU"/>
        </w:rPr>
        <w:t>there is a</w:t>
      </w:r>
      <w:r w:rsidR="006455CA">
        <w:rPr>
          <w:lang w:eastAsia="en-AU"/>
        </w:rPr>
        <w:t xml:space="preserve"> risk </w:t>
      </w:r>
      <w:r w:rsidR="005242AB">
        <w:rPr>
          <w:lang w:eastAsia="en-AU"/>
        </w:rPr>
        <w:t xml:space="preserve">of </w:t>
      </w:r>
      <w:r w:rsidR="006455CA" w:rsidRPr="00170969">
        <w:rPr>
          <w:lang w:eastAsia="en-AU"/>
        </w:rPr>
        <w:t>fetishi</w:t>
      </w:r>
      <w:r w:rsidR="00170969" w:rsidRPr="00170969">
        <w:rPr>
          <w:lang w:eastAsia="en-AU"/>
        </w:rPr>
        <w:t>s</w:t>
      </w:r>
      <w:r w:rsidR="006455CA" w:rsidRPr="00170969">
        <w:rPr>
          <w:lang w:eastAsia="en-AU"/>
        </w:rPr>
        <w:t>ing</w:t>
      </w:r>
      <w:r w:rsidR="006455CA">
        <w:rPr>
          <w:lang w:eastAsia="en-AU"/>
        </w:rPr>
        <w:t xml:space="preserve"> a particular expenditure and ignoring the real plight of waged poor households.</w:t>
      </w:r>
    </w:p>
    <w:p w14:paraId="47713DFA" w14:textId="77777777" w:rsidR="006455CA" w:rsidRPr="0023633F" w:rsidRDefault="006455CA" w:rsidP="0023633F">
      <w:pPr>
        <w:rPr>
          <w:lang w:eastAsia="en-AU"/>
        </w:rPr>
      </w:pPr>
    </w:p>
    <w:p w14:paraId="4538B70E" w14:textId="0FA41E50" w:rsidR="0023633F" w:rsidRDefault="0023633F" w:rsidP="006B4146">
      <w:pPr>
        <w:rPr>
          <w:lang w:eastAsia="en-AU"/>
        </w:rPr>
      </w:pPr>
      <w:r>
        <w:rPr>
          <w:lang w:eastAsia="en-AU"/>
        </w:rPr>
        <w:t>Th</w:t>
      </w:r>
      <w:r w:rsidR="005242AB">
        <w:rPr>
          <w:lang w:eastAsia="en-AU"/>
        </w:rPr>
        <w:t xml:space="preserve">is report contains </w:t>
      </w:r>
      <w:r w:rsidR="00ED2247" w:rsidRPr="005151A1">
        <w:rPr>
          <w:lang w:eastAsia="en-AU"/>
        </w:rPr>
        <w:t>10</w:t>
      </w:r>
      <w:r w:rsidR="005242AB">
        <w:rPr>
          <w:lang w:eastAsia="en-AU"/>
        </w:rPr>
        <w:t xml:space="preserve"> recommendations dealing with the issues identified above.</w:t>
      </w:r>
      <w:r>
        <w:rPr>
          <w:lang w:eastAsia="en-AU"/>
        </w:rPr>
        <w:t xml:space="preserve"> </w:t>
      </w:r>
    </w:p>
    <w:p w14:paraId="451CDCFE" w14:textId="66AD7AB8" w:rsidR="00926552" w:rsidRDefault="00C90552" w:rsidP="00DD6F0E">
      <w:pPr>
        <w:pStyle w:val="Heading1"/>
        <w:rPr>
          <w:lang w:val="en-US" w:eastAsia="ja-JP"/>
        </w:rPr>
      </w:pPr>
      <w:bookmarkStart w:id="6" w:name="_Toc42719012"/>
      <w:r>
        <w:rPr>
          <w:lang w:val="en-US" w:eastAsia="ja-JP"/>
        </w:rPr>
        <w:lastRenderedPageBreak/>
        <w:t>Introduction</w:t>
      </w:r>
      <w:bookmarkEnd w:id="6"/>
    </w:p>
    <w:p w14:paraId="7F56DC2E" w14:textId="1DA7543C" w:rsidR="00F14089" w:rsidRDefault="00F14089" w:rsidP="00F14089">
      <w:r>
        <w:t>Against a backdrop of increasing usage of telecommunications (both devices and data) and the increased necessity of being “online” to access information and service</w:t>
      </w:r>
      <w:r w:rsidR="006C730F">
        <w:t>s</w:t>
      </w:r>
      <w:r>
        <w:t xml:space="preserve"> and to participate in society, the affordability of telecommunications is an ongoing concern – notwithstanding decreasing unit costs for most products. </w:t>
      </w:r>
      <w:r w:rsidR="006C730F">
        <w:t xml:space="preserve">The most recent report from the federal government’s Bureau of Communications and Arts Research showed that telecommunications services accounted for 8.3% of household expenditure for those in the lowest income decile – the fourth largest household expenditure behind rent, groceries and transport </w:t>
      </w:r>
      <w:r w:rsidR="006C730F">
        <w:fldChar w:fldCharType="begin"/>
      </w:r>
      <w:r w:rsidR="008E107E">
        <w:instrText xml:space="preserve"> ADDIN ZOTERO_ITEM CSL_CITATION {"citationID":"KOkgShYP","properties":{"formattedCitation":"(Ogle, 2017)","plainCitation":"(Ogle, 2017)","dontUpdate":true,"noteIndex":0},"citationItems":[{"id":11,"uris":["http://zotero.org/groups/2380274/items/G6ELREG7"],"uri":["http://zotero.org/groups/2380274/items/G6ELREG7"],"itemData":{"id":11,"type":"report","event-place":"Sydney","genre":"Fact Sheet","publisher":"Australian Communications Consumer Action Network","publisher-place":"Sydney","title":"Telecommunications Expenditure in Australia","URL":"https://www.sacoss.org.au/telecommunications-expenditure-australia","author":[{"family":"Ogle","given":"Greg"}],"issued":{"date-parts":[["2017"]]}}}],"schema":"https://github.com/citation-style-language/schema/raw/master/csl-citation.json"} </w:instrText>
      </w:r>
      <w:r w:rsidR="006C730F">
        <w:fldChar w:fldCharType="separate"/>
      </w:r>
      <w:r w:rsidR="006C730F" w:rsidRPr="000A75D1">
        <w:rPr>
          <w:rFonts w:cs="Calibri"/>
        </w:rPr>
        <w:t>(</w:t>
      </w:r>
      <w:r w:rsidR="006C730F">
        <w:rPr>
          <w:rFonts w:cs="Calibri"/>
        </w:rPr>
        <w:t>BCAR</w:t>
      </w:r>
      <w:r w:rsidR="006C730F" w:rsidRPr="000A75D1">
        <w:rPr>
          <w:rFonts w:cs="Calibri"/>
        </w:rPr>
        <w:t>, 201</w:t>
      </w:r>
      <w:r w:rsidR="006C730F">
        <w:rPr>
          <w:rFonts w:cs="Calibri"/>
        </w:rPr>
        <w:t>9</w:t>
      </w:r>
      <w:r w:rsidR="006C730F" w:rsidRPr="000A75D1">
        <w:rPr>
          <w:rFonts w:cs="Calibri"/>
        </w:rPr>
        <w:t>)</w:t>
      </w:r>
      <w:r w:rsidR="006C730F">
        <w:fldChar w:fldCharType="end"/>
      </w:r>
      <w:r w:rsidR="006C730F">
        <w:t>, while a</w:t>
      </w:r>
      <w:r>
        <w:t>ffordability is the only element of the Australian Digital Inclusion Index which has not shown steady improvement over the last 5 years</w:t>
      </w:r>
      <w:r w:rsidR="006C730F">
        <w:t xml:space="preserve"> </w:t>
      </w:r>
      <w:r w:rsidR="00DE244C">
        <w:fldChar w:fldCharType="begin"/>
      </w:r>
      <w:r w:rsidR="008E107E">
        <w:instrText xml:space="preserve"> ADDIN ZOTERO_ITEM CSL_CITATION {"citationID":"nFKNtbpM","properties":{"formattedCitation":"(Thomas et al., 2019)","plainCitation":"(Thomas et al., 2019)","noteIndex":0},"citationItems":[{"id":41,"uris":["http://zotero.org/groups/2380274/items/L56PMGUF"],"uri":["http://zotero.org/groups/2380274/items/L56PMGUF"],"itemData":{"id":41,"type":"report","event-place":"Melbourne","publisher":"RMIT University and Swinburne Institute of Technology, for Telstra","publisher-place":"Melbourne","title":"Measuring Australia's Digital Divide: The Australian Digital Inclusion Index 2019","title-short":"Australian Digital Inclusion Index","author":[{"family":"Thomas","given":"Julian"},{"family":"Barraket","given":"Jo"},{"family":"Wilson","given":"Chris"},{"family":"Rennie","given":"E"},{"family":"Ewing","given":"Scott"},{"family":"MacDonald","given":"T"}],"issued":{"date-parts":[["2019"]]}}}],"schema":"https://github.com/citation-style-language/schema/raw/master/csl-citation.json"} </w:instrText>
      </w:r>
      <w:r w:rsidR="00DE244C">
        <w:fldChar w:fldCharType="separate"/>
      </w:r>
      <w:r w:rsidR="00DE244C" w:rsidRPr="00DE244C">
        <w:rPr>
          <w:rFonts w:cs="Calibri"/>
        </w:rPr>
        <w:t>(Thomas et al., 2019)</w:t>
      </w:r>
      <w:r w:rsidR="00DE244C">
        <w:fldChar w:fldCharType="end"/>
      </w:r>
      <w:r w:rsidR="006C730F">
        <w:t>.</w:t>
      </w:r>
    </w:p>
    <w:p w14:paraId="4249BDBB" w14:textId="77777777" w:rsidR="002127B8" w:rsidRDefault="002127B8" w:rsidP="002127B8">
      <w:pPr>
        <w:rPr>
          <w:szCs w:val="24"/>
        </w:rPr>
      </w:pPr>
      <w:r>
        <w:t>Such affordability challenges (and indeed poverty in general) has typically been understood to be associated with a lack income derived from being “out of work”. E</w:t>
      </w:r>
      <w:r w:rsidR="00F14089">
        <w:t xml:space="preserve">arning a living wage (particularly in a full-time permanent capacity) </w:t>
      </w:r>
      <w:r>
        <w:t>was seen to</w:t>
      </w:r>
      <w:r w:rsidR="00F14089">
        <w:t xml:space="preserve"> have protected households from </w:t>
      </w:r>
      <w:r>
        <w:t>poverty and the inability to afford basic services (indeed, that was the basis of the Harvester minimum wage)</w:t>
      </w:r>
      <w:r w:rsidR="00F14089">
        <w:t xml:space="preserve">. </w:t>
      </w:r>
      <w:r w:rsidR="00C32603">
        <w:t>However, w</w:t>
      </w:r>
      <w:r>
        <w:t xml:space="preserve">hile this is often the case, </w:t>
      </w:r>
      <w:r w:rsidR="00C32603">
        <w:t>w</w:t>
      </w:r>
      <w:r>
        <w:rPr>
          <w:szCs w:val="24"/>
        </w:rPr>
        <w:t xml:space="preserve">ith </w:t>
      </w:r>
      <w:r w:rsidR="00C32603">
        <w:rPr>
          <w:szCs w:val="24"/>
        </w:rPr>
        <w:t xml:space="preserve">recent wage stagnation, </w:t>
      </w:r>
      <w:r>
        <w:rPr>
          <w:szCs w:val="24"/>
        </w:rPr>
        <w:t xml:space="preserve">increased </w:t>
      </w:r>
      <w:r w:rsidRPr="00A048C3">
        <w:rPr>
          <w:szCs w:val="24"/>
        </w:rPr>
        <w:t>casuali</w:t>
      </w:r>
      <w:r>
        <w:rPr>
          <w:szCs w:val="24"/>
        </w:rPr>
        <w:t>s</w:t>
      </w:r>
      <w:r w:rsidRPr="00A048C3">
        <w:rPr>
          <w:szCs w:val="24"/>
        </w:rPr>
        <w:t>ation</w:t>
      </w:r>
      <w:r>
        <w:rPr>
          <w:szCs w:val="24"/>
        </w:rPr>
        <w:t xml:space="preserve"> of the workforce</w:t>
      </w:r>
      <w:r w:rsidR="001B58E5">
        <w:rPr>
          <w:szCs w:val="24"/>
        </w:rPr>
        <w:t xml:space="preserve"> and high levels of</w:t>
      </w:r>
      <w:r>
        <w:rPr>
          <w:szCs w:val="24"/>
        </w:rPr>
        <w:t xml:space="preserve"> underemployment, the relationship between employment and poverty is not straight-forward. As noted in the ACOSS and UNSW Poverty in Australia 2018 report: </w:t>
      </w:r>
    </w:p>
    <w:p w14:paraId="220093DD" w14:textId="25282135" w:rsidR="002127B8" w:rsidRPr="00364504" w:rsidRDefault="002127B8" w:rsidP="002127B8">
      <w:pPr>
        <w:ind w:left="720"/>
      </w:pPr>
      <w:r w:rsidRPr="00364504">
        <w:t>While the full-time minimum wage sits above the poverty line for a single adult without children, this does not prevent wage-earning families with children, those with only part-time earnings, and those with high housing costs, from falling into poverty.</w:t>
      </w:r>
      <w:r w:rsidRPr="002127B8">
        <w:t xml:space="preserve"> </w:t>
      </w:r>
      <w:r w:rsidR="00A85738">
        <w:fldChar w:fldCharType="begin"/>
      </w:r>
      <w:r w:rsidR="008E107E">
        <w:instrText xml:space="preserve"> ADDIN ZOTERO_ITEM CSL_CITATION {"citationID":"RxrNTrVC","properties":{"formattedCitation":"(Davidson et al., 2018)","plainCitation":"(Davidson et al., 2018)","noteIndex":0},"citationItems":[{"id":10,"uris":["http://zotero.org/groups/2380274/items/GQZEPEAW"],"uri":["http://zotero.org/groups/2380274/items/GQZEPEAW"],"itemData":{"id":10,"type":"report","collection-title":"ACOSS/UNSW Poverty and Inequality Partnership Report","event-place":"Sydney","number":"2","publisher":"Australian Council of Social Service","publisher-place":"Sydney","title":"Poverty in Australia, 2018","URL":"https://www.acoss.org.au/wp-content/uploads/2018/10/ACOSS_Poverty-in-Australia-Report_Web-Final.pdf","author":[{"family":"Davidson","given":"Peter"},{"family":"Bradbury","given":"Bruce"},{"family":"Wong","given":"Melissa"}],"issued":{"date-parts":[["2018"]]}}}],"schema":"https://github.com/citation-style-language/schema/raw/master/csl-citation.json"} </w:instrText>
      </w:r>
      <w:r w:rsidR="00A85738">
        <w:fldChar w:fldCharType="separate"/>
      </w:r>
      <w:r w:rsidR="00A85738" w:rsidRPr="00A85738">
        <w:rPr>
          <w:rFonts w:cs="Calibri"/>
        </w:rPr>
        <w:t>(Davidson et al., 2018)</w:t>
      </w:r>
      <w:r w:rsidR="00A85738">
        <w:fldChar w:fldCharType="end"/>
      </w:r>
      <w:r w:rsidR="00C32603">
        <w:t>.</w:t>
      </w:r>
    </w:p>
    <w:p w14:paraId="0B355277" w14:textId="0C1A09F1" w:rsidR="00BF1ABC" w:rsidRDefault="00C32603" w:rsidP="00C32603">
      <w:r>
        <w:t>These “waged poor” households are often overlooked, both in the discussion of poverty and also in efforts to support vulnerable and disadvantaged people’s access to telecommunications</w:t>
      </w:r>
      <w:r w:rsidR="00C17EAC">
        <w:t>. For instance, eligibility for the Commonwealth government’s Centrelink Telephone Allowance is limited to those on certain social security payment</w:t>
      </w:r>
      <w:r w:rsidR="00171AE5">
        <w:t>s</w:t>
      </w:r>
      <w:r w:rsidR="00C17EAC">
        <w:t xml:space="preserve">, while direct assistance is often provided through charities and </w:t>
      </w:r>
      <w:r w:rsidR="00C17EAC" w:rsidRPr="00170969">
        <w:t>communit</w:t>
      </w:r>
      <w:r w:rsidR="00170969" w:rsidRPr="00170969">
        <w:t>y</w:t>
      </w:r>
      <w:r w:rsidR="00C17EAC">
        <w:t xml:space="preserve"> organisations which, the evidence in this report shows, are not utilised by those in waged poverty. </w:t>
      </w:r>
    </w:p>
    <w:p w14:paraId="17A95628" w14:textId="77777777" w:rsidR="00BF1ABC" w:rsidRDefault="00BF1ABC" w:rsidP="00BF1ABC">
      <w:r>
        <w:t xml:space="preserve">Further, as this report will explore, there </w:t>
      </w:r>
      <w:r w:rsidR="00A94968">
        <w:t>are</w:t>
      </w:r>
      <w:r>
        <w:t xml:space="preserve"> telecommunications requirements that are specific to waged poor households either because of their particular demographic characteristics or arising from their employment. These may drive different and specific telecommunications challenges.</w:t>
      </w:r>
    </w:p>
    <w:p w14:paraId="565AF57A" w14:textId="77777777" w:rsidR="002127B8" w:rsidRDefault="00BF1ABC" w:rsidP="00C32603">
      <w:r>
        <w:t>By simply focusing on poverty or lack o</w:t>
      </w:r>
      <w:r w:rsidR="00A94968">
        <w:t>f</w:t>
      </w:r>
      <w:r>
        <w:t xml:space="preserve"> income in a general sense</w:t>
      </w:r>
      <w:r w:rsidR="00C17EAC">
        <w:t xml:space="preserve">, there is a real danger that the </w:t>
      </w:r>
      <w:r>
        <w:t xml:space="preserve">specific </w:t>
      </w:r>
      <w:r w:rsidR="00C17EAC">
        <w:t xml:space="preserve">needs of those living in </w:t>
      </w:r>
      <w:r w:rsidR="00C17EAC" w:rsidRPr="00BF1ABC">
        <w:rPr>
          <w:i/>
          <w:iCs/>
        </w:rPr>
        <w:t>waged</w:t>
      </w:r>
      <w:r w:rsidR="00C17EAC">
        <w:t xml:space="preserve"> poverty will be overlooked and they will struggle to afford basic telecommunications – and consequently struggle with digital inclusion, which in turn can drive them deeper into poverty.</w:t>
      </w:r>
      <w:r w:rsidR="00C32603">
        <w:t xml:space="preserve"> </w:t>
      </w:r>
      <w:r w:rsidR="002127B8">
        <w:t xml:space="preserve"> </w:t>
      </w:r>
    </w:p>
    <w:p w14:paraId="7A8824F4" w14:textId="719E5909" w:rsidR="00C32603" w:rsidRDefault="00C32603" w:rsidP="00C32603">
      <w:r>
        <w:t>Accordingly, th</w:t>
      </w:r>
      <w:r w:rsidR="00E73CE4">
        <w:t>e purpose of th</w:t>
      </w:r>
      <w:r>
        <w:t>is report</w:t>
      </w:r>
      <w:r w:rsidR="00E73CE4">
        <w:t xml:space="preserve"> is to</w:t>
      </w:r>
      <w:r>
        <w:t xml:space="preserve"> focus on telecommunications affordability among waged poor households</w:t>
      </w:r>
      <w:r w:rsidR="00E73CE4">
        <w:t xml:space="preserve"> and make recommendations to support those households</w:t>
      </w:r>
      <w:r w:rsidR="00457034">
        <w:t xml:space="preserve"> to</w:t>
      </w:r>
      <w:r w:rsidR="00E73CE4">
        <w:t xml:space="preserve"> access and afford essential telecommunications.</w:t>
      </w:r>
      <w:r>
        <w:t xml:space="preserve"> </w:t>
      </w:r>
      <w:r w:rsidR="00E73CE4">
        <w:t>In doing this, the report</w:t>
      </w:r>
      <w:r>
        <w:t xml:space="preserve"> draws heavily on </w:t>
      </w:r>
      <w:r w:rsidR="00E73CE4">
        <w:t xml:space="preserve">recent </w:t>
      </w:r>
      <w:r>
        <w:t>research SACOSS undertook on energy affordability for waged poor households</w:t>
      </w:r>
      <w:r w:rsidR="00E73CE4">
        <w:t xml:space="preserve"> </w:t>
      </w:r>
      <w:r w:rsidR="009829AA">
        <w:fldChar w:fldCharType="begin"/>
      </w:r>
      <w:r w:rsidR="008E107E">
        <w:instrText xml:space="preserve"> ADDIN ZOTERO_ITEM CSL_CITATION {"citationID":"06ENe8Kj","properties":{"formattedCitation":"(Law et al., 2019)","plainCitation":"(Law et al., 2019)","noteIndex":0},"citationItems":[{"id":43,"uris":["http://zotero.org/groups/2380274/items/86GNJIMM"],"uri":["http://zotero.org/groups/2380274/items/86GNJIMM"],"itemData":{"id":43,"type":"report","event-place":"Adelaide","publisher":"South Australian Council of Social Service","publisher-place":"Adelaide","title":"Working to Make Ends Meet: Low-income Workers and Energy Bill Stress","author":[{"family":"Law","given":"Rebecca"},{"family":"Ogle","given":"Greg"},{"family":"Foley","given":"Kirsten"}],"issued":{"date-parts":[["2019"]]}}}],"schema":"https://github.com/citation-style-language/schema/raw/master/csl-citation.json"} </w:instrText>
      </w:r>
      <w:r w:rsidR="009829AA">
        <w:fldChar w:fldCharType="separate"/>
      </w:r>
      <w:r w:rsidR="009829AA" w:rsidRPr="009829AA">
        <w:rPr>
          <w:rFonts w:cs="Calibri"/>
        </w:rPr>
        <w:t>(Law et al., 2019)</w:t>
      </w:r>
      <w:r w:rsidR="009829AA">
        <w:fldChar w:fldCharType="end"/>
      </w:r>
      <w:r w:rsidR="00E73CE4">
        <w:t>, but extends that work through quantitative and qualitative research undertaken specifically for this project</w:t>
      </w:r>
      <w:r>
        <w:t xml:space="preserve">. </w:t>
      </w:r>
    </w:p>
    <w:p w14:paraId="53FEAA76" w14:textId="77777777" w:rsidR="00C17EAC" w:rsidRDefault="00BF1ABC" w:rsidP="00AE36AE">
      <w:pPr>
        <w:rPr>
          <w:lang w:val="en-US" w:eastAsia="ja-JP"/>
        </w:rPr>
      </w:pPr>
      <w:r>
        <w:rPr>
          <w:lang w:val="en-US" w:eastAsia="ja-JP"/>
        </w:rPr>
        <w:lastRenderedPageBreak/>
        <w:t>I</w:t>
      </w:r>
      <w:r w:rsidR="00C17EAC">
        <w:rPr>
          <w:lang w:val="en-US" w:eastAsia="ja-JP"/>
        </w:rPr>
        <w:t>n considering waged poverty</w:t>
      </w:r>
      <w:r>
        <w:rPr>
          <w:lang w:val="en-US" w:eastAsia="ja-JP"/>
        </w:rPr>
        <w:t xml:space="preserve"> though</w:t>
      </w:r>
      <w:r w:rsidR="00C17EAC">
        <w:rPr>
          <w:lang w:val="en-US" w:eastAsia="ja-JP"/>
        </w:rPr>
        <w:t>, there are a r</w:t>
      </w:r>
      <w:r w:rsidR="00B55B0B">
        <w:rPr>
          <w:lang w:val="en-US" w:eastAsia="ja-JP"/>
        </w:rPr>
        <w:t xml:space="preserve">ange of </w:t>
      </w:r>
      <w:r>
        <w:rPr>
          <w:lang w:val="en-US" w:eastAsia="ja-JP"/>
        </w:rPr>
        <w:t xml:space="preserve">preliminary </w:t>
      </w:r>
      <w:r w:rsidR="00B55B0B">
        <w:rPr>
          <w:lang w:val="en-US" w:eastAsia="ja-JP"/>
        </w:rPr>
        <w:t>methodological issues to consider, including</w:t>
      </w:r>
      <w:r w:rsidR="00C17EAC">
        <w:rPr>
          <w:lang w:val="en-US" w:eastAsia="ja-JP"/>
        </w:rPr>
        <w:t>:</w:t>
      </w:r>
    </w:p>
    <w:p w14:paraId="6BDE5A97" w14:textId="232F43AF" w:rsidR="00C17EAC" w:rsidRDefault="00B55B0B" w:rsidP="00C17EAC">
      <w:pPr>
        <w:numPr>
          <w:ilvl w:val="0"/>
          <w:numId w:val="9"/>
        </w:numPr>
        <w:rPr>
          <w:lang w:val="en-US" w:eastAsia="ja-JP"/>
        </w:rPr>
      </w:pPr>
      <w:r>
        <w:rPr>
          <w:lang w:val="en-US" w:eastAsia="ja-JP"/>
        </w:rPr>
        <w:t>the definition of poverty and the problems of household-based (rather than individual) definitions</w:t>
      </w:r>
      <w:r w:rsidR="001843FB">
        <w:rPr>
          <w:lang w:val="en-US" w:eastAsia="ja-JP"/>
        </w:rPr>
        <w:t>;</w:t>
      </w:r>
    </w:p>
    <w:p w14:paraId="4C463802" w14:textId="43F8B59B" w:rsidR="00C17EAC" w:rsidRDefault="00B55B0B" w:rsidP="00C17EAC">
      <w:pPr>
        <w:numPr>
          <w:ilvl w:val="0"/>
          <w:numId w:val="9"/>
        </w:numPr>
        <w:rPr>
          <w:lang w:val="en-US" w:eastAsia="ja-JP"/>
        </w:rPr>
      </w:pPr>
      <w:r>
        <w:rPr>
          <w:lang w:val="en-US" w:eastAsia="ja-JP"/>
        </w:rPr>
        <w:t xml:space="preserve">the definition of work (given that not all work is paid – </w:t>
      </w:r>
      <w:r w:rsidR="00A94968">
        <w:rPr>
          <w:lang w:val="en-US" w:eastAsia="ja-JP"/>
        </w:rPr>
        <w:t>which</w:t>
      </w:r>
      <w:r>
        <w:rPr>
          <w:lang w:val="en-US" w:eastAsia="ja-JP"/>
        </w:rPr>
        <w:t xml:space="preserve"> is the reason why this report uses the term “waged poor” rather than “working poor” which is used elsewhere)</w:t>
      </w:r>
      <w:r w:rsidR="001843FB">
        <w:rPr>
          <w:lang w:val="en-US" w:eastAsia="ja-JP"/>
        </w:rPr>
        <w:t>;</w:t>
      </w:r>
      <w:r>
        <w:rPr>
          <w:lang w:val="en-US" w:eastAsia="ja-JP"/>
        </w:rPr>
        <w:t xml:space="preserve"> and </w:t>
      </w:r>
    </w:p>
    <w:p w14:paraId="3CDF86F5" w14:textId="77777777" w:rsidR="00C17EAC" w:rsidRDefault="00B55B0B" w:rsidP="00C17EAC">
      <w:pPr>
        <w:numPr>
          <w:ilvl w:val="0"/>
          <w:numId w:val="9"/>
        </w:numPr>
        <w:rPr>
          <w:lang w:val="en-US" w:eastAsia="ja-JP"/>
        </w:rPr>
      </w:pPr>
      <w:r>
        <w:rPr>
          <w:lang w:val="en-US" w:eastAsia="ja-JP"/>
        </w:rPr>
        <w:t xml:space="preserve">how the two concepts come together and are measured in data on waged poor households. </w:t>
      </w:r>
    </w:p>
    <w:p w14:paraId="664943DC" w14:textId="77777777" w:rsidR="00C77367" w:rsidRDefault="00B55B0B" w:rsidP="00C17EAC">
      <w:pPr>
        <w:rPr>
          <w:lang w:val="en-US" w:eastAsia="ja-JP"/>
        </w:rPr>
      </w:pPr>
      <w:r>
        <w:rPr>
          <w:lang w:val="en-US" w:eastAsia="ja-JP"/>
        </w:rPr>
        <w:t xml:space="preserve">There is a long history of debates around all these issues, both in Australia and overseas, </w:t>
      </w:r>
      <w:r w:rsidR="00C77367">
        <w:rPr>
          <w:lang w:val="en-US" w:eastAsia="ja-JP"/>
        </w:rPr>
        <w:t xml:space="preserve">but for the purposes of this report </w:t>
      </w:r>
      <w:r w:rsidR="009829AA">
        <w:rPr>
          <w:lang w:val="en-US" w:eastAsia="ja-JP"/>
        </w:rPr>
        <w:t>“</w:t>
      </w:r>
      <w:r w:rsidR="00C77367">
        <w:rPr>
          <w:lang w:val="en-US" w:eastAsia="ja-JP"/>
        </w:rPr>
        <w:t>waged poor households</w:t>
      </w:r>
      <w:r w:rsidR="009829AA">
        <w:rPr>
          <w:lang w:val="en-US" w:eastAsia="ja-JP"/>
        </w:rPr>
        <w:t>”</w:t>
      </w:r>
      <w:r w:rsidR="00C77367">
        <w:rPr>
          <w:lang w:val="en-US" w:eastAsia="ja-JP"/>
        </w:rPr>
        <w:t xml:space="preserve"> are defined as follows.</w:t>
      </w:r>
    </w:p>
    <w:p w14:paraId="23BD4D7A" w14:textId="5993FE66" w:rsidR="00C77367" w:rsidRPr="008144C0" w:rsidRDefault="00C77367" w:rsidP="00C77367">
      <w:pPr>
        <w:pStyle w:val="ListParagraph"/>
        <w:pBdr>
          <w:top w:val="single" w:sz="12" w:space="1" w:color="auto"/>
          <w:left w:val="single" w:sz="12" w:space="4" w:color="auto"/>
          <w:bottom w:val="single" w:sz="12" w:space="1" w:color="auto"/>
          <w:right w:val="single" w:sz="12" w:space="4" w:color="auto"/>
        </w:pBdr>
        <w:ind w:left="0"/>
        <w:rPr>
          <w:b/>
          <w:bCs/>
          <w:i/>
          <w:iCs/>
        </w:rPr>
      </w:pPr>
      <w:r w:rsidRPr="008144C0">
        <w:rPr>
          <w:b/>
          <w:bCs/>
          <w:i/>
          <w:iCs/>
        </w:rPr>
        <w:t>Waged poor households are those living below the poverty line (50% of the median equivalised household disposable income)</w:t>
      </w:r>
      <w:r w:rsidR="00B6558E">
        <w:rPr>
          <w:b/>
          <w:bCs/>
          <w:i/>
          <w:iCs/>
        </w:rPr>
        <w:t xml:space="preserve"> whose</w:t>
      </w:r>
      <w:r w:rsidRPr="008144C0">
        <w:rPr>
          <w:b/>
          <w:bCs/>
          <w:i/>
          <w:iCs/>
        </w:rPr>
        <w:t xml:space="preserve"> main source of household income </w:t>
      </w:r>
      <w:r w:rsidR="001843FB">
        <w:rPr>
          <w:b/>
          <w:bCs/>
          <w:i/>
          <w:iCs/>
        </w:rPr>
        <w:t>i</w:t>
      </w:r>
      <w:r w:rsidRPr="008144C0">
        <w:rPr>
          <w:b/>
          <w:bCs/>
          <w:i/>
          <w:iCs/>
        </w:rPr>
        <w:t>s wages and salaries.</w:t>
      </w:r>
    </w:p>
    <w:p w14:paraId="30521325" w14:textId="0AFDD8F7" w:rsidR="00E6110F" w:rsidRDefault="00E6110F" w:rsidP="00AE36AE">
      <w:pPr>
        <w:rPr>
          <w:lang w:val="en-US" w:eastAsia="ja-JP"/>
        </w:rPr>
      </w:pPr>
      <w:r>
        <w:rPr>
          <w:lang w:val="en-US" w:eastAsia="ja-JP"/>
        </w:rPr>
        <w:t xml:space="preserve">Equivalised here simply refers to the common practice of adjusting all households to the equivalent of a one-person household </w:t>
      </w:r>
      <w:r w:rsidR="00363577">
        <w:rPr>
          <w:lang w:val="en-US" w:eastAsia="ja-JP"/>
        </w:rPr>
        <w:t>to enable fair comparison between different households</w:t>
      </w:r>
      <w:r>
        <w:rPr>
          <w:lang w:val="en-US" w:eastAsia="ja-JP"/>
        </w:rPr>
        <w:t>.</w:t>
      </w:r>
    </w:p>
    <w:p w14:paraId="057D687D" w14:textId="13E02A14" w:rsidR="003F439A" w:rsidRDefault="007F133F" w:rsidP="00AE36AE">
      <w:pPr>
        <w:rPr>
          <w:lang w:val="en-US" w:eastAsia="ja-JP"/>
        </w:rPr>
      </w:pPr>
      <w:r>
        <w:rPr>
          <w:lang w:val="en-US" w:eastAsia="ja-JP"/>
        </w:rPr>
        <w:t xml:space="preserve">SACOSS’ reasons for the philosophical and methodological choices that underpin this definition are set out in full in our report on energy affordability for waged poor households </w:t>
      </w:r>
      <w:r w:rsidR="009829AA">
        <w:rPr>
          <w:lang w:val="en-US" w:eastAsia="ja-JP"/>
        </w:rPr>
        <w:fldChar w:fldCharType="begin"/>
      </w:r>
      <w:r w:rsidR="008E107E">
        <w:rPr>
          <w:lang w:val="en-US" w:eastAsia="ja-JP"/>
        </w:rPr>
        <w:instrText xml:space="preserve"> ADDIN ZOTERO_ITEM CSL_CITATION {"citationID":"gAfrWYt8","properties":{"formattedCitation":"(Law et al., 2019)","plainCitation":"(Law et al., 2019)","noteIndex":0},"citationItems":[{"id":43,"uris":["http://zotero.org/groups/2380274/items/86GNJIMM"],"uri":["http://zotero.org/groups/2380274/items/86GNJIMM"],"itemData":{"id":43,"type":"report","event-place":"Adelaide","publisher":"South Australian Council of Social Service","publisher-place":"Adelaide","title":"Working to Make Ends Meet: Low-income Workers and Energy Bill Stress","author":[{"family":"Law","given":"Rebecca"},{"family":"Ogle","given":"Greg"},{"family":"Foley","given":"Kirsten"}],"issued":{"date-parts":[["2019"]]}}}],"schema":"https://github.com/citation-style-language/schema/raw/master/csl-citation.json"} </w:instrText>
      </w:r>
      <w:r w:rsidR="009829AA">
        <w:rPr>
          <w:lang w:val="en-US" w:eastAsia="ja-JP"/>
        </w:rPr>
        <w:fldChar w:fldCharType="separate"/>
      </w:r>
      <w:r w:rsidR="009829AA" w:rsidRPr="009829AA">
        <w:rPr>
          <w:rFonts w:cs="Calibri"/>
        </w:rPr>
        <w:t>(Law et al., 2019)</w:t>
      </w:r>
      <w:r w:rsidR="009829AA">
        <w:rPr>
          <w:lang w:val="en-US" w:eastAsia="ja-JP"/>
        </w:rPr>
        <w:fldChar w:fldCharType="end"/>
      </w:r>
      <w:r>
        <w:rPr>
          <w:lang w:val="en-US" w:eastAsia="ja-JP"/>
        </w:rPr>
        <w:t xml:space="preserve">, but </w:t>
      </w:r>
      <w:r w:rsidRPr="00170969">
        <w:rPr>
          <w:lang w:val="en-US" w:eastAsia="ja-JP"/>
        </w:rPr>
        <w:t>utili</w:t>
      </w:r>
      <w:r w:rsidR="00170969" w:rsidRPr="00170969">
        <w:rPr>
          <w:lang w:val="en-US" w:eastAsia="ja-JP"/>
        </w:rPr>
        <w:t>s</w:t>
      </w:r>
      <w:r w:rsidRPr="00170969">
        <w:rPr>
          <w:lang w:val="en-US" w:eastAsia="ja-JP"/>
        </w:rPr>
        <w:t>ing</w:t>
      </w:r>
      <w:r>
        <w:rPr>
          <w:lang w:val="en-US" w:eastAsia="ja-JP"/>
        </w:rPr>
        <w:t xml:space="preserve"> this definition, the poverty line for a single person household in 2015-16 was $416 per week, or $350 per week after accounting for housing</w:t>
      </w:r>
      <w:r w:rsidR="00490F6A">
        <w:rPr>
          <w:lang w:val="en-US" w:eastAsia="ja-JP"/>
        </w:rPr>
        <w:t xml:space="preserve"> costs</w:t>
      </w:r>
      <w:r>
        <w:rPr>
          <w:lang w:val="en-US" w:eastAsia="ja-JP"/>
        </w:rPr>
        <w:t xml:space="preserve">. </w:t>
      </w:r>
      <w:r w:rsidR="00E6110F">
        <w:rPr>
          <w:lang w:val="en-US" w:eastAsia="ja-JP"/>
        </w:rPr>
        <w:t>This equates to $440 and $</w:t>
      </w:r>
      <w:r w:rsidR="00BA54FD">
        <w:rPr>
          <w:lang w:val="en-US" w:eastAsia="ja-JP"/>
        </w:rPr>
        <w:t>370 respectively</w:t>
      </w:r>
      <w:r w:rsidR="00E6110F">
        <w:rPr>
          <w:lang w:val="en-US" w:eastAsia="ja-JP"/>
        </w:rPr>
        <w:t xml:space="preserve"> in 2019 dollars. </w:t>
      </w:r>
    </w:p>
    <w:p w14:paraId="57B53367" w14:textId="4F33BD68" w:rsidR="007F133F" w:rsidRDefault="007F133F" w:rsidP="00AE36AE">
      <w:pPr>
        <w:rPr>
          <w:lang w:val="en-US" w:eastAsia="ja-JP"/>
        </w:rPr>
      </w:pPr>
      <w:r>
        <w:rPr>
          <w:lang w:val="en-US" w:eastAsia="ja-JP"/>
        </w:rPr>
        <w:t xml:space="preserve">The adjustment for housing costs is important because those costs make a significant difference to the household’s living standard and the affordability of other essential services, although both lines are valid and are </w:t>
      </w:r>
      <w:r w:rsidRPr="00170969">
        <w:rPr>
          <w:lang w:val="en-US" w:eastAsia="ja-JP"/>
        </w:rPr>
        <w:t>utili</w:t>
      </w:r>
      <w:r w:rsidR="00170969" w:rsidRPr="00170969">
        <w:rPr>
          <w:lang w:val="en-US" w:eastAsia="ja-JP"/>
        </w:rPr>
        <w:t>s</w:t>
      </w:r>
      <w:r w:rsidRPr="00170969">
        <w:rPr>
          <w:lang w:val="en-US" w:eastAsia="ja-JP"/>
        </w:rPr>
        <w:t>ed</w:t>
      </w:r>
      <w:r>
        <w:rPr>
          <w:lang w:val="en-US" w:eastAsia="ja-JP"/>
        </w:rPr>
        <w:t xml:space="preserve"> in this report (for different reasons). The poverty line also varies depending on housing size, and Table 1 below shows the poverty line for different households</w:t>
      </w:r>
      <w:r w:rsidR="00E014F1">
        <w:rPr>
          <w:lang w:val="en-US" w:eastAsia="ja-JP"/>
        </w:rPr>
        <w:t xml:space="preserve">. It should be noted though that these are still 2015-16 poverty lines, simply updated to </w:t>
      </w:r>
      <w:r w:rsidR="00E014F1" w:rsidRPr="00170969">
        <w:rPr>
          <w:lang w:val="en-US" w:eastAsia="ja-JP"/>
        </w:rPr>
        <w:t>2019</w:t>
      </w:r>
      <w:r w:rsidR="00E014F1">
        <w:rPr>
          <w:lang w:val="en-US" w:eastAsia="ja-JP"/>
        </w:rPr>
        <w:t xml:space="preserve"> using CPI indexation. They are therefore below poverty lines calculated from later income data (which has grown more than the CPI). The current ACOSS estimate of a single person poverty line is $480-$500 </w:t>
      </w:r>
      <w:r w:rsidR="00E014F1">
        <w:rPr>
          <w:lang w:val="en-US" w:eastAsia="ja-JP"/>
        </w:rPr>
        <w:fldChar w:fldCharType="begin"/>
      </w:r>
      <w:r w:rsidR="00E014F1">
        <w:rPr>
          <w:lang w:val="en-US" w:eastAsia="ja-JP"/>
        </w:rPr>
        <w:instrText xml:space="preserve"> ADDIN ZOTERO_ITEM CSL_CITATION {"citationID":"jU2HxDT1","properties":{"formattedCitation":"(ACOSS, 2020)","plainCitation":"(ACOSS, 2020)","noteIndex":0},"citationItems":[{"id":121,"uris":["http://zotero.org/groups/2380274/items/N8VP3EWX"],"uri":["http://zotero.org/groups/2380274/items/N8VP3EWX"],"itemData":{"id":121,"type":"webpage","container-title":"Raise the Rate","title":"About the Campaign","URL":"https://raisetherate.org.au/about/#:~:text=About%20the%20campaign,income%20of%20%24500%20per%20week.","author":[{"family":"ACOSS","given":""}],"accessed":{"date-parts":[["2020",10,6]]},"issued":{"date-parts":[["2020"]]}}}],"schema":"https://github.com/citation-style-language/schema/raw/master/csl-citation.json"} </w:instrText>
      </w:r>
      <w:r w:rsidR="00E014F1">
        <w:rPr>
          <w:lang w:val="en-US" w:eastAsia="ja-JP"/>
        </w:rPr>
        <w:fldChar w:fldCharType="separate"/>
      </w:r>
      <w:r w:rsidR="00E014F1" w:rsidRPr="003F439A">
        <w:rPr>
          <w:rFonts w:cs="Calibri"/>
        </w:rPr>
        <w:t>(ACOSS, 2020)</w:t>
      </w:r>
      <w:r w:rsidR="00E014F1">
        <w:rPr>
          <w:lang w:val="en-US" w:eastAsia="ja-JP"/>
        </w:rPr>
        <w:fldChar w:fldCharType="end"/>
      </w:r>
      <w:r w:rsidR="00E014F1">
        <w:rPr>
          <w:lang w:val="en-US" w:eastAsia="ja-JP"/>
        </w:rPr>
        <w:t>.</w:t>
      </w:r>
    </w:p>
    <w:p w14:paraId="254A869C" w14:textId="4290F48B" w:rsidR="008E1BA6" w:rsidRDefault="008E1BA6" w:rsidP="008E1BA6">
      <w:pPr>
        <w:pStyle w:val="Caption"/>
        <w:rPr>
          <w:highlight w:val="yellow"/>
          <w:lang w:val="en-US" w:eastAsia="ja-JP"/>
        </w:rPr>
      </w:pPr>
      <w:bookmarkStart w:id="7" w:name="_Toc41989580"/>
      <w:r>
        <w:t xml:space="preserve">Table </w:t>
      </w:r>
      <w:fldSimple w:instr=" SEQ Table \* ARABIC ">
        <w:r w:rsidR="00C26577">
          <w:rPr>
            <w:noProof/>
          </w:rPr>
          <w:t>1</w:t>
        </w:r>
      </w:fldSimple>
      <w:r>
        <w:t>: Poverty Lines by Household Composition</w:t>
      </w:r>
      <w:bookmarkEnd w:id="7"/>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Caption w:val="Poverty Lines by Household Composition"/>
        <w:tblDescription w:val="Before and after housing cost poverty lines for different household types. Before housing:&#10;Single person, no children $440pw&#10;Single person, 2 children $704pw&#10;Couple only $670&#10;Couple 2 children $924"/>
      </w:tblPr>
      <w:tblGrid>
        <w:gridCol w:w="3194"/>
        <w:gridCol w:w="1984"/>
        <w:gridCol w:w="1984"/>
      </w:tblGrid>
      <w:tr w:rsidR="00D314B0" w:rsidRPr="00BC71AE" w14:paraId="6D00C7FF" w14:textId="77777777" w:rsidTr="00D314B0">
        <w:tc>
          <w:tcPr>
            <w:tcW w:w="3194" w:type="dxa"/>
            <w:shd w:val="clear" w:color="auto" w:fill="4F81BD"/>
          </w:tcPr>
          <w:p w14:paraId="5D81E2C3" w14:textId="77777777" w:rsidR="00D314B0" w:rsidRPr="004C06A5" w:rsidRDefault="00D314B0" w:rsidP="00363577">
            <w:pPr>
              <w:spacing w:after="120"/>
              <w:rPr>
                <w:b/>
                <w:bCs/>
                <w:color w:val="FFFFFF"/>
              </w:rPr>
            </w:pPr>
          </w:p>
        </w:tc>
        <w:tc>
          <w:tcPr>
            <w:tcW w:w="1984" w:type="dxa"/>
            <w:shd w:val="clear" w:color="auto" w:fill="4F81BD"/>
          </w:tcPr>
          <w:p w14:paraId="28AFF5B1" w14:textId="17731242" w:rsidR="00D314B0" w:rsidRPr="00817996" w:rsidRDefault="00D314B0" w:rsidP="00363577">
            <w:pPr>
              <w:spacing w:after="120"/>
              <w:rPr>
                <w:b/>
                <w:bCs/>
              </w:rPr>
            </w:pPr>
            <w:r w:rsidRPr="00817996">
              <w:rPr>
                <w:b/>
                <w:bCs/>
              </w:rPr>
              <w:t>Before Housing Costs</w:t>
            </w:r>
          </w:p>
        </w:tc>
        <w:tc>
          <w:tcPr>
            <w:tcW w:w="1984" w:type="dxa"/>
            <w:shd w:val="clear" w:color="auto" w:fill="4F81BD"/>
          </w:tcPr>
          <w:p w14:paraId="7089AEB8" w14:textId="62E16995" w:rsidR="00D314B0" w:rsidRPr="00817996" w:rsidRDefault="00D314B0" w:rsidP="00363577">
            <w:pPr>
              <w:spacing w:after="120"/>
              <w:rPr>
                <w:b/>
                <w:bCs/>
              </w:rPr>
            </w:pPr>
            <w:r w:rsidRPr="00817996">
              <w:rPr>
                <w:b/>
                <w:bCs/>
              </w:rPr>
              <w:t>After Housing Costs</w:t>
            </w:r>
          </w:p>
        </w:tc>
      </w:tr>
      <w:tr w:rsidR="00D314B0" w:rsidRPr="00BC71AE" w14:paraId="18E821FF" w14:textId="77777777" w:rsidTr="00D314B0">
        <w:tc>
          <w:tcPr>
            <w:tcW w:w="3194" w:type="dxa"/>
            <w:shd w:val="clear" w:color="auto" w:fill="4F81BD"/>
          </w:tcPr>
          <w:p w14:paraId="52057074" w14:textId="77777777" w:rsidR="00D314B0" w:rsidRPr="004C06A5" w:rsidRDefault="00D314B0" w:rsidP="00363577">
            <w:pPr>
              <w:spacing w:after="120"/>
              <w:rPr>
                <w:b/>
                <w:bCs/>
                <w:color w:val="FFFFFF"/>
              </w:rPr>
            </w:pPr>
          </w:p>
        </w:tc>
        <w:tc>
          <w:tcPr>
            <w:tcW w:w="1984" w:type="dxa"/>
            <w:shd w:val="clear" w:color="auto" w:fill="4F81BD"/>
          </w:tcPr>
          <w:p w14:paraId="6F9F22EB" w14:textId="77777777" w:rsidR="00D314B0" w:rsidRPr="00817996" w:rsidRDefault="00D314B0" w:rsidP="00363577">
            <w:pPr>
              <w:spacing w:after="120"/>
              <w:rPr>
                <w:b/>
                <w:bCs/>
              </w:rPr>
            </w:pPr>
            <w:r w:rsidRPr="00817996">
              <w:rPr>
                <w:b/>
                <w:bCs/>
              </w:rPr>
              <w:t>2019 $pw</w:t>
            </w:r>
          </w:p>
        </w:tc>
        <w:tc>
          <w:tcPr>
            <w:tcW w:w="1984" w:type="dxa"/>
            <w:shd w:val="clear" w:color="auto" w:fill="4F81BD"/>
          </w:tcPr>
          <w:p w14:paraId="1DF9F2E6" w14:textId="77777777" w:rsidR="00D314B0" w:rsidRPr="00817996" w:rsidRDefault="00D314B0" w:rsidP="00363577">
            <w:pPr>
              <w:spacing w:after="120"/>
              <w:rPr>
                <w:b/>
                <w:bCs/>
              </w:rPr>
            </w:pPr>
            <w:r w:rsidRPr="00817996">
              <w:rPr>
                <w:b/>
                <w:bCs/>
              </w:rPr>
              <w:t>2019 $pw</w:t>
            </w:r>
          </w:p>
        </w:tc>
      </w:tr>
      <w:tr w:rsidR="00D314B0" w:rsidRPr="00BC71AE" w14:paraId="25C170C0" w14:textId="77777777" w:rsidTr="00D314B0">
        <w:tc>
          <w:tcPr>
            <w:tcW w:w="3194" w:type="dxa"/>
            <w:tcBorders>
              <w:top w:val="single" w:sz="8" w:space="0" w:color="4F81BD"/>
              <w:left w:val="single" w:sz="8" w:space="0" w:color="4F81BD"/>
              <w:bottom w:val="single" w:sz="8" w:space="0" w:color="4F81BD"/>
            </w:tcBorders>
            <w:shd w:val="clear" w:color="auto" w:fill="auto"/>
          </w:tcPr>
          <w:p w14:paraId="1C6CEF35" w14:textId="77777777" w:rsidR="00D314B0" w:rsidRPr="00554E03" w:rsidRDefault="00D314B0" w:rsidP="00363577">
            <w:pPr>
              <w:spacing w:after="120"/>
              <w:rPr>
                <w:bCs/>
              </w:rPr>
            </w:pPr>
            <w:r>
              <w:rPr>
                <w:bCs/>
              </w:rPr>
              <w:t>Single person, no children</w:t>
            </w:r>
          </w:p>
        </w:tc>
        <w:tc>
          <w:tcPr>
            <w:tcW w:w="1984" w:type="dxa"/>
            <w:tcBorders>
              <w:top w:val="single" w:sz="8" w:space="0" w:color="4F81BD"/>
              <w:bottom w:val="single" w:sz="8" w:space="0" w:color="4F81BD"/>
            </w:tcBorders>
          </w:tcPr>
          <w:p w14:paraId="134E17D7" w14:textId="77777777" w:rsidR="00D314B0" w:rsidRDefault="00D314B0" w:rsidP="00363577">
            <w:pPr>
              <w:spacing w:after="120"/>
            </w:pPr>
            <w:r>
              <w:t>$440</w:t>
            </w:r>
          </w:p>
        </w:tc>
        <w:tc>
          <w:tcPr>
            <w:tcW w:w="1984" w:type="dxa"/>
            <w:tcBorders>
              <w:top w:val="single" w:sz="8" w:space="0" w:color="4F81BD"/>
              <w:bottom w:val="single" w:sz="8" w:space="0" w:color="4F81BD"/>
            </w:tcBorders>
          </w:tcPr>
          <w:p w14:paraId="1C34843A" w14:textId="77777777" w:rsidR="00D314B0" w:rsidRDefault="00D314B0" w:rsidP="00363577">
            <w:pPr>
              <w:spacing w:after="120"/>
            </w:pPr>
            <w:r>
              <w:t>$370</w:t>
            </w:r>
          </w:p>
        </w:tc>
      </w:tr>
      <w:tr w:rsidR="00D314B0" w:rsidRPr="00BC71AE" w14:paraId="4F90DFCE" w14:textId="77777777" w:rsidTr="00D314B0">
        <w:tc>
          <w:tcPr>
            <w:tcW w:w="3194" w:type="dxa"/>
            <w:shd w:val="clear" w:color="auto" w:fill="auto"/>
          </w:tcPr>
          <w:p w14:paraId="090F3AC3" w14:textId="77777777" w:rsidR="00D314B0" w:rsidRPr="00554E03" w:rsidRDefault="00D314B0" w:rsidP="00363577">
            <w:pPr>
              <w:spacing w:after="120"/>
              <w:rPr>
                <w:bCs/>
              </w:rPr>
            </w:pPr>
            <w:r>
              <w:rPr>
                <w:bCs/>
              </w:rPr>
              <w:t>Single person, two children</w:t>
            </w:r>
          </w:p>
        </w:tc>
        <w:tc>
          <w:tcPr>
            <w:tcW w:w="1984" w:type="dxa"/>
          </w:tcPr>
          <w:p w14:paraId="54CE87D4" w14:textId="77777777" w:rsidR="00D314B0" w:rsidRDefault="00D314B0" w:rsidP="00363577">
            <w:pPr>
              <w:spacing w:after="120"/>
            </w:pPr>
            <w:r>
              <w:t>$704</w:t>
            </w:r>
          </w:p>
        </w:tc>
        <w:tc>
          <w:tcPr>
            <w:tcW w:w="1984" w:type="dxa"/>
          </w:tcPr>
          <w:p w14:paraId="62902965" w14:textId="77777777" w:rsidR="00D314B0" w:rsidRDefault="00D314B0" w:rsidP="00363577">
            <w:pPr>
              <w:spacing w:after="120"/>
            </w:pPr>
            <w:r>
              <w:t>$592</w:t>
            </w:r>
          </w:p>
        </w:tc>
      </w:tr>
      <w:tr w:rsidR="00D314B0" w:rsidRPr="00BC71AE" w14:paraId="25024B0D" w14:textId="77777777" w:rsidTr="00D314B0">
        <w:tc>
          <w:tcPr>
            <w:tcW w:w="3194" w:type="dxa"/>
            <w:tcBorders>
              <w:top w:val="single" w:sz="8" w:space="0" w:color="4F81BD"/>
              <w:left w:val="single" w:sz="8" w:space="0" w:color="4F81BD"/>
              <w:bottom w:val="single" w:sz="8" w:space="0" w:color="4F81BD"/>
            </w:tcBorders>
            <w:shd w:val="clear" w:color="auto" w:fill="auto"/>
          </w:tcPr>
          <w:p w14:paraId="03E6D30E" w14:textId="77777777" w:rsidR="00D314B0" w:rsidRPr="00554E03" w:rsidRDefault="00D314B0" w:rsidP="00363577">
            <w:pPr>
              <w:spacing w:after="120"/>
              <w:rPr>
                <w:bCs/>
              </w:rPr>
            </w:pPr>
            <w:r>
              <w:rPr>
                <w:bCs/>
              </w:rPr>
              <w:t>Couple, no children</w:t>
            </w:r>
          </w:p>
        </w:tc>
        <w:tc>
          <w:tcPr>
            <w:tcW w:w="1984" w:type="dxa"/>
            <w:tcBorders>
              <w:top w:val="single" w:sz="8" w:space="0" w:color="4F81BD"/>
              <w:bottom w:val="single" w:sz="8" w:space="0" w:color="4F81BD"/>
            </w:tcBorders>
          </w:tcPr>
          <w:p w14:paraId="0B70AE99" w14:textId="77777777" w:rsidR="00D314B0" w:rsidRDefault="00D314B0" w:rsidP="00363577">
            <w:pPr>
              <w:spacing w:after="120"/>
            </w:pPr>
            <w:r>
              <w:t>$670</w:t>
            </w:r>
          </w:p>
        </w:tc>
        <w:tc>
          <w:tcPr>
            <w:tcW w:w="1984" w:type="dxa"/>
            <w:tcBorders>
              <w:top w:val="single" w:sz="8" w:space="0" w:color="4F81BD"/>
              <w:bottom w:val="single" w:sz="8" w:space="0" w:color="4F81BD"/>
            </w:tcBorders>
          </w:tcPr>
          <w:p w14:paraId="3D5C9D10" w14:textId="77777777" w:rsidR="00D314B0" w:rsidRDefault="00D314B0" w:rsidP="00363577">
            <w:pPr>
              <w:spacing w:after="120"/>
            </w:pPr>
            <w:r>
              <w:t>$555</w:t>
            </w:r>
          </w:p>
        </w:tc>
      </w:tr>
      <w:tr w:rsidR="00D314B0" w:rsidRPr="00BC71AE" w14:paraId="5971B55E" w14:textId="77777777" w:rsidTr="00D314B0">
        <w:tc>
          <w:tcPr>
            <w:tcW w:w="3194" w:type="dxa"/>
            <w:tcBorders>
              <w:top w:val="single" w:sz="8" w:space="0" w:color="4F81BD"/>
              <w:left w:val="single" w:sz="8" w:space="0" w:color="4F81BD"/>
              <w:bottom w:val="single" w:sz="8" w:space="0" w:color="4F81BD"/>
            </w:tcBorders>
            <w:shd w:val="clear" w:color="auto" w:fill="auto"/>
          </w:tcPr>
          <w:p w14:paraId="6405FC33" w14:textId="77777777" w:rsidR="00D314B0" w:rsidRPr="00554E03" w:rsidRDefault="00D314B0" w:rsidP="00363577">
            <w:pPr>
              <w:spacing w:after="120"/>
              <w:rPr>
                <w:bCs/>
              </w:rPr>
            </w:pPr>
            <w:r>
              <w:rPr>
                <w:bCs/>
              </w:rPr>
              <w:t>Couple, two children</w:t>
            </w:r>
          </w:p>
        </w:tc>
        <w:tc>
          <w:tcPr>
            <w:tcW w:w="1984" w:type="dxa"/>
            <w:tcBorders>
              <w:top w:val="single" w:sz="8" w:space="0" w:color="4F81BD"/>
              <w:bottom w:val="single" w:sz="8" w:space="0" w:color="4F81BD"/>
            </w:tcBorders>
          </w:tcPr>
          <w:p w14:paraId="772A2559" w14:textId="77777777" w:rsidR="00D314B0" w:rsidRDefault="00D314B0" w:rsidP="00363577">
            <w:pPr>
              <w:spacing w:after="120"/>
            </w:pPr>
            <w:r>
              <w:t>$924</w:t>
            </w:r>
          </w:p>
        </w:tc>
        <w:tc>
          <w:tcPr>
            <w:tcW w:w="1984" w:type="dxa"/>
            <w:tcBorders>
              <w:top w:val="single" w:sz="8" w:space="0" w:color="4F81BD"/>
              <w:bottom w:val="single" w:sz="8" w:space="0" w:color="4F81BD"/>
            </w:tcBorders>
          </w:tcPr>
          <w:p w14:paraId="231E38B1" w14:textId="77777777" w:rsidR="00D314B0" w:rsidRDefault="00D314B0" w:rsidP="00363577">
            <w:pPr>
              <w:spacing w:after="120"/>
            </w:pPr>
            <w:r>
              <w:t>$777</w:t>
            </w:r>
          </w:p>
        </w:tc>
      </w:tr>
    </w:tbl>
    <w:p w14:paraId="1AB0854C" w14:textId="77777777" w:rsidR="008E1BA6" w:rsidRDefault="008E1BA6" w:rsidP="00AE36AE">
      <w:pPr>
        <w:rPr>
          <w:lang w:val="en-US" w:eastAsia="ja-JP"/>
        </w:rPr>
      </w:pPr>
    </w:p>
    <w:p w14:paraId="2BBF6730" w14:textId="371AD029" w:rsidR="00B55B0B" w:rsidRDefault="00BF1ABC" w:rsidP="00AE36AE">
      <w:pPr>
        <w:rPr>
          <w:lang w:val="en-US" w:eastAsia="ja-JP"/>
        </w:rPr>
      </w:pPr>
      <w:r>
        <w:rPr>
          <w:lang w:val="en-US" w:eastAsia="ja-JP"/>
        </w:rPr>
        <w:lastRenderedPageBreak/>
        <w:t>Having established the definitions and starting point above, the next section of t</w:t>
      </w:r>
      <w:r w:rsidR="00E73CE4">
        <w:rPr>
          <w:lang w:val="en-US" w:eastAsia="ja-JP"/>
        </w:rPr>
        <w:t>his report revie</w:t>
      </w:r>
      <w:r>
        <w:rPr>
          <w:lang w:val="en-US" w:eastAsia="ja-JP"/>
        </w:rPr>
        <w:t>ws</w:t>
      </w:r>
      <w:r w:rsidR="00E73CE4">
        <w:rPr>
          <w:lang w:val="en-US" w:eastAsia="ja-JP"/>
        </w:rPr>
        <w:t xml:space="preserve"> the scant literature on waged poverty in relation to telecommunications, and then (using SACOSS’ energy report) summarises the extent of waged poverty in Australia and the key demographic characteristics of waged poor households.</w:t>
      </w:r>
    </w:p>
    <w:p w14:paraId="68E65CCC" w14:textId="77777777" w:rsidR="006532DE" w:rsidRDefault="006532DE" w:rsidP="00DD6F0E">
      <w:pPr>
        <w:pStyle w:val="Heading1"/>
        <w:rPr>
          <w:lang w:val="en-US" w:eastAsia="ja-JP"/>
        </w:rPr>
      </w:pPr>
      <w:bookmarkStart w:id="8" w:name="_Toc42719013"/>
      <w:r>
        <w:rPr>
          <w:lang w:val="en-US" w:eastAsia="ja-JP"/>
        </w:rPr>
        <w:lastRenderedPageBreak/>
        <w:t>Literature R</w:t>
      </w:r>
      <w:r w:rsidR="009B1934">
        <w:rPr>
          <w:lang w:val="en-US" w:eastAsia="ja-JP"/>
        </w:rPr>
        <w:t xml:space="preserve">eview: </w:t>
      </w:r>
      <w:r w:rsidR="003832FC">
        <w:rPr>
          <w:lang w:val="en-US" w:eastAsia="ja-JP"/>
        </w:rPr>
        <w:t>What We Know About Waged Poverty</w:t>
      </w:r>
      <w:bookmarkEnd w:id="8"/>
    </w:p>
    <w:p w14:paraId="6882FF6F" w14:textId="77777777" w:rsidR="009B1934" w:rsidRDefault="009B1934" w:rsidP="009B1934">
      <w:pPr>
        <w:pStyle w:val="Heading2"/>
      </w:pPr>
      <w:bookmarkStart w:id="9" w:name="_Toc42719014"/>
      <w:r>
        <w:t>International and Australian Literature</w:t>
      </w:r>
      <w:bookmarkEnd w:id="9"/>
    </w:p>
    <w:p w14:paraId="048E32CC" w14:textId="77777777" w:rsidR="00EB5790" w:rsidRDefault="00EB5790" w:rsidP="00086C0F">
      <w:pPr>
        <w:rPr>
          <w:lang w:eastAsia="ja-JP"/>
        </w:rPr>
      </w:pPr>
      <w:r>
        <w:rPr>
          <w:lang w:eastAsia="ja-JP"/>
        </w:rPr>
        <w:t>Both the European Commission and the United States Bureau of Labor Statistics have formal definitions and collect data on working poverty</w:t>
      </w:r>
      <w:r w:rsidR="005217F8">
        <w:rPr>
          <w:lang w:eastAsia="ja-JP"/>
        </w:rPr>
        <w:t xml:space="preserve">. In Europe it is defined as </w:t>
      </w:r>
      <w:r>
        <w:rPr>
          <w:lang w:eastAsia="ja-JP"/>
        </w:rPr>
        <w:t>those who are employed for over half of the year and whose annual household income falls below 60% of national median equivalised disposable household income</w:t>
      </w:r>
      <w:r w:rsidR="005217F8">
        <w:rPr>
          <w:lang w:eastAsia="ja-JP"/>
        </w:rPr>
        <w:t xml:space="preserve">. Approximately 10% of all European workers are captured by this definition, while 4.9% of American workers were captured by the US definition of </w:t>
      </w:r>
      <w:r w:rsidR="005217F8">
        <w:t>“</w:t>
      </w:r>
      <w:r w:rsidR="005217F8" w:rsidRPr="00E9240E">
        <w:t>people who spent at least 27 weeks in the labor force (that is, working or looking for work) but whose incomes still fell below the official poverty level</w:t>
      </w:r>
      <w:r w:rsidR="005217F8">
        <w:t xml:space="preserve">” (50% of median income). Closer to home, the New Zealand Human Rights Commission has auspiced an academic study of “in-work” poverty finding that in 2023 some 7% of working households (at least one person in employment) were in poverty (defined as 60% of </w:t>
      </w:r>
      <w:r w:rsidR="00D30058">
        <w:t>before-housing median income).</w:t>
      </w:r>
    </w:p>
    <w:p w14:paraId="423086F5" w14:textId="4746A86F" w:rsidR="00AC345D" w:rsidRDefault="00D30058" w:rsidP="00AC345D">
      <w:pPr>
        <w:rPr>
          <w:lang w:eastAsia="ja-JP"/>
        </w:rPr>
      </w:pPr>
      <w:r>
        <w:rPr>
          <w:lang w:eastAsia="ja-JP"/>
        </w:rPr>
        <w:t>Australia does not have an official definition of poverty, let alon</w:t>
      </w:r>
      <w:r w:rsidR="00051F48">
        <w:rPr>
          <w:lang w:eastAsia="ja-JP"/>
        </w:rPr>
        <w:t>e</w:t>
      </w:r>
      <w:r>
        <w:rPr>
          <w:lang w:eastAsia="ja-JP"/>
        </w:rPr>
        <w:t xml:space="preserve"> working or waged poverty</w:t>
      </w:r>
      <w:r w:rsidR="00051F48">
        <w:rPr>
          <w:lang w:eastAsia="ja-JP"/>
        </w:rPr>
        <w:t>. Wh</w:t>
      </w:r>
      <w:r w:rsidR="009B1934">
        <w:rPr>
          <w:lang w:eastAsia="ja-JP"/>
        </w:rPr>
        <w:t xml:space="preserve">ile academic </w:t>
      </w:r>
      <w:r w:rsidR="00457034">
        <w:rPr>
          <w:lang w:eastAsia="ja-JP"/>
        </w:rPr>
        <w:t xml:space="preserve">studies like the Australian Council of Social Service’s flagship two-yearly </w:t>
      </w:r>
      <w:r w:rsidR="009B1934">
        <w:rPr>
          <w:lang w:eastAsia="ja-JP"/>
        </w:rPr>
        <w:t xml:space="preserve">poverty </w:t>
      </w:r>
      <w:r w:rsidR="00457034">
        <w:rPr>
          <w:lang w:eastAsia="ja-JP"/>
        </w:rPr>
        <w:t>reports</w:t>
      </w:r>
      <w:r w:rsidR="009B1934">
        <w:rPr>
          <w:lang w:eastAsia="ja-JP"/>
        </w:rPr>
        <w:t xml:space="preserve"> </w:t>
      </w:r>
      <w:r w:rsidR="00457034">
        <w:rPr>
          <w:lang w:eastAsia="ja-JP"/>
        </w:rPr>
        <w:t>highlight the prevalen</w:t>
      </w:r>
      <w:r w:rsidR="004A0C31">
        <w:rPr>
          <w:lang w:eastAsia="ja-JP"/>
        </w:rPr>
        <w:t>ce of waged poor households</w:t>
      </w:r>
      <w:r w:rsidR="00457034">
        <w:rPr>
          <w:lang w:eastAsia="ja-JP"/>
        </w:rPr>
        <w:t xml:space="preserve">, </w:t>
      </w:r>
      <w:r w:rsidR="009B1934">
        <w:rPr>
          <w:lang w:eastAsia="ja-JP"/>
        </w:rPr>
        <w:t>they</w:t>
      </w:r>
      <w:r w:rsidR="00457034">
        <w:rPr>
          <w:lang w:eastAsia="ja-JP"/>
        </w:rPr>
        <w:t xml:space="preserve"> </w:t>
      </w:r>
      <w:r w:rsidR="00AC345D">
        <w:rPr>
          <w:lang w:eastAsia="ja-JP"/>
        </w:rPr>
        <w:t xml:space="preserve">generally </w:t>
      </w:r>
      <w:r w:rsidR="00457034">
        <w:rPr>
          <w:lang w:eastAsia="ja-JP"/>
        </w:rPr>
        <w:t xml:space="preserve">do not take those households as a topic of study </w:t>
      </w:r>
      <w:r w:rsidR="009B1934">
        <w:rPr>
          <w:lang w:eastAsia="ja-JP"/>
        </w:rPr>
        <w:t xml:space="preserve">and do not investigate their particular characteristics. </w:t>
      </w:r>
      <w:r w:rsidR="00AC345D">
        <w:rPr>
          <w:lang w:eastAsia="ja-JP"/>
        </w:rPr>
        <w:t xml:space="preserve">The latest report calculates that 37.8% of people below the poverty line live in households where wages and salaries are their main source of income. </w:t>
      </w:r>
      <w:r w:rsidR="00562673">
        <w:rPr>
          <w:lang w:eastAsia="ja-JP"/>
        </w:rPr>
        <w:t xml:space="preserve">The report also calculates waged poverty based on the employment status of the </w:t>
      </w:r>
      <w:r w:rsidR="00AC345D">
        <w:rPr>
          <w:lang w:eastAsia="ja-JP"/>
        </w:rPr>
        <w:t xml:space="preserve">household reference person </w:t>
      </w:r>
      <w:r w:rsidR="00562673">
        <w:rPr>
          <w:lang w:eastAsia="ja-JP"/>
        </w:rPr>
        <w:t>(accounting for 38.3% of people in poverty) – with approximately two-thirds of these people living in a household with the reference person in full-time work</w:t>
      </w:r>
      <w:r w:rsidR="008E107E">
        <w:rPr>
          <w:lang w:eastAsia="ja-JP"/>
        </w:rPr>
        <w:t xml:space="preserve"> </w:t>
      </w:r>
      <w:r w:rsidR="008E107E">
        <w:rPr>
          <w:lang w:eastAsia="ja-JP"/>
        </w:rPr>
        <w:fldChar w:fldCharType="begin"/>
      </w:r>
      <w:r w:rsidR="008E107E">
        <w:rPr>
          <w:lang w:eastAsia="ja-JP"/>
        </w:rPr>
        <w:instrText xml:space="preserve"> ADDIN ZOTERO_ITEM CSL_CITATION {"citationID":"ZtI9SpRW","properties":{"formattedCitation":"(Davidson et al., 2020)","plainCitation":"(Davidson et al., 2020)","noteIndex":0},"citationItems":[{"id":87,"uris":["http://zotero.org/groups/2380274/items/X7FDBQAE"],"uri":["http://zotero.org/groups/2380274/items/X7FDBQAE"],"itemData":{"id":87,"type":"report","collection-title":"ACOSS/UNSW Poverty and Inequality Partnership Report","event-place":"Sydney","number":"2","publisher":"Australian Council of Social Service","publisher-place":"Sydney","title":"Poverty in Australia, 2020: Part 2: Who is affected?","URL":"http://povertyandinequality.acoss.org.au/wp-content/uploads/2020/05/Poverty-in-Australia-2020-Part-2-%E2%80%93-Who-is-affected_Final.pdf","author":[{"family":"Davidson","given":"Peter"},{"family":"Bradbury","given":"Bruce"},{"family":"Wong","given":"Melissa"},{"family":"Hill","given":"T"}],"issued":{"date-parts":[["2020"]]}}}],"schema":"https://github.com/citation-style-language/schema/raw/master/csl-citation.json"} </w:instrText>
      </w:r>
      <w:r w:rsidR="008E107E">
        <w:rPr>
          <w:lang w:eastAsia="ja-JP"/>
        </w:rPr>
        <w:fldChar w:fldCharType="separate"/>
      </w:r>
      <w:r w:rsidR="008E107E" w:rsidRPr="008E107E">
        <w:rPr>
          <w:rFonts w:cs="Calibri"/>
        </w:rPr>
        <w:t>(Davidson et al., 2020)</w:t>
      </w:r>
      <w:r w:rsidR="008E107E">
        <w:rPr>
          <w:lang w:eastAsia="ja-JP"/>
        </w:rPr>
        <w:fldChar w:fldCharType="end"/>
      </w:r>
      <w:r w:rsidR="00AC345D">
        <w:rPr>
          <w:lang w:eastAsia="ja-JP"/>
        </w:rPr>
        <w:t>.</w:t>
      </w:r>
    </w:p>
    <w:p w14:paraId="5E3F7E0B" w14:textId="756E9235" w:rsidR="00D30058" w:rsidRDefault="009B1934" w:rsidP="00D30058">
      <w:pPr>
        <w:rPr>
          <w:lang w:eastAsia="ja-JP"/>
        </w:rPr>
      </w:pPr>
      <w:r>
        <w:rPr>
          <w:lang w:eastAsia="ja-JP"/>
        </w:rPr>
        <w:t xml:space="preserve">The closest Australian academic study to </w:t>
      </w:r>
      <w:r w:rsidR="00D30058">
        <w:rPr>
          <w:lang w:eastAsia="ja-JP"/>
        </w:rPr>
        <w:t xml:space="preserve">the international examples above would be Payne’s study for the Australian Institute of Family Studies </w:t>
      </w:r>
      <w:r w:rsidR="009829AA">
        <w:rPr>
          <w:lang w:eastAsia="ja-JP"/>
        </w:rPr>
        <w:fldChar w:fldCharType="begin"/>
      </w:r>
      <w:r w:rsidR="008E107E">
        <w:rPr>
          <w:lang w:eastAsia="ja-JP"/>
        </w:rPr>
        <w:instrText xml:space="preserve"> ADDIN ZOTERO_ITEM CSL_CITATION {"citationID":"7Ii27aet","properties":{"formattedCitation":"(Payne, 2009)","plainCitation":"(Payne, 2009)","noteIndex":0},"citationItems":[{"id":64,"uris":["http://zotero.org/groups/2380274/items/LY2ZC6W7"],"uri":["http://zotero.org/groups/2380274/items/LY2ZC6W7"],"itemData":{"id":64,"type":"article-journal","container-title":"Family Matters","title":"Working poor in Australia: An analysis among households in which a member is employed","URL":"https://aifs.gov.au/publications/family-matters/issue-81/working-poor-australia","volume":"81","author":[{"family":"Payne","given":"Alicia"}],"issued":{"date-parts":[["2009",3]]}}}],"schema":"https://github.com/citation-style-language/schema/raw/master/csl-citation.json"} </w:instrText>
      </w:r>
      <w:r w:rsidR="009829AA">
        <w:rPr>
          <w:lang w:eastAsia="ja-JP"/>
        </w:rPr>
        <w:fldChar w:fldCharType="separate"/>
      </w:r>
      <w:r w:rsidR="009829AA" w:rsidRPr="009829AA">
        <w:rPr>
          <w:rFonts w:cs="Calibri"/>
        </w:rPr>
        <w:t>(Payne, 2009)</w:t>
      </w:r>
      <w:r w:rsidR="009829AA">
        <w:rPr>
          <w:lang w:eastAsia="ja-JP"/>
        </w:rPr>
        <w:fldChar w:fldCharType="end"/>
      </w:r>
      <w:r w:rsidR="00D30058">
        <w:rPr>
          <w:lang w:eastAsia="ja-JP"/>
        </w:rPr>
        <w:t xml:space="preserve">. It used a definition based on at least one member of the household being employed, </w:t>
      </w:r>
      <w:r w:rsidR="006213A3">
        <w:rPr>
          <w:lang w:eastAsia="ja-JP"/>
        </w:rPr>
        <w:t>w</w:t>
      </w:r>
      <w:r w:rsidR="00170969">
        <w:rPr>
          <w:lang w:eastAsia="ja-JP"/>
        </w:rPr>
        <w:t>i</w:t>
      </w:r>
      <w:r w:rsidR="006213A3">
        <w:rPr>
          <w:lang w:eastAsia="ja-JP"/>
        </w:rPr>
        <w:t>th</w:t>
      </w:r>
      <w:r w:rsidR="00D30058">
        <w:rPr>
          <w:lang w:eastAsia="ja-JP"/>
        </w:rPr>
        <w:t xml:space="preserve"> the poverty line the usual Australian marker of 50% of median equivalised disposable income. That study found that 2.7% of Australians were living in waged poverty, but the data was from in 2005-06 and is now somewhat dated. </w:t>
      </w:r>
    </w:p>
    <w:p w14:paraId="44D36634" w14:textId="77777777" w:rsidR="00D30058" w:rsidRDefault="00D30058" w:rsidP="00D30058">
      <w:pPr>
        <w:rPr>
          <w:lang w:eastAsia="ja-JP"/>
        </w:rPr>
      </w:pPr>
      <w:r>
        <w:rPr>
          <w:lang w:eastAsia="ja-JP"/>
        </w:rPr>
        <w:t xml:space="preserve">More generally, </w:t>
      </w:r>
      <w:r w:rsidR="009B1934">
        <w:rPr>
          <w:lang w:eastAsia="ja-JP"/>
        </w:rPr>
        <w:t xml:space="preserve">and crucially for this report, </w:t>
      </w:r>
      <w:r>
        <w:rPr>
          <w:lang w:eastAsia="ja-JP"/>
        </w:rPr>
        <w:t xml:space="preserve">while </w:t>
      </w:r>
      <w:r w:rsidR="009B1934">
        <w:rPr>
          <w:lang w:eastAsia="ja-JP"/>
        </w:rPr>
        <w:t xml:space="preserve">all </w:t>
      </w:r>
      <w:r>
        <w:rPr>
          <w:lang w:eastAsia="ja-JP"/>
        </w:rPr>
        <w:t>these reports provide some overview of waged poor households, they focused on household income and characteristics and did not look at specific challenges around affordability of essential services, such as telecommunications or utilities generally.</w:t>
      </w:r>
    </w:p>
    <w:p w14:paraId="7D04BC8B" w14:textId="4DF44E12" w:rsidR="00EB5790" w:rsidRDefault="006213A3" w:rsidP="00086C0F">
      <w:pPr>
        <w:rPr>
          <w:lang w:eastAsia="ja-JP"/>
        </w:rPr>
      </w:pPr>
      <w:r>
        <w:rPr>
          <w:lang w:eastAsia="ja-JP"/>
        </w:rPr>
        <w:t>By contrast, s</w:t>
      </w:r>
      <w:r w:rsidR="00D30058">
        <w:rPr>
          <w:lang w:eastAsia="ja-JP"/>
        </w:rPr>
        <w:t xml:space="preserve">ome </w:t>
      </w:r>
      <w:r>
        <w:rPr>
          <w:lang w:eastAsia="ja-JP"/>
        </w:rPr>
        <w:t>studies</w:t>
      </w:r>
      <w:r w:rsidR="00D30058">
        <w:rPr>
          <w:lang w:eastAsia="ja-JP"/>
        </w:rPr>
        <w:t xml:space="preserve"> have taken affordability of </w:t>
      </w:r>
      <w:r w:rsidR="003B34CA">
        <w:rPr>
          <w:lang w:eastAsia="ja-JP"/>
        </w:rPr>
        <w:t xml:space="preserve">utilities as a starting point and highlighted the struggles of waged poor households. For instance, the Public Interest Advocacy Centre’s 2013 study found that 44% of households disconnected from utilities included a member in paid employment </w:t>
      </w:r>
      <w:r w:rsidR="009829AA">
        <w:rPr>
          <w:lang w:eastAsia="ja-JP"/>
        </w:rPr>
        <w:fldChar w:fldCharType="begin"/>
      </w:r>
      <w:r w:rsidR="008E107E">
        <w:rPr>
          <w:lang w:eastAsia="ja-JP"/>
        </w:rPr>
        <w:instrText xml:space="preserve"> ADDIN ZOTERO_ITEM CSL_CITATION {"citationID":"Gp9YxiNn","properties":{"formattedCitation":"(Wallace, 2013)","plainCitation":"(Wallace, 2013)","noteIndex":0},"citationItems":[{"id":9,"uris":["http://zotero.org/groups/2380274/items/ULHNT3ZY"],"uri":["http://zotero.org/groups/2380274/items/ULHNT3ZY"],"itemData":{"id":9,"type":"report","event-place":"Sydney","publisher":"Public Interest Advocacy Centre","publisher-place":"Sydney","title":"Cut Off III: The Social Impact of Utility Disconnection","URL":"https://www.piac.asn.au/2013/04/11/cut-off-iii-7993/","author":[{"family":"Wallace","given":"Alison"}],"issued":{"date-parts":[["2013"]]}}}],"schema":"https://github.com/citation-style-language/schema/raw/master/csl-citation.json"} </w:instrText>
      </w:r>
      <w:r w:rsidR="009829AA">
        <w:rPr>
          <w:lang w:eastAsia="ja-JP"/>
        </w:rPr>
        <w:fldChar w:fldCharType="separate"/>
      </w:r>
      <w:r w:rsidR="009829AA" w:rsidRPr="009829AA">
        <w:rPr>
          <w:rFonts w:cs="Calibri"/>
        </w:rPr>
        <w:t>(Wallace, 2013)</w:t>
      </w:r>
      <w:r w:rsidR="009829AA">
        <w:rPr>
          <w:lang w:eastAsia="ja-JP"/>
        </w:rPr>
        <w:fldChar w:fldCharType="end"/>
      </w:r>
      <w:r w:rsidR="003B34CA">
        <w:rPr>
          <w:lang w:eastAsia="ja-JP"/>
        </w:rPr>
        <w:t xml:space="preserve">, and the Brotherhood of St Laurence’s 2015 study on fuel poverty identified that over 46% of households </w:t>
      </w:r>
      <w:r>
        <w:rPr>
          <w:lang w:eastAsia="ja-JP"/>
        </w:rPr>
        <w:t>who were unable</w:t>
      </w:r>
      <w:r w:rsidR="003B34CA">
        <w:rPr>
          <w:lang w:eastAsia="ja-JP"/>
        </w:rPr>
        <w:t xml:space="preserve"> to pay utilities bills on time were headed by a person in full-time employment</w:t>
      </w:r>
      <w:r>
        <w:rPr>
          <w:lang w:eastAsia="ja-JP"/>
        </w:rPr>
        <w:t xml:space="preserve">. </w:t>
      </w:r>
      <w:r w:rsidR="003B34CA">
        <w:rPr>
          <w:lang w:eastAsia="ja-JP"/>
        </w:rPr>
        <w:t>Similarly Andrew Nance’s work on energy poverty</w:t>
      </w:r>
      <w:r w:rsidR="009829AA">
        <w:rPr>
          <w:lang w:eastAsia="ja-JP"/>
        </w:rPr>
        <w:t xml:space="preserve"> </w:t>
      </w:r>
      <w:r w:rsidR="009829AA">
        <w:rPr>
          <w:lang w:eastAsia="ja-JP"/>
        </w:rPr>
        <w:fldChar w:fldCharType="begin"/>
      </w:r>
      <w:r w:rsidR="008E107E">
        <w:rPr>
          <w:lang w:eastAsia="ja-JP"/>
        </w:rPr>
        <w:instrText xml:space="preserve"> ADDIN ZOTERO_ITEM CSL_CITATION {"citationID":"aI8oSvbh","properties":{"formattedCitation":"(Nance, 2013)","plainCitation":"(Nance, 2013)","noteIndex":0},"citationItems":[{"id":65,"uris":["http://zotero.org/groups/2380274/items/8RV9XVZZ"],"uri":["http://zotero.org/groups/2380274/items/8RV9XVZZ"],"itemData":{"id":65,"type":"report","title":"Relative energy poverty in Australia","URL":"https://www.sacoss.org.au/sites/default/files/public/documents/Reports/131120_Relative_Energy_Poverty_in_Australia%20Report.pdf","author":[{"family":"Nance","given":"Andrew"}],"issued":{"date-parts":[["2013",11]]}}}],"schema":"https://github.com/citation-style-language/schema/raw/master/csl-citation.json"} </w:instrText>
      </w:r>
      <w:r w:rsidR="009829AA">
        <w:rPr>
          <w:lang w:eastAsia="ja-JP"/>
        </w:rPr>
        <w:fldChar w:fldCharType="separate"/>
      </w:r>
      <w:r w:rsidR="009829AA" w:rsidRPr="009829AA">
        <w:rPr>
          <w:rFonts w:cs="Calibri"/>
        </w:rPr>
        <w:t>(Nance, 2013)</w:t>
      </w:r>
      <w:r w:rsidR="009829AA">
        <w:rPr>
          <w:lang w:eastAsia="ja-JP"/>
        </w:rPr>
        <w:fldChar w:fldCharType="end"/>
      </w:r>
      <w:r w:rsidR="003B34CA">
        <w:rPr>
          <w:lang w:eastAsia="ja-JP"/>
        </w:rPr>
        <w:t xml:space="preserve">, which was a catalyst for SACOSS’ interest in </w:t>
      </w:r>
      <w:r>
        <w:rPr>
          <w:lang w:eastAsia="ja-JP"/>
        </w:rPr>
        <w:t>waged poverty</w:t>
      </w:r>
      <w:r w:rsidR="003B34CA">
        <w:rPr>
          <w:lang w:eastAsia="ja-JP"/>
        </w:rPr>
        <w:t xml:space="preserve">, drew attention to the existence of affordability issues </w:t>
      </w:r>
      <w:r w:rsidR="003B34CA">
        <w:rPr>
          <w:lang w:eastAsia="ja-JP"/>
        </w:rPr>
        <w:lastRenderedPageBreak/>
        <w:t>for waged poor households, but none of these reports went on to examine the specific characteristics of those waged poor households and how those characteristics may impact on affordability issues.</w:t>
      </w:r>
    </w:p>
    <w:p w14:paraId="6A655B5A" w14:textId="46A14564" w:rsidR="00AD27E8" w:rsidRDefault="006213A3" w:rsidP="003B34CA">
      <w:pPr>
        <w:rPr>
          <w:lang w:eastAsia="ja-JP"/>
        </w:rPr>
      </w:pPr>
      <w:r>
        <w:rPr>
          <w:lang w:eastAsia="ja-JP"/>
        </w:rPr>
        <w:t>Most</w:t>
      </w:r>
      <w:r w:rsidR="009B1934">
        <w:rPr>
          <w:lang w:eastAsia="ja-JP"/>
        </w:rPr>
        <w:t xml:space="preserve"> specific research</w:t>
      </w:r>
      <w:r w:rsidR="003B34CA">
        <w:rPr>
          <w:lang w:eastAsia="ja-JP"/>
        </w:rPr>
        <w:t xml:space="preserve"> </w:t>
      </w:r>
      <w:r w:rsidR="003B34CA" w:rsidRPr="00196FD3">
        <w:rPr>
          <w:lang w:eastAsia="ja-JP"/>
        </w:rPr>
        <w:t>on telecommunications affordability is</w:t>
      </w:r>
      <w:r>
        <w:rPr>
          <w:lang w:eastAsia="ja-JP"/>
        </w:rPr>
        <w:t xml:space="preserve"> also</w:t>
      </w:r>
      <w:r w:rsidR="003B34CA" w:rsidRPr="00196FD3">
        <w:rPr>
          <w:lang w:eastAsia="ja-JP"/>
        </w:rPr>
        <w:t xml:space="preserve"> </w:t>
      </w:r>
      <w:r w:rsidR="009B1934">
        <w:rPr>
          <w:lang w:eastAsia="ja-JP"/>
        </w:rPr>
        <w:t>too</w:t>
      </w:r>
      <w:r w:rsidR="003B34CA" w:rsidRPr="00196FD3">
        <w:rPr>
          <w:lang w:eastAsia="ja-JP"/>
        </w:rPr>
        <w:t xml:space="preserve"> generic</w:t>
      </w:r>
      <w:r w:rsidR="009B1934">
        <w:rPr>
          <w:lang w:eastAsia="ja-JP"/>
        </w:rPr>
        <w:t xml:space="preserve"> in that it does not focus</w:t>
      </w:r>
      <w:r w:rsidR="003B34CA" w:rsidRPr="00196FD3">
        <w:rPr>
          <w:lang w:eastAsia="ja-JP"/>
        </w:rPr>
        <w:t xml:space="preserve"> </w:t>
      </w:r>
      <w:r w:rsidR="003B34CA">
        <w:rPr>
          <w:lang w:eastAsia="ja-JP"/>
        </w:rPr>
        <w:t>on waged poor households</w:t>
      </w:r>
      <w:r w:rsidR="003B34CA" w:rsidRPr="00196FD3">
        <w:rPr>
          <w:lang w:eastAsia="ja-JP"/>
        </w:rPr>
        <w:t>. For instance, ABS household expenditure data shows</w:t>
      </w:r>
      <w:r w:rsidR="003B34CA">
        <w:rPr>
          <w:lang w:eastAsia="ja-JP"/>
        </w:rPr>
        <w:t xml:space="preserve"> </w:t>
      </w:r>
      <w:r w:rsidR="003B34CA" w:rsidRPr="00196FD3">
        <w:rPr>
          <w:lang w:eastAsia="ja-JP"/>
        </w:rPr>
        <w:t>telecommunications by income quintile, and for those reliant on Centrelink benefits, but</w:t>
      </w:r>
      <w:r w:rsidR="003B34CA">
        <w:rPr>
          <w:lang w:eastAsia="ja-JP"/>
        </w:rPr>
        <w:t xml:space="preserve"> </w:t>
      </w:r>
      <w:r w:rsidR="003B34CA" w:rsidRPr="00196FD3">
        <w:rPr>
          <w:lang w:eastAsia="ja-JP"/>
        </w:rPr>
        <w:t>not for those on low wage incomes</w:t>
      </w:r>
      <w:r w:rsidR="009829AA">
        <w:rPr>
          <w:lang w:eastAsia="ja-JP"/>
        </w:rPr>
        <w:t xml:space="preserve"> </w:t>
      </w:r>
      <w:r w:rsidR="009829AA">
        <w:rPr>
          <w:lang w:eastAsia="ja-JP"/>
        </w:rPr>
        <w:fldChar w:fldCharType="begin"/>
      </w:r>
      <w:r w:rsidR="001C60E1">
        <w:rPr>
          <w:lang w:eastAsia="ja-JP"/>
        </w:rPr>
        <w:instrText xml:space="preserve"> ADDIN ZOTERO_ITEM CSL_CITATION {"citationID":"hDZRRn3n","properties":{"formattedCitation":"(ABS, 2017a)","plainCitation":"(ABS, 2017a)","noteIndex":0},"citationItems":[{"id":39,"uris":["http://zotero.org/groups/2380274/items/939F6QPE"],"uri":["http://zotero.org/groups/2380274/items/939F6QPE"],"itemData":{"id":39,"type":"report","publisher":"Australian Bureau of Statistics","title":"6530.0 - Household Expenditure Survey, Australia: 2015-16","URL":"https://www.abs.gov.au/AUSSTATS/abs@.nsf/DetailsPage/6530.02015-16?OpenDocument","author":[{"family":"ABS","given":""}],"issued":{"date-parts":[["2017"]]}}}],"schema":"https://github.com/citation-style-language/schema/raw/master/csl-citation.json"} </w:instrText>
      </w:r>
      <w:r w:rsidR="009829AA">
        <w:rPr>
          <w:lang w:eastAsia="ja-JP"/>
        </w:rPr>
        <w:fldChar w:fldCharType="separate"/>
      </w:r>
      <w:r w:rsidR="001C60E1" w:rsidRPr="001C60E1">
        <w:rPr>
          <w:rFonts w:cs="Calibri"/>
        </w:rPr>
        <w:t>(ABS, 2017a)</w:t>
      </w:r>
      <w:r w:rsidR="009829AA">
        <w:rPr>
          <w:lang w:eastAsia="ja-JP"/>
        </w:rPr>
        <w:fldChar w:fldCharType="end"/>
      </w:r>
      <w:r w:rsidR="009829AA">
        <w:rPr>
          <w:lang w:eastAsia="ja-JP"/>
        </w:rPr>
        <w:t xml:space="preserve">. </w:t>
      </w:r>
      <w:r w:rsidR="00363577">
        <w:rPr>
          <w:lang w:eastAsia="ja-JP"/>
        </w:rPr>
        <w:t>T</w:t>
      </w:r>
      <w:r w:rsidR="003B34CA" w:rsidRPr="00196FD3">
        <w:rPr>
          <w:lang w:eastAsia="ja-JP"/>
        </w:rPr>
        <w:t>he Bureau of Communications and Arts</w:t>
      </w:r>
      <w:r w:rsidR="003B34CA">
        <w:rPr>
          <w:lang w:eastAsia="ja-JP"/>
        </w:rPr>
        <w:t xml:space="preserve"> </w:t>
      </w:r>
      <w:r w:rsidR="003B34CA" w:rsidRPr="00196FD3">
        <w:rPr>
          <w:lang w:eastAsia="ja-JP"/>
        </w:rPr>
        <w:t xml:space="preserve">Research's </w:t>
      </w:r>
      <w:r>
        <w:rPr>
          <w:lang w:eastAsia="ja-JP"/>
        </w:rPr>
        <w:t>research on affordability</w:t>
      </w:r>
      <w:r w:rsidR="003B34CA" w:rsidRPr="00196FD3">
        <w:rPr>
          <w:lang w:eastAsia="ja-JP"/>
        </w:rPr>
        <w:t xml:space="preserve"> </w:t>
      </w:r>
      <w:r w:rsidR="009829AA">
        <w:rPr>
          <w:lang w:eastAsia="ja-JP"/>
        </w:rPr>
        <w:fldChar w:fldCharType="begin"/>
      </w:r>
      <w:r w:rsidR="008E107E">
        <w:rPr>
          <w:lang w:eastAsia="ja-JP"/>
        </w:rPr>
        <w:instrText xml:space="preserve"> ADDIN ZOTERO_ITEM CSL_CITATION {"citationID":"DyH0egIg","properties":{"formattedCitation":"(BCAR, 2017)","plainCitation":"(BCAR, 2017)","noteIndex":0},"citationItems":[{"id":32,"uris":["http://zotero.org/groups/2380274/items/QB6H2QUY"],"uri":["http://zotero.org/groups/2380274/items/QB6H2QUY"],"itemData":{"id":32,"type":"report","genre":"Working Paper","publisher":"Bureau of Communications and Arts Research, Australian Government","title":"Trends and drivers in the affordability of communications services for Australian households","URL":"https://www.communications.gov.au/documents/trends-and-drivers-affordability-communications-services-australian-households","author":[{"family":"BCAR","given":""}],"issued":{"date-parts":[["2017"]]}}}],"schema":"https://github.com/citation-style-language/schema/raw/master/csl-citation.json"} </w:instrText>
      </w:r>
      <w:r w:rsidR="009829AA">
        <w:rPr>
          <w:lang w:eastAsia="ja-JP"/>
        </w:rPr>
        <w:fldChar w:fldCharType="separate"/>
      </w:r>
      <w:r w:rsidR="009829AA" w:rsidRPr="009829AA">
        <w:rPr>
          <w:rFonts w:cs="Calibri"/>
        </w:rPr>
        <w:t>(BCAR, 2017)</w:t>
      </w:r>
      <w:r w:rsidR="009829AA">
        <w:rPr>
          <w:lang w:eastAsia="ja-JP"/>
        </w:rPr>
        <w:fldChar w:fldCharType="end"/>
      </w:r>
      <w:r w:rsidR="003B34CA" w:rsidRPr="00196FD3">
        <w:rPr>
          <w:lang w:eastAsia="ja-JP"/>
        </w:rPr>
        <w:t xml:space="preserve"> confine</w:t>
      </w:r>
      <w:r w:rsidR="00363577">
        <w:rPr>
          <w:lang w:eastAsia="ja-JP"/>
        </w:rPr>
        <w:t>d</w:t>
      </w:r>
      <w:r w:rsidR="003B34CA" w:rsidRPr="00196FD3">
        <w:rPr>
          <w:lang w:eastAsia="ja-JP"/>
        </w:rPr>
        <w:t xml:space="preserve"> itself</w:t>
      </w:r>
      <w:r w:rsidR="003B34CA">
        <w:rPr>
          <w:lang w:eastAsia="ja-JP"/>
        </w:rPr>
        <w:t xml:space="preserve"> </w:t>
      </w:r>
      <w:r w:rsidR="003B34CA" w:rsidRPr="00196FD3">
        <w:rPr>
          <w:lang w:eastAsia="ja-JP"/>
        </w:rPr>
        <w:t>to income deciles without reference to the source of income</w:t>
      </w:r>
      <w:r w:rsidR="00051F48">
        <w:rPr>
          <w:lang w:eastAsia="ja-JP"/>
        </w:rPr>
        <w:t xml:space="preserve">, while </w:t>
      </w:r>
      <w:r w:rsidR="00AD27E8">
        <w:rPr>
          <w:lang w:eastAsia="ja-JP"/>
        </w:rPr>
        <w:t>its most recent report disaggregates the lowest income decile into students, pensioners and the unemployed without reference to waged poverty</w:t>
      </w:r>
      <w:r w:rsidR="00363577">
        <w:rPr>
          <w:lang w:eastAsia="ja-JP"/>
        </w:rPr>
        <w:t>. This</w:t>
      </w:r>
      <w:r w:rsidR="00AD27E8">
        <w:rPr>
          <w:lang w:eastAsia="ja-JP"/>
        </w:rPr>
        <w:t xml:space="preserve"> has implications for its calculation of essential data</w:t>
      </w:r>
      <w:r w:rsidR="00355F74">
        <w:rPr>
          <w:lang w:eastAsia="ja-JP"/>
        </w:rPr>
        <w:t>, which includes job searching, but not actual work use</w:t>
      </w:r>
      <w:r w:rsidR="00AD27E8">
        <w:rPr>
          <w:lang w:eastAsia="ja-JP"/>
        </w:rPr>
        <w:t xml:space="preserve"> </w:t>
      </w:r>
      <w:r w:rsidR="0077661E">
        <w:rPr>
          <w:lang w:eastAsia="ja-JP"/>
        </w:rPr>
        <w:fldChar w:fldCharType="begin"/>
      </w:r>
      <w:r w:rsidR="0077661E">
        <w:rPr>
          <w:lang w:eastAsia="ja-JP"/>
        </w:rPr>
        <w:instrText xml:space="preserve"> ADDIN ZOTERO_ITEM CSL_CITATION {"citationID":"LKbvLh1y","properties":{"formattedCitation":"(BCAR, 2020)","plainCitation":"(BCAR, 2020)","noteIndex":0},"citationItems":[{"id":88,"uris":["http://zotero.org/groups/2380274/items/RERVVSE9"],"uri":["http://zotero.org/groups/2380274/items/RERVVSE9"],"itemData":{"id":88,"type":"report","genre":"Working Paper","publisher":"Bureau of Communications and Arts Research, Australian Government","title":"Affordability of Communications Services for Low Income Households","URL":"https://www.communications.gov.au/documents/affordability-communications-services-low-income-households","author":[{"family":"BCAR","given":""}],"issued":{"date-parts":[["2020"]]}}}],"schema":"https://github.com/citation-style-language/schema/raw/master/csl-citation.json"} </w:instrText>
      </w:r>
      <w:r w:rsidR="0077661E">
        <w:rPr>
          <w:lang w:eastAsia="ja-JP"/>
        </w:rPr>
        <w:fldChar w:fldCharType="separate"/>
      </w:r>
      <w:r w:rsidR="0077661E" w:rsidRPr="0077661E">
        <w:rPr>
          <w:rFonts w:cs="Calibri"/>
        </w:rPr>
        <w:t>(BCAR, 2020)</w:t>
      </w:r>
      <w:r w:rsidR="0077661E">
        <w:rPr>
          <w:lang w:eastAsia="ja-JP"/>
        </w:rPr>
        <w:fldChar w:fldCharType="end"/>
      </w:r>
      <w:r w:rsidR="00AD27E8">
        <w:rPr>
          <w:lang w:eastAsia="ja-JP"/>
        </w:rPr>
        <w:t xml:space="preserve">. Similarly, </w:t>
      </w:r>
      <w:r w:rsidR="00051F48">
        <w:rPr>
          <w:lang w:eastAsia="ja-JP"/>
        </w:rPr>
        <w:t xml:space="preserve">the ACMA’s recent work on customer financial hardship notes a range of drivers of hardship including unemployment, illness, homelessness and natural disasters – but not </w:t>
      </w:r>
      <w:r w:rsidR="006B0F71">
        <w:rPr>
          <w:lang w:eastAsia="ja-JP"/>
        </w:rPr>
        <w:t xml:space="preserve">low or variable wages </w:t>
      </w:r>
      <w:r w:rsidR="006B0F71">
        <w:rPr>
          <w:lang w:eastAsia="ja-JP"/>
        </w:rPr>
        <w:fldChar w:fldCharType="begin"/>
      </w:r>
      <w:r w:rsidR="008E107E">
        <w:rPr>
          <w:lang w:eastAsia="ja-JP"/>
        </w:rPr>
        <w:instrText xml:space="preserve"> ADDIN ZOTERO_ITEM CSL_CITATION {"citationID":"SjSt6eUI","properties":{"formattedCitation":"(ACMA, 2020)","plainCitation":"(ACMA, 2020)","noteIndex":0},"citationItems":[{"id":4,"uris":["http://zotero.org/groups/2380274/items/RQQ9PIF2"],"uri":["http://zotero.org/groups/2380274/items/RQQ9PIF2"],"itemData":{"id":4,"type":"report","publisher":"Australian Communications and Media Authority","title":"Customer Financial Hardship in the Telco Industry: State of Play Report 2018-19","URL":"https://www.acma.gov.au/sites/default/files/2020-03/Customer%20financial%20hardship%20in%20the%20telco%20industry%20State%20of%20play%20report%202018-19.pdf","author":[{"family":"ACMA","given":""}],"issued":{"date-parts":[["2020"]]}}}],"schema":"https://github.com/citation-style-language/schema/raw/master/csl-citation.json"} </w:instrText>
      </w:r>
      <w:r w:rsidR="006B0F71">
        <w:rPr>
          <w:lang w:eastAsia="ja-JP"/>
        </w:rPr>
        <w:fldChar w:fldCharType="separate"/>
      </w:r>
      <w:r w:rsidR="006B0F71" w:rsidRPr="006B0F71">
        <w:rPr>
          <w:rFonts w:cs="Calibri"/>
        </w:rPr>
        <w:t>(ACMA, 2020)</w:t>
      </w:r>
      <w:r w:rsidR="006B0F71">
        <w:rPr>
          <w:lang w:eastAsia="ja-JP"/>
        </w:rPr>
        <w:fldChar w:fldCharType="end"/>
      </w:r>
      <w:r w:rsidR="003B34CA">
        <w:rPr>
          <w:lang w:eastAsia="ja-JP"/>
        </w:rPr>
        <w:t xml:space="preserve">. </w:t>
      </w:r>
    </w:p>
    <w:p w14:paraId="39C210AA" w14:textId="453BF833" w:rsidR="003B34CA" w:rsidRPr="00196FD3" w:rsidRDefault="002B2040" w:rsidP="003B34CA">
      <w:pPr>
        <w:rPr>
          <w:lang w:eastAsia="ja-JP"/>
        </w:rPr>
      </w:pPr>
      <w:r w:rsidRPr="00196FD3">
        <w:rPr>
          <w:lang w:eastAsia="ja-JP"/>
        </w:rPr>
        <w:t>SACOSS' own work in both the Cost of Living Reports</w:t>
      </w:r>
      <w:r w:rsidR="003F2A28">
        <w:rPr>
          <w:lang w:eastAsia="ja-JP"/>
        </w:rPr>
        <w:t xml:space="preserve"> </w:t>
      </w:r>
      <w:r w:rsidR="003F2A28">
        <w:rPr>
          <w:lang w:eastAsia="ja-JP"/>
        </w:rPr>
        <w:fldChar w:fldCharType="begin"/>
      </w:r>
      <w:r w:rsidR="008E107E">
        <w:rPr>
          <w:lang w:eastAsia="ja-JP"/>
        </w:rPr>
        <w:instrText xml:space="preserve"> ADDIN ZOTERO_ITEM CSL_CITATION {"citationID":"vkjteIBy","properties":{"formattedCitation":"(SACOSS, 2018)","plainCitation":"(SACOSS, 2018)","noteIndex":0},"citationItems":[{"id":8,"uris":["http://zotero.org/groups/2380274/items/CCSJ5PJA"],"uri":["http://zotero.org/groups/2380274/items/CCSJ5PJA"],"itemData":{"id":8,"type":"report","event-place":"Adelaide","number":"33","publisher":"South Australian Council of Social Service","publisher-place":"Adelaide","title":"Cost of Living Update: December Qtr 2017","author":[{"family":"SACOSS","given":""}],"issued":{"date-parts":[["2018"]]}}}],"schema":"https://github.com/citation-style-language/schema/raw/master/csl-citation.json"} </w:instrText>
      </w:r>
      <w:r w:rsidR="003F2A28">
        <w:rPr>
          <w:lang w:eastAsia="ja-JP"/>
        </w:rPr>
        <w:fldChar w:fldCharType="separate"/>
      </w:r>
      <w:r w:rsidR="003F2A28" w:rsidRPr="003F2A28">
        <w:rPr>
          <w:rFonts w:cs="Calibri"/>
        </w:rPr>
        <w:t>(SACOSS, 2018)</w:t>
      </w:r>
      <w:r w:rsidR="003F2A28">
        <w:rPr>
          <w:lang w:eastAsia="ja-JP"/>
        </w:rPr>
        <w:fldChar w:fldCharType="end"/>
      </w:r>
      <w:r>
        <w:rPr>
          <w:lang w:eastAsia="ja-JP"/>
        </w:rPr>
        <w:t xml:space="preserve"> </w:t>
      </w:r>
      <w:r w:rsidRPr="00196FD3">
        <w:rPr>
          <w:lang w:eastAsia="ja-JP"/>
        </w:rPr>
        <w:t xml:space="preserve">and the ACCAN-funded </w:t>
      </w:r>
      <w:r w:rsidRPr="00D448CE">
        <w:rPr>
          <w:i/>
          <w:lang w:eastAsia="ja-JP"/>
        </w:rPr>
        <w:t>Connectivity Costs</w:t>
      </w:r>
      <w:r w:rsidRPr="00196FD3">
        <w:rPr>
          <w:lang w:eastAsia="ja-JP"/>
        </w:rPr>
        <w:t xml:space="preserve"> report</w:t>
      </w:r>
      <w:r w:rsidR="009829AA">
        <w:rPr>
          <w:lang w:eastAsia="ja-JP"/>
        </w:rPr>
        <w:t xml:space="preserve"> </w:t>
      </w:r>
      <w:r w:rsidR="009829AA">
        <w:rPr>
          <w:lang w:eastAsia="ja-JP"/>
        </w:rPr>
        <w:fldChar w:fldCharType="begin"/>
      </w:r>
      <w:r w:rsidR="008E107E">
        <w:rPr>
          <w:lang w:eastAsia="ja-JP"/>
        </w:rPr>
        <w:instrText xml:space="preserve"> ADDIN ZOTERO_ITEM CSL_CITATION {"citationID":"mg9jbwYc","properties":{"formattedCitation":"(Ogle and Musolino, 2016)","plainCitation":"(Ogle and Musolino, 2016)","noteIndex":0},"citationItems":[{"id":42,"uris":["http://zotero.org/groups/2380274/items/YQCAJU4B"],"uri":["http://zotero.org/groups/2380274/items/YQCAJU4B"],"itemData":{"id":42,"type":"report","event-place":"Adelaide","publisher":"South Australian Council of Social Service","publisher-place":"Adelaide","title":"Connectivity Costs: Telecommunications Affordability for Low Income Australians","author":[{"family":"Ogle","given":"Greg"},{"family":"Musolino","given":"Vanessa"}],"issued":{"date-parts":[["2016"]]}}}],"schema":"https://github.com/citation-style-language/schema/raw/master/csl-citation.json"} </w:instrText>
      </w:r>
      <w:r w:rsidR="009829AA">
        <w:rPr>
          <w:lang w:eastAsia="ja-JP"/>
        </w:rPr>
        <w:fldChar w:fldCharType="separate"/>
      </w:r>
      <w:r w:rsidR="009829AA" w:rsidRPr="009829AA">
        <w:rPr>
          <w:rFonts w:cs="Calibri"/>
        </w:rPr>
        <w:t>(Ogle and Musolino, 2016)</w:t>
      </w:r>
      <w:r w:rsidR="009829AA">
        <w:rPr>
          <w:lang w:eastAsia="ja-JP"/>
        </w:rPr>
        <w:fldChar w:fldCharType="end"/>
      </w:r>
      <w:r w:rsidRPr="00196FD3">
        <w:rPr>
          <w:lang w:eastAsia="ja-JP"/>
        </w:rPr>
        <w:t xml:space="preserve"> </w:t>
      </w:r>
      <w:r w:rsidR="006B0F71">
        <w:rPr>
          <w:lang w:eastAsia="ja-JP"/>
        </w:rPr>
        <w:t xml:space="preserve">focus </w:t>
      </w:r>
      <w:r w:rsidRPr="00196FD3">
        <w:rPr>
          <w:lang w:eastAsia="ja-JP"/>
        </w:rPr>
        <w:t>almost exclusively on those on Centrelink benefits</w:t>
      </w:r>
      <w:r w:rsidR="00462608">
        <w:rPr>
          <w:lang w:eastAsia="ja-JP"/>
        </w:rPr>
        <w:t xml:space="preserve">, while NCOSS telecommunications findings in their 2019 cost of living survey only had limited reporting by income-type </w:t>
      </w:r>
      <w:r w:rsidR="0000181F">
        <w:rPr>
          <w:lang w:eastAsia="ja-JP"/>
        </w:rPr>
        <w:fldChar w:fldCharType="begin"/>
      </w:r>
      <w:r w:rsidR="0000181F">
        <w:rPr>
          <w:lang w:eastAsia="ja-JP"/>
        </w:rPr>
        <w:instrText xml:space="preserve"> ADDIN ZOTERO_ITEM CSL_CITATION {"citationID":"4i27Olq2","properties":{"formattedCitation":"(NCOSS, 2019)","plainCitation":"(NCOSS, 2019)","noteIndex":0},"citationItems":[{"id":89,"uris":["http://zotero.org/groups/2380274/items/SN6GL6JE"],"uri":["http://zotero.org/groups/2380274/items/SN6GL6JE"],"itemData":{"id":89,"type":"report","publisher":"NSW Council of Social Service","title":"The Cost of Staying Connected: Telecommunications Findings from the 2019 Cost of Living in NSW Survey","URL":"https://www.ncoss.org.au/sites/default/files/public/policy/AB%20Telecommunications%20CoLiN%20results%20final.pdf","author":[{"family":"NCOSS","given":""}],"issued":{"date-parts":[["2019"]]}}}],"schema":"https://github.com/citation-style-language/schema/raw/master/csl-citation.json"} </w:instrText>
      </w:r>
      <w:r w:rsidR="0000181F">
        <w:rPr>
          <w:lang w:eastAsia="ja-JP"/>
        </w:rPr>
        <w:fldChar w:fldCharType="separate"/>
      </w:r>
      <w:r w:rsidR="0000181F" w:rsidRPr="0000181F">
        <w:rPr>
          <w:rFonts w:cs="Calibri"/>
        </w:rPr>
        <w:t>(NCOSS, 2019)</w:t>
      </w:r>
      <w:r w:rsidR="0000181F">
        <w:rPr>
          <w:lang w:eastAsia="ja-JP"/>
        </w:rPr>
        <w:fldChar w:fldCharType="end"/>
      </w:r>
      <w:r w:rsidR="00462608">
        <w:rPr>
          <w:lang w:eastAsia="ja-JP"/>
        </w:rPr>
        <w:t>.</w:t>
      </w:r>
      <w:r w:rsidRPr="00196FD3">
        <w:rPr>
          <w:lang w:eastAsia="ja-JP"/>
        </w:rPr>
        <w:t xml:space="preserve"> </w:t>
      </w:r>
      <w:r w:rsidR="003B34CA">
        <w:rPr>
          <w:lang w:eastAsia="ja-JP"/>
        </w:rPr>
        <w:t>T</w:t>
      </w:r>
      <w:r w:rsidR="003B34CA" w:rsidRPr="00196FD3">
        <w:rPr>
          <w:lang w:eastAsia="ja-JP"/>
        </w:rPr>
        <w:t>he Australian Digital</w:t>
      </w:r>
      <w:r w:rsidR="003B34CA">
        <w:rPr>
          <w:lang w:eastAsia="ja-JP"/>
        </w:rPr>
        <w:t xml:space="preserve"> </w:t>
      </w:r>
      <w:r w:rsidR="003B34CA" w:rsidRPr="00196FD3">
        <w:rPr>
          <w:lang w:eastAsia="ja-JP"/>
        </w:rPr>
        <w:t xml:space="preserve">Inclusion Index </w:t>
      </w:r>
      <w:r w:rsidR="003B34CA" w:rsidRPr="003F2A28">
        <w:rPr>
          <w:lang w:eastAsia="ja-JP"/>
        </w:rPr>
        <w:fldChar w:fldCharType="begin"/>
      </w:r>
      <w:r w:rsidR="008E107E">
        <w:rPr>
          <w:lang w:eastAsia="ja-JP"/>
        </w:rPr>
        <w:instrText xml:space="preserve"> ADDIN ZOTERO_ITEM CSL_CITATION {"citationID":"LfgIaJeK","properties":{"formattedCitation":"(Thomas et al., 2019)","plainCitation":"(Thomas et al., 2019)","noteIndex":0},"citationItems":[{"id":41,"uris":["http://zotero.org/groups/2380274/items/L56PMGUF"],"uri":["http://zotero.org/groups/2380274/items/L56PMGUF"],"itemData":{"id":41,"type":"report","event-place":"Melbourne","publisher":"RMIT University and Swinburne Institute of Technology, for Telstra","publisher-place":"Melbourne","title":"Measuring Australia's Digital Divide: The Australian Digital Inclusion Index 2019","title-short":"Australian Digital Inclusion Index","author":[{"family":"Thomas","given":"Julian"},{"family":"Barraket","given":"Jo"},{"family":"Wilson","given":"Chris"},{"family":"Rennie","given":"E"},{"family":"Ewing","given":"Scott"},{"family":"MacDonald","given":"T"}],"issued":{"date-parts":[["2019"]]}}}],"schema":"https://github.com/citation-style-language/schema/raw/master/csl-citation.json"} </w:instrText>
      </w:r>
      <w:r w:rsidR="003B34CA" w:rsidRPr="003F2A28">
        <w:rPr>
          <w:lang w:eastAsia="ja-JP"/>
        </w:rPr>
        <w:fldChar w:fldCharType="separate"/>
      </w:r>
      <w:r w:rsidR="003F2A28" w:rsidRPr="003F2A28">
        <w:rPr>
          <w:rFonts w:cs="Calibri"/>
        </w:rPr>
        <w:t>(Thomas et al., 2019)</w:t>
      </w:r>
      <w:r w:rsidR="003B34CA" w:rsidRPr="003F2A28">
        <w:rPr>
          <w:lang w:eastAsia="ja-JP"/>
        </w:rPr>
        <w:fldChar w:fldCharType="end"/>
      </w:r>
      <w:r w:rsidR="003B34CA">
        <w:rPr>
          <w:lang w:eastAsia="ja-JP"/>
        </w:rPr>
        <w:t xml:space="preserve"> </w:t>
      </w:r>
      <w:r w:rsidR="003B34CA" w:rsidRPr="00196FD3">
        <w:rPr>
          <w:lang w:eastAsia="ja-JP"/>
        </w:rPr>
        <w:t xml:space="preserve">tracks affordability </w:t>
      </w:r>
      <w:r w:rsidR="00462608">
        <w:rPr>
          <w:lang w:eastAsia="ja-JP"/>
        </w:rPr>
        <w:t xml:space="preserve">separately </w:t>
      </w:r>
      <w:r w:rsidR="003B34CA" w:rsidRPr="00196FD3">
        <w:rPr>
          <w:lang w:eastAsia="ja-JP"/>
        </w:rPr>
        <w:t>by income quintile and by employment status but does</w:t>
      </w:r>
      <w:r w:rsidR="003B34CA">
        <w:rPr>
          <w:lang w:eastAsia="ja-JP"/>
        </w:rPr>
        <w:t xml:space="preserve"> </w:t>
      </w:r>
      <w:r w:rsidR="003B34CA" w:rsidRPr="00196FD3">
        <w:rPr>
          <w:lang w:eastAsia="ja-JP"/>
        </w:rPr>
        <w:t>not reference the overlap of employment with low income.</w:t>
      </w:r>
    </w:p>
    <w:p w14:paraId="65062073" w14:textId="77777777" w:rsidR="00035AD1" w:rsidRDefault="009B1934" w:rsidP="002F5398">
      <w:pPr>
        <w:rPr>
          <w:lang w:eastAsia="ja-JP"/>
        </w:rPr>
      </w:pPr>
      <w:r w:rsidRPr="00196FD3">
        <w:rPr>
          <w:lang w:eastAsia="ja-JP"/>
        </w:rPr>
        <w:t xml:space="preserve">To SACOSS' knowledge there is no work specifically looking at the </w:t>
      </w:r>
      <w:r>
        <w:rPr>
          <w:lang w:eastAsia="ja-JP"/>
        </w:rPr>
        <w:t>waged</w:t>
      </w:r>
      <w:r w:rsidRPr="00196FD3">
        <w:rPr>
          <w:lang w:eastAsia="ja-JP"/>
        </w:rPr>
        <w:t xml:space="preserve"> poor</w:t>
      </w:r>
      <w:r>
        <w:rPr>
          <w:lang w:eastAsia="ja-JP"/>
        </w:rPr>
        <w:t xml:space="preserve"> households</w:t>
      </w:r>
      <w:r w:rsidRPr="00196FD3">
        <w:rPr>
          <w:lang w:eastAsia="ja-JP"/>
        </w:rPr>
        <w:t xml:space="preserve"> in relation</w:t>
      </w:r>
      <w:r>
        <w:rPr>
          <w:lang w:eastAsia="ja-JP"/>
        </w:rPr>
        <w:t xml:space="preserve"> </w:t>
      </w:r>
      <w:r w:rsidRPr="00196FD3">
        <w:rPr>
          <w:lang w:eastAsia="ja-JP"/>
        </w:rPr>
        <w:t>to telecommunications</w:t>
      </w:r>
      <w:r>
        <w:rPr>
          <w:lang w:eastAsia="ja-JP"/>
        </w:rPr>
        <w:t xml:space="preserve"> affordability. </w:t>
      </w:r>
    </w:p>
    <w:p w14:paraId="3717BBB0" w14:textId="461A60A6" w:rsidR="002F5398" w:rsidRDefault="002F5398" w:rsidP="002F5398">
      <w:pPr>
        <w:rPr>
          <w:lang w:eastAsia="ja-JP"/>
        </w:rPr>
      </w:pPr>
      <w:r>
        <w:rPr>
          <w:lang w:eastAsia="ja-JP"/>
        </w:rPr>
        <w:t xml:space="preserve">Accordingly, this research </w:t>
      </w:r>
      <w:r w:rsidR="00BA124D">
        <w:rPr>
          <w:lang w:eastAsia="ja-JP"/>
        </w:rPr>
        <w:t>takes</w:t>
      </w:r>
      <w:r>
        <w:rPr>
          <w:lang w:eastAsia="ja-JP"/>
        </w:rPr>
        <w:t xml:space="preserve"> its starting point from the research done by SACOSS in relation to energy affordability for waged poor households</w:t>
      </w:r>
      <w:r w:rsidR="00AD27E8">
        <w:rPr>
          <w:lang w:eastAsia="ja-JP"/>
        </w:rPr>
        <w:t>.</w:t>
      </w:r>
      <w:r>
        <w:rPr>
          <w:lang w:eastAsia="ja-JP"/>
        </w:rPr>
        <w:t xml:space="preserve"> </w:t>
      </w:r>
      <w:r w:rsidRPr="00196FD3">
        <w:rPr>
          <w:lang w:eastAsia="ja-JP"/>
        </w:rPr>
        <w:t>That research defin</w:t>
      </w:r>
      <w:r>
        <w:rPr>
          <w:lang w:eastAsia="ja-JP"/>
        </w:rPr>
        <w:t>ed</w:t>
      </w:r>
      <w:r w:rsidRPr="00196FD3">
        <w:rPr>
          <w:lang w:eastAsia="ja-JP"/>
        </w:rPr>
        <w:t xml:space="preserve"> the </w:t>
      </w:r>
      <w:r w:rsidR="005E7067">
        <w:rPr>
          <w:lang w:eastAsia="ja-JP"/>
        </w:rPr>
        <w:t>waged</w:t>
      </w:r>
      <w:r w:rsidRPr="00196FD3">
        <w:rPr>
          <w:lang w:eastAsia="ja-JP"/>
        </w:rPr>
        <w:t xml:space="preserve"> poor cohort,</w:t>
      </w:r>
      <w:r>
        <w:rPr>
          <w:lang w:eastAsia="ja-JP"/>
        </w:rPr>
        <w:t xml:space="preserve"> mapped</w:t>
      </w:r>
      <w:r w:rsidRPr="00196FD3">
        <w:rPr>
          <w:lang w:eastAsia="ja-JP"/>
        </w:rPr>
        <w:t xml:space="preserve"> their demographic character</w:t>
      </w:r>
      <w:r>
        <w:rPr>
          <w:lang w:eastAsia="ja-JP"/>
        </w:rPr>
        <w:t>istics, compared</w:t>
      </w:r>
      <w:r w:rsidRPr="00196FD3">
        <w:rPr>
          <w:lang w:eastAsia="ja-JP"/>
        </w:rPr>
        <w:t xml:space="preserve"> these households</w:t>
      </w:r>
      <w:r>
        <w:rPr>
          <w:lang w:eastAsia="ja-JP"/>
        </w:rPr>
        <w:t xml:space="preserve"> to </w:t>
      </w:r>
      <w:r w:rsidRPr="00196FD3">
        <w:rPr>
          <w:lang w:eastAsia="ja-JP"/>
        </w:rPr>
        <w:t xml:space="preserve">Centrelink-reliant and other </w:t>
      </w:r>
      <w:r>
        <w:rPr>
          <w:lang w:eastAsia="ja-JP"/>
        </w:rPr>
        <w:t>low</w:t>
      </w:r>
      <w:r w:rsidR="00CE62F4">
        <w:rPr>
          <w:lang w:eastAsia="ja-JP"/>
        </w:rPr>
        <w:t>-</w:t>
      </w:r>
      <w:r>
        <w:rPr>
          <w:lang w:eastAsia="ja-JP"/>
        </w:rPr>
        <w:t>income households, and flagged</w:t>
      </w:r>
      <w:r w:rsidRPr="00196FD3">
        <w:rPr>
          <w:lang w:eastAsia="ja-JP"/>
        </w:rPr>
        <w:t xml:space="preserve"> issues of specific relevance</w:t>
      </w:r>
      <w:r>
        <w:rPr>
          <w:lang w:eastAsia="ja-JP"/>
        </w:rPr>
        <w:t xml:space="preserve"> </w:t>
      </w:r>
      <w:r w:rsidRPr="00196FD3">
        <w:rPr>
          <w:lang w:eastAsia="ja-JP"/>
        </w:rPr>
        <w:t>(e.g. not being connected to traditional welfare supports)</w:t>
      </w:r>
      <w:r w:rsidR="00AD27E8" w:rsidRPr="00AD27E8">
        <w:rPr>
          <w:lang w:eastAsia="ja-JP"/>
        </w:rPr>
        <w:t xml:space="preserve"> </w:t>
      </w:r>
      <w:r w:rsidR="00AD27E8">
        <w:rPr>
          <w:lang w:eastAsia="ja-JP"/>
        </w:rPr>
        <w:fldChar w:fldCharType="begin"/>
      </w:r>
      <w:r w:rsidR="008E107E">
        <w:rPr>
          <w:lang w:eastAsia="ja-JP"/>
        </w:rPr>
        <w:instrText xml:space="preserve"> ADDIN ZOTERO_ITEM CSL_CITATION {"citationID":"GdMM4iED","properties":{"formattedCitation":"(Law et al., 2019)","plainCitation":"(Law et al., 2019)","noteIndex":0},"citationItems":[{"id":43,"uris":["http://zotero.org/groups/2380274/items/86GNJIMM"],"uri":["http://zotero.org/groups/2380274/items/86GNJIMM"],"itemData":{"id":43,"type":"report","event-place":"Adelaide","publisher":"South Australian Council of Social Service","publisher-place":"Adelaide","title":"Working to Make Ends Meet: Low-income Workers and Energy Bill Stress","author":[{"family":"Law","given":"Rebecca"},{"family":"Ogle","given":"Greg"},{"family":"Foley","given":"Kirsten"}],"issued":{"date-parts":[["2019"]]}}}],"schema":"https://github.com/citation-style-language/schema/raw/master/csl-citation.json"} </w:instrText>
      </w:r>
      <w:r w:rsidR="00AD27E8">
        <w:rPr>
          <w:lang w:eastAsia="ja-JP"/>
        </w:rPr>
        <w:fldChar w:fldCharType="separate"/>
      </w:r>
      <w:r w:rsidR="00AD27E8" w:rsidRPr="003F2A28">
        <w:rPr>
          <w:rFonts w:cs="Calibri"/>
        </w:rPr>
        <w:t>(Law et al., 2019)</w:t>
      </w:r>
      <w:r w:rsidR="00AD27E8">
        <w:rPr>
          <w:lang w:eastAsia="ja-JP"/>
        </w:rPr>
        <w:fldChar w:fldCharType="end"/>
      </w:r>
      <w:r w:rsidR="00AD27E8">
        <w:rPr>
          <w:lang w:eastAsia="ja-JP"/>
        </w:rPr>
        <w:t>.</w:t>
      </w:r>
      <w:r w:rsidR="009B1934">
        <w:rPr>
          <w:lang w:eastAsia="ja-JP"/>
        </w:rPr>
        <w:t xml:space="preserve"> This data is summarised below.</w:t>
      </w:r>
    </w:p>
    <w:p w14:paraId="24881599" w14:textId="77777777" w:rsidR="002F5398" w:rsidRDefault="009B1934" w:rsidP="009B1934">
      <w:pPr>
        <w:pStyle w:val="Heading2"/>
        <w:rPr>
          <w:lang w:eastAsia="ja-JP"/>
        </w:rPr>
      </w:pPr>
      <w:bookmarkStart w:id="10" w:name="_Toc42719015"/>
      <w:r>
        <w:rPr>
          <w:lang w:eastAsia="ja-JP"/>
        </w:rPr>
        <w:t>A Profile of Waged Poverty in Australia</w:t>
      </w:r>
      <w:bookmarkEnd w:id="10"/>
    </w:p>
    <w:p w14:paraId="13B14D13" w14:textId="77777777" w:rsidR="00703068" w:rsidRDefault="00703068" w:rsidP="004E7753">
      <w:pPr>
        <w:pStyle w:val="Heading3"/>
      </w:pPr>
      <w:bookmarkStart w:id="11" w:name="_Toc42719016"/>
      <w:r>
        <w:t>Prevalence</w:t>
      </w:r>
      <w:bookmarkEnd w:id="11"/>
    </w:p>
    <w:p w14:paraId="13E6981D" w14:textId="77777777" w:rsidR="004E7753" w:rsidRDefault="00FF1B4F" w:rsidP="00051F48">
      <w:pPr>
        <w:rPr>
          <w:lang w:eastAsia="ja-JP"/>
        </w:rPr>
      </w:pPr>
      <w:r w:rsidRPr="00FF1B4F">
        <w:rPr>
          <w:lang w:eastAsia="ja-JP"/>
        </w:rPr>
        <w:t xml:space="preserve">Drawing on after-housing cost </w:t>
      </w:r>
      <w:r w:rsidR="004E7753" w:rsidRPr="00FF1B4F">
        <w:rPr>
          <w:lang w:eastAsia="ja-JP"/>
        </w:rPr>
        <w:t xml:space="preserve">data </w:t>
      </w:r>
      <w:r w:rsidRPr="00FF1B4F">
        <w:rPr>
          <w:lang w:eastAsia="ja-JP"/>
        </w:rPr>
        <w:t xml:space="preserve">from the ABS </w:t>
      </w:r>
      <w:r w:rsidRPr="00FF1B4F">
        <w:rPr>
          <w:i/>
          <w:iCs/>
          <w:lang w:eastAsia="ja-JP"/>
        </w:rPr>
        <w:t xml:space="preserve">Household Expenditure Survey </w:t>
      </w:r>
      <w:r w:rsidRPr="00FF1B4F">
        <w:rPr>
          <w:lang w:eastAsia="ja-JP"/>
        </w:rPr>
        <w:t>(HES), our research found that in Australia (in 2015-16)</w:t>
      </w:r>
      <w:r w:rsidR="00051F48">
        <w:rPr>
          <w:lang w:eastAsia="ja-JP"/>
        </w:rPr>
        <w:t xml:space="preserve"> </w:t>
      </w:r>
      <w:r w:rsidR="004E7753">
        <w:rPr>
          <w:lang w:eastAsia="ja-JP"/>
        </w:rPr>
        <w:t xml:space="preserve">there were </w:t>
      </w:r>
      <w:r w:rsidRPr="00FF1B4F">
        <w:rPr>
          <w:lang w:eastAsia="ja-JP"/>
        </w:rPr>
        <w:t>249,818 waged po</w:t>
      </w:r>
      <w:r w:rsidR="00051F48">
        <w:rPr>
          <w:lang w:eastAsia="ja-JP"/>
        </w:rPr>
        <w:t>or households:</w:t>
      </w:r>
    </w:p>
    <w:p w14:paraId="10664B95" w14:textId="77777777" w:rsidR="004E7753" w:rsidRDefault="00E23713" w:rsidP="00051F48">
      <w:pPr>
        <w:numPr>
          <w:ilvl w:val="0"/>
          <w:numId w:val="11"/>
        </w:numPr>
        <w:rPr>
          <w:lang w:eastAsia="ja-JP"/>
        </w:rPr>
      </w:pPr>
      <w:r>
        <w:rPr>
          <w:lang w:eastAsia="ja-JP"/>
        </w:rPr>
        <w:t xml:space="preserve">equating to </w:t>
      </w:r>
      <w:r w:rsidR="00051F48">
        <w:rPr>
          <w:lang w:eastAsia="ja-JP"/>
        </w:rPr>
        <w:t>23.8</w:t>
      </w:r>
      <w:r>
        <w:rPr>
          <w:lang w:eastAsia="ja-JP"/>
        </w:rPr>
        <w:t xml:space="preserve">% of households in poverty and </w:t>
      </w:r>
      <w:r w:rsidR="00FF1B4F" w:rsidRPr="00FF1B4F">
        <w:rPr>
          <w:lang w:eastAsia="ja-JP"/>
        </w:rPr>
        <w:t xml:space="preserve">representing 3.2% of all </w:t>
      </w:r>
      <w:r w:rsidR="009F169A">
        <w:rPr>
          <w:lang w:eastAsia="ja-JP"/>
        </w:rPr>
        <w:t xml:space="preserve">Australian </w:t>
      </w:r>
      <w:r w:rsidR="00FF1B4F" w:rsidRPr="00FF1B4F">
        <w:rPr>
          <w:lang w:eastAsia="ja-JP"/>
        </w:rPr>
        <w:t>households</w:t>
      </w:r>
      <w:r w:rsidR="004E7753">
        <w:rPr>
          <w:lang w:eastAsia="ja-JP"/>
        </w:rPr>
        <w:t>; and</w:t>
      </w:r>
    </w:p>
    <w:p w14:paraId="3F6E4BB3" w14:textId="77777777" w:rsidR="00035AD1" w:rsidRDefault="004E7753" w:rsidP="00051F48">
      <w:pPr>
        <w:numPr>
          <w:ilvl w:val="0"/>
          <w:numId w:val="11"/>
        </w:numPr>
        <w:rPr>
          <w:lang w:eastAsia="ja-JP"/>
        </w:rPr>
      </w:pPr>
      <w:r>
        <w:rPr>
          <w:lang w:eastAsia="ja-JP"/>
        </w:rPr>
        <w:t>accounting</w:t>
      </w:r>
      <w:r w:rsidR="00035AD1">
        <w:rPr>
          <w:lang w:eastAsia="ja-JP"/>
        </w:rPr>
        <w:t xml:space="preserve"> for 685,744 people, including 177,481 children.</w:t>
      </w:r>
    </w:p>
    <w:p w14:paraId="055AF131" w14:textId="08262521" w:rsidR="00B55B0B" w:rsidRPr="00FF1B4F" w:rsidRDefault="009F169A" w:rsidP="00315BD8">
      <w:pPr>
        <w:rPr>
          <w:lang w:eastAsia="ja-JP"/>
        </w:rPr>
      </w:pPr>
      <w:r>
        <w:rPr>
          <w:lang w:eastAsia="ja-JP"/>
        </w:rPr>
        <w:t xml:space="preserve">This </w:t>
      </w:r>
      <w:r w:rsidR="00035AD1">
        <w:rPr>
          <w:lang w:eastAsia="ja-JP"/>
        </w:rPr>
        <w:t xml:space="preserve">estimate </w:t>
      </w:r>
      <w:r w:rsidR="008E107E">
        <w:rPr>
          <w:lang w:eastAsia="ja-JP"/>
        </w:rPr>
        <w:t xml:space="preserve">is </w:t>
      </w:r>
      <w:r w:rsidR="00035AD1">
        <w:rPr>
          <w:lang w:eastAsia="ja-JP"/>
        </w:rPr>
        <w:t>higher than Payne</w:t>
      </w:r>
      <w:r w:rsidR="008E107E">
        <w:rPr>
          <w:lang w:eastAsia="ja-JP"/>
        </w:rPr>
        <w:t xml:space="preserve">’s study, </w:t>
      </w:r>
      <w:r w:rsidR="00657142">
        <w:rPr>
          <w:lang w:eastAsia="ja-JP"/>
        </w:rPr>
        <w:t xml:space="preserve">in part due to methodological differences but </w:t>
      </w:r>
      <w:r w:rsidR="008E107E">
        <w:rPr>
          <w:lang w:eastAsia="ja-JP"/>
        </w:rPr>
        <w:t>perhaps</w:t>
      </w:r>
      <w:r w:rsidR="00657142">
        <w:rPr>
          <w:lang w:eastAsia="ja-JP"/>
        </w:rPr>
        <w:t xml:space="preserve"> also</w:t>
      </w:r>
      <w:r w:rsidR="008E107E">
        <w:rPr>
          <w:lang w:eastAsia="ja-JP"/>
        </w:rPr>
        <w:t xml:space="preserve"> in part because</w:t>
      </w:r>
      <w:r w:rsidR="00363577">
        <w:rPr>
          <w:lang w:eastAsia="ja-JP"/>
        </w:rPr>
        <w:t xml:space="preserve"> </w:t>
      </w:r>
      <w:r w:rsidR="008E107E">
        <w:rPr>
          <w:lang w:eastAsia="ja-JP"/>
        </w:rPr>
        <w:t xml:space="preserve">the proportion of people in waged poverty </w:t>
      </w:r>
      <w:r w:rsidR="00657142">
        <w:rPr>
          <w:lang w:eastAsia="ja-JP"/>
        </w:rPr>
        <w:t xml:space="preserve">actually </w:t>
      </w:r>
      <w:r w:rsidR="008E107E">
        <w:rPr>
          <w:lang w:eastAsia="ja-JP"/>
        </w:rPr>
        <w:t xml:space="preserve">increased from 2009 to 2017 </w:t>
      </w:r>
      <w:r w:rsidR="008E107E">
        <w:rPr>
          <w:lang w:eastAsia="ja-JP"/>
        </w:rPr>
        <w:fldChar w:fldCharType="begin"/>
      </w:r>
      <w:r w:rsidR="008E107E">
        <w:rPr>
          <w:lang w:eastAsia="ja-JP"/>
        </w:rPr>
        <w:instrText xml:space="preserve"> ADDIN ZOTERO_ITEM CSL_CITATION {"citationID":"3oTAsUFW","properties":{"formattedCitation":"(Davidson et al., 2020)","plainCitation":"(Davidson et al., 2020)","noteIndex":0},"citationItems":[{"id":87,"uris":["http://zotero.org/groups/2380274/items/X7FDBQAE"],"uri":["http://zotero.org/groups/2380274/items/X7FDBQAE"],"itemData":{"id":87,"type":"report","collection-title":"ACOSS/UNSW Poverty and Inequality Partnership Report","event-place":"Sydney","number":"2","publisher":"Australian Council of Social Service","publisher-place":"Sydney","title":"Poverty in Australia, 2020: Part 2: Who is affected?","URL":"http://povertyandinequality.acoss.org.au/wp-content/uploads/2020/05/Poverty-in-Australia-2020-Part-2-%E2%80%93-Who-is-affected_Final.pdf","author":[{"family":"Davidson","given":"Peter"},{"family":"Bradbury","given":"Bruce"},{"family":"Wong","given":"Melissa"},{"family":"Hill","given":"T"}],"issued":{"date-parts":[["2020"]]}}}],"schema":"https://github.com/citation-style-language/schema/raw/master/csl-citation.json"} </w:instrText>
      </w:r>
      <w:r w:rsidR="008E107E">
        <w:rPr>
          <w:lang w:eastAsia="ja-JP"/>
        </w:rPr>
        <w:fldChar w:fldCharType="separate"/>
      </w:r>
      <w:r w:rsidR="008E107E" w:rsidRPr="008E107E">
        <w:rPr>
          <w:rFonts w:cs="Calibri"/>
        </w:rPr>
        <w:t>(Davidson et al., 2020)</w:t>
      </w:r>
      <w:r w:rsidR="008E107E">
        <w:rPr>
          <w:lang w:eastAsia="ja-JP"/>
        </w:rPr>
        <w:fldChar w:fldCharType="end"/>
      </w:r>
      <w:r w:rsidR="008E107E">
        <w:rPr>
          <w:lang w:eastAsia="ja-JP"/>
        </w:rPr>
        <w:t xml:space="preserve">. However, </w:t>
      </w:r>
      <w:r w:rsidR="00315BD8">
        <w:rPr>
          <w:lang w:eastAsia="ja-JP"/>
        </w:rPr>
        <w:t>our estimate is lower than the ACOSS study</w:t>
      </w:r>
      <w:r w:rsidR="00B81910">
        <w:rPr>
          <w:lang w:eastAsia="ja-JP"/>
        </w:rPr>
        <w:t xml:space="preserve"> overall</w:t>
      </w:r>
      <w:r w:rsidR="00315BD8">
        <w:rPr>
          <w:lang w:eastAsia="ja-JP"/>
        </w:rPr>
        <w:t xml:space="preserve">, although </w:t>
      </w:r>
      <w:r w:rsidR="008E107E">
        <w:rPr>
          <w:lang w:eastAsia="ja-JP"/>
        </w:rPr>
        <w:t xml:space="preserve">the numbers are </w:t>
      </w:r>
      <w:r w:rsidR="00B81910">
        <w:rPr>
          <w:lang w:eastAsia="ja-JP"/>
        </w:rPr>
        <w:t xml:space="preserve">not strictly comparable. The ACOSS data on waged poverty is presented as the </w:t>
      </w:r>
      <w:r w:rsidR="00210AB9">
        <w:rPr>
          <w:lang w:eastAsia="ja-JP"/>
        </w:rPr>
        <w:t xml:space="preserve">number </w:t>
      </w:r>
      <w:r w:rsidR="00210AB9">
        <w:rPr>
          <w:lang w:eastAsia="ja-JP"/>
        </w:rPr>
        <w:lastRenderedPageBreak/>
        <w:t>and proportion</w:t>
      </w:r>
      <w:r w:rsidR="00B81910">
        <w:rPr>
          <w:lang w:eastAsia="ja-JP"/>
        </w:rPr>
        <w:t xml:space="preserve"> of </w:t>
      </w:r>
      <w:r w:rsidR="00B81910" w:rsidRPr="00B81910">
        <w:rPr>
          <w:i/>
          <w:iCs/>
          <w:lang w:eastAsia="ja-JP"/>
        </w:rPr>
        <w:t>people</w:t>
      </w:r>
      <w:r w:rsidR="00B81910">
        <w:rPr>
          <w:lang w:eastAsia="ja-JP"/>
        </w:rPr>
        <w:t xml:space="preserve"> living below the poverty line</w:t>
      </w:r>
      <w:r w:rsidR="001C60E1">
        <w:rPr>
          <w:lang w:eastAsia="ja-JP"/>
        </w:rPr>
        <w:t xml:space="preserve"> </w:t>
      </w:r>
      <w:r w:rsidR="001C60E1">
        <w:rPr>
          <w:lang w:eastAsia="ja-JP"/>
        </w:rPr>
        <w:fldChar w:fldCharType="begin"/>
      </w:r>
      <w:r w:rsidR="001C60E1">
        <w:rPr>
          <w:lang w:eastAsia="ja-JP"/>
        </w:rPr>
        <w:instrText xml:space="preserve"> ADDIN ZOTERO_ITEM CSL_CITATION {"citationID":"rF5wANG5","properties":{"formattedCitation":"(Davidson et al., 2020)","plainCitation":"(Davidson et al., 2020)","noteIndex":0},"citationItems":[{"id":87,"uris":["http://zotero.org/groups/2380274/items/X7FDBQAE"],"uri":["http://zotero.org/groups/2380274/items/X7FDBQAE"],"itemData":{"id":87,"type":"report","collection-title":"ACOSS/UNSW Poverty and Inequality Partnership Report","event-place":"Sydney","number":"2","publisher":"Australian Council of Social Service","publisher-place":"Sydney","title":"Poverty in Australia, 2020: Part 2: Who is affected?","URL":"http://povertyandinequality.acoss.org.au/wp-content/uploads/2020/05/Poverty-in-Australia-2020-Part-2-%E2%80%93-Who-is-affected_Final.pdf","author":[{"family":"Davidson","given":"Peter"},{"family":"Bradbury","given":"Bruce"},{"family":"Wong","given":"Melissa"},{"family":"Hill","given":"T"}],"issued":{"date-parts":[["2020"]]}}}],"schema":"https://github.com/citation-style-language/schema/raw/master/csl-citation.json"} </w:instrText>
      </w:r>
      <w:r w:rsidR="001C60E1">
        <w:rPr>
          <w:lang w:eastAsia="ja-JP"/>
        </w:rPr>
        <w:fldChar w:fldCharType="separate"/>
      </w:r>
      <w:r w:rsidR="001C60E1" w:rsidRPr="001C60E1">
        <w:rPr>
          <w:rFonts w:cs="Calibri"/>
        </w:rPr>
        <w:t>(Davidson et al., 2020)</w:t>
      </w:r>
      <w:r w:rsidR="001C60E1">
        <w:rPr>
          <w:lang w:eastAsia="ja-JP"/>
        </w:rPr>
        <w:fldChar w:fldCharType="end"/>
      </w:r>
      <w:r w:rsidR="00B81910">
        <w:rPr>
          <w:lang w:eastAsia="ja-JP"/>
        </w:rPr>
        <w:t xml:space="preserve">, whereas the figures here </w:t>
      </w:r>
      <w:r w:rsidR="00657142">
        <w:rPr>
          <w:lang w:eastAsia="ja-JP"/>
        </w:rPr>
        <w:t>refer to</w:t>
      </w:r>
      <w:r w:rsidR="00B81910">
        <w:rPr>
          <w:lang w:eastAsia="ja-JP"/>
        </w:rPr>
        <w:t xml:space="preserve"> the </w:t>
      </w:r>
      <w:r w:rsidR="00210AB9">
        <w:rPr>
          <w:lang w:eastAsia="ja-JP"/>
        </w:rPr>
        <w:t xml:space="preserve">number and </w:t>
      </w:r>
      <w:r w:rsidR="00B81910">
        <w:rPr>
          <w:lang w:eastAsia="ja-JP"/>
        </w:rPr>
        <w:t xml:space="preserve">proportion of </w:t>
      </w:r>
      <w:r w:rsidR="00B81910" w:rsidRPr="00B81910">
        <w:rPr>
          <w:i/>
          <w:iCs/>
          <w:lang w:eastAsia="ja-JP"/>
        </w:rPr>
        <w:t>households</w:t>
      </w:r>
      <w:r w:rsidR="00657142">
        <w:rPr>
          <w:i/>
          <w:iCs/>
          <w:lang w:eastAsia="ja-JP"/>
        </w:rPr>
        <w:t xml:space="preserve"> </w:t>
      </w:r>
      <w:r w:rsidR="00657142">
        <w:rPr>
          <w:lang w:eastAsia="ja-JP"/>
        </w:rPr>
        <w:t>(which we would expect to be proportionately less than the people-data due to the</w:t>
      </w:r>
      <w:r w:rsidR="00315BD8">
        <w:rPr>
          <w:lang w:eastAsia="ja-JP"/>
        </w:rPr>
        <w:t xml:space="preserve"> larger average household size</w:t>
      </w:r>
      <w:r w:rsidR="00210AB9">
        <w:rPr>
          <w:lang w:eastAsia="ja-JP"/>
        </w:rPr>
        <w:t xml:space="preserve"> among waged poor households</w:t>
      </w:r>
      <w:r w:rsidR="00657142">
        <w:rPr>
          <w:lang w:eastAsia="ja-JP"/>
        </w:rPr>
        <w:t>)</w:t>
      </w:r>
      <w:r w:rsidR="00B81910">
        <w:rPr>
          <w:lang w:eastAsia="ja-JP"/>
        </w:rPr>
        <w:t>. Further,</w:t>
      </w:r>
      <w:r w:rsidR="00315BD8">
        <w:rPr>
          <w:lang w:eastAsia="ja-JP"/>
        </w:rPr>
        <w:t xml:space="preserve"> th</w:t>
      </w:r>
      <w:r w:rsidR="00210AB9">
        <w:rPr>
          <w:lang w:eastAsia="ja-JP"/>
        </w:rPr>
        <w:t xml:space="preserve">is study uses a </w:t>
      </w:r>
      <w:r w:rsidR="00315BD8">
        <w:rPr>
          <w:lang w:eastAsia="ja-JP"/>
        </w:rPr>
        <w:t>different ABS data set</w:t>
      </w:r>
      <w:r w:rsidR="00210AB9">
        <w:rPr>
          <w:lang w:eastAsia="ja-JP"/>
        </w:rPr>
        <w:t xml:space="preserve"> to the ACOSS research</w:t>
      </w:r>
      <w:r w:rsidR="00B81910">
        <w:rPr>
          <w:lang w:eastAsia="ja-JP"/>
        </w:rPr>
        <w:t>. The ACOSS study uses the Survey of Income and Housing</w:t>
      </w:r>
      <w:r w:rsidR="00657142">
        <w:rPr>
          <w:lang w:eastAsia="ja-JP"/>
        </w:rPr>
        <w:t xml:space="preserve"> (SIH)</w:t>
      </w:r>
      <w:r w:rsidR="00B81910">
        <w:rPr>
          <w:lang w:eastAsia="ja-JP"/>
        </w:rPr>
        <w:t>,</w:t>
      </w:r>
      <w:r w:rsidR="00315BD8">
        <w:rPr>
          <w:lang w:eastAsia="ja-JP"/>
        </w:rPr>
        <w:t xml:space="preserve"> </w:t>
      </w:r>
      <w:r w:rsidR="00B81910">
        <w:rPr>
          <w:lang w:eastAsia="ja-JP"/>
        </w:rPr>
        <w:t xml:space="preserve">but </w:t>
      </w:r>
      <w:r w:rsidR="00657142">
        <w:rPr>
          <w:lang w:eastAsia="ja-JP"/>
        </w:rPr>
        <w:t>the</w:t>
      </w:r>
      <w:r w:rsidR="00B81910">
        <w:rPr>
          <w:lang w:eastAsia="ja-JP"/>
        </w:rPr>
        <w:t xml:space="preserve"> </w:t>
      </w:r>
      <w:r w:rsidR="00A036E8">
        <w:rPr>
          <w:lang w:eastAsia="ja-JP"/>
        </w:rPr>
        <w:t>focus</w:t>
      </w:r>
      <w:r w:rsidR="00B81910">
        <w:rPr>
          <w:lang w:eastAsia="ja-JP"/>
        </w:rPr>
        <w:t xml:space="preserve"> </w:t>
      </w:r>
      <w:r w:rsidR="00657142">
        <w:rPr>
          <w:lang w:eastAsia="ja-JP"/>
        </w:rPr>
        <w:t xml:space="preserve">here </w:t>
      </w:r>
      <w:r w:rsidR="00A036E8">
        <w:rPr>
          <w:lang w:eastAsia="ja-JP"/>
        </w:rPr>
        <w:t>on</w:t>
      </w:r>
      <w:r w:rsidR="00B81910">
        <w:rPr>
          <w:lang w:eastAsia="ja-JP"/>
        </w:rPr>
        <w:t xml:space="preserve"> </w:t>
      </w:r>
      <w:r w:rsidR="00A036E8">
        <w:rPr>
          <w:lang w:eastAsia="ja-JP"/>
        </w:rPr>
        <w:t xml:space="preserve">telecommunications costs </w:t>
      </w:r>
      <w:r w:rsidR="00210AB9">
        <w:rPr>
          <w:lang w:eastAsia="ja-JP"/>
        </w:rPr>
        <w:t xml:space="preserve">required using </w:t>
      </w:r>
      <w:r w:rsidR="00B81910">
        <w:rPr>
          <w:lang w:eastAsia="ja-JP"/>
        </w:rPr>
        <w:t>the Household Expenditure Survey</w:t>
      </w:r>
      <w:r w:rsidR="00490F6A">
        <w:rPr>
          <w:lang w:eastAsia="ja-JP"/>
        </w:rPr>
        <w:t xml:space="preserve"> (HES)</w:t>
      </w:r>
      <w:r w:rsidR="00A036E8">
        <w:rPr>
          <w:lang w:eastAsia="ja-JP"/>
        </w:rPr>
        <w:t xml:space="preserve"> data</w:t>
      </w:r>
      <w:r w:rsidR="00B81910">
        <w:rPr>
          <w:lang w:eastAsia="ja-JP"/>
        </w:rPr>
        <w:t>. The median income (and therefore the poverty line)</w:t>
      </w:r>
      <w:r w:rsidR="001C60E1">
        <w:rPr>
          <w:lang w:eastAsia="ja-JP"/>
        </w:rPr>
        <w:t xml:space="preserve"> in 2015-16</w:t>
      </w:r>
      <w:r w:rsidR="00B81910">
        <w:rPr>
          <w:lang w:eastAsia="ja-JP"/>
        </w:rPr>
        <w:t xml:space="preserve"> is slightly lower in the </w:t>
      </w:r>
      <w:r w:rsidR="00657142">
        <w:rPr>
          <w:lang w:eastAsia="ja-JP"/>
        </w:rPr>
        <w:t xml:space="preserve">published </w:t>
      </w:r>
      <w:r w:rsidR="00B81910">
        <w:rPr>
          <w:lang w:eastAsia="ja-JP"/>
        </w:rPr>
        <w:t>HES</w:t>
      </w:r>
      <w:r w:rsidR="00657142">
        <w:rPr>
          <w:lang w:eastAsia="ja-JP"/>
        </w:rPr>
        <w:t xml:space="preserve"> data than </w:t>
      </w:r>
      <w:r w:rsidR="001C60E1">
        <w:rPr>
          <w:lang w:eastAsia="ja-JP"/>
        </w:rPr>
        <w:t xml:space="preserve">in </w:t>
      </w:r>
      <w:r w:rsidR="00657142">
        <w:rPr>
          <w:lang w:eastAsia="ja-JP"/>
        </w:rPr>
        <w:t>the SIH</w:t>
      </w:r>
      <w:r w:rsidR="001C60E1">
        <w:rPr>
          <w:lang w:eastAsia="ja-JP"/>
        </w:rPr>
        <w:t xml:space="preserve"> </w:t>
      </w:r>
      <w:r w:rsidR="001C60E1">
        <w:rPr>
          <w:lang w:eastAsia="ja-JP"/>
        </w:rPr>
        <w:fldChar w:fldCharType="begin"/>
      </w:r>
      <w:r w:rsidR="001C60E1">
        <w:rPr>
          <w:lang w:eastAsia="ja-JP"/>
        </w:rPr>
        <w:instrText xml:space="preserve"> ADDIN ZOTERO_ITEM CSL_CITATION {"citationID":"SENG3bCs","properties":{"formattedCitation":"(ABS, 2017a, 2017b)","plainCitation":"(ABS, 2017a, 2017b)","noteIndex":0},"citationItems":[{"id":39,"uris":["http://zotero.org/groups/2380274/items/939F6QPE"],"uri":["http://zotero.org/groups/2380274/items/939F6QPE"],"itemData":{"id":39,"type":"report","publisher":"Australian Bureau of Statistics","title":"6530.0 - Household Expenditure Survey, Australia: 2015-16","URL":"https://www.abs.gov.au/AUSSTATS/abs@.nsf/DetailsPage/6530.02015-16?OpenDocument","author":[{"family":"ABS","given":""}],"issued":{"date-parts":[["2017"]]}}},{"id":122,"uris":["http://zotero.org/groups/2380274/items/9K75I6BQ"],"uri":["http://zotero.org/groups/2380274/items/9K75I6BQ"],"itemData":{"id":122,"type":"report","publisher":"Australian Bureau of Statistics","title":"6523.0 - Household Income and Wealth, Australia: 2015-16","URL":"https://www.abs.gov.au/AUSSTATS/abs@.nsf/allprimarymainfeatures/B3AB9C8CD32F7CA6CA2584340018A13B?opendocument","author":[{"family":"ABS","given":""}],"issued":{"date-parts":[["2017"]]}}}],"schema":"https://github.com/citation-style-language/schema/raw/master/csl-citation.json"} </w:instrText>
      </w:r>
      <w:r w:rsidR="001C60E1">
        <w:rPr>
          <w:lang w:eastAsia="ja-JP"/>
        </w:rPr>
        <w:fldChar w:fldCharType="separate"/>
      </w:r>
      <w:r w:rsidR="001C60E1" w:rsidRPr="001C60E1">
        <w:rPr>
          <w:rFonts w:cs="Calibri"/>
        </w:rPr>
        <w:t>(ABS, 2017a, 2017b)</w:t>
      </w:r>
      <w:r w:rsidR="001C60E1">
        <w:rPr>
          <w:lang w:eastAsia="ja-JP"/>
        </w:rPr>
        <w:fldChar w:fldCharType="end"/>
      </w:r>
      <w:r w:rsidR="00B81910">
        <w:rPr>
          <w:lang w:eastAsia="ja-JP"/>
        </w:rPr>
        <w:t xml:space="preserve">, so again </w:t>
      </w:r>
      <w:r w:rsidR="00645A74">
        <w:rPr>
          <w:lang w:eastAsia="ja-JP"/>
        </w:rPr>
        <w:t>smaller numbers would be expected</w:t>
      </w:r>
      <w:r w:rsidR="001C60E1">
        <w:rPr>
          <w:lang w:eastAsia="ja-JP"/>
        </w:rPr>
        <w:t xml:space="preserve"> in this study</w:t>
      </w:r>
      <w:r w:rsidR="00645A74">
        <w:rPr>
          <w:lang w:eastAsia="ja-JP"/>
        </w:rPr>
        <w:t>.</w:t>
      </w:r>
      <w:r w:rsidR="00315BD8">
        <w:rPr>
          <w:lang w:eastAsia="ja-JP"/>
        </w:rPr>
        <w:t xml:space="preserve"> </w:t>
      </w:r>
      <w:r w:rsidR="00645A74">
        <w:rPr>
          <w:lang w:eastAsia="ja-JP"/>
        </w:rPr>
        <w:t xml:space="preserve">In that sense, </w:t>
      </w:r>
      <w:r w:rsidR="00657142">
        <w:rPr>
          <w:lang w:eastAsia="ja-JP"/>
        </w:rPr>
        <w:t>the</w:t>
      </w:r>
      <w:r w:rsidR="00645A74">
        <w:rPr>
          <w:lang w:eastAsia="ja-JP"/>
        </w:rPr>
        <w:t xml:space="preserve"> estimates </w:t>
      </w:r>
      <w:r w:rsidR="00657142">
        <w:rPr>
          <w:lang w:eastAsia="ja-JP"/>
        </w:rPr>
        <w:t xml:space="preserve">here </w:t>
      </w:r>
      <w:r w:rsidR="00645A74">
        <w:rPr>
          <w:lang w:eastAsia="ja-JP"/>
        </w:rPr>
        <w:t>are conservative, but m</w:t>
      </w:r>
      <w:r w:rsidR="00315BD8">
        <w:rPr>
          <w:lang w:eastAsia="ja-JP"/>
        </w:rPr>
        <w:t xml:space="preserve">ost </w:t>
      </w:r>
      <w:r w:rsidR="00035AD1">
        <w:rPr>
          <w:lang w:eastAsia="ja-JP"/>
        </w:rPr>
        <w:t xml:space="preserve">importantly, </w:t>
      </w:r>
      <w:r w:rsidR="00657142">
        <w:rPr>
          <w:lang w:eastAsia="ja-JP"/>
        </w:rPr>
        <w:t>they</w:t>
      </w:r>
      <w:r w:rsidR="00035AD1">
        <w:rPr>
          <w:lang w:eastAsia="ja-JP"/>
        </w:rPr>
        <w:t xml:space="preserve"> </w:t>
      </w:r>
      <w:r w:rsidR="00645A74">
        <w:rPr>
          <w:lang w:eastAsia="ja-JP"/>
        </w:rPr>
        <w:t xml:space="preserve">still </w:t>
      </w:r>
      <w:r w:rsidR="00035AD1">
        <w:rPr>
          <w:lang w:eastAsia="ja-JP"/>
        </w:rPr>
        <w:t>show</w:t>
      </w:r>
      <w:r w:rsidR="00B55B0B">
        <w:rPr>
          <w:lang w:eastAsia="ja-JP"/>
        </w:rPr>
        <w:t xml:space="preserve"> that waged poor households represent a </w:t>
      </w:r>
      <w:r w:rsidR="00210AB9">
        <w:rPr>
          <w:lang w:eastAsia="ja-JP"/>
        </w:rPr>
        <w:t xml:space="preserve">significant </w:t>
      </w:r>
      <w:r w:rsidR="00B55B0B">
        <w:rPr>
          <w:lang w:eastAsia="ja-JP"/>
        </w:rPr>
        <w:t>segment of the telecommunications market and of the population that may struggle with telecommunications affordability.</w:t>
      </w:r>
    </w:p>
    <w:p w14:paraId="016AC524" w14:textId="49FA539D" w:rsidR="00500496" w:rsidRDefault="00500496" w:rsidP="00500496">
      <w:pPr>
        <w:pStyle w:val="Caption"/>
        <w:rPr>
          <w:lang w:eastAsia="ja-JP"/>
        </w:rPr>
      </w:pPr>
      <w:bookmarkStart w:id="12" w:name="_Toc41920112"/>
      <w:r>
        <w:t xml:space="preserve">Figure </w:t>
      </w:r>
      <w:fldSimple w:instr=" SEQ Figure \* ARABIC ">
        <w:r w:rsidR="001D54A2">
          <w:rPr>
            <w:noProof/>
          </w:rPr>
          <w:t>1</w:t>
        </w:r>
      </w:fldSimple>
      <w:r>
        <w:t>: Waged Poor Households in Context of All Households</w:t>
      </w:r>
      <w:bookmarkEnd w:id="12"/>
    </w:p>
    <w:p w14:paraId="0CE38C24" w14:textId="28AD85CF" w:rsidR="00DC3517" w:rsidRDefault="00CB43E1" w:rsidP="004E7753">
      <w:pPr>
        <w:rPr>
          <w:lang w:eastAsia="ja-JP"/>
        </w:rPr>
      </w:pPr>
      <w:r>
        <w:rPr>
          <w:noProof/>
          <w:lang w:eastAsia="ja-JP"/>
        </w:rPr>
        <w:drawing>
          <wp:inline distT="0" distB="0" distL="0" distR="0" wp14:anchorId="0D7C6E0C" wp14:editId="1E12E5D6">
            <wp:extent cx="5724525" cy="4533900"/>
            <wp:effectExtent l="0" t="0" r="0" b="0"/>
            <wp:docPr id="3" name="Picture 3" descr="Figure showing numbers of households above and below the poverty line, and waged poor households as a subset of all households below the poverty line (3.2% of all househ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4525" cy="4533900"/>
                    </a:xfrm>
                    <a:prstGeom prst="rect">
                      <a:avLst/>
                    </a:prstGeom>
                    <a:noFill/>
                    <a:ln>
                      <a:noFill/>
                    </a:ln>
                  </pic:spPr>
                </pic:pic>
              </a:graphicData>
            </a:graphic>
          </wp:inline>
        </w:drawing>
      </w:r>
    </w:p>
    <w:p w14:paraId="335D8555" w14:textId="57861AEA" w:rsidR="00B55B0B" w:rsidRDefault="00035AD1" w:rsidP="00B55B0B">
      <w:pPr>
        <w:rPr>
          <w:lang w:eastAsia="ja-JP"/>
        </w:rPr>
      </w:pPr>
      <w:r>
        <w:rPr>
          <w:lang w:eastAsia="ja-JP"/>
        </w:rPr>
        <w:t>Beyond these waged poor households, t</w:t>
      </w:r>
      <w:r w:rsidR="00E23713">
        <w:rPr>
          <w:lang w:eastAsia="ja-JP"/>
        </w:rPr>
        <w:t>he SACOSS energy report also highlighted a</w:t>
      </w:r>
      <w:r w:rsidR="00FF1B4F" w:rsidRPr="00FF1B4F">
        <w:rPr>
          <w:lang w:eastAsia="ja-JP"/>
        </w:rPr>
        <w:t xml:space="preserve"> further 801,985 low-income waged households </w:t>
      </w:r>
      <w:r w:rsidR="00E23713">
        <w:rPr>
          <w:lang w:eastAsia="ja-JP"/>
        </w:rPr>
        <w:t>(</w:t>
      </w:r>
      <w:r w:rsidR="00FF1B4F" w:rsidRPr="00FF1B4F">
        <w:rPr>
          <w:lang w:eastAsia="ja-JP"/>
        </w:rPr>
        <w:t>10.4% of all households</w:t>
      </w:r>
      <w:r w:rsidR="00E23713">
        <w:rPr>
          <w:lang w:eastAsia="ja-JP"/>
        </w:rPr>
        <w:t>)</w:t>
      </w:r>
      <w:r>
        <w:rPr>
          <w:lang w:eastAsia="ja-JP"/>
        </w:rPr>
        <w:t xml:space="preserve"> </w:t>
      </w:r>
      <w:r w:rsidR="00E23713">
        <w:rPr>
          <w:lang w:eastAsia="ja-JP"/>
        </w:rPr>
        <w:t>who were in the bottom two income quintiles</w:t>
      </w:r>
      <w:r w:rsidR="00EA2B66">
        <w:rPr>
          <w:lang w:eastAsia="ja-JP"/>
        </w:rPr>
        <w:t xml:space="preserve"> </w:t>
      </w:r>
      <w:r w:rsidR="00E23713">
        <w:rPr>
          <w:lang w:eastAsia="ja-JP"/>
        </w:rPr>
        <w:t xml:space="preserve">but </w:t>
      </w:r>
      <w:r>
        <w:rPr>
          <w:lang w:eastAsia="ja-JP"/>
        </w:rPr>
        <w:t xml:space="preserve">were </w:t>
      </w:r>
      <w:r w:rsidR="00E23713">
        <w:rPr>
          <w:lang w:eastAsia="ja-JP"/>
        </w:rPr>
        <w:t xml:space="preserve">above the poverty line. </w:t>
      </w:r>
      <w:r w:rsidR="004E7753">
        <w:rPr>
          <w:lang w:eastAsia="ja-JP"/>
        </w:rPr>
        <w:t xml:space="preserve">While this group is not the subject of this report, </w:t>
      </w:r>
      <w:r>
        <w:rPr>
          <w:lang w:eastAsia="ja-JP"/>
        </w:rPr>
        <w:t xml:space="preserve">many of these households </w:t>
      </w:r>
      <w:r w:rsidR="00E23713">
        <w:rPr>
          <w:lang w:eastAsia="ja-JP"/>
        </w:rPr>
        <w:t xml:space="preserve">share </w:t>
      </w:r>
      <w:r>
        <w:rPr>
          <w:lang w:eastAsia="ja-JP"/>
        </w:rPr>
        <w:t>similar</w:t>
      </w:r>
      <w:r w:rsidR="00E23713">
        <w:rPr>
          <w:lang w:eastAsia="ja-JP"/>
        </w:rPr>
        <w:t xml:space="preserve"> characteristics and affordability challenges as waged poor households</w:t>
      </w:r>
      <w:r w:rsidR="00B55B0B">
        <w:rPr>
          <w:lang w:eastAsia="ja-JP"/>
        </w:rPr>
        <w:t xml:space="preserve"> – again</w:t>
      </w:r>
      <w:r>
        <w:rPr>
          <w:lang w:eastAsia="ja-JP"/>
        </w:rPr>
        <w:t xml:space="preserve"> </w:t>
      </w:r>
      <w:r w:rsidR="004E7753">
        <w:rPr>
          <w:lang w:eastAsia="ja-JP"/>
        </w:rPr>
        <w:t>highlighting t</w:t>
      </w:r>
      <w:r w:rsidR="00051F48">
        <w:rPr>
          <w:lang w:eastAsia="ja-JP"/>
        </w:rPr>
        <w:t>he importance of not focusing</w:t>
      </w:r>
      <w:r w:rsidR="004E7753">
        <w:rPr>
          <w:lang w:eastAsia="ja-JP"/>
        </w:rPr>
        <w:t xml:space="preserve"> only on those on social security payments in considering</w:t>
      </w:r>
      <w:r w:rsidR="00B55B0B">
        <w:rPr>
          <w:lang w:eastAsia="ja-JP"/>
        </w:rPr>
        <w:t xml:space="preserve"> telecommunications affordability.</w:t>
      </w:r>
    </w:p>
    <w:p w14:paraId="25D0EC24" w14:textId="77777777" w:rsidR="004E7753" w:rsidRDefault="004E7753" w:rsidP="00DC3517">
      <w:pPr>
        <w:pStyle w:val="Heading3"/>
      </w:pPr>
      <w:bookmarkStart w:id="13" w:name="_Toc42719017"/>
      <w:r>
        <w:lastRenderedPageBreak/>
        <w:t>Income</w:t>
      </w:r>
      <w:r w:rsidR="00DC3517">
        <w:t xml:space="preserve"> and Expenditure</w:t>
      </w:r>
      <w:bookmarkEnd w:id="13"/>
    </w:p>
    <w:p w14:paraId="5AFFE7E2" w14:textId="77777777" w:rsidR="006B604D" w:rsidRDefault="006B604D" w:rsidP="00DC3517">
      <w:pPr>
        <w:rPr>
          <w:lang w:eastAsia="ja-JP"/>
        </w:rPr>
      </w:pPr>
      <w:r>
        <w:rPr>
          <w:lang w:eastAsia="ja-JP"/>
        </w:rPr>
        <w:t xml:space="preserve">By definition, the main source of income of waged poor households is from employment, but 74% of these households had just one person in the household employed </w:t>
      </w:r>
      <w:r w:rsidR="00171464">
        <w:rPr>
          <w:lang w:eastAsia="ja-JP"/>
        </w:rPr>
        <w:t>(</w:t>
      </w:r>
      <w:r w:rsidR="000D226A">
        <w:rPr>
          <w:lang w:eastAsia="ja-JP"/>
        </w:rPr>
        <w:t>including 59% of households with more than one adult). J</w:t>
      </w:r>
      <w:r w:rsidR="00171464">
        <w:rPr>
          <w:lang w:eastAsia="ja-JP"/>
        </w:rPr>
        <w:t xml:space="preserve">ust over half </w:t>
      </w:r>
      <w:r w:rsidR="000D226A">
        <w:rPr>
          <w:lang w:eastAsia="ja-JP"/>
        </w:rPr>
        <w:t xml:space="preserve">of all waged poor households </w:t>
      </w:r>
      <w:r w:rsidR="00171464">
        <w:rPr>
          <w:lang w:eastAsia="ja-JP"/>
        </w:rPr>
        <w:t>also received some form of income-support payment.</w:t>
      </w:r>
    </w:p>
    <w:p w14:paraId="266FBBE5" w14:textId="35F8CEC6" w:rsidR="00DC3517" w:rsidRDefault="00DC3517" w:rsidP="00DC3517">
      <w:pPr>
        <w:rPr>
          <w:lang w:eastAsia="ja-JP"/>
        </w:rPr>
      </w:pPr>
      <w:r w:rsidRPr="00FF1B4F">
        <w:rPr>
          <w:lang w:eastAsia="ja-JP"/>
        </w:rPr>
        <w:t xml:space="preserve">The </w:t>
      </w:r>
      <w:r w:rsidR="002B5300">
        <w:rPr>
          <w:lang w:eastAsia="ja-JP"/>
        </w:rPr>
        <w:t>average</w:t>
      </w:r>
      <w:r w:rsidRPr="00FF1B4F">
        <w:rPr>
          <w:lang w:eastAsia="ja-JP"/>
        </w:rPr>
        <w:t xml:space="preserve"> </w:t>
      </w:r>
      <w:r w:rsidR="001C60E1">
        <w:rPr>
          <w:lang w:eastAsia="ja-JP"/>
        </w:rPr>
        <w:t xml:space="preserve">(mean) </w:t>
      </w:r>
      <w:r w:rsidRPr="00FF1B4F">
        <w:rPr>
          <w:lang w:eastAsia="ja-JP"/>
        </w:rPr>
        <w:t>household disposable income (before housing</w:t>
      </w:r>
      <w:r w:rsidR="002B5300">
        <w:rPr>
          <w:lang w:eastAsia="ja-JP"/>
        </w:rPr>
        <w:t>)</w:t>
      </w:r>
      <w:r w:rsidRPr="00FF1B4F">
        <w:rPr>
          <w:lang w:eastAsia="ja-JP"/>
        </w:rPr>
        <w:t xml:space="preserve"> of waged poor h</w:t>
      </w:r>
      <w:r w:rsidR="002B5300">
        <w:rPr>
          <w:lang w:eastAsia="ja-JP"/>
        </w:rPr>
        <w:t xml:space="preserve">ouseholds in Australia was $711 per week, significantly above the $494 for </w:t>
      </w:r>
      <w:r w:rsidRPr="00FF1B4F">
        <w:rPr>
          <w:lang w:eastAsia="ja-JP"/>
        </w:rPr>
        <w:t>households in poverty</w:t>
      </w:r>
      <w:r w:rsidR="005D5883">
        <w:rPr>
          <w:lang w:eastAsia="ja-JP"/>
        </w:rPr>
        <w:t xml:space="preserve"> that were primarily reliant on income support payments</w:t>
      </w:r>
      <w:r w:rsidRPr="00FF1B4F">
        <w:rPr>
          <w:lang w:eastAsia="ja-JP"/>
        </w:rPr>
        <w:t xml:space="preserve">. </w:t>
      </w:r>
      <w:r w:rsidR="002B5300">
        <w:rPr>
          <w:lang w:eastAsia="ja-JP"/>
        </w:rPr>
        <w:t>This reflects both larger household size</w:t>
      </w:r>
      <w:r w:rsidR="00454919">
        <w:rPr>
          <w:lang w:eastAsia="ja-JP"/>
        </w:rPr>
        <w:t xml:space="preserve"> (average 2.7 people for waged poor households, 1.9 for </w:t>
      </w:r>
      <w:r w:rsidR="00AD27E8">
        <w:rPr>
          <w:lang w:eastAsia="ja-JP"/>
        </w:rPr>
        <w:t>Centrelink-reliant</w:t>
      </w:r>
      <w:r w:rsidR="00454919">
        <w:rPr>
          <w:lang w:eastAsia="ja-JP"/>
        </w:rPr>
        <w:t xml:space="preserve"> poor households)</w:t>
      </w:r>
      <w:r w:rsidR="002B5300">
        <w:rPr>
          <w:lang w:eastAsia="ja-JP"/>
        </w:rPr>
        <w:t xml:space="preserve">, but also </w:t>
      </w:r>
      <w:r w:rsidR="00454919">
        <w:rPr>
          <w:lang w:eastAsia="ja-JP"/>
        </w:rPr>
        <w:t xml:space="preserve">potentially </w:t>
      </w:r>
      <w:r w:rsidR="002B5300">
        <w:rPr>
          <w:lang w:eastAsia="ja-JP"/>
        </w:rPr>
        <w:t>higher incomes</w:t>
      </w:r>
      <w:r w:rsidR="00454919">
        <w:rPr>
          <w:lang w:eastAsia="ja-JP"/>
        </w:rPr>
        <w:t xml:space="preserve">. However, as Table </w:t>
      </w:r>
      <w:r w:rsidR="00F2217F">
        <w:rPr>
          <w:lang w:eastAsia="ja-JP"/>
        </w:rPr>
        <w:t>2</w:t>
      </w:r>
      <w:r w:rsidR="00454919">
        <w:rPr>
          <w:lang w:eastAsia="ja-JP"/>
        </w:rPr>
        <w:t xml:space="preserve"> shows, it is not necessarily the case that </w:t>
      </w:r>
      <w:r w:rsidR="002B5300">
        <w:rPr>
          <w:lang w:eastAsia="ja-JP"/>
        </w:rPr>
        <w:t xml:space="preserve">those on income </w:t>
      </w:r>
      <w:r w:rsidR="002A7749">
        <w:rPr>
          <w:lang w:eastAsia="ja-JP"/>
        </w:rPr>
        <w:t xml:space="preserve">support </w:t>
      </w:r>
      <w:r w:rsidR="002B5300">
        <w:rPr>
          <w:lang w:eastAsia="ja-JP"/>
        </w:rPr>
        <w:t>payments are deeper in poverty than those households with waged incomes</w:t>
      </w:r>
      <w:r w:rsidR="00454919">
        <w:rPr>
          <w:lang w:eastAsia="ja-JP"/>
        </w:rPr>
        <w:t xml:space="preserve">. When housing costs </w:t>
      </w:r>
      <w:r w:rsidR="00D52B51">
        <w:rPr>
          <w:lang w:eastAsia="ja-JP"/>
        </w:rPr>
        <w:t xml:space="preserve">and household size </w:t>
      </w:r>
      <w:r w:rsidR="00454919">
        <w:rPr>
          <w:lang w:eastAsia="ja-JP"/>
        </w:rPr>
        <w:t>are taken into account</w:t>
      </w:r>
      <w:r w:rsidR="00D52B51">
        <w:rPr>
          <w:lang w:eastAsia="ja-JP"/>
        </w:rPr>
        <w:t xml:space="preserve"> </w:t>
      </w:r>
      <w:r w:rsidR="00706076">
        <w:rPr>
          <w:lang w:eastAsia="ja-JP"/>
        </w:rPr>
        <w:t>the average</w:t>
      </w:r>
      <w:r w:rsidR="00D52B51">
        <w:rPr>
          <w:lang w:eastAsia="ja-JP"/>
        </w:rPr>
        <w:t xml:space="preserve"> income for waged poor households </w:t>
      </w:r>
      <w:r w:rsidR="00F2217F">
        <w:rPr>
          <w:lang w:eastAsia="ja-JP"/>
        </w:rPr>
        <w:t xml:space="preserve">is </w:t>
      </w:r>
      <w:r w:rsidR="00706076">
        <w:rPr>
          <w:lang w:eastAsia="ja-JP"/>
        </w:rPr>
        <w:t>about the same as that</w:t>
      </w:r>
      <w:r w:rsidR="00114E8F">
        <w:rPr>
          <w:lang w:eastAsia="ja-JP"/>
        </w:rPr>
        <w:t xml:space="preserve"> of</w:t>
      </w:r>
      <w:r w:rsidR="00D52B51">
        <w:rPr>
          <w:lang w:eastAsia="ja-JP"/>
        </w:rPr>
        <w:t xml:space="preserve"> poor households mainly reliant on income support.</w:t>
      </w:r>
    </w:p>
    <w:p w14:paraId="00461816" w14:textId="0A352EF8" w:rsidR="008E1BA6" w:rsidRPr="00F2217F" w:rsidRDefault="008E1BA6" w:rsidP="008E1BA6">
      <w:pPr>
        <w:pStyle w:val="Caption"/>
        <w:rPr>
          <w:lang w:eastAsia="ja-JP"/>
        </w:rPr>
      </w:pPr>
      <w:bookmarkStart w:id="14" w:name="_Toc41989581"/>
      <w:r>
        <w:t xml:space="preserve">Table </w:t>
      </w:r>
      <w:fldSimple w:instr=" SEQ Table \* ARABIC ">
        <w:r w:rsidR="00C26577">
          <w:rPr>
            <w:noProof/>
          </w:rPr>
          <w:t>2</w:t>
        </w:r>
      </w:fldSimple>
      <w:r>
        <w:t>: Income Comparison of Waged Poor, Income Support and All Households</w:t>
      </w:r>
      <w:bookmarkEnd w:id="14"/>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Caption w:val="Income Comparison of Waged Poor, Income Support and All Households"/>
        <w:tblDescription w:val="Table showing before and after housing costs and equivalised average income levels, showing bottom line of equivalised after housing costs income of waged poor households at $258 per week, and income supported poverty households of $262. Average for all households was $853."/>
      </w:tblPr>
      <w:tblGrid>
        <w:gridCol w:w="3916"/>
        <w:gridCol w:w="1741"/>
        <w:gridCol w:w="1741"/>
        <w:gridCol w:w="1608"/>
      </w:tblGrid>
      <w:tr w:rsidR="00D52B51" w:rsidRPr="00BC71AE" w14:paraId="0C31D1F7" w14:textId="77777777" w:rsidTr="008E1BA6">
        <w:tc>
          <w:tcPr>
            <w:tcW w:w="3916" w:type="dxa"/>
            <w:shd w:val="clear" w:color="auto" w:fill="4F81BD"/>
          </w:tcPr>
          <w:p w14:paraId="2787FE29" w14:textId="77777777" w:rsidR="00D52B51" w:rsidRPr="004C06A5" w:rsidRDefault="00D52B51" w:rsidP="0086199D">
            <w:pPr>
              <w:rPr>
                <w:b/>
                <w:bCs/>
                <w:color w:val="FFFFFF"/>
              </w:rPr>
            </w:pPr>
          </w:p>
        </w:tc>
        <w:tc>
          <w:tcPr>
            <w:tcW w:w="1741" w:type="dxa"/>
            <w:shd w:val="clear" w:color="auto" w:fill="4F81BD"/>
          </w:tcPr>
          <w:p w14:paraId="272E26B0" w14:textId="77777777" w:rsidR="00D52B51" w:rsidRPr="00817996" w:rsidRDefault="00D52B51" w:rsidP="0086199D">
            <w:pPr>
              <w:rPr>
                <w:b/>
                <w:bCs/>
              </w:rPr>
            </w:pPr>
            <w:r w:rsidRPr="00817996">
              <w:rPr>
                <w:b/>
                <w:bCs/>
              </w:rPr>
              <w:t>Waged Poor Households</w:t>
            </w:r>
          </w:p>
        </w:tc>
        <w:tc>
          <w:tcPr>
            <w:tcW w:w="1741" w:type="dxa"/>
            <w:shd w:val="clear" w:color="auto" w:fill="4F81BD"/>
          </w:tcPr>
          <w:p w14:paraId="308F05D4" w14:textId="77777777" w:rsidR="00D52B51" w:rsidRPr="00817996" w:rsidRDefault="00D52B51" w:rsidP="0086199D">
            <w:pPr>
              <w:rPr>
                <w:b/>
                <w:bCs/>
              </w:rPr>
            </w:pPr>
            <w:r w:rsidRPr="00817996">
              <w:rPr>
                <w:b/>
                <w:bCs/>
              </w:rPr>
              <w:t>Income Support Households</w:t>
            </w:r>
          </w:p>
        </w:tc>
        <w:tc>
          <w:tcPr>
            <w:tcW w:w="1608" w:type="dxa"/>
            <w:shd w:val="clear" w:color="auto" w:fill="4F81BD"/>
          </w:tcPr>
          <w:p w14:paraId="79DF7253" w14:textId="77777777" w:rsidR="00D52B51" w:rsidRPr="00817996" w:rsidRDefault="00D52B51" w:rsidP="0086199D">
            <w:pPr>
              <w:rPr>
                <w:b/>
                <w:bCs/>
              </w:rPr>
            </w:pPr>
            <w:r w:rsidRPr="00817996">
              <w:rPr>
                <w:b/>
                <w:bCs/>
              </w:rPr>
              <w:t>All Households</w:t>
            </w:r>
          </w:p>
        </w:tc>
      </w:tr>
      <w:tr w:rsidR="00D52B51" w:rsidRPr="00BC71AE" w14:paraId="7F2854E0" w14:textId="77777777" w:rsidTr="008E1BA6">
        <w:tc>
          <w:tcPr>
            <w:tcW w:w="3916" w:type="dxa"/>
            <w:tcBorders>
              <w:top w:val="single" w:sz="8" w:space="0" w:color="4F81BD"/>
              <w:left w:val="single" w:sz="8" w:space="0" w:color="4F81BD"/>
              <w:bottom w:val="single" w:sz="8" w:space="0" w:color="4F81BD"/>
            </w:tcBorders>
            <w:shd w:val="clear" w:color="auto" w:fill="auto"/>
          </w:tcPr>
          <w:p w14:paraId="6E50B54A" w14:textId="77777777" w:rsidR="00D52B51" w:rsidRPr="00554E03" w:rsidRDefault="00D52B51" w:rsidP="0086199D">
            <w:pPr>
              <w:rPr>
                <w:bCs/>
              </w:rPr>
            </w:pPr>
            <w:r>
              <w:rPr>
                <w:bCs/>
              </w:rPr>
              <w:t>Before Housing Costs Income</w:t>
            </w:r>
          </w:p>
        </w:tc>
        <w:tc>
          <w:tcPr>
            <w:tcW w:w="1741" w:type="dxa"/>
            <w:tcBorders>
              <w:top w:val="single" w:sz="8" w:space="0" w:color="4F81BD"/>
              <w:bottom w:val="single" w:sz="8" w:space="0" w:color="4F81BD"/>
            </w:tcBorders>
            <w:shd w:val="clear" w:color="auto" w:fill="auto"/>
          </w:tcPr>
          <w:p w14:paraId="2947B971" w14:textId="6AC1A87B" w:rsidR="00533AE3" w:rsidRPr="00BC71AE" w:rsidRDefault="00D52B51" w:rsidP="00706076">
            <w:r>
              <w:t>$</w:t>
            </w:r>
            <w:r w:rsidR="00533AE3">
              <w:t>711</w:t>
            </w:r>
          </w:p>
        </w:tc>
        <w:tc>
          <w:tcPr>
            <w:tcW w:w="1741" w:type="dxa"/>
            <w:tcBorders>
              <w:top w:val="single" w:sz="8" w:space="0" w:color="4F81BD"/>
              <w:bottom w:val="single" w:sz="8" w:space="0" w:color="4F81BD"/>
            </w:tcBorders>
          </w:tcPr>
          <w:p w14:paraId="3FA1EAB5" w14:textId="3F9E18A5" w:rsidR="00533AE3" w:rsidRDefault="00D52B51" w:rsidP="00706076">
            <w:r>
              <w:t>$</w:t>
            </w:r>
            <w:r w:rsidR="00533AE3">
              <w:t>494</w:t>
            </w:r>
          </w:p>
        </w:tc>
        <w:tc>
          <w:tcPr>
            <w:tcW w:w="1608" w:type="dxa"/>
            <w:tcBorders>
              <w:top w:val="single" w:sz="8" w:space="0" w:color="4F81BD"/>
              <w:bottom w:val="single" w:sz="8" w:space="0" w:color="4F81BD"/>
            </w:tcBorders>
          </w:tcPr>
          <w:p w14:paraId="41B6069C" w14:textId="4805F1FF" w:rsidR="00533AE3" w:rsidRDefault="00D52B51" w:rsidP="00706076">
            <w:r>
              <w:t>$</w:t>
            </w:r>
            <w:r w:rsidR="00533AE3">
              <w:t>1,685</w:t>
            </w:r>
          </w:p>
        </w:tc>
      </w:tr>
      <w:tr w:rsidR="00D52B51" w:rsidRPr="00BC71AE" w14:paraId="75E670CB" w14:textId="77777777" w:rsidTr="008E1BA6">
        <w:tc>
          <w:tcPr>
            <w:tcW w:w="3916" w:type="dxa"/>
            <w:shd w:val="clear" w:color="auto" w:fill="auto"/>
          </w:tcPr>
          <w:p w14:paraId="494D1D25" w14:textId="77777777" w:rsidR="00D52B51" w:rsidRPr="00554E03" w:rsidRDefault="00D52B51" w:rsidP="0086199D">
            <w:pPr>
              <w:rPr>
                <w:bCs/>
              </w:rPr>
            </w:pPr>
            <w:r>
              <w:rPr>
                <w:bCs/>
              </w:rPr>
              <w:t>Equivalised Before Housing Income</w:t>
            </w:r>
          </w:p>
        </w:tc>
        <w:tc>
          <w:tcPr>
            <w:tcW w:w="1741" w:type="dxa"/>
            <w:shd w:val="clear" w:color="auto" w:fill="auto"/>
          </w:tcPr>
          <w:p w14:paraId="2E63F360" w14:textId="208BD2E5" w:rsidR="00533AE3" w:rsidRPr="00BC71AE" w:rsidRDefault="00D52B51" w:rsidP="00706076">
            <w:r>
              <w:t>$</w:t>
            </w:r>
            <w:r w:rsidR="00533AE3">
              <w:t>450</w:t>
            </w:r>
          </w:p>
        </w:tc>
        <w:tc>
          <w:tcPr>
            <w:tcW w:w="1741" w:type="dxa"/>
          </w:tcPr>
          <w:p w14:paraId="4B7C8909" w14:textId="2DFA9757" w:rsidR="00533AE3" w:rsidRDefault="00D52B51" w:rsidP="00706076">
            <w:r>
              <w:t>$</w:t>
            </w:r>
            <w:r w:rsidR="00533AE3">
              <w:t>407</w:t>
            </w:r>
          </w:p>
        </w:tc>
        <w:tc>
          <w:tcPr>
            <w:tcW w:w="1608" w:type="dxa"/>
          </w:tcPr>
          <w:p w14:paraId="03A1EBF9" w14:textId="13C55F76" w:rsidR="00533AE3" w:rsidRDefault="00D52B51" w:rsidP="00706076">
            <w:r>
              <w:t>$</w:t>
            </w:r>
            <w:r w:rsidR="00533AE3">
              <w:t>989</w:t>
            </w:r>
          </w:p>
        </w:tc>
      </w:tr>
      <w:tr w:rsidR="00D52B51" w:rsidRPr="00BC71AE" w14:paraId="76F1BA28" w14:textId="77777777" w:rsidTr="008E1BA6">
        <w:tc>
          <w:tcPr>
            <w:tcW w:w="3916" w:type="dxa"/>
            <w:tcBorders>
              <w:top w:val="single" w:sz="8" w:space="0" w:color="4F81BD"/>
              <w:left w:val="single" w:sz="8" w:space="0" w:color="4F81BD"/>
              <w:bottom w:val="single" w:sz="8" w:space="0" w:color="4F81BD"/>
            </w:tcBorders>
            <w:shd w:val="clear" w:color="auto" w:fill="auto"/>
          </w:tcPr>
          <w:p w14:paraId="24820493" w14:textId="77777777" w:rsidR="00D52B51" w:rsidRPr="00554E03" w:rsidRDefault="00D52B51" w:rsidP="0086199D">
            <w:pPr>
              <w:rPr>
                <w:bCs/>
              </w:rPr>
            </w:pPr>
            <w:r>
              <w:rPr>
                <w:bCs/>
              </w:rPr>
              <w:t>After Housing Costs Income</w:t>
            </w:r>
          </w:p>
        </w:tc>
        <w:tc>
          <w:tcPr>
            <w:tcW w:w="1741" w:type="dxa"/>
            <w:tcBorders>
              <w:top w:val="single" w:sz="8" w:space="0" w:color="4F81BD"/>
              <w:bottom w:val="single" w:sz="8" w:space="0" w:color="4F81BD"/>
            </w:tcBorders>
            <w:shd w:val="clear" w:color="auto" w:fill="auto"/>
          </w:tcPr>
          <w:p w14:paraId="2AF63360" w14:textId="01685720" w:rsidR="00533AE3" w:rsidRPr="00BC71AE" w:rsidRDefault="00D52B51" w:rsidP="00706076">
            <w:r>
              <w:t>$</w:t>
            </w:r>
            <w:r w:rsidR="00533AE3">
              <w:t>365</w:t>
            </w:r>
          </w:p>
        </w:tc>
        <w:tc>
          <w:tcPr>
            <w:tcW w:w="1741" w:type="dxa"/>
            <w:tcBorders>
              <w:top w:val="single" w:sz="8" w:space="0" w:color="4F81BD"/>
              <w:bottom w:val="single" w:sz="8" w:space="0" w:color="4F81BD"/>
            </w:tcBorders>
          </w:tcPr>
          <w:p w14:paraId="421DB7A7" w14:textId="50C30F1B" w:rsidR="00533AE3" w:rsidRDefault="00D52B51" w:rsidP="00706076">
            <w:r>
              <w:t>$</w:t>
            </w:r>
            <w:r w:rsidR="00533AE3">
              <w:t>322</w:t>
            </w:r>
          </w:p>
        </w:tc>
        <w:tc>
          <w:tcPr>
            <w:tcW w:w="1608" w:type="dxa"/>
            <w:tcBorders>
              <w:top w:val="single" w:sz="8" w:space="0" w:color="4F81BD"/>
              <w:bottom w:val="single" w:sz="8" w:space="0" w:color="4F81BD"/>
            </w:tcBorders>
          </w:tcPr>
          <w:p w14:paraId="091B49FA" w14:textId="65387702" w:rsidR="00533AE3" w:rsidRDefault="00D52B51" w:rsidP="00706076">
            <w:r>
              <w:t>$</w:t>
            </w:r>
            <w:r w:rsidR="00533AE3">
              <w:t>1,467</w:t>
            </w:r>
          </w:p>
        </w:tc>
      </w:tr>
      <w:tr w:rsidR="00D52B51" w:rsidRPr="00BC71AE" w14:paraId="6EB74400" w14:textId="77777777" w:rsidTr="008E1BA6">
        <w:tc>
          <w:tcPr>
            <w:tcW w:w="3916" w:type="dxa"/>
            <w:tcBorders>
              <w:top w:val="single" w:sz="8" w:space="0" w:color="4F81BD"/>
              <w:left w:val="single" w:sz="8" w:space="0" w:color="4F81BD"/>
              <w:bottom w:val="single" w:sz="8" w:space="0" w:color="4F81BD"/>
            </w:tcBorders>
            <w:shd w:val="clear" w:color="auto" w:fill="auto"/>
          </w:tcPr>
          <w:p w14:paraId="327F9588" w14:textId="77777777" w:rsidR="00D52B51" w:rsidRPr="00554E03" w:rsidRDefault="00D52B51" w:rsidP="0086199D">
            <w:pPr>
              <w:rPr>
                <w:bCs/>
              </w:rPr>
            </w:pPr>
            <w:r>
              <w:rPr>
                <w:bCs/>
              </w:rPr>
              <w:t>Equivalised After Housing Costs</w:t>
            </w:r>
          </w:p>
        </w:tc>
        <w:tc>
          <w:tcPr>
            <w:tcW w:w="1741" w:type="dxa"/>
            <w:tcBorders>
              <w:top w:val="single" w:sz="8" w:space="0" w:color="4F81BD"/>
              <w:bottom w:val="single" w:sz="8" w:space="0" w:color="4F81BD"/>
            </w:tcBorders>
            <w:shd w:val="clear" w:color="auto" w:fill="auto"/>
          </w:tcPr>
          <w:p w14:paraId="639845C4" w14:textId="3FE8A019" w:rsidR="00533AE3" w:rsidRPr="00BC71AE" w:rsidRDefault="00D52B51" w:rsidP="00706076">
            <w:r>
              <w:t>$</w:t>
            </w:r>
            <w:r w:rsidR="00533AE3">
              <w:t>258</w:t>
            </w:r>
          </w:p>
        </w:tc>
        <w:tc>
          <w:tcPr>
            <w:tcW w:w="1741" w:type="dxa"/>
            <w:tcBorders>
              <w:top w:val="single" w:sz="8" w:space="0" w:color="4F81BD"/>
              <w:bottom w:val="single" w:sz="8" w:space="0" w:color="4F81BD"/>
            </w:tcBorders>
          </w:tcPr>
          <w:p w14:paraId="63B9555B" w14:textId="100AC6BD" w:rsidR="00533AE3" w:rsidRDefault="00D52B51" w:rsidP="00706076">
            <w:r>
              <w:t>$</w:t>
            </w:r>
            <w:r w:rsidR="00533AE3">
              <w:t>262</w:t>
            </w:r>
          </w:p>
        </w:tc>
        <w:tc>
          <w:tcPr>
            <w:tcW w:w="1608" w:type="dxa"/>
            <w:tcBorders>
              <w:top w:val="single" w:sz="8" w:space="0" w:color="4F81BD"/>
              <w:bottom w:val="single" w:sz="8" w:space="0" w:color="4F81BD"/>
            </w:tcBorders>
          </w:tcPr>
          <w:p w14:paraId="580C6623" w14:textId="00D95B88" w:rsidR="00533AE3" w:rsidRDefault="00D52B51" w:rsidP="00706076">
            <w:r>
              <w:t>$</w:t>
            </w:r>
            <w:r w:rsidR="00533AE3">
              <w:t>853</w:t>
            </w:r>
          </w:p>
        </w:tc>
      </w:tr>
    </w:tbl>
    <w:p w14:paraId="5A33B88B" w14:textId="77777777" w:rsidR="008E1BA6" w:rsidRDefault="008E1BA6" w:rsidP="00B6008B">
      <w:pPr>
        <w:rPr>
          <w:lang w:eastAsia="ja-JP"/>
        </w:rPr>
      </w:pPr>
    </w:p>
    <w:p w14:paraId="2C7976DC" w14:textId="24472FDB" w:rsidR="00BD3BF1" w:rsidRDefault="00D52B51" w:rsidP="00B6008B">
      <w:pPr>
        <w:rPr>
          <w:lang w:eastAsia="ja-JP"/>
        </w:rPr>
      </w:pPr>
      <w:r>
        <w:rPr>
          <w:lang w:eastAsia="ja-JP"/>
        </w:rPr>
        <w:t>These income figures can also be compared to household expenditure figures, which also show significant differences in expenditure between household types. A</w:t>
      </w:r>
      <w:r w:rsidR="002B5300">
        <w:rPr>
          <w:lang w:eastAsia="ja-JP"/>
        </w:rPr>
        <w:t xml:space="preserve">verage gross household expenditure </w:t>
      </w:r>
      <w:r w:rsidR="004203AB">
        <w:rPr>
          <w:lang w:eastAsia="ja-JP"/>
        </w:rPr>
        <w:t>for wage</w:t>
      </w:r>
      <w:r w:rsidR="00490F6A">
        <w:rPr>
          <w:lang w:eastAsia="ja-JP"/>
        </w:rPr>
        <w:t>d</w:t>
      </w:r>
      <w:r w:rsidR="004203AB">
        <w:rPr>
          <w:lang w:eastAsia="ja-JP"/>
        </w:rPr>
        <w:t xml:space="preserve"> poor households </w:t>
      </w:r>
      <w:r w:rsidR="00155990">
        <w:rPr>
          <w:lang w:eastAsia="ja-JP"/>
        </w:rPr>
        <w:t>was</w:t>
      </w:r>
      <w:r w:rsidR="004203AB">
        <w:rPr>
          <w:lang w:eastAsia="ja-JP"/>
        </w:rPr>
        <w:t xml:space="preserve"> $1302 per week, </w:t>
      </w:r>
      <w:r w:rsidR="00B6008B">
        <w:rPr>
          <w:lang w:eastAsia="ja-JP"/>
        </w:rPr>
        <w:t xml:space="preserve">well above the $711 average income. This deficit is not surprising given that </w:t>
      </w:r>
      <w:r w:rsidR="004203AB">
        <w:rPr>
          <w:lang w:eastAsia="ja-JP"/>
        </w:rPr>
        <w:t xml:space="preserve">the published ABS data for the bottom two income quintiles </w:t>
      </w:r>
      <w:r w:rsidR="00B6008B">
        <w:rPr>
          <w:lang w:eastAsia="ja-JP"/>
        </w:rPr>
        <w:t xml:space="preserve">also show expenditure exceeding income </w:t>
      </w:r>
      <w:r w:rsidR="00B6008B">
        <w:rPr>
          <w:lang w:eastAsia="ja-JP"/>
        </w:rPr>
        <w:fldChar w:fldCharType="begin"/>
      </w:r>
      <w:r w:rsidR="001C60E1">
        <w:rPr>
          <w:lang w:eastAsia="ja-JP"/>
        </w:rPr>
        <w:instrText xml:space="preserve"> ADDIN ZOTERO_ITEM CSL_CITATION {"citationID":"quKMYfd4","properties":{"formattedCitation":"(ABS, 2017a)","plainCitation":"(ABS, 2017a)","noteIndex":0},"citationItems":[{"id":39,"uris":["http://zotero.org/groups/2380274/items/939F6QPE"],"uri":["http://zotero.org/groups/2380274/items/939F6QPE"],"itemData":{"id":39,"type":"report","publisher":"Australian Bureau of Statistics","title":"6530.0 - Household Expenditure Survey, Australia: 2015-16","URL":"https://www.abs.gov.au/AUSSTATS/abs@.nsf/DetailsPage/6530.02015-16?OpenDocument","author":[{"family":"ABS","given":""}],"issued":{"date-parts":[["2017"]]}}}],"schema":"https://github.com/citation-style-language/schema/raw/master/csl-citation.json"} </w:instrText>
      </w:r>
      <w:r w:rsidR="00B6008B">
        <w:rPr>
          <w:lang w:eastAsia="ja-JP"/>
        </w:rPr>
        <w:fldChar w:fldCharType="separate"/>
      </w:r>
      <w:r w:rsidR="001C60E1" w:rsidRPr="001C60E1">
        <w:rPr>
          <w:rFonts w:cs="Calibri"/>
        </w:rPr>
        <w:t>(ABS, 2017a)</w:t>
      </w:r>
      <w:r w:rsidR="00B6008B">
        <w:rPr>
          <w:lang w:eastAsia="ja-JP"/>
        </w:rPr>
        <w:fldChar w:fldCharType="end"/>
      </w:r>
      <w:r w:rsidR="00B6008B">
        <w:rPr>
          <w:lang w:eastAsia="ja-JP"/>
        </w:rPr>
        <w:t>. This l</w:t>
      </w:r>
      <w:r w:rsidR="004203AB">
        <w:rPr>
          <w:lang w:eastAsia="ja-JP"/>
        </w:rPr>
        <w:t xml:space="preserve">ikely reflects a combination of under-reporting of income (including illegal incomes) and the significant extent to which low-income households live off savings or go into debt. </w:t>
      </w:r>
      <w:r w:rsidR="00A50901">
        <w:rPr>
          <w:lang w:eastAsia="ja-JP"/>
        </w:rPr>
        <w:t xml:space="preserve">Differences in savings possibilities </w:t>
      </w:r>
      <w:r w:rsidR="00BB7657">
        <w:rPr>
          <w:lang w:eastAsia="ja-JP"/>
        </w:rPr>
        <w:t>are</w:t>
      </w:r>
      <w:r w:rsidR="00A50901">
        <w:rPr>
          <w:lang w:eastAsia="ja-JP"/>
        </w:rPr>
        <w:t xml:space="preserve"> discussed below in relation to financial stress indicators (see Figure 4), while t</w:t>
      </w:r>
      <w:r w:rsidR="004203AB">
        <w:rPr>
          <w:lang w:eastAsia="ja-JP"/>
        </w:rPr>
        <w:t>he ABS’ own analysis suggests that being in debt “is a reality for most Australian households”</w:t>
      </w:r>
      <w:r w:rsidR="00554E03">
        <w:rPr>
          <w:lang w:eastAsia="ja-JP"/>
        </w:rPr>
        <w:t xml:space="preserve"> – and this is not just mortgages,</w:t>
      </w:r>
      <w:r w:rsidR="00170969">
        <w:rPr>
          <w:lang w:eastAsia="ja-JP"/>
        </w:rPr>
        <w:t xml:space="preserve"> with</w:t>
      </w:r>
      <w:r w:rsidR="00554E03">
        <w:rPr>
          <w:lang w:eastAsia="ja-JP"/>
        </w:rPr>
        <w:t xml:space="preserve"> </w:t>
      </w:r>
      <w:r w:rsidR="00554E03" w:rsidRPr="00170969">
        <w:rPr>
          <w:lang w:eastAsia="ja-JP"/>
        </w:rPr>
        <w:t>over 55%</w:t>
      </w:r>
      <w:r w:rsidR="00554E03">
        <w:rPr>
          <w:lang w:eastAsia="ja-JP"/>
        </w:rPr>
        <w:t xml:space="preserve"> of all households having credit card debt</w:t>
      </w:r>
      <w:r w:rsidR="004545E7">
        <w:rPr>
          <w:lang w:eastAsia="ja-JP"/>
        </w:rPr>
        <w:t xml:space="preserve"> </w:t>
      </w:r>
      <w:r w:rsidR="004545E7">
        <w:rPr>
          <w:lang w:eastAsia="ja-JP"/>
        </w:rPr>
        <w:fldChar w:fldCharType="begin"/>
      </w:r>
      <w:r w:rsidR="004545E7">
        <w:rPr>
          <w:lang w:eastAsia="ja-JP"/>
        </w:rPr>
        <w:instrText xml:space="preserve"> ADDIN ZOTERO_ITEM CSL_CITATION {"citationID":"6BMnwabc","properties":{"formattedCitation":"(Law et al., 2019)","plainCitation":"(Law et al., 2019)","noteIndex":0},"citationItems":[{"id":43,"uris":["http://zotero.org/groups/2380274/items/86GNJIMM"],"uri":["http://zotero.org/groups/2380274/items/86GNJIMM"],"itemData":{"id":43,"type":"report","event-place":"Adelaide","publisher":"South Australian Council of Social Service","publisher-place":"Adelaide","title":"Working to Make Ends Meet: Low-income Workers and Energy Bill Stress","author":[{"family":"Law","given":"Rebecca"},{"family":"Ogle","given":"Greg"},{"family":"Foley","given":"Kirsten"}],"issued":{"date-parts":[["2019"]]}}}],"schema":"https://github.com/citation-style-language/schema/raw/master/csl-citation.json"} </w:instrText>
      </w:r>
      <w:r w:rsidR="004545E7">
        <w:rPr>
          <w:lang w:eastAsia="ja-JP"/>
        </w:rPr>
        <w:fldChar w:fldCharType="separate"/>
      </w:r>
      <w:r w:rsidR="004545E7" w:rsidRPr="004545E7">
        <w:rPr>
          <w:rFonts w:cs="Calibri"/>
        </w:rPr>
        <w:t>(Law et al., 2019)</w:t>
      </w:r>
      <w:r w:rsidR="004545E7">
        <w:rPr>
          <w:lang w:eastAsia="ja-JP"/>
        </w:rPr>
        <w:fldChar w:fldCharType="end"/>
      </w:r>
      <w:r w:rsidR="00554E03">
        <w:rPr>
          <w:lang w:eastAsia="ja-JP"/>
        </w:rPr>
        <w:t xml:space="preserve">. </w:t>
      </w:r>
    </w:p>
    <w:p w14:paraId="18396D6D" w14:textId="1F55F534" w:rsidR="009A063B" w:rsidRDefault="00F67C9A" w:rsidP="00DC3517">
      <w:pPr>
        <w:rPr>
          <w:lang w:eastAsia="ja-JP"/>
        </w:rPr>
      </w:pPr>
      <w:r>
        <w:rPr>
          <w:lang w:eastAsia="ja-JP"/>
        </w:rPr>
        <w:t xml:space="preserve">The ABS data </w:t>
      </w:r>
      <w:r w:rsidR="00BD3BF1">
        <w:rPr>
          <w:lang w:eastAsia="ja-JP"/>
        </w:rPr>
        <w:t xml:space="preserve">also </w:t>
      </w:r>
      <w:r>
        <w:rPr>
          <w:lang w:eastAsia="ja-JP"/>
        </w:rPr>
        <w:t>shows t</w:t>
      </w:r>
      <w:r w:rsidR="002B5300">
        <w:rPr>
          <w:lang w:eastAsia="ja-JP"/>
        </w:rPr>
        <w:t xml:space="preserve">hat </w:t>
      </w:r>
      <w:r>
        <w:rPr>
          <w:lang w:eastAsia="ja-JP"/>
        </w:rPr>
        <w:t>waged poor households spent $42.32 per week or 5.9</w:t>
      </w:r>
      <w:r w:rsidR="00DC3517" w:rsidRPr="00FF1B4F">
        <w:rPr>
          <w:lang w:eastAsia="ja-JP"/>
        </w:rPr>
        <w:t xml:space="preserve">% of their disposable income on </w:t>
      </w:r>
      <w:r>
        <w:rPr>
          <w:lang w:eastAsia="ja-JP"/>
        </w:rPr>
        <w:t>“Communication”. This is the ABS summary classification that includes postage, but does not include the cost of many telecommunications devices. Accordingly, it i</w:t>
      </w:r>
      <w:r w:rsidR="00802D63">
        <w:rPr>
          <w:lang w:eastAsia="ja-JP"/>
        </w:rPr>
        <w:t>s not straig</w:t>
      </w:r>
      <w:r>
        <w:rPr>
          <w:lang w:eastAsia="ja-JP"/>
        </w:rPr>
        <w:t>ht telecommunications expenditure, although SACO</w:t>
      </w:r>
      <w:r w:rsidRPr="00170969">
        <w:rPr>
          <w:lang w:eastAsia="ja-JP"/>
        </w:rPr>
        <w:t>SS</w:t>
      </w:r>
      <w:r w:rsidR="00EA2B66" w:rsidRPr="00170969">
        <w:rPr>
          <w:lang w:eastAsia="ja-JP"/>
        </w:rPr>
        <w:t>’</w:t>
      </w:r>
      <w:r>
        <w:rPr>
          <w:lang w:eastAsia="ja-JP"/>
        </w:rPr>
        <w:t xml:space="preserve"> previous work on the data published for all households showed that telecommunications costs</w:t>
      </w:r>
      <w:r w:rsidR="00F41E3C">
        <w:rPr>
          <w:lang w:eastAsia="ja-JP"/>
        </w:rPr>
        <w:t xml:space="preserve"> (including equipment) </w:t>
      </w:r>
      <w:r>
        <w:rPr>
          <w:lang w:eastAsia="ja-JP"/>
        </w:rPr>
        <w:t xml:space="preserve">were slightly above this summary level “Communication” category. </w:t>
      </w:r>
    </w:p>
    <w:p w14:paraId="4AD1A5B8" w14:textId="27A445B2" w:rsidR="00F67C9A" w:rsidRDefault="009A063B" w:rsidP="00DC3517">
      <w:pPr>
        <w:rPr>
          <w:iCs/>
          <w:lang w:eastAsia="ja-JP"/>
        </w:rPr>
      </w:pPr>
      <w:r>
        <w:rPr>
          <w:lang w:eastAsia="ja-JP"/>
        </w:rPr>
        <w:lastRenderedPageBreak/>
        <w:t>A</w:t>
      </w:r>
      <w:r w:rsidR="002461DE">
        <w:rPr>
          <w:lang w:eastAsia="ja-JP"/>
        </w:rPr>
        <w:t xml:space="preserve">s Table </w:t>
      </w:r>
      <w:r w:rsidR="008E1BA6">
        <w:rPr>
          <w:lang w:eastAsia="ja-JP"/>
        </w:rPr>
        <w:t>3</w:t>
      </w:r>
      <w:r w:rsidR="002461DE">
        <w:rPr>
          <w:lang w:eastAsia="ja-JP"/>
        </w:rPr>
        <w:t xml:space="preserve"> below shows</w:t>
      </w:r>
      <w:r w:rsidR="00802D63">
        <w:rPr>
          <w:lang w:eastAsia="ja-JP"/>
        </w:rPr>
        <w:t>, this</w:t>
      </w:r>
      <w:r w:rsidR="00F67C9A">
        <w:rPr>
          <w:lang w:eastAsia="ja-JP"/>
        </w:rPr>
        <w:t xml:space="preserve"> </w:t>
      </w:r>
      <w:r w:rsidR="00114E8F">
        <w:rPr>
          <w:iCs/>
          <w:lang w:eastAsia="ja-JP"/>
        </w:rPr>
        <w:t>c</w:t>
      </w:r>
      <w:r w:rsidR="00F67C9A" w:rsidRPr="00114E8F">
        <w:rPr>
          <w:iCs/>
          <w:lang w:eastAsia="ja-JP"/>
        </w:rPr>
        <w:t xml:space="preserve">ommunication expenditure for waged poor households was </w:t>
      </w:r>
      <w:r>
        <w:rPr>
          <w:iCs/>
          <w:lang w:eastAsia="ja-JP"/>
        </w:rPr>
        <w:t xml:space="preserve">significantly </w:t>
      </w:r>
      <w:r w:rsidR="00F67C9A" w:rsidRPr="00114E8F">
        <w:rPr>
          <w:iCs/>
          <w:lang w:eastAsia="ja-JP"/>
        </w:rPr>
        <w:t>higher than that for households in poverty who were mainly rel</w:t>
      </w:r>
      <w:r w:rsidR="002461DE" w:rsidRPr="00114E8F">
        <w:rPr>
          <w:iCs/>
          <w:lang w:eastAsia="ja-JP"/>
        </w:rPr>
        <w:t xml:space="preserve">iant on </w:t>
      </w:r>
      <w:r w:rsidR="00B97C0E" w:rsidRPr="00114E8F">
        <w:rPr>
          <w:iCs/>
          <w:lang w:eastAsia="ja-JP"/>
        </w:rPr>
        <w:t>Centrelink</w:t>
      </w:r>
      <w:r w:rsidR="002461DE" w:rsidRPr="00114E8F">
        <w:rPr>
          <w:iCs/>
          <w:lang w:eastAsia="ja-JP"/>
        </w:rPr>
        <w:t xml:space="preserve"> payments, </w:t>
      </w:r>
      <w:r>
        <w:rPr>
          <w:iCs/>
          <w:lang w:eastAsia="ja-JP"/>
        </w:rPr>
        <w:t xml:space="preserve">again in part due to bigger household size and more demand. Indeed, the communications expenditure of waged poor households was almost the same </w:t>
      </w:r>
      <w:r w:rsidR="006E2313">
        <w:rPr>
          <w:iCs/>
          <w:lang w:eastAsia="ja-JP"/>
        </w:rPr>
        <w:t xml:space="preserve">(in dollar terms) </w:t>
      </w:r>
      <w:r>
        <w:rPr>
          <w:iCs/>
          <w:lang w:eastAsia="ja-JP"/>
        </w:rPr>
        <w:t>as for av</w:t>
      </w:r>
      <w:r w:rsidR="002461DE" w:rsidRPr="00114E8F">
        <w:rPr>
          <w:iCs/>
          <w:lang w:eastAsia="ja-JP"/>
        </w:rPr>
        <w:t>erage Australian households</w:t>
      </w:r>
      <w:r>
        <w:rPr>
          <w:iCs/>
          <w:lang w:eastAsia="ja-JP"/>
        </w:rPr>
        <w:t xml:space="preserve"> – despite the significant difference in income</w:t>
      </w:r>
      <w:r w:rsidR="002461DE" w:rsidRPr="00114E8F">
        <w:rPr>
          <w:iCs/>
          <w:lang w:eastAsia="ja-JP"/>
        </w:rPr>
        <w:t>.</w:t>
      </w:r>
    </w:p>
    <w:p w14:paraId="117CF98E" w14:textId="6306C69D" w:rsidR="008E1BA6" w:rsidRPr="00114E8F" w:rsidRDefault="00C26577" w:rsidP="00C26577">
      <w:pPr>
        <w:pStyle w:val="Caption"/>
        <w:rPr>
          <w:iCs/>
          <w:lang w:eastAsia="ja-JP"/>
        </w:rPr>
      </w:pPr>
      <w:bookmarkStart w:id="15" w:name="_Toc41989582"/>
      <w:r>
        <w:t xml:space="preserve">Table </w:t>
      </w:r>
      <w:fldSimple w:instr=" SEQ Table \* ARABIC ">
        <w:r>
          <w:rPr>
            <w:noProof/>
          </w:rPr>
          <w:t>3</w:t>
        </w:r>
      </w:fldSimple>
      <w:r>
        <w:t>: Communications Expenditure</w:t>
      </w:r>
      <w:bookmarkEnd w:id="15"/>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Caption w:val="Table 3: Communications Expenditure"/>
        <w:tblDescription w:val="Table shows average weekly expenditure on communications (telco services and postal). &#10;Waged poor $42.32pw equals 5.9% of income&#10;Centrelink poor $27.39 equals 4.2%&#10;All Households $46.16 equals 2.7%"/>
      </w:tblPr>
      <w:tblGrid>
        <w:gridCol w:w="4503"/>
        <w:gridCol w:w="1842"/>
        <w:gridCol w:w="1842"/>
      </w:tblGrid>
      <w:tr w:rsidR="002461DE" w:rsidRPr="00BC71AE" w14:paraId="3CEB8674" w14:textId="77777777" w:rsidTr="0086199D">
        <w:tc>
          <w:tcPr>
            <w:tcW w:w="4503" w:type="dxa"/>
            <w:shd w:val="clear" w:color="auto" w:fill="4F81BD"/>
          </w:tcPr>
          <w:p w14:paraId="67CF6ED7" w14:textId="77777777" w:rsidR="002461DE" w:rsidRPr="004C06A5" w:rsidRDefault="002461DE" w:rsidP="0086199D">
            <w:pPr>
              <w:rPr>
                <w:b/>
                <w:bCs/>
                <w:color w:val="FFFFFF"/>
              </w:rPr>
            </w:pPr>
          </w:p>
        </w:tc>
        <w:tc>
          <w:tcPr>
            <w:tcW w:w="1842" w:type="dxa"/>
            <w:shd w:val="clear" w:color="auto" w:fill="4F81BD"/>
          </w:tcPr>
          <w:p w14:paraId="1BDC16A2" w14:textId="77777777" w:rsidR="002461DE" w:rsidRPr="00817996" w:rsidRDefault="002461DE" w:rsidP="002461DE">
            <w:pPr>
              <w:rPr>
                <w:b/>
                <w:bCs/>
              </w:rPr>
            </w:pPr>
            <w:r w:rsidRPr="00817996">
              <w:rPr>
                <w:b/>
                <w:bCs/>
              </w:rPr>
              <w:t>Average Weekly Communication Expenditure</w:t>
            </w:r>
          </w:p>
        </w:tc>
        <w:tc>
          <w:tcPr>
            <w:tcW w:w="1842" w:type="dxa"/>
            <w:shd w:val="clear" w:color="auto" w:fill="4F81BD"/>
          </w:tcPr>
          <w:p w14:paraId="655D073C" w14:textId="77777777" w:rsidR="002461DE" w:rsidRPr="00817996" w:rsidRDefault="002461DE" w:rsidP="002461DE">
            <w:pPr>
              <w:rPr>
                <w:b/>
                <w:bCs/>
              </w:rPr>
            </w:pPr>
            <w:r w:rsidRPr="00817996">
              <w:rPr>
                <w:b/>
                <w:bCs/>
              </w:rPr>
              <w:t xml:space="preserve">% of Mean Household Income </w:t>
            </w:r>
          </w:p>
        </w:tc>
      </w:tr>
      <w:tr w:rsidR="002461DE" w:rsidRPr="00BC71AE" w14:paraId="5F618D26" w14:textId="77777777" w:rsidTr="0086199D">
        <w:tc>
          <w:tcPr>
            <w:tcW w:w="4503" w:type="dxa"/>
            <w:tcBorders>
              <w:top w:val="single" w:sz="8" w:space="0" w:color="4F81BD"/>
              <w:left w:val="single" w:sz="8" w:space="0" w:color="4F81BD"/>
              <w:bottom w:val="single" w:sz="8" w:space="0" w:color="4F81BD"/>
            </w:tcBorders>
            <w:shd w:val="clear" w:color="auto" w:fill="auto"/>
          </w:tcPr>
          <w:p w14:paraId="3291DB12" w14:textId="77777777" w:rsidR="002461DE" w:rsidRPr="00554E03" w:rsidRDefault="002461DE" w:rsidP="0086199D">
            <w:pPr>
              <w:rPr>
                <w:bCs/>
              </w:rPr>
            </w:pPr>
            <w:r>
              <w:rPr>
                <w:bCs/>
              </w:rPr>
              <w:t>Waged Poor Households</w:t>
            </w:r>
          </w:p>
        </w:tc>
        <w:tc>
          <w:tcPr>
            <w:tcW w:w="1842" w:type="dxa"/>
            <w:tcBorders>
              <w:top w:val="single" w:sz="8" w:space="0" w:color="4F81BD"/>
              <w:bottom w:val="single" w:sz="8" w:space="0" w:color="4F81BD"/>
            </w:tcBorders>
            <w:shd w:val="clear" w:color="auto" w:fill="auto"/>
          </w:tcPr>
          <w:p w14:paraId="208E0D98" w14:textId="77777777" w:rsidR="002461DE" w:rsidRPr="00BC71AE" w:rsidRDefault="002461DE" w:rsidP="0086199D">
            <w:r>
              <w:t>$42.32</w:t>
            </w:r>
          </w:p>
        </w:tc>
        <w:tc>
          <w:tcPr>
            <w:tcW w:w="1842" w:type="dxa"/>
            <w:tcBorders>
              <w:top w:val="single" w:sz="8" w:space="0" w:color="4F81BD"/>
              <w:bottom w:val="single" w:sz="8" w:space="0" w:color="4F81BD"/>
            </w:tcBorders>
          </w:tcPr>
          <w:p w14:paraId="04AC41B6" w14:textId="77777777" w:rsidR="002461DE" w:rsidRDefault="002461DE" w:rsidP="0086199D">
            <w:r>
              <w:t>5.9%</w:t>
            </w:r>
          </w:p>
        </w:tc>
      </w:tr>
      <w:tr w:rsidR="002461DE" w:rsidRPr="00BC71AE" w14:paraId="5E6D684C" w14:textId="77777777" w:rsidTr="0086199D">
        <w:tc>
          <w:tcPr>
            <w:tcW w:w="4503" w:type="dxa"/>
            <w:shd w:val="clear" w:color="auto" w:fill="auto"/>
          </w:tcPr>
          <w:p w14:paraId="3C70E730" w14:textId="77777777" w:rsidR="002461DE" w:rsidRPr="00554E03" w:rsidRDefault="002461DE" w:rsidP="0086199D">
            <w:pPr>
              <w:rPr>
                <w:bCs/>
              </w:rPr>
            </w:pPr>
            <w:r>
              <w:rPr>
                <w:bCs/>
              </w:rPr>
              <w:t>Income Support Poor Households</w:t>
            </w:r>
          </w:p>
        </w:tc>
        <w:tc>
          <w:tcPr>
            <w:tcW w:w="1842" w:type="dxa"/>
            <w:shd w:val="clear" w:color="auto" w:fill="auto"/>
          </w:tcPr>
          <w:p w14:paraId="5261E3FE" w14:textId="77777777" w:rsidR="002461DE" w:rsidRPr="00BC71AE" w:rsidRDefault="002461DE" w:rsidP="0086199D">
            <w:r>
              <w:t>$27.39</w:t>
            </w:r>
          </w:p>
        </w:tc>
        <w:tc>
          <w:tcPr>
            <w:tcW w:w="1842" w:type="dxa"/>
          </w:tcPr>
          <w:p w14:paraId="10747306" w14:textId="77777777" w:rsidR="002461DE" w:rsidRDefault="002461DE" w:rsidP="0086199D">
            <w:r>
              <w:t>4.2%</w:t>
            </w:r>
          </w:p>
        </w:tc>
      </w:tr>
      <w:tr w:rsidR="002461DE" w:rsidRPr="00BC71AE" w14:paraId="06999F7F" w14:textId="77777777" w:rsidTr="0086199D">
        <w:tc>
          <w:tcPr>
            <w:tcW w:w="4503" w:type="dxa"/>
            <w:tcBorders>
              <w:top w:val="single" w:sz="8" w:space="0" w:color="4F81BD"/>
              <w:left w:val="single" w:sz="8" w:space="0" w:color="4F81BD"/>
              <w:bottom w:val="single" w:sz="8" w:space="0" w:color="4F81BD"/>
            </w:tcBorders>
            <w:shd w:val="clear" w:color="auto" w:fill="auto"/>
          </w:tcPr>
          <w:p w14:paraId="26471184" w14:textId="77777777" w:rsidR="002461DE" w:rsidRPr="00554E03" w:rsidRDefault="002461DE" w:rsidP="0086199D">
            <w:pPr>
              <w:rPr>
                <w:bCs/>
              </w:rPr>
            </w:pPr>
            <w:r>
              <w:rPr>
                <w:bCs/>
              </w:rPr>
              <w:t>All Households</w:t>
            </w:r>
          </w:p>
        </w:tc>
        <w:tc>
          <w:tcPr>
            <w:tcW w:w="1842" w:type="dxa"/>
            <w:tcBorders>
              <w:top w:val="single" w:sz="8" w:space="0" w:color="4F81BD"/>
              <w:bottom w:val="single" w:sz="8" w:space="0" w:color="4F81BD"/>
            </w:tcBorders>
            <w:shd w:val="clear" w:color="auto" w:fill="auto"/>
          </w:tcPr>
          <w:p w14:paraId="0F77A9A2" w14:textId="77777777" w:rsidR="002461DE" w:rsidRPr="00BC71AE" w:rsidRDefault="002461DE" w:rsidP="0086199D">
            <w:r>
              <w:t>$46.16</w:t>
            </w:r>
          </w:p>
        </w:tc>
        <w:tc>
          <w:tcPr>
            <w:tcW w:w="1842" w:type="dxa"/>
            <w:tcBorders>
              <w:top w:val="single" w:sz="8" w:space="0" w:color="4F81BD"/>
              <w:bottom w:val="single" w:sz="8" w:space="0" w:color="4F81BD"/>
            </w:tcBorders>
          </w:tcPr>
          <w:p w14:paraId="7CB3538F" w14:textId="77777777" w:rsidR="002461DE" w:rsidRDefault="002461DE" w:rsidP="0086199D">
            <w:r>
              <w:t>2.7%</w:t>
            </w:r>
          </w:p>
        </w:tc>
      </w:tr>
    </w:tbl>
    <w:p w14:paraId="64996846" w14:textId="77777777" w:rsidR="008B050E" w:rsidRDefault="008B050E" w:rsidP="000D226A">
      <w:pPr>
        <w:pStyle w:val="Heading3"/>
      </w:pPr>
      <w:bookmarkStart w:id="16" w:name="_Toc42719018"/>
      <w:r>
        <w:t>Family Formation Cohort</w:t>
      </w:r>
      <w:bookmarkEnd w:id="16"/>
    </w:p>
    <w:p w14:paraId="6C42433B" w14:textId="38EAC92C" w:rsidR="00FF1B4F" w:rsidRDefault="008B050E" w:rsidP="00B55B0B">
      <w:pPr>
        <w:rPr>
          <w:lang w:eastAsia="ja-JP"/>
        </w:rPr>
      </w:pPr>
      <w:r>
        <w:rPr>
          <w:lang w:val="en-US" w:eastAsia="ja-JP"/>
        </w:rPr>
        <w:t>The data above highlighted that waged poor households were on average larger than those mainly reliant on income support, but there is a specific dynamic to this in that wage</w:t>
      </w:r>
      <w:r w:rsidR="00490F6A">
        <w:rPr>
          <w:lang w:val="en-US" w:eastAsia="ja-JP"/>
        </w:rPr>
        <w:t>d</w:t>
      </w:r>
      <w:r>
        <w:rPr>
          <w:lang w:val="en-US" w:eastAsia="ja-JP"/>
        </w:rPr>
        <w:t xml:space="preserve"> poor households are dominated by what we term a “family formation cohort”. </w:t>
      </w:r>
      <w:r w:rsidR="00232F6B">
        <w:rPr>
          <w:lang w:val="en-US" w:eastAsia="ja-JP"/>
        </w:rPr>
        <w:t xml:space="preserve">As evident in Figure </w:t>
      </w:r>
      <w:r w:rsidR="00EF65D0">
        <w:rPr>
          <w:lang w:val="en-US" w:eastAsia="ja-JP"/>
        </w:rPr>
        <w:t>2</w:t>
      </w:r>
      <w:r w:rsidR="00232F6B">
        <w:rPr>
          <w:lang w:val="en-US" w:eastAsia="ja-JP"/>
        </w:rPr>
        <w:t xml:space="preserve"> below, c</w:t>
      </w:r>
      <w:r w:rsidR="00FF1B4F" w:rsidRPr="00FF1B4F">
        <w:rPr>
          <w:lang w:eastAsia="ja-JP"/>
        </w:rPr>
        <w:t>ouples and couples with children</w:t>
      </w:r>
      <w:r w:rsidR="00956EF6">
        <w:rPr>
          <w:lang w:eastAsia="ja-JP"/>
        </w:rPr>
        <w:t xml:space="preserve"> account for 55% of waged poor households, </w:t>
      </w:r>
      <w:r w:rsidR="00FF1B4F" w:rsidRPr="00FF1B4F">
        <w:rPr>
          <w:lang w:eastAsia="ja-JP"/>
        </w:rPr>
        <w:t>while single person and single parent households dominate the cohort of those in po</w:t>
      </w:r>
      <w:r w:rsidR="00956EF6">
        <w:rPr>
          <w:lang w:eastAsia="ja-JP"/>
        </w:rPr>
        <w:t>verty reliant on income support</w:t>
      </w:r>
      <w:r w:rsidR="00FF1B4F" w:rsidRPr="00FF1B4F">
        <w:rPr>
          <w:lang w:eastAsia="ja-JP"/>
        </w:rPr>
        <w:t xml:space="preserve">. </w:t>
      </w:r>
      <w:r w:rsidR="00501278">
        <w:rPr>
          <w:lang w:eastAsia="ja-JP"/>
        </w:rPr>
        <w:t>That said, while s</w:t>
      </w:r>
      <w:r w:rsidR="00956EF6">
        <w:rPr>
          <w:lang w:eastAsia="ja-JP"/>
        </w:rPr>
        <w:t xml:space="preserve">ingle parents in poverty are more likely to be </w:t>
      </w:r>
      <w:r w:rsidR="0026484D">
        <w:rPr>
          <w:lang w:eastAsia="ja-JP"/>
        </w:rPr>
        <w:t xml:space="preserve">primarily reliant on </w:t>
      </w:r>
      <w:r w:rsidR="00956EF6">
        <w:rPr>
          <w:lang w:eastAsia="ja-JP"/>
        </w:rPr>
        <w:t xml:space="preserve">income-support </w:t>
      </w:r>
      <w:r w:rsidR="0026484D">
        <w:rPr>
          <w:lang w:eastAsia="ja-JP"/>
        </w:rPr>
        <w:t>payments</w:t>
      </w:r>
      <w:r w:rsidR="00956EF6">
        <w:rPr>
          <w:lang w:eastAsia="ja-JP"/>
        </w:rPr>
        <w:t xml:space="preserve">, 10% of single parents </w:t>
      </w:r>
      <w:r w:rsidR="00F41E3C">
        <w:rPr>
          <w:lang w:eastAsia="ja-JP"/>
        </w:rPr>
        <w:t xml:space="preserve">in poverty </w:t>
      </w:r>
      <w:r w:rsidR="00956EF6">
        <w:rPr>
          <w:lang w:eastAsia="ja-JP"/>
        </w:rPr>
        <w:t xml:space="preserve">are in the waged poor category which itself is </w:t>
      </w:r>
      <w:r w:rsidR="00501278">
        <w:rPr>
          <w:lang w:eastAsia="ja-JP"/>
        </w:rPr>
        <w:t>nearly double the incidence of single parent households in</w:t>
      </w:r>
      <w:r w:rsidR="00956EF6">
        <w:rPr>
          <w:lang w:eastAsia="ja-JP"/>
        </w:rPr>
        <w:t xml:space="preserve"> the general population.</w:t>
      </w:r>
    </w:p>
    <w:p w14:paraId="4BD94CF8" w14:textId="6F5CD7A8" w:rsidR="00500496" w:rsidRDefault="00500496" w:rsidP="00500496">
      <w:pPr>
        <w:pStyle w:val="Caption"/>
        <w:rPr>
          <w:lang w:eastAsia="ja-JP"/>
        </w:rPr>
      </w:pPr>
      <w:bookmarkStart w:id="17" w:name="_Toc41920113"/>
      <w:r>
        <w:t xml:space="preserve">Figure </w:t>
      </w:r>
      <w:fldSimple w:instr=" SEQ Figure \* ARABIC ">
        <w:r w:rsidR="001D54A2">
          <w:rPr>
            <w:noProof/>
          </w:rPr>
          <w:t>2</w:t>
        </w:r>
      </w:fldSimple>
      <w:r>
        <w:t>: Composition of Different Household Groups</w:t>
      </w:r>
      <w:bookmarkEnd w:id="17"/>
    </w:p>
    <w:p w14:paraId="451A2DA9" w14:textId="5FA9A493" w:rsidR="00232F6B" w:rsidRPr="00FF1B4F" w:rsidRDefault="00CB43E1" w:rsidP="00B55B0B">
      <w:pPr>
        <w:rPr>
          <w:lang w:eastAsia="ja-JP"/>
        </w:rPr>
      </w:pPr>
      <w:r>
        <w:rPr>
          <w:noProof/>
          <w:lang w:eastAsia="en-AU"/>
        </w:rPr>
        <w:drawing>
          <wp:inline distT="0" distB="0" distL="0" distR="0" wp14:anchorId="799669D8" wp14:editId="47CA9702">
            <wp:extent cx="5721985" cy="2818765"/>
            <wp:effectExtent l="0" t="0" r="0" b="0"/>
            <wp:docPr id="4" name="Picture 4" descr="Column graph showing proportions:&#10;Couple with children (waged poor 35%, versus Centrelink 10%&#10;Couple no children (waged poor 21% versus Centrelink 16%, all households 28%)&#10;Single no children (waged poor and all households 26%, Centrelink 51%)&#10;Single with children (waged poor 10%, Centrelink 18%, all household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CE0E104" w14:textId="4310F9B2" w:rsidR="006B604D" w:rsidRPr="00FF1B4F" w:rsidRDefault="006B604D" w:rsidP="00FF1B4F">
      <w:pPr>
        <w:rPr>
          <w:b/>
          <w:bCs/>
          <w:i/>
          <w:lang w:eastAsia="ja-JP"/>
        </w:rPr>
      </w:pPr>
      <w:r>
        <w:rPr>
          <w:lang w:eastAsia="ja-JP"/>
        </w:rPr>
        <w:t xml:space="preserve">Put another way, 45% of waged poor households have children, by comparison with 28% of income support poverty households and 38% of all households. This over-representation of households with </w:t>
      </w:r>
      <w:r>
        <w:rPr>
          <w:lang w:eastAsia="ja-JP"/>
        </w:rPr>
        <w:lastRenderedPageBreak/>
        <w:t xml:space="preserve">children is significant given previous research noting the importance of children and young adults in driving telecommunications expenditure in poor households. While single adults may limit their telecommunications use, children require devices and data for school and social connection </w:t>
      </w:r>
      <w:r w:rsidR="00501278">
        <w:rPr>
          <w:lang w:eastAsia="ja-JP"/>
        </w:rPr>
        <w:fldChar w:fldCharType="begin"/>
      </w:r>
      <w:r w:rsidR="008E107E">
        <w:rPr>
          <w:lang w:eastAsia="ja-JP"/>
        </w:rPr>
        <w:instrText xml:space="preserve"> ADDIN ZOTERO_ITEM CSL_CITATION {"citationID":"TfjgzLtc","properties":{"formattedCitation":"(Ogle and Musolino, 2016)","plainCitation":"(Ogle and Musolino, 2016)","noteIndex":0},"citationItems":[{"id":42,"uris":["http://zotero.org/groups/2380274/items/YQCAJU4B"],"uri":["http://zotero.org/groups/2380274/items/YQCAJU4B"],"itemData":{"id":42,"type":"report","event-place":"Adelaide","publisher":"South Australian Council of Social Service","publisher-place":"Adelaide","title":"Connectivity Costs: Telecommunications Affordability for Low Income Australians","author":[{"family":"Ogle","given":"Greg"},{"family":"Musolino","given":"Vanessa"}],"issued":{"date-parts":[["2016"]]}}}],"schema":"https://github.com/citation-style-language/schema/raw/master/csl-citation.json"} </w:instrText>
      </w:r>
      <w:r w:rsidR="00501278">
        <w:rPr>
          <w:lang w:eastAsia="ja-JP"/>
        </w:rPr>
        <w:fldChar w:fldCharType="separate"/>
      </w:r>
      <w:r w:rsidR="00501278" w:rsidRPr="00501278">
        <w:rPr>
          <w:rFonts w:cs="Calibri"/>
        </w:rPr>
        <w:t>(Ogle and Musolino, 2016)</w:t>
      </w:r>
      <w:r w:rsidR="00501278">
        <w:rPr>
          <w:lang w:eastAsia="ja-JP"/>
        </w:rPr>
        <w:fldChar w:fldCharType="end"/>
      </w:r>
      <w:r>
        <w:rPr>
          <w:lang w:eastAsia="ja-JP"/>
        </w:rPr>
        <w:t>.</w:t>
      </w:r>
    </w:p>
    <w:p w14:paraId="6A253DED" w14:textId="77777777" w:rsidR="00FF1B4F" w:rsidRDefault="0026484D" w:rsidP="000D226A">
      <w:pPr>
        <w:pStyle w:val="Heading3"/>
      </w:pPr>
      <w:bookmarkStart w:id="18" w:name="_Toc42719019"/>
      <w:r>
        <w:t>Household Tenure</w:t>
      </w:r>
      <w:bookmarkEnd w:id="18"/>
    </w:p>
    <w:p w14:paraId="31C5A762" w14:textId="44E3C7CD" w:rsidR="003F3A77" w:rsidRDefault="0026484D" w:rsidP="0026484D">
      <w:pPr>
        <w:rPr>
          <w:lang w:eastAsia="ja-JP"/>
        </w:rPr>
      </w:pPr>
      <w:r>
        <w:rPr>
          <w:lang w:eastAsia="ja-JP"/>
        </w:rPr>
        <w:t>Nearly two-thirds</w:t>
      </w:r>
      <w:r w:rsidR="00FF1B4F" w:rsidRPr="00FF1B4F">
        <w:rPr>
          <w:lang w:eastAsia="ja-JP"/>
        </w:rPr>
        <w:t xml:space="preserve"> of waged poor households were renters</w:t>
      </w:r>
      <w:r w:rsidR="003D33CA">
        <w:rPr>
          <w:lang w:eastAsia="ja-JP"/>
        </w:rPr>
        <w:t xml:space="preserve">. This is similar to other households in poverty, but </w:t>
      </w:r>
      <w:r>
        <w:rPr>
          <w:lang w:eastAsia="ja-JP"/>
        </w:rPr>
        <w:t>nearly</w:t>
      </w:r>
      <w:r w:rsidR="00FF1B4F" w:rsidRPr="00FF1B4F">
        <w:rPr>
          <w:lang w:eastAsia="ja-JP"/>
        </w:rPr>
        <w:t xml:space="preserve"> twice </w:t>
      </w:r>
      <w:r>
        <w:rPr>
          <w:lang w:eastAsia="ja-JP"/>
        </w:rPr>
        <w:t>the rate in</w:t>
      </w:r>
      <w:r w:rsidR="00FF1B4F" w:rsidRPr="00FF1B4F">
        <w:rPr>
          <w:lang w:eastAsia="ja-JP"/>
        </w:rPr>
        <w:t xml:space="preserve"> the general population</w:t>
      </w:r>
      <w:r w:rsidR="00B97C0E">
        <w:rPr>
          <w:lang w:eastAsia="ja-JP"/>
        </w:rPr>
        <w:t xml:space="preserve"> and</w:t>
      </w:r>
      <w:r w:rsidR="003F3A77">
        <w:rPr>
          <w:lang w:eastAsia="ja-JP"/>
        </w:rPr>
        <w:t xml:space="preserve"> is a feature of waged poor households </w:t>
      </w:r>
      <w:r w:rsidR="0069523D">
        <w:rPr>
          <w:lang w:eastAsia="ja-JP"/>
        </w:rPr>
        <w:t>with implications for</w:t>
      </w:r>
      <w:r w:rsidR="003F3A77">
        <w:rPr>
          <w:lang w:eastAsia="ja-JP"/>
        </w:rPr>
        <w:t xml:space="preserve"> telecommunications</w:t>
      </w:r>
      <w:r>
        <w:rPr>
          <w:lang w:eastAsia="ja-JP"/>
        </w:rPr>
        <w:t xml:space="preserve">. </w:t>
      </w:r>
    </w:p>
    <w:p w14:paraId="06B31EDD" w14:textId="77777777" w:rsidR="003F3A77" w:rsidRDefault="003F3A77" w:rsidP="0026484D">
      <w:pPr>
        <w:rPr>
          <w:lang w:eastAsia="ja-JP"/>
        </w:rPr>
      </w:pPr>
      <w:r>
        <w:rPr>
          <w:lang w:eastAsia="ja-JP"/>
        </w:rPr>
        <w:t>W</w:t>
      </w:r>
      <w:r w:rsidR="00A94968">
        <w:rPr>
          <w:lang w:eastAsia="ja-JP"/>
        </w:rPr>
        <w:t xml:space="preserve">aged poor households were </w:t>
      </w:r>
      <w:r w:rsidR="003D33CA">
        <w:rPr>
          <w:lang w:eastAsia="ja-JP"/>
        </w:rPr>
        <w:t xml:space="preserve">also </w:t>
      </w:r>
      <w:r w:rsidR="00A94968">
        <w:rPr>
          <w:lang w:eastAsia="ja-JP"/>
        </w:rPr>
        <w:t>more than twice as likely as other households in poverty to be home-owners paying off a mortgage</w:t>
      </w:r>
      <w:r>
        <w:rPr>
          <w:lang w:eastAsia="ja-JP"/>
        </w:rPr>
        <w:t>, although at around 25% of waged poor households this was less than for all households</w:t>
      </w:r>
      <w:r w:rsidR="00A94968">
        <w:rPr>
          <w:lang w:eastAsia="ja-JP"/>
        </w:rPr>
        <w:t xml:space="preserve">. </w:t>
      </w:r>
    </w:p>
    <w:p w14:paraId="20B3C9F9" w14:textId="56874E43" w:rsidR="003F3A77" w:rsidRDefault="003F3A77" w:rsidP="0026484D">
      <w:pPr>
        <w:rPr>
          <w:lang w:eastAsia="ja-JP"/>
        </w:rPr>
      </w:pPr>
      <w:r>
        <w:rPr>
          <w:lang w:eastAsia="ja-JP"/>
        </w:rPr>
        <w:t>Taken together, around 90% of waged poor households were either renting or paying mortgages and therefore facing significant housing costs. This is partly a statistical manifestation of using after-housing poverty data because the housing costs for those households push them below the poverty line even if their initial income may be higher. Indeed the quantitative survey u</w:t>
      </w:r>
      <w:r w:rsidR="0069523D">
        <w:rPr>
          <w:lang w:eastAsia="ja-JP"/>
        </w:rPr>
        <w:t>ndertaken for this study which (</w:t>
      </w:r>
      <w:r>
        <w:rPr>
          <w:lang w:eastAsia="ja-JP"/>
        </w:rPr>
        <w:t>for recruitment reasons</w:t>
      </w:r>
      <w:r w:rsidR="0069523D">
        <w:rPr>
          <w:lang w:eastAsia="ja-JP"/>
        </w:rPr>
        <w:t>)</w:t>
      </w:r>
      <w:r>
        <w:rPr>
          <w:lang w:eastAsia="ja-JP"/>
        </w:rPr>
        <w:t xml:space="preserve"> was</w:t>
      </w:r>
      <w:r w:rsidR="0069523D">
        <w:rPr>
          <w:lang w:eastAsia="ja-JP"/>
        </w:rPr>
        <w:t xml:space="preserve"> based on before-housing income</w:t>
      </w:r>
      <w:r>
        <w:rPr>
          <w:lang w:eastAsia="ja-JP"/>
        </w:rPr>
        <w:t xml:space="preserve"> had a significantly smaller proportion of renters. However, the </w:t>
      </w:r>
      <w:r w:rsidR="00C413F8">
        <w:rPr>
          <w:lang w:eastAsia="ja-JP"/>
        </w:rPr>
        <w:t xml:space="preserve">significant housing costs faced by </w:t>
      </w:r>
      <w:r w:rsidR="00232F6B">
        <w:rPr>
          <w:lang w:eastAsia="ja-JP"/>
        </w:rPr>
        <w:t>90% of the waged poor cohort increases the pressure on already low household budgets and adds to the difficulties in affording other essentials like telecommunications.</w:t>
      </w:r>
    </w:p>
    <w:p w14:paraId="1FD25695" w14:textId="0BCCC2D5" w:rsidR="00500496" w:rsidRDefault="00500496" w:rsidP="00500496">
      <w:pPr>
        <w:pStyle w:val="Caption"/>
        <w:rPr>
          <w:lang w:eastAsia="ja-JP"/>
        </w:rPr>
      </w:pPr>
      <w:bookmarkStart w:id="19" w:name="_Toc41920114"/>
      <w:r>
        <w:t xml:space="preserve">Figure </w:t>
      </w:r>
      <w:fldSimple w:instr=" SEQ Figure \* ARABIC ">
        <w:r w:rsidR="001D54A2">
          <w:rPr>
            <w:noProof/>
          </w:rPr>
          <w:t>3</w:t>
        </w:r>
      </w:fldSimple>
      <w:r>
        <w:t>: Housing Tenure by Different Household Groups</w:t>
      </w:r>
      <w:bookmarkEnd w:id="19"/>
    </w:p>
    <w:p w14:paraId="2C580616" w14:textId="04CCF96B" w:rsidR="00FF1B4F" w:rsidRPr="00FF1B4F" w:rsidRDefault="00CB43E1" w:rsidP="00FF1B4F">
      <w:pPr>
        <w:rPr>
          <w:lang w:eastAsia="ja-JP"/>
        </w:rPr>
      </w:pPr>
      <w:r>
        <w:rPr>
          <w:noProof/>
          <w:lang w:eastAsia="en-AU"/>
        </w:rPr>
        <w:drawing>
          <wp:inline distT="0" distB="0" distL="0" distR="0" wp14:anchorId="1A67791C" wp14:editId="177CB0D5">
            <wp:extent cx="5721985" cy="2503805"/>
            <wp:effectExtent l="0" t="0" r="0" b="0"/>
            <wp:docPr id="5" name="Picture 5" descr="Column graph showing waged poor households include few owners with no mortgages (8%, v 19% Centrelink, and 31% all households)&#10;Owners with mortgages (waged poor 25%, Centrelink 10%, all 35%)&#10;Renters (waged poor 65%, Centrelink 68%, all households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C694BAF" w14:textId="77777777" w:rsidR="002A3EC5" w:rsidRDefault="002A3EC5" w:rsidP="000D226A">
      <w:pPr>
        <w:pStyle w:val="Heading3"/>
      </w:pPr>
      <w:bookmarkStart w:id="20" w:name="_Toc42719020"/>
      <w:r>
        <w:t>Financial Hardship and Support</w:t>
      </w:r>
      <w:bookmarkEnd w:id="20"/>
    </w:p>
    <w:p w14:paraId="0E893891" w14:textId="3E13EFA6" w:rsidR="002A3EC5" w:rsidRDefault="002A3EC5" w:rsidP="00DC3517">
      <w:pPr>
        <w:rPr>
          <w:lang w:eastAsia="ja-JP"/>
        </w:rPr>
      </w:pPr>
      <w:r>
        <w:rPr>
          <w:lang w:eastAsia="ja-JP"/>
        </w:rPr>
        <w:t>These low income and large expenditure pressures can result in significant financial (and other) stress. The ABS 2015-16 HES data showed that o</w:t>
      </w:r>
      <w:r w:rsidRPr="00FF1B4F">
        <w:rPr>
          <w:lang w:eastAsia="ja-JP"/>
        </w:rPr>
        <w:t xml:space="preserve">ver 45,000 waged poor households </w:t>
      </w:r>
      <w:r>
        <w:rPr>
          <w:lang w:eastAsia="ja-JP"/>
        </w:rPr>
        <w:t>had been</w:t>
      </w:r>
      <w:r w:rsidRPr="00FF1B4F">
        <w:rPr>
          <w:lang w:eastAsia="ja-JP"/>
        </w:rPr>
        <w:t xml:space="preserve"> unable to pay their bills </w:t>
      </w:r>
      <w:r>
        <w:rPr>
          <w:lang w:eastAsia="ja-JP"/>
        </w:rPr>
        <w:t xml:space="preserve">on time </w:t>
      </w:r>
      <w:r w:rsidRPr="00FF1B4F">
        <w:rPr>
          <w:lang w:eastAsia="ja-JP"/>
        </w:rPr>
        <w:t>due to financial hardship</w:t>
      </w:r>
      <w:r>
        <w:rPr>
          <w:lang w:eastAsia="ja-JP"/>
        </w:rPr>
        <w:t xml:space="preserve"> in the previous 12 month period</w:t>
      </w:r>
      <w:r w:rsidRPr="00FF1B4F">
        <w:rPr>
          <w:lang w:eastAsia="ja-JP"/>
        </w:rPr>
        <w:t>.</w:t>
      </w:r>
      <w:r>
        <w:rPr>
          <w:lang w:eastAsia="ja-JP"/>
        </w:rPr>
        <w:t xml:space="preserve"> This represented some 18% of all waged poor households – a lower rate of stress than for those </w:t>
      </w:r>
      <w:r w:rsidR="00114E8F">
        <w:rPr>
          <w:lang w:eastAsia="ja-JP"/>
        </w:rPr>
        <w:t xml:space="preserve">Centrelink-reliant households </w:t>
      </w:r>
      <w:r w:rsidR="00E62BA6">
        <w:rPr>
          <w:lang w:eastAsia="ja-JP"/>
        </w:rPr>
        <w:t>in poverty</w:t>
      </w:r>
      <w:r>
        <w:rPr>
          <w:lang w:eastAsia="ja-JP"/>
        </w:rPr>
        <w:t xml:space="preserve">, but around double the rate among the general population. This is evident in </w:t>
      </w:r>
      <w:r w:rsidR="00E62BA6">
        <w:rPr>
          <w:lang w:eastAsia="ja-JP"/>
        </w:rPr>
        <w:lastRenderedPageBreak/>
        <w:t xml:space="preserve">the top lines of </w:t>
      </w:r>
      <w:r>
        <w:rPr>
          <w:lang w:eastAsia="ja-JP"/>
        </w:rPr>
        <w:t xml:space="preserve">Figure </w:t>
      </w:r>
      <w:r w:rsidR="00EF65D0">
        <w:rPr>
          <w:lang w:eastAsia="ja-JP"/>
        </w:rPr>
        <w:t>4</w:t>
      </w:r>
      <w:r>
        <w:rPr>
          <w:lang w:eastAsia="ja-JP"/>
        </w:rPr>
        <w:t xml:space="preserve">, which </w:t>
      </w:r>
      <w:r w:rsidR="00E62BA6">
        <w:rPr>
          <w:lang w:eastAsia="ja-JP"/>
        </w:rPr>
        <w:t xml:space="preserve">also </w:t>
      </w:r>
      <w:r>
        <w:rPr>
          <w:lang w:eastAsia="ja-JP"/>
        </w:rPr>
        <w:t>shows other relevant ABS financial stress indicators (selected from 9 HES measures).</w:t>
      </w:r>
    </w:p>
    <w:p w14:paraId="5C34D4E4" w14:textId="0AC16FC6" w:rsidR="003C4E4F" w:rsidRDefault="003C4E4F">
      <w:pPr>
        <w:spacing w:after="0" w:line="240" w:lineRule="auto"/>
        <w:rPr>
          <w:rFonts w:ascii="Arial" w:eastAsia="Cambria" w:hAnsi="Arial" w:cs="Cambria"/>
          <w:b/>
          <w:bCs/>
          <w:sz w:val="20"/>
          <w:szCs w:val="20"/>
          <w:lang w:eastAsia="en-AU"/>
        </w:rPr>
      </w:pPr>
    </w:p>
    <w:p w14:paraId="6959B178" w14:textId="7A84EB7D" w:rsidR="003C4E4F" w:rsidRPr="00FF1B4F" w:rsidRDefault="003C4E4F" w:rsidP="003C4E4F">
      <w:pPr>
        <w:pStyle w:val="Caption"/>
        <w:rPr>
          <w:lang w:eastAsia="ja-JP"/>
        </w:rPr>
      </w:pPr>
      <w:bookmarkStart w:id="21" w:name="_Toc41920115"/>
      <w:r>
        <w:t xml:space="preserve">Figure </w:t>
      </w:r>
      <w:fldSimple w:instr=" SEQ Figure \* ARABIC ">
        <w:r w:rsidR="001D54A2">
          <w:rPr>
            <w:noProof/>
          </w:rPr>
          <w:t>4</w:t>
        </w:r>
      </w:fldSimple>
      <w:r>
        <w:t>: Selected Financial Stress Indicators</w:t>
      </w:r>
      <w:bookmarkEnd w:id="21"/>
    </w:p>
    <w:p w14:paraId="414BCACC" w14:textId="506B51D0" w:rsidR="002A3EC5" w:rsidRDefault="00CB43E1" w:rsidP="00DC3517">
      <w:pPr>
        <w:rPr>
          <w:noProof/>
          <w:lang w:eastAsia="en-AU"/>
        </w:rPr>
      </w:pPr>
      <w:r>
        <w:rPr>
          <w:noProof/>
          <w:lang w:eastAsia="en-AU"/>
        </w:rPr>
        <w:drawing>
          <wp:inline distT="0" distB="0" distL="0" distR="0" wp14:anchorId="0E9DE18B" wp14:editId="06FA6EC2">
            <wp:extent cx="5721350" cy="2645410"/>
            <wp:effectExtent l="0" t="0" r="0" b="0"/>
            <wp:docPr id="6" name="Picture 6" descr="Bar graph showing ABS data on 4 financial stress indicators:&#10;Could not pay energy or telco bill (waged poor [18%] which was less then Centrelink, but more than average)&#10;Would use own savings for emergencies (waged poor [45%] was much more than Centrelink, but slightly less than average)&#10;Would loan money from family/friends for emergencies (waged poor [22%] was more than Centrelink, slightly less than average)&#10;Sought assistance from welfare orgs - (Centrelink 17%, waged poor lowest a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AC491B7" w14:textId="24A83111" w:rsidR="00E62BA6" w:rsidRPr="00170969" w:rsidRDefault="00E62BA6" w:rsidP="00DC3517">
      <w:pPr>
        <w:rPr>
          <w:lang w:val="en-US" w:eastAsia="ja-JP"/>
        </w:rPr>
      </w:pPr>
      <w:r>
        <w:rPr>
          <w:lang w:val="en-US" w:eastAsia="ja-JP"/>
        </w:rPr>
        <w:t xml:space="preserve">The other financial stress indicators also reveal </w:t>
      </w:r>
      <w:r w:rsidR="00B44D7A">
        <w:rPr>
          <w:lang w:val="en-US" w:eastAsia="ja-JP"/>
        </w:rPr>
        <w:t>other</w:t>
      </w:r>
      <w:r>
        <w:rPr>
          <w:lang w:val="en-US" w:eastAsia="ja-JP"/>
        </w:rPr>
        <w:t xml:space="preserve"> features </w:t>
      </w:r>
      <w:r w:rsidR="00B44D7A">
        <w:rPr>
          <w:lang w:val="en-US" w:eastAsia="ja-JP"/>
        </w:rPr>
        <w:t>of</w:t>
      </w:r>
      <w:r>
        <w:rPr>
          <w:lang w:val="en-US" w:eastAsia="ja-JP"/>
        </w:rPr>
        <w:t xml:space="preserve"> </w:t>
      </w:r>
      <w:r w:rsidR="00170969" w:rsidRPr="00170969">
        <w:rPr>
          <w:lang w:val="en-US" w:eastAsia="ja-JP"/>
        </w:rPr>
        <w:t>waged poor</w:t>
      </w:r>
      <w:r>
        <w:rPr>
          <w:lang w:val="en-US" w:eastAsia="ja-JP"/>
        </w:rPr>
        <w:t xml:space="preserve"> households. By comparison with those in poverty and reliant on income support, </w:t>
      </w:r>
      <w:r w:rsidR="00170969" w:rsidRPr="00170969">
        <w:rPr>
          <w:lang w:val="en-US" w:eastAsia="ja-JP"/>
        </w:rPr>
        <w:t>waged poor</w:t>
      </w:r>
      <w:r w:rsidRPr="00170969">
        <w:rPr>
          <w:lang w:val="en-US" w:eastAsia="ja-JP"/>
        </w:rPr>
        <w:t xml:space="preserve"> households would appear to have a bit more financial resilience in that they are more able to rely on their own savings or loans from family and friends. Indeed, </w:t>
      </w:r>
      <w:r w:rsidR="00170969" w:rsidRPr="00170969">
        <w:rPr>
          <w:lang w:val="en-US" w:eastAsia="ja-JP"/>
        </w:rPr>
        <w:t>waged poor</w:t>
      </w:r>
      <w:r w:rsidRPr="00170969">
        <w:rPr>
          <w:lang w:val="en-US" w:eastAsia="ja-JP"/>
        </w:rPr>
        <w:t xml:space="preserve"> households were only slightly less likely to have taken these actions than the average household. </w:t>
      </w:r>
    </w:p>
    <w:p w14:paraId="4216FEEF" w14:textId="1DF3FFD7" w:rsidR="002A3EC5" w:rsidRPr="0086199D" w:rsidRDefault="00E62BA6" w:rsidP="00DC3517">
      <w:pPr>
        <w:rPr>
          <w:lang w:val="en-US" w:eastAsia="ja-JP"/>
        </w:rPr>
      </w:pPr>
      <w:r w:rsidRPr="00170969">
        <w:rPr>
          <w:lang w:val="en-US" w:eastAsia="ja-JP"/>
        </w:rPr>
        <w:t xml:space="preserve">However, as the bottom lines of the graph show, </w:t>
      </w:r>
      <w:r w:rsidR="002A3EC5" w:rsidRPr="00170969">
        <w:rPr>
          <w:lang w:val="en-US" w:eastAsia="ja-JP"/>
        </w:rPr>
        <w:t xml:space="preserve">waged poor households were </w:t>
      </w:r>
      <w:r w:rsidRPr="00170969">
        <w:rPr>
          <w:lang w:val="en-US" w:eastAsia="ja-JP"/>
        </w:rPr>
        <w:t xml:space="preserve">significantly </w:t>
      </w:r>
      <w:r w:rsidR="002A3EC5" w:rsidRPr="00170969">
        <w:rPr>
          <w:lang w:val="en-US" w:eastAsia="ja-JP"/>
        </w:rPr>
        <w:t xml:space="preserve">less likely than any other group to seek assistance from welfare/community organisations. Less than 1% of </w:t>
      </w:r>
      <w:r w:rsidR="00170969" w:rsidRPr="00170969">
        <w:rPr>
          <w:lang w:val="en-US" w:eastAsia="ja-JP"/>
        </w:rPr>
        <w:t>waged poor</w:t>
      </w:r>
      <w:r w:rsidR="002A3EC5" w:rsidRPr="00170969">
        <w:rPr>
          <w:lang w:val="en-US" w:eastAsia="ja-JP"/>
        </w:rPr>
        <w:t xml:space="preserve"> households sought that help. This is one of the most striking differences between waged poo</w:t>
      </w:r>
      <w:r w:rsidR="00F41E3C" w:rsidRPr="00170969">
        <w:rPr>
          <w:lang w:val="en-US" w:eastAsia="ja-JP"/>
        </w:rPr>
        <w:t>r and other poor households and</w:t>
      </w:r>
      <w:r w:rsidR="002A3EC5" w:rsidRPr="00170969">
        <w:rPr>
          <w:lang w:val="en-US" w:eastAsia="ja-JP"/>
        </w:rPr>
        <w:t xml:space="preserve">, because it has significant ramifications for supporting </w:t>
      </w:r>
      <w:r w:rsidR="00170969" w:rsidRPr="00170969">
        <w:rPr>
          <w:lang w:val="en-US" w:eastAsia="ja-JP"/>
        </w:rPr>
        <w:t>waged poor</w:t>
      </w:r>
      <w:r w:rsidR="002A3EC5" w:rsidRPr="00170969">
        <w:rPr>
          <w:lang w:val="en-US" w:eastAsia="ja-JP"/>
        </w:rPr>
        <w:t xml:space="preserve"> households with telecommunications affordability</w:t>
      </w:r>
      <w:r w:rsidR="00454CBB" w:rsidRPr="00170969">
        <w:rPr>
          <w:lang w:val="en-US" w:eastAsia="ja-JP"/>
        </w:rPr>
        <w:t xml:space="preserve">, </w:t>
      </w:r>
      <w:r w:rsidR="002A3EC5" w:rsidRPr="00170969">
        <w:rPr>
          <w:lang w:val="en-US" w:eastAsia="ja-JP"/>
        </w:rPr>
        <w:t>it is one of the key focuses of this research.</w:t>
      </w:r>
    </w:p>
    <w:p w14:paraId="073EEE6B" w14:textId="77777777" w:rsidR="009F169A" w:rsidRDefault="00BD3BF1" w:rsidP="002A3EC5">
      <w:pPr>
        <w:pStyle w:val="Heading3"/>
      </w:pPr>
      <w:bookmarkStart w:id="22" w:name="_Toc42719021"/>
      <w:r>
        <w:t>Summary</w:t>
      </w:r>
      <w:bookmarkEnd w:id="22"/>
    </w:p>
    <w:p w14:paraId="144D3F50" w14:textId="77777777" w:rsidR="00BD3BF1" w:rsidRDefault="00BD3BF1" w:rsidP="002A3EC5">
      <w:pPr>
        <w:rPr>
          <w:lang w:eastAsia="ja-JP"/>
        </w:rPr>
      </w:pPr>
      <w:r>
        <w:rPr>
          <w:lang w:eastAsia="ja-JP"/>
        </w:rPr>
        <w:t>In summary, by comparison with other households below the poverty line who are primarily reliant on income</w:t>
      </w:r>
      <w:r w:rsidR="00F64C9D">
        <w:rPr>
          <w:lang w:eastAsia="ja-JP"/>
        </w:rPr>
        <w:t xml:space="preserve"> support payments</w:t>
      </w:r>
      <w:r>
        <w:rPr>
          <w:lang w:eastAsia="ja-JP"/>
        </w:rPr>
        <w:t>, waged poor households are likely to be:</w:t>
      </w:r>
    </w:p>
    <w:p w14:paraId="72829BA1" w14:textId="77777777" w:rsidR="00BD3BF1" w:rsidRDefault="00BD3BF1" w:rsidP="002A3EC5">
      <w:pPr>
        <w:numPr>
          <w:ilvl w:val="0"/>
          <w:numId w:val="12"/>
        </w:numPr>
        <w:rPr>
          <w:lang w:eastAsia="ja-JP"/>
        </w:rPr>
      </w:pPr>
      <w:r>
        <w:rPr>
          <w:lang w:eastAsia="ja-JP"/>
        </w:rPr>
        <w:t>larger (more persons per household)</w:t>
      </w:r>
      <w:r w:rsidR="008B050E">
        <w:rPr>
          <w:lang w:eastAsia="ja-JP"/>
        </w:rPr>
        <w:t>;</w:t>
      </w:r>
    </w:p>
    <w:p w14:paraId="179958D7" w14:textId="3B1E1C4A" w:rsidR="00BD3BF1" w:rsidRDefault="00BD3BF1" w:rsidP="002A3EC5">
      <w:pPr>
        <w:numPr>
          <w:ilvl w:val="0"/>
          <w:numId w:val="12"/>
        </w:numPr>
        <w:rPr>
          <w:lang w:eastAsia="ja-JP"/>
        </w:rPr>
      </w:pPr>
      <w:r w:rsidRPr="00FF1B4F">
        <w:rPr>
          <w:lang w:eastAsia="ja-JP"/>
        </w:rPr>
        <w:t xml:space="preserve">couples </w:t>
      </w:r>
      <w:r w:rsidR="00490F6A">
        <w:rPr>
          <w:lang w:eastAsia="ja-JP"/>
        </w:rPr>
        <w:t>or</w:t>
      </w:r>
      <w:r w:rsidRPr="00FF1B4F">
        <w:rPr>
          <w:lang w:eastAsia="ja-JP"/>
        </w:rPr>
        <w:t xml:space="preserve"> couples with children</w:t>
      </w:r>
      <w:r w:rsidR="008B050E">
        <w:rPr>
          <w:lang w:eastAsia="ja-JP"/>
        </w:rPr>
        <w:t>;</w:t>
      </w:r>
    </w:p>
    <w:p w14:paraId="70F1F290" w14:textId="77777777" w:rsidR="00BD3BF1" w:rsidRDefault="00BD3BF1" w:rsidP="002A3EC5">
      <w:pPr>
        <w:numPr>
          <w:ilvl w:val="0"/>
          <w:numId w:val="12"/>
        </w:numPr>
        <w:rPr>
          <w:lang w:eastAsia="ja-JP"/>
        </w:rPr>
      </w:pPr>
      <w:r>
        <w:rPr>
          <w:lang w:eastAsia="ja-JP"/>
        </w:rPr>
        <w:t>renting</w:t>
      </w:r>
      <w:r w:rsidR="008B050E">
        <w:rPr>
          <w:lang w:eastAsia="ja-JP"/>
        </w:rPr>
        <w:t>;</w:t>
      </w:r>
    </w:p>
    <w:p w14:paraId="74F2F824" w14:textId="49CB07D7" w:rsidR="008B050E" w:rsidRDefault="008B050E" w:rsidP="00490F6A">
      <w:pPr>
        <w:numPr>
          <w:ilvl w:val="0"/>
          <w:numId w:val="12"/>
        </w:numPr>
        <w:rPr>
          <w:lang w:eastAsia="ja-JP"/>
        </w:rPr>
      </w:pPr>
      <w:r>
        <w:rPr>
          <w:lang w:eastAsia="ja-JP"/>
        </w:rPr>
        <w:t>spending more on telecommunications;</w:t>
      </w:r>
      <w:r w:rsidR="00490F6A">
        <w:rPr>
          <w:lang w:eastAsia="ja-JP"/>
        </w:rPr>
        <w:t xml:space="preserve"> and</w:t>
      </w:r>
      <w:r w:rsidR="00537A4C">
        <w:rPr>
          <w:lang w:eastAsia="ja-JP"/>
        </w:rPr>
        <w:t xml:space="preserve"> </w:t>
      </w:r>
      <w:r>
        <w:rPr>
          <w:lang w:eastAsia="ja-JP"/>
        </w:rPr>
        <w:t>less likely to be seeking support from charities and non-government organisations.</w:t>
      </w:r>
    </w:p>
    <w:p w14:paraId="33A4EC9E" w14:textId="3FEE0B1B" w:rsidR="00454CBB" w:rsidRDefault="002A3EC5" w:rsidP="002A3EC5">
      <w:pPr>
        <w:rPr>
          <w:lang w:eastAsia="ja-JP"/>
        </w:rPr>
      </w:pPr>
      <w:r>
        <w:rPr>
          <w:lang w:eastAsia="ja-JP"/>
        </w:rPr>
        <w:t>Based on this</w:t>
      </w:r>
      <w:r w:rsidRPr="00FF1B4F">
        <w:rPr>
          <w:lang w:eastAsia="ja-JP"/>
        </w:rPr>
        <w:t xml:space="preserve"> data, </w:t>
      </w:r>
      <w:r>
        <w:rPr>
          <w:lang w:eastAsia="ja-JP"/>
        </w:rPr>
        <w:t xml:space="preserve">and the qualitative research </w:t>
      </w:r>
      <w:r w:rsidRPr="00FF1B4F">
        <w:rPr>
          <w:lang w:eastAsia="ja-JP"/>
        </w:rPr>
        <w:t xml:space="preserve">conducted </w:t>
      </w:r>
      <w:r w:rsidR="00F64C9D">
        <w:rPr>
          <w:lang w:eastAsia="ja-JP"/>
        </w:rPr>
        <w:t>for the SACOSS energy project</w:t>
      </w:r>
      <w:r>
        <w:rPr>
          <w:lang w:eastAsia="ja-JP"/>
        </w:rPr>
        <w:t>, the SACOSS energy report concluded that, u</w:t>
      </w:r>
      <w:r w:rsidRPr="00FF1B4F">
        <w:rPr>
          <w:lang w:eastAsia="ja-JP"/>
        </w:rPr>
        <w:t xml:space="preserve">nsurprisingly, waged poor households faced many of the </w:t>
      </w:r>
      <w:r w:rsidRPr="00FF1B4F">
        <w:rPr>
          <w:lang w:eastAsia="ja-JP"/>
        </w:rPr>
        <w:lastRenderedPageBreak/>
        <w:t>same issues and struggles commonly faced by all households in poverty</w:t>
      </w:r>
      <w:r w:rsidR="00454CBB">
        <w:rPr>
          <w:lang w:val="en-US" w:eastAsia="ja-JP"/>
        </w:rPr>
        <w:t xml:space="preserve">, including struggling to make ends meet, having to go without or delay important household and personal expenditures, and having difficulties in paying essential bills </w:t>
      </w:r>
      <w:r w:rsidR="003303FD">
        <w:rPr>
          <w:lang w:val="en-US" w:eastAsia="ja-JP"/>
        </w:rPr>
        <w:fldChar w:fldCharType="begin"/>
      </w:r>
      <w:r w:rsidR="003303FD">
        <w:rPr>
          <w:lang w:val="en-US" w:eastAsia="ja-JP"/>
        </w:rPr>
        <w:instrText xml:space="preserve"> ADDIN ZOTERO_ITEM CSL_CITATION {"citationID":"A3jVSf1O","properties":{"formattedCitation":"(Law et al., 2019)","plainCitation":"(Law et al., 2019)","noteIndex":0},"citationItems":[{"id":43,"uris":["http://zotero.org/groups/2380274/items/86GNJIMM"],"uri":["http://zotero.org/groups/2380274/items/86GNJIMM"],"itemData":{"id":43,"type":"report","event-place":"Adelaide","publisher":"South Australian Council of Social Service","publisher-place":"Adelaide","title":"Working to Make Ends Meet: Low-income Workers and Energy Bill Stress","author":[{"family":"Law","given":"Rebecca"},{"family":"Ogle","given":"Greg"},{"family":"Foley","given":"Kirsten"}],"issued":{"date-parts":[["2019"]]}}}],"schema":"https://github.com/citation-style-language/schema/raw/master/csl-citation.json"} </w:instrText>
      </w:r>
      <w:r w:rsidR="003303FD">
        <w:rPr>
          <w:lang w:val="en-US" w:eastAsia="ja-JP"/>
        </w:rPr>
        <w:fldChar w:fldCharType="separate"/>
      </w:r>
      <w:r w:rsidR="003303FD" w:rsidRPr="003303FD">
        <w:rPr>
          <w:rFonts w:cs="Calibri"/>
        </w:rPr>
        <w:t>(Law et al., 2019)</w:t>
      </w:r>
      <w:r w:rsidR="003303FD">
        <w:rPr>
          <w:lang w:val="en-US" w:eastAsia="ja-JP"/>
        </w:rPr>
        <w:fldChar w:fldCharType="end"/>
      </w:r>
      <w:r w:rsidR="00454CBB">
        <w:rPr>
          <w:lang w:val="en-US" w:eastAsia="ja-JP"/>
        </w:rPr>
        <w:t>.</w:t>
      </w:r>
    </w:p>
    <w:p w14:paraId="43FC53BE" w14:textId="7F991E2F" w:rsidR="002A3EC5" w:rsidRPr="00FF1B4F" w:rsidRDefault="002A3EC5" w:rsidP="002A3EC5">
      <w:pPr>
        <w:rPr>
          <w:lang w:eastAsia="ja-JP"/>
        </w:rPr>
      </w:pPr>
      <w:r w:rsidRPr="00FF1B4F">
        <w:rPr>
          <w:lang w:eastAsia="ja-JP"/>
        </w:rPr>
        <w:t xml:space="preserve">However, beyond the shared generic experiences of poverty and lack of money, </w:t>
      </w:r>
      <w:r w:rsidR="00453B81">
        <w:rPr>
          <w:lang w:eastAsia="ja-JP"/>
        </w:rPr>
        <w:t>there were</w:t>
      </w:r>
      <w:r w:rsidRPr="00FF1B4F">
        <w:rPr>
          <w:lang w:eastAsia="ja-JP"/>
        </w:rPr>
        <w:t xml:space="preserve"> additional affordability issues that were specific to waged poor households – some of which arose precisely because of </w:t>
      </w:r>
      <w:r w:rsidR="00454CBB">
        <w:rPr>
          <w:lang w:eastAsia="ja-JP"/>
        </w:rPr>
        <w:t>employment</w:t>
      </w:r>
      <w:r w:rsidRPr="00FF1B4F">
        <w:rPr>
          <w:lang w:eastAsia="ja-JP"/>
        </w:rPr>
        <w:t>. These were:</w:t>
      </w:r>
    </w:p>
    <w:p w14:paraId="42258B2C" w14:textId="2EF395EE" w:rsidR="002A3EC5" w:rsidRPr="00FF1B4F" w:rsidRDefault="00D35742" w:rsidP="002A3EC5">
      <w:pPr>
        <w:numPr>
          <w:ilvl w:val="0"/>
          <w:numId w:val="7"/>
        </w:numPr>
        <w:rPr>
          <w:lang w:eastAsia="ja-JP"/>
        </w:rPr>
      </w:pPr>
      <w:r>
        <w:rPr>
          <w:b/>
          <w:bCs/>
          <w:lang w:eastAsia="ja-JP"/>
        </w:rPr>
        <w:t>Issues arising from t</w:t>
      </w:r>
      <w:r w:rsidR="002A3EC5" w:rsidRPr="00FF1B4F">
        <w:rPr>
          <w:b/>
          <w:bCs/>
          <w:lang w:eastAsia="ja-JP"/>
        </w:rPr>
        <w:t>he overrepresentation of “family formation” households</w:t>
      </w:r>
      <w:r w:rsidR="002A3EC5" w:rsidRPr="00FF1B4F">
        <w:rPr>
          <w:lang w:eastAsia="ja-JP"/>
        </w:rPr>
        <w:t xml:space="preserve"> among waged poor and low-wage households – </w:t>
      </w:r>
      <w:r w:rsidR="00F64C9D">
        <w:rPr>
          <w:lang w:eastAsia="ja-JP"/>
        </w:rPr>
        <w:t>including increased energy usage, and</w:t>
      </w:r>
      <w:r w:rsidR="002A3EC5" w:rsidRPr="00FF1B4F">
        <w:rPr>
          <w:lang w:eastAsia="ja-JP"/>
        </w:rPr>
        <w:t xml:space="preserve"> family limiting working hours/possibilities</w:t>
      </w:r>
      <w:r w:rsidR="00170969">
        <w:rPr>
          <w:lang w:eastAsia="ja-JP"/>
        </w:rPr>
        <w:t>.</w:t>
      </w:r>
    </w:p>
    <w:p w14:paraId="3558E715" w14:textId="299C1382" w:rsidR="002A3EC5" w:rsidRPr="00FF1B4F" w:rsidRDefault="002A3EC5" w:rsidP="002A3EC5">
      <w:pPr>
        <w:numPr>
          <w:ilvl w:val="0"/>
          <w:numId w:val="7"/>
        </w:numPr>
        <w:rPr>
          <w:lang w:eastAsia="ja-JP"/>
        </w:rPr>
      </w:pPr>
      <w:r w:rsidRPr="00FF1B4F">
        <w:rPr>
          <w:b/>
          <w:bCs/>
          <w:lang w:eastAsia="ja-JP"/>
        </w:rPr>
        <w:t>Lack of connection to and reluctance to seek help from support services</w:t>
      </w:r>
      <w:r w:rsidR="00170969">
        <w:rPr>
          <w:lang w:eastAsia="ja-JP"/>
        </w:rPr>
        <w:t>.</w:t>
      </w:r>
    </w:p>
    <w:p w14:paraId="2EA5F123" w14:textId="41121B00" w:rsidR="002A3EC5" w:rsidRPr="00FF1B4F" w:rsidRDefault="002A3EC5" w:rsidP="002A3EC5">
      <w:pPr>
        <w:numPr>
          <w:ilvl w:val="0"/>
          <w:numId w:val="7"/>
        </w:numPr>
        <w:rPr>
          <w:lang w:eastAsia="ja-JP"/>
        </w:rPr>
      </w:pPr>
      <w:r w:rsidRPr="00FF1B4F">
        <w:rPr>
          <w:b/>
          <w:bCs/>
          <w:lang w:eastAsia="ja-JP"/>
        </w:rPr>
        <w:t>Significant variation and unreliability of work hours</w:t>
      </w:r>
      <w:r w:rsidRPr="00FF1B4F">
        <w:rPr>
          <w:lang w:eastAsia="ja-JP"/>
        </w:rPr>
        <w:t xml:space="preserve"> </w:t>
      </w:r>
      <w:r w:rsidRPr="00FF1B4F">
        <w:rPr>
          <w:b/>
          <w:bCs/>
          <w:lang w:eastAsia="ja-JP"/>
        </w:rPr>
        <w:t xml:space="preserve">and therefore household income </w:t>
      </w:r>
      <w:r w:rsidRPr="00FF1B4F">
        <w:rPr>
          <w:lang w:eastAsia="ja-JP"/>
        </w:rPr>
        <w:t>driven by irregular</w:t>
      </w:r>
      <w:r w:rsidR="00454CBB">
        <w:rPr>
          <w:lang w:eastAsia="ja-JP"/>
        </w:rPr>
        <w:t xml:space="preserve">, </w:t>
      </w:r>
      <w:r w:rsidRPr="00FF1B4F">
        <w:rPr>
          <w:lang w:eastAsia="ja-JP"/>
        </w:rPr>
        <w:t>casualised and/or seasonal work and lack of job security</w:t>
      </w:r>
      <w:r w:rsidR="00F64C9D">
        <w:rPr>
          <w:lang w:eastAsia="ja-JP"/>
        </w:rPr>
        <w:t xml:space="preserve"> and leading</w:t>
      </w:r>
      <w:r w:rsidRPr="00FF1B4F">
        <w:rPr>
          <w:lang w:eastAsia="ja-JP"/>
        </w:rPr>
        <w:t xml:space="preserve"> to extra difficulties in budgeting; and</w:t>
      </w:r>
    </w:p>
    <w:p w14:paraId="2F20A3C2" w14:textId="77777777" w:rsidR="002A3EC5" w:rsidRPr="00FF1B4F" w:rsidRDefault="002A3EC5" w:rsidP="002A3EC5">
      <w:pPr>
        <w:numPr>
          <w:ilvl w:val="0"/>
          <w:numId w:val="7"/>
        </w:numPr>
        <w:rPr>
          <w:lang w:eastAsia="ja-JP"/>
        </w:rPr>
      </w:pPr>
      <w:r w:rsidRPr="00FF1B4F">
        <w:rPr>
          <w:b/>
          <w:bCs/>
          <w:lang w:eastAsia="ja-JP"/>
        </w:rPr>
        <w:t>Work requirements changing household budget priorities</w:t>
      </w:r>
      <w:r w:rsidRPr="00FF1B4F">
        <w:rPr>
          <w:lang w:eastAsia="ja-JP"/>
        </w:rPr>
        <w:t xml:space="preserve"> (e.g. needing a car/petrol for work) and leaving less for energy and other essential expenditures.</w:t>
      </w:r>
    </w:p>
    <w:p w14:paraId="12370D5D" w14:textId="777D701B" w:rsidR="00AC43AD" w:rsidRDefault="0077197B" w:rsidP="0077197B">
      <w:pPr>
        <w:rPr>
          <w:lang w:eastAsia="ja-JP"/>
        </w:rPr>
      </w:pPr>
      <w:r>
        <w:rPr>
          <w:lang w:eastAsia="ja-JP"/>
        </w:rPr>
        <w:t>The SACOSS energy report also usefully summarised the key</w:t>
      </w:r>
      <w:r w:rsidR="00F64C9D">
        <w:rPr>
          <w:lang w:eastAsia="ja-JP"/>
        </w:rPr>
        <w:t xml:space="preserve"> drivers which might limit the</w:t>
      </w:r>
      <w:r>
        <w:rPr>
          <w:lang w:eastAsia="ja-JP"/>
        </w:rPr>
        <w:t xml:space="preserve"> capacity of waged poor households to pay utilities bills</w:t>
      </w:r>
      <w:r w:rsidR="00355F74">
        <w:rPr>
          <w:lang w:eastAsia="ja-JP"/>
        </w:rPr>
        <w:t>. This summary is</w:t>
      </w:r>
      <w:r w:rsidR="002D2E8C">
        <w:rPr>
          <w:lang w:eastAsia="ja-JP"/>
        </w:rPr>
        <w:t xml:space="preserve"> in a simple graphic which is replicated here</w:t>
      </w:r>
      <w:r>
        <w:rPr>
          <w:lang w:eastAsia="ja-JP"/>
        </w:rPr>
        <w:t xml:space="preserve">. </w:t>
      </w:r>
    </w:p>
    <w:p w14:paraId="7582AC62" w14:textId="77777777" w:rsidR="00B44D7A" w:rsidRDefault="00B44D7A">
      <w:pPr>
        <w:spacing w:after="0" w:line="240" w:lineRule="auto"/>
        <w:rPr>
          <w:rFonts w:ascii="Arial" w:eastAsia="Cambria" w:hAnsi="Arial" w:cs="Cambria"/>
          <w:b/>
          <w:bCs/>
          <w:sz w:val="20"/>
          <w:szCs w:val="20"/>
          <w:lang w:eastAsia="en-AU"/>
        </w:rPr>
      </w:pPr>
      <w:r>
        <w:br w:type="page"/>
      </w:r>
    </w:p>
    <w:p w14:paraId="7952F9C0" w14:textId="1DDBCDA8" w:rsidR="00B44D7A" w:rsidRPr="00FF1B4F" w:rsidRDefault="00B44D7A" w:rsidP="00B44D7A">
      <w:pPr>
        <w:pStyle w:val="Caption"/>
        <w:rPr>
          <w:lang w:eastAsia="ja-JP"/>
        </w:rPr>
      </w:pPr>
      <w:bookmarkStart w:id="23" w:name="_Toc41920116"/>
      <w:r>
        <w:lastRenderedPageBreak/>
        <w:t xml:space="preserve">Figure </w:t>
      </w:r>
      <w:fldSimple w:instr=" SEQ Figure \* ARABIC ">
        <w:r w:rsidR="001D54A2">
          <w:rPr>
            <w:noProof/>
          </w:rPr>
          <w:t>5</w:t>
        </w:r>
      </w:fldSimple>
      <w:r>
        <w:t>: Drivers and Characteristics of Waged Poverty</w:t>
      </w:r>
      <w:bookmarkEnd w:id="23"/>
    </w:p>
    <w:p w14:paraId="650871FD" w14:textId="19632DED" w:rsidR="00FF1B4F" w:rsidRDefault="00CB43E1" w:rsidP="002A3EC5">
      <w:pPr>
        <w:rPr>
          <w:lang w:eastAsia="ja-JP"/>
        </w:rPr>
      </w:pPr>
      <w:r>
        <w:rPr>
          <w:noProof/>
        </w:rPr>
        <w:drawing>
          <wp:inline distT="0" distB="0" distL="0" distR="0" wp14:anchorId="59E25814" wp14:editId="79B600DC">
            <wp:extent cx="5679440" cy="4800600"/>
            <wp:effectExtent l="38100" t="0" r="54610" b="0"/>
            <wp:docPr id="7" name="Diagram 1" descr="Figure showing key drivers and characteristics of waged poverty under 4 headings:&#10;1. Labour market issues (irregular hours, unemployment, low wages and entitlements)&#10;2. Other income (in and out of income support)&#10;3. Demographics (large households, renting)&#10;4. Constraints on earning (care responsibility, health issues, disability)"/>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1009E283" w14:textId="5A03A2E6" w:rsidR="00854477" w:rsidRDefault="002D2E8C" w:rsidP="00AC43AD">
      <w:pPr>
        <w:rPr>
          <w:lang w:eastAsia="ja-JP"/>
        </w:rPr>
      </w:pPr>
      <w:r>
        <w:rPr>
          <w:lang w:eastAsia="ja-JP"/>
        </w:rPr>
        <w:t xml:space="preserve">The SACOSS energy report also suggested </w:t>
      </w:r>
      <w:r w:rsidRPr="00170969">
        <w:rPr>
          <w:lang w:eastAsia="ja-JP"/>
        </w:rPr>
        <w:t>that this could</w:t>
      </w:r>
      <w:r w:rsidR="00170969">
        <w:rPr>
          <w:lang w:eastAsia="ja-JP"/>
        </w:rPr>
        <w:t xml:space="preserve"> act</w:t>
      </w:r>
      <w:r w:rsidRPr="00170969">
        <w:rPr>
          <w:lang w:eastAsia="ja-JP"/>
        </w:rPr>
        <w:t xml:space="preserve"> as</w:t>
      </w:r>
      <w:r>
        <w:rPr>
          <w:lang w:eastAsia="ja-JP"/>
        </w:rPr>
        <w:t xml:space="preserve"> a checklist for support organisations to help identify people likely to be living in waged poverty</w:t>
      </w:r>
      <w:r w:rsidR="00854477">
        <w:rPr>
          <w:lang w:eastAsia="ja-JP"/>
        </w:rPr>
        <w:t>, but the broader recommendation stemming from this literature review is as follows</w:t>
      </w:r>
      <w:r w:rsidR="00BB7657">
        <w:rPr>
          <w:lang w:eastAsia="ja-JP"/>
        </w:rPr>
        <w:t>:</w:t>
      </w:r>
    </w:p>
    <w:p w14:paraId="664368C5" w14:textId="77777777" w:rsidR="00854477" w:rsidRPr="00854477" w:rsidRDefault="00854477" w:rsidP="00AC43AD">
      <w:pPr>
        <w:rPr>
          <w:b/>
          <w:lang w:eastAsia="ja-JP"/>
        </w:rPr>
      </w:pPr>
      <w:r w:rsidRPr="00854477">
        <w:rPr>
          <w:b/>
          <w:lang w:eastAsia="ja-JP"/>
        </w:rPr>
        <w:t>Recommendation 1:</w:t>
      </w:r>
    </w:p>
    <w:p w14:paraId="43173BB6" w14:textId="1ACF9FAA" w:rsidR="002D2E8C" w:rsidRPr="00854477" w:rsidRDefault="002D2E8C" w:rsidP="00AC43AD">
      <w:pPr>
        <w:rPr>
          <w:b/>
          <w:i/>
          <w:lang w:eastAsia="ja-JP"/>
        </w:rPr>
      </w:pPr>
      <w:r w:rsidRPr="00854477">
        <w:rPr>
          <w:b/>
          <w:i/>
          <w:lang w:eastAsia="ja-JP"/>
        </w:rPr>
        <w:t>That telecommunications regulators, companies and community groups supporting consumer</w:t>
      </w:r>
      <w:r w:rsidR="00CD52FD">
        <w:rPr>
          <w:b/>
          <w:i/>
          <w:lang w:eastAsia="ja-JP"/>
        </w:rPr>
        <w:t>s</w:t>
      </w:r>
      <w:r w:rsidRPr="00854477">
        <w:rPr>
          <w:b/>
          <w:i/>
          <w:lang w:eastAsia="ja-JP"/>
        </w:rPr>
        <w:t xml:space="preserve"> note the prevalence of waged poor households and include a consideration of these households in </w:t>
      </w:r>
      <w:r w:rsidR="00854477">
        <w:rPr>
          <w:b/>
          <w:i/>
          <w:lang w:eastAsia="ja-JP"/>
        </w:rPr>
        <w:t xml:space="preserve">their </w:t>
      </w:r>
      <w:r w:rsidRPr="00854477">
        <w:rPr>
          <w:b/>
          <w:i/>
          <w:lang w:eastAsia="ja-JP"/>
        </w:rPr>
        <w:t>analysis of telecommunications affordability and financial hardship.</w:t>
      </w:r>
    </w:p>
    <w:p w14:paraId="6D5A8F67" w14:textId="746F8910" w:rsidR="00AC43AD" w:rsidRDefault="00854477" w:rsidP="00AC43AD">
      <w:pPr>
        <w:rPr>
          <w:lang w:eastAsia="ja-JP"/>
        </w:rPr>
      </w:pPr>
      <w:r>
        <w:rPr>
          <w:lang w:eastAsia="ja-JP"/>
        </w:rPr>
        <w:t>In effect, the rest of this report and the research project which underpinned it are a contribution to acting on th</w:t>
      </w:r>
      <w:r w:rsidR="00355F74">
        <w:rPr>
          <w:lang w:eastAsia="ja-JP"/>
        </w:rPr>
        <w:t>is</w:t>
      </w:r>
      <w:r>
        <w:rPr>
          <w:lang w:eastAsia="ja-JP"/>
        </w:rPr>
        <w:t xml:space="preserve"> recommendation. In </w:t>
      </w:r>
      <w:r w:rsidR="008165D2">
        <w:rPr>
          <w:lang w:eastAsia="ja-JP"/>
        </w:rPr>
        <w:t>developing</w:t>
      </w:r>
      <w:r>
        <w:rPr>
          <w:lang w:eastAsia="ja-JP"/>
        </w:rPr>
        <w:t xml:space="preserve"> that</w:t>
      </w:r>
      <w:r w:rsidR="008165D2">
        <w:rPr>
          <w:lang w:eastAsia="ja-JP"/>
        </w:rPr>
        <w:t xml:space="preserve"> contribution</w:t>
      </w:r>
      <w:r>
        <w:rPr>
          <w:lang w:eastAsia="ja-JP"/>
        </w:rPr>
        <w:t>, there will be some discussion of the shared affordability challenges which arise simply from lack of money, but also a focus on the things that are extra or specific to waged poor households and particularly those that arise from their engagement with paid work itself.</w:t>
      </w:r>
      <w:r w:rsidR="00AC43AD">
        <w:rPr>
          <w:lang w:eastAsia="ja-JP"/>
        </w:rPr>
        <w:t xml:space="preserve"> </w:t>
      </w:r>
    </w:p>
    <w:p w14:paraId="463C5DE6" w14:textId="77777777" w:rsidR="00FF1B4F" w:rsidRDefault="00FF1B4F" w:rsidP="002A3EC5">
      <w:pPr>
        <w:rPr>
          <w:lang w:val="en-US" w:eastAsia="ja-JP"/>
        </w:rPr>
      </w:pPr>
    </w:p>
    <w:p w14:paraId="14EB2796" w14:textId="77777777" w:rsidR="006532DE" w:rsidRDefault="006532DE" w:rsidP="00DD6F0E">
      <w:pPr>
        <w:pStyle w:val="Heading1"/>
        <w:rPr>
          <w:lang w:val="en-US" w:eastAsia="ja-JP"/>
        </w:rPr>
      </w:pPr>
      <w:bookmarkStart w:id="24" w:name="_Toc42719022"/>
      <w:r>
        <w:rPr>
          <w:lang w:val="en-US" w:eastAsia="ja-JP"/>
        </w:rPr>
        <w:lastRenderedPageBreak/>
        <w:t>Methodology</w:t>
      </w:r>
      <w:bookmarkEnd w:id="24"/>
    </w:p>
    <w:p w14:paraId="1C5A4F9B" w14:textId="77777777" w:rsidR="004B0FCA" w:rsidRDefault="004B0FCA" w:rsidP="004B0FCA">
      <w:pPr>
        <w:pStyle w:val="Heading3"/>
      </w:pPr>
      <w:bookmarkStart w:id="25" w:name="_Toc42719023"/>
      <w:r>
        <w:t>Background</w:t>
      </w:r>
      <w:bookmarkEnd w:id="25"/>
    </w:p>
    <w:p w14:paraId="4FACA3EE" w14:textId="2F9A6560" w:rsidR="0073201A" w:rsidRDefault="00874596" w:rsidP="00461E4E">
      <w:pPr>
        <w:rPr>
          <w:lang w:eastAsia="ja-JP"/>
        </w:rPr>
      </w:pPr>
      <w:r>
        <w:rPr>
          <w:lang w:eastAsia="ja-JP"/>
        </w:rPr>
        <w:t xml:space="preserve">As noted above, the dearth of literature examining the telecommunications experiences and affordability challenges for </w:t>
      </w:r>
      <w:r w:rsidR="00F176D7">
        <w:rPr>
          <w:lang w:eastAsia="ja-JP"/>
        </w:rPr>
        <w:t xml:space="preserve">waged poor </w:t>
      </w:r>
      <w:r>
        <w:rPr>
          <w:lang w:eastAsia="ja-JP"/>
        </w:rPr>
        <w:t xml:space="preserve">households </w:t>
      </w:r>
      <w:r w:rsidR="00F176D7">
        <w:rPr>
          <w:lang w:eastAsia="ja-JP"/>
        </w:rPr>
        <w:t>meant that</w:t>
      </w:r>
      <w:r>
        <w:rPr>
          <w:lang w:eastAsia="ja-JP"/>
        </w:rPr>
        <w:t xml:space="preserve"> this research </w:t>
      </w:r>
      <w:r w:rsidR="00F176D7">
        <w:rPr>
          <w:lang w:eastAsia="ja-JP"/>
        </w:rPr>
        <w:t>takes</w:t>
      </w:r>
      <w:r>
        <w:rPr>
          <w:lang w:eastAsia="ja-JP"/>
        </w:rPr>
        <w:t xml:space="preserve"> its starting point</w:t>
      </w:r>
      <w:r w:rsidR="002F5398">
        <w:rPr>
          <w:lang w:eastAsia="ja-JP"/>
        </w:rPr>
        <w:t xml:space="preserve"> </w:t>
      </w:r>
      <w:r>
        <w:rPr>
          <w:lang w:eastAsia="ja-JP"/>
        </w:rPr>
        <w:t xml:space="preserve">from </w:t>
      </w:r>
      <w:r w:rsidR="00F176D7">
        <w:rPr>
          <w:lang w:eastAsia="ja-JP"/>
        </w:rPr>
        <w:t>SACOSS’</w:t>
      </w:r>
      <w:r>
        <w:rPr>
          <w:lang w:eastAsia="ja-JP"/>
        </w:rPr>
        <w:t xml:space="preserve"> research </w:t>
      </w:r>
      <w:r w:rsidR="00F176D7">
        <w:rPr>
          <w:lang w:eastAsia="ja-JP"/>
        </w:rPr>
        <w:t>on</w:t>
      </w:r>
      <w:r>
        <w:rPr>
          <w:lang w:eastAsia="ja-JP"/>
        </w:rPr>
        <w:t xml:space="preserve"> energy affordability for waged poor households </w:t>
      </w:r>
      <w:r>
        <w:rPr>
          <w:lang w:eastAsia="ja-JP"/>
        </w:rPr>
        <w:fldChar w:fldCharType="begin"/>
      </w:r>
      <w:r w:rsidR="008E107E">
        <w:rPr>
          <w:lang w:eastAsia="ja-JP"/>
        </w:rPr>
        <w:instrText xml:space="preserve"> ADDIN ZOTERO_ITEM CSL_CITATION {"citationID":"TLg1r8oO","properties":{"formattedCitation":"(Law et al., 2019)","plainCitation":"(Law et al., 2019)","noteIndex":0},"citationItems":[{"id":43,"uris":["http://zotero.org/groups/2380274/items/86GNJIMM"],"uri":["http://zotero.org/groups/2380274/items/86GNJIMM"],"itemData":{"id":43,"type":"report","event-place":"Adelaide","publisher":"South Australian Council of Social Service","publisher-place":"Adelaide","title":"Working to Make Ends Meet: Low-income Workers and Energy Bill Stress","author":[{"family":"Law","given":"Rebecca"},{"family":"Ogle","given":"Greg"},{"family":"Foley","given":"Kirsten"}],"issued":{"date-parts":[["2019"]]}}}],"schema":"https://github.com/citation-style-language/schema/raw/master/csl-citation.json"} </w:instrText>
      </w:r>
      <w:r>
        <w:rPr>
          <w:lang w:eastAsia="ja-JP"/>
        </w:rPr>
        <w:fldChar w:fldCharType="separate"/>
      </w:r>
      <w:r w:rsidR="00C86152" w:rsidRPr="00C86152">
        <w:rPr>
          <w:rFonts w:cs="Calibri"/>
        </w:rPr>
        <w:t>(Law et al., 2019)</w:t>
      </w:r>
      <w:r>
        <w:rPr>
          <w:lang w:eastAsia="ja-JP"/>
        </w:rPr>
        <w:fldChar w:fldCharType="end"/>
      </w:r>
      <w:r>
        <w:rPr>
          <w:lang w:eastAsia="ja-JP"/>
        </w:rPr>
        <w:t xml:space="preserve">. </w:t>
      </w:r>
      <w:r w:rsidR="002F5398">
        <w:rPr>
          <w:lang w:eastAsia="ja-JP"/>
        </w:rPr>
        <w:t xml:space="preserve">Using </w:t>
      </w:r>
      <w:r w:rsidR="0073201A">
        <w:rPr>
          <w:lang w:eastAsia="ja-JP"/>
        </w:rPr>
        <w:t>that research</w:t>
      </w:r>
      <w:r w:rsidR="002F5398">
        <w:rPr>
          <w:lang w:eastAsia="ja-JP"/>
        </w:rPr>
        <w:t xml:space="preserve"> as the base to define and </w:t>
      </w:r>
      <w:r w:rsidR="00461E4E">
        <w:rPr>
          <w:lang w:eastAsia="ja-JP"/>
        </w:rPr>
        <w:t xml:space="preserve">understand the key </w:t>
      </w:r>
      <w:r w:rsidR="0073201A">
        <w:rPr>
          <w:lang w:eastAsia="ja-JP"/>
        </w:rPr>
        <w:t>characteristics</w:t>
      </w:r>
      <w:r w:rsidR="00461E4E">
        <w:rPr>
          <w:lang w:eastAsia="ja-JP"/>
        </w:rPr>
        <w:t xml:space="preserve"> of waged poor households</w:t>
      </w:r>
      <w:r w:rsidR="002F5398">
        <w:rPr>
          <w:lang w:eastAsia="ja-JP"/>
        </w:rPr>
        <w:t xml:space="preserve">, </w:t>
      </w:r>
      <w:r w:rsidR="0073201A">
        <w:rPr>
          <w:lang w:eastAsia="ja-JP"/>
        </w:rPr>
        <w:t>this</w:t>
      </w:r>
      <w:r w:rsidR="00461E4E">
        <w:rPr>
          <w:lang w:eastAsia="ja-JP"/>
        </w:rPr>
        <w:t xml:space="preserve"> research then utilised both quantitative and qualitative approaches to better </w:t>
      </w:r>
      <w:r w:rsidR="00461E4E" w:rsidRPr="00196FD3">
        <w:rPr>
          <w:lang w:eastAsia="ja-JP"/>
        </w:rPr>
        <w:t xml:space="preserve">understand </w:t>
      </w:r>
      <w:r w:rsidR="0073201A">
        <w:rPr>
          <w:lang w:eastAsia="ja-JP"/>
        </w:rPr>
        <w:t>the</w:t>
      </w:r>
      <w:r w:rsidR="00461E4E">
        <w:rPr>
          <w:lang w:eastAsia="ja-JP"/>
        </w:rPr>
        <w:t xml:space="preserve"> </w:t>
      </w:r>
      <w:r w:rsidR="00461E4E" w:rsidRPr="00196FD3">
        <w:rPr>
          <w:lang w:eastAsia="ja-JP"/>
        </w:rPr>
        <w:t xml:space="preserve">telecommunications </w:t>
      </w:r>
      <w:r w:rsidR="0073201A">
        <w:rPr>
          <w:lang w:eastAsia="ja-JP"/>
        </w:rPr>
        <w:t>issues of those households</w:t>
      </w:r>
      <w:r w:rsidR="00461E4E">
        <w:rPr>
          <w:lang w:eastAsia="ja-JP"/>
        </w:rPr>
        <w:t>, including</w:t>
      </w:r>
      <w:r w:rsidR="0073201A">
        <w:rPr>
          <w:lang w:eastAsia="ja-JP"/>
        </w:rPr>
        <w:t>:</w:t>
      </w:r>
    </w:p>
    <w:p w14:paraId="2D19CB43" w14:textId="6D650834" w:rsidR="0073201A" w:rsidRPr="0073201A" w:rsidRDefault="00461E4E" w:rsidP="0073201A">
      <w:pPr>
        <w:numPr>
          <w:ilvl w:val="0"/>
          <w:numId w:val="13"/>
        </w:numPr>
        <w:rPr>
          <w:lang w:val="en-US" w:eastAsia="ja-JP"/>
        </w:rPr>
      </w:pPr>
      <w:r w:rsidRPr="00196FD3">
        <w:rPr>
          <w:lang w:eastAsia="ja-JP"/>
        </w:rPr>
        <w:t xml:space="preserve">strategies and barriers to </w:t>
      </w:r>
      <w:r w:rsidRPr="00170969">
        <w:rPr>
          <w:lang w:eastAsia="ja-JP"/>
        </w:rPr>
        <w:t>affordability</w:t>
      </w:r>
      <w:r w:rsidR="00170969">
        <w:rPr>
          <w:lang w:eastAsia="ja-JP"/>
        </w:rPr>
        <w:t>;</w:t>
      </w:r>
      <w:r w:rsidRPr="00196FD3">
        <w:rPr>
          <w:lang w:eastAsia="ja-JP"/>
        </w:rPr>
        <w:t xml:space="preserve"> </w:t>
      </w:r>
    </w:p>
    <w:p w14:paraId="51978F19" w14:textId="7ACA93BC" w:rsidR="0073201A" w:rsidRPr="0073201A" w:rsidRDefault="00461E4E" w:rsidP="0073201A">
      <w:pPr>
        <w:numPr>
          <w:ilvl w:val="0"/>
          <w:numId w:val="13"/>
        </w:numPr>
        <w:rPr>
          <w:lang w:val="en-US" w:eastAsia="ja-JP"/>
        </w:rPr>
      </w:pPr>
      <w:r w:rsidRPr="00196FD3">
        <w:rPr>
          <w:lang w:eastAsia="ja-JP"/>
        </w:rPr>
        <w:t>the use and</w:t>
      </w:r>
      <w:r>
        <w:rPr>
          <w:lang w:eastAsia="ja-JP"/>
        </w:rPr>
        <w:t xml:space="preserve"> </w:t>
      </w:r>
      <w:r w:rsidRPr="00196FD3">
        <w:rPr>
          <w:lang w:eastAsia="ja-JP"/>
        </w:rPr>
        <w:t>impact of online streaming services</w:t>
      </w:r>
      <w:r w:rsidR="00170969">
        <w:rPr>
          <w:lang w:eastAsia="ja-JP"/>
        </w:rPr>
        <w:t>;</w:t>
      </w:r>
      <w:r w:rsidRPr="00196FD3">
        <w:rPr>
          <w:lang w:eastAsia="ja-JP"/>
        </w:rPr>
        <w:t xml:space="preserve"> </w:t>
      </w:r>
    </w:p>
    <w:p w14:paraId="3E59900B" w14:textId="3B36FB8E" w:rsidR="0073201A" w:rsidRPr="0073201A" w:rsidRDefault="00461E4E" w:rsidP="0073201A">
      <w:pPr>
        <w:numPr>
          <w:ilvl w:val="0"/>
          <w:numId w:val="13"/>
        </w:numPr>
        <w:rPr>
          <w:lang w:val="en-US" w:eastAsia="ja-JP"/>
        </w:rPr>
      </w:pPr>
      <w:r w:rsidRPr="00196FD3">
        <w:rPr>
          <w:lang w:eastAsia="ja-JP"/>
        </w:rPr>
        <w:t>interactions with tel</w:t>
      </w:r>
      <w:r>
        <w:rPr>
          <w:lang w:eastAsia="ja-JP"/>
        </w:rPr>
        <w:t>e</w:t>
      </w:r>
      <w:r w:rsidRPr="00196FD3">
        <w:rPr>
          <w:lang w:eastAsia="ja-JP"/>
        </w:rPr>
        <w:t>co</w:t>
      </w:r>
      <w:r>
        <w:rPr>
          <w:lang w:eastAsia="ja-JP"/>
        </w:rPr>
        <w:t>mmunications</w:t>
      </w:r>
      <w:r w:rsidRPr="00196FD3">
        <w:rPr>
          <w:lang w:eastAsia="ja-JP"/>
        </w:rPr>
        <w:t xml:space="preserve"> providers</w:t>
      </w:r>
      <w:r w:rsidR="00170969">
        <w:rPr>
          <w:lang w:eastAsia="ja-JP"/>
        </w:rPr>
        <w:t>;</w:t>
      </w:r>
      <w:r w:rsidRPr="00196FD3">
        <w:rPr>
          <w:lang w:eastAsia="ja-JP"/>
        </w:rPr>
        <w:t xml:space="preserve"> </w:t>
      </w:r>
    </w:p>
    <w:p w14:paraId="0CF7C74C" w14:textId="77777777" w:rsidR="0073201A" w:rsidRPr="0073201A" w:rsidRDefault="00461E4E" w:rsidP="0073201A">
      <w:pPr>
        <w:numPr>
          <w:ilvl w:val="0"/>
          <w:numId w:val="13"/>
        </w:numPr>
        <w:rPr>
          <w:lang w:val="en-US" w:eastAsia="ja-JP"/>
        </w:rPr>
      </w:pPr>
      <w:r w:rsidRPr="00196FD3">
        <w:rPr>
          <w:lang w:eastAsia="ja-JP"/>
        </w:rPr>
        <w:t>access to (and use</w:t>
      </w:r>
      <w:r>
        <w:rPr>
          <w:lang w:eastAsia="ja-JP"/>
        </w:rPr>
        <w:t xml:space="preserve"> </w:t>
      </w:r>
      <w:r w:rsidRPr="00196FD3">
        <w:rPr>
          <w:lang w:eastAsia="ja-JP"/>
        </w:rPr>
        <w:t>of) hardship and other support programs, and if rele</w:t>
      </w:r>
      <w:r>
        <w:rPr>
          <w:lang w:eastAsia="ja-JP"/>
        </w:rPr>
        <w:t xml:space="preserve">vant, </w:t>
      </w:r>
    </w:p>
    <w:p w14:paraId="18A56529" w14:textId="77777777" w:rsidR="00461E4E" w:rsidRPr="00196FD3" w:rsidRDefault="00461E4E" w:rsidP="0073201A">
      <w:pPr>
        <w:numPr>
          <w:ilvl w:val="0"/>
          <w:numId w:val="13"/>
        </w:numPr>
        <w:rPr>
          <w:lang w:val="en-US" w:eastAsia="ja-JP"/>
        </w:rPr>
      </w:pPr>
      <w:r>
        <w:rPr>
          <w:lang w:eastAsia="ja-JP"/>
        </w:rPr>
        <w:t>how they might be engaged.</w:t>
      </w:r>
    </w:p>
    <w:p w14:paraId="1C26925D" w14:textId="031BFCF8" w:rsidR="00461E4E" w:rsidRDefault="00461E4E" w:rsidP="00461E4E">
      <w:pPr>
        <w:rPr>
          <w:lang w:eastAsia="ja-JP"/>
        </w:rPr>
      </w:pPr>
      <w:r>
        <w:rPr>
          <w:lang w:eastAsia="ja-JP"/>
        </w:rPr>
        <w:t xml:space="preserve">The research was conducted in three key stages (outlined below) </w:t>
      </w:r>
      <w:r w:rsidR="0073201A">
        <w:rPr>
          <w:lang w:eastAsia="ja-JP"/>
        </w:rPr>
        <w:t>with</w:t>
      </w:r>
      <w:r>
        <w:rPr>
          <w:lang w:eastAsia="ja-JP"/>
        </w:rPr>
        <w:t xml:space="preserve"> t</w:t>
      </w:r>
      <w:r w:rsidRPr="00461E4E">
        <w:rPr>
          <w:lang w:eastAsia="ja-JP"/>
        </w:rPr>
        <w:t>he mix of quantitat</w:t>
      </w:r>
      <w:r w:rsidR="0073201A">
        <w:rPr>
          <w:lang w:eastAsia="ja-JP"/>
        </w:rPr>
        <w:t>ive and qualitative methods adding</w:t>
      </w:r>
      <w:r w:rsidRPr="00461E4E">
        <w:rPr>
          <w:lang w:eastAsia="ja-JP"/>
        </w:rPr>
        <w:t xml:space="preserve"> value to both</w:t>
      </w:r>
      <w:r>
        <w:rPr>
          <w:lang w:eastAsia="ja-JP"/>
        </w:rPr>
        <w:t xml:space="preserve"> </w:t>
      </w:r>
      <w:r w:rsidRPr="00461E4E">
        <w:rPr>
          <w:lang w:eastAsia="ja-JP"/>
        </w:rPr>
        <w:t>approaches. The survey data quantifies telecommunications use and affordability struggles for this cohort</w:t>
      </w:r>
      <w:r w:rsidR="00F176D7">
        <w:rPr>
          <w:lang w:eastAsia="ja-JP"/>
        </w:rPr>
        <w:t xml:space="preserve"> and</w:t>
      </w:r>
      <w:r w:rsidRPr="00461E4E">
        <w:rPr>
          <w:lang w:eastAsia="ja-JP"/>
        </w:rPr>
        <w:t xml:space="preserve"> enables comparison to both</w:t>
      </w:r>
      <w:r>
        <w:rPr>
          <w:lang w:eastAsia="ja-JP"/>
        </w:rPr>
        <w:t xml:space="preserve"> </w:t>
      </w:r>
      <w:r w:rsidRPr="00461E4E">
        <w:rPr>
          <w:lang w:eastAsia="ja-JP"/>
        </w:rPr>
        <w:t>average households and other poor households.</w:t>
      </w:r>
      <w:r>
        <w:rPr>
          <w:lang w:eastAsia="ja-JP"/>
        </w:rPr>
        <w:t xml:space="preserve"> </w:t>
      </w:r>
      <w:r w:rsidRPr="00461E4E">
        <w:rPr>
          <w:lang w:eastAsia="ja-JP"/>
        </w:rPr>
        <w:t>The qualitative work gives depth to the</w:t>
      </w:r>
      <w:r>
        <w:rPr>
          <w:lang w:eastAsia="ja-JP"/>
        </w:rPr>
        <w:t xml:space="preserve"> </w:t>
      </w:r>
      <w:r w:rsidRPr="00461E4E">
        <w:rPr>
          <w:lang w:eastAsia="ja-JP"/>
        </w:rPr>
        <w:t>understanding of their telecommunications use and experience.</w:t>
      </w:r>
      <w:r w:rsidR="00DB5CEA">
        <w:rPr>
          <w:lang w:eastAsia="ja-JP"/>
        </w:rPr>
        <w:t xml:space="preserve"> Finally, the engagement with organisational stakeholders brings a range of perspectives to the table to develop appropriate policy responses to problems highlighted in the research.</w:t>
      </w:r>
      <w:r w:rsidR="00F05B8A">
        <w:rPr>
          <w:lang w:eastAsia="ja-JP"/>
        </w:rPr>
        <w:t xml:space="preserve"> </w:t>
      </w:r>
    </w:p>
    <w:p w14:paraId="2106F232" w14:textId="474531FB" w:rsidR="00F05B8A" w:rsidRDefault="00F05B8A" w:rsidP="00461E4E">
      <w:pPr>
        <w:rPr>
          <w:lang w:eastAsia="ja-JP"/>
        </w:rPr>
      </w:pPr>
      <w:r>
        <w:rPr>
          <w:lang w:eastAsia="ja-JP"/>
        </w:rPr>
        <w:t>All stages were led by SACOSS, but in collaboration with the three Councils of Social Service (COSS) project partners (ACTCOSS, TasCOSS and ACOSS) and with ACCAN.</w:t>
      </w:r>
    </w:p>
    <w:p w14:paraId="0EC9C3AB" w14:textId="77777777" w:rsidR="00196FD3" w:rsidRPr="00196FD3" w:rsidRDefault="00B523BE" w:rsidP="00DB5CEA">
      <w:pPr>
        <w:pStyle w:val="Heading2"/>
        <w:rPr>
          <w:lang w:eastAsia="ja-JP"/>
        </w:rPr>
      </w:pPr>
      <w:bookmarkStart w:id="26" w:name="_Toc42719024"/>
      <w:r>
        <w:rPr>
          <w:lang w:eastAsia="ja-JP"/>
        </w:rPr>
        <w:t xml:space="preserve">Stage 1 – </w:t>
      </w:r>
      <w:r w:rsidR="00196FD3" w:rsidRPr="00196FD3">
        <w:rPr>
          <w:lang w:eastAsia="ja-JP"/>
        </w:rPr>
        <w:t>Quantitative Survey</w:t>
      </w:r>
      <w:bookmarkEnd w:id="26"/>
    </w:p>
    <w:p w14:paraId="6D642E57" w14:textId="504D2BA6" w:rsidR="00196FD3" w:rsidRPr="00196FD3" w:rsidRDefault="00657E11" w:rsidP="00196FD3">
      <w:pPr>
        <w:rPr>
          <w:lang w:eastAsia="ja-JP"/>
        </w:rPr>
      </w:pPr>
      <w:r>
        <w:rPr>
          <w:lang w:eastAsia="ja-JP"/>
        </w:rPr>
        <w:t xml:space="preserve">Adelaide-based market research company </w:t>
      </w:r>
      <w:r w:rsidR="00196FD3" w:rsidRPr="00196FD3">
        <w:rPr>
          <w:lang w:eastAsia="ja-JP"/>
        </w:rPr>
        <w:t xml:space="preserve">Mint Research </w:t>
      </w:r>
      <w:r>
        <w:rPr>
          <w:lang w:eastAsia="ja-JP"/>
        </w:rPr>
        <w:t>was</w:t>
      </w:r>
      <w:r w:rsidR="00196FD3" w:rsidRPr="00196FD3">
        <w:rPr>
          <w:lang w:eastAsia="ja-JP"/>
        </w:rPr>
        <w:t xml:space="preserve"> engaged to </w:t>
      </w:r>
      <w:r w:rsidR="009E58F3">
        <w:rPr>
          <w:lang w:eastAsia="ja-JP"/>
        </w:rPr>
        <w:t>facilitate</w:t>
      </w:r>
      <w:r w:rsidR="00196FD3" w:rsidRPr="00196FD3">
        <w:rPr>
          <w:lang w:eastAsia="ja-JP"/>
        </w:rPr>
        <w:t xml:space="preserve"> a </w:t>
      </w:r>
      <w:r w:rsidR="00A967CB">
        <w:rPr>
          <w:lang w:eastAsia="ja-JP"/>
        </w:rPr>
        <w:t xml:space="preserve">10-15 minute online </w:t>
      </w:r>
      <w:r w:rsidR="00196FD3" w:rsidRPr="00196FD3">
        <w:rPr>
          <w:lang w:eastAsia="ja-JP"/>
        </w:rPr>
        <w:t xml:space="preserve">survey of 500 </w:t>
      </w:r>
      <w:r>
        <w:rPr>
          <w:lang w:eastAsia="ja-JP"/>
        </w:rPr>
        <w:t xml:space="preserve">people from households fitting our definition of waged poor. The </w:t>
      </w:r>
      <w:r w:rsidR="00CE4AB1">
        <w:rPr>
          <w:lang w:eastAsia="ja-JP"/>
        </w:rPr>
        <w:t xml:space="preserve">survey </w:t>
      </w:r>
      <w:r w:rsidR="009E58F3">
        <w:rPr>
          <w:lang w:eastAsia="ja-JP"/>
        </w:rPr>
        <w:t xml:space="preserve">was done by Action Market Research (AMR) and </w:t>
      </w:r>
      <w:r w:rsidR="00CE4AB1">
        <w:rPr>
          <w:lang w:eastAsia="ja-JP"/>
        </w:rPr>
        <w:t>took place in October 2019. R</w:t>
      </w:r>
      <w:r w:rsidR="00A16B0E">
        <w:rPr>
          <w:lang w:eastAsia="ja-JP"/>
        </w:rPr>
        <w:t xml:space="preserve">espondents were drawn from </w:t>
      </w:r>
      <w:r w:rsidR="009E58F3">
        <w:rPr>
          <w:lang w:eastAsia="ja-JP"/>
        </w:rPr>
        <w:t>AMR’s</w:t>
      </w:r>
      <w:r w:rsidR="00A16B0E">
        <w:rPr>
          <w:lang w:eastAsia="ja-JP"/>
        </w:rPr>
        <w:t xml:space="preserve"> panel of online respondents and the </w:t>
      </w:r>
      <w:r>
        <w:rPr>
          <w:lang w:eastAsia="ja-JP"/>
        </w:rPr>
        <w:t>survey questions were developed by SACOSS in conjunction with Mint Research, ACCAN and the</w:t>
      </w:r>
      <w:r w:rsidR="00B523BE">
        <w:rPr>
          <w:lang w:eastAsia="ja-JP"/>
        </w:rPr>
        <w:t xml:space="preserve"> collaborating COSS partners. The questions</w:t>
      </w:r>
      <w:r>
        <w:rPr>
          <w:lang w:eastAsia="ja-JP"/>
        </w:rPr>
        <w:t xml:space="preserve"> were </w:t>
      </w:r>
      <w:r w:rsidR="00B523BE">
        <w:rPr>
          <w:lang w:eastAsia="ja-JP"/>
        </w:rPr>
        <w:t xml:space="preserve">also </w:t>
      </w:r>
      <w:r>
        <w:rPr>
          <w:lang w:eastAsia="ja-JP"/>
        </w:rPr>
        <w:t xml:space="preserve">in part modelled on previous survey questions asked for </w:t>
      </w:r>
      <w:r w:rsidR="00154B8A">
        <w:rPr>
          <w:lang w:eastAsia="ja-JP"/>
        </w:rPr>
        <w:t>SACOSS’ earlier</w:t>
      </w:r>
      <w:r>
        <w:rPr>
          <w:lang w:eastAsia="ja-JP"/>
        </w:rPr>
        <w:t xml:space="preserve"> </w:t>
      </w:r>
      <w:r w:rsidRPr="00B523BE">
        <w:rPr>
          <w:i/>
          <w:lang w:eastAsia="ja-JP"/>
        </w:rPr>
        <w:t>Connectivity Cost</w:t>
      </w:r>
      <w:r w:rsidR="00154B8A">
        <w:rPr>
          <w:i/>
          <w:lang w:eastAsia="ja-JP"/>
        </w:rPr>
        <w:t>s</w:t>
      </w:r>
      <w:r>
        <w:rPr>
          <w:lang w:eastAsia="ja-JP"/>
        </w:rPr>
        <w:t xml:space="preserve"> report</w:t>
      </w:r>
      <w:r w:rsidR="00154B8A">
        <w:rPr>
          <w:lang w:eastAsia="ja-JP"/>
        </w:rPr>
        <w:t xml:space="preserve"> </w:t>
      </w:r>
      <w:r w:rsidR="00A967CB">
        <w:rPr>
          <w:lang w:eastAsia="ja-JP"/>
        </w:rPr>
        <w:fldChar w:fldCharType="begin"/>
      </w:r>
      <w:r w:rsidR="008E107E">
        <w:rPr>
          <w:lang w:eastAsia="ja-JP"/>
        </w:rPr>
        <w:instrText xml:space="preserve"> ADDIN ZOTERO_ITEM CSL_CITATION {"citationID":"IGoHJjeU","properties":{"formattedCitation":"(Ogle and Musolino, 2016)","plainCitation":"(Ogle and Musolino, 2016)","noteIndex":0},"citationItems":[{"id":42,"uris":["http://zotero.org/groups/2380274/items/YQCAJU4B"],"uri":["http://zotero.org/groups/2380274/items/YQCAJU4B"],"itemData":{"id":42,"type":"report","event-place":"Adelaide","publisher":"South Australian Council of Social Service","publisher-place":"Adelaide","title":"Connectivity Costs: Telecommunications Affordability for Low Income Australians","author":[{"family":"Ogle","given":"Greg"},{"family":"Musolino","given":"Vanessa"}],"issued":{"date-parts":[["2016"]]}}}],"schema":"https://github.com/citation-style-language/schema/raw/master/csl-citation.json"} </w:instrText>
      </w:r>
      <w:r w:rsidR="00A967CB">
        <w:rPr>
          <w:lang w:eastAsia="ja-JP"/>
        </w:rPr>
        <w:fldChar w:fldCharType="separate"/>
      </w:r>
      <w:r w:rsidR="00C86152" w:rsidRPr="00C86152">
        <w:rPr>
          <w:rFonts w:cs="Calibri"/>
        </w:rPr>
        <w:t>(Ogle and Musolino, 2016)</w:t>
      </w:r>
      <w:r w:rsidR="00A967CB">
        <w:rPr>
          <w:lang w:eastAsia="ja-JP"/>
        </w:rPr>
        <w:fldChar w:fldCharType="end"/>
      </w:r>
      <w:r w:rsidR="00A967CB">
        <w:rPr>
          <w:lang w:eastAsia="ja-JP"/>
        </w:rPr>
        <w:t>.</w:t>
      </w:r>
      <w:r w:rsidR="00122203">
        <w:rPr>
          <w:lang w:eastAsia="ja-JP"/>
        </w:rPr>
        <w:t xml:space="preserve"> The survey results were analysed by the authors using </w:t>
      </w:r>
      <w:r w:rsidR="00094580" w:rsidRPr="000B4ED1">
        <w:rPr>
          <w:rFonts w:asciiTheme="minorHAnsi" w:hAnsiTheme="minorHAnsi" w:cstheme="minorHAnsi"/>
          <w:color w:val="222222"/>
          <w:shd w:val="clear" w:color="auto" w:fill="FFFFFF"/>
        </w:rPr>
        <w:t>Statistical Package for the Social Sciences</w:t>
      </w:r>
      <w:r w:rsidR="00094580">
        <w:rPr>
          <w:rFonts w:asciiTheme="minorHAnsi" w:hAnsiTheme="minorHAnsi" w:cstheme="minorHAnsi"/>
          <w:color w:val="222222"/>
          <w:shd w:val="clear" w:color="auto" w:fill="FFFFFF"/>
        </w:rPr>
        <w:t xml:space="preserve"> (</w:t>
      </w:r>
      <w:r w:rsidR="00122203" w:rsidRPr="00094580">
        <w:rPr>
          <w:lang w:eastAsia="ja-JP"/>
        </w:rPr>
        <w:t>SPSS</w:t>
      </w:r>
      <w:r w:rsidR="00094580">
        <w:rPr>
          <w:lang w:eastAsia="ja-JP"/>
        </w:rPr>
        <w:t>)</w:t>
      </w:r>
      <w:r w:rsidR="00122203">
        <w:rPr>
          <w:lang w:eastAsia="ja-JP"/>
        </w:rPr>
        <w:t>, and where possible compared to other relevant data.</w:t>
      </w:r>
    </w:p>
    <w:p w14:paraId="3752BACA" w14:textId="77777777" w:rsidR="005A2583" w:rsidRDefault="005A2583" w:rsidP="005A2583">
      <w:pPr>
        <w:pStyle w:val="Heading4"/>
        <w:rPr>
          <w:lang w:eastAsia="ja-JP"/>
        </w:rPr>
      </w:pPr>
      <w:r>
        <w:rPr>
          <w:lang w:eastAsia="ja-JP"/>
        </w:rPr>
        <w:t>Selection Criteria</w:t>
      </w:r>
    </w:p>
    <w:p w14:paraId="7BD4A288" w14:textId="77777777" w:rsidR="004B0FCA" w:rsidRDefault="00A967CB" w:rsidP="00196FD3">
      <w:pPr>
        <w:rPr>
          <w:lang w:eastAsia="ja-JP"/>
        </w:rPr>
      </w:pPr>
      <w:r>
        <w:rPr>
          <w:lang w:eastAsia="ja-JP"/>
        </w:rPr>
        <w:t xml:space="preserve">Screening the respondents to ensure they met the criteria of “waged poor households” was difficult given that the survey sample was defined by </w:t>
      </w:r>
      <w:r w:rsidR="002D3C2F">
        <w:rPr>
          <w:lang w:eastAsia="ja-JP"/>
        </w:rPr>
        <w:t>specific</w:t>
      </w:r>
      <w:r>
        <w:rPr>
          <w:lang w:eastAsia="ja-JP"/>
        </w:rPr>
        <w:t xml:space="preserve"> criteria</w:t>
      </w:r>
      <w:r w:rsidR="00E20A37">
        <w:rPr>
          <w:lang w:eastAsia="ja-JP"/>
        </w:rPr>
        <w:t xml:space="preserve">, </w:t>
      </w:r>
      <w:r w:rsidR="00BB4E13">
        <w:rPr>
          <w:lang w:eastAsia="ja-JP"/>
        </w:rPr>
        <w:t>which is quite different to simply applying filters to get a subset of much larger surveys like the ABS HES</w:t>
      </w:r>
      <w:r w:rsidR="004B0FCA">
        <w:rPr>
          <w:lang w:eastAsia="ja-JP"/>
        </w:rPr>
        <w:t xml:space="preserve">. </w:t>
      </w:r>
    </w:p>
    <w:p w14:paraId="276C42BB" w14:textId="77777777" w:rsidR="005344CD" w:rsidRDefault="002D3C2F" w:rsidP="00196FD3">
      <w:pPr>
        <w:rPr>
          <w:lang w:eastAsia="ja-JP"/>
        </w:rPr>
      </w:pPr>
      <w:r>
        <w:rPr>
          <w:lang w:eastAsia="ja-JP"/>
        </w:rPr>
        <w:lastRenderedPageBreak/>
        <w:t>To</w:t>
      </w:r>
      <w:r w:rsidR="005344CD">
        <w:rPr>
          <w:lang w:eastAsia="ja-JP"/>
        </w:rPr>
        <w:t xml:space="preserve"> make the survey more accessible and easier to answer,</w:t>
      </w:r>
      <w:r>
        <w:rPr>
          <w:lang w:eastAsia="ja-JP"/>
        </w:rPr>
        <w:t xml:space="preserve"> the screening was based on “take-home pay” which in effect is “before housing” income. This</w:t>
      </w:r>
      <w:r w:rsidR="005344CD">
        <w:rPr>
          <w:lang w:eastAsia="ja-JP"/>
        </w:rPr>
        <w:t xml:space="preserve"> mean</w:t>
      </w:r>
      <w:r>
        <w:rPr>
          <w:lang w:eastAsia="ja-JP"/>
        </w:rPr>
        <w:t>t</w:t>
      </w:r>
      <w:r w:rsidR="005344CD">
        <w:rPr>
          <w:lang w:eastAsia="ja-JP"/>
        </w:rPr>
        <w:t xml:space="preserve"> that the sample group was by definition different to the waged poor cohort defined above from the ABS data. The most obvious manifestation of this is that a greater proportion of the SACOSS </w:t>
      </w:r>
      <w:r w:rsidR="004631CB">
        <w:rPr>
          <w:lang w:eastAsia="ja-JP"/>
        </w:rPr>
        <w:t xml:space="preserve">survey </w:t>
      </w:r>
      <w:r w:rsidR="005344CD">
        <w:rPr>
          <w:lang w:eastAsia="ja-JP"/>
        </w:rPr>
        <w:t xml:space="preserve">group were home owners, but </w:t>
      </w:r>
      <w:r w:rsidR="004631CB">
        <w:rPr>
          <w:lang w:eastAsia="ja-JP"/>
        </w:rPr>
        <w:t>there were also other differences which will be discussed below.</w:t>
      </w:r>
    </w:p>
    <w:p w14:paraId="7F48B534" w14:textId="23EE10B3" w:rsidR="00E20A37" w:rsidRDefault="002D3C2F" w:rsidP="00196FD3">
      <w:pPr>
        <w:rPr>
          <w:lang w:eastAsia="ja-JP"/>
        </w:rPr>
      </w:pPr>
      <w:r>
        <w:rPr>
          <w:lang w:eastAsia="ja-JP"/>
        </w:rPr>
        <w:t>T</w:t>
      </w:r>
      <w:r w:rsidR="009E58F3">
        <w:rPr>
          <w:lang w:eastAsia="ja-JP"/>
        </w:rPr>
        <w:t xml:space="preserve">here were </w:t>
      </w:r>
      <w:r>
        <w:rPr>
          <w:lang w:eastAsia="ja-JP"/>
        </w:rPr>
        <w:t xml:space="preserve">also difficulties in </w:t>
      </w:r>
      <w:r w:rsidR="009E58F3">
        <w:rPr>
          <w:lang w:eastAsia="ja-JP"/>
        </w:rPr>
        <w:t>screening for eligibility</w:t>
      </w:r>
      <w:r>
        <w:rPr>
          <w:lang w:eastAsia="ja-JP"/>
        </w:rPr>
        <w:t xml:space="preserve"> in that</w:t>
      </w:r>
      <w:r w:rsidR="001F0BD8">
        <w:rPr>
          <w:lang w:eastAsia="ja-JP"/>
        </w:rPr>
        <w:t xml:space="preserve"> the poverty line changes depending on housing size</w:t>
      </w:r>
      <w:r>
        <w:rPr>
          <w:lang w:eastAsia="ja-JP"/>
        </w:rPr>
        <w:t xml:space="preserve">. Accordingly, </w:t>
      </w:r>
      <w:r w:rsidR="00BB4E13">
        <w:rPr>
          <w:lang w:eastAsia="ja-JP"/>
        </w:rPr>
        <w:t xml:space="preserve">the </w:t>
      </w:r>
      <w:r w:rsidR="002627F0">
        <w:rPr>
          <w:lang w:eastAsia="ja-JP"/>
        </w:rPr>
        <w:t xml:space="preserve">relevant </w:t>
      </w:r>
      <w:r w:rsidR="00BB4E13">
        <w:rPr>
          <w:lang w:eastAsia="ja-JP"/>
        </w:rPr>
        <w:t>poverty line had to be calculated for each survey respondent to see if they met the eligibility criteria</w:t>
      </w:r>
      <w:r w:rsidR="001D257F">
        <w:rPr>
          <w:lang w:eastAsia="ja-JP"/>
        </w:rPr>
        <w:t xml:space="preserve">. </w:t>
      </w:r>
      <w:r w:rsidR="00E20A37">
        <w:rPr>
          <w:lang w:eastAsia="ja-JP"/>
        </w:rPr>
        <w:t xml:space="preserve">The poverty lines used are in Table </w:t>
      </w:r>
      <w:r w:rsidR="00122203">
        <w:rPr>
          <w:lang w:eastAsia="ja-JP"/>
        </w:rPr>
        <w:t>4</w:t>
      </w:r>
      <w:r w:rsidR="00E20A37">
        <w:rPr>
          <w:lang w:eastAsia="ja-JP"/>
        </w:rPr>
        <w:t xml:space="preserve"> below, but a separate poverty line was also calculated for a stereotypical “young adult” – living at home, potentially paying (some) telecommunications, but not responsible for all phone bills. The rationale for this methodology is set out in Appendix </w:t>
      </w:r>
      <w:r w:rsidR="001D3427">
        <w:rPr>
          <w:lang w:eastAsia="ja-JP"/>
        </w:rPr>
        <w:t>1.</w:t>
      </w:r>
    </w:p>
    <w:p w14:paraId="235C91B7" w14:textId="711775C5" w:rsidR="00895E57" w:rsidRPr="00895E57" w:rsidRDefault="00C26577" w:rsidP="00C26577">
      <w:pPr>
        <w:pStyle w:val="Caption"/>
        <w:rPr>
          <w:b w:val="0"/>
          <w:lang w:eastAsia="ja-JP"/>
        </w:rPr>
      </w:pPr>
      <w:bookmarkStart w:id="27" w:name="_Toc41989583"/>
      <w:r>
        <w:t xml:space="preserve">Table </w:t>
      </w:r>
      <w:fldSimple w:instr=" SEQ Table \* ARABIC ">
        <w:r>
          <w:rPr>
            <w:noProof/>
          </w:rPr>
          <w:t>4</w:t>
        </w:r>
      </w:fldSimple>
      <w:r>
        <w:t>: Poverty Lines for Different Household Composition</w:t>
      </w:r>
      <w:bookmarkEnd w:id="27"/>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Caption w:val="Table 4: Poverty Lines for Different Household Composition"/>
        <w:tblDescription w:val="Single Person $440pw&#10;Two Adults $660pw&#10;3 Adults $880&#10;One Adult, 1 Child $572&#10;1 Adult, Two Children $704pw&#10;2 Adults, 2 Children $924pw&#10;Non-responsible adult in 3 adult household $293pw&#10;Non-responsible adult + 1 other adult + one child $396pw"/>
      </w:tblPr>
      <w:tblGrid>
        <w:gridCol w:w="4503"/>
        <w:gridCol w:w="1842"/>
      </w:tblGrid>
      <w:tr w:rsidR="002C5990" w:rsidRPr="00BC71AE" w14:paraId="401F0B0F" w14:textId="77777777" w:rsidTr="009829AA">
        <w:tc>
          <w:tcPr>
            <w:tcW w:w="4503" w:type="dxa"/>
            <w:shd w:val="clear" w:color="auto" w:fill="4F81BD"/>
          </w:tcPr>
          <w:p w14:paraId="314EDCD8" w14:textId="77777777" w:rsidR="002C5990" w:rsidRPr="00817996" w:rsidRDefault="002C5990" w:rsidP="009829AA">
            <w:pPr>
              <w:rPr>
                <w:b/>
                <w:bCs/>
              </w:rPr>
            </w:pPr>
            <w:r w:rsidRPr="00817996">
              <w:rPr>
                <w:b/>
                <w:bCs/>
              </w:rPr>
              <w:t>Household Type</w:t>
            </w:r>
          </w:p>
        </w:tc>
        <w:tc>
          <w:tcPr>
            <w:tcW w:w="1842" w:type="dxa"/>
            <w:shd w:val="clear" w:color="auto" w:fill="4F81BD"/>
          </w:tcPr>
          <w:p w14:paraId="397B0942" w14:textId="77777777" w:rsidR="002C5990" w:rsidRPr="00817996" w:rsidRDefault="002C5990" w:rsidP="009829AA">
            <w:pPr>
              <w:rPr>
                <w:b/>
                <w:bCs/>
              </w:rPr>
            </w:pPr>
            <w:r w:rsidRPr="00817996">
              <w:rPr>
                <w:b/>
                <w:bCs/>
              </w:rPr>
              <w:t>Poverty Line</w:t>
            </w:r>
            <w:r w:rsidRPr="00817996">
              <w:rPr>
                <w:b/>
                <w:bCs/>
              </w:rPr>
              <w:br/>
              <w:t>$ p.w.</w:t>
            </w:r>
          </w:p>
        </w:tc>
      </w:tr>
      <w:tr w:rsidR="002C5990" w:rsidRPr="00BC71AE" w14:paraId="5A0907FD" w14:textId="77777777" w:rsidTr="009829AA">
        <w:tc>
          <w:tcPr>
            <w:tcW w:w="4503" w:type="dxa"/>
            <w:tcBorders>
              <w:top w:val="single" w:sz="8" w:space="0" w:color="4F81BD"/>
              <w:left w:val="single" w:sz="8" w:space="0" w:color="4F81BD"/>
              <w:bottom w:val="single" w:sz="8" w:space="0" w:color="4F81BD"/>
            </w:tcBorders>
            <w:shd w:val="clear" w:color="auto" w:fill="auto"/>
          </w:tcPr>
          <w:p w14:paraId="01F80F60" w14:textId="77777777" w:rsidR="002C5990" w:rsidRPr="004C06A5" w:rsidRDefault="002C5990" w:rsidP="009829AA">
            <w:pPr>
              <w:rPr>
                <w:b/>
                <w:bCs/>
              </w:rPr>
            </w:pPr>
            <w:r>
              <w:rPr>
                <w:b/>
                <w:bCs/>
              </w:rPr>
              <w:t>Single Person</w:t>
            </w:r>
          </w:p>
        </w:tc>
        <w:tc>
          <w:tcPr>
            <w:tcW w:w="1842" w:type="dxa"/>
            <w:tcBorders>
              <w:top w:val="single" w:sz="8" w:space="0" w:color="4F81BD"/>
              <w:bottom w:val="single" w:sz="8" w:space="0" w:color="4F81BD"/>
            </w:tcBorders>
            <w:shd w:val="clear" w:color="auto" w:fill="auto"/>
          </w:tcPr>
          <w:p w14:paraId="24728FF2" w14:textId="77777777" w:rsidR="002C5990" w:rsidRPr="00BC71AE" w:rsidRDefault="002C5990" w:rsidP="009829AA">
            <w:r>
              <w:t>$440</w:t>
            </w:r>
          </w:p>
        </w:tc>
      </w:tr>
      <w:tr w:rsidR="002C5990" w:rsidRPr="00BC71AE" w14:paraId="4514AC14" w14:textId="77777777" w:rsidTr="009829AA">
        <w:tc>
          <w:tcPr>
            <w:tcW w:w="4503" w:type="dxa"/>
            <w:shd w:val="clear" w:color="auto" w:fill="auto"/>
          </w:tcPr>
          <w:p w14:paraId="278453EC" w14:textId="77777777" w:rsidR="002C5990" w:rsidRPr="004C06A5" w:rsidRDefault="002C5990" w:rsidP="009829AA">
            <w:pPr>
              <w:rPr>
                <w:b/>
                <w:bCs/>
              </w:rPr>
            </w:pPr>
            <w:r>
              <w:rPr>
                <w:b/>
                <w:bCs/>
              </w:rPr>
              <w:t>Two Adults</w:t>
            </w:r>
          </w:p>
        </w:tc>
        <w:tc>
          <w:tcPr>
            <w:tcW w:w="1842" w:type="dxa"/>
            <w:shd w:val="clear" w:color="auto" w:fill="auto"/>
          </w:tcPr>
          <w:p w14:paraId="1A944480" w14:textId="77777777" w:rsidR="002C5990" w:rsidRPr="00BC71AE" w:rsidRDefault="002C5990" w:rsidP="009829AA">
            <w:r>
              <w:t>$660</w:t>
            </w:r>
          </w:p>
        </w:tc>
      </w:tr>
      <w:tr w:rsidR="002C5990" w:rsidRPr="00BC71AE" w14:paraId="66BDE54C" w14:textId="77777777" w:rsidTr="009829AA">
        <w:tc>
          <w:tcPr>
            <w:tcW w:w="4503" w:type="dxa"/>
            <w:tcBorders>
              <w:top w:val="single" w:sz="8" w:space="0" w:color="4F81BD"/>
              <w:left w:val="single" w:sz="8" w:space="0" w:color="4F81BD"/>
              <w:bottom w:val="single" w:sz="8" w:space="0" w:color="4F81BD"/>
            </w:tcBorders>
            <w:shd w:val="clear" w:color="auto" w:fill="auto"/>
          </w:tcPr>
          <w:p w14:paraId="451A6357" w14:textId="77777777" w:rsidR="002C5990" w:rsidRPr="004C06A5" w:rsidRDefault="002C5990" w:rsidP="009829AA">
            <w:pPr>
              <w:rPr>
                <w:b/>
                <w:bCs/>
              </w:rPr>
            </w:pPr>
            <w:r w:rsidRPr="004C06A5">
              <w:rPr>
                <w:b/>
                <w:bCs/>
              </w:rPr>
              <w:t>T</w:t>
            </w:r>
            <w:r>
              <w:rPr>
                <w:b/>
                <w:bCs/>
              </w:rPr>
              <w:t>hree Adults</w:t>
            </w:r>
          </w:p>
        </w:tc>
        <w:tc>
          <w:tcPr>
            <w:tcW w:w="1842" w:type="dxa"/>
            <w:tcBorders>
              <w:top w:val="single" w:sz="8" w:space="0" w:color="4F81BD"/>
              <w:bottom w:val="single" w:sz="8" w:space="0" w:color="4F81BD"/>
            </w:tcBorders>
            <w:shd w:val="clear" w:color="auto" w:fill="auto"/>
          </w:tcPr>
          <w:p w14:paraId="2061E5E9" w14:textId="77777777" w:rsidR="002C5990" w:rsidRPr="00BC71AE" w:rsidRDefault="002C5990" w:rsidP="009829AA">
            <w:r>
              <w:t>$880</w:t>
            </w:r>
          </w:p>
        </w:tc>
      </w:tr>
      <w:tr w:rsidR="002C5990" w:rsidRPr="00BC71AE" w14:paraId="1C7C3B3A" w14:textId="77777777" w:rsidTr="009829AA">
        <w:tc>
          <w:tcPr>
            <w:tcW w:w="4503" w:type="dxa"/>
            <w:tcBorders>
              <w:top w:val="single" w:sz="8" w:space="0" w:color="4F81BD"/>
              <w:left w:val="single" w:sz="8" w:space="0" w:color="4F81BD"/>
              <w:bottom w:val="single" w:sz="8" w:space="0" w:color="4F81BD"/>
            </w:tcBorders>
            <w:shd w:val="clear" w:color="auto" w:fill="auto"/>
          </w:tcPr>
          <w:p w14:paraId="1E1283A8" w14:textId="77777777" w:rsidR="002C5990" w:rsidRPr="004C06A5" w:rsidRDefault="002C5990" w:rsidP="009829AA">
            <w:pPr>
              <w:rPr>
                <w:b/>
                <w:bCs/>
              </w:rPr>
            </w:pPr>
            <w:r>
              <w:rPr>
                <w:b/>
                <w:bCs/>
              </w:rPr>
              <w:t>One Adult, One Child</w:t>
            </w:r>
          </w:p>
        </w:tc>
        <w:tc>
          <w:tcPr>
            <w:tcW w:w="1842" w:type="dxa"/>
            <w:tcBorders>
              <w:top w:val="single" w:sz="8" w:space="0" w:color="4F81BD"/>
              <w:bottom w:val="single" w:sz="8" w:space="0" w:color="4F81BD"/>
            </w:tcBorders>
            <w:shd w:val="clear" w:color="auto" w:fill="auto"/>
          </w:tcPr>
          <w:p w14:paraId="47517EDA" w14:textId="77777777" w:rsidR="002C5990" w:rsidRPr="00BC71AE" w:rsidRDefault="002C5990" w:rsidP="009829AA">
            <w:r>
              <w:t>$572</w:t>
            </w:r>
          </w:p>
        </w:tc>
      </w:tr>
      <w:tr w:rsidR="002C5990" w:rsidRPr="00BC71AE" w14:paraId="0BBE9FFF" w14:textId="77777777" w:rsidTr="009829AA">
        <w:tc>
          <w:tcPr>
            <w:tcW w:w="4503" w:type="dxa"/>
            <w:tcBorders>
              <w:top w:val="single" w:sz="8" w:space="0" w:color="4F81BD"/>
              <w:left w:val="single" w:sz="8" w:space="0" w:color="4F81BD"/>
              <w:bottom w:val="single" w:sz="8" w:space="0" w:color="4F81BD"/>
            </w:tcBorders>
            <w:shd w:val="clear" w:color="auto" w:fill="auto"/>
          </w:tcPr>
          <w:p w14:paraId="64F8E53A" w14:textId="77777777" w:rsidR="002C5990" w:rsidRPr="004C06A5" w:rsidRDefault="002C5990" w:rsidP="009829AA">
            <w:pPr>
              <w:rPr>
                <w:b/>
                <w:bCs/>
              </w:rPr>
            </w:pPr>
            <w:r>
              <w:rPr>
                <w:b/>
                <w:bCs/>
              </w:rPr>
              <w:t>One Adult, Two Children</w:t>
            </w:r>
          </w:p>
        </w:tc>
        <w:tc>
          <w:tcPr>
            <w:tcW w:w="1842" w:type="dxa"/>
            <w:tcBorders>
              <w:top w:val="single" w:sz="8" w:space="0" w:color="4F81BD"/>
              <w:bottom w:val="single" w:sz="8" w:space="0" w:color="4F81BD"/>
            </w:tcBorders>
            <w:shd w:val="clear" w:color="auto" w:fill="auto"/>
          </w:tcPr>
          <w:p w14:paraId="3B7ED503" w14:textId="77777777" w:rsidR="002C5990" w:rsidRPr="00BC71AE" w:rsidRDefault="002C5990" w:rsidP="009829AA">
            <w:r>
              <w:t>$704</w:t>
            </w:r>
          </w:p>
        </w:tc>
      </w:tr>
      <w:tr w:rsidR="002C5990" w:rsidRPr="00BC71AE" w14:paraId="26804B89" w14:textId="77777777" w:rsidTr="009829AA">
        <w:tc>
          <w:tcPr>
            <w:tcW w:w="4503" w:type="dxa"/>
            <w:tcBorders>
              <w:top w:val="single" w:sz="8" w:space="0" w:color="4F81BD"/>
              <w:left w:val="single" w:sz="8" w:space="0" w:color="4F81BD"/>
              <w:bottom w:val="single" w:sz="8" w:space="0" w:color="4F81BD"/>
            </w:tcBorders>
            <w:shd w:val="clear" w:color="auto" w:fill="auto"/>
          </w:tcPr>
          <w:p w14:paraId="2B0CAD30" w14:textId="77777777" w:rsidR="002C5990" w:rsidRPr="004C06A5" w:rsidRDefault="002C5990" w:rsidP="009829AA">
            <w:pPr>
              <w:rPr>
                <w:b/>
                <w:bCs/>
              </w:rPr>
            </w:pPr>
            <w:r>
              <w:rPr>
                <w:b/>
                <w:bCs/>
              </w:rPr>
              <w:t>Two Adults, One Child</w:t>
            </w:r>
          </w:p>
        </w:tc>
        <w:tc>
          <w:tcPr>
            <w:tcW w:w="1842" w:type="dxa"/>
            <w:tcBorders>
              <w:top w:val="single" w:sz="8" w:space="0" w:color="4F81BD"/>
              <w:bottom w:val="single" w:sz="8" w:space="0" w:color="4F81BD"/>
            </w:tcBorders>
            <w:shd w:val="clear" w:color="auto" w:fill="auto"/>
          </w:tcPr>
          <w:p w14:paraId="205CE314" w14:textId="77777777" w:rsidR="002C5990" w:rsidRPr="00BC71AE" w:rsidRDefault="002C5990" w:rsidP="009829AA">
            <w:r>
              <w:t>$792</w:t>
            </w:r>
          </w:p>
        </w:tc>
      </w:tr>
      <w:tr w:rsidR="002C5990" w:rsidRPr="00BC71AE" w14:paraId="5655C7C2" w14:textId="77777777" w:rsidTr="009829AA">
        <w:tc>
          <w:tcPr>
            <w:tcW w:w="4503" w:type="dxa"/>
            <w:tcBorders>
              <w:top w:val="single" w:sz="8" w:space="0" w:color="4F81BD"/>
              <w:left w:val="single" w:sz="8" w:space="0" w:color="4F81BD"/>
              <w:bottom w:val="single" w:sz="8" w:space="0" w:color="4F81BD"/>
            </w:tcBorders>
            <w:shd w:val="clear" w:color="auto" w:fill="auto"/>
          </w:tcPr>
          <w:p w14:paraId="22DE955F" w14:textId="77777777" w:rsidR="002C5990" w:rsidRPr="004C06A5" w:rsidRDefault="002C5990" w:rsidP="009829AA">
            <w:pPr>
              <w:rPr>
                <w:b/>
                <w:bCs/>
              </w:rPr>
            </w:pPr>
            <w:r>
              <w:rPr>
                <w:b/>
                <w:bCs/>
              </w:rPr>
              <w:t>Two Adults, Two Children</w:t>
            </w:r>
          </w:p>
        </w:tc>
        <w:tc>
          <w:tcPr>
            <w:tcW w:w="1842" w:type="dxa"/>
            <w:tcBorders>
              <w:top w:val="single" w:sz="8" w:space="0" w:color="4F81BD"/>
              <w:bottom w:val="single" w:sz="8" w:space="0" w:color="4F81BD"/>
            </w:tcBorders>
            <w:shd w:val="clear" w:color="auto" w:fill="auto"/>
          </w:tcPr>
          <w:p w14:paraId="501525BE" w14:textId="77777777" w:rsidR="002C5990" w:rsidRPr="00BC71AE" w:rsidRDefault="002C5990" w:rsidP="009829AA">
            <w:r>
              <w:t>$924</w:t>
            </w:r>
          </w:p>
        </w:tc>
      </w:tr>
      <w:tr w:rsidR="002C5990" w:rsidRPr="00BC71AE" w14:paraId="7D860175" w14:textId="77777777" w:rsidTr="009829AA">
        <w:tc>
          <w:tcPr>
            <w:tcW w:w="4503" w:type="dxa"/>
            <w:tcBorders>
              <w:top w:val="single" w:sz="8" w:space="0" w:color="4F81BD"/>
              <w:left w:val="single" w:sz="8" w:space="0" w:color="4F81BD"/>
              <w:bottom w:val="single" w:sz="8" w:space="0" w:color="4F81BD"/>
            </w:tcBorders>
            <w:shd w:val="clear" w:color="auto" w:fill="auto"/>
          </w:tcPr>
          <w:p w14:paraId="33DD403C" w14:textId="5D246C87" w:rsidR="002C5990" w:rsidRDefault="002C5990" w:rsidP="009829AA">
            <w:pPr>
              <w:rPr>
                <w:b/>
                <w:bCs/>
              </w:rPr>
            </w:pPr>
            <w:r>
              <w:rPr>
                <w:b/>
                <w:bCs/>
              </w:rPr>
              <w:t xml:space="preserve">Non-responsible adult in 3 adult </w:t>
            </w:r>
            <w:r w:rsidRPr="00094580">
              <w:rPr>
                <w:b/>
                <w:bCs/>
              </w:rPr>
              <w:t>house</w:t>
            </w:r>
            <w:r w:rsidR="00D40FC6" w:rsidRPr="00094580">
              <w:rPr>
                <w:b/>
                <w:bCs/>
              </w:rPr>
              <w:t>hold</w:t>
            </w:r>
          </w:p>
        </w:tc>
        <w:tc>
          <w:tcPr>
            <w:tcW w:w="1842" w:type="dxa"/>
            <w:tcBorders>
              <w:top w:val="single" w:sz="8" w:space="0" w:color="4F81BD"/>
              <w:bottom w:val="single" w:sz="8" w:space="0" w:color="4F81BD"/>
            </w:tcBorders>
            <w:shd w:val="clear" w:color="auto" w:fill="auto"/>
          </w:tcPr>
          <w:p w14:paraId="49F600B5" w14:textId="77777777" w:rsidR="002C5990" w:rsidRPr="00BC71AE" w:rsidRDefault="002C5990" w:rsidP="009829AA">
            <w:r>
              <w:t>$293</w:t>
            </w:r>
          </w:p>
        </w:tc>
      </w:tr>
      <w:tr w:rsidR="002C5990" w:rsidRPr="00BC71AE" w14:paraId="2761A0BB" w14:textId="77777777" w:rsidTr="009829AA">
        <w:tc>
          <w:tcPr>
            <w:tcW w:w="4503" w:type="dxa"/>
            <w:tcBorders>
              <w:top w:val="single" w:sz="8" w:space="0" w:color="4F81BD"/>
              <w:left w:val="single" w:sz="8" w:space="0" w:color="4F81BD"/>
              <w:bottom w:val="single" w:sz="8" w:space="0" w:color="4F81BD"/>
            </w:tcBorders>
            <w:shd w:val="clear" w:color="auto" w:fill="auto"/>
          </w:tcPr>
          <w:p w14:paraId="18F2E050" w14:textId="77777777" w:rsidR="002C5990" w:rsidRDefault="002C5990" w:rsidP="009829AA">
            <w:pPr>
              <w:rPr>
                <w:b/>
                <w:bCs/>
              </w:rPr>
            </w:pPr>
            <w:r>
              <w:rPr>
                <w:b/>
                <w:bCs/>
              </w:rPr>
              <w:t>Non-responsible adult +1 other adult + child</w:t>
            </w:r>
          </w:p>
        </w:tc>
        <w:tc>
          <w:tcPr>
            <w:tcW w:w="1842" w:type="dxa"/>
            <w:tcBorders>
              <w:top w:val="single" w:sz="8" w:space="0" w:color="4F81BD"/>
              <w:bottom w:val="single" w:sz="8" w:space="0" w:color="4F81BD"/>
            </w:tcBorders>
            <w:shd w:val="clear" w:color="auto" w:fill="auto"/>
          </w:tcPr>
          <w:p w14:paraId="38942BD0" w14:textId="77777777" w:rsidR="002C5990" w:rsidRPr="00BC71AE" w:rsidRDefault="002C5990" w:rsidP="009829AA">
            <w:r>
              <w:t>$396</w:t>
            </w:r>
          </w:p>
        </w:tc>
      </w:tr>
    </w:tbl>
    <w:p w14:paraId="683D681A" w14:textId="77777777" w:rsidR="005A2583" w:rsidRDefault="005A2583" w:rsidP="005A2583">
      <w:pPr>
        <w:pStyle w:val="Heading4"/>
      </w:pPr>
      <w:r>
        <w:t>Survey Representativeness and Weightings</w:t>
      </w:r>
    </w:p>
    <w:p w14:paraId="16CF8FAE" w14:textId="6A31A99D" w:rsidR="005344CD" w:rsidRDefault="00DF6355" w:rsidP="004631CB">
      <w:pPr>
        <w:rPr>
          <w:lang w:eastAsia="ja-JP"/>
        </w:rPr>
      </w:pPr>
      <w:r>
        <w:rPr>
          <w:lang w:eastAsia="ja-JP"/>
        </w:rPr>
        <w:t>T</w:t>
      </w:r>
      <w:r w:rsidR="002C5990">
        <w:rPr>
          <w:lang w:eastAsia="ja-JP"/>
        </w:rPr>
        <w:t xml:space="preserve">he demographic breakdown </w:t>
      </w:r>
      <w:r w:rsidR="00013224">
        <w:rPr>
          <w:lang w:eastAsia="ja-JP"/>
        </w:rPr>
        <w:t xml:space="preserve">of the SACOSS survey group </w:t>
      </w:r>
      <w:r w:rsidR="002C5990">
        <w:rPr>
          <w:lang w:eastAsia="ja-JP"/>
        </w:rPr>
        <w:t>is in Appendix 1</w:t>
      </w:r>
      <w:r w:rsidR="005A2583">
        <w:rPr>
          <w:lang w:eastAsia="ja-JP"/>
        </w:rPr>
        <w:t xml:space="preserve">, but there were several ways in which the survey group did not match the demographics identified in the ABS data. As noted above, the group was defined differently in terms of before and after-housing costs, but the survey sample was also older, with smaller households and much less likely to have children. In short, the family formation cohort identified in the ABS data was under-represented in the SACOSS sample. </w:t>
      </w:r>
    </w:p>
    <w:p w14:paraId="10EBFDF3" w14:textId="02002F25" w:rsidR="009754FF" w:rsidRDefault="002D3C2F" w:rsidP="004631CB">
      <w:pPr>
        <w:rPr>
          <w:lang w:eastAsia="ja-JP"/>
        </w:rPr>
      </w:pPr>
      <w:r>
        <w:rPr>
          <w:lang w:eastAsia="ja-JP"/>
        </w:rPr>
        <w:t>However, o</w:t>
      </w:r>
      <w:r w:rsidR="009754FF">
        <w:rPr>
          <w:lang w:eastAsia="ja-JP"/>
        </w:rPr>
        <w:t>ne interesting outcome of this is</w:t>
      </w:r>
      <w:r w:rsidR="00013224">
        <w:rPr>
          <w:lang w:eastAsia="ja-JP"/>
        </w:rPr>
        <w:t xml:space="preserve"> the identification of another potential demographic group within the waged poor cohort who are older, often own</w:t>
      </w:r>
      <w:r w:rsidR="009754FF">
        <w:rPr>
          <w:lang w:eastAsia="ja-JP"/>
        </w:rPr>
        <w:t>ing</w:t>
      </w:r>
      <w:r w:rsidR="00013224">
        <w:rPr>
          <w:lang w:eastAsia="ja-JP"/>
        </w:rPr>
        <w:t xml:space="preserve"> their own homes and where one half of a couple has retired and the other is working. They fit the (before-housing) definition of </w:t>
      </w:r>
      <w:r w:rsidR="00CB43E1">
        <w:rPr>
          <w:lang w:eastAsia="ja-JP"/>
        </w:rPr>
        <w:t xml:space="preserve">waged </w:t>
      </w:r>
      <w:r w:rsidR="00013224">
        <w:rPr>
          <w:lang w:eastAsia="ja-JP"/>
        </w:rPr>
        <w:t>poor</w:t>
      </w:r>
      <w:r w:rsidR="00CB43E1">
        <w:rPr>
          <w:lang w:eastAsia="ja-JP"/>
        </w:rPr>
        <w:t xml:space="preserve"> households</w:t>
      </w:r>
      <w:r w:rsidR="00013224">
        <w:rPr>
          <w:lang w:eastAsia="ja-JP"/>
        </w:rPr>
        <w:t xml:space="preserve">, but they are </w:t>
      </w:r>
      <w:r w:rsidR="00154B8A">
        <w:rPr>
          <w:lang w:eastAsia="ja-JP"/>
        </w:rPr>
        <w:t xml:space="preserve">also </w:t>
      </w:r>
      <w:r w:rsidR="00013224">
        <w:rPr>
          <w:lang w:eastAsia="ja-JP"/>
        </w:rPr>
        <w:t xml:space="preserve">likely to have more assets and be more comfortable than </w:t>
      </w:r>
      <w:r w:rsidR="00013224">
        <w:rPr>
          <w:lang w:eastAsia="ja-JP"/>
        </w:rPr>
        <w:lastRenderedPageBreak/>
        <w:t>the family formation cohort.</w:t>
      </w:r>
      <w:r w:rsidR="00895E57">
        <w:rPr>
          <w:lang w:eastAsia="ja-JP"/>
        </w:rPr>
        <w:t xml:space="preserve"> In turn this would mean that they probably experience less difficulty in paying for telecommunications.</w:t>
      </w:r>
    </w:p>
    <w:p w14:paraId="4879FEBC" w14:textId="77777777" w:rsidR="00013224" w:rsidRDefault="009754FF" w:rsidP="004631CB">
      <w:pPr>
        <w:rPr>
          <w:lang w:eastAsia="ja-JP"/>
        </w:rPr>
      </w:pPr>
      <w:r>
        <w:rPr>
          <w:lang w:eastAsia="ja-JP"/>
        </w:rPr>
        <w:t xml:space="preserve">Because SACOSS is particularly interested in those struggling most with telecommunications costs (and recognising the impact of children on demand for services), </w:t>
      </w:r>
      <w:r w:rsidR="00895E57">
        <w:rPr>
          <w:lang w:eastAsia="ja-JP"/>
        </w:rPr>
        <w:t xml:space="preserve">we weighted the survey results to reflect the ABS demographic data around household composition. The household composition data and weightings applied are in </w:t>
      </w:r>
      <w:r w:rsidR="007F1105">
        <w:rPr>
          <w:lang w:eastAsia="ja-JP"/>
        </w:rPr>
        <w:t xml:space="preserve">Appendix 1, </w:t>
      </w:r>
      <w:r w:rsidR="00895E57">
        <w:rPr>
          <w:lang w:eastAsia="ja-JP"/>
        </w:rPr>
        <w:t xml:space="preserve">but basically the </w:t>
      </w:r>
      <w:r w:rsidR="002D3C2F">
        <w:rPr>
          <w:lang w:eastAsia="ja-JP"/>
        </w:rPr>
        <w:t>results</w:t>
      </w:r>
      <w:r w:rsidR="00895E57">
        <w:rPr>
          <w:lang w:eastAsia="ja-JP"/>
        </w:rPr>
        <w:t xml:space="preserve"> de-emphasis the experience of these older households and place more weight on the responses of the family formation cohort identified in the ABS data.</w:t>
      </w:r>
    </w:p>
    <w:p w14:paraId="0B2E59A0" w14:textId="77777777" w:rsidR="00895E57" w:rsidRDefault="00895E57" w:rsidP="004631CB">
      <w:pPr>
        <w:rPr>
          <w:lang w:eastAsia="ja-JP"/>
        </w:rPr>
      </w:pPr>
      <w:r>
        <w:rPr>
          <w:lang w:eastAsia="ja-JP"/>
        </w:rPr>
        <w:t>Unless otherwise specified, the data presented in this report are the response</w:t>
      </w:r>
      <w:r w:rsidR="003B04B2">
        <w:rPr>
          <w:lang w:eastAsia="ja-JP"/>
        </w:rPr>
        <w:t xml:space="preserve"> rate</w:t>
      </w:r>
      <w:r>
        <w:rPr>
          <w:lang w:eastAsia="ja-JP"/>
        </w:rPr>
        <w:t>s</w:t>
      </w:r>
      <w:r w:rsidR="003B04B2">
        <w:rPr>
          <w:lang w:eastAsia="ja-JP"/>
        </w:rPr>
        <w:t xml:space="preserve"> weighted as above</w:t>
      </w:r>
      <w:r>
        <w:rPr>
          <w:lang w:eastAsia="ja-JP"/>
        </w:rPr>
        <w:t>.</w:t>
      </w:r>
    </w:p>
    <w:p w14:paraId="0C31151D" w14:textId="77777777" w:rsidR="00196FD3" w:rsidRPr="00196FD3" w:rsidRDefault="00B523BE" w:rsidP="00DB5CEA">
      <w:pPr>
        <w:pStyle w:val="Heading2"/>
        <w:rPr>
          <w:lang w:eastAsia="ja-JP"/>
        </w:rPr>
      </w:pPr>
      <w:bookmarkStart w:id="28" w:name="_Toc42719025"/>
      <w:r>
        <w:rPr>
          <w:lang w:eastAsia="ja-JP"/>
        </w:rPr>
        <w:t xml:space="preserve">Stage 2 – </w:t>
      </w:r>
      <w:r w:rsidR="005A2583">
        <w:rPr>
          <w:lang w:eastAsia="ja-JP"/>
        </w:rPr>
        <w:t>Qualitative Interviews</w:t>
      </w:r>
      <w:bookmarkEnd w:id="28"/>
    </w:p>
    <w:p w14:paraId="701174C7" w14:textId="12B5D58E" w:rsidR="00ED523C" w:rsidRDefault="002C5990" w:rsidP="00196FD3">
      <w:pPr>
        <w:rPr>
          <w:lang w:val="en-US" w:eastAsia="ja-JP"/>
        </w:rPr>
      </w:pPr>
      <w:r>
        <w:rPr>
          <w:lang w:val="en-US" w:eastAsia="ja-JP"/>
        </w:rPr>
        <w:t xml:space="preserve">Following the quantitative survey, </w:t>
      </w:r>
      <w:r w:rsidR="005A2583">
        <w:rPr>
          <w:lang w:val="en-US" w:eastAsia="ja-JP"/>
        </w:rPr>
        <w:t xml:space="preserve">the original plan was to run </w:t>
      </w:r>
      <w:r w:rsidR="00ED523C">
        <w:rPr>
          <w:lang w:val="en-US" w:eastAsia="ja-JP"/>
        </w:rPr>
        <w:t>3 focus groups to explore in a more nuanced way the issues that arose from the survey data. There was one group</w:t>
      </w:r>
      <w:r w:rsidR="005A2583">
        <w:rPr>
          <w:lang w:val="en-US" w:eastAsia="ja-JP"/>
        </w:rPr>
        <w:t xml:space="preserve"> to be</w:t>
      </w:r>
      <w:r w:rsidR="00ED523C">
        <w:rPr>
          <w:lang w:val="en-US" w:eastAsia="ja-JP"/>
        </w:rPr>
        <w:t xml:space="preserve"> held in Canberra, one in Hobart, and one in Adelaide</w:t>
      </w:r>
      <w:r w:rsidR="001D3427">
        <w:rPr>
          <w:lang w:val="en-US" w:eastAsia="ja-JP"/>
        </w:rPr>
        <w:t xml:space="preserve"> run by the relevant state/territory COSS</w:t>
      </w:r>
      <w:r>
        <w:rPr>
          <w:lang w:val="en-US" w:eastAsia="ja-JP"/>
        </w:rPr>
        <w:t xml:space="preserve">. </w:t>
      </w:r>
      <w:r w:rsidR="001D3427">
        <w:rPr>
          <w:lang w:val="en-US" w:eastAsia="ja-JP"/>
        </w:rPr>
        <w:t xml:space="preserve">Recruitment of participants via the COSS networks </w:t>
      </w:r>
      <w:r w:rsidR="00ED523C">
        <w:rPr>
          <w:lang w:val="en-US" w:eastAsia="ja-JP"/>
        </w:rPr>
        <w:t>proved difficult</w:t>
      </w:r>
      <w:r w:rsidR="001D3427">
        <w:rPr>
          <w:lang w:val="en-US" w:eastAsia="ja-JP"/>
        </w:rPr>
        <w:t xml:space="preserve"> </w:t>
      </w:r>
      <w:r w:rsidR="00ED523C">
        <w:rPr>
          <w:lang w:val="en-US" w:eastAsia="ja-JP"/>
        </w:rPr>
        <w:t>– precisely because</w:t>
      </w:r>
      <w:r w:rsidR="004F6923">
        <w:rPr>
          <w:lang w:val="en-US" w:eastAsia="ja-JP"/>
        </w:rPr>
        <w:t xml:space="preserve"> </w:t>
      </w:r>
      <w:r w:rsidR="00ED523C">
        <w:rPr>
          <w:lang w:val="en-US" w:eastAsia="ja-JP"/>
        </w:rPr>
        <w:t>waged poor households are unlikely to be in touch with community service organisations</w:t>
      </w:r>
      <w:r w:rsidR="004F6923">
        <w:rPr>
          <w:lang w:val="en-US" w:eastAsia="ja-JP"/>
        </w:rPr>
        <w:t xml:space="preserve"> (and in </w:t>
      </w:r>
      <w:r w:rsidR="005A2583">
        <w:rPr>
          <w:lang w:val="en-US" w:eastAsia="ja-JP"/>
        </w:rPr>
        <w:t>that sense</w:t>
      </w:r>
      <w:r w:rsidR="004F6923">
        <w:rPr>
          <w:lang w:val="en-US" w:eastAsia="ja-JP"/>
        </w:rPr>
        <w:t xml:space="preserve"> any such recruitment would be unrepresentative)</w:t>
      </w:r>
      <w:r w:rsidR="00ED523C">
        <w:rPr>
          <w:lang w:val="en-US" w:eastAsia="ja-JP"/>
        </w:rPr>
        <w:t>.</w:t>
      </w:r>
      <w:r w:rsidR="004F6923">
        <w:rPr>
          <w:lang w:val="en-US" w:eastAsia="ja-JP"/>
        </w:rPr>
        <w:t xml:space="preserve"> A</w:t>
      </w:r>
      <w:r w:rsidR="00ED523C">
        <w:rPr>
          <w:lang w:val="en-US" w:eastAsia="ja-JP"/>
        </w:rPr>
        <w:t xml:space="preserve">ccordingly, </w:t>
      </w:r>
      <w:r w:rsidR="00076B55">
        <w:rPr>
          <w:lang w:val="en-US" w:eastAsia="ja-JP"/>
        </w:rPr>
        <w:t xml:space="preserve">Action Market Research </w:t>
      </w:r>
      <w:r w:rsidR="001D3427">
        <w:rPr>
          <w:lang w:val="en-US" w:eastAsia="ja-JP"/>
        </w:rPr>
        <w:t>was engaged to recruit</w:t>
      </w:r>
      <w:r w:rsidR="00076B55">
        <w:rPr>
          <w:lang w:val="en-US" w:eastAsia="ja-JP"/>
        </w:rPr>
        <w:t xml:space="preserve"> a more random sample. </w:t>
      </w:r>
      <w:r w:rsidR="005A2583">
        <w:rPr>
          <w:lang w:val="en-US" w:eastAsia="ja-JP"/>
        </w:rPr>
        <w:t xml:space="preserve">However, while </w:t>
      </w:r>
      <w:r w:rsidR="001D3427">
        <w:rPr>
          <w:lang w:val="en-US" w:eastAsia="ja-JP"/>
        </w:rPr>
        <w:t>this</w:t>
      </w:r>
      <w:r w:rsidR="005A2583">
        <w:rPr>
          <w:lang w:val="en-US" w:eastAsia="ja-JP"/>
        </w:rPr>
        <w:t xml:space="preserve"> was in progress, Australia was hit with the COVID-19 crisis</w:t>
      </w:r>
      <w:r w:rsidR="004F6923">
        <w:rPr>
          <w:lang w:val="en-US" w:eastAsia="ja-JP"/>
        </w:rPr>
        <w:t xml:space="preserve"> and</w:t>
      </w:r>
      <w:r w:rsidR="00E6659A">
        <w:rPr>
          <w:lang w:val="en-US" w:eastAsia="ja-JP"/>
        </w:rPr>
        <w:t xml:space="preserve"> so </w:t>
      </w:r>
      <w:r w:rsidR="002119DB">
        <w:rPr>
          <w:lang w:val="en-US" w:eastAsia="ja-JP"/>
        </w:rPr>
        <w:t>the</w:t>
      </w:r>
      <w:r w:rsidR="00E6659A">
        <w:rPr>
          <w:lang w:val="en-US" w:eastAsia="ja-JP"/>
        </w:rPr>
        <w:t xml:space="preserve"> focus group</w:t>
      </w:r>
      <w:r w:rsidR="002119DB">
        <w:rPr>
          <w:lang w:val="en-US" w:eastAsia="ja-JP"/>
        </w:rPr>
        <w:t>s were</w:t>
      </w:r>
      <w:r w:rsidR="00E6659A">
        <w:rPr>
          <w:lang w:val="en-US" w:eastAsia="ja-JP"/>
        </w:rPr>
        <w:t xml:space="preserve"> replaced with one-on-one interviews conducted over the phone by the relevant COSS.</w:t>
      </w:r>
      <w:r w:rsidR="002119DB">
        <w:rPr>
          <w:lang w:val="en-US" w:eastAsia="ja-JP"/>
        </w:rPr>
        <w:t xml:space="preserve"> </w:t>
      </w:r>
    </w:p>
    <w:p w14:paraId="68B9FAB0" w14:textId="63C46E37" w:rsidR="00076B55" w:rsidRDefault="002119DB" w:rsidP="00196FD3">
      <w:pPr>
        <w:rPr>
          <w:lang w:val="en-US" w:eastAsia="ja-JP"/>
        </w:rPr>
      </w:pPr>
      <w:r>
        <w:rPr>
          <w:lang w:val="en-US" w:eastAsia="ja-JP"/>
        </w:rPr>
        <w:t>Twenty-four interviews were conducted across the 3 states in March 2020, with each interview</w:t>
      </w:r>
      <w:r w:rsidR="00E6659A">
        <w:rPr>
          <w:lang w:val="en-US" w:eastAsia="ja-JP"/>
        </w:rPr>
        <w:t xml:space="preserve"> loosely base</w:t>
      </w:r>
      <w:r w:rsidR="00BD4AF9">
        <w:rPr>
          <w:lang w:val="en-US" w:eastAsia="ja-JP"/>
        </w:rPr>
        <w:t>d on</w:t>
      </w:r>
      <w:r w:rsidR="00076B55">
        <w:rPr>
          <w:lang w:val="en-US" w:eastAsia="ja-JP"/>
        </w:rPr>
        <w:t xml:space="preserve"> themes, questions and prompts</w:t>
      </w:r>
      <w:r w:rsidR="00BD4AF9">
        <w:rPr>
          <w:lang w:val="en-US" w:eastAsia="ja-JP"/>
        </w:rPr>
        <w:t xml:space="preserve"> </w:t>
      </w:r>
      <w:r w:rsidR="00C11BF3">
        <w:rPr>
          <w:lang w:val="en-US" w:eastAsia="ja-JP"/>
        </w:rPr>
        <w:t>developed</w:t>
      </w:r>
      <w:r w:rsidR="00BD4AF9">
        <w:rPr>
          <w:lang w:val="en-US" w:eastAsia="ja-JP"/>
        </w:rPr>
        <w:t xml:space="preserve"> between the COSS partners</w:t>
      </w:r>
      <w:r w:rsidR="00076B55">
        <w:rPr>
          <w:lang w:val="en-US" w:eastAsia="ja-JP"/>
        </w:rPr>
        <w:t>. The sessions were recorded and transcripts of the discussions were collated an</w:t>
      </w:r>
      <w:r w:rsidR="001D3427">
        <w:rPr>
          <w:lang w:val="en-US" w:eastAsia="ja-JP"/>
        </w:rPr>
        <w:t>d analysed centrally by the report authors</w:t>
      </w:r>
      <w:r w:rsidR="00076B55">
        <w:rPr>
          <w:lang w:val="en-US" w:eastAsia="ja-JP"/>
        </w:rPr>
        <w:t>.</w:t>
      </w:r>
      <w:r w:rsidR="00424899">
        <w:rPr>
          <w:lang w:val="en-US" w:eastAsia="ja-JP"/>
        </w:rPr>
        <w:t xml:space="preserve"> A summary of participants is contained in Appendix 2.</w:t>
      </w:r>
    </w:p>
    <w:p w14:paraId="41D330A4" w14:textId="77777777" w:rsidR="00076B55" w:rsidRDefault="00076B55" w:rsidP="00196FD3">
      <w:pPr>
        <w:rPr>
          <w:lang w:val="en-US" w:eastAsia="ja-JP"/>
        </w:rPr>
      </w:pPr>
      <w:r>
        <w:rPr>
          <w:lang w:val="en-US" w:eastAsia="ja-JP"/>
        </w:rPr>
        <w:t xml:space="preserve">This </w:t>
      </w:r>
      <w:r w:rsidR="00E6659A">
        <w:rPr>
          <w:lang w:val="en-US" w:eastAsia="ja-JP"/>
        </w:rPr>
        <w:t>interview</w:t>
      </w:r>
      <w:r>
        <w:rPr>
          <w:lang w:val="en-US" w:eastAsia="ja-JP"/>
        </w:rPr>
        <w:t xml:space="preserve"> data, when considered in conjunction with the survey data, formed the basis of further policy analysis and discussion with the project partners – which then provided the background to the stakeholder engagement in Stage 3 of the research.</w:t>
      </w:r>
    </w:p>
    <w:p w14:paraId="5DFDE356" w14:textId="77777777" w:rsidR="00DB5CEA" w:rsidRDefault="00DB5CEA" w:rsidP="00DB5CEA">
      <w:pPr>
        <w:pStyle w:val="Heading2"/>
        <w:rPr>
          <w:lang w:eastAsia="ja-JP"/>
        </w:rPr>
      </w:pPr>
      <w:bookmarkStart w:id="29" w:name="_Toc42719026"/>
      <w:r>
        <w:rPr>
          <w:lang w:eastAsia="ja-JP"/>
        </w:rPr>
        <w:t>St</w:t>
      </w:r>
      <w:r w:rsidR="00B523BE">
        <w:rPr>
          <w:lang w:eastAsia="ja-JP"/>
        </w:rPr>
        <w:t>age 3 – St</w:t>
      </w:r>
      <w:r>
        <w:rPr>
          <w:lang w:eastAsia="ja-JP"/>
        </w:rPr>
        <w:t>akeholder Engagement</w:t>
      </w:r>
      <w:bookmarkEnd w:id="29"/>
    </w:p>
    <w:p w14:paraId="602F123F" w14:textId="2E0A972B" w:rsidR="00FF3A93" w:rsidRDefault="00FF3A93" w:rsidP="00F05B8A">
      <w:pPr>
        <w:rPr>
          <w:lang w:val="en-US" w:eastAsia="ja-JP"/>
        </w:rPr>
      </w:pPr>
      <w:r>
        <w:rPr>
          <w:lang w:val="en-US" w:eastAsia="ja-JP"/>
        </w:rPr>
        <w:t xml:space="preserve">A range of industry and consumer stakeholders were brought together in a </w:t>
      </w:r>
      <w:r w:rsidR="00231DDD">
        <w:rPr>
          <w:lang w:val="en-US" w:eastAsia="ja-JP"/>
        </w:rPr>
        <w:t xml:space="preserve">video </w:t>
      </w:r>
      <w:r>
        <w:rPr>
          <w:lang w:val="en-US" w:eastAsia="ja-JP"/>
        </w:rPr>
        <w:t xml:space="preserve">roundtable meeting in May 2020 to discuss the research findings and consider policy implications and proposals to assist with telecommunications affordability for waged poor households. The full list of </w:t>
      </w:r>
      <w:r w:rsidR="00424899">
        <w:rPr>
          <w:lang w:val="en-US" w:eastAsia="ja-JP"/>
        </w:rPr>
        <w:t xml:space="preserve">those represented at the </w:t>
      </w:r>
      <w:r>
        <w:rPr>
          <w:lang w:val="en-US" w:eastAsia="ja-JP"/>
        </w:rPr>
        <w:t xml:space="preserve">Roundtable is in Appendix </w:t>
      </w:r>
      <w:r w:rsidR="00275589">
        <w:rPr>
          <w:lang w:val="en-US" w:eastAsia="ja-JP"/>
        </w:rPr>
        <w:t>3</w:t>
      </w:r>
      <w:r>
        <w:rPr>
          <w:lang w:val="en-US" w:eastAsia="ja-JP"/>
        </w:rPr>
        <w:t xml:space="preserve"> of this report, and include</w:t>
      </w:r>
      <w:r w:rsidR="00424899">
        <w:rPr>
          <w:lang w:val="en-US" w:eastAsia="ja-JP"/>
        </w:rPr>
        <w:t>d</w:t>
      </w:r>
      <w:r>
        <w:rPr>
          <w:lang w:val="en-US" w:eastAsia="ja-JP"/>
        </w:rPr>
        <w:t xml:space="preserve"> </w:t>
      </w:r>
      <w:r w:rsidRPr="00126AB1">
        <w:rPr>
          <w:lang w:val="en-US" w:eastAsia="ja-JP"/>
        </w:rPr>
        <w:t xml:space="preserve">telecommunications consumer groups (including ACCAN), Councils of Social Service, </w:t>
      </w:r>
      <w:r w:rsidR="00424899">
        <w:rPr>
          <w:lang w:val="en-US" w:eastAsia="ja-JP"/>
        </w:rPr>
        <w:t>the ACMA as regulator</w:t>
      </w:r>
      <w:r w:rsidRPr="00126AB1">
        <w:rPr>
          <w:lang w:val="en-US" w:eastAsia="ja-JP"/>
        </w:rPr>
        <w:t xml:space="preserve">, retailers </w:t>
      </w:r>
      <w:r w:rsidRPr="00424899">
        <w:rPr>
          <w:lang w:val="en-US" w:eastAsia="ja-JP"/>
        </w:rPr>
        <w:t>and NBN Co</w:t>
      </w:r>
      <w:r w:rsidR="00424899">
        <w:rPr>
          <w:lang w:val="en-US" w:eastAsia="ja-JP"/>
        </w:rPr>
        <w:t>, and other relevant community groups</w:t>
      </w:r>
      <w:r w:rsidRPr="00424899">
        <w:rPr>
          <w:lang w:val="en-US" w:eastAsia="ja-JP"/>
        </w:rPr>
        <w:t>.</w:t>
      </w:r>
      <w:r>
        <w:rPr>
          <w:lang w:val="en-US" w:eastAsia="ja-JP"/>
        </w:rPr>
        <w:t xml:space="preserve"> Participants were briefed on the quantitative data and on the key issues emerging from the focus groups, and </w:t>
      </w:r>
      <w:r w:rsidR="00F05B8A">
        <w:rPr>
          <w:lang w:val="en-US" w:eastAsia="ja-JP"/>
        </w:rPr>
        <w:t xml:space="preserve">some </w:t>
      </w:r>
      <w:r w:rsidR="00ED2247">
        <w:rPr>
          <w:lang w:val="en-US" w:eastAsia="ja-JP"/>
        </w:rPr>
        <w:t>10</w:t>
      </w:r>
      <w:r w:rsidR="00F05B8A">
        <w:rPr>
          <w:lang w:val="en-US" w:eastAsia="ja-JP"/>
        </w:rPr>
        <w:t xml:space="preserve"> potential recommendations.</w:t>
      </w:r>
    </w:p>
    <w:p w14:paraId="772E9633" w14:textId="660E7FAC" w:rsidR="00FF3A93" w:rsidRDefault="00231DDD" w:rsidP="00196FD3">
      <w:pPr>
        <w:rPr>
          <w:lang w:val="en-US" w:eastAsia="ja-JP"/>
        </w:rPr>
      </w:pPr>
      <w:r>
        <w:rPr>
          <w:lang w:val="en-US" w:eastAsia="ja-JP"/>
        </w:rPr>
        <w:t xml:space="preserve">While the discussion and responses from this group were invaluable inputs into this report, the authors </w:t>
      </w:r>
      <w:r w:rsidR="00F05B8A">
        <w:rPr>
          <w:lang w:val="en-US" w:eastAsia="ja-JP"/>
        </w:rPr>
        <w:t>alone</w:t>
      </w:r>
      <w:r>
        <w:rPr>
          <w:lang w:val="en-US" w:eastAsia="ja-JP"/>
        </w:rPr>
        <w:t xml:space="preserve"> bear the responsibility </w:t>
      </w:r>
      <w:r w:rsidR="00F05B8A">
        <w:rPr>
          <w:lang w:val="en-US" w:eastAsia="ja-JP"/>
        </w:rPr>
        <w:t xml:space="preserve">for </w:t>
      </w:r>
      <w:r w:rsidR="00126AB1">
        <w:rPr>
          <w:lang w:val="en-US" w:eastAsia="ja-JP"/>
        </w:rPr>
        <w:t>all</w:t>
      </w:r>
      <w:r>
        <w:rPr>
          <w:lang w:val="en-US" w:eastAsia="ja-JP"/>
        </w:rPr>
        <w:t xml:space="preserve"> content </w:t>
      </w:r>
      <w:r w:rsidR="00126AB1">
        <w:rPr>
          <w:lang w:val="en-US" w:eastAsia="ja-JP"/>
        </w:rPr>
        <w:t xml:space="preserve">and recommendations in </w:t>
      </w:r>
      <w:r>
        <w:rPr>
          <w:lang w:val="en-US" w:eastAsia="ja-JP"/>
        </w:rPr>
        <w:t>the report.</w:t>
      </w:r>
    </w:p>
    <w:p w14:paraId="51452AAC" w14:textId="77777777" w:rsidR="005923F7" w:rsidRDefault="005923F7" w:rsidP="005923F7">
      <w:pPr>
        <w:pStyle w:val="Heading1"/>
        <w:rPr>
          <w:lang w:val="en-US" w:eastAsia="ja-JP"/>
        </w:rPr>
      </w:pPr>
      <w:bookmarkStart w:id="30" w:name="_Toc37776813"/>
      <w:bookmarkStart w:id="31" w:name="_Toc42719027"/>
      <w:r>
        <w:rPr>
          <w:lang w:val="en-US" w:eastAsia="ja-JP"/>
        </w:rPr>
        <w:lastRenderedPageBreak/>
        <w:t>Results</w:t>
      </w:r>
      <w:bookmarkEnd w:id="30"/>
      <w:bookmarkEnd w:id="31"/>
    </w:p>
    <w:p w14:paraId="6582E3F8" w14:textId="77777777" w:rsidR="005923F7" w:rsidRDefault="005923F7" w:rsidP="005923F7">
      <w:pPr>
        <w:pStyle w:val="Heading2"/>
      </w:pPr>
      <w:bookmarkStart w:id="32" w:name="_Toc37776814"/>
      <w:bookmarkStart w:id="33" w:name="_Toc42719028"/>
      <w:r>
        <w:t>Usage</w:t>
      </w:r>
      <w:bookmarkEnd w:id="32"/>
      <w:bookmarkEnd w:id="33"/>
    </w:p>
    <w:p w14:paraId="00932E09" w14:textId="51C1CFB1" w:rsidR="000573AA" w:rsidRDefault="000573AA" w:rsidP="000573AA">
      <w:pPr>
        <w:pStyle w:val="Heading3"/>
      </w:pPr>
      <w:bookmarkStart w:id="34" w:name="_Toc42719029"/>
      <w:r>
        <w:t>Services and Devices</w:t>
      </w:r>
      <w:bookmarkEnd w:id="34"/>
    </w:p>
    <w:p w14:paraId="68E82AE0" w14:textId="1B03BE35" w:rsidR="00990C64" w:rsidRDefault="00E5735B" w:rsidP="00D352A7">
      <w:pPr>
        <w:rPr>
          <w:lang w:eastAsia="en-AU"/>
        </w:rPr>
      </w:pPr>
      <w:r>
        <w:rPr>
          <w:lang w:eastAsia="en-AU"/>
        </w:rPr>
        <w:t xml:space="preserve">This project is premised on </w:t>
      </w:r>
      <w:r w:rsidR="00C77B10">
        <w:rPr>
          <w:lang w:eastAsia="en-AU"/>
        </w:rPr>
        <w:t>phone and internet usage being increasingly essential as more business</w:t>
      </w:r>
      <w:r w:rsidR="00F70DF3">
        <w:rPr>
          <w:lang w:eastAsia="en-AU"/>
        </w:rPr>
        <w:t>es</w:t>
      </w:r>
      <w:r w:rsidR="00C77B10">
        <w:rPr>
          <w:lang w:eastAsia="en-AU"/>
        </w:rPr>
        <w:t>, government service</w:t>
      </w:r>
      <w:r w:rsidR="00706DA2">
        <w:rPr>
          <w:lang w:eastAsia="en-AU"/>
        </w:rPr>
        <w:t>s</w:t>
      </w:r>
      <w:r w:rsidR="00C77B10">
        <w:rPr>
          <w:lang w:eastAsia="en-AU"/>
        </w:rPr>
        <w:t xml:space="preserve"> and culture goes online. The ABS internet usage data from 2017 (the latest and last) listed banking, social networking and entertainment as the most popular online household activities </w:t>
      </w:r>
      <w:r w:rsidR="00C77B10">
        <w:rPr>
          <w:lang w:eastAsia="en-AU"/>
        </w:rPr>
        <w:fldChar w:fldCharType="begin"/>
      </w:r>
      <w:r w:rsidR="008E107E">
        <w:rPr>
          <w:lang w:eastAsia="en-AU"/>
        </w:rPr>
        <w:instrText xml:space="preserve"> ADDIN ZOTERO_ITEM CSL_CITATION {"citationID":"ktTQRbMo","properties":{"formattedCitation":"(ABS, 2018)","plainCitation":"(ABS, 2018)","noteIndex":0},"citationItems":[{"id":3,"uris":["http://zotero.org/groups/2380274/items/FLHN8QXF"],"uri":["http://zotero.org/groups/2380274/items/FLHN8QXF"],"itemData":{"id":3,"type":"report","publisher":"Australian Bureau of Statistics","title":"8146.0 Household Use of Information Technology, Australia, 2016-17","URL":"https://www.abs.gov.au/AUSSTATS/abs@.nsf/Lookup/8146.0Main+Features12016-17?OpenDocument","author":[{"family":"ABS","given":""}],"issued":{"date-parts":[["2018"]]}}}],"schema":"https://github.com/citation-style-language/schema/raw/master/csl-citation.json"} </w:instrText>
      </w:r>
      <w:r w:rsidR="00C77B10">
        <w:rPr>
          <w:lang w:eastAsia="en-AU"/>
        </w:rPr>
        <w:fldChar w:fldCharType="separate"/>
      </w:r>
      <w:r w:rsidR="00C77B10" w:rsidRPr="00C77B10">
        <w:rPr>
          <w:rFonts w:cs="Calibri"/>
        </w:rPr>
        <w:t>(ABS, 2018)</w:t>
      </w:r>
      <w:r w:rsidR="00C77B10">
        <w:rPr>
          <w:lang w:eastAsia="en-AU"/>
        </w:rPr>
        <w:fldChar w:fldCharType="end"/>
      </w:r>
      <w:r w:rsidR="00C77B10">
        <w:rPr>
          <w:lang w:eastAsia="en-AU"/>
        </w:rPr>
        <w:t>.</w:t>
      </w:r>
      <w:r w:rsidR="00E161C9">
        <w:rPr>
          <w:lang w:eastAsia="en-AU"/>
        </w:rPr>
        <w:t xml:space="preserve"> As evident in Figure </w:t>
      </w:r>
      <w:r w:rsidR="00EF65D0">
        <w:rPr>
          <w:lang w:eastAsia="en-AU"/>
        </w:rPr>
        <w:t>6</w:t>
      </w:r>
      <w:r w:rsidR="00E161C9">
        <w:rPr>
          <w:lang w:eastAsia="en-AU"/>
        </w:rPr>
        <w:t>, o</w:t>
      </w:r>
      <w:r w:rsidR="00C77B10">
        <w:rPr>
          <w:lang w:eastAsia="en-AU"/>
        </w:rPr>
        <w:t xml:space="preserve">ur survey of waged poor households mirrors this with banking, personal calls and browsing social media </w:t>
      </w:r>
      <w:r w:rsidR="00706DA2">
        <w:rPr>
          <w:lang w:eastAsia="en-AU"/>
        </w:rPr>
        <w:t xml:space="preserve">all seen as somewhat to very important by more than three-quarters of respondents. </w:t>
      </w:r>
    </w:p>
    <w:p w14:paraId="4B39FC4D" w14:textId="5916334D" w:rsidR="00B02459" w:rsidRDefault="00990C64" w:rsidP="00D352A7">
      <w:pPr>
        <w:rPr>
          <w:lang w:eastAsia="en-AU"/>
        </w:rPr>
      </w:pPr>
      <w:r>
        <w:rPr>
          <w:lang w:eastAsia="en-AU"/>
        </w:rPr>
        <w:t xml:space="preserve">However, there was a difference in that </w:t>
      </w:r>
      <w:r w:rsidR="00706DA2">
        <w:rPr>
          <w:lang w:eastAsia="en-AU"/>
        </w:rPr>
        <w:t xml:space="preserve">the various entertainment options rated </w:t>
      </w:r>
      <w:r>
        <w:rPr>
          <w:lang w:eastAsia="en-AU"/>
        </w:rPr>
        <w:t xml:space="preserve">by the waged poor households </w:t>
      </w:r>
      <w:r w:rsidR="00706DA2">
        <w:rPr>
          <w:lang w:eastAsia="en-AU"/>
        </w:rPr>
        <w:t xml:space="preserve">as important less often </w:t>
      </w:r>
      <w:r w:rsidR="00706DA2" w:rsidRPr="00094580">
        <w:rPr>
          <w:lang w:eastAsia="en-AU"/>
        </w:rPr>
        <w:t>tha</w:t>
      </w:r>
      <w:r w:rsidR="00094580">
        <w:rPr>
          <w:lang w:eastAsia="en-AU"/>
        </w:rPr>
        <w:t>n</w:t>
      </w:r>
      <w:r w:rsidR="00706DA2">
        <w:rPr>
          <w:lang w:eastAsia="en-AU"/>
        </w:rPr>
        <w:t xml:space="preserve"> accessing government services and seeking information on schools, transport, and energy services</w:t>
      </w:r>
      <w:r w:rsidR="00706DA2" w:rsidRPr="00B02459">
        <w:rPr>
          <w:lang w:eastAsia="en-AU"/>
        </w:rPr>
        <w:t>.</w:t>
      </w:r>
      <w:r w:rsidR="00E63DD3" w:rsidRPr="00B02459">
        <w:rPr>
          <w:lang w:eastAsia="en-AU"/>
        </w:rPr>
        <w:t xml:space="preserve"> </w:t>
      </w:r>
      <w:r>
        <w:rPr>
          <w:lang w:eastAsia="en-AU"/>
        </w:rPr>
        <w:t xml:space="preserve">Taken </w:t>
      </w:r>
      <w:r w:rsidRPr="00B02459">
        <w:rPr>
          <w:lang w:eastAsia="en-AU"/>
        </w:rPr>
        <w:t xml:space="preserve">together, a total of 65% of waged poor respondents rated any of the last 3 “entertainment” categories as somewhat to very important. This is somewhat lower than the 80% of internet users in the ABS survey </w:t>
      </w:r>
      <w:r>
        <w:rPr>
          <w:lang w:eastAsia="en-AU"/>
        </w:rPr>
        <w:t xml:space="preserve">using it for entertainment </w:t>
      </w:r>
      <w:r w:rsidRPr="00B02459">
        <w:rPr>
          <w:lang w:eastAsia="en-AU"/>
        </w:rPr>
        <w:t>and potentially reflects the tighter budgets of waged poor households</w:t>
      </w:r>
      <w:r>
        <w:rPr>
          <w:lang w:eastAsia="en-AU"/>
        </w:rPr>
        <w:t>.</w:t>
      </w:r>
    </w:p>
    <w:p w14:paraId="1B570767" w14:textId="56BF9F6F" w:rsidR="00990C64" w:rsidRDefault="00990C64" w:rsidP="00990C64">
      <w:pPr>
        <w:pStyle w:val="Caption"/>
      </w:pPr>
      <w:bookmarkStart w:id="35" w:name="_Toc41920117"/>
      <w:r>
        <w:t xml:space="preserve">Figure </w:t>
      </w:r>
      <w:fldSimple w:instr=" SEQ Figure \* ARABIC ">
        <w:r w:rsidR="001D54A2">
          <w:rPr>
            <w:noProof/>
          </w:rPr>
          <w:t>6</w:t>
        </w:r>
      </w:fldSimple>
      <w:r>
        <w:t>: Telecommunications Uses in Waged Poor Households</w:t>
      </w:r>
      <w:bookmarkEnd w:id="35"/>
    </w:p>
    <w:p w14:paraId="77B114AF" w14:textId="3C1CEEBB" w:rsidR="00B02459" w:rsidRDefault="00BA7A4D" w:rsidP="00D352A7">
      <w:pPr>
        <w:rPr>
          <w:lang w:eastAsia="en-AU"/>
        </w:rPr>
      </w:pPr>
      <w:r>
        <w:rPr>
          <w:noProof/>
        </w:rPr>
        <w:drawing>
          <wp:inline distT="0" distB="0" distL="0" distR="0" wp14:anchorId="14BB1850" wp14:editId="2747E151">
            <wp:extent cx="5731510" cy="32397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731510" cy="3239770"/>
                    </a:xfrm>
                    <a:prstGeom prst="rect">
                      <a:avLst/>
                    </a:prstGeom>
                    <a:noFill/>
                    <a:ln>
                      <a:noFill/>
                    </a:ln>
                  </pic:spPr>
                </pic:pic>
              </a:graphicData>
            </a:graphic>
          </wp:inline>
        </w:drawing>
      </w:r>
    </w:p>
    <w:p w14:paraId="7017FDA8" w14:textId="7316474B" w:rsidR="00B02459" w:rsidRDefault="00990C64" w:rsidP="00B02459">
      <w:r>
        <w:t>Despite the relatively lower uptake of entertainment usage among waged poor households</w:t>
      </w:r>
      <w:r w:rsidR="00B02459">
        <w:t xml:space="preserve">, it is important not to discount </w:t>
      </w:r>
      <w:r>
        <w:t>its</w:t>
      </w:r>
      <w:r w:rsidR="00B02459">
        <w:t xml:space="preserve"> importance. In the circumstances of many waged poor households with children and little money, </w:t>
      </w:r>
      <w:r w:rsidR="00196FBD">
        <w:t xml:space="preserve">entertainment uses like </w:t>
      </w:r>
      <w:r w:rsidR="00B02459">
        <w:t>TV streaming services may be a good investment. As Alison, a single parent working as a photographer and with 3 older children at home, said</w:t>
      </w:r>
      <w:r w:rsidR="009F2363">
        <w:t>:</w:t>
      </w:r>
    </w:p>
    <w:p w14:paraId="636B0393" w14:textId="4D461778" w:rsidR="00B02459" w:rsidRDefault="00B02459" w:rsidP="00B02459">
      <w:pPr>
        <w:ind w:left="720"/>
      </w:pPr>
      <w:r>
        <w:t xml:space="preserve">Netflix, that's just to keep the kids entertained and not climbing the walls … that’s an essential service to me, </w:t>
      </w:r>
      <w:r w:rsidR="00094580">
        <w:t>‘</w:t>
      </w:r>
      <w:r w:rsidRPr="00094580">
        <w:t>cause</w:t>
      </w:r>
      <w:r>
        <w:t xml:space="preserve"> it just keeps everyone a little bit happier and when you are in </w:t>
      </w:r>
      <w:r>
        <w:lastRenderedPageBreak/>
        <w:t>a very small house on top of each other, to me … I can't afford Foxtel or going to the movies or taking them out for dinner, so $18 a month for [Netflix] entertainment is fairly good money spent I feel.</w:t>
      </w:r>
    </w:p>
    <w:p w14:paraId="107EE653" w14:textId="7D388CB9" w:rsidR="00E63DD3" w:rsidRDefault="00196FBD" w:rsidP="00D352A7">
      <w:pPr>
        <w:rPr>
          <w:lang w:eastAsia="en-AU"/>
        </w:rPr>
      </w:pPr>
      <w:r>
        <w:t xml:space="preserve">In this context it is noteworthy that </w:t>
      </w:r>
      <w:r w:rsidR="00B02459">
        <w:t>BCAR’s definition of “basic data needs” includes a small amount of standard definition video streaming, but it does not include subscription services like Netflix</w:t>
      </w:r>
      <w:r>
        <w:t xml:space="preserve">. </w:t>
      </w:r>
      <w:r w:rsidR="00B02459">
        <w:fldChar w:fldCharType="begin"/>
      </w:r>
      <w:r w:rsidR="00B02459">
        <w:instrText xml:space="preserve"> ADDIN ZOTERO_ITEM CSL_CITATION {"citationID":"IeeaSbrm","properties":{"formattedCitation":"(BCAR, 2020)","plainCitation":"(BCAR, 2020)","noteIndex":0},"citationItems":[{"id":88,"uris":["http://zotero.org/groups/2380274/items/RERVVSE9"],"uri":["http://zotero.org/groups/2380274/items/RERVVSE9"],"itemData":{"id":88,"type":"report","genre":"Working Paper","publisher":"Bureau of Communications and Arts Research, Australian Government","title":"Affordability of Communications Services for Low Income Households","URL":"https://www.communications.gov.au/documents/affordability-communications-services-low-income-households","author":[{"family":"BCAR","given":""}],"issued":{"date-parts":[["2020"]]}}}],"schema":"https://github.com/citation-style-language/schema/raw/master/csl-citation.json"} </w:instrText>
      </w:r>
      <w:r w:rsidR="00B02459">
        <w:fldChar w:fldCharType="separate"/>
      </w:r>
      <w:r w:rsidR="00B02459" w:rsidRPr="00424899">
        <w:rPr>
          <w:rFonts w:cs="Calibri"/>
        </w:rPr>
        <w:t>(BCAR, 2020)</w:t>
      </w:r>
      <w:r w:rsidR="00B02459">
        <w:fldChar w:fldCharType="end"/>
      </w:r>
      <w:r w:rsidR="00B02459">
        <w:t>.</w:t>
      </w:r>
      <w:r>
        <w:t xml:space="preserve"> While the BCAR authors note that different households have different needs, this perspective on entertainment again highlights the importance of including the voices of waged poor people in any analysis.</w:t>
      </w:r>
    </w:p>
    <w:p w14:paraId="498463AF" w14:textId="0AA34F67" w:rsidR="00D352A7" w:rsidRDefault="007C775A" w:rsidP="00D352A7">
      <w:pPr>
        <w:rPr>
          <w:lang w:eastAsia="en-AU"/>
        </w:rPr>
      </w:pPr>
      <w:r>
        <w:rPr>
          <w:lang w:eastAsia="en-AU"/>
        </w:rPr>
        <w:t>In relation to the devices and services used by the waged poor households in our s</w:t>
      </w:r>
      <w:r w:rsidR="00246E08">
        <w:rPr>
          <w:lang w:eastAsia="en-AU"/>
        </w:rPr>
        <w:t>urvey</w:t>
      </w:r>
      <w:r>
        <w:rPr>
          <w:lang w:eastAsia="en-AU"/>
        </w:rPr>
        <w:t>, the</w:t>
      </w:r>
      <w:r w:rsidR="00246E08">
        <w:rPr>
          <w:lang w:eastAsia="en-AU"/>
        </w:rPr>
        <w:t xml:space="preserve"> data showed widespread use of </w:t>
      </w:r>
      <w:r w:rsidR="00D622B4">
        <w:rPr>
          <w:lang w:eastAsia="en-AU"/>
        </w:rPr>
        <w:t xml:space="preserve">the most basic </w:t>
      </w:r>
      <w:r w:rsidR="00246E08">
        <w:rPr>
          <w:lang w:eastAsia="en-AU"/>
        </w:rPr>
        <w:t>telecommunications devices and services</w:t>
      </w:r>
      <w:r>
        <w:rPr>
          <w:lang w:eastAsia="en-AU"/>
        </w:rPr>
        <w:t xml:space="preserve">: </w:t>
      </w:r>
      <w:r w:rsidR="005923F7" w:rsidRPr="00C741E1">
        <w:rPr>
          <w:lang w:eastAsia="en-AU"/>
        </w:rPr>
        <w:t>54% of waged p</w:t>
      </w:r>
      <w:r w:rsidR="00246E08">
        <w:rPr>
          <w:lang w:eastAsia="en-AU"/>
        </w:rPr>
        <w:t xml:space="preserve">oor households </w:t>
      </w:r>
      <w:r>
        <w:rPr>
          <w:lang w:eastAsia="en-AU"/>
        </w:rPr>
        <w:t>had</w:t>
      </w:r>
      <w:r w:rsidR="005923F7" w:rsidRPr="00C741E1">
        <w:rPr>
          <w:lang w:eastAsia="en-AU"/>
        </w:rPr>
        <w:t xml:space="preserve"> landlines, 87</w:t>
      </w:r>
      <w:r w:rsidR="00246E08">
        <w:rPr>
          <w:lang w:eastAsia="en-AU"/>
        </w:rPr>
        <w:t xml:space="preserve">% </w:t>
      </w:r>
      <w:r>
        <w:rPr>
          <w:lang w:eastAsia="en-AU"/>
        </w:rPr>
        <w:t>had</w:t>
      </w:r>
      <w:r w:rsidR="00246E08">
        <w:rPr>
          <w:lang w:eastAsia="en-AU"/>
        </w:rPr>
        <w:t xml:space="preserve"> smart phones and 73% </w:t>
      </w:r>
      <w:r>
        <w:rPr>
          <w:lang w:eastAsia="en-AU"/>
        </w:rPr>
        <w:t>had</w:t>
      </w:r>
      <w:r w:rsidR="005923F7" w:rsidRPr="00C741E1">
        <w:rPr>
          <w:lang w:eastAsia="en-AU"/>
        </w:rPr>
        <w:t xml:space="preserve"> NBN or other broadband in their home</w:t>
      </w:r>
      <w:r>
        <w:rPr>
          <w:lang w:eastAsia="en-AU"/>
        </w:rPr>
        <w:t>. That said,</w:t>
      </w:r>
      <w:r w:rsidR="00D622B4">
        <w:rPr>
          <w:lang w:eastAsia="en-AU"/>
        </w:rPr>
        <w:t xml:space="preserve"> some caution should be exercised </w:t>
      </w:r>
      <w:r w:rsidR="00E161C9">
        <w:rPr>
          <w:lang w:eastAsia="en-AU"/>
        </w:rPr>
        <w:t>with</w:t>
      </w:r>
      <w:r w:rsidR="00D622B4">
        <w:rPr>
          <w:lang w:eastAsia="en-AU"/>
        </w:rPr>
        <w:t xml:space="preserve"> all these results </w:t>
      </w:r>
      <w:r w:rsidR="00E161C9">
        <w:rPr>
          <w:lang w:eastAsia="en-AU"/>
        </w:rPr>
        <w:t>as</w:t>
      </w:r>
      <w:r w:rsidR="00D622B4">
        <w:rPr>
          <w:lang w:eastAsia="en-AU"/>
        </w:rPr>
        <w:t xml:space="preserve"> this was an online (only) survey – so by definition everyone was online in some way.</w:t>
      </w:r>
    </w:p>
    <w:p w14:paraId="0DFA4924" w14:textId="2A9D1025" w:rsidR="00424899" w:rsidRDefault="00D352A7" w:rsidP="006348E8">
      <w:r>
        <w:t>The 87% of wage</w:t>
      </w:r>
      <w:r w:rsidR="009F2363">
        <w:t>d</w:t>
      </w:r>
      <w:r>
        <w:t xml:space="preserve"> poor households with smart phones in this survey</w:t>
      </w:r>
      <w:r w:rsidR="00D968DA">
        <w:t xml:space="preserve"> appears high</w:t>
      </w:r>
      <w:r>
        <w:t xml:space="preserve">, particularly by comparison to the 61% in the survey of those on very low incomes who were reliant on Centrelink payments done for the 2016 </w:t>
      </w:r>
      <w:r w:rsidRPr="00A338DD">
        <w:rPr>
          <w:i/>
        </w:rPr>
        <w:t>Connectivity Costs</w:t>
      </w:r>
      <w:r>
        <w:t xml:space="preserve"> report. However, the proportion of waged poor households that have mobile phones with no data is also higher than the 35% in the 2016 study of non-waged poor households</w:t>
      </w:r>
      <w:r w:rsidR="00D622B4">
        <w:t xml:space="preserve"> in poverty</w:t>
      </w:r>
      <w:r>
        <w:t>. Th</w:t>
      </w:r>
      <w:r w:rsidR="00D622B4">
        <w:t>u</w:t>
      </w:r>
      <w:r w:rsidR="00D622B4" w:rsidRPr="00094580">
        <w:t>s</w:t>
      </w:r>
      <w:r w:rsidR="00131195" w:rsidRPr="00094580">
        <w:t>,</w:t>
      </w:r>
      <w:r w:rsidR="00D622B4">
        <w:t xml:space="preserve"> th</w:t>
      </w:r>
      <w:r>
        <w:t xml:space="preserve">e </w:t>
      </w:r>
      <w:r w:rsidR="00D622B4">
        <w:t>differences</w:t>
      </w:r>
      <w:r>
        <w:t xml:space="preserve"> may</w:t>
      </w:r>
      <w:r w:rsidR="00D622B4">
        <w:t xml:space="preserve"> represent</w:t>
      </w:r>
      <w:r>
        <w:t xml:space="preserve"> growth over time or simply bigger households with more devices</w:t>
      </w:r>
      <w:r w:rsidR="00D622B4">
        <w:t>, or a combination of both</w:t>
      </w:r>
      <w:r>
        <w:t>.</w:t>
      </w:r>
      <w:r w:rsidR="00D968DA">
        <w:t xml:space="preserve"> Further, the smart phone numbers in this survey are in line with the NCOSS 2019 survey of low income households which found </w:t>
      </w:r>
      <w:r w:rsidR="007A0EBE">
        <w:t xml:space="preserve">that around 90% of low income workers had </w:t>
      </w:r>
      <w:r w:rsidR="00D968DA">
        <w:t>smartphones with data</w:t>
      </w:r>
      <w:r w:rsidR="007A0EBE">
        <w:t>, and again – a significant difference from the 71% of Centrelink recipients</w:t>
      </w:r>
      <w:r w:rsidR="00424899">
        <w:t xml:space="preserve"> </w:t>
      </w:r>
      <w:r w:rsidR="00424899">
        <w:fldChar w:fldCharType="begin"/>
      </w:r>
      <w:r w:rsidR="00424899">
        <w:instrText xml:space="preserve"> ADDIN ZOTERO_ITEM CSL_CITATION {"citationID":"jqGsqM3L","properties":{"formattedCitation":"(NCOSS, 2019)","plainCitation":"(NCOSS, 2019)","noteIndex":0},"citationItems":[{"id":89,"uris":["http://zotero.org/groups/2380274/items/SN6GL6JE"],"uri":["http://zotero.org/groups/2380274/items/SN6GL6JE"],"itemData":{"id":89,"type":"report","publisher":"NSW Council of Social Service","title":"The Cost of Staying Connected: Telecommunications Findings from the 2019 Cost of Living in NSW Survey","URL":"https://www.ncoss.org.au/sites/default/files/public/policy/AB%20Telecommunications%20CoLiN%20results%20final.pdf","author":[{"family":"NCOSS","given":""}],"issued":{"date-parts":[["2019"]]}}}],"schema":"https://github.com/citation-style-language/schema/raw/master/csl-citation.json"} </w:instrText>
      </w:r>
      <w:r w:rsidR="00424899">
        <w:fldChar w:fldCharType="separate"/>
      </w:r>
      <w:r w:rsidR="00424899" w:rsidRPr="00424899">
        <w:rPr>
          <w:rFonts w:cs="Calibri"/>
        </w:rPr>
        <w:t>(NCOSS, 2019)</w:t>
      </w:r>
      <w:r w:rsidR="00424899">
        <w:fldChar w:fldCharType="end"/>
      </w:r>
      <w:r w:rsidR="007A0EBE">
        <w:t>.</w:t>
      </w:r>
      <w:r w:rsidR="00D968DA">
        <w:t xml:space="preserve"> </w:t>
      </w:r>
    </w:p>
    <w:p w14:paraId="05E02C5E" w14:textId="6F27412C" w:rsidR="006348E8" w:rsidRDefault="006348E8" w:rsidP="006348E8">
      <w:pPr>
        <w:rPr>
          <w:lang w:eastAsia="en-AU"/>
        </w:rPr>
      </w:pPr>
      <w:r>
        <w:rPr>
          <w:lang w:eastAsia="en-AU"/>
        </w:rPr>
        <w:t>Both the SACOSS and NCOSS data is also in line with the data cited by BCAR (2020) showing a general rate of 89% smart phone ownership in Australia.</w:t>
      </w:r>
    </w:p>
    <w:p w14:paraId="6D89FCA0" w14:textId="547D8C4E" w:rsidR="00127DE4" w:rsidRDefault="00127DE4" w:rsidP="00127DE4">
      <w:pPr>
        <w:pStyle w:val="Caption"/>
      </w:pPr>
      <w:bookmarkStart w:id="36" w:name="_Toc37776830"/>
      <w:bookmarkStart w:id="37" w:name="_Toc41920118"/>
      <w:r>
        <w:t xml:space="preserve">Figure </w:t>
      </w:r>
      <w:fldSimple w:instr=" SEQ Figure \* ARABIC ">
        <w:r w:rsidR="001D54A2">
          <w:rPr>
            <w:noProof/>
          </w:rPr>
          <w:t>7</w:t>
        </w:r>
      </w:fldSimple>
      <w:r>
        <w:t>: Telecommunications Devices and Services Used, All Waged Poor Households</w:t>
      </w:r>
      <w:bookmarkEnd w:id="36"/>
      <w:bookmarkEnd w:id="37"/>
    </w:p>
    <w:p w14:paraId="15F02FCA" w14:textId="68B9134C" w:rsidR="005923F7" w:rsidRDefault="00CB43E1" w:rsidP="005923F7">
      <w:pPr>
        <w:rPr>
          <w:lang w:eastAsia="en-AU"/>
        </w:rPr>
      </w:pPr>
      <w:r>
        <w:rPr>
          <w:noProof/>
          <w:lang w:eastAsia="en-AU"/>
        </w:rPr>
        <w:drawing>
          <wp:inline distT="0" distB="0" distL="0" distR="0" wp14:anchorId="5B59D526" wp14:editId="44F7926C">
            <wp:extent cx="5588000" cy="2721610"/>
            <wp:effectExtent l="0" t="0" r="0" b="0"/>
            <wp:docPr id="9" name="Chart 15" descr="Title: Telecommunications Devices and Services Used - Description: Data showing most common devices and services used by all waged poor households: most popular being smart phones, then NBN, and TV streaming (57%). Only 34% of households had tablets with data."/>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95D3785" w14:textId="1651F143" w:rsidR="00A338DD" w:rsidRDefault="00A338DD" w:rsidP="005923F7">
      <w:r>
        <w:t xml:space="preserve">The </w:t>
      </w:r>
      <w:r w:rsidR="00EF65D0">
        <w:t xml:space="preserve">NBN data in Figure 7 with </w:t>
      </w:r>
      <w:r w:rsidR="00B516D6">
        <w:t>73%</w:t>
      </w:r>
      <w:r>
        <w:t xml:space="preserve"> of waged poor households with NBN or broadband at home is </w:t>
      </w:r>
      <w:r w:rsidR="00A054ED">
        <w:t xml:space="preserve">also fairly high, </w:t>
      </w:r>
      <w:r w:rsidR="00B97C0E">
        <w:t>although it is</w:t>
      </w:r>
      <w:r w:rsidR="00A054ED">
        <w:t xml:space="preserve"> </w:t>
      </w:r>
      <w:r>
        <w:t>broadly in line with national averages</w:t>
      </w:r>
      <w:r w:rsidR="00EF65D0">
        <w:t>:</w:t>
      </w:r>
      <w:r>
        <w:t xml:space="preserve"> in February NBN Co. reported a </w:t>
      </w:r>
      <w:r>
        <w:lastRenderedPageBreak/>
        <w:t>take up rate of 61% of all possible business and household users</w:t>
      </w:r>
      <w:r w:rsidR="00EF65D0">
        <w:t xml:space="preserve">. Our survey numbers would be expected to be high given </w:t>
      </w:r>
      <w:r>
        <w:t xml:space="preserve">the survey is biased to those online and the question included non-NBN broadband. </w:t>
      </w:r>
    </w:p>
    <w:p w14:paraId="0827E22E" w14:textId="62C618CF" w:rsidR="00D622B4" w:rsidRDefault="00D352A7" w:rsidP="00D352A7">
      <w:pPr>
        <w:rPr>
          <w:lang w:eastAsia="en-AU"/>
        </w:rPr>
      </w:pPr>
      <w:r>
        <w:rPr>
          <w:lang w:eastAsia="en-AU"/>
        </w:rPr>
        <w:t>However, housing tenure made a difference to both NBN take-up and landline usage. Only 68% of renter</w:t>
      </w:r>
      <w:r w:rsidR="006914D6">
        <w:rPr>
          <w:lang w:eastAsia="en-AU"/>
        </w:rPr>
        <w:t xml:space="preserve"> households</w:t>
      </w:r>
      <w:r>
        <w:rPr>
          <w:lang w:eastAsia="en-AU"/>
        </w:rPr>
        <w:t xml:space="preserve"> in the survey had NBN or home broadband, </w:t>
      </w:r>
      <w:r w:rsidR="00D622B4">
        <w:rPr>
          <w:lang w:eastAsia="en-AU"/>
        </w:rPr>
        <w:t>5 percentage p</w:t>
      </w:r>
      <w:r>
        <w:rPr>
          <w:lang w:eastAsia="en-AU"/>
        </w:rPr>
        <w:t>oints lower than the survey</w:t>
      </w:r>
      <w:r w:rsidR="00D622B4">
        <w:rPr>
          <w:lang w:eastAsia="en-AU"/>
        </w:rPr>
        <w:t xml:space="preserve"> average</w:t>
      </w:r>
      <w:r>
        <w:rPr>
          <w:lang w:eastAsia="en-AU"/>
        </w:rPr>
        <w:t xml:space="preserve">. Similarly, only </w:t>
      </w:r>
      <w:r w:rsidR="00D622B4">
        <w:rPr>
          <w:lang w:eastAsia="en-AU"/>
        </w:rPr>
        <w:t xml:space="preserve">42% of renters had landlines, 12 percentage points lower than the survey </w:t>
      </w:r>
      <w:r>
        <w:rPr>
          <w:lang w:eastAsia="en-AU"/>
        </w:rPr>
        <w:t>as a whole</w:t>
      </w:r>
      <w:r w:rsidR="00B97C0E">
        <w:rPr>
          <w:lang w:eastAsia="en-AU"/>
        </w:rPr>
        <w:t>.</w:t>
      </w:r>
    </w:p>
    <w:p w14:paraId="57CD2CAF" w14:textId="1D87F3DB" w:rsidR="00361031" w:rsidRDefault="006914D6" w:rsidP="00B02459">
      <w:r>
        <w:t xml:space="preserve">Outside of the basic telecommunications services </w:t>
      </w:r>
      <w:r w:rsidR="00EF65D0">
        <w:t xml:space="preserve">it is notable that </w:t>
      </w:r>
      <w:r w:rsidR="00741A80">
        <w:t xml:space="preserve">usage drops off fairly significantly. </w:t>
      </w:r>
      <w:r w:rsidR="002D615A">
        <w:t>T</w:t>
      </w:r>
      <w:r w:rsidR="00B516D6">
        <w:t>he 35% of waged poor households that had a tablet with data in 2020 is significantly short of the 65% of all households with tablets in 2017</w:t>
      </w:r>
      <w:r w:rsidR="00741A80">
        <w:t xml:space="preserve"> (although this included tablets without data)</w:t>
      </w:r>
      <w:r w:rsidR="00E93206">
        <w:t xml:space="preserve"> </w:t>
      </w:r>
      <w:r w:rsidR="00E93206">
        <w:fldChar w:fldCharType="begin"/>
      </w:r>
      <w:r w:rsidR="008E107E">
        <w:instrText xml:space="preserve"> ADDIN ZOTERO_ITEM CSL_CITATION {"citationID":"9R3e213H","properties":{"formattedCitation":"(ABS, 2018)","plainCitation":"(ABS, 2018)","noteIndex":0},"citationItems":[{"id":3,"uris":["http://zotero.org/groups/2380274/items/FLHN8QXF"],"uri":["http://zotero.org/groups/2380274/items/FLHN8QXF"],"itemData":{"id":3,"type":"report","publisher":"Australian Bureau of Statistics","title":"8146.0 Household Use of Information Technology, Australia, 2016-17","URL":"https://www.abs.gov.au/AUSSTATS/abs@.nsf/Lookup/8146.0Main+Features12016-17?OpenDocument","author":[{"family":"ABS","given":""}],"issued":{"date-parts":[["2018"]]}}}],"schema":"https://github.com/citation-style-language/schema/raw/master/csl-citation.json"} </w:instrText>
      </w:r>
      <w:r w:rsidR="00E93206">
        <w:fldChar w:fldCharType="separate"/>
      </w:r>
      <w:r w:rsidR="00E93206" w:rsidRPr="00E93206">
        <w:rPr>
          <w:rFonts w:cs="Calibri"/>
        </w:rPr>
        <w:t>(ABS, 2018)</w:t>
      </w:r>
      <w:r w:rsidR="00E93206">
        <w:fldChar w:fldCharType="end"/>
      </w:r>
      <w:r w:rsidR="00741A80">
        <w:t xml:space="preserve">. </w:t>
      </w:r>
      <w:r w:rsidR="002D615A">
        <w:t>As noted above, the entertainment services would appear to be below national average in the ABS data, although the usage of TV streaming services was higher among waged poor households with children (68%</w:t>
      </w:r>
      <w:r w:rsidR="00EF65D0">
        <w:t xml:space="preserve"> rather than 57% overall</w:t>
      </w:r>
      <w:r w:rsidR="002D615A">
        <w:t xml:space="preserve">). </w:t>
      </w:r>
    </w:p>
    <w:p w14:paraId="094DF5DD" w14:textId="78AC0938" w:rsidR="000573AA" w:rsidRDefault="000573AA" w:rsidP="000573AA">
      <w:pPr>
        <w:pStyle w:val="Heading3"/>
      </w:pPr>
      <w:bookmarkStart w:id="38" w:name="_Toc42719030"/>
      <w:r>
        <w:t>Access Points</w:t>
      </w:r>
      <w:bookmarkEnd w:id="38"/>
    </w:p>
    <w:p w14:paraId="5E029A01" w14:textId="134997B7" w:rsidR="005923F7" w:rsidRPr="00914743" w:rsidRDefault="005923F7" w:rsidP="005923F7">
      <w:pPr>
        <w:rPr>
          <w:lang w:eastAsia="en-AU"/>
        </w:rPr>
      </w:pPr>
      <w:r w:rsidRPr="00914743">
        <w:rPr>
          <w:lang w:eastAsia="en-AU"/>
        </w:rPr>
        <w:t>The top 3 places respondents accessed the internet were via:</w:t>
      </w:r>
    </w:p>
    <w:p w14:paraId="24DAEE02" w14:textId="5DF54275" w:rsidR="005923F7" w:rsidRPr="00914743" w:rsidRDefault="005923F7" w:rsidP="005923F7">
      <w:pPr>
        <w:widowControl w:val="0"/>
        <w:numPr>
          <w:ilvl w:val="0"/>
          <w:numId w:val="1"/>
        </w:numPr>
        <w:spacing w:after="120" w:line="288" w:lineRule="auto"/>
      </w:pPr>
      <w:r w:rsidRPr="00914743">
        <w:t>Their mobile phone (53%)</w:t>
      </w:r>
    </w:p>
    <w:p w14:paraId="7DE98DCD" w14:textId="102265A7" w:rsidR="005923F7" w:rsidRPr="00914743" w:rsidRDefault="005923F7" w:rsidP="005923F7">
      <w:pPr>
        <w:widowControl w:val="0"/>
        <w:numPr>
          <w:ilvl w:val="0"/>
          <w:numId w:val="1"/>
        </w:numPr>
        <w:spacing w:after="120" w:line="288" w:lineRule="auto"/>
      </w:pPr>
      <w:r w:rsidRPr="00914743">
        <w:t>Broadband at home (79</w:t>
      </w:r>
      <w:r w:rsidRPr="00094580">
        <w:t>%) and</w:t>
      </w:r>
    </w:p>
    <w:p w14:paraId="03F1F1D4" w14:textId="263AAAD6" w:rsidR="005923F7" w:rsidRDefault="005923F7" w:rsidP="005923F7">
      <w:pPr>
        <w:widowControl w:val="0"/>
        <w:numPr>
          <w:ilvl w:val="0"/>
          <w:numId w:val="1"/>
        </w:numPr>
        <w:spacing w:after="120" w:line="288" w:lineRule="auto"/>
      </w:pPr>
      <w:r w:rsidRPr="00914743">
        <w:t xml:space="preserve">Public </w:t>
      </w:r>
      <w:r w:rsidR="00FD3792">
        <w:t>WiFi</w:t>
      </w:r>
      <w:r w:rsidRPr="00914743">
        <w:t xml:space="preserve"> (25%).</w:t>
      </w:r>
    </w:p>
    <w:p w14:paraId="769AD19D" w14:textId="77777777" w:rsidR="00EF65D0" w:rsidRDefault="00EF65D0" w:rsidP="00EF65D0">
      <w:pPr>
        <w:widowControl w:val="0"/>
        <w:spacing w:after="120" w:line="288" w:lineRule="auto"/>
      </w:pPr>
    </w:p>
    <w:p w14:paraId="2FFFB364" w14:textId="32A8C4CD" w:rsidR="00EF65D0" w:rsidRDefault="00EF65D0" w:rsidP="00EF65D0">
      <w:pPr>
        <w:pStyle w:val="Caption"/>
      </w:pPr>
      <w:bookmarkStart w:id="39" w:name="_Toc37776831"/>
      <w:bookmarkStart w:id="40" w:name="_Toc41920119"/>
      <w:r>
        <w:t xml:space="preserve">Figure </w:t>
      </w:r>
      <w:fldSimple w:instr=" SEQ Figure \* ARABIC ">
        <w:r w:rsidR="001D54A2">
          <w:rPr>
            <w:noProof/>
          </w:rPr>
          <w:t>8</w:t>
        </w:r>
      </w:fldSimple>
      <w:r>
        <w:t>: Most Common Ways to Access the Internet</w:t>
      </w:r>
      <w:bookmarkEnd w:id="39"/>
      <w:bookmarkEnd w:id="40"/>
    </w:p>
    <w:p w14:paraId="1BDABA5C" w14:textId="49745E3B" w:rsidR="00686B08" w:rsidRPr="001952F5" w:rsidRDefault="00CB43E1" w:rsidP="00686B08">
      <w:pPr>
        <w:rPr>
          <w:lang w:eastAsia="en-AU"/>
        </w:rPr>
      </w:pPr>
      <w:r>
        <w:rPr>
          <w:noProof/>
          <w:lang w:eastAsia="en-AU"/>
        </w:rPr>
        <w:drawing>
          <wp:inline distT="0" distB="0" distL="0" distR="0" wp14:anchorId="20530380" wp14:editId="30E75E3C">
            <wp:extent cx="5738495" cy="3044825"/>
            <wp:effectExtent l="0" t="0" r="14605" b="3175"/>
            <wp:docPr id="11" name="Picture 11" descr="Title: Most Common Ways to Access Internet - Description: Column graph showing the top 3 methods of connecting to the internet. Home internet (NBN) and mobile data were by far the most common. Public wifi was third, with all other places (work, educational institution, friends/family, internet cafe, public library or government office) being listed by only around 10% of less respondent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AAB8286" w14:textId="30FBC3CC" w:rsidR="000573AA" w:rsidRDefault="005923F7" w:rsidP="000573AA">
      <w:pPr>
        <w:rPr>
          <w:lang w:eastAsia="en-AU"/>
        </w:rPr>
      </w:pPr>
      <w:r w:rsidRPr="00914743">
        <w:rPr>
          <w:lang w:eastAsia="en-AU"/>
        </w:rPr>
        <w:t>H</w:t>
      </w:r>
      <w:r w:rsidR="00B66DE9">
        <w:rPr>
          <w:lang w:eastAsia="en-AU"/>
        </w:rPr>
        <w:t>owever, h</w:t>
      </w:r>
      <w:r w:rsidRPr="00914743">
        <w:rPr>
          <w:lang w:eastAsia="en-AU"/>
        </w:rPr>
        <w:t xml:space="preserve">ousing tenure impacted significantly on </w:t>
      </w:r>
      <w:r w:rsidR="00B66DE9">
        <w:rPr>
          <w:lang w:eastAsia="en-AU"/>
        </w:rPr>
        <w:t xml:space="preserve">these </w:t>
      </w:r>
      <w:r w:rsidR="007D7A06">
        <w:rPr>
          <w:lang w:eastAsia="en-AU"/>
        </w:rPr>
        <w:t>telecommunications access</w:t>
      </w:r>
      <w:r w:rsidRPr="00914743">
        <w:rPr>
          <w:lang w:eastAsia="en-AU"/>
        </w:rPr>
        <w:t xml:space="preserve"> figures with a higher number of those in rental accommodation using data on their mobile phone (60%), and fewer </w:t>
      </w:r>
      <w:r w:rsidRPr="00914743">
        <w:rPr>
          <w:lang w:eastAsia="en-AU"/>
        </w:rPr>
        <w:lastRenderedPageBreak/>
        <w:t>having home broadband (74%).</w:t>
      </w:r>
      <w:r w:rsidRPr="008E107E">
        <w:rPr>
          <w:rStyle w:val="FootnoteReference"/>
        </w:rPr>
        <w:footnoteReference w:id="1"/>
      </w:r>
      <w:r w:rsidR="00361BB4">
        <w:rPr>
          <w:lang w:eastAsia="en-AU"/>
        </w:rPr>
        <w:t xml:space="preserve"> </w:t>
      </w:r>
      <w:r w:rsidR="00B36E1F">
        <w:rPr>
          <w:lang w:eastAsia="en-AU"/>
        </w:rPr>
        <w:t>T</w:t>
      </w:r>
      <w:r w:rsidR="00361BB4">
        <w:rPr>
          <w:lang w:eastAsia="en-AU"/>
        </w:rPr>
        <w:t>he other access point data was largely similar between renters and the whole sample</w:t>
      </w:r>
      <w:r w:rsidR="00B66DE9">
        <w:rPr>
          <w:lang w:eastAsia="en-AU"/>
        </w:rPr>
        <w:t>. T</w:t>
      </w:r>
      <w:r w:rsidR="00B36E1F">
        <w:rPr>
          <w:lang w:eastAsia="en-AU"/>
        </w:rPr>
        <w:t xml:space="preserve">he differences </w:t>
      </w:r>
      <w:r w:rsidR="00B66DE9">
        <w:rPr>
          <w:lang w:eastAsia="en-AU"/>
        </w:rPr>
        <w:t xml:space="preserve">in mobile internet access and home broadband </w:t>
      </w:r>
      <w:r w:rsidR="00B36E1F">
        <w:rPr>
          <w:lang w:eastAsia="en-AU"/>
        </w:rPr>
        <w:t xml:space="preserve">could be </w:t>
      </w:r>
      <w:r w:rsidR="007D7A06">
        <w:rPr>
          <w:lang w:eastAsia="en-AU"/>
        </w:rPr>
        <w:t xml:space="preserve">simply </w:t>
      </w:r>
      <w:r w:rsidR="00B36E1F">
        <w:rPr>
          <w:lang w:eastAsia="en-AU"/>
        </w:rPr>
        <w:t>because of increased budget pressures from having to pay rent</w:t>
      </w:r>
      <w:r w:rsidR="00B66DE9">
        <w:rPr>
          <w:lang w:eastAsia="en-AU"/>
        </w:rPr>
        <w:t xml:space="preserve">, but </w:t>
      </w:r>
      <w:r w:rsidR="000573AA">
        <w:rPr>
          <w:lang w:eastAsia="en-AU"/>
        </w:rPr>
        <w:t xml:space="preserve">could also relate to a </w:t>
      </w:r>
      <w:r w:rsidR="00B36E1F">
        <w:rPr>
          <w:lang w:eastAsia="en-AU"/>
        </w:rPr>
        <w:t xml:space="preserve">lack of security of tenure in rental households mitigating against telecommunications services which are tied to a housing (i.e. NBN and landlines). </w:t>
      </w:r>
      <w:r w:rsidR="000573AA">
        <w:rPr>
          <w:lang w:eastAsia="en-AU"/>
        </w:rPr>
        <w:t xml:space="preserve">As </w:t>
      </w:r>
      <w:r w:rsidR="00025DBF">
        <w:rPr>
          <w:lang w:eastAsia="en-AU"/>
        </w:rPr>
        <w:t>Yasmin</w:t>
      </w:r>
      <w:r w:rsidR="000573AA">
        <w:rPr>
          <w:lang w:eastAsia="en-AU"/>
        </w:rPr>
        <w:t xml:space="preserve"> in Adelaide told us</w:t>
      </w:r>
      <w:r w:rsidR="009F2363">
        <w:rPr>
          <w:lang w:eastAsia="en-AU"/>
        </w:rPr>
        <w:t>:</w:t>
      </w:r>
    </w:p>
    <w:p w14:paraId="597F19E5" w14:textId="0F4B895F" w:rsidR="00897724" w:rsidRDefault="000573AA" w:rsidP="00897724">
      <w:pPr>
        <w:spacing w:before="80"/>
        <w:ind w:left="720"/>
        <w:rPr>
          <w:rFonts w:cs="Calibri"/>
          <w:color w:val="000000"/>
        </w:rPr>
      </w:pPr>
      <w:r>
        <w:rPr>
          <w:rFonts w:cs="Calibri"/>
          <w:color w:val="000000"/>
        </w:rPr>
        <w:t xml:space="preserve">initially when we were renting two years ago, I didn't sign up for </w:t>
      </w:r>
      <w:r w:rsidR="00FD3792">
        <w:rPr>
          <w:rFonts w:cs="Calibri"/>
          <w:color w:val="000000"/>
        </w:rPr>
        <w:t>WiFi</w:t>
      </w:r>
      <w:r>
        <w:rPr>
          <w:rFonts w:cs="Calibri"/>
          <w:color w:val="000000"/>
        </w:rPr>
        <w:t xml:space="preserve"> because I didn't know when I would move …. So I had 100 GB mobile data on the iPad. </w:t>
      </w:r>
      <w:r w:rsidR="00897724">
        <w:rPr>
          <w:rFonts w:cs="Calibri"/>
          <w:color w:val="000000"/>
        </w:rPr>
        <w:t xml:space="preserve">[and there were] too much fees, because if we have </w:t>
      </w:r>
      <w:r w:rsidR="00FD3792">
        <w:rPr>
          <w:rFonts w:cs="Calibri"/>
          <w:color w:val="000000"/>
        </w:rPr>
        <w:t>WiFi</w:t>
      </w:r>
      <w:r w:rsidR="00897724">
        <w:rPr>
          <w:rFonts w:cs="Calibri"/>
          <w:color w:val="000000"/>
        </w:rPr>
        <w:t xml:space="preserve"> then we have to disconnect the </w:t>
      </w:r>
      <w:r w:rsidR="00FD3792">
        <w:rPr>
          <w:rFonts w:cs="Calibri"/>
          <w:color w:val="000000"/>
        </w:rPr>
        <w:t>WiFi</w:t>
      </w:r>
      <w:r w:rsidR="00897724">
        <w:rPr>
          <w:rFonts w:cs="Calibri"/>
          <w:color w:val="000000"/>
        </w:rPr>
        <w:t xml:space="preserve"> and then they will charge us and then reconnect at the new place and then we get charged again.</w:t>
      </w:r>
    </w:p>
    <w:p w14:paraId="5A6D6F44" w14:textId="108E1951" w:rsidR="007D7A06" w:rsidRDefault="007D7A06" w:rsidP="005923F7">
      <w:pPr>
        <w:rPr>
          <w:lang w:eastAsia="en-AU"/>
        </w:rPr>
      </w:pPr>
      <w:r>
        <w:rPr>
          <w:lang w:eastAsia="en-AU"/>
        </w:rPr>
        <w:t>Th</w:t>
      </w:r>
      <w:r w:rsidR="000573AA">
        <w:rPr>
          <w:lang w:eastAsia="en-AU"/>
        </w:rPr>
        <w:t xml:space="preserve">is lack of secure tenure </w:t>
      </w:r>
      <w:r>
        <w:rPr>
          <w:lang w:eastAsia="en-AU"/>
        </w:rPr>
        <w:t>was a</w:t>
      </w:r>
      <w:r w:rsidR="00897724">
        <w:rPr>
          <w:lang w:eastAsia="en-AU"/>
        </w:rPr>
        <w:t xml:space="preserve"> major</w:t>
      </w:r>
      <w:r>
        <w:rPr>
          <w:lang w:eastAsia="en-AU"/>
        </w:rPr>
        <w:t xml:space="preserve"> issue identified in the SACOSS’ </w:t>
      </w:r>
      <w:r>
        <w:rPr>
          <w:i/>
          <w:iCs/>
          <w:lang w:eastAsia="en-AU"/>
        </w:rPr>
        <w:t xml:space="preserve">Connectivity </w:t>
      </w:r>
      <w:r w:rsidRPr="007D7A06">
        <w:rPr>
          <w:lang w:eastAsia="en-AU"/>
        </w:rPr>
        <w:t>Costs</w:t>
      </w:r>
      <w:r>
        <w:rPr>
          <w:lang w:eastAsia="en-AU"/>
        </w:rPr>
        <w:t xml:space="preserve"> report in 2016, </w:t>
      </w:r>
      <w:r w:rsidR="00897724">
        <w:rPr>
          <w:lang w:eastAsia="en-AU"/>
        </w:rPr>
        <w:t>for instance, when the internet contract was 2 years, but tenancy was only a 6 month lease, or people going to pre-paid services because they could not guarantee a contract term.</w:t>
      </w:r>
      <w:r w:rsidR="00B66DE9">
        <w:rPr>
          <w:lang w:eastAsia="en-AU"/>
        </w:rPr>
        <w:t xml:space="preserve"> S</w:t>
      </w:r>
      <w:r>
        <w:rPr>
          <w:lang w:eastAsia="en-AU"/>
        </w:rPr>
        <w:t>ince then a number of retailers have moved away from th</w:t>
      </w:r>
      <w:r w:rsidR="00897724">
        <w:rPr>
          <w:lang w:eastAsia="en-AU"/>
        </w:rPr>
        <w:t>os</w:t>
      </w:r>
      <w:r>
        <w:rPr>
          <w:lang w:eastAsia="en-AU"/>
        </w:rPr>
        <w:t>e sorts of lock-in contracts</w:t>
      </w:r>
      <w:r w:rsidR="00897724">
        <w:rPr>
          <w:lang w:eastAsia="en-AU"/>
        </w:rPr>
        <w:t>, but</w:t>
      </w:r>
      <w:r w:rsidR="000573AA">
        <w:rPr>
          <w:lang w:eastAsia="en-AU"/>
        </w:rPr>
        <w:t xml:space="preserve"> even where tenure is secured, there </w:t>
      </w:r>
      <w:r w:rsidR="002351AB">
        <w:rPr>
          <w:lang w:eastAsia="en-AU"/>
        </w:rPr>
        <w:t>can be</w:t>
      </w:r>
      <w:r w:rsidR="000573AA">
        <w:rPr>
          <w:lang w:eastAsia="en-AU"/>
        </w:rPr>
        <w:t xml:space="preserve"> lag effects</w:t>
      </w:r>
      <w:r w:rsidR="00897724">
        <w:rPr>
          <w:lang w:eastAsia="en-AU"/>
        </w:rPr>
        <w:t>:</w:t>
      </w:r>
      <w:r w:rsidR="000573AA">
        <w:rPr>
          <w:lang w:eastAsia="en-AU"/>
        </w:rPr>
        <w:t xml:space="preserve"> </w:t>
      </w:r>
      <w:r w:rsidR="00025DBF">
        <w:rPr>
          <w:lang w:eastAsia="en-AU"/>
        </w:rPr>
        <w:t>Yasmin</w:t>
      </w:r>
      <w:r w:rsidR="000573AA">
        <w:rPr>
          <w:lang w:eastAsia="en-AU"/>
        </w:rPr>
        <w:t xml:space="preserve"> and her partner went on to buy their own home, but continued using mobile data at home because that was what they were used to (and they were not big internet users).</w:t>
      </w:r>
    </w:p>
    <w:p w14:paraId="010C32BF" w14:textId="74A93462" w:rsidR="00686B08" w:rsidRDefault="00686B08" w:rsidP="00686B08">
      <w:pPr>
        <w:pStyle w:val="Heading4"/>
        <w:rPr>
          <w:lang w:eastAsia="en-AU"/>
        </w:rPr>
      </w:pPr>
      <w:r>
        <w:rPr>
          <w:lang w:eastAsia="en-AU"/>
        </w:rPr>
        <w:t xml:space="preserve">Public </w:t>
      </w:r>
      <w:r w:rsidR="00FD3792" w:rsidRPr="00D4023A">
        <w:rPr>
          <w:lang w:eastAsia="en-AU"/>
        </w:rPr>
        <w:t>WiFi</w:t>
      </w:r>
    </w:p>
    <w:p w14:paraId="0B3F7157" w14:textId="06E203DF" w:rsidR="00E54B07" w:rsidRDefault="00282795" w:rsidP="005923F7">
      <w:pPr>
        <w:rPr>
          <w:lang w:eastAsia="en-AU"/>
        </w:rPr>
      </w:pPr>
      <w:r>
        <w:rPr>
          <w:lang w:eastAsia="en-AU"/>
        </w:rPr>
        <w:t xml:space="preserve">The high level of usage of public </w:t>
      </w:r>
      <w:r w:rsidR="00FD3792" w:rsidRPr="00D4023A">
        <w:rPr>
          <w:lang w:eastAsia="en-AU"/>
        </w:rPr>
        <w:t>WiFi</w:t>
      </w:r>
      <w:r>
        <w:rPr>
          <w:lang w:eastAsia="en-AU"/>
        </w:rPr>
        <w:t xml:space="preserve"> was also significant in the waged poor data. Almost all the other access point data from this survey matched the 2016 non-waged poor data, but </w:t>
      </w:r>
      <w:r w:rsidR="00280F0C">
        <w:rPr>
          <w:lang w:eastAsia="en-AU"/>
        </w:rPr>
        <w:t xml:space="preserve">the public </w:t>
      </w:r>
      <w:r w:rsidR="00FD3792">
        <w:rPr>
          <w:lang w:eastAsia="en-AU"/>
        </w:rPr>
        <w:t>WiFi</w:t>
      </w:r>
      <w:r w:rsidR="00280F0C">
        <w:rPr>
          <w:lang w:eastAsia="en-AU"/>
        </w:rPr>
        <w:t xml:space="preserve"> data use was much lower then (8%). The qualitative interviews shed some light on this usage, but the picture is confused.</w:t>
      </w:r>
    </w:p>
    <w:p w14:paraId="6E5639CA" w14:textId="679370AE" w:rsidR="005A3847" w:rsidRDefault="00280F0C" w:rsidP="005A3847">
      <w:pPr>
        <w:rPr>
          <w:lang w:eastAsia="en-AU"/>
        </w:rPr>
      </w:pPr>
      <w:r>
        <w:rPr>
          <w:lang w:eastAsia="en-AU"/>
        </w:rPr>
        <w:t xml:space="preserve">Many interviewees reported that they found public </w:t>
      </w:r>
      <w:r w:rsidR="00FD3792">
        <w:rPr>
          <w:lang w:eastAsia="en-AU"/>
        </w:rPr>
        <w:t>WiFi</w:t>
      </w:r>
      <w:r>
        <w:rPr>
          <w:lang w:eastAsia="en-AU"/>
        </w:rPr>
        <w:t xml:space="preserve"> slow, unreliable, or difficult to access </w:t>
      </w:r>
      <w:r w:rsidR="005A3847">
        <w:rPr>
          <w:lang w:eastAsia="en-AU"/>
        </w:rPr>
        <w:t>with several stories about being unable to get on networks, or not being able to load certain pages or the service just being too slow and dropping out. Most interviewees</w:t>
      </w:r>
      <w:r>
        <w:rPr>
          <w:lang w:eastAsia="en-AU"/>
        </w:rPr>
        <w:t xml:space="preserve"> generally preferred to use the data on their mobile phone</w:t>
      </w:r>
      <w:r w:rsidR="00830ECF">
        <w:rPr>
          <w:lang w:eastAsia="en-AU"/>
        </w:rPr>
        <w:t xml:space="preserve"> </w:t>
      </w:r>
      <w:r w:rsidR="005A3847">
        <w:rPr>
          <w:lang w:eastAsia="en-AU"/>
        </w:rPr>
        <w:t xml:space="preserve">where they </w:t>
      </w:r>
      <w:r w:rsidR="00830ECF">
        <w:rPr>
          <w:lang w:eastAsia="en-AU"/>
        </w:rPr>
        <w:t>had big data limits o</w:t>
      </w:r>
      <w:r w:rsidR="007A2E40">
        <w:rPr>
          <w:lang w:eastAsia="en-AU"/>
        </w:rPr>
        <w:t>r</w:t>
      </w:r>
      <w:r w:rsidR="00830ECF">
        <w:rPr>
          <w:lang w:eastAsia="en-AU"/>
        </w:rPr>
        <w:t xml:space="preserve"> did not use up to their phone data limit. </w:t>
      </w:r>
      <w:r w:rsidR="005A3847">
        <w:rPr>
          <w:lang w:eastAsia="en-AU"/>
        </w:rPr>
        <w:t xml:space="preserve">The other </w:t>
      </w:r>
      <w:r w:rsidR="00B66DE9">
        <w:rPr>
          <w:lang w:eastAsia="en-AU"/>
        </w:rPr>
        <w:t>main</w:t>
      </w:r>
      <w:r w:rsidR="005A3847">
        <w:rPr>
          <w:lang w:eastAsia="en-AU"/>
        </w:rPr>
        <w:t xml:space="preserve"> reason people avoided public </w:t>
      </w:r>
      <w:r w:rsidR="00FD3792">
        <w:rPr>
          <w:lang w:eastAsia="en-AU"/>
        </w:rPr>
        <w:t>WiFi</w:t>
      </w:r>
      <w:r w:rsidR="005A3847">
        <w:rPr>
          <w:lang w:eastAsia="en-AU"/>
        </w:rPr>
        <w:t xml:space="preserve"> was concern about security. Some people like </w:t>
      </w:r>
      <w:r w:rsidR="00025DBF">
        <w:rPr>
          <w:lang w:eastAsia="en-AU"/>
        </w:rPr>
        <w:t xml:space="preserve">Usman </w:t>
      </w:r>
      <w:r w:rsidR="005A3847">
        <w:rPr>
          <w:lang w:eastAsia="en-AU"/>
        </w:rPr>
        <w:t>(who worked for a tel</w:t>
      </w:r>
      <w:r w:rsidR="00B66DE9">
        <w:rPr>
          <w:lang w:eastAsia="en-AU"/>
        </w:rPr>
        <w:t>e</w:t>
      </w:r>
      <w:r w:rsidR="005A3847">
        <w:rPr>
          <w:lang w:eastAsia="en-AU"/>
        </w:rPr>
        <w:t>c</w:t>
      </w:r>
      <w:r w:rsidR="00B66DE9">
        <w:rPr>
          <w:lang w:eastAsia="en-AU"/>
        </w:rPr>
        <w:t>ommunications company</w:t>
      </w:r>
      <w:r w:rsidR="005A3847">
        <w:rPr>
          <w:lang w:eastAsia="en-AU"/>
        </w:rPr>
        <w:t xml:space="preserve">), just would not use public </w:t>
      </w:r>
      <w:r w:rsidR="00FD3792">
        <w:rPr>
          <w:lang w:eastAsia="en-AU"/>
        </w:rPr>
        <w:t>WiFi</w:t>
      </w:r>
      <w:r w:rsidR="005A3847">
        <w:rPr>
          <w:lang w:eastAsia="en-AU"/>
        </w:rPr>
        <w:t xml:space="preserve"> because of privacy and security concerns, while others li</w:t>
      </w:r>
      <w:r w:rsidR="00025DBF">
        <w:rPr>
          <w:lang w:eastAsia="en-AU"/>
        </w:rPr>
        <w:t>ke Yasmin</w:t>
      </w:r>
      <w:r w:rsidR="005A3847">
        <w:rPr>
          <w:lang w:eastAsia="en-AU"/>
        </w:rPr>
        <w:t>, we</w:t>
      </w:r>
      <w:r w:rsidR="00B66DE9">
        <w:rPr>
          <w:lang w:eastAsia="en-AU"/>
        </w:rPr>
        <w:t>re</w:t>
      </w:r>
      <w:r w:rsidR="005A3847">
        <w:rPr>
          <w:lang w:eastAsia="en-AU"/>
        </w:rPr>
        <w:t xml:space="preserve"> concerned that their own lack </w:t>
      </w:r>
      <w:r w:rsidR="005A3847" w:rsidRPr="00094580">
        <w:rPr>
          <w:lang w:eastAsia="en-AU"/>
        </w:rPr>
        <w:t>o</w:t>
      </w:r>
      <w:r w:rsidR="00094580" w:rsidRPr="00094580">
        <w:rPr>
          <w:lang w:eastAsia="en-AU"/>
        </w:rPr>
        <w:t>f</w:t>
      </w:r>
      <w:r w:rsidR="005A3847">
        <w:rPr>
          <w:lang w:eastAsia="en-AU"/>
        </w:rPr>
        <w:t xml:space="preserve"> knowledge made them vulnerable: “</w:t>
      </w:r>
      <w:r w:rsidR="005A3847">
        <w:rPr>
          <w:rFonts w:cs="Calibri"/>
          <w:color w:val="000000"/>
        </w:rPr>
        <w:t>I don't think my husband and I are very tech savvy, so we won't really know if someone hacks our phone or things like that.”</w:t>
      </w:r>
    </w:p>
    <w:p w14:paraId="60772224" w14:textId="7B10F0E4" w:rsidR="007967ED" w:rsidRDefault="005A3847" w:rsidP="005A3847">
      <w:pPr>
        <w:rPr>
          <w:rFonts w:cs="Calibri"/>
          <w:color w:val="000000"/>
        </w:rPr>
      </w:pPr>
      <w:r>
        <w:rPr>
          <w:lang w:eastAsia="en-AU"/>
        </w:rPr>
        <w:t>Mostly though, whe</w:t>
      </w:r>
      <w:r w:rsidR="007967ED">
        <w:rPr>
          <w:lang w:eastAsia="en-AU"/>
        </w:rPr>
        <w:t>n</w:t>
      </w:r>
      <w:r>
        <w:rPr>
          <w:lang w:eastAsia="en-AU"/>
        </w:rPr>
        <w:t xml:space="preserve"> people did use public </w:t>
      </w:r>
      <w:r w:rsidR="00FD3792">
        <w:rPr>
          <w:lang w:eastAsia="en-AU"/>
        </w:rPr>
        <w:t>WiFi</w:t>
      </w:r>
      <w:r>
        <w:rPr>
          <w:lang w:eastAsia="en-AU"/>
        </w:rPr>
        <w:t xml:space="preserve">, they were careful </w:t>
      </w:r>
      <w:r w:rsidR="007967ED">
        <w:rPr>
          <w:lang w:eastAsia="en-AU"/>
        </w:rPr>
        <w:t xml:space="preserve">about what they did online and did not do banking and private things on the public network. But it was also notable that for a number of people, those privacy concerns went to their own phone use as well as public </w:t>
      </w:r>
      <w:r w:rsidR="00FD3792">
        <w:rPr>
          <w:lang w:eastAsia="en-AU"/>
        </w:rPr>
        <w:t>WiFi</w:t>
      </w:r>
      <w:r w:rsidR="007967ED">
        <w:rPr>
          <w:lang w:eastAsia="en-AU"/>
        </w:rPr>
        <w:t xml:space="preserve">. While </w:t>
      </w:r>
      <w:r w:rsidR="004841A1">
        <w:rPr>
          <w:lang w:eastAsia="en-AU"/>
        </w:rPr>
        <w:t>Lena</w:t>
      </w:r>
      <w:r w:rsidR="007967ED">
        <w:rPr>
          <w:lang w:eastAsia="en-AU"/>
        </w:rPr>
        <w:t xml:space="preserve"> thought her iPhone was robust and “</w:t>
      </w:r>
      <w:r w:rsidR="007967ED">
        <w:rPr>
          <w:rFonts w:cs="Calibri"/>
          <w:color w:val="000000"/>
        </w:rPr>
        <w:t xml:space="preserve">no way they can get my data or anything,” </w:t>
      </w:r>
      <w:r w:rsidR="0007007E">
        <w:rPr>
          <w:rFonts w:cs="Calibri"/>
          <w:color w:val="000000"/>
        </w:rPr>
        <w:t>Barbara</w:t>
      </w:r>
      <w:r w:rsidR="007967ED">
        <w:rPr>
          <w:rFonts w:cs="Calibri"/>
          <w:color w:val="000000"/>
        </w:rPr>
        <w:t xml:space="preserve"> was more typical:</w:t>
      </w:r>
    </w:p>
    <w:p w14:paraId="5E493E6B" w14:textId="453D85DC" w:rsidR="007967ED" w:rsidRDefault="007967ED" w:rsidP="007967ED">
      <w:pPr>
        <w:ind w:left="720"/>
        <w:rPr>
          <w:lang w:eastAsia="en-AU"/>
        </w:rPr>
      </w:pPr>
      <w:r>
        <w:lastRenderedPageBreak/>
        <w:t>I don't use my phone for anything much that needs to be secure. I mean I do have like basic protection and stuff on my phone, but I don't use my phone for banking or any financial, I only use my computer at home for that.</w:t>
      </w:r>
    </w:p>
    <w:p w14:paraId="0932DD9E" w14:textId="2A8EC871" w:rsidR="001032B1" w:rsidRDefault="001032B1" w:rsidP="005923F7">
      <w:pPr>
        <w:rPr>
          <w:lang w:eastAsia="en-AU"/>
        </w:rPr>
      </w:pPr>
      <w:r>
        <w:rPr>
          <w:lang w:eastAsia="en-AU"/>
        </w:rPr>
        <w:t xml:space="preserve">If people are unsure about the security of their phone, they are doubly unlikely to feel secure enough to use public </w:t>
      </w:r>
      <w:r w:rsidR="00FD3792">
        <w:rPr>
          <w:lang w:eastAsia="en-AU"/>
        </w:rPr>
        <w:t>WiFi</w:t>
      </w:r>
      <w:r>
        <w:rPr>
          <w:lang w:eastAsia="en-AU"/>
        </w:rPr>
        <w:t xml:space="preserve">. </w:t>
      </w:r>
    </w:p>
    <w:p w14:paraId="306EFAF3" w14:textId="70B60586" w:rsidR="001032B1" w:rsidRDefault="001032B1" w:rsidP="005923F7">
      <w:pPr>
        <w:rPr>
          <w:lang w:eastAsia="en-AU"/>
        </w:rPr>
      </w:pPr>
      <w:r>
        <w:rPr>
          <w:lang w:eastAsia="en-AU"/>
        </w:rPr>
        <w:t xml:space="preserve">However, a number of interviewees did use public </w:t>
      </w:r>
      <w:r w:rsidR="00FD3792">
        <w:rPr>
          <w:lang w:eastAsia="en-AU"/>
        </w:rPr>
        <w:t>WiFi</w:t>
      </w:r>
      <w:r>
        <w:rPr>
          <w:lang w:eastAsia="en-AU"/>
        </w:rPr>
        <w:t>, and w</w:t>
      </w:r>
      <w:r w:rsidR="00830ECF">
        <w:rPr>
          <w:lang w:eastAsia="en-AU"/>
        </w:rPr>
        <w:t xml:space="preserve">hile a couple of </w:t>
      </w:r>
      <w:r>
        <w:rPr>
          <w:lang w:eastAsia="en-AU"/>
        </w:rPr>
        <w:t xml:space="preserve">those people said </w:t>
      </w:r>
      <w:r w:rsidR="00830ECF">
        <w:rPr>
          <w:lang w:eastAsia="en-AU"/>
        </w:rPr>
        <w:t xml:space="preserve">they </w:t>
      </w:r>
      <w:r w:rsidR="007A2E40">
        <w:rPr>
          <w:lang w:eastAsia="en-AU"/>
        </w:rPr>
        <w:t xml:space="preserve">specifically </w:t>
      </w:r>
      <w:r w:rsidR="00830ECF">
        <w:rPr>
          <w:lang w:eastAsia="en-AU"/>
        </w:rPr>
        <w:t xml:space="preserve">used </w:t>
      </w:r>
      <w:r>
        <w:rPr>
          <w:lang w:eastAsia="en-AU"/>
        </w:rPr>
        <w:t>it</w:t>
      </w:r>
      <w:r w:rsidR="00830ECF">
        <w:rPr>
          <w:lang w:eastAsia="en-AU"/>
        </w:rPr>
        <w:t xml:space="preserve"> when they were out of credit, most of </w:t>
      </w:r>
      <w:r w:rsidR="00280F0C">
        <w:rPr>
          <w:lang w:eastAsia="en-AU"/>
        </w:rPr>
        <w:t>those who use</w:t>
      </w:r>
      <w:r>
        <w:rPr>
          <w:lang w:eastAsia="en-AU"/>
        </w:rPr>
        <w:t>d</w:t>
      </w:r>
      <w:r w:rsidR="00280F0C">
        <w:rPr>
          <w:lang w:eastAsia="en-AU"/>
        </w:rPr>
        <w:t xml:space="preserve"> </w:t>
      </w:r>
      <w:r w:rsidR="00830ECF">
        <w:rPr>
          <w:lang w:eastAsia="en-AU"/>
        </w:rPr>
        <w:t xml:space="preserve">public </w:t>
      </w:r>
      <w:r w:rsidR="00FD3792">
        <w:rPr>
          <w:lang w:eastAsia="en-AU"/>
        </w:rPr>
        <w:t>WiFi</w:t>
      </w:r>
      <w:r w:rsidR="00B66DE9">
        <w:rPr>
          <w:lang w:eastAsia="en-AU"/>
        </w:rPr>
        <w:t xml:space="preserve"> </w:t>
      </w:r>
      <w:r w:rsidR="00280F0C">
        <w:rPr>
          <w:lang w:eastAsia="en-AU"/>
        </w:rPr>
        <w:t>said that it was just because it was convenient</w:t>
      </w:r>
      <w:r>
        <w:rPr>
          <w:lang w:eastAsia="en-AU"/>
        </w:rPr>
        <w:t>:</w:t>
      </w:r>
    </w:p>
    <w:p w14:paraId="4C038D0C" w14:textId="7BA8F6B4" w:rsidR="00282795" w:rsidRDefault="001032B1" w:rsidP="001032B1">
      <w:pPr>
        <w:ind w:left="720"/>
        <w:rPr>
          <w:lang w:eastAsia="en-AU"/>
        </w:rPr>
      </w:pPr>
      <w:r>
        <w:t xml:space="preserve">I have been known to go out if I need to use </w:t>
      </w:r>
      <w:r w:rsidR="00FD3792">
        <w:t>WiFi</w:t>
      </w:r>
      <w:r>
        <w:t>, but mostly it's just that I'm out and about doing shopping or doing stuff with the kids anyway. And then just hook into whatever's there like cafes or places like Macca's or wherever.</w:t>
      </w:r>
      <w:r w:rsidR="00280F0C">
        <w:rPr>
          <w:lang w:eastAsia="en-AU"/>
        </w:rPr>
        <w:t xml:space="preserve"> </w:t>
      </w:r>
      <w:r w:rsidR="0007007E">
        <w:rPr>
          <w:lang w:eastAsia="en-AU"/>
        </w:rPr>
        <w:t>[Barbara]</w:t>
      </w:r>
    </w:p>
    <w:p w14:paraId="3E53CD82" w14:textId="4D0B52EB" w:rsidR="00540C41" w:rsidRDefault="009D38ED" w:rsidP="005923F7">
      <w:pPr>
        <w:rPr>
          <w:lang w:eastAsia="en-AU"/>
        </w:rPr>
      </w:pPr>
      <w:r>
        <w:rPr>
          <w:lang w:eastAsia="en-AU"/>
        </w:rPr>
        <w:t xml:space="preserve">It is important to note though that most of the interviewees, when asked about public </w:t>
      </w:r>
      <w:r w:rsidR="00FD3792">
        <w:rPr>
          <w:lang w:eastAsia="en-AU"/>
        </w:rPr>
        <w:t>WiFi</w:t>
      </w:r>
      <w:r w:rsidR="00B66DE9">
        <w:rPr>
          <w:lang w:eastAsia="en-AU"/>
        </w:rPr>
        <w:t>,</w:t>
      </w:r>
      <w:r>
        <w:rPr>
          <w:lang w:eastAsia="en-AU"/>
        </w:rPr>
        <w:t xml:space="preserve"> talked initially about corporate sources – accessing it at McDonalds or Westfield being the two most often cited sources. When the Canberra residents were asked about the </w:t>
      </w:r>
      <w:r w:rsidR="001032B1">
        <w:rPr>
          <w:lang w:eastAsia="en-AU"/>
        </w:rPr>
        <w:t xml:space="preserve">government-provided </w:t>
      </w:r>
      <w:r>
        <w:rPr>
          <w:lang w:eastAsia="en-AU"/>
        </w:rPr>
        <w:t xml:space="preserve">Canberra Free </w:t>
      </w:r>
      <w:r w:rsidR="00FD3792">
        <w:rPr>
          <w:lang w:eastAsia="en-AU"/>
        </w:rPr>
        <w:t>WiFi</w:t>
      </w:r>
      <w:r>
        <w:rPr>
          <w:lang w:eastAsia="en-AU"/>
        </w:rPr>
        <w:t xml:space="preserve">, some had not used it, but those who had seemed to find it more reliable than their other experiences of “public” </w:t>
      </w:r>
      <w:r w:rsidR="00FD3792">
        <w:rPr>
          <w:lang w:eastAsia="en-AU"/>
        </w:rPr>
        <w:t>WiFi</w:t>
      </w:r>
      <w:r>
        <w:rPr>
          <w:lang w:eastAsia="en-AU"/>
        </w:rPr>
        <w:t>.</w:t>
      </w:r>
      <w:r w:rsidR="00420440">
        <w:rPr>
          <w:lang w:eastAsia="en-AU"/>
        </w:rPr>
        <w:t xml:space="preserve"> </w:t>
      </w:r>
      <w:r w:rsidR="00F6489B">
        <w:rPr>
          <w:lang w:eastAsia="en-AU"/>
        </w:rPr>
        <w:t>However, it was not available in outer suburbs where many waged poor households were located, and even when it was available</w:t>
      </w:r>
      <w:r w:rsidR="001032B1">
        <w:rPr>
          <w:lang w:eastAsia="en-AU"/>
        </w:rPr>
        <w:t xml:space="preserve"> </w:t>
      </w:r>
      <w:r w:rsidR="00F6489B">
        <w:rPr>
          <w:lang w:eastAsia="en-AU"/>
        </w:rPr>
        <w:t>it</w:t>
      </w:r>
      <w:r w:rsidR="001032B1">
        <w:rPr>
          <w:lang w:eastAsia="en-AU"/>
        </w:rPr>
        <w:t xml:space="preserve"> was not necessarily well-known or used. As </w:t>
      </w:r>
      <w:r w:rsidR="0007007E">
        <w:rPr>
          <w:lang w:eastAsia="en-AU"/>
        </w:rPr>
        <w:t xml:space="preserve">Alison </w:t>
      </w:r>
      <w:r w:rsidR="001032B1">
        <w:rPr>
          <w:lang w:eastAsia="en-AU"/>
        </w:rPr>
        <w:t>noted from her work experience:</w:t>
      </w:r>
    </w:p>
    <w:p w14:paraId="402DF300" w14:textId="20A808B0" w:rsidR="00540C41" w:rsidRDefault="001032B1" w:rsidP="001032B1">
      <w:pPr>
        <w:spacing w:before="80"/>
        <w:ind w:left="720"/>
        <w:rPr>
          <w:rFonts w:cs="Calibri"/>
          <w:color w:val="000000"/>
        </w:rPr>
      </w:pPr>
      <w:r>
        <w:rPr>
          <w:rFonts w:cs="Calibri"/>
          <w:color w:val="000000"/>
        </w:rPr>
        <w:t>A lot of my customers at work … come into the shop to print something</w:t>
      </w:r>
      <w:r w:rsidR="001700D3">
        <w:rPr>
          <w:rFonts w:cs="Calibri"/>
          <w:color w:val="000000"/>
        </w:rPr>
        <w:t>. T</w:t>
      </w:r>
      <w:r>
        <w:rPr>
          <w:rFonts w:cs="Calibri"/>
          <w:color w:val="000000"/>
        </w:rPr>
        <w:t xml:space="preserve">hey can email it to me and quite often I get them on to the public </w:t>
      </w:r>
      <w:r w:rsidR="00FD3792">
        <w:rPr>
          <w:rFonts w:cs="Calibri"/>
          <w:color w:val="000000"/>
        </w:rPr>
        <w:t>WiFi</w:t>
      </w:r>
      <w:r>
        <w:rPr>
          <w:rFonts w:cs="Calibri"/>
          <w:color w:val="000000"/>
        </w:rPr>
        <w:t xml:space="preserve"> … </w:t>
      </w:r>
      <w:r w:rsidR="00540C41">
        <w:rPr>
          <w:rFonts w:cs="Calibri"/>
          <w:color w:val="000000"/>
        </w:rPr>
        <w:t>though</w:t>
      </w:r>
      <w:r w:rsidR="001700D3">
        <w:rPr>
          <w:rFonts w:cs="Calibri"/>
          <w:color w:val="000000"/>
        </w:rPr>
        <w:t xml:space="preserve"> they</w:t>
      </w:r>
      <w:r w:rsidR="00540C41">
        <w:rPr>
          <w:rFonts w:cs="Calibri"/>
          <w:color w:val="000000"/>
        </w:rPr>
        <w:t xml:space="preserve"> don't know about it. Like th</w:t>
      </w:r>
      <w:r w:rsidR="001700D3">
        <w:rPr>
          <w:rFonts w:cs="Calibri"/>
          <w:color w:val="000000"/>
        </w:rPr>
        <w:t>ere’s</w:t>
      </w:r>
      <w:r w:rsidR="00540C41">
        <w:rPr>
          <w:rFonts w:cs="Calibri"/>
          <w:color w:val="000000"/>
        </w:rPr>
        <w:t xml:space="preserve"> literally a big sign outside shop saying free </w:t>
      </w:r>
      <w:r w:rsidR="00FD3792">
        <w:rPr>
          <w:rFonts w:cs="Calibri"/>
          <w:color w:val="000000"/>
        </w:rPr>
        <w:t>WiFi</w:t>
      </w:r>
      <w:r w:rsidR="00540C41">
        <w:rPr>
          <w:rFonts w:cs="Calibri"/>
          <w:color w:val="000000"/>
        </w:rPr>
        <w:t xml:space="preserve"> in this area </w:t>
      </w:r>
      <w:r w:rsidR="001700D3">
        <w:rPr>
          <w:rFonts w:cs="Calibri"/>
          <w:color w:val="000000"/>
        </w:rPr>
        <w:t>and</w:t>
      </w:r>
      <w:r w:rsidR="00540C41">
        <w:rPr>
          <w:rFonts w:cs="Calibri"/>
          <w:color w:val="000000"/>
        </w:rPr>
        <w:t xml:space="preserve"> nobody notices it or understand</w:t>
      </w:r>
      <w:r w:rsidR="001700D3">
        <w:rPr>
          <w:rFonts w:cs="Calibri"/>
          <w:color w:val="000000"/>
        </w:rPr>
        <w:t>s</w:t>
      </w:r>
      <w:r w:rsidR="00540C41">
        <w:rPr>
          <w:rFonts w:cs="Calibri"/>
          <w:color w:val="000000"/>
        </w:rPr>
        <w:t xml:space="preserve"> it. </w:t>
      </w:r>
      <w:r w:rsidR="001700D3">
        <w:rPr>
          <w:rFonts w:cs="Calibri"/>
          <w:color w:val="000000"/>
        </w:rPr>
        <w:t>But [then]</w:t>
      </w:r>
      <w:r w:rsidR="00540C41">
        <w:rPr>
          <w:rFonts w:cs="Calibri"/>
          <w:color w:val="000000"/>
        </w:rPr>
        <w:t xml:space="preserve"> they love it.</w:t>
      </w:r>
    </w:p>
    <w:p w14:paraId="65BE8D1A" w14:textId="45520F6A" w:rsidR="00540C41" w:rsidRDefault="001700D3" w:rsidP="001700D3">
      <w:pPr>
        <w:rPr>
          <w:rFonts w:cs="Calibri"/>
          <w:color w:val="000000"/>
        </w:rPr>
      </w:pPr>
      <w:r>
        <w:rPr>
          <w:rFonts w:cs="Calibri"/>
          <w:color w:val="000000"/>
        </w:rPr>
        <w:t xml:space="preserve">The difference between “public </w:t>
      </w:r>
      <w:r w:rsidR="00FD3792">
        <w:rPr>
          <w:rFonts w:cs="Calibri"/>
          <w:color w:val="000000"/>
        </w:rPr>
        <w:t>WiFi</w:t>
      </w:r>
      <w:r>
        <w:rPr>
          <w:rFonts w:cs="Calibri"/>
          <w:color w:val="000000"/>
        </w:rPr>
        <w:t xml:space="preserve">” provided by commercial users and free public </w:t>
      </w:r>
      <w:r w:rsidR="00FD3792">
        <w:rPr>
          <w:rFonts w:cs="Calibri"/>
          <w:color w:val="000000"/>
        </w:rPr>
        <w:t>WiFi</w:t>
      </w:r>
      <w:r>
        <w:rPr>
          <w:rFonts w:cs="Calibri"/>
          <w:color w:val="000000"/>
        </w:rPr>
        <w:t xml:space="preserve"> provided by purpose-built government networks or public libraries may be crucial in policy terms. On the basis of the feedback above, greater provision of public </w:t>
      </w:r>
      <w:r w:rsidR="00FD3792">
        <w:rPr>
          <w:rFonts w:cs="Calibri"/>
          <w:color w:val="000000"/>
        </w:rPr>
        <w:t>WiFi</w:t>
      </w:r>
      <w:r>
        <w:rPr>
          <w:rFonts w:cs="Calibri"/>
          <w:color w:val="000000"/>
        </w:rPr>
        <w:t xml:space="preserve"> may not provide much assistance to those needing low cost internet access – </w:t>
      </w:r>
      <w:r w:rsidR="007C59F6">
        <w:rPr>
          <w:rFonts w:cs="Calibri"/>
          <w:color w:val="000000"/>
        </w:rPr>
        <w:t xml:space="preserve">because they won’t use it. However, </w:t>
      </w:r>
      <w:r>
        <w:rPr>
          <w:rFonts w:cs="Calibri"/>
          <w:color w:val="000000"/>
        </w:rPr>
        <w:t xml:space="preserve">much of this reluctance to use these systems is based on the performance and security concerns in relation to commercial networks. They are not reasons for government not to provide genuinely free public </w:t>
      </w:r>
      <w:r w:rsidR="00FD3792">
        <w:rPr>
          <w:rFonts w:cs="Calibri"/>
          <w:color w:val="000000"/>
        </w:rPr>
        <w:t>WiFi</w:t>
      </w:r>
      <w:r>
        <w:rPr>
          <w:rFonts w:cs="Calibri"/>
          <w:color w:val="000000"/>
        </w:rPr>
        <w:t xml:space="preserve"> (provided the government public network is itself reliable and secure</w:t>
      </w:r>
      <w:r w:rsidR="00602595">
        <w:rPr>
          <w:rFonts w:cs="Calibri"/>
          <w:color w:val="000000"/>
        </w:rPr>
        <w:t xml:space="preserve"> – and well publicised</w:t>
      </w:r>
      <w:r>
        <w:rPr>
          <w:rFonts w:cs="Calibri"/>
          <w:color w:val="000000"/>
        </w:rPr>
        <w:t>).</w:t>
      </w:r>
      <w:r w:rsidR="00420440">
        <w:rPr>
          <w:rFonts w:cs="Calibri"/>
          <w:color w:val="000000"/>
        </w:rPr>
        <w:t xml:space="preserve"> In this context it was notable that a number of respondents reported using hospital and university </w:t>
      </w:r>
      <w:r w:rsidR="00FD3792">
        <w:rPr>
          <w:rFonts w:cs="Calibri"/>
          <w:color w:val="000000"/>
        </w:rPr>
        <w:t>WiFi</w:t>
      </w:r>
      <w:r w:rsidR="00420440">
        <w:rPr>
          <w:rFonts w:cs="Calibri"/>
          <w:color w:val="000000"/>
        </w:rPr>
        <w:t xml:space="preserve">, which suggests there is a market for reliable public </w:t>
      </w:r>
      <w:r w:rsidR="00FD3792">
        <w:rPr>
          <w:rFonts w:cs="Calibri"/>
          <w:color w:val="000000"/>
        </w:rPr>
        <w:t>WiFi</w:t>
      </w:r>
      <w:r w:rsidR="00420440">
        <w:rPr>
          <w:rFonts w:cs="Calibri"/>
          <w:color w:val="000000"/>
        </w:rPr>
        <w:t>.</w:t>
      </w:r>
    </w:p>
    <w:p w14:paraId="490794C2" w14:textId="77777777" w:rsidR="00187C0C" w:rsidRDefault="00187C0C" w:rsidP="00187C0C">
      <w:pPr>
        <w:spacing w:before="80"/>
        <w:rPr>
          <w:rFonts w:cs="Calibri"/>
          <w:b/>
          <w:bCs/>
          <w:color w:val="000000"/>
          <w:szCs w:val="24"/>
        </w:rPr>
      </w:pPr>
      <w:r>
        <w:rPr>
          <w:rFonts w:cs="Calibri"/>
          <w:b/>
          <w:bCs/>
          <w:color w:val="000000"/>
          <w:szCs w:val="24"/>
        </w:rPr>
        <w:t>Recommendation 2</w:t>
      </w:r>
    </w:p>
    <w:p w14:paraId="42E2B63C" w14:textId="6B5AE1DB" w:rsidR="00187C0C" w:rsidRPr="00187C0C" w:rsidRDefault="00187C0C" w:rsidP="00187C0C">
      <w:pPr>
        <w:spacing w:before="80"/>
        <w:rPr>
          <w:rFonts w:cs="Calibri"/>
          <w:b/>
          <w:bCs/>
          <w:i/>
          <w:iCs/>
          <w:color w:val="000000"/>
          <w:szCs w:val="24"/>
        </w:rPr>
      </w:pPr>
      <w:r>
        <w:rPr>
          <w:rFonts w:cs="Calibri"/>
          <w:b/>
          <w:bCs/>
          <w:i/>
          <w:iCs/>
          <w:color w:val="000000"/>
          <w:szCs w:val="24"/>
        </w:rPr>
        <w:t xml:space="preserve">That state and local governments provide greater access to fast, reliable public </w:t>
      </w:r>
      <w:r w:rsidR="00FD3792">
        <w:rPr>
          <w:rFonts w:cs="Calibri"/>
          <w:b/>
          <w:bCs/>
          <w:i/>
          <w:iCs/>
          <w:color w:val="000000"/>
          <w:szCs w:val="24"/>
        </w:rPr>
        <w:t>WiFi</w:t>
      </w:r>
      <w:r>
        <w:rPr>
          <w:rFonts w:cs="Calibri"/>
          <w:b/>
          <w:bCs/>
          <w:i/>
          <w:iCs/>
          <w:color w:val="000000"/>
          <w:szCs w:val="24"/>
        </w:rPr>
        <w:t xml:space="preserve"> </w:t>
      </w:r>
      <w:r w:rsidR="00F6489B">
        <w:rPr>
          <w:rFonts w:cs="Calibri"/>
          <w:b/>
          <w:bCs/>
          <w:i/>
          <w:iCs/>
          <w:color w:val="000000"/>
          <w:szCs w:val="24"/>
        </w:rPr>
        <w:t xml:space="preserve">– particularly in disadvantaged areas, </w:t>
      </w:r>
      <w:r>
        <w:rPr>
          <w:rFonts w:cs="Calibri"/>
          <w:b/>
          <w:bCs/>
          <w:i/>
          <w:iCs/>
          <w:color w:val="000000"/>
          <w:szCs w:val="24"/>
        </w:rPr>
        <w:t xml:space="preserve">and advertise it in a way that distinguishes it from commercial networks. </w:t>
      </w:r>
    </w:p>
    <w:p w14:paraId="46CBF2AB" w14:textId="5F600673" w:rsidR="00364E06" w:rsidRDefault="001700D3" w:rsidP="005923F7">
      <w:pPr>
        <w:rPr>
          <w:lang w:eastAsia="en-AU"/>
        </w:rPr>
      </w:pPr>
      <w:r>
        <w:rPr>
          <w:lang w:eastAsia="en-AU"/>
        </w:rPr>
        <w:t>Related</w:t>
      </w:r>
      <w:r w:rsidR="00097E8D">
        <w:rPr>
          <w:lang w:eastAsia="en-AU"/>
        </w:rPr>
        <w:t xml:space="preserve"> to this recommendation,</w:t>
      </w:r>
      <w:r w:rsidR="008015A5">
        <w:rPr>
          <w:lang w:eastAsia="en-AU"/>
        </w:rPr>
        <w:t xml:space="preserve"> </w:t>
      </w:r>
      <w:r w:rsidR="00C9746D">
        <w:rPr>
          <w:lang w:eastAsia="en-AU"/>
        </w:rPr>
        <w:t xml:space="preserve">it is worth noting </w:t>
      </w:r>
      <w:r w:rsidR="009D38ED">
        <w:rPr>
          <w:lang w:eastAsia="en-AU"/>
        </w:rPr>
        <w:t>the role of public li</w:t>
      </w:r>
      <w:r w:rsidR="00C9746D">
        <w:rPr>
          <w:lang w:eastAsia="en-AU"/>
        </w:rPr>
        <w:t xml:space="preserve">braries. </w:t>
      </w:r>
      <w:r w:rsidR="00364E06">
        <w:rPr>
          <w:lang w:eastAsia="en-AU"/>
        </w:rPr>
        <w:t xml:space="preserve">Several interviewees referred to using public </w:t>
      </w:r>
      <w:r w:rsidR="00FD3792">
        <w:rPr>
          <w:lang w:eastAsia="en-AU"/>
        </w:rPr>
        <w:t>WiFi</w:t>
      </w:r>
      <w:r w:rsidR="00364E06">
        <w:rPr>
          <w:lang w:eastAsia="en-AU"/>
        </w:rPr>
        <w:t xml:space="preserve"> at libraries, and </w:t>
      </w:r>
      <w:r w:rsidR="00C9746D">
        <w:rPr>
          <w:lang w:eastAsia="en-AU"/>
        </w:rPr>
        <w:t xml:space="preserve">9% of survey respondents listed public libraries as one of the top three places they access </w:t>
      </w:r>
      <w:r w:rsidR="00FD3792">
        <w:rPr>
          <w:lang w:eastAsia="en-AU"/>
        </w:rPr>
        <w:t>WiFi</w:t>
      </w:r>
      <w:r w:rsidR="00364E06">
        <w:rPr>
          <w:lang w:eastAsia="en-AU"/>
        </w:rPr>
        <w:t>. This 9%</w:t>
      </w:r>
      <w:r w:rsidR="00C9746D">
        <w:rPr>
          <w:lang w:eastAsia="en-AU"/>
        </w:rPr>
        <w:t xml:space="preserve"> was slightly </w:t>
      </w:r>
      <w:r w:rsidR="00364E06">
        <w:rPr>
          <w:lang w:eastAsia="en-AU"/>
        </w:rPr>
        <w:t>higher</w:t>
      </w:r>
      <w:r w:rsidR="00C9746D">
        <w:rPr>
          <w:lang w:eastAsia="en-AU"/>
        </w:rPr>
        <w:t xml:space="preserve"> than the 2016 survey of Centrelink recipients and broadly in line with the 14% of low income respondents who reported using </w:t>
      </w:r>
      <w:r w:rsidR="00734968">
        <w:rPr>
          <w:lang w:eastAsia="en-AU"/>
        </w:rPr>
        <w:t>“</w:t>
      </w:r>
      <w:r w:rsidR="00C9746D">
        <w:rPr>
          <w:lang w:eastAsia="en-AU"/>
        </w:rPr>
        <w:t>public libraries and internet cafes</w:t>
      </w:r>
      <w:r w:rsidR="00734968">
        <w:rPr>
          <w:lang w:eastAsia="en-AU"/>
        </w:rPr>
        <w:t>”</w:t>
      </w:r>
      <w:r w:rsidR="00C9746D">
        <w:rPr>
          <w:lang w:eastAsia="en-AU"/>
        </w:rPr>
        <w:t xml:space="preserve"> in the NCOSS survey</w:t>
      </w:r>
      <w:r w:rsidR="00424899">
        <w:rPr>
          <w:lang w:eastAsia="en-AU"/>
        </w:rPr>
        <w:t xml:space="preserve"> </w:t>
      </w:r>
      <w:r w:rsidR="00424899">
        <w:rPr>
          <w:lang w:eastAsia="en-AU"/>
        </w:rPr>
        <w:fldChar w:fldCharType="begin"/>
      </w:r>
      <w:r w:rsidR="00424899">
        <w:rPr>
          <w:lang w:eastAsia="en-AU"/>
        </w:rPr>
        <w:instrText xml:space="preserve"> ADDIN ZOTERO_ITEM CSL_CITATION {"citationID":"XeLrFXJa","properties":{"formattedCitation":"(NCOSS, 2019)","plainCitation":"(NCOSS, 2019)","noteIndex":0},"citationItems":[{"id":89,"uris":["http://zotero.org/groups/2380274/items/SN6GL6JE"],"uri":["http://zotero.org/groups/2380274/items/SN6GL6JE"],"itemData":{"id":89,"type":"report","publisher":"NSW Council of Social Service","title":"The Cost of Staying Connected: Telecommunications Findings from the 2019 Cost of Living in NSW Survey","URL":"https://www.ncoss.org.au/sites/default/files/public/policy/AB%20Telecommunications%20CoLiN%20results%20final.pdf","author":[{"family":"NCOSS","given":""}],"issued":{"date-parts":[["2019"]]}}}],"schema":"https://github.com/citation-style-language/schema/raw/master/csl-citation.json"} </w:instrText>
      </w:r>
      <w:r w:rsidR="00424899">
        <w:rPr>
          <w:lang w:eastAsia="en-AU"/>
        </w:rPr>
        <w:fldChar w:fldCharType="separate"/>
      </w:r>
      <w:r w:rsidR="00424899" w:rsidRPr="00424899">
        <w:rPr>
          <w:rFonts w:cs="Calibri"/>
        </w:rPr>
        <w:t>(NCOSS, 2019)</w:t>
      </w:r>
      <w:r w:rsidR="00424899">
        <w:rPr>
          <w:lang w:eastAsia="en-AU"/>
        </w:rPr>
        <w:fldChar w:fldCharType="end"/>
      </w:r>
      <w:r w:rsidR="00C9746D">
        <w:rPr>
          <w:lang w:eastAsia="en-AU"/>
        </w:rPr>
        <w:t xml:space="preserve">. </w:t>
      </w:r>
    </w:p>
    <w:p w14:paraId="48CBE2C7" w14:textId="2FF6D40F" w:rsidR="00604E3E" w:rsidRDefault="00C9746D" w:rsidP="005923F7">
      <w:pPr>
        <w:rPr>
          <w:lang w:eastAsia="en-AU"/>
        </w:rPr>
      </w:pPr>
      <w:r>
        <w:rPr>
          <w:lang w:eastAsia="en-AU"/>
        </w:rPr>
        <w:lastRenderedPageBreak/>
        <w:t xml:space="preserve">While having around 10% of households in poverty using public libraries as a way of accessing the internet is significant enough, public libraries have a greater role than simply </w:t>
      </w:r>
      <w:r w:rsidR="009B0238">
        <w:rPr>
          <w:lang w:eastAsia="en-AU"/>
        </w:rPr>
        <w:t xml:space="preserve">provision of </w:t>
      </w:r>
      <w:r>
        <w:rPr>
          <w:lang w:eastAsia="en-AU"/>
        </w:rPr>
        <w:t xml:space="preserve">accessible </w:t>
      </w:r>
      <w:r w:rsidR="00FD3792">
        <w:rPr>
          <w:lang w:eastAsia="en-AU"/>
        </w:rPr>
        <w:t>WiFi</w:t>
      </w:r>
      <w:r w:rsidR="009B0238">
        <w:rPr>
          <w:lang w:eastAsia="en-AU"/>
        </w:rPr>
        <w:t>. Libraries</w:t>
      </w:r>
      <w:r>
        <w:rPr>
          <w:lang w:eastAsia="en-AU"/>
        </w:rPr>
        <w:t xml:space="preserve"> also provide access to hardware</w:t>
      </w:r>
      <w:r w:rsidR="009B0238">
        <w:rPr>
          <w:lang w:eastAsia="en-AU"/>
        </w:rPr>
        <w:t xml:space="preserve"> (and help from staff) which is important</w:t>
      </w:r>
      <w:r>
        <w:rPr>
          <w:lang w:eastAsia="en-AU"/>
        </w:rPr>
        <w:t xml:space="preserve">. </w:t>
      </w:r>
    </w:p>
    <w:p w14:paraId="53A7945E" w14:textId="1DC20C5A" w:rsidR="009B0238" w:rsidRDefault="00706AD6" w:rsidP="00706AD6">
      <w:pPr>
        <w:spacing w:before="80"/>
        <w:ind w:left="720"/>
        <w:rPr>
          <w:rFonts w:cs="Calibri"/>
          <w:color w:val="000000"/>
        </w:rPr>
      </w:pPr>
      <w:r>
        <w:rPr>
          <w:rFonts w:cs="Calibri"/>
          <w:color w:val="000000"/>
        </w:rPr>
        <w:t>I do use free internet [elsewhere], but I don't have the equipment there, whereas in the library there's a desktop there</w:t>
      </w:r>
      <w:r w:rsidR="00936712">
        <w:rPr>
          <w:rFonts w:cs="Calibri"/>
          <w:color w:val="000000"/>
        </w:rPr>
        <w:t xml:space="preserve"> … [and] I do printing there</w:t>
      </w:r>
      <w:r w:rsidR="00F3429B">
        <w:rPr>
          <w:rFonts w:cs="Calibri"/>
          <w:color w:val="000000"/>
        </w:rPr>
        <w:t>, l</w:t>
      </w:r>
      <w:r w:rsidR="00734968">
        <w:rPr>
          <w:rFonts w:cs="Calibri"/>
          <w:color w:val="000000"/>
        </w:rPr>
        <w:t>i</w:t>
      </w:r>
      <w:r w:rsidR="00BD6BA4">
        <w:rPr>
          <w:rFonts w:cs="Calibri"/>
          <w:color w:val="000000"/>
        </w:rPr>
        <w:t xml:space="preserve">ke </w:t>
      </w:r>
      <w:r w:rsidR="009B0238">
        <w:rPr>
          <w:rFonts w:cs="Calibri"/>
          <w:color w:val="000000"/>
        </w:rPr>
        <w:t xml:space="preserve">when I have to type my resume or </w:t>
      </w:r>
      <w:r w:rsidR="00BD6BA4">
        <w:rPr>
          <w:rFonts w:cs="Calibri"/>
          <w:color w:val="000000"/>
        </w:rPr>
        <w:t xml:space="preserve">send </w:t>
      </w:r>
      <w:r w:rsidR="009B0238">
        <w:rPr>
          <w:rFonts w:cs="Calibri"/>
          <w:color w:val="000000"/>
        </w:rPr>
        <w:t>something</w:t>
      </w:r>
      <w:r w:rsidR="00F3429B">
        <w:rPr>
          <w:rFonts w:cs="Calibri"/>
          <w:color w:val="000000"/>
        </w:rPr>
        <w:t>.</w:t>
      </w:r>
      <w:r w:rsidR="009B0238">
        <w:rPr>
          <w:rFonts w:cs="Calibri"/>
          <w:color w:val="000000"/>
        </w:rPr>
        <w:t xml:space="preserve"> </w:t>
      </w:r>
      <w:r w:rsidR="00540C41">
        <w:rPr>
          <w:rFonts w:cs="Calibri"/>
          <w:color w:val="000000"/>
        </w:rPr>
        <w:t>…</w:t>
      </w:r>
      <w:r w:rsidR="009B0238">
        <w:rPr>
          <w:rFonts w:cs="Calibri"/>
          <w:color w:val="000000"/>
        </w:rPr>
        <w:t xml:space="preserve"> And I found that the library services were really, really good and handy … the library staff is usually excellent</w:t>
      </w:r>
      <w:r w:rsidR="00893511">
        <w:rPr>
          <w:rFonts w:cs="Calibri"/>
          <w:color w:val="000000"/>
        </w:rPr>
        <w:t>, very helpful</w:t>
      </w:r>
      <w:r w:rsidR="009B0238">
        <w:rPr>
          <w:rFonts w:cs="Calibri"/>
          <w:color w:val="000000"/>
        </w:rPr>
        <w:t xml:space="preserve">. </w:t>
      </w:r>
      <w:r w:rsidR="007C59F6">
        <w:rPr>
          <w:rFonts w:cs="Calibri"/>
          <w:color w:val="000000"/>
        </w:rPr>
        <w:t>[</w:t>
      </w:r>
      <w:r w:rsidR="0007007E">
        <w:rPr>
          <w:rFonts w:cs="Calibri"/>
          <w:color w:val="000000"/>
        </w:rPr>
        <w:t>Anne</w:t>
      </w:r>
      <w:r w:rsidR="007C59F6">
        <w:rPr>
          <w:rFonts w:cs="Calibri"/>
          <w:color w:val="000000"/>
        </w:rPr>
        <w:t>]</w:t>
      </w:r>
    </w:p>
    <w:p w14:paraId="4133643C" w14:textId="7EE56A74" w:rsidR="007C59F6" w:rsidRDefault="00025DBF" w:rsidP="00830ECF">
      <w:pPr>
        <w:spacing w:before="80"/>
        <w:rPr>
          <w:rFonts w:cs="Calibri"/>
          <w:color w:val="000000"/>
          <w:szCs w:val="24"/>
        </w:rPr>
      </w:pPr>
      <w:r>
        <w:rPr>
          <w:rFonts w:cs="Calibri"/>
          <w:color w:val="000000"/>
          <w:szCs w:val="24"/>
        </w:rPr>
        <w:t>Abbey</w:t>
      </w:r>
      <w:r w:rsidR="007C59F6">
        <w:rPr>
          <w:rFonts w:cs="Calibri"/>
          <w:color w:val="000000"/>
          <w:szCs w:val="24"/>
        </w:rPr>
        <w:t xml:space="preserve"> reported the same provision of computer access in</w:t>
      </w:r>
      <w:r w:rsidR="00257A42">
        <w:rPr>
          <w:rFonts w:cs="Calibri"/>
          <w:color w:val="000000"/>
          <w:szCs w:val="24"/>
        </w:rPr>
        <w:t xml:space="preserve"> the Salisbury Community Hub (</w:t>
      </w:r>
      <w:r w:rsidR="007C59F6">
        <w:rPr>
          <w:rFonts w:cs="Calibri"/>
          <w:color w:val="000000"/>
          <w:szCs w:val="24"/>
        </w:rPr>
        <w:t>an Adelaide Community Centre)</w:t>
      </w:r>
      <w:r w:rsidR="00364E06">
        <w:rPr>
          <w:rFonts w:cs="Calibri"/>
          <w:color w:val="000000"/>
          <w:szCs w:val="24"/>
        </w:rPr>
        <w:t xml:space="preserve"> and saw this as a </w:t>
      </w:r>
      <w:r w:rsidR="00893511">
        <w:rPr>
          <w:rFonts w:cs="Calibri"/>
          <w:color w:val="000000"/>
          <w:szCs w:val="24"/>
        </w:rPr>
        <w:t>valuable</w:t>
      </w:r>
      <w:r w:rsidR="00364E06">
        <w:rPr>
          <w:rFonts w:cs="Calibri"/>
          <w:color w:val="000000"/>
          <w:szCs w:val="24"/>
        </w:rPr>
        <w:t xml:space="preserve"> public service</w:t>
      </w:r>
      <w:r w:rsidR="00640865">
        <w:rPr>
          <w:rFonts w:cs="Calibri"/>
          <w:color w:val="000000"/>
          <w:szCs w:val="24"/>
        </w:rPr>
        <w:t>, but another interviewee was surprised to learn during the interview that public libraries were a source of internet connection and advice.</w:t>
      </w:r>
    </w:p>
    <w:p w14:paraId="338134D6" w14:textId="3B167A04" w:rsidR="00830ECF" w:rsidRDefault="00893511" w:rsidP="00830ECF">
      <w:pPr>
        <w:spacing w:before="80"/>
        <w:rPr>
          <w:lang w:eastAsia="en-AU"/>
        </w:rPr>
      </w:pPr>
      <w:r>
        <w:rPr>
          <w:rFonts w:cs="Calibri"/>
          <w:color w:val="000000"/>
          <w:szCs w:val="24"/>
        </w:rPr>
        <w:t>In thinking about public access to telecommunications</w:t>
      </w:r>
      <w:r w:rsidR="00734968">
        <w:rPr>
          <w:rFonts w:cs="Calibri"/>
          <w:color w:val="000000"/>
          <w:szCs w:val="24"/>
        </w:rPr>
        <w:t>,</w:t>
      </w:r>
      <w:r>
        <w:rPr>
          <w:rFonts w:cs="Calibri"/>
          <w:color w:val="000000"/>
          <w:szCs w:val="24"/>
        </w:rPr>
        <w:t xml:space="preserve"> t</w:t>
      </w:r>
      <w:r w:rsidR="00257A42">
        <w:rPr>
          <w:rFonts w:cs="Calibri"/>
          <w:color w:val="000000"/>
          <w:szCs w:val="24"/>
        </w:rPr>
        <w:t>h</w:t>
      </w:r>
      <w:r w:rsidR="007C59F6">
        <w:rPr>
          <w:rFonts w:cs="Calibri"/>
          <w:color w:val="000000"/>
          <w:szCs w:val="24"/>
        </w:rPr>
        <w:t>is</w:t>
      </w:r>
      <w:r w:rsidR="00257A42">
        <w:rPr>
          <w:rFonts w:cs="Calibri"/>
          <w:color w:val="000000"/>
          <w:szCs w:val="24"/>
        </w:rPr>
        <w:t xml:space="preserve"> ability to access hardware to get online is </w:t>
      </w:r>
      <w:r w:rsidR="00734968">
        <w:rPr>
          <w:rFonts w:cs="Calibri"/>
          <w:color w:val="000000"/>
          <w:szCs w:val="24"/>
        </w:rPr>
        <w:t xml:space="preserve">as vital as public </w:t>
      </w:r>
      <w:r w:rsidR="00FD3792">
        <w:rPr>
          <w:rFonts w:cs="Calibri"/>
          <w:color w:val="000000"/>
          <w:szCs w:val="24"/>
        </w:rPr>
        <w:t>WiFi</w:t>
      </w:r>
      <w:r w:rsidR="00734968">
        <w:rPr>
          <w:rFonts w:cs="Calibri"/>
          <w:color w:val="000000"/>
          <w:szCs w:val="24"/>
        </w:rPr>
        <w:t xml:space="preserve"> </w:t>
      </w:r>
      <w:r w:rsidR="00257A42">
        <w:rPr>
          <w:rFonts w:cs="Calibri"/>
          <w:color w:val="000000"/>
          <w:szCs w:val="24"/>
        </w:rPr>
        <w:t xml:space="preserve">because mobile only access is limited and many </w:t>
      </w:r>
      <w:r w:rsidR="00257A42" w:rsidRPr="00B30361">
        <w:rPr>
          <w:rFonts w:cs="Calibri"/>
          <w:color w:val="000000"/>
          <w:szCs w:val="24"/>
        </w:rPr>
        <w:t>poor</w:t>
      </w:r>
      <w:r w:rsidR="00257A42">
        <w:rPr>
          <w:rFonts w:cs="Calibri"/>
          <w:color w:val="000000"/>
          <w:szCs w:val="24"/>
        </w:rPr>
        <w:t xml:space="preserve"> households do not have the full array of hardware.</w:t>
      </w:r>
      <w:r w:rsidR="009822B7">
        <w:rPr>
          <w:rFonts w:cs="Calibri"/>
          <w:color w:val="000000"/>
          <w:szCs w:val="24"/>
        </w:rPr>
        <w:t xml:space="preserve"> </w:t>
      </w:r>
    </w:p>
    <w:p w14:paraId="1D0D233E" w14:textId="372E24C1" w:rsidR="00686B08" w:rsidRDefault="00686B08" w:rsidP="007A31C0">
      <w:pPr>
        <w:pStyle w:val="Heading3"/>
      </w:pPr>
      <w:bookmarkStart w:id="41" w:name="_Toc42719031"/>
      <w:bookmarkStart w:id="42" w:name="_Hlk43037802"/>
      <w:r>
        <w:t>Work</w:t>
      </w:r>
      <w:r w:rsidR="007A31C0">
        <w:t xml:space="preserve"> Issues and Usage</w:t>
      </w:r>
      <w:bookmarkEnd w:id="41"/>
    </w:p>
    <w:p w14:paraId="1C0DCBEE" w14:textId="723A4F1A" w:rsidR="00686B08" w:rsidRDefault="00686B08" w:rsidP="00686B08">
      <w:pPr>
        <w:rPr>
          <w:lang w:eastAsia="en-AU"/>
        </w:rPr>
      </w:pPr>
      <w:r w:rsidRPr="001952F5">
        <w:rPr>
          <w:lang w:eastAsia="en-AU"/>
        </w:rPr>
        <w:t xml:space="preserve">Despite </w:t>
      </w:r>
      <w:r w:rsidR="00ED2247">
        <w:rPr>
          <w:lang w:eastAsia="en-AU"/>
        </w:rPr>
        <w:t>having employment as a main source of income</w:t>
      </w:r>
      <w:r w:rsidRPr="001952F5">
        <w:rPr>
          <w:lang w:eastAsia="en-AU"/>
        </w:rPr>
        <w:t>, only 13%</w:t>
      </w:r>
      <w:r w:rsidR="00ED2247">
        <w:rPr>
          <w:lang w:eastAsia="en-AU"/>
        </w:rPr>
        <w:t xml:space="preserve"> of survey respondents</w:t>
      </w:r>
      <w:r w:rsidRPr="001952F5">
        <w:rPr>
          <w:lang w:eastAsia="en-AU"/>
        </w:rPr>
        <w:t xml:space="preserve"> listed the internet connection at work as one of the top 3 places they accessed the internet. </w:t>
      </w:r>
      <w:r w:rsidRPr="007504BA">
        <w:rPr>
          <w:lang w:eastAsia="en-AU"/>
        </w:rPr>
        <w:t>This possibly reflects the types of jobs done by these households (e.g. non-office jobs), but i</w:t>
      </w:r>
      <w:r w:rsidR="00097E8D">
        <w:rPr>
          <w:lang w:eastAsia="en-AU"/>
        </w:rPr>
        <w:t>t i</w:t>
      </w:r>
      <w:r w:rsidRPr="007504BA">
        <w:rPr>
          <w:lang w:eastAsia="en-AU"/>
        </w:rPr>
        <w:t xml:space="preserve">s also </w:t>
      </w:r>
      <w:r w:rsidR="00097E8D" w:rsidRPr="007504BA">
        <w:rPr>
          <w:lang w:eastAsia="en-AU"/>
        </w:rPr>
        <w:t xml:space="preserve">partly </w:t>
      </w:r>
      <w:r w:rsidRPr="007504BA">
        <w:rPr>
          <w:lang w:eastAsia="en-AU"/>
        </w:rPr>
        <w:t>a product of the non-working person in the household</w:t>
      </w:r>
      <w:r>
        <w:rPr>
          <w:lang w:eastAsia="en-AU"/>
        </w:rPr>
        <w:t xml:space="preserve"> being the respondent. </w:t>
      </w:r>
      <w:r w:rsidR="001614B2">
        <w:rPr>
          <w:lang w:eastAsia="en-AU"/>
        </w:rPr>
        <w:t>Among</w:t>
      </w:r>
      <w:r>
        <w:rPr>
          <w:lang w:eastAsia="en-AU"/>
        </w:rPr>
        <w:t xml:space="preserve"> those </w:t>
      </w:r>
      <w:r w:rsidR="001614B2">
        <w:rPr>
          <w:lang w:eastAsia="en-AU"/>
        </w:rPr>
        <w:t>who were</w:t>
      </w:r>
      <w:r w:rsidRPr="007504BA">
        <w:rPr>
          <w:lang w:eastAsia="en-AU"/>
        </w:rPr>
        <w:t xml:space="preserve"> in work</w:t>
      </w:r>
      <w:r w:rsidR="001614B2">
        <w:rPr>
          <w:lang w:eastAsia="en-AU"/>
        </w:rPr>
        <w:t xml:space="preserve"> themselves</w:t>
      </w:r>
      <w:r w:rsidRPr="007504BA">
        <w:rPr>
          <w:lang w:eastAsia="en-AU"/>
        </w:rPr>
        <w:t xml:space="preserve">, 22% of respondents rated work among the top three places they accessed the internet – </w:t>
      </w:r>
      <w:r>
        <w:rPr>
          <w:lang w:eastAsia="en-AU"/>
        </w:rPr>
        <w:t xml:space="preserve">although this was </w:t>
      </w:r>
      <w:r w:rsidRPr="007504BA">
        <w:rPr>
          <w:lang w:eastAsia="en-AU"/>
        </w:rPr>
        <w:t xml:space="preserve">still (marginally) </w:t>
      </w:r>
      <w:r>
        <w:rPr>
          <w:lang w:eastAsia="en-AU"/>
        </w:rPr>
        <w:t>below</w:t>
      </w:r>
      <w:r w:rsidRPr="007504BA">
        <w:rPr>
          <w:lang w:eastAsia="en-AU"/>
        </w:rPr>
        <w:t xml:space="preserve"> public </w:t>
      </w:r>
      <w:r w:rsidR="00FD3792">
        <w:rPr>
          <w:lang w:eastAsia="en-AU"/>
        </w:rPr>
        <w:t>WiFi</w:t>
      </w:r>
      <w:r w:rsidRPr="007504BA">
        <w:rPr>
          <w:lang w:eastAsia="en-AU"/>
        </w:rPr>
        <w:t>.</w:t>
      </w:r>
      <w:r>
        <w:rPr>
          <w:lang w:eastAsia="en-AU"/>
        </w:rPr>
        <w:t xml:space="preserve"> </w:t>
      </w:r>
      <w:r w:rsidR="00F67D6E">
        <w:rPr>
          <w:lang w:eastAsia="en-AU"/>
        </w:rPr>
        <w:t xml:space="preserve">As Figure </w:t>
      </w:r>
      <w:r w:rsidR="00EF65D0">
        <w:rPr>
          <w:lang w:eastAsia="en-AU"/>
        </w:rPr>
        <w:t>9</w:t>
      </w:r>
      <w:r w:rsidR="00F67D6E">
        <w:rPr>
          <w:lang w:eastAsia="en-AU"/>
        </w:rPr>
        <w:t xml:space="preserve"> shows, there was also a slightly reduced rate of usage of mobile data and home internet among the respondents who were working – suggesting that some at least could utilise work internet connection.</w:t>
      </w:r>
    </w:p>
    <w:p w14:paraId="1EC67720" w14:textId="25252D02" w:rsidR="00EF65D0" w:rsidRDefault="00EF65D0" w:rsidP="00EF65D0">
      <w:pPr>
        <w:pStyle w:val="Caption"/>
      </w:pPr>
      <w:bookmarkStart w:id="43" w:name="_Toc41920120"/>
      <w:r>
        <w:t xml:space="preserve">Figure </w:t>
      </w:r>
      <w:fldSimple w:instr=" SEQ Figure \* ARABIC ">
        <w:r w:rsidR="001D54A2">
          <w:rPr>
            <w:noProof/>
          </w:rPr>
          <w:t>9</w:t>
        </w:r>
      </w:fldSimple>
      <w:r>
        <w:t>: Most Common Ways to Access Internet, Labour Force</w:t>
      </w:r>
      <w:bookmarkEnd w:id="43"/>
    </w:p>
    <w:p w14:paraId="58552B19" w14:textId="7C53D8F6" w:rsidR="00686B08" w:rsidRDefault="00CB43E1" w:rsidP="005923F7">
      <w:pPr>
        <w:rPr>
          <w:lang w:eastAsia="en-AU"/>
        </w:rPr>
      </w:pPr>
      <w:bookmarkStart w:id="44" w:name="_Hlk38542923"/>
      <w:r>
        <w:rPr>
          <w:noProof/>
          <w:lang w:eastAsia="en-AU"/>
        </w:rPr>
        <w:drawing>
          <wp:inline distT="0" distB="0" distL="0" distR="0" wp14:anchorId="2BBA002C" wp14:editId="2B3EAE5A">
            <wp:extent cx="5734050" cy="3209925"/>
            <wp:effectExtent l="0" t="0" r="0" b="0"/>
            <wp:docPr id="12" name="Picture 12" descr="A repeat of figure 8, but with the data for respondents who were in the labour force shown separately. The biggest difference was the work access by those in the labour force, otherwise the pattern was generally the sa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4050" cy="3209925"/>
                    </a:xfrm>
                    <a:prstGeom prst="rect">
                      <a:avLst/>
                    </a:prstGeom>
                    <a:noFill/>
                    <a:ln>
                      <a:noFill/>
                    </a:ln>
                  </pic:spPr>
                </pic:pic>
              </a:graphicData>
            </a:graphic>
          </wp:inline>
        </w:drawing>
      </w:r>
      <w:bookmarkEnd w:id="44"/>
    </w:p>
    <w:p w14:paraId="3811A2A6" w14:textId="77777777" w:rsidR="005923F7" w:rsidRPr="00B276D5" w:rsidRDefault="005923F7" w:rsidP="005923F7">
      <w:pPr>
        <w:rPr>
          <w:lang w:eastAsia="en-AU"/>
        </w:rPr>
      </w:pPr>
      <w:r w:rsidRPr="00B276D5">
        <w:rPr>
          <w:lang w:eastAsia="en-AU"/>
        </w:rPr>
        <w:lastRenderedPageBreak/>
        <w:t xml:space="preserve">Having telecommunications </w:t>
      </w:r>
      <w:r w:rsidR="00F67D6E">
        <w:rPr>
          <w:lang w:eastAsia="en-AU"/>
        </w:rPr>
        <w:t xml:space="preserve">access </w:t>
      </w:r>
      <w:r w:rsidRPr="00B276D5">
        <w:rPr>
          <w:lang w:eastAsia="en-AU"/>
        </w:rPr>
        <w:t xml:space="preserve">was </w:t>
      </w:r>
      <w:r w:rsidR="00686B08">
        <w:rPr>
          <w:lang w:eastAsia="en-AU"/>
        </w:rPr>
        <w:t xml:space="preserve">also </w:t>
      </w:r>
      <w:r w:rsidRPr="00B276D5">
        <w:rPr>
          <w:lang w:eastAsia="en-AU"/>
        </w:rPr>
        <w:t xml:space="preserve">important </w:t>
      </w:r>
      <w:r w:rsidRPr="00F67D6E">
        <w:rPr>
          <w:i/>
          <w:lang w:eastAsia="en-AU"/>
        </w:rPr>
        <w:t>for work purposes</w:t>
      </w:r>
      <w:r w:rsidRPr="00B276D5">
        <w:rPr>
          <w:lang w:eastAsia="en-AU"/>
        </w:rPr>
        <w:t>. On a scale of 1-10, where 5 was “somewhat important” and 10 was very important:</w:t>
      </w:r>
    </w:p>
    <w:p w14:paraId="1799829D" w14:textId="77777777" w:rsidR="005923F7" w:rsidRPr="00B276D5" w:rsidRDefault="005923F7" w:rsidP="005923F7">
      <w:pPr>
        <w:pStyle w:val="ListParagraph"/>
        <w:numPr>
          <w:ilvl w:val="0"/>
          <w:numId w:val="16"/>
        </w:numPr>
        <w:spacing w:line="288" w:lineRule="auto"/>
        <w:ind w:left="714" w:hanging="357"/>
        <w:contextualSpacing w:val="0"/>
        <w:rPr>
          <w:sz w:val="22"/>
          <w:lang w:eastAsia="en-AU"/>
        </w:rPr>
      </w:pPr>
      <w:r w:rsidRPr="00B276D5">
        <w:rPr>
          <w:sz w:val="22"/>
          <w:lang w:eastAsia="en-AU"/>
        </w:rPr>
        <w:t>56% of respondents said making work-related call</w:t>
      </w:r>
      <w:r>
        <w:rPr>
          <w:sz w:val="22"/>
          <w:lang w:eastAsia="en-AU"/>
        </w:rPr>
        <w:t>s</w:t>
      </w:r>
      <w:r w:rsidRPr="00B276D5">
        <w:rPr>
          <w:sz w:val="22"/>
          <w:lang w:eastAsia="en-AU"/>
        </w:rPr>
        <w:t xml:space="preserve"> or receiving work messages was somewhat important to very important to them</w:t>
      </w:r>
    </w:p>
    <w:p w14:paraId="77347F5F" w14:textId="77777777" w:rsidR="005923F7" w:rsidRPr="00B276D5" w:rsidRDefault="005923F7" w:rsidP="005923F7">
      <w:pPr>
        <w:pStyle w:val="ListParagraph"/>
        <w:numPr>
          <w:ilvl w:val="0"/>
          <w:numId w:val="16"/>
        </w:numPr>
        <w:spacing w:line="288" w:lineRule="auto"/>
        <w:ind w:left="714" w:hanging="357"/>
        <w:contextualSpacing w:val="0"/>
        <w:rPr>
          <w:sz w:val="22"/>
          <w:lang w:eastAsia="en-AU"/>
        </w:rPr>
      </w:pPr>
      <w:r w:rsidRPr="00B276D5">
        <w:rPr>
          <w:sz w:val="22"/>
          <w:lang w:eastAsia="en-AU"/>
        </w:rPr>
        <w:t>64% said doing paid work online (e.g. work email, research) was somewhat important to very important to them</w:t>
      </w:r>
    </w:p>
    <w:p w14:paraId="34076483" w14:textId="77777777" w:rsidR="005923F7" w:rsidRPr="00B276D5" w:rsidRDefault="005923F7" w:rsidP="005923F7">
      <w:pPr>
        <w:pStyle w:val="ListParagraph"/>
        <w:numPr>
          <w:ilvl w:val="0"/>
          <w:numId w:val="16"/>
        </w:numPr>
        <w:spacing w:line="288" w:lineRule="auto"/>
        <w:ind w:left="714" w:hanging="357"/>
        <w:contextualSpacing w:val="0"/>
        <w:rPr>
          <w:sz w:val="22"/>
          <w:lang w:eastAsia="en-AU"/>
        </w:rPr>
      </w:pPr>
      <w:r w:rsidRPr="00B276D5">
        <w:rPr>
          <w:sz w:val="22"/>
          <w:lang w:eastAsia="en-AU"/>
        </w:rPr>
        <w:t>52% said being available online was somewhat important to very important to them for paid work for checking rosters, receiving emails, accessing calendars/timesheets, etc.</w:t>
      </w:r>
    </w:p>
    <w:p w14:paraId="1AA7B8F4" w14:textId="37CDE6FF" w:rsidR="005923F7" w:rsidRDefault="007979A0" w:rsidP="005923F7">
      <w:pPr>
        <w:rPr>
          <w:lang w:eastAsia="en-AU"/>
        </w:rPr>
      </w:pPr>
      <w:r>
        <w:rPr>
          <w:lang w:eastAsia="en-AU"/>
        </w:rPr>
        <w:t xml:space="preserve">These figures are broadly in line with the data cited in the BCAR (2020) report showing that 65% of Australian internet users used it for “working or studying from home”. </w:t>
      </w:r>
      <w:r w:rsidR="00F67D6E">
        <w:rPr>
          <w:lang w:eastAsia="en-AU"/>
        </w:rPr>
        <w:t>Again though,</w:t>
      </w:r>
      <w:r w:rsidR="005923F7" w:rsidRPr="00EF5FED">
        <w:rPr>
          <w:lang w:eastAsia="en-AU"/>
        </w:rPr>
        <w:t xml:space="preserve"> the </w:t>
      </w:r>
      <w:r w:rsidR="006874B8">
        <w:rPr>
          <w:lang w:eastAsia="en-AU"/>
        </w:rPr>
        <w:t xml:space="preserve">figures </w:t>
      </w:r>
      <w:r>
        <w:rPr>
          <w:lang w:eastAsia="en-AU"/>
        </w:rPr>
        <w:t xml:space="preserve">in the SACOSS survey </w:t>
      </w:r>
      <w:r w:rsidR="006874B8">
        <w:rPr>
          <w:lang w:eastAsia="en-AU"/>
        </w:rPr>
        <w:t xml:space="preserve">were even higher </w:t>
      </w:r>
      <w:r w:rsidR="005923F7" w:rsidRPr="00EF5FED">
        <w:rPr>
          <w:lang w:eastAsia="en-AU"/>
        </w:rPr>
        <w:t>among respondents who were actually in the labour force (as opposed to those who were not employed and reliant on another wage in the household)</w:t>
      </w:r>
      <w:r w:rsidR="00F67D6E">
        <w:rPr>
          <w:lang w:eastAsia="en-AU"/>
        </w:rPr>
        <w:t xml:space="preserve">. As Figure </w:t>
      </w:r>
      <w:r w:rsidR="001D54A2">
        <w:rPr>
          <w:lang w:eastAsia="en-AU"/>
        </w:rPr>
        <w:t>10</w:t>
      </w:r>
      <w:r w:rsidR="00F67D6E">
        <w:rPr>
          <w:lang w:eastAsia="en-AU"/>
        </w:rPr>
        <w:t xml:space="preserve"> shows, generally the results from respondents who were in the labour force</w:t>
      </w:r>
      <w:r w:rsidR="005923F7" w:rsidRPr="00EF5FED">
        <w:rPr>
          <w:lang w:eastAsia="en-AU"/>
        </w:rPr>
        <w:t xml:space="preserve"> </w:t>
      </w:r>
      <w:r w:rsidR="005923F7">
        <w:rPr>
          <w:lang w:eastAsia="en-AU"/>
        </w:rPr>
        <w:t xml:space="preserve">were </w:t>
      </w:r>
      <w:r w:rsidR="005923F7" w:rsidRPr="00EF5FED">
        <w:rPr>
          <w:lang w:eastAsia="en-AU"/>
        </w:rPr>
        <w:t>12 to 15 percentage points higher</w:t>
      </w:r>
      <w:r w:rsidR="00F67D6E">
        <w:rPr>
          <w:lang w:eastAsia="en-AU"/>
        </w:rPr>
        <w:t xml:space="preserve"> than for the sample as a whole</w:t>
      </w:r>
      <w:r w:rsidR="005923F7" w:rsidRPr="00EF5FED">
        <w:rPr>
          <w:lang w:eastAsia="en-AU"/>
        </w:rPr>
        <w:t>.</w:t>
      </w:r>
    </w:p>
    <w:p w14:paraId="4C6E010F" w14:textId="31909334" w:rsidR="001D54A2" w:rsidRDefault="001D54A2" w:rsidP="001D54A2">
      <w:pPr>
        <w:pStyle w:val="Caption"/>
      </w:pPr>
      <w:bookmarkStart w:id="45" w:name="_Toc37776832"/>
      <w:bookmarkStart w:id="46" w:name="_Toc41920121"/>
      <w:r>
        <w:t xml:space="preserve">Figure </w:t>
      </w:r>
      <w:fldSimple w:instr=" SEQ Figure \* ARABIC ">
        <w:r>
          <w:rPr>
            <w:noProof/>
          </w:rPr>
          <w:t>10</w:t>
        </w:r>
      </w:fldSimple>
      <w:r>
        <w:t>: Importance of Employment Activities</w:t>
      </w:r>
      <w:bookmarkEnd w:id="45"/>
      <w:bookmarkEnd w:id="46"/>
    </w:p>
    <w:p w14:paraId="5648890B" w14:textId="25CD9DEF" w:rsidR="005923F7" w:rsidRDefault="00CB43E1" w:rsidP="005923F7">
      <w:pPr>
        <w:rPr>
          <w:lang w:eastAsia="en-AU"/>
        </w:rPr>
      </w:pPr>
      <w:r>
        <w:rPr>
          <w:noProof/>
          <w:lang w:eastAsia="en-AU"/>
        </w:rPr>
        <w:drawing>
          <wp:inline distT="0" distB="0" distL="0" distR="0" wp14:anchorId="19A55414" wp14:editId="43775E18">
            <wp:extent cx="5734050" cy="2844800"/>
            <wp:effectExtent l="0" t="0" r="0" b="12700"/>
            <wp:docPr id="13" name="Chart 12" descr="Title: Employment Activities - Description: Column graph showing the percentage of survey respondents who rate various work things as somewhat to very important to their online activity."/>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32C1F33" w14:textId="44C73B14" w:rsidR="001E7D3B" w:rsidRDefault="006874B8" w:rsidP="001E7D3B">
      <w:pPr>
        <w:rPr>
          <w:lang w:eastAsia="en-AU"/>
        </w:rPr>
      </w:pPr>
      <w:r>
        <w:rPr>
          <w:lang w:eastAsia="en-AU"/>
        </w:rPr>
        <w:t>This pattern was also reflected in the qualitative research</w:t>
      </w:r>
      <w:r w:rsidR="00501C04">
        <w:rPr>
          <w:lang w:eastAsia="en-AU"/>
        </w:rPr>
        <w:t xml:space="preserve">. Several respondents </w:t>
      </w:r>
      <w:r w:rsidR="00777C76">
        <w:rPr>
          <w:lang w:eastAsia="en-AU"/>
        </w:rPr>
        <w:t xml:space="preserve">checked rosters or </w:t>
      </w:r>
      <w:r w:rsidR="00501C04">
        <w:rPr>
          <w:lang w:eastAsia="en-AU"/>
        </w:rPr>
        <w:t xml:space="preserve">were advised about shifts or where they had to go to work by text message. </w:t>
      </w:r>
      <w:r w:rsidR="001E7D3B">
        <w:rPr>
          <w:lang w:eastAsia="en-AU"/>
        </w:rPr>
        <w:t xml:space="preserve">For others it </w:t>
      </w:r>
      <w:r w:rsidR="001E7D3B" w:rsidRPr="007A31C0">
        <w:rPr>
          <w:i/>
          <w:iCs/>
          <w:lang w:eastAsia="en-AU"/>
        </w:rPr>
        <w:t>enabled</w:t>
      </w:r>
      <w:r w:rsidR="001E7D3B">
        <w:rPr>
          <w:lang w:eastAsia="en-AU"/>
        </w:rPr>
        <w:t xml:space="preserve"> work</w:t>
      </w:r>
      <w:r w:rsidR="007A31C0">
        <w:rPr>
          <w:lang w:eastAsia="en-AU"/>
        </w:rPr>
        <w:t>:</w:t>
      </w:r>
      <w:r w:rsidR="001E7D3B">
        <w:rPr>
          <w:lang w:eastAsia="en-AU"/>
        </w:rPr>
        <w:t xml:space="preserve"> the photographer, the home care worker and delivery drivers all used their mobiles </w:t>
      </w:r>
      <w:r w:rsidR="007979A0">
        <w:rPr>
          <w:lang w:eastAsia="en-AU"/>
        </w:rPr>
        <w:t xml:space="preserve">to </w:t>
      </w:r>
      <w:r w:rsidR="001E7D3B">
        <w:rPr>
          <w:lang w:eastAsia="en-AU"/>
        </w:rPr>
        <w:t xml:space="preserve">navigate to destinations, while </w:t>
      </w:r>
      <w:r w:rsidR="007A31C0">
        <w:rPr>
          <w:lang w:eastAsia="en-AU"/>
        </w:rPr>
        <w:t xml:space="preserve">a </w:t>
      </w:r>
      <w:r w:rsidR="001E7D3B">
        <w:rPr>
          <w:lang w:eastAsia="en-AU"/>
        </w:rPr>
        <w:t xml:space="preserve">market researcher used her phone to check prices in stores and a furniture delivery driver rang the next customer to advise delivery details. </w:t>
      </w:r>
      <w:r w:rsidR="007A31C0">
        <w:rPr>
          <w:lang w:eastAsia="en-AU"/>
        </w:rPr>
        <w:t>F</w:t>
      </w:r>
      <w:r w:rsidR="001E7D3B">
        <w:rPr>
          <w:lang w:eastAsia="en-AU"/>
        </w:rPr>
        <w:t xml:space="preserve">or </w:t>
      </w:r>
      <w:r w:rsidR="00616C54">
        <w:rPr>
          <w:lang w:eastAsia="en-AU"/>
        </w:rPr>
        <w:t>Kay</w:t>
      </w:r>
      <w:r w:rsidR="001E7D3B">
        <w:rPr>
          <w:lang w:eastAsia="en-AU"/>
        </w:rPr>
        <w:t>, a home-care worker in Tasmania it was necessary because “</w:t>
      </w:r>
      <w:r w:rsidR="001E7D3B">
        <w:t>where I am at in home support they don't have a house phone so I have to have my phone charged”. As a care worker on the road, she also used her own equipment to do work emails, paysheets and other work things.</w:t>
      </w:r>
    </w:p>
    <w:p w14:paraId="011E3D72" w14:textId="61384635" w:rsidR="00BC5732" w:rsidRDefault="001E7D3B" w:rsidP="005923F7">
      <w:pPr>
        <w:rPr>
          <w:lang w:eastAsia="en-AU"/>
        </w:rPr>
      </w:pPr>
      <w:r>
        <w:rPr>
          <w:lang w:eastAsia="en-AU"/>
        </w:rPr>
        <w:t xml:space="preserve">For some having their own telecommunications connection </w:t>
      </w:r>
      <w:r w:rsidR="00CB29F3">
        <w:rPr>
          <w:lang w:eastAsia="en-AU"/>
        </w:rPr>
        <w:t xml:space="preserve">at work </w:t>
      </w:r>
      <w:r>
        <w:rPr>
          <w:lang w:eastAsia="en-AU"/>
        </w:rPr>
        <w:t xml:space="preserve">was more than a casual use or an enabler of work, </w:t>
      </w:r>
      <w:r w:rsidR="00501C04">
        <w:rPr>
          <w:lang w:eastAsia="en-AU"/>
        </w:rPr>
        <w:t xml:space="preserve">it was </w:t>
      </w:r>
      <w:r>
        <w:rPr>
          <w:lang w:eastAsia="en-AU"/>
        </w:rPr>
        <w:t>a</w:t>
      </w:r>
      <w:r w:rsidR="00501C04">
        <w:rPr>
          <w:lang w:eastAsia="en-AU"/>
        </w:rPr>
        <w:t xml:space="preserve"> primary tool of their trade</w:t>
      </w:r>
      <w:r w:rsidR="00CB29F3">
        <w:rPr>
          <w:lang w:eastAsia="en-AU"/>
        </w:rPr>
        <w:t xml:space="preserve">. </w:t>
      </w:r>
      <w:r w:rsidR="00616C54">
        <w:rPr>
          <w:lang w:eastAsia="en-AU"/>
        </w:rPr>
        <w:t>Ariel</w:t>
      </w:r>
      <w:r w:rsidR="00501C04">
        <w:rPr>
          <w:lang w:eastAsia="en-AU"/>
        </w:rPr>
        <w:t>, a casual university researcher in Tasmania, did her research at home using her own computers and data</w:t>
      </w:r>
      <w:r w:rsidR="00BC5732">
        <w:rPr>
          <w:lang w:eastAsia="en-AU"/>
        </w:rPr>
        <w:t xml:space="preserve">, </w:t>
      </w:r>
      <w:r w:rsidR="004841A1">
        <w:rPr>
          <w:lang w:eastAsia="en-AU"/>
        </w:rPr>
        <w:t>Lena</w:t>
      </w:r>
      <w:r w:rsidR="006E1C9B">
        <w:rPr>
          <w:lang w:eastAsia="en-AU"/>
        </w:rPr>
        <w:t xml:space="preserve">, </w:t>
      </w:r>
      <w:r w:rsidR="00BC5732">
        <w:rPr>
          <w:lang w:eastAsia="en-AU"/>
        </w:rPr>
        <w:t xml:space="preserve">a nurse in Canberra </w:t>
      </w:r>
      <w:r w:rsidR="00BC5732">
        <w:rPr>
          <w:lang w:eastAsia="en-AU"/>
        </w:rPr>
        <w:lastRenderedPageBreak/>
        <w:t xml:space="preserve">was doing research at home on new infectious diseases, while </w:t>
      </w:r>
      <w:r w:rsidR="0007007E">
        <w:rPr>
          <w:lang w:eastAsia="en-AU"/>
        </w:rPr>
        <w:t>Barbara</w:t>
      </w:r>
      <w:r w:rsidR="00BC5732">
        <w:rPr>
          <w:lang w:eastAsia="en-AU"/>
        </w:rPr>
        <w:t xml:space="preserve"> said her partner was a “a bit of a technophobe” and resisted getting a smart phone for many years before finding he just needed it to access emails and internet when he was out on site away from the office.</w:t>
      </w:r>
    </w:p>
    <w:p w14:paraId="5E6C4DC8" w14:textId="3978CCDE" w:rsidR="00883238" w:rsidRDefault="00BC5732" w:rsidP="005923F7">
      <w:pPr>
        <w:rPr>
          <w:lang w:eastAsia="en-AU"/>
        </w:rPr>
      </w:pPr>
      <w:r>
        <w:rPr>
          <w:lang w:eastAsia="en-AU"/>
        </w:rPr>
        <w:t xml:space="preserve">For other </w:t>
      </w:r>
      <w:r w:rsidR="001E7D3B">
        <w:rPr>
          <w:lang w:eastAsia="en-AU"/>
        </w:rPr>
        <w:t>interviewees, their mobile phone</w:t>
      </w:r>
      <w:r>
        <w:rPr>
          <w:lang w:eastAsia="en-AU"/>
        </w:rPr>
        <w:t xml:space="preserve"> was</w:t>
      </w:r>
      <w:r w:rsidR="00CB29F3">
        <w:rPr>
          <w:lang w:eastAsia="en-AU"/>
        </w:rPr>
        <w:t xml:space="preserve"> even</w:t>
      </w:r>
      <w:r>
        <w:rPr>
          <w:lang w:eastAsia="en-AU"/>
        </w:rPr>
        <w:t xml:space="preserve"> more than a tool of the trade</w:t>
      </w:r>
      <w:r w:rsidR="001E7D3B">
        <w:rPr>
          <w:lang w:eastAsia="en-AU"/>
        </w:rPr>
        <w:t>:</w:t>
      </w:r>
      <w:r>
        <w:rPr>
          <w:lang w:eastAsia="en-AU"/>
        </w:rPr>
        <w:t xml:space="preserve"> </w:t>
      </w:r>
      <w:r w:rsidR="001E7D3B">
        <w:rPr>
          <w:lang w:eastAsia="en-AU"/>
        </w:rPr>
        <w:t>it</w:t>
      </w:r>
      <w:r>
        <w:rPr>
          <w:lang w:eastAsia="en-AU"/>
        </w:rPr>
        <w:t xml:space="preserve"> was part of the </w:t>
      </w:r>
      <w:r w:rsidR="00883238">
        <w:rPr>
          <w:lang w:eastAsia="en-AU"/>
        </w:rPr>
        <w:t>business model of the employer</w:t>
      </w:r>
      <w:r>
        <w:rPr>
          <w:lang w:eastAsia="en-AU"/>
        </w:rPr>
        <w:t xml:space="preserve">. This was most obvious for </w:t>
      </w:r>
      <w:r w:rsidR="00025DBF">
        <w:rPr>
          <w:lang w:eastAsia="en-AU"/>
        </w:rPr>
        <w:t>Daniel</w:t>
      </w:r>
      <w:r>
        <w:rPr>
          <w:lang w:eastAsia="en-AU"/>
        </w:rPr>
        <w:t xml:space="preserve">, the Uber driver in Adelaide whose phone was required for the app that was the basis of the business. </w:t>
      </w:r>
      <w:r w:rsidR="00883238">
        <w:rPr>
          <w:lang w:eastAsia="en-AU"/>
        </w:rPr>
        <w:t xml:space="preserve">Similarly, </w:t>
      </w:r>
      <w:r w:rsidR="007979A0">
        <w:rPr>
          <w:lang w:eastAsia="en-AU"/>
        </w:rPr>
        <w:t>Jo</w:t>
      </w:r>
      <w:r w:rsidR="00883238">
        <w:rPr>
          <w:lang w:eastAsia="en-AU"/>
        </w:rPr>
        <w:t>, a home childcare provider use</w:t>
      </w:r>
      <w:r w:rsidR="00F3429B">
        <w:rPr>
          <w:lang w:eastAsia="en-AU"/>
        </w:rPr>
        <w:t>s</w:t>
      </w:r>
      <w:r w:rsidR="00883238">
        <w:rPr>
          <w:lang w:eastAsia="en-AU"/>
        </w:rPr>
        <w:t xml:space="preserve"> her mobile to contact parents and her home internet to do the government paperwork. In these two cases, the people were technically subcontractors so were expected to provide all their equipment as part of the contract – even though in reality they are mostly just selling their labour in the same way as waged poor </w:t>
      </w:r>
      <w:r w:rsidR="007979A0">
        <w:rPr>
          <w:lang w:eastAsia="en-AU"/>
        </w:rPr>
        <w:t>employees</w:t>
      </w:r>
      <w:r w:rsidR="00883238">
        <w:rPr>
          <w:lang w:eastAsia="en-AU"/>
        </w:rPr>
        <w:t>.</w:t>
      </w:r>
    </w:p>
    <w:p w14:paraId="5D3A226D" w14:textId="7439B99E" w:rsidR="00BC5732" w:rsidRDefault="00883238" w:rsidP="005923F7">
      <w:pPr>
        <w:rPr>
          <w:lang w:eastAsia="en-AU"/>
        </w:rPr>
      </w:pPr>
      <w:r>
        <w:rPr>
          <w:lang w:eastAsia="en-AU"/>
        </w:rPr>
        <w:t>But perhaps the most interesting example arising in the interviews was a retail out</w:t>
      </w:r>
      <w:r w:rsidR="00CB29F3">
        <w:rPr>
          <w:lang w:eastAsia="en-AU"/>
        </w:rPr>
        <w:t>let</w:t>
      </w:r>
      <w:r>
        <w:rPr>
          <w:lang w:eastAsia="en-AU"/>
        </w:rPr>
        <w:t xml:space="preserve"> where staff all used their mobile phones to look up product information and answer customer queries. </w:t>
      </w:r>
      <w:r w:rsidR="004841A1">
        <w:rPr>
          <w:lang w:eastAsia="en-AU"/>
        </w:rPr>
        <w:t>Sue</w:t>
      </w:r>
      <w:r>
        <w:rPr>
          <w:lang w:eastAsia="en-AU"/>
        </w:rPr>
        <w:t xml:space="preserve">, the employee said they did not have to, but it was just quicker and easier because the store’s own computer was so slow and antiquated that it did not really function that way. In this instance, the ability to rely on the staff’s provision of their </w:t>
      </w:r>
      <w:r w:rsidR="007979A0">
        <w:rPr>
          <w:lang w:eastAsia="en-AU"/>
        </w:rPr>
        <w:t xml:space="preserve">own </w:t>
      </w:r>
      <w:r>
        <w:rPr>
          <w:lang w:eastAsia="en-AU"/>
        </w:rPr>
        <w:t>mobile phone service</w:t>
      </w:r>
      <w:r w:rsidR="007979A0">
        <w:rPr>
          <w:lang w:eastAsia="en-AU"/>
        </w:rPr>
        <w:t>s</w:t>
      </w:r>
      <w:r>
        <w:rPr>
          <w:lang w:eastAsia="en-AU"/>
        </w:rPr>
        <w:t xml:space="preserve"> allowed the business to underinvest in technology but still maintain </w:t>
      </w:r>
      <w:r w:rsidR="00D96685">
        <w:rPr>
          <w:lang w:eastAsia="en-AU"/>
        </w:rPr>
        <w:t xml:space="preserve">good </w:t>
      </w:r>
      <w:r>
        <w:rPr>
          <w:lang w:eastAsia="en-AU"/>
        </w:rPr>
        <w:t xml:space="preserve">customer service. </w:t>
      </w:r>
    </w:p>
    <w:p w14:paraId="1504BD04" w14:textId="1F93144C" w:rsidR="005B4E24" w:rsidRDefault="00D96685" w:rsidP="005923F7">
      <w:pPr>
        <w:rPr>
          <w:lang w:eastAsia="en-AU"/>
        </w:rPr>
      </w:pPr>
      <w:r>
        <w:rPr>
          <w:lang w:eastAsia="en-AU"/>
        </w:rPr>
        <w:t>T</w:t>
      </w:r>
      <w:r w:rsidR="005B4E24">
        <w:rPr>
          <w:lang w:eastAsia="en-AU"/>
        </w:rPr>
        <w:t>he</w:t>
      </w:r>
      <w:r w:rsidR="007979A0">
        <w:rPr>
          <w:lang w:eastAsia="en-AU"/>
        </w:rPr>
        <w:t>se</w:t>
      </w:r>
      <w:r w:rsidR="005B4E24">
        <w:rPr>
          <w:lang w:eastAsia="en-AU"/>
        </w:rPr>
        <w:t xml:space="preserve"> use</w:t>
      </w:r>
      <w:r>
        <w:rPr>
          <w:lang w:eastAsia="en-AU"/>
        </w:rPr>
        <w:t>s</w:t>
      </w:r>
      <w:r w:rsidR="005B4E24">
        <w:rPr>
          <w:lang w:eastAsia="en-AU"/>
        </w:rPr>
        <w:t xml:space="preserve"> of the mobile phone</w:t>
      </w:r>
      <w:r>
        <w:rPr>
          <w:lang w:eastAsia="en-AU"/>
        </w:rPr>
        <w:t>s</w:t>
      </w:r>
      <w:r w:rsidR="005B4E24">
        <w:rPr>
          <w:lang w:eastAsia="en-AU"/>
        </w:rPr>
        <w:t xml:space="preserve"> goes beyond an occasional contact or convenience to </w:t>
      </w:r>
      <w:r w:rsidR="00387202">
        <w:rPr>
          <w:lang w:eastAsia="en-AU"/>
        </w:rPr>
        <w:t xml:space="preserve">being </w:t>
      </w:r>
      <w:r w:rsidR="005B4E24">
        <w:rPr>
          <w:lang w:eastAsia="en-AU"/>
        </w:rPr>
        <w:t>a core requirement of work – and in all these cases it was simply expected that the workers had mobile phones and/or internet connections, and could and would use these for work. This raises a range of issues around cost and reimbursement which will be discussed under the affordability heading.</w:t>
      </w:r>
    </w:p>
    <w:p w14:paraId="70807B1C" w14:textId="4DB8028A" w:rsidR="00F67D6E" w:rsidRDefault="00E5735B" w:rsidP="006F1067">
      <w:pPr>
        <w:rPr>
          <w:lang w:eastAsia="en-AU"/>
        </w:rPr>
      </w:pPr>
      <w:r>
        <w:rPr>
          <w:lang w:eastAsia="en-AU"/>
        </w:rPr>
        <w:t>It is</w:t>
      </w:r>
      <w:r w:rsidR="006F1067">
        <w:rPr>
          <w:lang w:eastAsia="en-AU"/>
        </w:rPr>
        <w:t xml:space="preserve"> also</w:t>
      </w:r>
      <w:r>
        <w:rPr>
          <w:lang w:eastAsia="en-AU"/>
        </w:rPr>
        <w:t xml:space="preserve"> important to note that the</w:t>
      </w:r>
      <w:r w:rsidR="00777C76">
        <w:rPr>
          <w:lang w:eastAsia="en-AU"/>
        </w:rPr>
        <w:t xml:space="preserve"> survey data and some of the interviews </w:t>
      </w:r>
      <w:r>
        <w:rPr>
          <w:lang w:eastAsia="en-AU"/>
        </w:rPr>
        <w:t xml:space="preserve">pre-date </w:t>
      </w:r>
      <w:r w:rsidR="00777C76">
        <w:rPr>
          <w:lang w:eastAsia="en-AU"/>
        </w:rPr>
        <w:t xml:space="preserve">the </w:t>
      </w:r>
      <w:r>
        <w:rPr>
          <w:lang w:eastAsia="en-AU"/>
        </w:rPr>
        <w:t xml:space="preserve">massive shift </w:t>
      </w:r>
      <w:r w:rsidR="006F1067">
        <w:rPr>
          <w:lang w:eastAsia="en-AU"/>
        </w:rPr>
        <w:t xml:space="preserve">to working from home </w:t>
      </w:r>
      <w:r>
        <w:rPr>
          <w:lang w:eastAsia="en-AU"/>
        </w:rPr>
        <w:t>in response to COVID-19</w:t>
      </w:r>
      <w:r w:rsidR="006F1067">
        <w:rPr>
          <w:lang w:eastAsia="en-AU"/>
        </w:rPr>
        <w:t xml:space="preserve">. This shift has made personal </w:t>
      </w:r>
      <w:r>
        <w:rPr>
          <w:lang w:eastAsia="en-AU"/>
        </w:rPr>
        <w:t>phone and internet access</w:t>
      </w:r>
      <w:r w:rsidR="006F1067">
        <w:rPr>
          <w:lang w:eastAsia="en-AU"/>
        </w:rPr>
        <w:t xml:space="preserve"> even</w:t>
      </w:r>
      <w:r>
        <w:rPr>
          <w:lang w:eastAsia="en-AU"/>
        </w:rPr>
        <w:t xml:space="preserve"> more vital for a range of workers</w:t>
      </w:r>
      <w:r w:rsidR="006F1067">
        <w:rPr>
          <w:lang w:eastAsia="en-AU"/>
        </w:rPr>
        <w:t xml:space="preserve"> and heightened the issues around who pays for that access</w:t>
      </w:r>
      <w:r>
        <w:rPr>
          <w:lang w:eastAsia="en-AU"/>
        </w:rPr>
        <w:t>. That said, with waged poor workers being more likely to be in marginalised or temporary work</w:t>
      </w:r>
      <w:r w:rsidR="00957701">
        <w:rPr>
          <w:lang w:eastAsia="en-AU"/>
        </w:rPr>
        <w:t>,</w:t>
      </w:r>
      <w:r>
        <w:rPr>
          <w:lang w:eastAsia="en-AU"/>
        </w:rPr>
        <w:t xml:space="preserve"> working from home may not</w:t>
      </w:r>
      <w:r w:rsidR="00957701">
        <w:rPr>
          <w:lang w:eastAsia="en-AU"/>
        </w:rPr>
        <w:t xml:space="preserve"> have been an option</w:t>
      </w:r>
      <w:r w:rsidR="00387202">
        <w:rPr>
          <w:lang w:eastAsia="en-AU"/>
        </w:rPr>
        <w:t xml:space="preserve"> </w:t>
      </w:r>
      <w:r w:rsidR="00387202">
        <w:rPr>
          <w:lang w:eastAsia="en-AU"/>
        </w:rPr>
        <w:fldChar w:fldCharType="begin"/>
      </w:r>
      <w:r w:rsidR="00387202">
        <w:rPr>
          <w:lang w:eastAsia="en-AU"/>
        </w:rPr>
        <w:instrText xml:space="preserve"> ADDIN ZOTERO_ITEM CSL_CITATION {"citationID":"0bY5cgB3","properties":{"formattedCitation":"(Pennington and Stanford, 2020)","plainCitation":"(Pennington and Stanford, 2020)","noteIndex":0},"citationItems":[{"id":123,"uris":["http://zotero.org/groups/2380274/items/MSYQQEXB"],"uri":["http://zotero.org/groups/2380274/items/MSYQQEXB"],"itemData":{"id":123,"type":"report","genre":"Briefing Paper","publisher":"The Australia Institute: Centre for Future Work","title":"Working from Home: Opportunities and Risks","URL":"https://d3n8a8pro7vhmx.cloudfront.net/theausinstitute/pages/3288/attachments/original/1586714739/Working_From_Home_Opportunitites_and_Risks_April2020.pdf?1586714739","author":[{"family":"Pennington","given":"Alison"},{"family":"Stanford","given":"Jim"}],"issued":{"date-parts":[["2020"]]}}}],"schema":"https://github.com/citation-style-language/schema/raw/master/csl-citation.json"} </w:instrText>
      </w:r>
      <w:r w:rsidR="00387202">
        <w:rPr>
          <w:lang w:eastAsia="en-AU"/>
        </w:rPr>
        <w:fldChar w:fldCharType="separate"/>
      </w:r>
      <w:r w:rsidR="00387202" w:rsidRPr="00387202">
        <w:rPr>
          <w:rFonts w:cs="Calibri"/>
        </w:rPr>
        <w:t>(Pennington and Stanford, 2020)</w:t>
      </w:r>
      <w:r w:rsidR="00387202">
        <w:rPr>
          <w:lang w:eastAsia="en-AU"/>
        </w:rPr>
        <w:fldChar w:fldCharType="end"/>
      </w:r>
      <w:r w:rsidR="00D96685">
        <w:rPr>
          <w:lang w:eastAsia="en-AU"/>
        </w:rPr>
        <w:t>. I</w:t>
      </w:r>
      <w:r>
        <w:rPr>
          <w:lang w:eastAsia="en-AU"/>
        </w:rPr>
        <w:t>t was apparent in a number of the qualitative interviews</w:t>
      </w:r>
      <w:r w:rsidR="006F1067">
        <w:rPr>
          <w:lang w:eastAsia="en-AU"/>
        </w:rPr>
        <w:t xml:space="preserve"> that </w:t>
      </w:r>
      <w:r>
        <w:rPr>
          <w:lang w:eastAsia="en-AU"/>
        </w:rPr>
        <w:t xml:space="preserve">the immediate result of the coronavirus lock-down </w:t>
      </w:r>
      <w:r w:rsidR="006F1067">
        <w:rPr>
          <w:lang w:eastAsia="en-AU"/>
        </w:rPr>
        <w:t>was not a shift to working from home</w:t>
      </w:r>
      <w:r w:rsidR="00D96685">
        <w:rPr>
          <w:lang w:eastAsia="en-AU"/>
        </w:rPr>
        <w:t>,</w:t>
      </w:r>
      <w:r w:rsidR="006F1067">
        <w:rPr>
          <w:lang w:eastAsia="en-AU"/>
        </w:rPr>
        <w:t xml:space="preserve"> but </w:t>
      </w:r>
      <w:r>
        <w:rPr>
          <w:lang w:eastAsia="en-AU"/>
        </w:rPr>
        <w:t xml:space="preserve">simply loss of jobs and income. </w:t>
      </w:r>
    </w:p>
    <w:p w14:paraId="30898E13" w14:textId="372933C7" w:rsidR="00026EFA" w:rsidRDefault="00A84DD9" w:rsidP="007A31C0">
      <w:pPr>
        <w:pStyle w:val="Heading3"/>
      </w:pPr>
      <w:bookmarkStart w:id="47" w:name="_Toc42719032"/>
      <w:bookmarkEnd w:id="42"/>
      <w:r>
        <w:t xml:space="preserve">Children and </w:t>
      </w:r>
      <w:r w:rsidR="00026EFA">
        <w:t>Schooling</w:t>
      </w:r>
      <w:bookmarkEnd w:id="47"/>
    </w:p>
    <w:p w14:paraId="13A9A1E8" w14:textId="7DB1F7DA" w:rsidR="00E12CA9" w:rsidRPr="00E12CA9" w:rsidRDefault="00026EFA" w:rsidP="00026EFA">
      <w:pPr>
        <w:rPr>
          <w:lang w:eastAsia="en-AU"/>
        </w:rPr>
      </w:pPr>
      <w:r w:rsidRPr="00E12CA9">
        <w:rPr>
          <w:lang w:eastAsia="en-AU"/>
        </w:rPr>
        <w:t xml:space="preserve">Given that </w:t>
      </w:r>
      <w:r w:rsidR="00170969">
        <w:rPr>
          <w:lang w:eastAsia="en-AU"/>
        </w:rPr>
        <w:t>waged poor</w:t>
      </w:r>
      <w:r w:rsidRPr="00E12CA9">
        <w:rPr>
          <w:lang w:eastAsia="en-AU"/>
        </w:rPr>
        <w:t xml:space="preserve"> households </w:t>
      </w:r>
      <w:r w:rsidR="006F1067" w:rsidRPr="00E12CA9">
        <w:rPr>
          <w:lang w:eastAsia="en-AU"/>
        </w:rPr>
        <w:t xml:space="preserve">are on average larger and </w:t>
      </w:r>
      <w:r w:rsidR="00E12CA9" w:rsidRPr="00E12CA9">
        <w:rPr>
          <w:lang w:eastAsia="en-AU"/>
        </w:rPr>
        <w:t xml:space="preserve">the cohort has </w:t>
      </w:r>
      <w:r w:rsidR="006F1067" w:rsidRPr="00E12CA9">
        <w:rPr>
          <w:lang w:eastAsia="en-AU"/>
        </w:rPr>
        <w:t xml:space="preserve">an over-representation of </w:t>
      </w:r>
      <w:r w:rsidRPr="00E12CA9">
        <w:rPr>
          <w:lang w:eastAsia="en-AU"/>
        </w:rPr>
        <w:t xml:space="preserve">“family formation” households, </w:t>
      </w:r>
      <w:r w:rsidR="00A84DD9" w:rsidRPr="00E12CA9">
        <w:rPr>
          <w:lang w:eastAsia="en-AU"/>
        </w:rPr>
        <w:t xml:space="preserve">then </w:t>
      </w:r>
      <w:r w:rsidR="006F1067" w:rsidRPr="00E12CA9">
        <w:rPr>
          <w:lang w:eastAsia="en-AU"/>
        </w:rPr>
        <w:t xml:space="preserve">telecommunications </w:t>
      </w:r>
      <w:r w:rsidR="00E463E5" w:rsidRPr="00E12CA9">
        <w:rPr>
          <w:lang w:eastAsia="en-AU"/>
        </w:rPr>
        <w:t>access and usage for children is a critical issue</w:t>
      </w:r>
      <w:r w:rsidR="00E12CA9" w:rsidRPr="00E12CA9">
        <w:rPr>
          <w:lang w:eastAsia="en-AU"/>
        </w:rPr>
        <w:t xml:space="preserve"> </w:t>
      </w:r>
      <w:r w:rsidR="00E463E5" w:rsidRPr="00E12CA9">
        <w:rPr>
          <w:lang w:eastAsia="en-AU"/>
        </w:rPr>
        <w:t xml:space="preserve">– particularly as by definition they have less money to ensure good access. Indeed, </w:t>
      </w:r>
      <w:r w:rsidR="00E12CA9" w:rsidRPr="00E12CA9">
        <w:rPr>
          <w:lang w:eastAsia="en-AU"/>
        </w:rPr>
        <w:t xml:space="preserve">it was notable that </w:t>
      </w:r>
      <w:r w:rsidR="00E463E5" w:rsidRPr="00E12CA9">
        <w:rPr>
          <w:lang w:eastAsia="en-AU"/>
        </w:rPr>
        <w:t>m</w:t>
      </w:r>
      <w:r w:rsidR="00A84DD9" w:rsidRPr="00E12CA9">
        <w:rPr>
          <w:lang w:eastAsia="en-AU"/>
        </w:rPr>
        <w:t>any of the interviewees had relatively large numbers of internet connected devices in the household, just by virtue of children having mobile phones</w:t>
      </w:r>
      <w:r w:rsidR="00CE23EC">
        <w:rPr>
          <w:lang w:eastAsia="en-AU"/>
        </w:rPr>
        <w:t xml:space="preserve"> (and sometimes iPads)</w:t>
      </w:r>
      <w:r w:rsidR="00A84DD9" w:rsidRPr="00E12CA9">
        <w:rPr>
          <w:lang w:eastAsia="en-AU"/>
        </w:rPr>
        <w:t xml:space="preserve">. </w:t>
      </w:r>
      <w:r w:rsidR="00CE23EC">
        <w:rPr>
          <w:lang w:eastAsia="en-AU"/>
        </w:rPr>
        <w:t>This obviously adds to household expense, but it does</w:t>
      </w:r>
      <w:r w:rsidR="00A84DD9" w:rsidRPr="00E12CA9">
        <w:rPr>
          <w:lang w:eastAsia="en-AU"/>
        </w:rPr>
        <w:t xml:space="preserve"> not ensure full connectivity</w:t>
      </w:r>
      <w:r w:rsidR="00E12CA9" w:rsidRPr="00E12CA9">
        <w:rPr>
          <w:lang w:eastAsia="en-AU"/>
        </w:rPr>
        <w:t>.</w:t>
      </w:r>
    </w:p>
    <w:p w14:paraId="090A4D93" w14:textId="6F0A6CB3" w:rsidR="00995517" w:rsidRDefault="00E12CA9" w:rsidP="00026EFA">
      <w:pPr>
        <w:rPr>
          <w:lang w:eastAsia="en-AU"/>
        </w:rPr>
      </w:pPr>
      <w:r w:rsidRPr="00E12CA9">
        <w:rPr>
          <w:lang w:eastAsia="en-AU"/>
        </w:rPr>
        <w:t xml:space="preserve">As noted above, for some households having NBN and </w:t>
      </w:r>
      <w:r w:rsidR="00CE23EC">
        <w:rPr>
          <w:lang w:eastAsia="en-AU"/>
        </w:rPr>
        <w:t xml:space="preserve">streaming </w:t>
      </w:r>
      <w:r w:rsidRPr="00E12CA9">
        <w:rPr>
          <w:lang w:eastAsia="en-AU"/>
        </w:rPr>
        <w:t xml:space="preserve">Netflix </w:t>
      </w:r>
      <w:r w:rsidR="00CE23EC">
        <w:rPr>
          <w:lang w:eastAsia="en-AU"/>
        </w:rPr>
        <w:t xml:space="preserve">and Disney </w:t>
      </w:r>
      <w:r w:rsidRPr="00E12CA9">
        <w:rPr>
          <w:lang w:eastAsia="en-AU"/>
        </w:rPr>
        <w:t>was use</w:t>
      </w:r>
      <w:r>
        <w:rPr>
          <w:lang w:eastAsia="en-AU"/>
        </w:rPr>
        <w:t xml:space="preserve">ful for entertaining and looking after the kids, but </w:t>
      </w:r>
      <w:r w:rsidR="00F33E7F">
        <w:rPr>
          <w:lang w:eastAsia="en-AU"/>
        </w:rPr>
        <w:t xml:space="preserve">as </w:t>
      </w:r>
      <w:r w:rsidR="0007007E">
        <w:rPr>
          <w:lang w:eastAsia="en-AU"/>
        </w:rPr>
        <w:t xml:space="preserve">Alison </w:t>
      </w:r>
      <w:r w:rsidR="00F33E7F">
        <w:rPr>
          <w:lang w:eastAsia="en-AU"/>
        </w:rPr>
        <w:t xml:space="preserve">noted, </w:t>
      </w:r>
      <w:r>
        <w:rPr>
          <w:lang w:eastAsia="en-AU"/>
        </w:rPr>
        <w:t xml:space="preserve">internet connection was also necessary for </w:t>
      </w:r>
      <w:r w:rsidR="00F33E7F">
        <w:rPr>
          <w:lang w:eastAsia="en-AU"/>
        </w:rPr>
        <w:t>her to</w:t>
      </w:r>
      <w:r>
        <w:rPr>
          <w:lang w:eastAsia="en-AU"/>
        </w:rPr>
        <w:t xml:space="preserve"> engag</w:t>
      </w:r>
      <w:r w:rsidR="00F33E7F">
        <w:rPr>
          <w:lang w:eastAsia="en-AU"/>
        </w:rPr>
        <w:t>e</w:t>
      </w:r>
      <w:r>
        <w:rPr>
          <w:lang w:eastAsia="en-AU"/>
        </w:rPr>
        <w:t xml:space="preserve"> with the school because </w:t>
      </w:r>
      <w:r w:rsidR="00F33E7F">
        <w:rPr>
          <w:lang w:eastAsia="en-AU"/>
        </w:rPr>
        <w:t>“</w:t>
      </w:r>
      <w:r>
        <w:rPr>
          <w:lang w:eastAsia="en-AU"/>
        </w:rPr>
        <w:t>so much of that is online now</w:t>
      </w:r>
      <w:r w:rsidR="00F33E7F">
        <w:rPr>
          <w:lang w:eastAsia="en-AU"/>
        </w:rPr>
        <w:t>”</w:t>
      </w:r>
      <w:r w:rsidR="003260B9">
        <w:rPr>
          <w:lang w:eastAsia="en-AU"/>
        </w:rPr>
        <w:t>. She al</w:t>
      </w:r>
      <w:r w:rsidR="00F33E7F">
        <w:rPr>
          <w:lang w:eastAsia="en-AU"/>
        </w:rPr>
        <w:t xml:space="preserve">so </w:t>
      </w:r>
      <w:r w:rsidR="003260B9">
        <w:rPr>
          <w:lang w:eastAsia="en-AU"/>
        </w:rPr>
        <w:t>needed phone and internet “</w:t>
      </w:r>
      <w:r w:rsidR="00F33E7F">
        <w:rPr>
          <w:lang w:eastAsia="en-AU"/>
        </w:rPr>
        <w:t>just to keep in touch with her teenagers</w:t>
      </w:r>
      <w:r w:rsidR="003260B9">
        <w:rPr>
          <w:lang w:eastAsia="en-AU"/>
        </w:rPr>
        <w:t>”</w:t>
      </w:r>
      <w:r>
        <w:rPr>
          <w:lang w:eastAsia="en-AU"/>
        </w:rPr>
        <w:t>.</w:t>
      </w:r>
      <w:r w:rsidR="00F33E7F">
        <w:rPr>
          <w:lang w:eastAsia="en-AU"/>
        </w:rPr>
        <w:t xml:space="preserve"> But home internet connection is also important for schooling.</w:t>
      </w:r>
      <w:r w:rsidR="00995517">
        <w:rPr>
          <w:lang w:eastAsia="en-AU"/>
        </w:rPr>
        <w:t xml:space="preserve"> BCAR (2020) estimated that a primary school student might use 1GB of data per month for homework, while a secondary school student’s homework may require 3GB per </w:t>
      </w:r>
      <w:r w:rsidR="00995517">
        <w:rPr>
          <w:lang w:eastAsia="en-AU"/>
        </w:rPr>
        <w:lastRenderedPageBreak/>
        <w:t>month – quite apart from their online leisure activities which, in the case of gaming may be very data-intensive.</w:t>
      </w:r>
    </w:p>
    <w:p w14:paraId="37462ED8" w14:textId="32158289" w:rsidR="00EF23B4" w:rsidRDefault="00E31477" w:rsidP="00026EFA">
      <w:pPr>
        <w:rPr>
          <w:lang w:eastAsia="en-AU"/>
        </w:rPr>
      </w:pPr>
      <w:bookmarkStart w:id="48" w:name="_Hlk44594394"/>
      <w:r>
        <w:rPr>
          <w:lang w:eastAsia="en-AU"/>
        </w:rPr>
        <w:t xml:space="preserve">This data was before the </w:t>
      </w:r>
      <w:r w:rsidRPr="00E15747">
        <w:rPr>
          <w:lang w:eastAsia="en-AU"/>
        </w:rPr>
        <w:t>coronavirus</w:t>
      </w:r>
      <w:r>
        <w:rPr>
          <w:lang w:eastAsia="en-AU"/>
        </w:rPr>
        <w:t xml:space="preserve"> shutdowns and most of the SACOSS interviews did not cover schooling issues in depth –</w:t>
      </w:r>
      <w:r w:rsidR="000B21D8" w:rsidRPr="000B21D8">
        <w:t xml:space="preserve"> </w:t>
      </w:r>
      <w:r w:rsidR="000B21D8">
        <w:t xml:space="preserve">although it was raised and very relevant in the Canberra interviews, </w:t>
      </w:r>
      <w:r>
        <w:rPr>
          <w:lang w:eastAsia="en-AU"/>
        </w:rPr>
        <w:t xml:space="preserve">not least because of the ACT government program to provide Chromebooks to every secondary student enrolled in the ACT Public Education System. </w:t>
      </w:r>
      <w:bookmarkEnd w:id="48"/>
      <w:r>
        <w:rPr>
          <w:lang w:eastAsia="en-AU"/>
        </w:rPr>
        <w:t xml:space="preserve">There were holes in the system with one family losing access in moving schools, and another family </w:t>
      </w:r>
      <w:r w:rsidRPr="00094580">
        <w:rPr>
          <w:lang w:eastAsia="en-AU"/>
        </w:rPr>
        <w:t>having to buy one for their child much earlier than that.</w:t>
      </w:r>
      <w:r>
        <w:rPr>
          <w:lang w:eastAsia="en-AU"/>
        </w:rPr>
        <w:t xml:space="preserve"> Crucially, the Chromebooks program did not come with data so there was still a barrier (or extra expense) for some </w:t>
      </w:r>
      <w:r w:rsidR="00094580">
        <w:rPr>
          <w:lang w:eastAsia="en-AU"/>
        </w:rPr>
        <w:t xml:space="preserve">waged </w:t>
      </w:r>
      <w:r w:rsidRPr="00094580">
        <w:rPr>
          <w:lang w:eastAsia="en-AU"/>
        </w:rPr>
        <w:t>poor</w:t>
      </w:r>
      <w:r>
        <w:rPr>
          <w:lang w:eastAsia="en-AU"/>
        </w:rPr>
        <w:t xml:space="preserve"> households – not least because the Canberra free </w:t>
      </w:r>
      <w:r w:rsidR="00FD3792">
        <w:rPr>
          <w:lang w:eastAsia="en-AU"/>
        </w:rPr>
        <w:t>WiFi</w:t>
      </w:r>
      <w:r>
        <w:rPr>
          <w:lang w:eastAsia="en-AU"/>
        </w:rPr>
        <w:t xml:space="preserve"> does not exist in some suburbs where the poorest households were likely to be located. There was an attempt to address this by provision of dongles with data when the COVID-19 crisis closed schools, and the government expanded the program to every public school student in Year</w:t>
      </w:r>
      <w:r w:rsidR="00095489">
        <w:rPr>
          <w:lang w:eastAsia="en-AU"/>
        </w:rPr>
        <w:t>s</w:t>
      </w:r>
      <w:r>
        <w:rPr>
          <w:lang w:eastAsia="en-AU"/>
        </w:rPr>
        <w:t xml:space="preserve"> 4, 5 and 6.</w:t>
      </w:r>
    </w:p>
    <w:p w14:paraId="5B8A414A" w14:textId="6B516C12" w:rsidR="00E12CA9" w:rsidRDefault="00EF23B4" w:rsidP="00026EFA">
      <w:pPr>
        <w:rPr>
          <w:rFonts w:cs="Calibri"/>
          <w:color w:val="000000"/>
        </w:rPr>
      </w:pPr>
      <w:r>
        <w:rPr>
          <w:lang w:eastAsia="en-AU"/>
        </w:rPr>
        <w:t xml:space="preserve">These initiatives show an awareness of the importance of digital access for school children, although </w:t>
      </w:r>
      <w:r w:rsidR="00424899">
        <w:rPr>
          <w:lang w:eastAsia="en-AU"/>
        </w:rPr>
        <w:t>ACTCOSS</w:t>
      </w:r>
      <w:r w:rsidR="00CA19D4">
        <w:rPr>
          <w:lang w:eastAsia="en-AU"/>
        </w:rPr>
        <w:t xml:space="preserve">’ information is that the rollout </w:t>
      </w:r>
      <w:r>
        <w:rPr>
          <w:lang w:eastAsia="en-AU"/>
        </w:rPr>
        <w:t xml:space="preserve">of the COVID-19 measures </w:t>
      </w:r>
      <w:r w:rsidR="00CA19D4">
        <w:rPr>
          <w:lang w:eastAsia="en-AU"/>
        </w:rPr>
        <w:t xml:space="preserve">was delayed and was inconsistent (in part because of the considerable autonomy of schools in Canberra, which itself is a source of inequality). </w:t>
      </w:r>
      <w:r>
        <w:rPr>
          <w:lang w:eastAsia="en-AU"/>
        </w:rPr>
        <w:t>Further</w:t>
      </w:r>
      <w:r w:rsidR="00CA19D4">
        <w:rPr>
          <w:lang w:eastAsia="en-AU"/>
        </w:rPr>
        <w:t xml:space="preserve">, once schools started going back, the government has insisted that all devices and dongles </w:t>
      </w:r>
      <w:r>
        <w:rPr>
          <w:lang w:eastAsia="en-AU"/>
        </w:rPr>
        <w:t xml:space="preserve">were only on loan and had to be returned – again meaning that those without home access would be disadvantaged. </w:t>
      </w:r>
      <w:r w:rsidR="00CA19D4">
        <w:rPr>
          <w:lang w:eastAsia="en-AU"/>
        </w:rPr>
        <w:t xml:space="preserve">Yet even with those gaps, </w:t>
      </w:r>
      <w:r w:rsidR="00F33E7F">
        <w:rPr>
          <w:lang w:eastAsia="en-AU"/>
        </w:rPr>
        <w:t xml:space="preserve">as </w:t>
      </w:r>
      <w:r>
        <w:rPr>
          <w:lang w:eastAsia="en-AU"/>
        </w:rPr>
        <w:t xml:space="preserve">one interviewee, </w:t>
      </w:r>
      <w:r w:rsidR="004841A1">
        <w:rPr>
          <w:lang w:eastAsia="en-AU"/>
        </w:rPr>
        <w:t>Catherine</w:t>
      </w:r>
      <w:r w:rsidR="00806F0A">
        <w:rPr>
          <w:lang w:eastAsia="en-AU"/>
        </w:rPr>
        <w:t>, who had two children</w:t>
      </w:r>
      <w:r w:rsidR="00806F0A" w:rsidRPr="00F33E7F">
        <w:rPr>
          <w:rFonts w:cs="Calibri"/>
          <w:color w:val="000000"/>
        </w:rPr>
        <w:t xml:space="preserve"> with government provided Chromebooks </w:t>
      </w:r>
      <w:r w:rsidR="00806F0A" w:rsidRPr="00094580">
        <w:rPr>
          <w:rFonts w:cs="Calibri"/>
          <w:color w:val="000000"/>
        </w:rPr>
        <w:t>noted,</w:t>
      </w:r>
      <w:r w:rsidR="00806F0A" w:rsidRPr="00F33E7F">
        <w:rPr>
          <w:rFonts w:cs="Calibri"/>
          <w:color w:val="000000"/>
        </w:rPr>
        <w:t xml:space="preserve"> </w:t>
      </w:r>
      <w:r w:rsidR="00A46FBD" w:rsidRPr="00F33E7F">
        <w:rPr>
          <w:rFonts w:cs="Calibri"/>
          <w:color w:val="000000"/>
        </w:rPr>
        <w:t>with the kids staying at home</w:t>
      </w:r>
      <w:r w:rsidR="00A46FBD">
        <w:rPr>
          <w:rFonts w:cs="Calibri"/>
          <w:color w:val="000000"/>
        </w:rPr>
        <w:t xml:space="preserve"> due to </w:t>
      </w:r>
      <w:r w:rsidR="00A46FBD" w:rsidRPr="00E15747">
        <w:rPr>
          <w:rFonts w:cs="Calibri"/>
          <w:color w:val="000000"/>
        </w:rPr>
        <w:t>c</w:t>
      </w:r>
      <w:r w:rsidR="00A46FBD">
        <w:rPr>
          <w:rFonts w:cs="Calibri"/>
          <w:color w:val="000000"/>
        </w:rPr>
        <w:t>oronavirus</w:t>
      </w:r>
      <w:r w:rsidR="00094580">
        <w:rPr>
          <w:rFonts w:cs="Calibri"/>
          <w:color w:val="000000"/>
        </w:rPr>
        <w:t>,</w:t>
      </w:r>
      <w:r w:rsidR="00A46FBD" w:rsidRPr="00F33E7F">
        <w:rPr>
          <w:rFonts w:cs="Calibri"/>
          <w:color w:val="000000"/>
        </w:rPr>
        <w:t xml:space="preserve"> </w:t>
      </w:r>
      <w:r w:rsidR="00806F0A" w:rsidRPr="00F33E7F">
        <w:rPr>
          <w:rFonts w:cs="Calibri"/>
          <w:color w:val="000000"/>
        </w:rPr>
        <w:t xml:space="preserve">it would be </w:t>
      </w:r>
      <w:r w:rsidR="00A46FBD">
        <w:rPr>
          <w:rFonts w:cs="Calibri"/>
          <w:color w:val="000000"/>
        </w:rPr>
        <w:t>“</w:t>
      </w:r>
      <w:r w:rsidR="00806F0A" w:rsidRPr="00F33E7F">
        <w:rPr>
          <w:rFonts w:cs="Calibri"/>
          <w:color w:val="000000"/>
        </w:rPr>
        <w:t xml:space="preserve">a </w:t>
      </w:r>
      <w:r w:rsidR="00A56C2E">
        <w:rPr>
          <w:rFonts w:cs="Calibri"/>
          <w:color w:val="000000"/>
        </w:rPr>
        <w:t xml:space="preserve">real </w:t>
      </w:r>
      <w:r w:rsidR="00806F0A" w:rsidRPr="00F33E7F">
        <w:rPr>
          <w:rFonts w:cs="Calibri"/>
          <w:color w:val="000000"/>
        </w:rPr>
        <w:t>problem</w:t>
      </w:r>
      <w:r w:rsidR="00A46FBD">
        <w:rPr>
          <w:rFonts w:cs="Calibri"/>
          <w:color w:val="000000"/>
        </w:rPr>
        <w:t>”</w:t>
      </w:r>
      <w:r w:rsidR="00806F0A" w:rsidRPr="00F33E7F">
        <w:rPr>
          <w:rFonts w:cs="Calibri"/>
          <w:color w:val="000000"/>
        </w:rPr>
        <w:t xml:space="preserve"> </w:t>
      </w:r>
      <w:r w:rsidR="00806F0A">
        <w:rPr>
          <w:rFonts w:cs="Calibri"/>
          <w:color w:val="000000"/>
        </w:rPr>
        <w:t xml:space="preserve">without </w:t>
      </w:r>
      <w:r w:rsidR="00806F0A" w:rsidRPr="00F33E7F">
        <w:rPr>
          <w:rFonts w:cs="Calibri"/>
          <w:color w:val="000000"/>
        </w:rPr>
        <w:t>th</w:t>
      </w:r>
      <w:r w:rsidR="00A46FBD">
        <w:rPr>
          <w:rFonts w:cs="Calibri"/>
          <w:color w:val="000000"/>
        </w:rPr>
        <w:t>e Chromebo</w:t>
      </w:r>
      <w:r>
        <w:rPr>
          <w:rFonts w:cs="Calibri"/>
          <w:color w:val="000000"/>
        </w:rPr>
        <w:t>oks</w:t>
      </w:r>
      <w:r w:rsidR="00806F0A">
        <w:rPr>
          <w:rFonts w:cs="Calibri"/>
          <w:color w:val="000000"/>
        </w:rPr>
        <w:t>.</w:t>
      </w:r>
    </w:p>
    <w:p w14:paraId="78D53FBE" w14:textId="2DABF1D1" w:rsidR="00EF23B4" w:rsidRDefault="003260B9" w:rsidP="00026EFA">
      <w:pPr>
        <w:rPr>
          <w:rFonts w:cs="Calibri"/>
          <w:color w:val="000000"/>
        </w:rPr>
      </w:pPr>
      <w:r>
        <w:rPr>
          <w:rFonts w:cs="Calibri"/>
          <w:color w:val="000000"/>
        </w:rPr>
        <w:t>In other contexts</w:t>
      </w:r>
      <w:r w:rsidR="00094580">
        <w:rPr>
          <w:rFonts w:cs="Calibri"/>
          <w:color w:val="000000"/>
        </w:rPr>
        <w:t>,</w:t>
      </w:r>
      <w:r>
        <w:rPr>
          <w:rFonts w:cs="Calibri"/>
          <w:color w:val="000000"/>
        </w:rPr>
        <w:t xml:space="preserve"> stories are emerging of the </w:t>
      </w:r>
      <w:r w:rsidRPr="00E15747">
        <w:rPr>
          <w:rFonts w:cs="Calibri"/>
          <w:color w:val="000000"/>
        </w:rPr>
        <w:t>c</w:t>
      </w:r>
      <w:r>
        <w:rPr>
          <w:rFonts w:cs="Calibri"/>
          <w:color w:val="000000"/>
        </w:rPr>
        <w:t xml:space="preserve">oronavirus shutdowns deepening the digital divide. </w:t>
      </w:r>
      <w:bookmarkStart w:id="49" w:name="_Hlk41123462"/>
      <w:r>
        <w:rPr>
          <w:rFonts w:cs="Calibri"/>
          <w:color w:val="000000"/>
        </w:rPr>
        <w:t>ABC News in Adelaide reported a school in Playford where the Deputy Principal was highlighting the problem, noting that many of the families at the school could barely afford book</w:t>
      </w:r>
      <w:r w:rsidR="00461088">
        <w:rPr>
          <w:rFonts w:cs="Calibri"/>
          <w:color w:val="000000"/>
        </w:rPr>
        <w:t>s</w:t>
      </w:r>
      <w:r>
        <w:rPr>
          <w:rFonts w:cs="Calibri"/>
          <w:color w:val="000000"/>
        </w:rPr>
        <w:t>, let alone a laptop or decent home internet, and that it was not uncommon for four students to be sharing one laptop at home</w:t>
      </w:r>
      <w:r w:rsidR="00EF23B4">
        <w:rPr>
          <w:rFonts w:cs="Calibri"/>
          <w:color w:val="000000"/>
        </w:rPr>
        <w:fldChar w:fldCharType="begin"/>
      </w:r>
      <w:r w:rsidR="00EF23B4">
        <w:rPr>
          <w:rFonts w:cs="Calibri"/>
          <w:color w:val="000000"/>
        </w:rPr>
        <w:instrText xml:space="preserve"> ADDIN ZOTERO_ITEM CSL_CITATION {"citationID":"hTLB4XJx","properties":{"formattedCitation":"(Campbell, 2020)","plainCitation":"(Campbell, 2020)","noteIndex":0},"citationItems":[{"id":13,"uris":["http://zotero.org/groups/2380274/items/RVESL9FG"],"uri":["http://zotero.org/groups/2380274/items/RVESL9FG"],"itemData":{"id":13,"type":"article-newspaper","container-title":"ABC News","title":"SA schools' online learning set-ups to highlight internet and technology access disparities","URL":"https://www.abc.net.au/news/2020-04-08/students-facing-internet-access-challenges-with-online-learning/12130712","author":[{"family":"Campbell","given":"Claire"}],"issued":{"date-parts":[["2020",8,4]]}}}],"schema":"https://github.com/citation-style-language/schema/raw/master/csl-citation.json"} </w:instrText>
      </w:r>
      <w:r w:rsidR="00EF23B4">
        <w:rPr>
          <w:rFonts w:cs="Calibri"/>
          <w:color w:val="000000"/>
        </w:rPr>
        <w:fldChar w:fldCharType="separate"/>
      </w:r>
      <w:r w:rsidR="00EF23B4" w:rsidRPr="00EF23B4">
        <w:rPr>
          <w:rFonts w:cs="Calibri"/>
        </w:rPr>
        <w:t>(Campbell, 2020)</w:t>
      </w:r>
      <w:r w:rsidR="00EF23B4">
        <w:rPr>
          <w:rFonts w:cs="Calibri"/>
          <w:color w:val="000000"/>
        </w:rPr>
        <w:fldChar w:fldCharType="end"/>
      </w:r>
      <w:r w:rsidR="00EF23B4">
        <w:rPr>
          <w:rFonts w:cs="Calibri"/>
          <w:color w:val="000000"/>
        </w:rPr>
        <w:t xml:space="preserve">. </w:t>
      </w:r>
      <w:r w:rsidR="003035BB">
        <w:rPr>
          <w:rFonts w:cs="Calibri"/>
          <w:color w:val="000000"/>
        </w:rPr>
        <w:t xml:space="preserve">The Smith Family’s snapshot of the COVID-19 crisis noted that such device sharing was common and lack of internet access was a problem for many low income families across the country dealing with home study </w:t>
      </w:r>
      <w:r w:rsidR="003035BB">
        <w:rPr>
          <w:rFonts w:cs="Calibri"/>
          <w:color w:val="000000"/>
        </w:rPr>
        <w:fldChar w:fldCharType="begin"/>
      </w:r>
      <w:r w:rsidR="004961D7">
        <w:rPr>
          <w:rFonts w:cs="Calibri"/>
          <w:color w:val="000000"/>
        </w:rPr>
        <w:instrText xml:space="preserve"> ADDIN ZOTERO_ITEM CSL_CITATION {"citationID":"FwbbYGyo","properties":{"formattedCitation":"(TSF, 2020a)","plainCitation":"(TSF, 2020a)","noteIndex":0},"citationItems":[{"id":91,"uris":["http://zotero.org/groups/2380274/items/4H8HSN65"],"uri":["http://zotero.org/groups/2380274/items/4H8HSN65"],"itemData":{"id":91,"type":"report","publisher":"The Smith Family","title":"COVID-19 Insights Snapshot: The Challenges of Surviving COVID-19 in Australia's Hardest Hit Communities","URL":"https://www.thesmithfamily.com.au/-/media/files/about-us/media/the-smith-family_insights-snapshot_may-2020.pdf?la=en&amp;hash=ECCFA02466429BECB0B17F61F860BC4F","author":[{"family":"TSF","given":""}],"issued":{"date-parts":[["2020"]]}}}],"schema":"https://github.com/citation-style-language/schema/raw/master/csl-citation.json"} </w:instrText>
      </w:r>
      <w:r w:rsidR="003035BB">
        <w:rPr>
          <w:rFonts w:cs="Calibri"/>
          <w:color w:val="000000"/>
        </w:rPr>
        <w:fldChar w:fldCharType="separate"/>
      </w:r>
      <w:r w:rsidR="004961D7" w:rsidRPr="004961D7">
        <w:rPr>
          <w:rFonts w:cs="Calibri"/>
        </w:rPr>
        <w:t>(TSF, 2020a)</w:t>
      </w:r>
      <w:r w:rsidR="003035BB">
        <w:rPr>
          <w:rFonts w:cs="Calibri"/>
          <w:color w:val="000000"/>
        </w:rPr>
        <w:fldChar w:fldCharType="end"/>
      </w:r>
      <w:r w:rsidR="003035BB">
        <w:rPr>
          <w:rFonts w:cs="Calibri"/>
          <w:color w:val="000000"/>
        </w:rPr>
        <w:t>, while a</w:t>
      </w:r>
      <w:r w:rsidR="00EF23B4">
        <w:rPr>
          <w:rFonts w:cs="Calibri"/>
          <w:color w:val="000000"/>
        </w:rPr>
        <w:t xml:space="preserve"> school principal in NSW complained that her school was “forgotten about” during the pandemic with none of her students able to take part in online learning </w:t>
      </w:r>
      <w:r w:rsidR="00EF23B4">
        <w:rPr>
          <w:rFonts w:cs="Calibri"/>
          <w:color w:val="000000"/>
        </w:rPr>
        <w:fldChar w:fldCharType="begin"/>
      </w:r>
      <w:r w:rsidR="00EF23B4">
        <w:rPr>
          <w:rFonts w:cs="Calibri"/>
          <w:color w:val="000000"/>
        </w:rPr>
        <w:instrText xml:space="preserve"> ADDIN ZOTERO_ITEM CSL_CITATION {"citationID":"KZLO6Plv","properties":{"formattedCitation":"(Greenbank and Marciniak, 2020)","plainCitation":"(Greenbank and Marciniak, 2020)","noteIndex":0},"citationItems":[{"id":90,"uris":["http://zotero.org/groups/2380274/items/EIGZCS5R"],"uri":["http://zotero.org/groups/2380274/items/EIGZCS5R"],"itemData":{"id":90,"type":"article-newspaper","container-title":"ABC News","title":"Principal say her school was forgotten during the coronavirus lockdown","URL":"https://www.abc.net.au/news/2020-05-27/cabbage-tree-island-school-overlooked-with-homeschooling-tech/12288446","author":[{"family":"Greenbank","given":"Amy"},{"family":"Marciniak","given":"Catherine"}],"issued":{"date-parts":[["2020",5,27]]}}}],"schema":"https://github.com/citation-style-language/schema/raw/master/csl-citation.json"} </w:instrText>
      </w:r>
      <w:r w:rsidR="00EF23B4">
        <w:rPr>
          <w:rFonts w:cs="Calibri"/>
          <w:color w:val="000000"/>
        </w:rPr>
        <w:fldChar w:fldCharType="separate"/>
      </w:r>
      <w:r w:rsidR="00EF23B4" w:rsidRPr="00EF23B4">
        <w:rPr>
          <w:rFonts w:cs="Calibri"/>
        </w:rPr>
        <w:t>(Greenbank and Marciniak, 2020)</w:t>
      </w:r>
      <w:r w:rsidR="00EF23B4">
        <w:rPr>
          <w:rFonts w:cs="Calibri"/>
          <w:color w:val="000000"/>
        </w:rPr>
        <w:fldChar w:fldCharType="end"/>
      </w:r>
      <w:r w:rsidR="00EF23B4">
        <w:rPr>
          <w:rFonts w:cs="Calibri"/>
          <w:color w:val="000000"/>
        </w:rPr>
        <w:t xml:space="preserve">. </w:t>
      </w:r>
    </w:p>
    <w:bookmarkEnd w:id="49"/>
    <w:p w14:paraId="60CD419A" w14:textId="1F05CA8F" w:rsidR="003260B9" w:rsidRDefault="003260B9" w:rsidP="00026EFA">
      <w:pPr>
        <w:rPr>
          <w:lang w:eastAsia="en-AU"/>
        </w:rPr>
      </w:pPr>
      <w:r>
        <w:rPr>
          <w:rFonts w:cs="Calibri"/>
          <w:color w:val="000000"/>
        </w:rPr>
        <w:t>Th</w:t>
      </w:r>
      <w:r w:rsidR="00FB7C1A">
        <w:rPr>
          <w:rFonts w:cs="Calibri"/>
          <w:color w:val="000000"/>
        </w:rPr>
        <w:t xml:space="preserve">ese stories were not directly related to </w:t>
      </w:r>
      <w:r w:rsidR="00170969" w:rsidRPr="00094580">
        <w:rPr>
          <w:rFonts w:cs="Calibri"/>
          <w:color w:val="000000"/>
        </w:rPr>
        <w:t>waged poor</w:t>
      </w:r>
      <w:r w:rsidR="00FB7C1A">
        <w:rPr>
          <w:rFonts w:cs="Calibri"/>
          <w:color w:val="000000"/>
        </w:rPr>
        <w:t xml:space="preserve"> households, </w:t>
      </w:r>
      <w:r>
        <w:rPr>
          <w:rFonts w:cs="Calibri"/>
          <w:color w:val="000000"/>
        </w:rPr>
        <w:t xml:space="preserve">but </w:t>
      </w:r>
      <w:r w:rsidR="00FB7C1A">
        <w:rPr>
          <w:rFonts w:cs="Calibri"/>
          <w:color w:val="000000"/>
        </w:rPr>
        <w:t xml:space="preserve">they are generic to poverty </w:t>
      </w:r>
      <w:r>
        <w:rPr>
          <w:rFonts w:cs="Calibri"/>
          <w:color w:val="000000"/>
        </w:rPr>
        <w:t>and particularly relevant given the family formation profile of many waged poor households.</w:t>
      </w:r>
    </w:p>
    <w:p w14:paraId="4D200683" w14:textId="6363ACBC" w:rsidR="009F729B" w:rsidRDefault="003260B9" w:rsidP="0075154C">
      <w:pPr>
        <w:rPr>
          <w:lang w:eastAsia="en-AU"/>
        </w:rPr>
      </w:pPr>
      <w:r>
        <w:rPr>
          <w:lang w:eastAsia="en-AU"/>
        </w:rPr>
        <w:t xml:space="preserve">While governments and schools scrambled to ensure that students could have some digital connection through the coronavirus </w:t>
      </w:r>
      <w:r w:rsidR="00807369">
        <w:rPr>
          <w:lang w:eastAsia="en-AU"/>
        </w:rPr>
        <w:t>closures</w:t>
      </w:r>
      <w:r>
        <w:rPr>
          <w:lang w:eastAsia="en-AU"/>
        </w:rPr>
        <w:t>, the issue is a longer term</w:t>
      </w:r>
      <w:r w:rsidR="00807369">
        <w:rPr>
          <w:lang w:eastAsia="en-AU"/>
        </w:rPr>
        <w:t xml:space="preserve"> one and ch</w:t>
      </w:r>
      <w:r w:rsidR="00806F0A">
        <w:rPr>
          <w:lang w:eastAsia="en-AU"/>
        </w:rPr>
        <w:t xml:space="preserve">arities like the Smith Family </w:t>
      </w:r>
      <w:r w:rsidR="0075154C">
        <w:rPr>
          <w:lang w:eastAsia="en-AU"/>
        </w:rPr>
        <w:t>have long been concerned about the impacts of the school digital divide</w:t>
      </w:r>
      <w:r w:rsidR="00806F0A">
        <w:rPr>
          <w:lang w:eastAsia="en-AU"/>
        </w:rPr>
        <w:t xml:space="preserve">. </w:t>
      </w:r>
      <w:r w:rsidR="0075154C">
        <w:rPr>
          <w:lang w:eastAsia="en-AU"/>
        </w:rPr>
        <w:t>The</w:t>
      </w:r>
      <w:r w:rsidR="00807369">
        <w:rPr>
          <w:lang w:eastAsia="en-AU"/>
        </w:rPr>
        <w:t xml:space="preserve"> Smith Family</w:t>
      </w:r>
      <w:r w:rsidR="0075154C">
        <w:rPr>
          <w:lang w:eastAsia="en-AU"/>
        </w:rPr>
        <w:t xml:space="preserve"> began their provision of “Tech Packs” (refurbished computers, connection and basic training) in 2007</w:t>
      </w:r>
      <w:r w:rsidR="004961D7">
        <w:rPr>
          <w:lang w:eastAsia="en-AU"/>
        </w:rPr>
        <w:t xml:space="preserve"> and delivered over 5000 computers to low income families before</w:t>
      </w:r>
      <w:r w:rsidR="0075154C">
        <w:rPr>
          <w:lang w:eastAsia="en-AU"/>
        </w:rPr>
        <w:t xml:space="preserve"> upgrading </w:t>
      </w:r>
      <w:r w:rsidR="004961D7">
        <w:rPr>
          <w:lang w:eastAsia="en-AU"/>
        </w:rPr>
        <w:t>the program</w:t>
      </w:r>
      <w:r w:rsidR="0075154C">
        <w:rPr>
          <w:lang w:eastAsia="en-AU"/>
        </w:rPr>
        <w:t xml:space="preserve"> to a </w:t>
      </w:r>
      <w:r w:rsidR="004961D7">
        <w:rPr>
          <w:lang w:eastAsia="en-AU"/>
        </w:rPr>
        <w:t xml:space="preserve">new </w:t>
      </w:r>
      <w:r w:rsidR="0075154C">
        <w:rPr>
          <w:lang w:eastAsia="en-AU"/>
        </w:rPr>
        <w:t xml:space="preserve">Digital Access Program in 2017 </w:t>
      </w:r>
      <w:r w:rsidR="004961D7">
        <w:rPr>
          <w:lang w:eastAsia="en-AU"/>
        </w:rPr>
        <w:fldChar w:fldCharType="begin"/>
      </w:r>
      <w:r w:rsidR="004961D7">
        <w:rPr>
          <w:lang w:eastAsia="en-AU"/>
        </w:rPr>
        <w:instrText xml:space="preserve"> ADDIN ZOTERO_ITEM CSL_CITATION {"citationID":"RmF3QlLx","properties":{"formattedCitation":"(TSF, 2020b)","plainCitation":"(TSF, 2020b)","noteIndex":0},"citationItems":[{"id":92,"uris":["http://zotero.org/groups/2380274/items/M5KTVXE8"],"uri":["http://zotero.org/groups/2380274/items/M5KTVXE8"],"itemData":{"id":92,"type":"webpage","container-title":"The Smith Family","title":"Digital Access: Internet and Devices for Learning at Home","URL":"https://www.thesmithfamily.com.au/programs/technology/digital-access","author":[{"family":"TSF","given":""}],"issued":{"date-parts":[["2020",5,31]]}}}],"schema":"https://github.com/citation-style-language/schema/raw/master/csl-citation.json"} </w:instrText>
      </w:r>
      <w:r w:rsidR="004961D7">
        <w:rPr>
          <w:lang w:eastAsia="en-AU"/>
        </w:rPr>
        <w:fldChar w:fldCharType="separate"/>
      </w:r>
      <w:r w:rsidR="004961D7" w:rsidRPr="004961D7">
        <w:rPr>
          <w:rFonts w:cs="Calibri"/>
        </w:rPr>
        <w:t>(TSF, 2020b)</w:t>
      </w:r>
      <w:r w:rsidR="004961D7">
        <w:rPr>
          <w:lang w:eastAsia="en-AU"/>
        </w:rPr>
        <w:fldChar w:fldCharType="end"/>
      </w:r>
      <w:r w:rsidR="0075154C">
        <w:rPr>
          <w:lang w:eastAsia="en-AU"/>
        </w:rPr>
        <w:t xml:space="preserve"> However, as will be discussed below, these programs struggle to connect with </w:t>
      </w:r>
      <w:r w:rsidR="00170969">
        <w:rPr>
          <w:lang w:eastAsia="en-AU"/>
        </w:rPr>
        <w:t>waged poor</w:t>
      </w:r>
      <w:r w:rsidR="0075154C">
        <w:rPr>
          <w:lang w:eastAsia="en-AU"/>
        </w:rPr>
        <w:t xml:space="preserve"> households who eschew “charity</w:t>
      </w:r>
      <w:r w:rsidR="0075154C" w:rsidRPr="00353F00">
        <w:rPr>
          <w:lang w:eastAsia="en-AU"/>
        </w:rPr>
        <w:t>”, and if they did,</w:t>
      </w:r>
      <w:r w:rsidR="0075154C">
        <w:rPr>
          <w:lang w:eastAsia="en-AU"/>
        </w:rPr>
        <w:t xml:space="preserve"> the scale </w:t>
      </w:r>
      <w:r w:rsidR="00461088">
        <w:rPr>
          <w:lang w:eastAsia="en-AU"/>
        </w:rPr>
        <w:t xml:space="preserve">of their programs </w:t>
      </w:r>
      <w:r w:rsidR="0075154C">
        <w:rPr>
          <w:lang w:eastAsia="en-AU"/>
        </w:rPr>
        <w:t>would never match the need.</w:t>
      </w:r>
    </w:p>
    <w:p w14:paraId="3964ECAA" w14:textId="55F46EF1" w:rsidR="00807369" w:rsidRDefault="00807369" w:rsidP="0075154C">
      <w:pPr>
        <w:rPr>
          <w:lang w:eastAsia="en-AU"/>
        </w:rPr>
      </w:pPr>
      <w:r>
        <w:rPr>
          <w:lang w:eastAsia="en-AU"/>
        </w:rPr>
        <w:t xml:space="preserve">While not a major exploration of this research, the issue of digital access for students can’t be avoided – not least because of the findings above about how common and expected the use of </w:t>
      </w:r>
      <w:r>
        <w:rPr>
          <w:lang w:eastAsia="en-AU"/>
        </w:rPr>
        <w:lastRenderedPageBreak/>
        <w:t xml:space="preserve">digital technology is at work. For employability (as well as for learning and social inclusion) students need to be skilled with digital devices and communications. </w:t>
      </w:r>
      <w:r w:rsidR="00A56C2E">
        <w:rPr>
          <w:lang w:eastAsia="en-AU"/>
        </w:rPr>
        <w:t>I</w:t>
      </w:r>
      <w:r>
        <w:rPr>
          <w:lang w:eastAsia="en-AU"/>
        </w:rPr>
        <w:t xml:space="preserve">t should not have taken a pandemic to highlight this </w:t>
      </w:r>
      <w:r w:rsidR="00A56C2E">
        <w:rPr>
          <w:lang w:eastAsia="en-AU"/>
        </w:rPr>
        <w:t xml:space="preserve">school digital divide, but that divide is now clearly evident and the stories in this research shows </w:t>
      </w:r>
      <w:r>
        <w:rPr>
          <w:lang w:eastAsia="en-AU"/>
        </w:rPr>
        <w:t xml:space="preserve">that government programs like the ACT Chromebooks are important in getting </w:t>
      </w:r>
      <w:r w:rsidR="004961D7">
        <w:rPr>
          <w:lang w:eastAsia="en-AU"/>
        </w:rPr>
        <w:t>children</w:t>
      </w:r>
      <w:r>
        <w:rPr>
          <w:lang w:eastAsia="en-AU"/>
        </w:rPr>
        <w:t xml:space="preserve"> in waged poor households online.</w:t>
      </w:r>
      <w:r w:rsidR="00A56C2E">
        <w:rPr>
          <w:lang w:eastAsia="en-AU"/>
        </w:rPr>
        <w:t xml:space="preserve"> That program is not perfect – and indeed may add to financial costs for households with more data use</w:t>
      </w:r>
      <w:r w:rsidR="006C670B">
        <w:rPr>
          <w:lang w:eastAsia="en-AU"/>
        </w:rPr>
        <w:t xml:space="preserve"> </w:t>
      </w:r>
      <w:r w:rsidR="00A56C2E">
        <w:rPr>
          <w:lang w:eastAsia="en-AU"/>
        </w:rPr>
        <w:t>and</w:t>
      </w:r>
      <w:r w:rsidR="006C670B">
        <w:rPr>
          <w:lang w:eastAsia="en-AU"/>
        </w:rPr>
        <w:t>, as</w:t>
      </w:r>
      <w:r w:rsidR="00A56C2E">
        <w:rPr>
          <w:lang w:eastAsia="en-AU"/>
        </w:rPr>
        <w:t xml:space="preserve"> </w:t>
      </w:r>
      <w:r w:rsidR="0007007E">
        <w:rPr>
          <w:lang w:eastAsia="en-AU"/>
        </w:rPr>
        <w:t xml:space="preserve">Barbara </w:t>
      </w:r>
      <w:r w:rsidR="00A56C2E">
        <w:rPr>
          <w:lang w:eastAsia="en-AU"/>
        </w:rPr>
        <w:t>not</w:t>
      </w:r>
      <w:r w:rsidR="008611A4">
        <w:rPr>
          <w:lang w:eastAsia="en-AU"/>
        </w:rPr>
        <w:t>ed</w:t>
      </w:r>
      <w:r w:rsidR="006C670B">
        <w:rPr>
          <w:lang w:eastAsia="en-AU"/>
        </w:rPr>
        <w:t>,</w:t>
      </w:r>
      <w:r w:rsidR="00A56C2E">
        <w:rPr>
          <w:lang w:eastAsia="en-AU"/>
        </w:rPr>
        <w:t xml:space="preserve"> the problem if she had to pay to replace them if lost or damaged</w:t>
      </w:r>
      <w:r w:rsidR="008611A4">
        <w:rPr>
          <w:lang w:eastAsia="en-AU"/>
        </w:rPr>
        <w:t xml:space="preserve">. However, the education needs in a digital world do require home computers and internet access </w:t>
      </w:r>
      <w:r w:rsidR="004961D7">
        <w:rPr>
          <w:lang w:eastAsia="en-AU"/>
        </w:rPr>
        <w:t>for</w:t>
      </w:r>
      <w:r w:rsidR="008611A4">
        <w:rPr>
          <w:lang w:eastAsia="en-AU"/>
        </w:rPr>
        <w:t xml:space="preserve"> school children.</w:t>
      </w:r>
    </w:p>
    <w:p w14:paraId="3C39814D" w14:textId="703329E4" w:rsidR="00807369" w:rsidRPr="00807369" w:rsidRDefault="00807369" w:rsidP="0075154C">
      <w:pPr>
        <w:rPr>
          <w:b/>
          <w:bCs/>
          <w:lang w:eastAsia="en-AU"/>
        </w:rPr>
      </w:pPr>
      <w:r w:rsidRPr="00807369">
        <w:rPr>
          <w:b/>
          <w:bCs/>
          <w:lang w:eastAsia="en-AU"/>
        </w:rPr>
        <w:t>Recommendation</w:t>
      </w:r>
      <w:r w:rsidR="001B0C76">
        <w:rPr>
          <w:b/>
          <w:bCs/>
          <w:lang w:eastAsia="en-AU"/>
        </w:rPr>
        <w:t xml:space="preserve"> </w:t>
      </w:r>
      <w:r w:rsidR="00ED2247">
        <w:rPr>
          <w:b/>
          <w:bCs/>
          <w:lang w:eastAsia="en-AU"/>
        </w:rPr>
        <w:t>3</w:t>
      </w:r>
    </w:p>
    <w:p w14:paraId="7AE0D710" w14:textId="5A33FD0F" w:rsidR="00807369" w:rsidRPr="00807369" w:rsidRDefault="008611A4" w:rsidP="0075154C">
      <w:pPr>
        <w:rPr>
          <w:b/>
          <w:bCs/>
          <w:i/>
          <w:iCs/>
          <w:lang w:eastAsia="en-AU"/>
        </w:rPr>
      </w:pPr>
      <w:r>
        <w:rPr>
          <w:b/>
          <w:bCs/>
          <w:i/>
          <w:iCs/>
          <w:lang w:eastAsia="en-AU"/>
        </w:rPr>
        <w:t xml:space="preserve">Where </w:t>
      </w:r>
      <w:r w:rsidR="00A7052F">
        <w:rPr>
          <w:b/>
          <w:bCs/>
          <w:i/>
          <w:iCs/>
          <w:lang w:eastAsia="en-AU"/>
        </w:rPr>
        <w:t>they</w:t>
      </w:r>
      <w:r>
        <w:rPr>
          <w:b/>
          <w:bCs/>
          <w:i/>
          <w:iCs/>
          <w:lang w:eastAsia="en-AU"/>
        </w:rPr>
        <w:t xml:space="preserve"> </w:t>
      </w:r>
      <w:r w:rsidR="00A7052F">
        <w:rPr>
          <w:b/>
          <w:bCs/>
          <w:i/>
          <w:iCs/>
          <w:lang w:eastAsia="en-AU"/>
        </w:rPr>
        <w:t xml:space="preserve">are </w:t>
      </w:r>
      <w:r>
        <w:rPr>
          <w:b/>
          <w:bCs/>
          <w:i/>
          <w:iCs/>
          <w:lang w:eastAsia="en-AU"/>
        </w:rPr>
        <w:t>not already available, s</w:t>
      </w:r>
      <w:r w:rsidR="00807369">
        <w:rPr>
          <w:b/>
          <w:bCs/>
          <w:i/>
          <w:iCs/>
          <w:lang w:eastAsia="en-AU"/>
        </w:rPr>
        <w:t>tate and territor</w:t>
      </w:r>
      <w:r>
        <w:rPr>
          <w:b/>
          <w:bCs/>
          <w:i/>
          <w:iCs/>
          <w:lang w:eastAsia="en-AU"/>
        </w:rPr>
        <w:t>y governments</w:t>
      </w:r>
      <w:r w:rsidR="00807369">
        <w:rPr>
          <w:b/>
          <w:bCs/>
          <w:i/>
          <w:iCs/>
          <w:lang w:eastAsia="en-AU"/>
        </w:rPr>
        <w:t xml:space="preserve"> </w:t>
      </w:r>
      <w:r w:rsidR="00A56C2E">
        <w:rPr>
          <w:b/>
          <w:bCs/>
          <w:i/>
          <w:iCs/>
          <w:lang w:eastAsia="en-AU"/>
        </w:rPr>
        <w:t>should</w:t>
      </w:r>
      <w:r w:rsidR="00807369">
        <w:rPr>
          <w:b/>
          <w:bCs/>
          <w:i/>
          <w:iCs/>
          <w:lang w:eastAsia="en-AU"/>
        </w:rPr>
        <w:t xml:space="preserve"> provide </w:t>
      </w:r>
      <w:r w:rsidR="00A56C2E">
        <w:rPr>
          <w:b/>
          <w:bCs/>
          <w:i/>
          <w:iCs/>
          <w:lang w:eastAsia="en-AU"/>
        </w:rPr>
        <w:t>basic computer equipment</w:t>
      </w:r>
      <w:r>
        <w:rPr>
          <w:b/>
          <w:bCs/>
          <w:i/>
          <w:iCs/>
          <w:lang w:eastAsia="en-AU"/>
        </w:rPr>
        <w:t xml:space="preserve"> and support (including data)</w:t>
      </w:r>
      <w:r w:rsidR="00A56C2E">
        <w:rPr>
          <w:b/>
          <w:bCs/>
          <w:i/>
          <w:iCs/>
          <w:lang w:eastAsia="en-AU"/>
        </w:rPr>
        <w:t xml:space="preserve"> for all </w:t>
      </w:r>
      <w:r w:rsidR="00807369">
        <w:rPr>
          <w:b/>
          <w:bCs/>
          <w:i/>
          <w:iCs/>
          <w:lang w:eastAsia="en-AU"/>
        </w:rPr>
        <w:t>school students</w:t>
      </w:r>
      <w:r>
        <w:rPr>
          <w:b/>
          <w:bCs/>
          <w:i/>
          <w:iCs/>
          <w:lang w:eastAsia="en-AU"/>
        </w:rPr>
        <w:t>.</w:t>
      </w:r>
    </w:p>
    <w:p w14:paraId="6DC936ED" w14:textId="066F243D" w:rsidR="00CB3B59" w:rsidRDefault="005923F7" w:rsidP="005923F7">
      <w:pPr>
        <w:pStyle w:val="Heading2"/>
      </w:pPr>
      <w:r>
        <w:br w:type="page"/>
      </w:r>
      <w:bookmarkStart w:id="50" w:name="_Toc42719033"/>
      <w:bookmarkStart w:id="51" w:name="_Hlk43037862"/>
      <w:bookmarkStart w:id="52" w:name="_Toc37776815"/>
      <w:r w:rsidR="00CB3B59">
        <w:lastRenderedPageBreak/>
        <w:t xml:space="preserve">Case Study: </w:t>
      </w:r>
      <w:r w:rsidR="00616C54">
        <w:t>Ariel (Tasmania)</w:t>
      </w:r>
      <w:bookmarkEnd w:id="50"/>
    </w:p>
    <w:p w14:paraId="4498BF5D" w14:textId="169637C4" w:rsidR="00081DA1" w:rsidRDefault="00616C54" w:rsidP="00081DA1">
      <w:pPr>
        <w:rPr>
          <w:lang w:eastAsia="en-AU"/>
        </w:rPr>
      </w:pPr>
      <w:r>
        <w:rPr>
          <w:lang w:eastAsia="en-AU"/>
        </w:rPr>
        <w:t>Ariel</w:t>
      </w:r>
      <w:r w:rsidR="00081DA1">
        <w:rPr>
          <w:lang w:eastAsia="en-AU"/>
        </w:rPr>
        <w:t xml:space="preserve"> lives in a rented apartment in </w:t>
      </w:r>
      <w:r w:rsidR="00EF05A4">
        <w:rPr>
          <w:lang w:eastAsia="en-AU"/>
        </w:rPr>
        <w:t>Launceston</w:t>
      </w:r>
      <w:r w:rsidR="00081DA1">
        <w:rPr>
          <w:lang w:eastAsia="en-AU"/>
        </w:rPr>
        <w:t>, with a partner and two young children. Her partner ha</w:t>
      </w:r>
      <w:r w:rsidR="00383C87">
        <w:rPr>
          <w:lang w:eastAsia="en-AU"/>
        </w:rPr>
        <w:t>s</w:t>
      </w:r>
      <w:r w:rsidR="00081DA1">
        <w:rPr>
          <w:lang w:eastAsia="en-AU"/>
        </w:rPr>
        <w:t xml:space="preserve"> been unemployed</w:t>
      </w:r>
      <w:r w:rsidR="00EF05A4">
        <w:rPr>
          <w:lang w:eastAsia="en-AU"/>
        </w:rPr>
        <w:t xml:space="preserve">, but </w:t>
      </w:r>
      <w:r w:rsidR="00383C87">
        <w:rPr>
          <w:lang w:eastAsia="en-AU"/>
        </w:rPr>
        <w:t>just</w:t>
      </w:r>
      <w:r w:rsidR="00EF05A4">
        <w:rPr>
          <w:lang w:eastAsia="en-AU"/>
        </w:rPr>
        <w:t xml:space="preserve"> </w:t>
      </w:r>
      <w:r w:rsidR="00383C87">
        <w:rPr>
          <w:lang w:eastAsia="en-AU"/>
        </w:rPr>
        <w:t>recently</w:t>
      </w:r>
      <w:r w:rsidR="00EF05A4">
        <w:rPr>
          <w:lang w:eastAsia="en-AU"/>
        </w:rPr>
        <w:t xml:space="preserve"> got a </w:t>
      </w:r>
      <w:r w:rsidR="00383C87">
        <w:rPr>
          <w:lang w:eastAsia="en-AU"/>
        </w:rPr>
        <w:t xml:space="preserve">farm </w:t>
      </w:r>
      <w:r w:rsidR="00EF05A4">
        <w:rPr>
          <w:lang w:eastAsia="en-AU"/>
        </w:rPr>
        <w:t>job</w:t>
      </w:r>
      <w:r w:rsidR="00383C87">
        <w:rPr>
          <w:lang w:eastAsia="en-AU"/>
        </w:rPr>
        <w:t>. S</w:t>
      </w:r>
      <w:r w:rsidR="00081DA1">
        <w:rPr>
          <w:lang w:eastAsia="en-AU"/>
        </w:rPr>
        <w:t xml:space="preserve">he is doing a PhD at the university and working as a casual research assistant. While many people would not associate </w:t>
      </w:r>
      <w:r w:rsidR="00EF05A4">
        <w:rPr>
          <w:lang w:eastAsia="en-AU"/>
        </w:rPr>
        <w:t>academic work with being waged poor, she is paid on an hourly basis with variable hours: “</w:t>
      </w:r>
      <w:r w:rsidR="00EF05A4">
        <w:rPr>
          <w:rFonts w:cs="Calibri"/>
          <w:color w:val="000000"/>
        </w:rPr>
        <w:t>It doesn't really pay much, but you know, it's fine</w:t>
      </w:r>
      <w:r w:rsidR="00BE714E">
        <w:rPr>
          <w:rFonts w:cs="Calibri"/>
          <w:color w:val="000000"/>
        </w:rPr>
        <w:t>.”</w:t>
      </w:r>
    </w:p>
    <w:p w14:paraId="69F203C1" w14:textId="4DFB132A" w:rsidR="00EF05A4" w:rsidRDefault="00EF05A4" w:rsidP="00081DA1">
      <w:pPr>
        <w:rPr>
          <w:lang w:eastAsia="en-AU"/>
        </w:rPr>
      </w:pPr>
      <w:r>
        <w:rPr>
          <w:lang w:eastAsia="en-AU"/>
        </w:rPr>
        <w:t xml:space="preserve">She does not have NBN and uses her mobile phone to </w:t>
      </w:r>
      <w:r w:rsidR="00081DA1">
        <w:rPr>
          <w:lang w:eastAsia="en-AU"/>
        </w:rPr>
        <w:t>hotspot</w:t>
      </w:r>
      <w:r>
        <w:rPr>
          <w:lang w:eastAsia="en-AU"/>
        </w:rPr>
        <w:t xml:space="preserve"> interconnection </w:t>
      </w:r>
      <w:r w:rsidR="00081DA1">
        <w:rPr>
          <w:lang w:eastAsia="en-AU"/>
        </w:rPr>
        <w:t>at home</w:t>
      </w:r>
      <w:r>
        <w:rPr>
          <w:lang w:eastAsia="en-AU"/>
        </w:rPr>
        <w:t xml:space="preserve"> </w:t>
      </w:r>
      <w:r w:rsidR="00081DA1">
        <w:rPr>
          <w:lang w:eastAsia="en-AU"/>
        </w:rPr>
        <w:t xml:space="preserve">because </w:t>
      </w:r>
      <w:r w:rsidR="00D53B1C">
        <w:rPr>
          <w:lang w:eastAsia="en-AU"/>
        </w:rPr>
        <w:t>“</w:t>
      </w:r>
      <w:r w:rsidR="00D53B1C" w:rsidRPr="008F4B58">
        <w:rPr>
          <w:lang w:eastAsia="en-AU"/>
        </w:rPr>
        <w:t>h</w:t>
      </w:r>
      <w:r w:rsidR="00D53B1C">
        <w:rPr>
          <w:lang w:eastAsia="en-AU"/>
        </w:rPr>
        <w:t>aving NBN will mean having two plans and I don’t like that”</w:t>
      </w:r>
      <w:r w:rsidR="00081DA1">
        <w:rPr>
          <w:lang w:eastAsia="en-AU"/>
        </w:rPr>
        <w:t xml:space="preserve">. </w:t>
      </w:r>
      <w:r>
        <w:rPr>
          <w:lang w:eastAsia="en-AU"/>
        </w:rPr>
        <w:t xml:space="preserve">This is despite working from home most of the time and using an iPad for the kids and TV sometimes. </w:t>
      </w:r>
      <w:r w:rsidR="00D53B1C">
        <w:rPr>
          <w:lang w:eastAsia="en-AU"/>
        </w:rPr>
        <w:t>S</w:t>
      </w:r>
      <w:r>
        <w:rPr>
          <w:lang w:eastAsia="en-AU"/>
        </w:rPr>
        <w:t xml:space="preserve">he </w:t>
      </w:r>
      <w:r w:rsidR="00D53B1C">
        <w:rPr>
          <w:lang w:eastAsia="en-AU"/>
        </w:rPr>
        <w:t>goes</w:t>
      </w:r>
      <w:r>
        <w:rPr>
          <w:lang w:eastAsia="en-AU"/>
        </w:rPr>
        <w:t xml:space="preserve"> to campus (she is concerned about the security of other public </w:t>
      </w:r>
      <w:r w:rsidR="00FD3792">
        <w:rPr>
          <w:lang w:eastAsia="en-AU"/>
        </w:rPr>
        <w:t>WiFi</w:t>
      </w:r>
      <w:r>
        <w:rPr>
          <w:lang w:eastAsia="en-AU"/>
        </w:rPr>
        <w:t>) when she has a lot of things to upload or download</w:t>
      </w:r>
      <w:r w:rsidR="00D53B1C">
        <w:rPr>
          <w:lang w:eastAsia="en-AU"/>
        </w:rPr>
        <w:t>, but she does “</w:t>
      </w:r>
      <w:r w:rsidR="00D53B1C" w:rsidRPr="008F4B58">
        <w:rPr>
          <w:rFonts w:cs="Calibri"/>
          <w:color w:val="000000"/>
        </w:rPr>
        <w:t>a</w:t>
      </w:r>
      <w:r w:rsidR="00D53B1C">
        <w:rPr>
          <w:rFonts w:cs="Calibri"/>
          <w:color w:val="000000"/>
        </w:rPr>
        <w:t xml:space="preserve"> lot of work from home and using internet connection of course, because I'm doing research and everything requires me to be connected”. She is not reimbursed for this usage and is not sure how to claim it on tax – and heard from her colleagues it was not really worth doing.</w:t>
      </w:r>
    </w:p>
    <w:p w14:paraId="46D7980F" w14:textId="6B16573A" w:rsidR="00EF05A4" w:rsidRDefault="00616C54" w:rsidP="00081DA1">
      <w:pPr>
        <w:rPr>
          <w:lang w:eastAsia="en-AU"/>
        </w:rPr>
      </w:pPr>
      <w:r>
        <w:rPr>
          <w:lang w:eastAsia="en-AU"/>
        </w:rPr>
        <w:t>Ariel</w:t>
      </w:r>
      <w:r w:rsidR="00D53B1C">
        <w:rPr>
          <w:lang w:eastAsia="en-AU"/>
        </w:rPr>
        <w:t xml:space="preserve"> has always managed to pay her phone bill on time because she would sacrifice other things to make sure, and she does not want to pay late fees. She also said it would </w:t>
      </w:r>
      <w:r w:rsidR="00AE6D7D">
        <w:rPr>
          <w:lang w:eastAsia="en-AU"/>
        </w:rPr>
        <w:t xml:space="preserve">be </w:t>
      </w:r>
      <w:r w:rsidR="00D53B1C">
        <w:rPr>
          <w:lang w:eastAsia="en-AU"/>
        </w:rPr>
        <w:t xml:space="preserve">“so embarrassing” to have to go to a retailer and say you couldn’t pay, and </w:t>
      </w:r>
      <w:r w:rsidR="00AE6D7D">
        <w:rPr>
          <w:lang w:eastAsia="en-AU"/>
        </w:rPr>
        <w:t xml:space="preserve">she </w:t>
      </w:r>
      <w:r w:rsidR="00D53B1C">
        <w:rPr>
          <w:lang w:eastAsia="en-AU"/>
        </w:rPr>
        <w:t>really would not want to get into debt.</w:t>
      </w:r>
    </w:p>
    <w:p w14:paraId="6018D1EF" w14:textId="77777777" w:rsidR="00EF05A4" w:rsidRDefault="00EF05A4" w:rsidP="00081DA1">
      <w:pPr>
        <w:rPr>
          <w:lang w:eastAsia="en-AU"/>
        </w:rPr>
      </w:pPr>
    </w:p>
    <w:p w14:paraId="2D961A5A" w14:textId="77777777" w:rsidR="00081DA1" w:rsidRPr="00081DA1" w:rsidRDefault="00081DA1" w:rsidP="00081DA1">
      <w:pPr>
        <w:rPr>
          <w:lang w:val="en-US"/>
        </w:rPr>
      </w:pPr>
    </w:p>
    <w:bookmarkEnd w:id="51"/>
    <w:p w14:paraId="3E96BBAD" w14:textId="1FDE3D78" w:rsidR="005923F7" w:rsidRDefault="00CB3B59" w:rsidP="00CB3B59">
      <w:pPr>
        <w:pStyle w:val="Heading2"/>
      </w:pPr>
      <w:r>
        <w:br w:type="page"/>
      </w:r>
      <w:bookmarkStart w:id="53" w:name="_Toc42719034"/>
      <w:r w:rsidR="005923F7">
        <w:lastRenderedPageBreak/>
        <w:t>Affordability</w:t>
      </w:r>
      <w:bookmarkEnd w:id="52"/>
      <w:bookmarkEnd w:id="53"/>
    </w:p>
    <w:p w14:paraId="37AAB0E4" w14:textId="77777777" w:rsidR="00B80C89" w:rsidRDefault="00B80C89" w:rsidP="003C319F">
      <w:pPr>
        <w:pStyle w:val="Heading3"/>
      </w:pPr>
      <w:bookmarkStart w:id="54" w:name="_Toc42719035"/>
      <w:r>
        <w:t>Telecommunications in the Household Budget</w:t>
      </w:r>
      <w:bookmarkEnd w:id="54"/>
    </w:p>
    <w:p w14:paraId="2A50FAE3" w14:textId="6B95C65F" w:rsidR="00DD654D" w:rsidRDefault="00DD654D" w:rsidP="005923F7">
      <w:pPr>
        <w:rPr>
          <w:lang w:eastAsia="en-AU"/>
        </w:rPr>
      </w:pPr>
      <w:r>
        <w:rPr>
          <w:lang w:eastAsia="en-AU"/>
        </w:rPr>
        <w:t xml:space="preserve">Telecommunications (phone and internet) bills were rated as a major household expenditure by </w:t>
      </w:r>
      <w:r w:rsidR="00ED18A0">
        <w:rPr>
          <w:lang w:eastAsia="en-AU"/>
        </w:rPr>
        <w:t>the majority of</w:t>
      </w:r>
      <w:r>
        <w:rPr>
          <w:lang w:eastAsia="en-AU"/>
        </w:rPr>
        <w:t xml:space="preserve"> wage</w:t>
      </w:r>
      <w:r w:rsidR="00425839">
        <w:rPr>
          <w:lang w:eastAsia="en-AU"/>
        </w:rPr>
        <w:t>d</w:t>
      </w:r>
      <w:r>
        <w:rPr>
          <w:lang w:eastAsia="en-AU"/>
        </w:rPr>
        <w:t xml:space="preserve"> poor households</w:t>
      </w:r>
      <w:r w:rsidR="00997420">
        <w:rPr>
          <w:lang w:eastAsia="en-AU"/>
        </w:rPr>
        <w:t>, alongside food/groceries, energy, housing, and transport</w:t>
      </w:r>
      <w:r>
        <w:rPr>
          <w:lang w:eastAsia="en-AU"/>
        </w:rPr>
        <w:t xml:space="preserve">. </w:t>
      </w:r>
      <w:r w:rsidR="00997420">
        <w:rPr>
          <w:lang w:eastAsia="en-AU"/>
        </w:rPr>
        <w:t xml:space="preserve">As with the 2016 </w:t>
      </w:r>
      <w:r w:rsidR="00997420">
        <w:rPr>
          <w:i/>
          <w:lang w:eastAsia="en-AU"/>
        </w:rPr>
        <w:t>Connectivity Costs</w:t>
      </w:r>
      <w:r w:rsidR="00997420">
        <w:rPr>
          <w:lang w:eastAsia="en-AU"/>
        </w:rPr>
        <w:t xml:space="preserve"> report in relation to households on very low (mainly Centrelink) incomes, respondents were asked to select the top 5 factors in their household budget</w:t>
      </w:r>
      <w:r w:rsidR="00ED18A0">
        <w:rPr>
          <w:lang w:eastAsia="en-AU"/>
        </w:rPr>
        <w:t>. T</w:t>
      </w:r>
      <w:r w:rsidR="00997420">
        <w:rPr>
          <w:lang w:eastAsia="en-AU"/>
        </w:rPr>
        <w:t>he findings on telecommunications were relatively consistent with 61% of waged poor households and 66% of the 2016 cohort putting phone and internet connection into the top five</w:t>
      </w:r>
      <w:r w:rsidR="00ED18A0">
        <w:rPr>
          <w:lang w:eastAsia="en-AU"/>
        </w:rPr>
        <w:t xml:space="preserve"> budget factors</w:t>
      </w:r>
      <w:r w:rsidR="00997420">
        <w:rPr>
          <w:lang w:eastAsia="en-AU"/>
        </w:rPr>
        <w:t>. However, there were significant differences in the spending patterns between these cohorts, and even within the waged poor cohort between renters and others</w:t>
      </w:r>
      <w:r w:rsidR="00ED18A0">
        <w:rPr>
          <w:lang w:eastAsia="en-AU"/>
        </w:rPr>
        <w:t>. These differences</w:t>
      </w:r>
      <w:r w:rsidR="00935B45">
        <w:rPr>
          <w:lang w:eastAsia="en-AU"/>
        </w:rPr>
        <w:t xml:space="preserve">, shown in Figure </w:t>
      </w:r>
      <w:r w:rsidR="001D54A2">
        <w:rPr>
          <w:lang w:eastAsia="en-AU"/>
        </w:rPr>
        <w:t>11</w:t>
      </w:r>
      <w:r w:rsidR="00935B45">
        <w:rPr>
          <w:lang w:eastAsia="en-AU"/>
        </w:rPr>
        <w:t>,</w:t>
      </w:r>
      <w:r w:rsidR="00107E07">
        <w:rPr>
          <w:lang w:eastAsia="en-AU"/>
        </w:rPr>
        <w:t xml:space="preserve"> </w:t>
      </w:r>
      <w:r w:rsidR="00997420">
        <w:rPr>
          <w:lang w:eastAsia="en-AU"/>
        </w:rPr>
        <w:t>shine a light on some of the particular features of wage</w:t>
      </w:r>
      <w:r w:rsidR="00425839">
        <w:rPr>
          <w:lang w:eastAsia="en-AU"/>
        </w:rPr>
        <w:t>d</w:t>
      </w:r>
      <w:r w:rsidR="00997420">
        <w:rPr>
          <w:lang w:eastAsia="en-AU"/>
        </w:rPr>
        <w:t xml:space="preserve"> poor households.</w:t>
      </w:r>
    </w:p>
    <w:p w14:paraId="288E5B6B" w14:textId="27CE60D6" w:rsidR="001D54A2" w:rsidRDefault="001D54A2" w:rsidP="001D54A2">
      <w:pPr>
        <w:pStyle w:val="Caption"/>
      </w:pPr>
      <w:bookmarkStart w:id="55" w:name="_Toc37776833"/>
      <w:bookmarkStart w:id="56" w:name="_Toc41920122"/>
      <w:r>
        <w:t xml:space="preserve">Figure </w:t>
      </w:r>
      <w:fldSimple w:instr=" SEQ Figure \* ARABIC ">
        <w:r>
          <w:rPr>
            <w:noProof/>
          </w:rPr>
          <w:t>11</w:t>
        </w:r>
      </w:fldSimple>
      <w:r>
        <w:t>: Expenses in Household Budget</w:t>
      </w:r>
      <w:bookmarkEnd w:id="55"/>
      <w:bookmarkEnd w:id="56"/>
    </w:p>
    <w:p w14:paraId="7FB5AB0E" w14:textId="1471C3B4" w:rsidR="00997420" w:rsidRPr="00DD654D" w:rsidRDefault="00CB43E1" w:rsidP="005923F7">
      <w:pPr>
        <w:rPr>
          <w:lang w:eastAsia="en-AU"/>
        </w:rPr>
      </w:pPr>
      <w:r>
        <w:rPr>
          <w:noProof/>
        </w:rPr>
        <w:drawing>
          <wp:inline distT="0" distB="0" distL="0" distR="0" wp14:anchorId="04BD2812" wp14:editId="1D67EB38">
            <wp:extent cx="5715000" cy="3550920"/>
            <wp:effectExtent l="0" t="0" r="0" b="0"/>
            <wp:docPr id="14" name="Picture 14" descr="Column graph showing the items rated in the top 5 most important things in the houseohold budget. Telecommunications comes in third highest for waged poor households, but fourth highest for waged poor renters. "/>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7969BC5" w14:textId="3114C2CF" w:rsidR="005923F7" w:rsidRDefault="00B80C89" w:rsidP="005923F7">
      <w:pPr>
        <w:rPr>
          <w:lang w:eastAsia="en-AU"/>
        </w:rPr>
      </w:pPr>
      <w:r>
        <w:rPr>
          <w:lang w:eastAsia="en-AU"/>
        </w:rPr>
        <w:t>While the top 5 household budget items are similar in all 3 cohorts, a significantly greater number of waged poor renters identified housing costs as a key factor than either of the other poor cohorts – largely because of a greater representation of home-owners in those other groups. Wage</w:t>
      </w:r>
      <w:r w:rsidR="001E00C1">
        <w:rPr>
          <w:lang w:eastAsia="en-AU"/>
        </w:rPr>
        <w:t>d</w:t>
      </w:r>
      <w:r>
        <w:rPr>
          <w:lang w:eastAsia="en-AU"/>
        </w:rPr>
        <w:t xml:space="preserve"> poor renters were also less likely to identify water and insurance as big household expenditures – because renters don’t have house insurance (and many don’t have contents insurance </w:t>
      </w:r>
      <w:r w:rsidR="001B3619">
        <w:rPr>
          <w:lang w:eastAsia="en-AU"/>
        </w:rPr>
        <w:fldChar w:fldCharType="begin"/>
      </w:r>
      <w:r w:rsidR="001B3619">
        <w:rPr>
          <w:lang w:eastAsia="en-AU"/>
        </w:rPr>
        <w:instrText xml:space="preserve"> ADDIN ZOTERO_ITEM CSL_CITATION {"citationID":"gb8zdLhr","properties":{"formattedCitation":"(SACOSS, 2020)","plainCitation":"(SACOSS, 2020)","noteIndex":0},"citationItems":[{"id":96,"uris":["http://zotero.org/groups/2380274/items/FMPNENAH"],"uri":["http://zotero.org/groups/2380274/items/FMPNENAH"],"itemData":{"id":96,"type":"report","number":"41","publisher":"South Australian Council of Social Service","title":"Cost of Living Update: December Qtr 2019","URL":"https://www.sacoss.org.au/no-41-december-quarter-2019-insurance","author":[{"family":"SACOSS","given":""}],"issued":{"date-parts":[["2020"]]}}}],"schema":"https://github.com/citation-style-language/schema/raw/master/csl-citation.json"} </w:instrText>
      </w:r>
      <w:r w:rsidR="001B3619">
        <w:rPr>
          <w:lang w:eastAsia="en-AU"/>
        </w:rPr>
        <w:fldChar w:fldCharType="separate"/>
      </w:r>
      <w:r w:rsidR="001B3619" w:rsidRPr="001B3619">
        <w:rPr>
          <w:rFonts w:cs="Calibri"/>
        </w:rPr>
        <w:t>(SACOSS, 2020)</w:t>
      </w:r>
      <w:r w:rsidR="001B3619">
        <w:rPr>
          <w:lang w:eastAsia="en-AU"/>
        </w:rPr>
        <w:fldChar w:fldCharType="end"/>
      </w:r>
      <w:r w:rsidR="001B3619">
        <w:rPr>
          <w:lang w:eastAsia="en-AU"/>
        </w:rPr>
        <w:t>)</w:t>
      </w:r>
      <w:r>
        <w:rPr>
          <w:lang w:eastAsia="en-AU"/>
        </w:rPr>
        <w:t xml:space="preserve">, and (in most jurisdictions) renters don’t pay water supply charges. </w:t>
      </w:r>
    </w:p>
    <w:p w14:paraId="57E2AF01" w14:textId="77777777" w:rsidR="00B80C89" w:rsidRDefault="00B80C89" w:rsidP="005923F7">
      <w:pPr>
        <w:rPr>
          <w:lang w:eastAsia="en-AU"/>
        </w:rPr>
      </w:pPr>
      <w:r>
        <w:rPr>
          <w:lang w:eastAsia="en-AU"/>
        </w:rPr>
        <w:t>By contrast, insurance was much more of an issue for the 2016 cohort</w:t>
      </w:r>
      <w:r w:rsidR="001E1535">
        <w:rPr>
          <w:lang w:eastAsia="en-AU"/>
        </w:rPr>
        <w:t xml:space="preserve"> than for the waged poor households (both renters and home-owners). This is likely due to the greater representation of pensioner home-owners and smaller households in the 2016 study group – a factor also reflected in the lower identification of energy costs in the earlier group (more houses with solar power, less usage), and the higher identification of health costs as important in the household budget.</w:t>
      </w:r>
    </w:p>
    <w:p w14:paraId="152C83BA" w14:textId="6D5B1086" w:rsidR="0022183B" w:rsidRDefault="0022183B" w:rsidP="005923F7">
      <w:pPr>
        <w:rPr>
          <w:lang w:eastAsia="en-AU"/>
        </w:rPr>
      </w:pPr>
      <w:r>
        <w:rPr>
          <w:lang w:eastAsia="en-AU"/>
        </w:rPr>
        <w:lastRenderedPageBreak/>
        <w:t xml:space="preserve">One final issue in relation to the household budget </w:t>
      </w:r>
      <w:r w:rsidR="00464D7E">
        <w:rPr>
          <w:lang w:eastAsia="en-AU"/>
        </w:rPr>
        <w:t xml:space="preserve">arises in relation to </w:t>
      </w:r>
      <w:r>
        <w:rPr>
          <w:lang w:eastAsia="en-AU"/>
        </w:rPr>
        <w:t>young adults living in the family home</w:t>
      </w:r>
      <w:r w:rsidR="00464D7E">
        <w:rPr>
          <w:lang w:eastAsia="en-AU"/>
        </w:rPr>
        <w:t xml:space="preserve">. </w:t>
      </w:r>
      <w:r w:rsidR="0055761C">
        <w:rPr>
          <w:lang w:eastAsia="en-AU"/>
        </w:rPr>
        <w:t>Beyond the issues of a different poverty line (see methodology section)</w:t>
      </w:r>
      <w:r>
        <w:rPr>
          <w:lang w:eastAsia="en-AU"/>
        </w:rPr>
        <w:t xml:space="preserve"> it became apparent in the qualitative interviews that telecommunications bills might be the first major, regular bill that a person pays in their life. </w:t>
      </w:r>
      <w:r w:rsidR="0055761C">
        <w:rPr>
          <w:lang w:eastAsia="en-AU"/>
        </w:rPr>
        <w:t>Alison</w:t>
      </w:r>
      <w:r>
        <w:rPr>
          <w:lang w:eastAsia="en-AU"/>
        </w:rPr>
        <w:t xml:space="preserve"> in Canberra described her house budget share this way:</w:t>
      </w:r>
    </w:p>
    <w:p w14:paraId="5BB2685F" w14:textId="4B23FF32" w:rsidR="0022183B" w:rsidRDefault="0022183B" w:rsidP="0022183B">
      <w:pPr>
        <w:ind w:left="720"/>
        <w:rPr>
          <w:lang w:eastAsia="en-AU"/>
        </w:rPr>
      </w:pPr>
      <w:r>
        <w:t>my son works part time to pay for his mobile phone, but as far as the house and food and electricity and all the bills, the internet, that's all my responsibility</w:t>
      </w:r>
      <w:r w:rsidR="00464D7E">
        <w:t xml:space="preserve"> …</w:t>
      </w:r>
      <w:r>
        <w:t xml:space="preserve"> but the mobile phone or you know, treats going out, whatever is their responsibility. </w:t>
      </w:r>
    </w:p>
    <w:p w14:paraId="46C077FD" w14:textId="7117834B" w:rsidR="0022183B" w:rsidRDefault="00943EBC" w:rsidP="005923F7">
      <w:pPr>
        <w:rPr>
          <w:lang w:eastAsia="en-AU"/>
        </w:rPr>
      </w:pPr>
      <w:r>
        <w:rPr>
          <w:lang w:eastAsia="en-AU"/>
        </w:rPr>
        <w:t xml:space="preserve">For </w:t>
      </w:r>
      <w:r w:rsidR="003C319F">
        <w:rPr>
          <w:lang w:eastAsia="en-AU"/>
        </w:rPr>
        <w:t xml:space="preserve">young people in </w:t>
      </w:r>
      <w:r>
        <w:rPr>
          <w:lang w:eastAsia="en-AU"/>
        </w:rPr>
        <w:t xml:space="preserve">households with similar arrangements, </w:t>
      </w:r>
      <w:r w:rsidR="00464D7E">
        <w:rPr>
          <w:lang w:eastAsia="en-AU"/>
        </w:rPr>
        <w:t xml:space="preserve">responsibility for </w:t>
      </w:r>
      <w:r>
        <w:rPr>
          <w:lang w:eastAsia="en-AU"/>
        </w:rPr>
        <w:t xml:space="preserve">the major household expenditures of energy, water, rent and food costs probably await moving out of home (or are contributed to via non-commercial “board”), but </w:t>
      </w:r>
      <w:r w:rsidR="003C319F">
        <w:rPr>
          <w:lang w:eastAsia="en-AU"/>
        </w:rPr>
        <w:t>they</w:t>
      </w:r>
      <w:r>
        <w:rPr>
          <w:lang w:eastAsia="en-AU"/>
        </w:rPr>
        <w:t xml:space="preserve"> may have their own mobile and streaming accounts long before </w:t>
      </w:r>
      <w:r w:rsidR="003C319F">
        <w:rPr>
          <w:lang w:eastAsia="en-AU"/>
        </w:rPr>
        <w:t xml:space="preserve">these </w:t>
      </w:r>
      <w:r>
        <w:rPr>
          <w:lang w:eastAsia="en-AU"/>
        </w:rPr>
        <w:t>other financial responsibilities</w:t>
      </w:r>
      <w:r w:rsidR="003C319F">
        <w:rPr>
          <w:lang w:eastAsia="en-AU"/>
        </w:rPr>
        <w:t>.</w:t>
      </w:r>
      <w:r w:rsidR="00464D7E">
        <w:rPr>
          <w:lang w:eastAsia="en-AU"/>
        </w:rPr>
        <w:t xml:space="preserve"> In this context, </w:t>
      </w:r>
      <w:r>
        <w:rPr>
          <w:lang w:eastAsia="en-AU"/>
        </w:rPr>
        <w:t xml:space="preserve">their experience of budgeting for their phone (and of any payment difficulties) may be crucial not just to their current telecommunications needs, but also to their expectations of interactions with the wider financial world. </w:t>
      </w:r>
    </w:p>
    <w:p w14:paraId="0A97448F" w14:textId="77777777" w:rsidR="00B80C89" w:rsidRPr="00BF399D" w:rsidRDefault="00B80C89" w:rsidP="003C319F">
      <w:pPr>
        <w:pStyle w:val="Heading3"/>
      </w:pPr>
      <w:bookmarkStart w:id="57" w:name="_Toc42719036"/>
      <w:r>
        <w:t>Telecommunications Expenditure</w:t>
      </w:r>
      <w:bookmarkEnd w:id="57"/>
    </w:p>
    <w:p w14:paraId="311B03DF" w14:textId="34618D78" w:rsidR="00D46386" w:rsidRPr="005F2584" w:rsidRDefault="001614B2" w:rsidP="00D46386">
      <w:pPr>
        <w:rPr>
          <w:lang w:eastAsia="en-AU"/>
        </w:rPr>
      </w:pPr>
      <w:r>
        <w:rPr>
          <w:lang w:eastAsia="en-AU"/>
        </w:rPr>
        <w:t xml:space="preserve">Given that a majority of respondents rated telecommunications as a major factor in their household budget, and by definition those budgets have very low incomes, it is not surprising that </w:t>
      </w:r>
      <w:r w:rsidR="00D46386">
        <w:rPr>
          <w:lang w:eastAsia="en-AU"/>
        </w:rPr>
        <w:t>h</w:t>
      </w:r>
      <w:r w:rsidR="00D46386" w:rsidRPr="005F2584">
        <w:rPr>
          <w:lang w:eastAsia="en-AU"/>
        </w:rPr>
        <w:t>alf of waged poor households with smart phones, and 46% with NBN or other home broadband</w:t>
      </w:r>
      <w:r w:rsidR="00204D78">
        <w:rPr>
          <w:lang w:eastAsia="en-AU"/>
        </w:rPr>
        <w:t>,</w:t>
      </w:r>
      <w:r w:rsidR="00D46386" w:rsidRPr="005F2584">
        <w:rPr>
          <w:lang w:eastAsia="en-AU"/>
        </w:rPr>
        <w:t xml:space="preserve"> “sometimes, usually or always” had trouble paying for the ongoing costs of those services. </w:t>
      </w:r>
      <w:r w:rsidR="003B017E">
        <w:rPr>
          <w:lang w:eastAsia="en-AU"/>
        </w:rPr>
        <w:t>Around a third of these usually or always had trouble paying.</w:t>
      </w:r>
    </w:p>
    <w:p w14:paraId="7470599A" w14:textId="6F68F753" w:rsidR="00D46386" w:rsidRDefault="00D46386" w:rsidP="00D46386">
      <w:pPr>
        <w:rPr>
          <w:lang w:eastAsia="en-AU"/>
        </w:rPr>
      </w:pPr>
      <w:r w:rsidRPr="005F2584">
        <w:rPr>
          <w:lang w:eastAsia="en-AU"/>
        </w:rPr>
        <w:t>Again though, the figures for those in rental accommodation w</w:t>
      </w:r>
      <w:r>
        <w:rPr>
          <w:lang w:eastAsia="en-AU"/>
        </w:rPr>
        <w:t>ere</w:t>
      </w:r>
      <w:r w:rsidRPr="005F2584">
        <w:rPr>
          <w:lang w:eastAsia="en-AU"/>
        </w:rPr>
        <w:t xml:space="preserve"> far higher (59% </w:t>
      </w:r>
      <w:r w:rsidR="003B017E">
        <w:rPr>
          <w:lang w:eastAsia="en-AU"/>
        </w:rPr>
        <w:t xml:space="preserve">for smart phones, </w:t>
      </w:r>
      <w:r w:rsidRPr="005F2584">
        <w:rPr>
          <w:lang w:eastAsia="en-AU"/>
        </w:rPr>
        <w:t xml:space="preserve">and 53% </w:t>
      </w:r>
      <w:r w:rsidR="003B017E">
        <w:rPr>
          <w:lang w:eastAsia="en-AU"/>
        </w:rPr>
        <w:t>for NBN</w:t>
      </w:r>
      <w:r w:rsidRPr="005F2584">
        <w:rPr>
          <w:lang w:eastAsia="en-AU"/>
        </w:rPr>
        <w:t xml:space="preserve">), suggesting those with housing costs had much tighter budgets </w:t>
      </w:r>
      <w:r w:rsidR="003C319F">
        <w:rPr>
          <w:lang w:eastAsia="en-AU"/>
        </w:rPr>
        <w:t>and this</w:t>
      </w:r>
      <w:r w:rsidRPr="005F2584">
        <w:rPr>
          <w:lang w:eastAsia="en-AU"/>
        </w:rPr>
        <w:t xml:space="preserve"> impacted on their ability to pay for telecommunications.</w:t>
      </w:r>
    </w:p>
    <w:p w14:paraId="25F4E84C" w14:textId="2D863B4A" w:rsidR="001614B2" w:rsidRDefault="00D46386" w:rsidP="005923F7">
      <w:pPr>
        <w:rPr>
          <w:lang w:eastAsia="en-AU"/>
        </w:rPr>
      </w:pPr>
      <w:r>
        <w:rPr>
          <w:lang w:eastAsia="en-AU"/>
        </w:rPr>
        <w:t xml:space="preserve">These difficulties in paying translated to </w:t>
      </w:r>
      <w:r w:rsidR="005923F7" w:rsidRPr="004A2C79">
        <w:rPr>
          <w:lang w:eastAsia="en-AU"/>
        </w:rPr>
        <w:t>46% of survey respondents sa</w:t>
      </w:r>
      <w:r>
        <w:rPr>
          <w:lang w:eastAsia="en-AU"/>
        </w:rPr>
        <w:t>ying</w:t>
      </w:r>
      <w:r w:rsidR="005923F7" w:rsidRPr="004A2C79">
        <w:rPr>
          <w:lang w:eastAsia="en-AU"/>
        </w:rPr>
        <w:t xml:space="preserve"> that in the last 12 months they had experienced difficulty paying</w:t>
      </w:r>
      <w:r w:rsidR="005923F7">
        <w:rPr>
          <w:lang w:eastAsia="en-AU"/>
        </w:rPr>
        <w:t xml:space="preserve"> their bills</w:t>
      </w:r>
      <w:r w:rsidR="005923F7" w:rsidRPr="004A2C79">
        <w:rPr>
          <w:lang w:eastAsia="en-AU"/>
        </w:rPr>
        <w:t>, cut back on or stopped using telecommunications services in the last 12 months for financial reasons.</w:t>
      </w:r>
      <w:r w:rsidR="00AD68A1">
        <w:rPr>
          <w:lang w:eastAsia="en-AU"/>
        </w:rPr>
        <w:t xml:space="preserve"> </w:t>
      </w:r>
      <w:r w:rsidR="00910AD9">
        <w:rPr>
          <w:lang w:eastAsia="en-AU"/>
        </w:rPr>
        <w:t>T</w:t>
      </w:r>
      <w:r w:rsidR="00AD68A1">
        <w:rPr>
          <w:lang w:eastAsia="en-AU"/>
        </w:rPr>
        <w:t>his was significantly less than the 62% recorded in the 2016 survey of households on very low (mainly Centrelink) incomes</w:t>
      </w:r>
      <w:r w:rsidR="00910AD9">
        <w:rPr>
          <w:lang w:eastAsia="en-AU"/>
        </w:rPr>
        <w:t xml:space="preserve">, but </w:t>
      </w:r>
      <w:r w:rsidR="003C319F">
        <w:rPr>
          <w:lang w:eastAsia="en-AU"/>
        </w:rPr>
        <w:t>the pattern was</w:t>
      </w:r>
      <w:r w:rsidR="00910AD9">
        <w:rPr>
          <w:lang w:eastAsia="en-AU"/>
        </w:rPr>
        <w:t xml:space="preserve"> similar</w:t>
      </w:r>
      <w:r w:rsidR="003C319F">
        <w:rPr>
          <w:lang w:eastAsia="en-AU"/>
        </w:rPr>
        <w:t>. A</w:t>
      </w:r>
      <w:r w:rsidR="00910AD9">
        <w:rPr>
          <w:lang w:eastAsia="en-AU"/>
        </w:rPr>
        <w:t>bout half the respondents repor</w:t>
      </w:r>
      <w:r w:rsidR="003C319F">
        <w:rPr>
          <w:lang w:eastAsia="en-AU"/>
        </w:rPr>
        <w:t>ting</w:t>
      </w:r>
      <w:r w:rsidR="00910AD9">
        <w:rPr>
          <w:lang w:eastAsia="en-AU"/>
        </w:rPr>
        <w:t xml:space="preserve"> such financial stress choos</w:t>
      </w:r>
      <w:r w:rsidR="003C319F">
        <w:rPr>
          <w:lang w:eastAsia="en-AU"/>
        </w:rPr>
        <w:t>e</w:t>
      </w:r>
      <w:r w:rsidR="00910AD9">
        <w:rPr>
          <w:lang w:eastAsia="en-AU"/>
        </w:rPr>
        <w:t xml:space="preserve"> to cut back usage</w:t>
      </w:r>
      <w:r w:rsidR="003C319F">
        <w:rPr>
          <w:lang w:eastAsia="en-AU"/>
        </w:rPr>
        <w:t>, while o</w:t>
      </w:r>
      <w:r w:rsidR="003B017E">
        <w:rPr>
          <w:lang w:eastAsia="en-AU"/>
        </w:rPr>
        <w:t>nly</w:t>
      </w:r>
      <w:r w:rsidR="00910AD9">
        <w:rPr>
          <w:lang w:eastAsia="en-AU"/>
        </w:rPr>
        <w:t xml:space="preserve"> a very small proportion </w:t>
      </w:r>
      <w:r w:rsidR="006E0151">
        <w:rPr>
          <w:lang w:eastAsia="en-AU"/>
        </w:rPr>
        <w:t>(around 3%) stopping a service altogether</w:t>
      </w:r>
      <w:r w:rsidR="001B3619">
        <w:rPr>
          <w:lang w:eastAsia="en-AU"/>
        </w:rPr>
        <w:t xml:space="preserve"> </w:t>
      </w:r>
      <w:r w:rsidR="001B3619">
        <w:rPr>
          <w:lang w:eastAsia="en-AU"/>
        </w:rPr>
        <w:fldChar w:fldCharType="begin"/>
      </w:r>
      <w:r w:rsidR="001B3619">
        <w:rPr>
          <w:lang w:eastAsia="en-AU"/>
        </w:rPr>
        <w:instrText xml:space="preserve"> ADDIN ZOTERO_ITEM CSL_CITATION {"citationID":"04GQBGnl","properties":{"formattedCitation":"(Ogle and Musolino, 2016)","plainCitation":"(Ogle and Musolino, 2016)","noteIndex":0},"citationItems":[{"id":42,"uris":["http://zotero.org/groups/2380274/items/YQCAJU4B"],"uri":["http://zotero.org/groups/2380274/items/YQCAJU4B"],"itemData":{"id":42,"type":"report","event-place":"Adelaide","publisher":"South Australian Council of Social Service","publisher-place":"Adelaide","title":"Connectivity Costs: Telecommunications Affordability for Low Income Australians","author":[{"family":"Ogle","given":"Greg"},{"family":"Musolino","given":"Vanessa"}],"issued":{"date-parts":[["2016"]]}}}],"schema":"https://github.com/citation-style-language/schema/raw/master/csl-citation.json"} </w:instrText>
      </w:r>
      <w:r w:rsidR="001B3619">
        <w:rPr>
          <w:lang w:eastAsia="en-AU"/>
        </w:rPr>
        <w:fldChar w:fldCharType="separate"/>
      </w:r>
      <w:r w:rsidR="001B3619" w:rsidRPr="001B3619">
        <w:rPr>
          <w:rFonts w:cs="Calibri"/>
        </w:rPr>
        <w:t>(Ogle and Musolino, 2016)</w:t>
      </w:r>
      <w:r w:rsidR="001B3619">
        <w:rPr>
          <w:lang w:eastAsia="en-AU"/>
        </w:rPr>
        <w:fldChar w:fldCharType="end"/>
      </w:r>
      <w:r w:rsidR="006E0151">
        <w:rPr>
          <w:lang w:eastAsia="en-AU"/>
        </w:rPr>
        <w:t>.</w:t>
      </w:r>
      <w:r w:rsidR="00910AD9">
        <w:rPr>
          <w:lang w:eastAsia="en-AU"/>
        </w:rPr>
        <w:t xml:space="preserve"> </w:t>
      </w:r>
      <w:r w:rsidR="007A0EBE">
        <w:rPr>
          <w:lang w:eastAsia="en-AU"/>
        </w:rPr>
        <w:t xml:space="preserve">Again, the 28% of waged poor households who cut back on telecommunications is broadly similar </w:t>
      </w:r>
      <w:r w:rsidR="000E3A3A">
        <w:rPr>
          <w:lang w:eastAsia="en-AU"/>
        </w:rPr>
        <w:t>to (but again lower than)</w:t>
      </w:r>
      <w:r w:rsidR="007A0EBE">
        <w:rPr>
          <w:lang w:eastAsia="en-AU"/>
        </w:rPr>
        <w:t xml:space="preserve"> the 34% of </w:t>
      </w:r>
      <w:r w:rsidR="000E3A3A">
        <w:rPr>
          <w:lang w:eastAsia="en-AU"/>
        </w:rPr>
        <w:t xml:space="preserve">all </w:t>
      </w:r>
      <w:r w:rsidR="007A0EBE">
        <w:rPr>
          <w:lang w:eastAsia="en-AU"/>
        </w:rPr>
        <w:t xml:space="preserve">low income households in the NCOSS </w:t>
      </w:r>
      <w:r w:rsidR="001B3619">
        <w:rPr>
          <w:lang w:eastAsia="en-AU"/>
        </w:rPr>
        <w:t>(</w:t>
      </w:r>
      <w:r w:rsidR="007A0EBE">
        <w:rPr>
          <w:lang w:eastAsia="en-AU"/>
        </w:rPr>
        <w:t>2019</w:t>
      </w:r>
      <w:r w:rsidR="001B3619">
        <w:rPr>
          <w:lang w:eastAsia="en-AU"/>
        </w:rPr>
        <w:t>)</w:t>
      </w:r>
      <w:r w:rsidR="007A0EBE">
        <w:rPr>
          <w:lang w:eastAsia="en-AU"/>
        </w:rPr>
        <w:t xml:space="preserve"> survey who limited their use of mobile phones</w:t>
      </w:r>
      <w:r w:rsidR="001B3619">
        <w:rPr>
          <w:lang w:eastAsia="en-AU"/>
        </w:rPr>
        <w:t>.</w:t>
      </w:r>
      <w:r w:rsidR="007A0EBE">
        <w:rPr>
          <w:lang w:eastAsia="en-AU"/>
        </w:rPr>
        <w:t xml:space="preserve"> </w:t>
      </w:r>
      <w:r w:rsidR="007664F8">
        <w:rPr>
          <w:lang w:eastAsia="en-AU"/>
        </w:rPr>
        <w:t xml:space="preserve">The waged poor data is in Figure </w:t>
      </w:r>
      <w:r w:rsidR="001D54A2">
        <w:rPr>
          <w:lang w:eastAsia="en-AU"/>
        </w:rPr>
        <w:t>12</w:t>
      </w:r>
      <w:r w:rsidR="007664F8">
        <w:rPr>
          <w:lang w:eastAsia="en-AU"/>
        </w:rPr>
        <w:t xml:space="preserve"> below, </w:t>
      </w:r>
      <w:r w:rsidR="00204D78">
        <w:rPr>
          <w:lang w:eastAsia="en-AU"/>
        </w:rPr>
        <w:t>but we highlight here the same danger we noted</w:t>
      </w:r>
      <w:r w:rsidR="006E0151">
        <w:rPr>
          <w:lang w:eastAsia="en-AU"/>
        </w:rPr>
        <w:t xml:space="preserve"> in</w:t>
      </w:r>
      <w:r w:rsidR="00464D7E">
        <w:rPr>
          <w:lang w:eastAsia="en-AU"/>
        </w:rPr>
        <w:t xml:space="preserve"> </w:t>
      </w:r>
      <w:r w:rsidR="00204D78">
        <w:rPr>
          <w:lang w:eastAsia="en-AU"/>
        </w:rPr>
        <w:t xml:space="preserve">the </w:t>
      </w:r>
      <w:r w:rsidR="00464D7E">
        <w:rPr>
          <w:lang w:eastAsia="en-AU"/>
        </w:rPr>
        <w:t>2016</w:t>
      </w:r>
      <w:r w:rsidR="006E0151">
        <w:rPr>
          <w:lang w:eastAsia="en-AU"/>
        </w:rPr>
        <w:t xml:space="preserve"> survey</w:t>
      </w:r>
      <w:r w:rsidR="007664F8">
        <w:rPr>
          <w:lang w:eastAsia="en-AU"/>
        </w:rPr>
        <w:t>:</w:t>
      </w:r>
      <w:r w:rsidR="006E0151">
        <w:rPr>
          <w:lang w:eastAsia="en-AU"/>
        </w:rPr>
        <w:t xml:space="preserve"> cutting back or limiting usage may appear to be a harmless and obvious coping strategy, but it can come at a real cost of access to business, government services and the community.</w:t>
      </w:r>
    </w:p>
    <w:p w14:paraId="5CF5534F" w14:textId="77777777" w:rsidR="001D54A2" w:rsidRDefault="001D54A2">
      <w:pPr>
        <w:spacing w:after="0" w:line="240" w:lineRule="auto"/>
        <w:rPr>
          <w:rFonts w:ascii="Arial" w:eastAsia="Cambria" w:hAnsi="Arial" w:cs="Cambria"/>
          <w:b/>
          <w:bCs/>
          <w:sz w:val="20"/>
          <w:szCs w:val="20"/>
          <w:lang w:eastAsia="en-AU"/>
        </w:rPr>
      </w:pPr>
      <w:r>
        <w:br w:type="page"/>
      </w:r>
    </w:p>
    <w:p w14:paraId="17EB7E2A" w14:textId="4423CB57" w:rsidR="001D54A2" w:rsidRDefault="001D54A2" w:rsidP="001D54A2">
      <w:pPr>
        <w:pStyle w:val="Caption"/>
      </w:pPr>
      <w:bookmarkStart w:id="58" w:name="_Toc41920123"/>
      <w:r>
        <w:lastRenderedPageBreak/>
        <w:t xml:space="preserve">Figure </w:t>
      </w:r>
      <w:fldSimple w:instr=" SEQ Figure \* ARABIC ">
        <w:r>
          <w:rPr>
            <w:noProof/>
          </w:rPr>
          <w:t>12</w:t>
        </w:r>
      </w:fldSimple>
      <w:r>
        <w:t xml:space="preserve">: </w:t>
      </w:r>
      <w:bookmarkStart w:id="59" w:name="_Hlk44582969"/>
      <w:r>
        <w:t>Telecommunications Financial Stress Markers for Waged Poor Households</w:t>
      </w:r>
      <w:bookmarkEnd w:id="58"/>
      <w:bookmarkEnd w:id="59"/>
    </w:p>
    <w:p w14:paraId="3C5169C3" w14:textId="50F9B2CF" w:rsidR="00FD0089" w:rsidRDefault="00CB43E1" w:rsidP="005923F7">
      <w:pPr>
        <w:rPr>
          <w:noProof/>
        </w:rPr>
      </w:pPr>
      <w:r>
        <w:rPr>
          <w:noProof/>
        </w:rPr>
        <w:drawing>
          <wp:inline distT="0" distB="0" distL="0" distR="0" wp14:anchorId="1225A7FC" wp14:editId="1C5F7B7B">
            <wp:extent cx="5728970" cy="2586355"/>
            <wp:effectExtent l="0" t="0" r="0" b="0"/>
            <wp:docPr id="15" name="Chart 1" descr="Figure 12: Telecommunications Financial Stress Markers for Waged Poor Households&#10;Table showing: &#10;difficulty paying 15.5 &#10;cut back 28.2&#10;unsure 4.6&#10;no stress 49.2&#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06619BB" w14:textId="780461C2" w:rsidR="00946DBD" w:rsidRDefault="007463A5" w:rsidP="007463A5">
      <w:pPr>
        <w:rPr>
          <w:lang w:eastAsia="en-AU"/>
        </w:rPr>
      </w:pPr>
      <w:r>
        <w:rPr>
          <w:lang w:eastAsia="en-AU"/>
        </w:rPr>
        <w:t>A</w:t>
      </w:r>
      <w:r w:rsidR="003C319F">
        <w:rPr>
          <w:lang w:eastAsia="en-AU"/>
        </w:rPr>
        <w:t>s with the survey data, a</w:t>
      </w:r>
      <w:r>
        <w:rPr>
          <w:lang w:eastAsia="en-AU"/>
        </w:rPr>
        <w:t xml:space="preserve">bout half the people in the qualitative interviews also said that they did not have difficulty in paying phone and internet bills, but when pressed </w:t>
      </w:r>
      <w:r w:rsidR="003C319F">
        <w:rPr>
          <w:lang w:eastAsia="en-AU"/>
        </w:rPr>
        <w:t xml:space="preserve">in interviews </w:t>
      </w:r>
      <w:r w:rsidR="00FC4B5B">
        <w:rPr>
          <w:lang w:eastAsia="en-AU"/>
        </w:rPr>
        <w:t>a number of different aspects of this emerged</w:t>
      </w:r>
      <w:r>
        <w:rPr>
          <w:lang w:eastAsia="en-AU"/>
        </w:rPr>
        <w:t xml:space="preserve">. Firstly, in contrast to energy bills which were larger, lumpier (less regular) and more unpredictable because usage was unknown, the regular </w:t>
      </w:r>
      <w:r w:rsidR="00946DBD">
        <w:rPr>
          <w:lang w:eastAsia="en-AU"/>
        </w:rPr>
        <w:t>monthly billing cycle of telecommunications bills made them easier to budget for</w:t>
      </w:r>
      <w:r w:rsidR="00204D78">
        <w:rPr>
          <w:lang w:eastAsia="en-AU"/>
        </w:rPr>
        <w:t>:</w:t>
      </w:r>
      <w:r w:rsidR="00FC4B5B">
        <w:rPr>
          <w:lang w:eastAsia="en-AU"/>
        </w:rPr>
        <w:t xml:space="preserve"> “the numbers are not too big”</w:t>
      </w:r>
      <w:r w:rsidR="005D1BBE">
        <w:rPr>
          <w:lang w:eastAsia="en-AU"/>
        </w:rPr>
        <w:t xml:space="preserve"> and there are “no surprises”</w:t>
      </w:r>
      <w:r w:rsidR="00FC4B5B">
        <w:rPr>
          <w:lang w:eastAsia="en-AU"/>
        </w:rPr>
        <w:t>.</w:t>
      </w:r>
      <w:r w:rsidR="003C319F">
        <w:rPr>
          <w:lang w:eastAsia="en-AU"/>
        </w:rPr>
        <w:t xml:space="preserve"> Some interviewees suggested fortnightly or weekly bills would be better still.</w:t>
      </w:r>
    </w:p>
    <w:p w14:paraId="7DD725E7" w14:textId="2779FDC5" w:rsidR="007463A5" w:rsidRDefault="00FC4B5B" w:rsidP="007463A5">
      <w:pPr>
        <w:rPr>
          <w:lang w:eastAsia="en-AU"/>
        </w:rPr>
      </w:pPr>
      <w:r>
        <w:rPr>
          <w:lang w:eastAsia="en-AU"/>
        </w:rPr>
        <w:t xml:space="preserve">Secondly, </w:t>
      </w:r>
      <w:r w:rsidR="00946DBD">
        <w:rPr>
          <w:lang w:eastAsia="en-AU"/>
        </w:rPr>
        <w:t xml:space="preserve">phone and internet bills appeared more manageable </w:t>
      </w:r>
      <w:r>
        <w:rPr>
          <w:lang w:eastAsia="en-AU"/>
        </w:rPr>
        <w:t>for</w:t>
      </w:r>
      <w:r w:rsidR="00946DBD">
        <w:rPr>
          <w:lang w:eastAsia="en-AU"/>
        </w:rPr>
        <w:t xml:space="preserve"> some of the people we interviewed </w:t>
      </w:r>
      <w:r>
        <w:rPr>
          <w:lang w:eastAsia="en-AU"/>
        </w:rPr>
        <w:t xml:space="preserve">because they </w:t>
      </w:r>
      <w:r w:rsidR="007463A5">
        <w:rPr>
          <w:lang w:eastAsia="en-AU"/>
        </w:rPr>
        <w:t>were using pre-paid services to manage expenditure</w:t>
      </w:r>
      <w:r>
        <w:rPr>
          <w:lang w:eastAsia="en-AU"/>
        </w:rPr>
        <w:t xml:space="preserve"> </w:t>
      </w:r>
      <w:r w:rsidR="003C319F">
        <w:rPr>
          <w:lang w:eastAsia="en-AU"/>
        </w:rPr>
        <w:t>because</w:t>
      </w:r>
      <w:r>
        <w:rPr>
          <w:lang w:eastAsia="en-AU"/>
        </w:rPr>
        <w:t xml:space="preserve"> “</w:t>
      </w:r>
      <w:r>
        <w:rPr>
          <w:rFonts w:cs="Calibri"/>
          <w:color w:val="000000"/>
        </w:rPr>
        <w:t>with the prepaid plans, you don't have the issue of not being able to pay a bill</w:t>
      </w:r>
      <w:r w:rsidR="00025DBF">
        <w:rPr>
          <w:rFonts w:cs="Calibri"/>
          <w:color w:val="000000"/>
        </w:rPr>
        <w:t>” [Usman]</w:t>
      </w:r>
      <w:r w:rsidR="00C82B67">
        <w:rPr>
          <w:rFonts w:cs="Calibri"/>
          <w:color w:val="000000"/>
        </w:rPr>
        <w:t xml:space="preserve"> However, the fact that using pre-paid plans</w:t>
      </w:r>
      <w:r w:rsidR="00946DBD">
        <w:rPr>
          <w:lang w:eastAsia="en-AU"/>
        </w:rPr>
        <w:t xml:space="preserve"> guaranteed a clea</w:t>
      </w:r>
      <w:r w:rsidR="00204D78">
        <w:rPr>
          <w:lang w:eastAsia="en-AU"/>
        </w:rPr>
        <w:t>n</w:t>
      </w:r>
      <w:r w:rsidR="00946DBD">
        <w:rPr>
          <w:lang w:eastAsia="en-AU"/>
        </w:rPr>
        <w:t xml:space="preserve"> budget </w:t>
      </w:r>
      <w:r w:rsidR="00C82B67">
        <w:rPr>
          <w:lang w:eastAsia="en-AU"/>
        </w:rPr>
        <w:t>did not</w:t>
      </w:r>
      <w:r w:rsidR="00946DBD">
        <w:rPr>
          <w:lang w:eastAsia="en-AU"/>
        </w:rPr>
        <w:t xml:space="preserve"> mean that they </w:t>
      </w:r>
      <w:r w:rsidR="00C82B67">
        <w:rPr>
          <w:lang w:eastAsia="en-AU"/>
        </w:rPr>
        <w:t xml:space="preserve">were not having difficulties. As </w:t>
      </w:r>
      <w:r w:rsidR="00025DBF" w:rsidRPr="00025DBF">
        <w:rPr>
          <w:lang w:eastAsia="en-AU"/>
        </w:rPr>
        <w:t>Stephen</w:t>
      </w:r>
      <w:r w:rsidR="00C82B67" w:rsidRPr="00025DBF">
        <w:rPr>
          <w:lang w:eastAsia="en-AU"/>
        </w:rPr>
        <w:t>’</w:t>
      </w:r>
      <w:r w:rsidR="00025DBF">
        <w:rPr>
          <w:lang w:eastAsia="en-AU"/>
        </w:rPr>
        <w:t>s</w:t>
      </w:r>
      <w:r w:rsidR="00C82B67">
        <w:rPr>
          <w:lang w:eastAsia="en-AU"/>
        </w:rPr>
        <w:t xml:space="preserve"> example shows, the pre-paid strategy is really just enforced</w:t>
      </w:r>
      <w:r w:rsidR="00946DBD">
        <w:rPr>
          <w:lang w:eastAsia="en-AU"/>
        </w:rPr>
        <w:t xml:space="preserve"> cutting back usage</w:t>
      </w:r>
      <w:r w:rsidR="00C25B4C">
        <w:rPr>
          <w:lang w:eastAsia="en-AU"/>
        </w:rPr>
        <w:t>:</w:t>
      </w:r>
      <w:r w:rsidR="00C82B67">
        <w:rPr>
          <w:lang w:eastAsia="en-AU"/>
        </w:rPr>
        <w:t xml:space="preserve"> </w:t>
      </w:r>
    </w:p>
    <w:p w14:paraId="0B7E1AFB" w14:textId="6869CCC6" w:rsidR="00946DBD" w:rsidRDefault="00FE6A54" w:rsidP="00FE6A54">
      <w:pPr>
        <w:ind w:left="720"/>
        <w:rPr>
          <w:rFonts w:cs="Calibri"/>
          <w:color w:val="000000"/>
        </w:rPr>
      </w:pPr>
      <w:r>
        <w:rPr>
          <w:rFonts w:cs="Calibri"/>
          <w:color w:val="000000"/>
        </w:rPr>
        <w:t xml:space="preserve">I'm prepaid, so if I run out of credit then … people can still ring me or message me when they need to. I just can't make phone calls or message people until I get more credit. For me, it's always been a lot easier to manage my phone through prepaid than on plans. When I've had </w:t>
      </w:r>
      <w:r w:rsidR="007A2E40">
        <w:rPr>
          <w:rFonts w:cs="Calibri"/>
          <w:color w:val="000000"/>
        </w:rPr>
        <w:t xml:space="preserve">[post-paid] </w:t>
      </w:r>
      <w:r>
        <w:rPr>
          <w:rFonts w:cs="Calibri"/>
          <w:color w:val="000000"/>
        </w:rPr>
        <w:t>plans, I've gone over budget and it's got a lot harder</w:t>
      </w:r>
      <w:r w:rsidR="00001EDB">
        <w:rPr>
          <w:rFonts w:cs="Calibri"/>
          <w:color w:val="000000"/>
        </w:rPr>
        <w:t>.</w:t>
      </w:r>
      <w:r>
        <w:rPr>
          <w:rFonts w:cs="Calibri"/>
          <w:color w:val="000000"/>
        </w:rPr>
        <w:t xml:space="preserve"> </w:t>
      </w:r>
    </w:p>
    <w:p w14:paraId="3BDB6284" w14:textId="3FEA1772" w:rsidR="00FE6A54" w:rsidRDefault="00FE6A54" w:rsidP="00FE6A54">
      <w:pPr>
        <w:rPr>
          <w:rFonts w:cs="Calibri"/>
          <w:color w:val="000000"/>
        </w:rPr>
      </w:pPr>
      <w:r>
        <w:rPr>
          <w:rFonts w:cs="Calibri"/>
          <w:color w:val="000000"/>
        </w:rPr>
        <w:t xml:space="preserve">This echoed findings from the </w:t>
      </w:r>
      <w:r>
        <w:rPr>
          <w:rFonts w:cs="Calibri"/>
          <w:i/>
          <w:iCs/>
          <w:color w:val="000000"/>
        </w:rPr>
        <w:t xml:space="preserve">Connectivity Costs </w:t>
      </w:r>
      <w:r>
        <w:rPr>
          <w:rFonts w:cs="Calibri"/>
          <w:color w:val="000000"/>
        </w:rPr>
        <w:t xml:space="preserve">interviews </w:t>
      </w:r>
      <w:r w:rsidR="00C82B67">
        <w:rPr>
          <w:rFonts w:cs="Calibri"/>
          <w:color w:val="000000"/>
        </w:rPr>
        <w:t xml:space="preserve">where using pre-paid services was </w:t>
      </w:r>
      <w:r w:rsidR="007A2E40">
        <w:rPr>
          <w:rFonts w:cs="Calibri"/>
          <w:color w:val="000000"/>
        </w:rPr>
        <w:t>noted as a strategy used</w:t>
      </w:r>
      <w:r w:rsidR="00C82B67">
        <w:rPr>
          <w:rFonts w:cs="Calibri"/>
          <w:color w:val="000000"/>
        </w:rPr>
        <w:t xml:space="preserve"> by </w:t>
      </w:r>
      <w:r>
        <w:rPr>
          <w:rFonts w:cs="Calibri"/>
          <w:color w:val="000000"/>
        </w:rPr>
        <w:t xml:space="preserve">other people in poverty </w:t>
      </w:r>
      <w:r w:rsidR="00C82B67">
        <w:rPr>
          <w:rFonts w:cs="Calibri"/>
          <w:color w:val="000000"/>
        </w:rPr>
        <w:t>to manage expenditure</w:t>
      </w:r>
      <w:r w:rsidR="007A2E40">
        <w:rPr>
          <w:rFonts w:cs="Calibri"/>
          <w:color w:val="000000"/>
        </w:rPr>
        <w:t xml:space="preserve">. </w:t>
      </w:r>
    </w:p>
    <w:p w14:paraId="13AC4B57" w14:textId="43228641" w:rsidR="00FE6A54" w:rsidRDefault="00C82B67" w:rsidP="00FE6A54">
      <w:pPr>
        <w:rPr>
          <w:rFonts w:cs="Calibri"/>
          <w:color w:val="000000"/>
        </w:rPr>
      </w:pPr>
      <w:r>
        <w:rPr>
          <w:rFonts w:cs="Calibri"/>
          <w:color w:val="000000"/>
        </w:rPr>
        <w:t>Finally, t</w:t>
      </w:r>
      <w:r w:rsidR="00FE6A54">
        <w:rPr>
          <w:rFonts w:cs="Calibri"/>
          <w:color w:val="000000"/>
        </w:rPr>
        <w:t xml:space="preserve">he other big reason why interviewees were able to afford their telecommunications bills was simply that </w:t>
      </w:r>
      <w:r>
        <w:rPr>
          <w:rFonts w:cs="Calibri"/>
          <w:color w:val="000000"/>
        </w:rPr>
        <w:t xml:space="preserve">with very little money to play with, </w:t>
      </w:r>
      <w:r w:rsidR="00FE6A54">
        <w:rPr>
          <w:rFonts w:cs="Calibri"/>
          <w:color w:val="000000"/>
        </w:rPr>
        <w:t>they managed their money tightly or went without other things:</w:t>
      </w:r>
    </w:p>
    <w:p w14:paraId="7B75C88F" w14:textId="7B0E7A53" w:rsidR="00946DBD" w:rsidRDefault="00946DBD" w:rsidP="00FE6A54">
      <w:pPr>
        <w:ind w:left="720"/>
        <w:rPr>
          <w:rFonts w:cs="Calibri"/>
          <w:color w:val="000000"/>
        </w:rPr>
      </w:pPr>
      <w:r>
        <w:rPr>
          <w:rFonts w:cs="Calibri"/>
          <w:color w:val="000000"/>
        </w:rPr>
        <w:t xml:space="preserve">I'm an amazing budgeter. I will go </w:t>
      </w:r>
      <w:r w:rsidR="00C82B67">
        <w:rPr>
          <w:rFonts w:cs="Calibri"/>
          <w:color w:val="000000"/>
        </w:rPr>
        <w:t>without</w:t>
      </w:r>
      <w:r>
        <w:rPr>
          <w:rFonts w:cs="Calibri"/>
          <w:color w:val="000000"/>
        </w:rPr>
        <w:t xml:space="preserve"> other stuff before I will not pay my bills, </w:t>
      </w:r>
      <w:r w:rsidR="00C82B67">
        <w:rPr>
          <w:rFonts w:cs="Calibri"/>
          <w:color w:val="000000"/>
        </w:rPr>
        <w:t>…</w:t>
      </w:r>
      <w:r>
        <w:rPr>
          <w:rFonts w:cs="Calibri"/>
          <w:color w:val="000000"/>
        </w:rPr>
        <w:t xml:space="preserve"> like we might have baked beans for a week</w:t>
      </w:r>
      <w:r w:rsidR="00C25B4C">
        <w:rPr>
          <w:rFonts w:cs="Calibri"/>
          <w:color w:val="000000"/>
        </w:rPr>
        <w:t>, i</w:t>
      </w:r>
      <w:r>
        <w:rPr>
          <w:rFonts w:cs="Calibri"/>
          <w:color w:val="000000"/>
        </w:rPr>
        <w:t>f things are tight, that's fine</w:t>
      </w:r>
      <w:r w:rsidR="00801E6C">
        <w:rPr>
          <w:rFonts w:cs="Calibri"/>
          <w:color w:val="000000"/>
        </w:rPr>
        <w:t xml:space="preserve"> … But I always pay my bills.</w:t>
      </w:r>
      <w:r w:rsidR="00C82B67">
        <w:rPr>
          <w:rFonts w:cs="Calibri"/>
          <w:color w:val="000000"/>
        </w:rPr>
        <w:t xml:space="preserve"> </w:t>
      </w:r>
      <w:r w:rsidR="0007007E">
        <w:rPr>
          <w:rFonts w:cs="Calibri"/>
          <w:color w:val="000000"/>
        </w:rPr>
        <w:t>[Alison]</w:t>
      </w:r>
    </w:p>
    <w:p w14:paraId="1BA57788" w14:textId="3199EC05" w:rsidR="00801E6C" w:rsidRDefault="00801E6C" w:rsidP="00FE6A54">
      <w:pPr>
        <w:spacing w:before="80"/>
        <w:ind w:left="720"/>
        <w:rPr>
          <w:rFonts w:cs="Calibri"/>
          <w:color w:val="000000"/>
        </w:rPr>
      </w:pPr>
      <w:r>
        <w:rPr>
          <w:rFonts w:cs="Calibri"/>
          <w:color w:val="000000"/>
        </w:rPr>
        <w:t>We don't have much money left, but we never struggle with the bills …  we are very careful about our spending.</w:t>
      </w:r>
      <w:r w:rsidR="00C82B67">
        <w:rPr>
          <w:rFonts w:cs="Calibri"/>
          <w:color w:val="000000"/>
        </w:rPr>
        <w:t xml:space="preserve"> [</w:t>
      </w:r>
      <w:r w:rsidR="0007007E">
        <w:rPr>
          <w:rFonts w:cs="Calibri"/>
          <w:color w:val="000000"/>
        </w:rPr>
        <w:t>Daniel]</w:t>
      </w:r>
    </w:p>
    <w:p w14:paraId="7BF39B12" w14:textId="7F15D5F9" w:rsidR="00C82B67" w:rsidRDefault="00C82B67" w:rsidP="00C82B67">
      <w:pPr>
        <w:spacing w:before="80"/>
        <w:ind w:left="720"/>
        <w:rPr>
          <w:rFonts w:cs="Calibri"/>
          <w:color w:val="000000"/>
        </w:rPr>
      </w:pPr>
      <w:r>
        <w:rPr>
          <w:rFonts w:cs="Calibri"/>
          <w:color w:val="000000"/>
        </w:rPr>
        <w:lastRenderedPageBreak/>
        <w:t>I don't have enough to pay. So after paying off all th</w:t>
      </w:r>
      <w:r w:rsidR="003620CB">
        <w:rPr>
          <w:rFonts w:cs="Calibri"/>
          <w:color w:val="000000"/>
        </w:rPr>
        <w:t>e</w:t>
      </w:r>
      <w:r>
        <w:rPr>
          <w:rFonts w:cs="Calibri"/>
          <w:color w:val="000000"/>
        </w:rPr>
        <w:t xml:space="preserve"> bills, I even don't have enough for even feeding or something to keep me going to the next fortnight</w:t>
      </w:r>
      <w:r w:rsidR="003620CB">
        <w:rPr>
          <w:rFonts w:cs="Calibri"/>
          <w:color w:val="000000"/>
        </w:rPr>
        <w:t>.</w:t>
      </w:r>
      <w:r>
        <w:rPr>
          <w:rFonts w:cs="Calibri"/>
          <w:color w:val="000000"/>
        </w:rPr>
        <w:t xml:space="preserve"> </w:t>
      </w:r>
      <w:r w:rsidR="003620CB">
        <w:rPr>
          <w:rFonts w:cs="Calibri"/>
          <w:color w:val="000000"/>
        </w:rPr>
        <w:t>…</w:t>
      </w:r>
      <w:r>
        <w:rPr>
          <w:rFonts w:cs="Calibri"/>
          <w:color w:val="000000"/>
        </w:rPr>
        <w:t xml:space="preserve"> I just have to scrape though </w:t>
      </w:r>
      <w:r w:rsidR="003620CB">
        <w:rPr>
          <w:rFonts w:cs="Calibri"/>
          <w:color w:val="000000"/>
        </w:rPr>
        <w:t xml:space="preserve">till </w:t>
      </w:r>
      <w:r>
        <w:rPr>
          <w:rFonts w:cs="Calibri"/>
          <w:color w:val="000000"/>
        </w:rPr>
        <w:t>the next payment day. [</w:t>
      </w:r>
      <w:r w:rsidR="004841A1">
        <w:rPr>
          <w:rFonts w:cs="Calibri"/>
          <w:color w:val="000000"/>
        </w:rPr>
        <w:t>Lena</w:t>
      </w:r>
      <w:r>
        <w:rPr>
          <w:rFonts w:cs="Calibri"/>
          <w:color w:val="000000"/>
        </w:rPr>
        <w:t>]</w:t>
      </w:r>
    </w:p>
    <w:p w14:paraId="2C67BEF0" w14:textId="64FB0AE3" w:rsidR="00946DBD" w:rsidRDefault="003620CB" w:rsidP="007463A5">
      <w:pPr>
        <w:rPr>
          <w:lang w:eastAsia="en-AU"/>
        </w:rPr>
      </w:pPr>
      <w:r>
        <w:rPr>
          <w:lang w:eastAsia="en-AU"/>
        </w:rPr>
        <w:t xml:space="preserve">In these cases, the </w:t>
      </w:r>
      <w:r w:rsidR="00C25B4C">
        <w:rPr>
          <w:lang w:eastAsia="en-AU"/>
        </w:rPr>
        <w:t xml:space="preserve">data on </w:t>
      </w:r>
      <w:r>
        <w:rPr>
          <w:lang w:eastAsia="en-AU"/>
        </w:rPr>
        <w:t>managing to pay bills</w:t>
      </w:r>
      <w:r w:rsidR="00C82B67">
        <w:rPr>
          <w:lang w:eastAsia="en-AU"/>
        </w:rPr>
        <w:t xml:space="preserve"> reflects more on the budget skills </w:t>
      </w:r>
      <w:r>
        <w:rPr>
          <w:lang w:eastAsia="en-AU"/>
        </w:rPr>
        <w:t xml:space="preserve">of waged poor households and </w:t>
      </w:r>
      <w:r w:rsidR="00C82B67">
        <w:rPr>
          <w:lang w:eastAsia="en-AU"/>
        </w:rPr>
        <w:t xml:space="preserve">the importance </w:t>
      </w:r>
      <w:r>
        <w:rPr>
          <w:lang w:eastAsia="en-AU"/>
        </w:rPr>
        <w:t>they</w:t>
      </w:r>
      <w:r w:rsidR="00C82B67">
        <w:rPr>
          <w:lang w:eastAsia="en-AU"/>
        </w:rPr>
        <w:t xml:space="preserve"> place on paying their way than it does on telecommunications affordability.</w:t>
      </w:r>
    </w:p>
    <w:p w14:paraId="04AF45E6" w14:textId="56405A5B" w:rsidR="007463A5" w:rsidRDefault="007463A5" w:rsidP="00082300">
      <w:pPr>
        <w:pStyle w:val="Heading3"/>
      </w:pPr>
      <w:bookmarkStart w:id="60" w:name="_Toc42719037"/>
      <w:r>
        <w:t>Changes over time</w:t>
      </w:r>
      <w:bookmarkEnd w:id="60"/>
    </w:p>
    <w:p w14:paraId="38147FA7" w14:textId="67CBD65A" w:rsidR="00B93F1F" w:rsidRPr="008371CE" w:rsidRDefault="00B93F1F" w:rsidP="007463A5">
      <w:pPr>
        <w:rPr>
          <w:lang w:eastAsia="en-AU"/>
        </w:rPr>
      </w:pPr>
      <w:r>
        <w:rPr>
          <w:lang w:eastAsia="en-AU"/>
        </w:rPr>
        <w:t>There is no time series for wage</w:t>
      </w:r>
      <w:r w:rsidR="003A761C">
        <w:rPr>
          <w:lang w:eastAsia="en-AU"/>
        </w:rPr>
        <w:t>d</w:t>
      </w:r>
      <w:r>
        <w:rPr>
          <w:lang w:eastAsia="en-AU"/>
        </w:rPr>
        <w:t xml:space="preserve"> poor household data, so it is hard to track their telecommunications expenditure over time. </w:t>
      </w:r>
      <w:r w:rsidR="00082300">
        <w:rPr>
          <w:lang w:eastAsia="en-AU"/>
        </w:rPr>
        <w:t>O</w:t>
      </w:r>
      <w:r>
        <w:rPr>
          <w:lang w:eastAsia="en-AU"/>
        </w:rPr>
        <w:t>ver the last two decade</w:t>
      </w:r>
      <w:r w:rsidR="00082300">
        <w:rPr>
          <w:lang w:eastAsia="en-AU"/>
        </w:rPr>
        <w:t>s</w:t>
      </w:r>
      <w:r>
        <w:rPr>
          <w:lang w:eastAsia="en-AU"/>
        </w:rPr>
        <w:t xml:space="preserve"> </w:t>
      </w:r>
      <w:r w:rsidR="00082300">
        <w:rPr>
          <w:lang w:eastAsia="en-AU"/>
        </w:rPr>
        <w:t xml:space="preserve">telecommunication </w:t>
      </w:r>
      <w:r>
        <w:rPr>
          <w:lang w:eastAsia="en-AU"/>
        </w:rPr>
        <w:t xml:space="preserve">prices </w:t>
      </w:r>
      <w:r w:rsidR="00082300">
        <w:rPr>
          <w:lang w:eastAsia="en-AU"/>
        </w:rPr>
        <w:t xml:space="preserve">generally </w:t>
      </w:r>
      <w:r>
        <w:rPr>
          <w:lang w:eastAsia="en-AU"/>
        </w:rPr>
        <w:t xml:space="preserve">have come down substantially, but usage (in terms of numbers of devices and data use) has risen enormously. The ABS data shows that the end result </w:t>
      </w:r>
      <w:r w:rsidR="008371CE">
        <w:rPr>
          <w:lang w:eastAsia="en-AU"/>
        </w:rPr>
        <w:t xml:space="preserve">of these changes is that average household expenditure on telecommunications, in real terms, has remained fairly steady between the 2003/04 and 2015/16 </w:t>
      </w:r>
      <w:r w:rsidR="008371CE">
        <w:rPr>
          <w:i/>
          <w:iCs/>
          <w:lang w:eastAsia="en-AU"/>
        </w:rPr>
        <w:t>Household Expenditure Surveys</w:t>
      </w:r>
      <w:r w:rsidR="008371CE">
        <w:rPr>
          <w:lang w:eastAsia="en-AU"/>
        </w:rPr>
        <w:t xml:space="preserve">. However, SACOSS analysis showed that as a proportion of household expenditure, telecommunications costs fell for average households (from 4.3% to 3.7%), but rose slightly for the lowest income quintile (from 4.5% to 4.6%) </w:t>
      </w:r>
      <w:r w:rsidR="00DE4095">
        <w:rPr>
          <w:lang w:eastAsia="en-AU"/>
        </w:rPr>
        <w:fldChar w:fldCharType="begin"/>
      </w:r>
      <w:r w:rsidR="00DE4095">
        <w:rPr>
          <w:lang w:eastAsia="en-AU"/>
        </w:rPr>
        <w:instrText xml:space="preserve"> ADDIN ZOTERO_ITEM CSL_CITATION {"citationID":"UmzxJC1V","properties":{"formattedCitation":"(Ogle, 2017)","plainCitation":"(Ogle, 2017)","noteIndex":0},"citationItems":[{"id":11,"uris":["http://zotero.org/groups/2380274/items/G6ELREG7"],"uri":["http://zotero.org/groups/2380274/items/G6ELREG7"],"itemData":{"id":11,"type":"report","event-place":"Sydney","genre":"Fact Sheet","publisher":"Australian Communications Consumer Action Network","publisher-place":"Sydney","title":"Telecommunications Expenditure in Australia","URL":"https://www.sacoss.org.au/telecommunications-expenditure-australia","author":[{"family":"Ogle","given":"Greg"}],"issued":{"date-parts":[["2017"]]}}}],"schema":"https://github.com/citation-style-language/schema/raw/master/csl-citation.json"} </w:instrText>
      </w:r>
      <w:r w:rsidR="00DE4095">
        <w:rPr>
          <w:lang w:eastAsia="en-AU"/>
        </w:rPr>
        <w:fldChar w:fldCharType="separate"/>
      </w:r>
      <w:r w:rsidR="00DE4095" w:rsidRPr="00DE4095">
        <w:rPr>
          <w:rFonts w:cs="Calibri"/>
        </w:rPr>
        <w:t>(Ogle, 2017)</w:t>
      </w:r>
      <w:r w:rsidR="00DE4095">
        <w:rPr>
          <w:lang w:eastAsia="en-AU"/>
        </w:rPr>
        <w:fldChar w:fldCharType="end"/>
      </w:r>
      <w:r w:rsidR="00DE4095">
        <w:rPr>
          <w:lang w:eastAsia="en-AU"/>
        </w:rPr>
        <w:t>.</w:t>
      </w:r>
    </w:p>
    <w:p w14:paraId="226A10DC" w14:textId="45933024" w:rsidR="007463A5" w:rsidRDefault="005923F7" w:rsidP="007463A5">
      <w:pPr>
        <w:rPr>
          <w:lang w:eastAsia="en-AU"/>
        </w:rPr>
      </w:pPr>
      <w:r>
        <w:rPr>
          <w:lang w:eastAsia="en-AU"/>
        </w:rPr>
        <w:t xml:space="preserve">Against </w:t>
      </w:r>
      <w:r w:rsidR="008371CE">
        <w:rPr>
          <w:lang w:eastAsia="en-AU"/>
        </w:rPr>
        <w:t>this background</w:t>
      </w:r>
      <w:r>
        <w:rPr>
          <w:lang w:eastAsia="en-AU"/>
        </w:rPr>
        <w:t>, a</w:t>
      </w:r>
      <w:r w:rsidRPr="00CF169B">
        <w:rPr>
          <w:lang w:eastAsia="en-AU"/>
        </w:rPr>
        <w:t xml:space="preserve">pproximately </w:t>
      </w:r>
      <w:r w:rsidR="008371CE">
        <w:rPr>
          <w:lang w:eastAsia="en-AU"/>
        </w:rPr>
        <w:t xml:space="preserve">one </w:t>
      </w:r>
      <w:r w:rsidRPr="00CF169B">
        <w:rPr>
          <w:lang w:eastAsia="en-AU"/>
        </w:rPr>
        <w:t xml:space="preserve">in </w:t>
      </w:r>
      <w:r w:rsidR="008371CE">
        <w:rPr>
          <w:lang w:eastAsia="en-AU"/>
        </w:rPr>
        <w:t>three</w:t>
      </w:r>
      <w:r w:rsidRPr="00CF169B">
        <w:rPr>
          <w:lang w:eastAsia="en-AU"/>
        </w:rPr>
        <w:t xml:space="preserve"> </w:t>
      </w:r>
      <w:r w:rsidR="008371CE">
        <w:rPr>
          <w:lang w:eastAsia="en-AU"/>
        </w:rPr>
        <w:t xml:space="preserve">waged poor survey </w:t>
      </w:r>
      <w:r w:rsidRPr="00CF169B">
        <w:rPr>
          <w:lang w:eastAsia="en-AU"/>
        </w:rPr>
        <w:t>respondents said that they are spending less now on telecommunications than three years ago, while 38% said that they were spending around the same as three years ago. Only 1 in 5 respondents said they spend more on telecommunications now than three years ago.</w:t>
      </w:r>
      <w:r w:rsidR="007463A5">
        <w:rPr>
          <w:lang w:eastAsia="en-AU"/>
        </w:rPr>
        <w:t xml:space="preserve"> This data, which is presented in Figure </w:t>
      </w:r>
      <w:r w:rsidR="003A761C" w:rsidRPr="009E6570">
        <w:rPr>
          <w:lang w:eastAsia="en-AU"/>
        </w:rPr>
        <w:t>13</w:t>
      </w:r>
      <w:r w:rsidR="007463A5" w:rsidRPr="009E6570">
        <w:rPr>
          <w:lang w:eastAsia="en-AU"/>
        </w:rPr>
        <w:t>,</w:t>
      </w:r>
      <w:r w:rsidR="007463A5">
        <w:rPr>
          <w:lang w:eastAsia="en-AU"/>
        </w:rPr>
        <w:t xml:space="preserve"> is obviously subjective</w:t>
      </w:r>
      <w:r w:rsidR="008371CE">
        <w:rPr>
          <w:lang w:eastAsia="en-AU"/>
        </w:rPr>
        <w:t>, and pre-dates potential increases in expenditure arising from coronavirus changes</w:t>
      </w:r>
      <w:r w:rsidR="007463A5">
        <w:rPr>
          <w:lang w:eastAsia="en-AU"/>
        </w:rPr>
        <w:t xml:space="preserve">. </w:t>
      </w:r>
    </w:p>
    <w:p w14:paraId="0AF9BED3" w14:textId="2F543836" w:rsidR="001D54A2" w:rsidRDefault="001D54A2" w:rsidP="001D54A2">
      <w:pPr>
        <w:pStyle w:val="Caption"/>
      </w:pPr>
      <w:bookmarkStart w:id="61" w:name="_Toc37776834"/>
      <w:bookmarkStart w:id="62" w:name="_Toc41920124"/>
      <w:r>
        <w:t xml:space="preserve">Figure </w:t>
      </w:r>
      <w:fldSimple w:instr=" SEQ Figure \* ARABIC ">
        <w:r>
          <w:rPr>
            <w:noProof/>
          </w:rPr>
          <w:t>13</w:t>
        </w:r>
      </w:fldSimple>
      <w:r>
        <w:t>: Telecommunications Expenditure Changes Over Time</w:t>
      </w:r>
      <w:bookmarkEnd w:id="61"/>
      <w:bookmarkEnd w:id="62"/>
    </w:p>
    <w:p w14:paraId="338453B1" w14:textId="7EB6F800" w:rsidR="005923F7" w:rsidRDefault="00CB43E1" w:rsidP="005923F7">
      <w:pPr>
        <w:jc w:val="center"/>
        <w:rPr>
          <w:lang w:eastAsia="en-AU"/>
        </w:rPr>
      </w:pPr>
      <w:r>
        <w:rPr>
          <w:noProof/>
          <w:lang w:eastAsia="en-AU"/>
        </w:rPr>
        <w:drawing>
          <wp:inline distT="0" distB="0" distL="0" distR="0" wp14:anchorId="25FE7BF3" wp14:editId="5E78D9EC">
            <wp:extent cx="4853940" cy="3475990"/>
            <wp:effectExtent l="0" t="0" r="3810" b="10160"/>
            <wp:docPr id="16" name="Chart 14" descr="Title: Current Telecommunications Expenditure by Comparison with 3 Years Ago - Description: Pie chart showing proportion of respondents who spend much less now (15%), a bit less now (19%), about the same (38%), a bit more now (14%) and much more now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1F90F13" w14:textId="033494F7" w:rsidR="0055527E" w:rsidRDefault="0055527E" w:rsidP="00082300">
      <w:pPr>
        <w:pStyle w:val="Heading3"/>
      </w:pPr>
      <w:bookmarkStart w:id="63" w:name="_Toc42719038"/>
      <w:bookmarkStart w:id="64" w:name="_Hlk43037833"/>
      <w:r>
        <w:lastRenderedPageBreak/>
        <w:t>Work</w:t>
      </w:r>
      <w:r w:rsidR="006874B8">
        <w:t xml:space="preserve"> and Telecommunications Costs</w:t>
      </w:r>
      <w:bookmarkEnd w:id="63"/>
    </w:p>
    <w:p w14:paraId="23DABDBA" w14:textId="77777777" w:rsidR="005728B2" w:rsidRDefault="0055527E" w:rsidP="006E1C9B">
      <w:pPr>
        <w:rPr>
          <w:lang w:eastAsia="en-AU"/>
        </w:rPr>
      </w:pPr>
      <w:r>
        <w:rPr>
          <w:lang w:eastAsia="en-AU"/>
        </w:rPr>
        <w:t xml:space="preserve">The data discussed above in relation to work-related telecommunications usage suggested that over 70% of waged poor workers (not households) used their personal telecommunications devices and service for work – either for being available and contactable, or actually doing work. </w:t>
      </w:r>
      <w:r w:rsidR="005728B2">
        <w:rPr>
          <w:lang w:eastAsia="en-AU"/>
        </w:rPr>
        <w:t>Yet o</w:t>
      </w:r>
      <w:r w:rsidR="00957701">
        <w:rPr>
          <w:lang w:eastAsia="en-AU"/>
        </w:rPr>
        <w:t>nly one of the interviewees we spoke with, a home care worker, had a phone provided by her workplace</w:t>
      </w:r>
      <w:r w:rsidR="005728B2">
        <w:rPr>
          <w:lang w:eastAsia="en-AU"/>
        </w:rPr>
        <w:t xml:space="preserve">. </w:t>
      </w:r>
    </w:p>
    <w:p w14:paraId="3C3272D0" w14:textId="60D80848" w:rsidR="006E1C9B" w:rsidRDefault="005728B2" w:rsidP="006E1C9B">
      <w:pPr>
        <w:rPr>
          <w:lang w:eastAsia="en-AU"/>
        </w:rPr>
      </w:pPr>
      <w:r>
        <w:rPr>
          <w:lang w:eastAsia="en-AU"/>
        </w:rPr>
        <w:t>M</w:t>
      </w:r>
      <w:r w:rsidR="00F21E02">
        <w:rPr>
          <w:lang w:eastAsia="en-AU"/>
        </w:rPr>
        <w:t>ost interviewees used their own equipment and services for work purposes</w:t>
      </w:r>
      <w:r w:rsidR="007725EE">
        <w:rPr>
          <w:lang w:eastAsia="en-AU"/>
        </w:rPr>
        <w:t xml:space="preserve"> – and were expected to have and use their own phone</w:t>
      </w:r>
      <w:r w:rsidR="00A0583C">
        <w:rPr>
          <w:lang w:eastAsia="en-AU"/>
        </w:rPr>
        <w:t xml:space="preserve"> (despite often low pay and marginal connection to work)</w:t>
      </w:r>
      <w:r w:rsidR="007725EE">
        <w:rPr>
          <w:lang w:eastAsia="en-AU"/>
        </w:rPr>
        <w:t>.</w:t>
      </w:r>
      <w:r w:rsidR="006E1C9B">
        <w:t xml:space="preserve"> </w:t>
      </w:r>
      <w:r>
        <w:t>As discussed earlier, t</w:t>
      </w:r>
      <w:r w:rsidR="006E1C9B">
        <w:t>he exten</w:t>
      </w:r>
      <w:r w:rsidR="00082300">
        <w:t>t</w:t>
      </w:r>
      <w:r w:rsidR="006E1C9B">
        <w:t xml:space="preserve"> of this </w:t>
      </w:r>
      <w:r>
        <w:t xml:space="preserve">work usage </w:t>
      </w:r>
      <w:r w:rsidR="006E1C9B">
        <w:t>varie</w:t>
      </w:r>
      <w:r>
        <w:t>d</w:t>
      </w:r>
      <w:r w:rsidR="006E1C9B">
        <w:t xml:space="preserve"> from occasional </w:t>
      </w:r>
      <w:r>
        <w:t>instances</w:t>
      </w:r>
      <w:r w:rsidR="006E1C9B">
        <w:t xml:space="preserve"> to being a core part of the business model, but the impact on the employees also varied. </w:t>
      </w:r>
      <w:r w:rsidR="004841A1">
        <w:rPr>
          <w:lang w:eastAsia="en-AU"/>
        </w:rPr>
        <w:t>Lena</w:t>
      </w:r>
      <w:r w:rsidR="006E1C9B">
        <w:rPr>
          <w:lang w:eastAsia="en-AU"/>
        </w:rPr>
        <w:t xml:space="preserve">, the nurse who researched work issues, estimated about 80% of phone and internet use is work, </w:t>
      </w:r>
      <w:r w:rsidR="004841A1">
        <w:rPr>
          <w:lang w:eastAsia="en-AU"/>
        </w:rPr>
        <w:t>Sue</w:t>
      </w:r>
      <w:r w:rsidR="006E1C9B">
        <w:rPr>
          <w:lang w:eastAsia="en-AU"/>
        </w:rPr>
        <w:t>, the retail assistant estimated about a third of her mobile data was used for work and that she would be able to get by with a smaller amount of data if not for that</w:t>
      </w:r>
      <w:r w:rsidR="00082300">
        <w:rPr>
          <w:lang w:eastAsia="en-AU"/>
        </w:rPr>
        <w:t xml:space="preserve">. </w:t>
      </w:r>
    </w:p>
    <w:p w14:paraId="56BF5777" w14:textId="5C39181A" w:rsidR="006E1C9B" w:rsidRDefault="006E1C9B" w:rsidP="00F21E02">
      <w:r>
        <w:t xml:space="preserve">However, </w:t>
      </w:r>
      <w:r w:rsidR="00B645A7">
        <w:t>for others</w:t>
      </w:r>
      <w:r>
        <w:t xml:space="preserve"> the work us</w:t>
      </w:r>
      <w:r w:rsidR="00A0583C">
        <w:t>ag</w:t>
      </w:r>
      <w:r>
        <w:t>e was minor and made no difference to their telecommunications bill</w:t>
      </w:r>
      <w:r w:rsidR="00066171">
        <w:t>. E</w:t>
      </w:r>
      <w:r>
        <w:t xml:space="preserve">ven when </w:t>
      </w:r>
      <w:r w:rsidR="00082300">
        <w:t xml:space="preserve">work </w:t>
      </w:r>
      <w:r>
        <w:t>us</w:t>
      </w:r>
      <w:r w:rsidR="00A0583C">
        <w:t>ag</w:t>
      </w:r>
      <w:r>
        <w:t xml:space="preserve">e was more sustained, such as </w:t>
      </w:r>
      <w:r w:rsidR="00A0583C">
        <w:t xml:space="preserve">for </w:t>
      </w:r>
      <w:r>
        <w:t xml:space="preserve">the </w:t>
      </w:r>
      <w:r w:rsidR="00025DBF">
        <w:t>Dan</w:t>
      </w:r>
      <w:r w:rsidR="00AA4F5E">
        <w:t>ie</w:t>
      </w:r>
      <w:r w:rsidR="00025DBF">
        <w:t>l</w:t>
      </w:r>
      <w:r>
        <w:t xml:space="preserve"> the Uber driver whose phone was core to the business model, the work us</w:t>
      </w:r>
      <w:r w:rsidR="00A0583C">
        <w:t>ag</w:t>
      </w:r>
      <w:r>
        <w:t xml:space="preserve">e made </w:t>
      </w:r>
      <w:r w:rsidR="004B759D">
        <w:t xml:space="preserve">less impact on his monthly data than other family uses so made little </w:t>
      </w:r>
      <w:r>
        <w:t>difference to his final bill</w:t>
      </w:r>
      <w:r w:rsidR="004B759D">
        <w:t xml:space="preserve">. </w:t>
      </w:r>
    </w:p>
    <w:p w14:paraId="74EB8243" w14:textId="3255C842" w:rsidR="004B759D" w:rsidRDefault="004B759D" w:rsidP="00F21E02">
      <w:r>
        <w:t xml:space="preserve">There was also a quid pro quo for some employees. </w:t>
      </w:r>
      <w:r w:rsidR="00A0583C">
        <w:t>Only a couple of</w:t>
      </w:r>
      <w:r>
        <w:t xml:space="preserve"> interviewees </w:t>
      </w:r>
      <w:r w:rsidR="00A0583C">
        <w:t xml:space="preserve">said that they </w:t>
      </w:r>
      <w:r>
        <w:t xml:space="preserve">were able to use work computers or printers, but some were able to use the work </w:t>
      </w:r>
      <w:r w:rsidR="00FD3792">
        <w:t>WiFi</w:t>
      </w:r>
      <w:r>
        <w:t xml:space="preserve"> for both work and non-work purposes. Th</w:t>
      </w:r>
      <w:r w:rsidR="002C5A63">
        <w:t xml:space="preserve">is applied to workers in big institutions, such as a hospital and university where there was public </w:t>
      </w:r>
      <w:r w:rsidR="00FD3792">
        <w:t>WiFi</w:t>
      </w:r>
      <w:r w:rsidR="002C5A63">
        <w:t xml:space="preserve">, </w:t>
      </w:r>
      <w:r w:rsidR="00A0583C">
        <w:t xml:space="preserve">and </w:t>
      </w:r>
      <w:r w:rsidR="00082300">
        <w:t xml:space="preserve">also </w:t>
      </w:r>
      <w:r w:rsidR="002C5A63">
        <w:t>to smal</w:t>
      </w:r>
      <w:r w:rsidR="00B645A7">
        <w:t>ler workplaces (e.g. shops)</w:t>
      </w:r>
      <w:r w:rsidR="002C5A63">
        <w:t>.</w:t>
      </w:r>
    </w:p>
    <w:p w14:paraId="04BC4215" w14:textId="77777777" w:rsidR="00DC0910" w:rsidRDefault="00A50A02" w:rsidP="00F21E02">
      <w:r>
        <w:t xml:space="preserve">However, while the ongoing data use may not </w:t>
      </w:r>
      <w:r w:rsidR="00066171">
        <w:t xml:space="preserve">necessarily impact on the final telecommunications bill, there are still issues around affordability. </w:t>
      </w:r>
    </w:p>
    <w:p w14:paraId="3083E18E" w14:textId="03F97F0A" w:rsidR="006E1C9B" w:rsidRDefault="0007007E" w:rsidP="00F21E02">
      <w:r>
        <w:t>Anne</w:t>
      </w:r>
      <w:r w:rsidR="00066171">
        <w:t>, the private housecleaner</w:t>
      </w:r>
      <w:r w:rsidR="00A0583C">
        <w:t>,</w:t>
      </w:r>
      <w:r w:rsidR="00066171">
        <w:t xml:space="preserve"> noted how she had to make sure she kept up telecommunications payments because it was her “lifeline to work”. This echoed a theme identified in SACOSS’ waged poor energy report where the fact that people in poverty were </w:t>
      </w:r>
      <w:r w:rsidR="00B645A7">
        <w:t>employed</w:t>
      </w:r>
      <w:r w:rsidR="00066171">
        <w:t xml:space="preserve"> changed their expenditure priorities. In the cases in that study, a key example was prioritising a car and petrol so they could get to work over other household necessities</w:t>
      </w:r>
      <w:r w:rsidR="00CD08DA">
        <w:t xml:space="preserve"> </w:t>
      </w:r>
      <w:r w:rsidR="00DE4095">
        <w:fldChar w:fldCharType="begin"/>
      </w:r>
      <w:r w:rsidR="00DE4095">
        <w:instrText xml:space="preserve"> ADDIN ZOTERO_ITEM CSL_CITATION {"citationID":"oIaSkuXH","properties":{"formattedCitation":"(Law et al., 2019)","plainCitation":"(Law et al., 2019)","noteIndex":0},"citationItems":[{"id":43,"uris":["http://zotero.org/groups/2380274/items/86GNJIMM"],"uri":["http://zotero.org/groups/2380274/items/86GNJIMM"],"itemData":{"id":43,"type":"report","event-place":"Adelaide","publisher":"South Australian Council of Social Service","publisher-place":"Adelaide","title":"Working to Make Ends Meet: Low-income Workers and Energy Bill Stress","author":[{"family":"Law","given":"Rebecca"},{"family":"Ogle","given":"Greg"},{"family":"Foley","given":"Kirsten"}],"issued":{"date-parts":[["2019"]]}}}],"schema":"https://github.com/citation-style-language/schema/raw/master/csl-citation.json"} </w:instrText>
      </w:r>
      <w:r w:rsidR="00DE4095">
        <w:fldChar w:fldCharType="separate"/>
      </w:r>
      <w:r w:rsidR="00DE4095" w:rsidRPr="00DE4095">
        <w:rPr>
          <w:rFonts w:cs="Calibri"/>
        </w:rPr>
        <w:t>(Law et al., 2019)</w:t>
      </w:r>
      <w:r w:rsidR="00DE4095">
        <w:fldChar w:fldCharType="end"/>
      </w:r>
      <w:r w:rsidR="00066171">
        <w:t>, and in this case we see telecommunications becoming a high budget priority because it represents the access to income.</w:t>
      </w:r>
    </w:p>
    <w:p w14:paraId="4263CD24" w14:textId="2890CE0A" w:rsidR="005B4E24" w:rsidRDefault="00C96CE1" w:rsidP="0055527E">
      <w:pPr>
        <w:rPr>
          <w:lang w:eastAsia="en-AU"/>
        </w:rPr>
      </w:pPr>
      <w:r>
        <w:rPr>
          <w:lang w:eastAsia="en-AU"/>
        </w:rPr>
        <w:t xml:space="preserve">Further, even where work uses are not directly adding to telecommunications bills for the </w:t>
      </w:r>
      <w:r w:rsidR="00170969">
        <w:rPr>
          <w:lang w:eastAsia="en-AU"/>
        </w:rPr>
        <w:t>waged poor</w:t>
      </w:r>
      <w:r>
        <w:rPr>
          <w:lang w:eastAsia="en-AU"/>
        </w:rPr>
        <w:t xml:space="preserve"> interviewees, there is still the issue of employees providing their equipment for work use. As we noted, this is an expected part of </w:t>
      </w:r>
      <w:r w:rsidR="00DC0910">
        <w:rPr>
          <w:lang w:eastAsia="en-AU"/>
        </w:rPr>
        <w:t xml:space="preserve">their </w:t>
      </w:r>
      <w:r>
        <w:rPr>
          <w:lang w:eastAsia="en-AU"/>
        </w:rPr>
        <w:t xml:space="preserve">work – yet (despite all having very low incomes) </w:t>
      </w:r>
      <w:r w:rsidRPr="00A0583C">
        <w:rPr>
          <w:i/>
          <w:iCs/>
          <w:lang w:eastAsia="en-AU"/>
        </w:rPr>
        <w:t>not one of the people we interviewed was reimbursed for call costs, data use or a share of the cost of the telecommunications plan</w:t>
      </w:r>
      <w:r>
        <w:rPr>
          <w:lang w:eastAsia="en-AU"/>
        </w:rPr>
        <w:t xml:space="preserve"> that enabled them to use those services for work purposes.</w:t>
      </w:r>
      <w:r w:rsidR="00A0583C" w:rsidRPr="00A0583C">
        <w:rPr>
          <w:lang w:eastAsia="en-AU"/>
        </w:rPr>
        <w:t xml:space="preserve"> </w:t>
      </w:r>
      <w:r w:rsidR="00A0583C">
        <w:rPr>
          <w:lang w:eastAsia="en-AU"/>
        </w:rPr>
        <w:t>This represents a transfer of the costs of business from the employer to the employee – something that</w:t>
      </w:r>
      <w:r>
        <w:rPr>
          <w:lang w:eastAsia="en-AU"/>
        </w:rPr>
        <w:t xml:space="preserve"> was most obvious in the case of the retail shop that failed to update its own technology because its staff</w:t>
      </w:r>
      <w:r w:rsidR="00536573">
        <w:rPr>
          <w:lang w:eastAsia="en-AU"/>
        </w:rPr>
        <w:t>’s</w:t>
      </w:r>
      <w:r>
        <w:rPr>
          <w:lang w:eastAsia="en-AU"/>
        </w:rPr>
        <w:t xml:space="preserve"> mobiles could cover the gaps, but is also apparent in other uses of mobiles and home internet for work purposes</w:t>
      </w:r>
      <w:r w:rsidR="00A0583C">
        <w:rPr>
          <w:lang w:eastAsia="en-AU"/>
        </w:rPr>
        <w:t xml:space="preserve">. </w:t>
      </w:r>
    </w:p>
    <w:p w14:paraId="07296FFB" w14:textId="692294B5" w:rsidR="00C96CE1" w:rsidRDefault="00C96CE1" w:rsidP="0055527E">
      <w:pPr>
        <w:rPr>
          <w:lang w:eastAsia="en-AU"/>
        </w:rPr>
      </w:pPr>
      <w:r>
        <w:rPr>
          <w:lang w:eastAsia="en-AU"/>
        </w:rPr>
        <w:t xml:space="preserve">This </w:t>
      </w:r>
      <w:r w:rsidR="00570158">
        <w:rPr>
          <w:lang w:eastAsia="en-AU"/>
        </w:rPr>
        <w:t xml:space="preserve">failure to reimburse employees for business expenses and the subsequent cost-shifting </w:t>
      </w:r>
      <w:r>
        <w:rPr>
          <w:lang w:eastAsia="en-AU"/>
        </w:rPr>
        <w:t>raises systemic industrial questions</w:t>
      </w:r>
      <w:r w:rsidR="00570158">
        <w:rPr>
          <w:lang w:eastAsia="en-AU"/>
        </w:rPr>
        <w:t>, yet</w:t>
      </w:r>
      <w:r w:rsidR="00055E16">
        <w:rPr>
          <w:lang w:eastAsia="en-AU"/>
        </w:rPr>
        <w:t xml:space="preserve"> relevant industrial awards are either silent on the issue or out of touch with the </w:t>
      </w:r>
      <w:r w:rsidR="00150282">
        <w:rPr>
          <w:lang w:eastAsia="en-AU"/>
        </w:rPr>
        <w:t xml:space="preserve">common </w:t>
      </w:r>
      <w:r w:rsidR="00055E16">
        <w:rPr>
          <w:lang w:eastAsia="en-AU"/>
        </w:rPr>
        <w:t xml:space="preserve">use of employee’s telecommunications </w:t>
      </w:r>
      <w:r w:rsidR="0038499C">
        <w:rPr>
          <w:lang w:eastAsia="en-AU"/>
        </w:rPr>
        <w:t>services for</w:t>
      </w:r>
      <w:r w:rsidR="00055E16">
        <w:rPr>
          <w:lang w:eastAsia="en-AU"/>
        </w:rPr>
        <w:t xml:space="preserve"> work. </w:t>
      </w:r>
    </w:p>
    <w:p w14:paraId="3C2CFA67" w14:textId="53123E05" w:rsidR="00055E16" w:rsidRDefault="00055E16" w:rsidP="00055E16">
      <w:r>
        <w:rPr>
          <w:lang w:eastAsia="en-AU"/>
        </w:rPr>
        <w:lastRenderedPageBreak/>
        <w:t xml:space="preserve">For instance, the </w:t>
      </w:r>
      <w:r w:rsidRPr="00573A97">
        <w:rPr>
          <w:lang w:eastAsia="en-AU"/>
        </w:rPr>
        <w:t>SCHADS award</w:t>
      </w:r>
      <w:r>
        <w:rPr>
          <w:lang w:eastAsia="en-AU"/>
        </w:rPr>
        <w:t xml:space="preserve"> which covers social and community services is limited in that it only requires reimbursement of an employee</w:t>
      </w:r>
      <w:r w:rsidR="00DC0910">
        <w:rPr>
          <w:lang w:eastAsia="en-AU"/>
        </w:rPr>
        <w:t>’s</w:t>
      </w:r>
      <w:r>
        <w:rPr>
          <w:lang w:eastAsia="en-AU"/>
        </w:rPr>
        <w:t xml:space="preserve"> telecommunication expenses “</w:t>
      </w:r>
      <w:r>
        <w:t xml:space="preserve">Where the employer requires an employee to install and/or maintain a </w:t>
      </w:r>
      <w:r w:rsidRPr="00B645A7">
        <w:rPr>
          <w:i/>
          <w:iCs/>
        </w:rPr>
        <w:t>telephone</w:t>
      </w:r>
      <w:r>
        <w:t xml:space="preserve"> for the purpose of being on call”</w:t>
      </w:r>
      <w:r w:rsidR="00B645A7">
        <w:t xml:space="preserve"> [emphasis added]</w:t>
      </w:r>
      <w:r>
        <w:t xml:space="preserve"> (s20.6). This does not cover the vast majority of casual use, mobile contacts or </w:t>
      </w:r>
      <w:r w:rsidR="00B645A7">
        <w:t xml:space="preserve">non-telephone </w:t>
      </w:r>
      <w:r>
        <w:t>internet requirements raised in our interviews</w:t>
      </w:r>
      <w:r w:rsidR="00AA4F5E">
        <w:t>. It does not</w:t>
      </w:r>
      <w:r>
        <w:t xml:space="preserve"> even </w:t>
      </w:r>
      <w:r w:rsidR="00AA4F5E">
        <w:t>cover uses</w:t>
      </w:r>
      <w:r>
        <w:t xml:space="preserve"> envisaged in the award </w:t>
      </w:r>
      <w:r w:rsidR="002B42D2">
        <w:t xml:space="preserve">itself </w:t>
      </w:r>
      <w:r>
        <w:t>given that s25.5(b) allows for roster changes to be notified by “telephone, direct contact, mail, email, facsimile or any electronic means of communication”</w:t>
      </w:r>
      <w:r w:rsidR="00A16F83">
        <w:t xml:space="preserve"> </w:t>
      </w:r>
      <w:r w:rsidR="00A16F83">
        <w:fldChar w:fldCharType="begin"/>
      </w:r>
      <w:r w:rsidR="00A16F83">
        <w:instrText xml:space="preserve"> ADDIN ZOTERO_ITEM CSL_CITATION {"citationID":"Zxh6ndYH","properties":{"formattedCitation":"(FWC, 2020a)","plainCitation":"(FWC, 2020a)","noteIndex":0},"citationItems":[{"id":93,"uris":["http://zotero.org/groups/2380274/items/YJG5VWEB"],"uri":["http://zotero.org/groups/2380274/items/YJG5VWEB"],"itemData":{"id":93,"type":"article","publisher":"Fair Work Commission","title":"Social, Community, Home Care and Disability Service Industry Award, 2010","URL":"https://www.fwc.gov.au/documents/documents/modern_awards/award/ma000100/default.htm","author":[{"family":"FWC","given":""}],"issued":{"date-parts":[["2020"]]}}}],"schema":"https://github.com/citation-style-language/schema/raw/master/csl-citation.json"} </w:instrText>
      </w:r>
      <w:r w:rsidR="00A16F83">
        <w:fldChar w:fldCharType="separate"/>
      </w:r>
      <w:r w:rsidR="00A16F83" w:rsidRPr="00A16F83">
        <w:rPr>
          <w:rFonts w:cs="Calibri"/>
        </w:rPr>
        <w:t>(FWC, 2020a)</w:t>
      </w:r>
      <w:r w:rsidR="00A16F83">
        <w:fldChar w:fldCharType="end"/>
      </w:r>
      <w:r w:rsidR="00A16F83">
        <w:t>.</w:t>
      </w:r>
    </w:p>
    <w:p w14:paraId="248F18C9" w14:textId="0E02FDE7" w:rsidR="00055E16" w:rsidRDefault="00055E16" w:rsidP="00055E16">
      <w:pPr>
        <w:rPr>
          <w:lang w:eastAsia="en-AU"/>
        </w:rPr>
      </w:pPr>
      <w:r>
        <w:rPr>
          <w:lang w:eastAsia="en-AU"/>
        </w:rPr>
        <w:t xml:space="preserve">Neither the </w:t>
      </w:r>
      <w:r w:rsidRPr="002F34B6">
        <w:rPr>
          <w:lang w:eastAsia="en-AU"/>
        </w:rPr>
        <w:t>Hospitality Industry (General) Award</w:t>
      </w:r>
      <w:r>
        <w:rPr>
          <w:lang w:eastAsia="en-AU"/>
        </w:rPr>
        <w:t xml:space="preserve"> </w:t>
      </w:r>
      <w:r w:rsidR="00A16F83">
        <w:rPr>
          <w:lang w:eastAsia="en-AU"/>
        </w:rPr>
        <w:fldChar w:fldCharType="begin"/>
      </w:r>
      <w:r w:rsidR="00A16F83">
        <w:rPr>
          <w:lang w:eastAsia="en-AU"/>
        </w:rPr>
        <w:instrText xml:space="preserve"> ADDIN ZOTERO_ITEM CSL_CITATION {"citationID":"pFKQov6C","properties":{"formattedCitation":"(FWC, 2020b)","plainCitation":"(FWC, 2020b)","noteIndex":0},"citationItems":[{"id":94,"uris":["http://zotero.org/groups/2380274/items/NQCCN6AE"],"uri":["http://zotero.org/groups/2380274/items/NQCCN6AE"],"itemData":{"id":94,"type":"article","publisher":"Fair Work Commission","title":"Hospitality Industry (General) Award 2020","URL":"https://www.fwc.gov.au/documents/documents/modern_awards/award/ma000009/default.htm","author":[{"family":"FWC","given":""}],"issued":{"date-parts":[["2020"]]}}}],"schema":"https://github.com/citation-style-language/schema/raw/master/csl-citation.json"} </w:instrText>
      </w:r>
      <w:r w:rsidR="00A16F83">
        <w:rPr>
          <w:lang w:eastAsia="en-AU"/>
        </w:rPr>
        <w:fldChar w:fldCharType="separate"/>
      </w:r>
      <w:r w:rsidR="00A16F83" w:rsidRPr="00A16F83">
        <w:rPr>
          <w:rFonts w:cs="Calibri"/>
        </w:rPr>
        <w:t>(FWC, 2020b)</w:t>
      </w:r>
      <w:r w:rsidR="00A16F83">
        <w:rPr>
          <w:lang w:eastAsia="en-AU"/>
        </w:rPr>
        <w:fldChar w:fldCharType="end"/>
      </w:r>
      <w:r w:rsidR="00A16F83">
        <w:rPr>
          <w:lang w:eastAsia="en-AU"/>
        </w:rPr>
        <w:t xml:space="preserve"> </w:t>
      </w:r>
      <w:r>
        <w:rPr>
          <w:lang w:eastAsia="en-AU"/>
        </w:rPr>
        <w:t xml:space="preserve">or the </w:t>
      </w:r>
      <w:r w:rsidRPr="002F34B6">
        <w:rPr>
          <w:lang w:eastAsia="en-AU"/>
        </w:rPr>
        <w:t>General Retail Industry Award</w:t>
      </w:r>
      <w:r w:rsidR="002F34B6">
        <w:rPr>
          <w:rStyle w:val="Hyperlink"/>
          <w:lang w:eastAsia="en-AU"/>
        </w:rPr>
        <w:t xml:space="preserve"> </w:t>
      </w:r>
      <w:r w:rsidR="002F34B6">
        <w:rPr>
          <w:rStyle w:val="Hyperlink"/>
          <w:lang w:eastAsia="en-AU"/>
        </w:rPr>
        <w:fldChar w:fldCharType="begin"/>
      </w:r>
      <w:r w:rsidR="002F34B6">
        <w:rPr>
          <w:rStyle w:val="Hyperlink"/>
          <w:lang w:eastAsia="en-AU"/>
        </w:rPr>
        <w:instrText xml:space="preserve"> ADDIN ZOTERO_ITEM CSL_CITATION {"citationID":"ZzqEcvgi","properties":{"formattedCitation":"(FWC, 2020c)","plainCitation":"(FWC, 2020c)","noteIndex":0},"citationItems":[{"id":95,"uris":["http://zotero.org/groups/2380274/items/45JIJXY7"],"uri":["http://zotero.org/groups/2380274/items/45JIJXY7"],"itemData":{"id":95,"type":"article","publisher":"Fair Work Commission","title":"General Retail Industry Award 2010","URL":"fwc.gov.au/documents/documents/modern_awards/award/ma000004/default.htm","author":[{"family":"FWC","given":""}],"issued":{"date-parts":[["2020"]]}}}],"schema":"https://github.com/citation-style-language/schema/raw/master/csl-citation.json"} </w:instrText>
      </w:r>
      <w:r w:rsidR="002F34B6">
        <w:rPr>
          <w:rStyle w:val="Hyperlink"/>
          <w:lang w:eastAsia="en-AU"/>
        </w:rPr>
        <w:fldChar w:fldCharType="separate"/>
      </w:r>
      <w:r w:rsidR="002F34B6" w:rsidRPr="002F34B6">
        <w:rPr>
          <w:rFonts w:cs="Calibri"/>
        </w:rPr>
        <w:t>(FWC, 2020c)</w:t>
      </w:r>
      <w:r w:rsidR="002F34B6">
        <w:rPr>
          <w:rStyle w:val="Hyperlink"/>
          <w:lang w:eastAsia="en-AU"/>
        </w:rPr>
        <w:fldChar w:fldCharType="end"/>
      </w:r>
      <w:r>
        <w:rPr>
          <w:lang w:eastAsia="en-AU"/>
        </w:rPr>
        <w:t xml:space="preserve">, covering </w:t>
      </w:r>
      <w:r w:rsidR="0038499C">
        <w:rPr>
          <w:lang w:eastAsia="en-AU"/>
        </w:rPr>
        <w:t xml:space="preserve">other </w:t>
      </w:r>
      <w:r>
        <w:rPr>
          <w:lang w:eastAsia="en-AU"/>
        </w:rPr>
        <w:t>highly casualised industries where wage</w:t>
      </w:r>
      <w:r w:rsidR="0014054D">
        <w:rPr>
          <w:lang w:eastAsia="en-AU"/>
        </w:rPr>
        <w:t>d</w:t>
      </w:r>
      <w:r>
        <w:rPr>
          <w:lang w:eastAsia="en-AU"/>
        </w:rPr>
        <w:t xml:space="preserve"> poor workers may be employed, contain any mention of personal telephone or internet costs</w:t>
      </w:r>
      <w:r w:rsidR="003F49A3">
        <w:rPr>
          <w:lang w:eastAsia="en-AU"/>
        </w:rPr>
        <w:t>.</w:t>
      </w:r>
      <w:r w:rsidRPr="00A16F83">
        <w:rPr>
          <w:rStyle w:val="FootnoteReference"/>
          <w:lang w:eastAsia="en-AU"/>
        </w:rPr>
        <w:footnoteReference w:id="2"/>
      </w:r>
      <w:r>
        <w:rPr>
          <w:lang w:eastAsia="en-AU"/>
        </w:rPr>
        <w:t xml:space="preserve"> </w:t>
      </w:r>
    </w:p>
    <w:p w14:paraId="2FE39A8C" w14:textId="66A28142" w:rsidR="00CD08DA" w:rsidRDefault="00CD08DA" w:rsidP="00055E16">
      <w:r>
        <w:t xml:space="preserve">Given the nature of telecommunications expenditure, particularly where there are plans with high or unlimited data and calls, it may not be feasible to reimburse for individual instances of calls or data use. Nonetheless </w:t>
      </w:r>
      <w:r w:rsidR="003F49A3">
        <w:t xml:space="preserve">there is </w:t>
      </w:r>
      <w:r>
        <w:t xml:space="preserve">a strong case that where there is either an expectation or </w:t>
      </w:r>
      <w:r w:rsidR="003F49A3">
        <w:t xml:space="preserve">a </w:t>
      </w:r>
      <w:r>
        <w:t>significant use of employee’s mobile phones or home computers for work purposes, those employees should be reimbursed a part of the cost of their telecommunication plans</w:t>
      </w:r>
      <w:r w:rsidR="003F49A3">
        <w:t xml:space="preserve"> – b</w:t>
      </w:r>
      <w:r>
        <w:t>ecause it is those plans that enable them to bring their telecommunications capital to work.</w:t>
      </w:r>
    </w:p>
    <w:p w14:paraId="48638EEB" w14:textId="448CC4C3" w:rsidR="00C96CE1" w:rsidRDefault="00480A91" w:rsidP="0055527E">
      <w:pPr>
        <w:rPr>
          <w:lang w:eastAsia="en-AU"/>
        </w:rPr>
      </w:pPr>
      <w:r>
        <w:rPr>
          <w:lang w:eastAsia="en-AU"/>
        </w:rPr>
        <w:t xml:space="preserve">It could be argued that the use of personal telecommunications at work is compensated for through the tax system where mobile and internet costs can be a tax deduction. </w:t>
      </w:r>
      <w:r w:rsidR="003F49A3">
        <w:rPr>
          <w:lang w:eastAsia="en-AU"/>
        </w:rPr>
        <w:t>A</w:t>
      </w:r>
      <w:r>
        <w:rPr>
          <w:lang w:eastAsia="en-AU"/>
        </w:rPr>
        <w:t xml:space="preserve"> number of the interviewees did claim tax deductions for telephone usage, </w:t>
      </w:r>
      <w:r w:rsidR="003F49A3">
        <w:rPr>
          <w:lang w:eastAsia="en-AU"/>
        </w:rPr>
        <w:t xml:space="preserve">but </w:t>
      </w:r>
      <w:r>
        <w:rPr>
          <w:lang w:eastAsia="en-AU"/>
        </w:rPr>
        <w:t>philosophically this approach is problematic</w:t>
      </w:r>
      <w:r w:rsidR="003F49A3">
        <w:rPr>
          <w:lang w:eastAsia="en-AU"/>
        </w:rPr>
        <w:t>. I</w:t>
      </w:r>
      <w:r>
        <w:rPr>
          <w:lang w:eastAsia="en-AU"/>
        </w:rPr>
        <w:t xml:space="preserve">t treats workers more like sub-contractors bringing their own tools </w:t>
      </w:r>
      <w:r w:rsidR="003F49A3">
        <w:rPr>
          <w:lang w:eastAsia="en-AU"/>
        </w:rPr>
        <w:t xml:space="preserve">to a job, rather </w:t>
      </w:r>
      <w:r>
        <w:rPr>
          <w:lang w:eastAsia="en-AU"/>
        </w:rPr>
        <w:t>than employees</w:t>
      </w:r>
      <w:r w:rsidR="003F49A3">
        <w:rPr>
          <w:lang w:eastAsia="en-AU"/>
        </w:rPr>
        <w:t xml:space="preserve"> selling their labour</w:t>
      </w:r>
      <w:r>
        <w:rPr>
          <w:lang w:eastAsia="en-AU"/>
        </w:rPr>
        <w:t xml:space="preserve">. </w:t>
      </w:r>
      <w:r w:rsidR="003F49A3">
        <w:rPr>
          <w:lang w:eastAsia="en-AU"/>
        </w:rPr>
        <w:t>For employees, a tax deduction</w:t>
      </w:r>
      <w:r>
        <w:rPr>
          <w:lang w:eastAsia="en-AU"/>
        </w:rPr>
        <w:t xml:space="preserve"> is also </w:t>
      </w:r>
      <w:r w:rsidR="003F49A3">
        <w:rPr>
          <w:lang w:eastAsia="en-AU"/>
        </w:rPr>
        <w:t>a worse</w:t>
      </w:r>
      <w:r>
        <w:rPr>
          <w:lang w:eastAsia="en-AU"/>
        </w:rPr>
        <w:t xml:space="preserve"> </w:t>
      </w:r>
      <w:r w:rsidR="003F49A3">
        <w:rPr>
          <w:lang w:eastAsia="en-AU"/>
        </w:rPr>
        <w:t xml:space="preserve">financial </w:t>
      </w:r>
      <w:r>
        <w:rPr>
          <w:lang w:eastAsia="en-AU"/>
        </w:rPr>
        <w:t xml:space="preserve">option than direct re-imbursement from the employer because the tax deduction </w:t>
      </w:r>
      <w:r w:rsidR="003F49A3">
        <w:rPr>
          <w:lang w:eastAsia="en-AU"/>
        </w:rPr>
        <w:t xml:space="preserve">only </w:t>
      </w:r>
      <w:r>
        <w:rPr>
          <w:lang w:eastAsia="en-AU"/>
        </w:rPr>
        <w:t xml:space="preserve">reimburses a proportion of the expenditure </w:t>
      </w:r>
      <w:r w:rsidR="003F49A3">
        <w:rPr>
          <w:lang w:eastAsia="en-AU"/>
        </w:rPr>
        <w:t>(</w:t>
      </w:r>
      <w:r>
        <w:rPr>
          <w:lang w:eastAsia="en-AU"/>
        </w:rPr>
        <w:t>by reducing taxes owed at the marginal rate</w:t>
      </w:r>
      <w:r w:rsidR="003F49A3">
        <w:rPr>
          <w:lang w:eastAsia="en-AU"/>
        </w:rPr>
        <w:t>)</w:t>
      </w:r>
      <w:r>
        <w:rPr>
          <w:lang w:eastAsia="en-AU"/>
        </w:rPr>
        <w:t xml:space="preserve">. </w:t>
      </w:r>
      <w:r w:rsidR="003F49A3">
        <w:rPr>
          <w:lang w:eastAsia="en-AU"/>
        </w:rPr>
        <w:t>F</w:t>
      </w:r>
      <w:r>
        <w:rPr>
          <w:lang w:eastAsia="en-AU"/>
        </w:rPr>
        <w:t xml:space="preserve">or instance, if work usage was estimated at say half of a $60 per month mobile plan, a direct reimbursement would see $360 paid over the year. By comparison, </w:t>
      </w:r>
      <w:r w:rsidR="00E85327">
        <w:rPr>
          <w:lang w:eastAsia="en-AU"/>
        </w:rPr>
        <w:t xml:space="preserve">as a tax deduction it would take that $360 off the employee’s taxable income, reducing their tax (at a marginal rate of 19%) by </w:t>
      </w:r>
      <w:r w:rsidR="003F49A3">
        <w:rPr>
          <w:lang w:eastAsia="en-AU"/>
        </w:rPr>
        <w:t xml:space="preserve">only </w:t>
      </w:r>
      <w:r w:rsidR="00E85327">
        <w:rPr>
          <w:lang w:eastAsia="en-AU"/>
        </w:rPr>
        <w:t>$68 for the year</w:t>
      </w:r>
      <w:r w:rsidR="00462F95">
        <w:rPr>
          <w:lang w:eastAsia="en-AU"/>
        </w:rPr>
        <w:t>. Further, that tax refund</w:t>
      </w:r>
      <w:r w:rsidR="00AC2397">
        <w:rPr>
          <w:lang w:eastAsia="en-AU"/>
        </w:rPr>
        <w:t xml:space="preserve"> is delayed until </w:t>
      </w:r>
      <w:r w:rsidR="00462F95">
        <w:rPr>
          <w:lang w:eastAsia="en-AU"/>
        </w:rPr>
        <w:t>the end of the year</w:t>
      </w:r>
      <w:r w:rsidR="00AC2397">
        <w:rPr>
          <w:lang w:eastAsia="en-AU"/>
        </w:rPr>
        <w:t>, rather than being reimbursed at the time of expenditure to help with weekly bills</w:t>
      </w:r>
      <w:r w:rsidR="00E85327">
        <w:rPr>
          <w:lang w:eastAsia="en-AU"/>
        </w:rPr>
        <w:t>.</w:t>
      </w:r>
    </w:p>
    <w:p w14:paraId="67AF81AA" w14:textId="04B56C28" w:rsidR="00C96CE1" w:rsidRDefault="00E85327" w:rsidP="0055527E">
      <w:pPr>
        <w:rPr>
          <w:lang w:eastAsia="en-AU"/>
        </w:rPr>
      </w:pPr>
      <w:r>
        <w:rPr>
          <w:lang w:eastAsia="en-AU"/>
        </w:rPr>
        <w:t>Th</w:t>
      </w:r>
      <w:r w:rsidR="00AA15CF">
        <w:rPr>
          <w:lang w:eastAsia="en-AU"/>
        </w:rPr>
        <w:t>ese calculations and</w:t>
      </w:r>
      <w:r>
        <w:rPr>
          <w:lang w:eastAsia="en-AU"/>
        </w:rPr>
        <w:t xml:space="preserve"> argument </w:t>
      </w:r>
      <w:r w:rsidRPr="00536573">
        <w:rPr>
          <w:lang w:eastAsia="en-AU"/>
        </w:rPr>
        <w:t>appl</w:t>
      </w:r>
      <w:r w:rsidR="00536573">
        <w:rPr>
          <w:lang w:eastAsia="en-AU"/>
        </w:rPr>
        <w:t>y</w:t>
      </w:r>
      <w:r>
        <w:rPr>
          <w:lang w:eastAsia="en-AU"/>
        </w:rPr>
        <w:t xml:space="preserve"> for all employees, but there are </w:t>
      </w:r>
      <w:r w:rsidR="00A47BB6">
        <w:rPr>
          <w:lang w:eastAsia="en-AU"/>
        </w:rPr>
        <w:t xml:space="preserve">further and </w:t>
      </w:r>
      <w:r>
        <w:rPr>
          <w:lang w:eastAsia="en-AU"/>
        </w:rPr>
        <w:t xml:space="preserve">particular problems for waged poor households. With often marginal associations with work and with low incomes where they are unlikely to be getting professional tax advice, several of the interviewees said that they “were not very good at tax” and did not know how to claim a deduction for telecommunications. Another thought that they would not </w:t>
      </w:r>
      <w:r w:rsidR="00DD0A52">
        <w:rPr>
          <w:lang w:eastAsia="en-AU"/>
        </w:rPr>
        <w:t xml:space="preserve">be </w:t>
      </w:r>
      <w:r>
        <w:rPr>
          <w:lang w:eastAsia="en-AU"/>
        </w:rPr>
        <w:t xml:space="preserve">eligible unless they were studying, </w:t>
      </w:r>
      <w:r w:rsidR="005728B2">
        <w:rPr>
          <w:lang w:eastAsia="en-AU"/>
        </w:rPr>
        <w:t>and another couple of interviewees thought the paperwork would be too hard. And for some</w:t>
      </w:r>
      <w:r>
        <w:rPr>
          <w:lang w:eastAsia="en-AU"/>
        </w:rPr>
        <w:t xml:space="preserve">, it was </w:t>
      </w:r>
      <w:r w:rsidR="00276425">
        <w:rPr>
          <w:lang w:eastAsia="en-AU"/>
        </w:rPr>
        <w:t>much simpler</w:t>
      </w:r>
      <w:r>
        <w:rPr>
          <w:lang w:eastAsia="en-AU"/>
        </w:rPr>
        <w:t xml:space="preserve">: they did not earn enough to pay tax – and therefore a potential tax deduction </w:t>
      </w:r>
      <w:r w:rsidR="005728B2">
        <w:rPr>
          <w:lang w:eastAsia="en-AU"/>
        </w:rPr>
        <w:t>wa</w:t>
      </w:r>
      <w:r>
        <w:rPr>
          <w:lang w:eastAsia="en-AU"/>
        </w:rPr>
        <w:t>s of no use to them.</w:t>
      </w:r>
    </w:p>
    <w:p w14:paraId="10BAE6DA" w14:textId="38B5670E" w:rsidR="007F156F" w:rsidRPr="0055527E" w:rsidRDefault="00E85327" w:rsidP="00F21E02">
      <w:pPr>
        <w:rPr>
          <w:lang w:eastAsia="en-AU"/>
        </w:rPr>
      </w:pPr>
      <w:r>
        <w:rPr>
          <w:lang w:eastAsia="en-AU"/>
        </w:rPr>
        <w:lastRenderedPageBreak/>
        <w:t xml:space="preserve">For this reason, </w:t>
      </w:r>
      <w:r w:rsidR="00276425">
        <w:rPr>
          <w:lang w:eastAsia="en-AU"/>
        </w:rPr>
        <w:t xml:space="preserve">when considering the interests of waged poor workers and households, </w:t>
      </w:r>
      <w:r>
        <w:rPr>
          <w:lang w:eastAsia="en-AU"/>
        </w:rPr>
        <w:t>a direct reimbursement of telecommunications expenses by the employer is preferable</w:t>
      </w:r>
      <w:r w:rsidR="00276425">
        <w:rPr>
          <w:lang w:eastAsia="en-AU"/>
        </w:rPr>
        <w:t xml:space="preserve"> to any tax deduction.</w:t>
      </w:r>
    </w:p>
    <w:p w14:paraId="26F22990" w14:textId="70A6AD34" w:rsidR="005728B2" w:rsidRDefault="005728B2" w:rsidP="005728B2">
      <w:pPr>
        <w:rPr>
          <w:b/>
          <w:bCs/>
          <w:lang w:eastAsia="en-AU"/>
        </w:rPr>
      </w:pPr>
      <w:r>
        <w:rPr>
          <w:b/>
          <w:bCs/>
          <w:lang w:eastAsia="en-AU"/>
        </w:rPr>
        <w:t>Recommendation</w:t>
      </w:r>
      <w:r w:rsidR="00ED2247">
        <w:rPr>
          <w:b/>
          <w:bCs/>
          <w:lang w:eastAsia="en-AU"/>
        </w:rPr>
        <w:t xml:space="preserve"> 4</w:t>
      </w:r>
    </w:p>
    <w:p w14:paraId="3331369B" w14:textId="2C90C201" w:rsidR="005728B2" w:rsidRPr="007F156F" w:rsidRDefault="005728B2" w:rsidP="005728B2">
      <w:pPr>
        <w:rPr>
          <w:b/>
          <w:bCs/>
          <w:i/>
          <w:iCs/>
          <w:lang w:eastAsia="en-AU"/>
        </w:rPr>
      </w:pPr>
      <w:bookmarkStart w:id="65" w:name="_Hlk40108785"/>
      <w:r>
        <w:rPr>
          <w:b/>
          <w:bCs/>
          <w:i/>
          <w:iCs/>
          <w:lang w:eastAsia="en-AU"/>
        </w:rPr>
        <w:t xml:space="preserve">That </w:t>
      </w:r>
      <w:r w:rsidR="00147F1B">
        <w:rPr>
          <w:b/>
          <w:bCs/>
          <w:i/>
          <w:iCs/>
          <w:lang w:eastAsia="en-AU"/>
        </w:rPr>
        <w:t xml:space="preserve">employment </w:t>
      </w:r>
      <w:r w:rsidR="000440D1">
        <w:rPr>
          <w:b/>
          <w:bCs/>
          <w:i/>
          <w:iCs/>
          <w:lang w:eastAsia="en-AU"/>
        </w:rPr>
        <w:t>conditions should</w:t>
      </w:r>
      <w:r w:rsidR="00147F1B">
        <w:rPr>
          <w:b/>
          <w:bCs/>
          <w:i/>
          <w:iCs/>
          <w:lang w:eastAsia="en-AU"/>
        </w:rPr>
        <w:t xml:space="preserve"> contain clear</w:t>
      </w:r>
      <w:r>
        <w:rPr>
          <w:b/>
          <w:bCs/>
          <w:i/>
          <w:iCs/>
          <w:lang w:eastAsia="en-AU"/>
        </w:rPr>
        <w:t xml:space="preserve"> rules around the requirements</w:t>
      </w:r>
      <w:r w:rsidR="001B0C76">
        <w:rPr>
          <w:b/>
          <w:bCs/>
          <w:i/>
          <w:iCs/>
          <w:lang w:eastAsia="en-AU"/>
        </w:rPr>
        <w:t xml:space="preserve"> for</w:t>
      </w:r>
      <w:r>
        <w:rPr>
          <w:b/>
          <w:bCs/>
          <w:i/>
          <w:iCs/>
          <w:lang w:eastAsia="en-AU"/>
        </w:rPr>
        <w:t xml:space="preserve"> and uses of </w:t>
      </w:r>
      <w:r w:rsidR="000440D1">
        <w:rPr>
          <w:b/>
          <w:bCs/>
          <w:i/>
          <w:iCs/>
          <w:lang w:eastAsia="en-AU"/>
        </w:rPr>
        <w:t xml:space="preserve">personal </w:t>
      </w:r>
      <w:r>
        <w:rPr>
          <w:b/>
          <w:bCs/>
          <w:i/>
          <w:iCs/>
          <w:lang w:eastAsia="en-AU"/>
        </w:rPr>
        <w:t>telecommunications devices and services</w:t>
      </w:r>
      <w:r w:rsidR="000440D1">
        <w:rPr>
          <w:b/>
          <w:bCs/>
          <w:i/>
          <w:iCs/>
          <w:lang w:eastAsia="en-AU"/>
        </w:rPr>
        <w:t xml:space="preserve"> for work</w:t>
      </w:r>
      <w:r w:rsidR="001B0C76">
        <w:rPr>
          <w:b/>
          <w:bCs/>
          <w:i/>
          <w:iCs/>
          <w:lang w:eastAsia="en-AU"/>
        </w:rPr>
        <w:t>,</w:t>
      </w:r>
      <w:r>
        <w:rPr>
          <w:b/>
          <w:bCs/>
          <w:i/>
          <w:iCs/>
          <w:lang w:eastAsia="en-AU"/>
        </w:rPr>
        <w:t xml:space="preserve"> and </w:t>
      </w:r>
      <w:r w:rsidR="00147F1B" w:rsidRPr="00147F1B">
        <w:rPr>
          <w:b/>
          <w:bCs/>
          <w:i/>
          <w:iCs/>
        </w:rPr>
        <w:t xml:space="preserve">where there is either an expectation or a significant use of </w:t>
      </w:r>
      <w:r w:rsidR="00DC0A6B">
        <w:rPr>
          <w:b/>
          <w:bCs/>
          <w:i/>
          <w:iCs/>
        </w:rPr>
        <w:t xml:space="preserve">an </w:t>
      </w:r>
      <w:r w:rsidR="00147F1B" w:rsidRPr="00147F1B">
        <w:rPr>
          <w:b/>
          <w:bCs/>
          <w:i/>
          <w:iCs/>
        </w:rPr>
        <w:t xml:space="preserve">employee’s </w:t>
      </w:r>
      <w:r w:rsidR="00DC0A6B">
        <w:rPr>
          <w:b/>
          <w:bCs/>
          <w:i/>
          <w:iCs/>
        </w:rPr>
        <w:t>devices and services</w:t>
      </w:r>
      <w:r w:rsidR="00147F1B" w:rsidRPr="00147F1B">
        <w:rPr>
          <w:b/>
          <w:bCs/>
          <w:i/>
          <w:iCs/>
        </w:rPr>
        <w:t xml:space="preserve"> for work purposes</w:t>
      </w:r>
      <w:r w:rsidR="00AA15CF">
        <w:rPr>
          <w:b/>
          <w:bCs/>
          <w:i/>
          <w:iCs/>
        </w:rPr>
        <w:t>,</w:t>
      </w:r>
      <w:r w:rsidR="00147F1B">
        <w:rPr>
          <w:b/>
          <w:bCs/>
          <w:i/>
          <w:iCs/>
          <w:lang w:eastAsia="en-AU"/>
        </w:rPr>
        <w:t xml:space="preserve"> </w:t>
      </w:r>
      <w:r w:rsidR="00DC0A6B">
        <w:rPr>
          <w:b/>
          <w:bCs/>
          <w:i/>
          <w:iCs/>
          <w:lang w:eastAsia="en-AU"/>
        </w:rPr>
        <w:t>the</w:t>
      </w:r>
      <w:r w:rsidR="00AA15CF">
        <w:rPr>
          <w:b/>
          <w:bCs/>
          <w:i/>
          <w:iCs/>
          <w:lang w:eastAsia="en-AU"/>
        </w:rPr>
        <w:t xml:space="preserve"> employee</w:t>
      </w:r>
      <w:r w:rsidR="00147F1B">
        <w:rPr>
          <w:b/>
          <w:bCs/>
          <w:i/>
          <w:iCs/>
          <w:lang w:eastAsia="en-AU"/>
        </w:rPr>
        <w:t xml:space="preserve"> </w:t>
      </w:r>
      <w:r w:rsidR="00771B8C">
        <w:rPr>
          <w:b/>
          <w:bCs/>
          <w:i/>
          <w:iCs/>
          <w:lang w:eastAsia="en-AU"/>
        </w:rPr>
        <w:t xml:space="preserve">should </w:t>
      </w:r>
      <w:r w:rsidR="00147F1B">
        <w:rPr>
          <w:b/>
          <w:bCs/>
          <w:i/>
          <w:iCs/>
          <w:lang w:eastAsia="en-AU"/>
        </w:rPr>
        <w:t xml:space="preserve">have a right to </w:t>
      </w:r>
      <w:r>
        <w:rPr>
          <w:b/>
          <w:bCs/>
          <w:i/>
          <w:iCs/>
          <w:lang w:eastAsia="en-AU"/>
        </w:rPr>
        <w:t xml:space="preserve">reimbursement </w:t>
      </w:r>
      <w:r w:rsidR="00147F1B">
        <w:rPr>
          <w:b/>
          <w:bCs/>
          <w:i/>
          <w:iCs/>
          <w:lang w:eastAsia="en-AU"/>
        </w:rPr>
        <w:t xml:space="preserve">of </w:t>
      </w:r>
      <w:r>
        <w:rPr>
          <w:b/>
          <w:bCs/>
          <w:i/>
          <w:iCs/>
          <w:lang w:eastAsia="en-AU"/>
        </w:rPr>
        <w:t>costs</w:t>
      </w:r>
      <w:r w:rsidR="00056C6A">
        <w:rPr>
          <w:b/>
          <w:bCs/>
          <w:i/>
          <w:iCs/>
          <w:lang w:eastAsia="en-AU"/>
        </w:rPr>
        <w:t xml:space="preserve"> (including part-costs of monthly</w:t>
      </w:r>
      <w:r w:rsidR="00DC0A6B">
        <w:rPr>
          <w:b/>
          <w:bCs/>
          <w:i/>
          <w:iCs/>
          <w:lang w:eastAsia="en-AU"/>
        </w:rPr>
        <w:t xml:space="preserve"> phone and/or internet</w:t>
      </w:r>
      <w:r w:rsidR="00056C6A">
        <w:rPr>
          <w:b/>
          <w:bCs/>
          <w:i/>
          <w:iCs/>
          <w:lang w:eastAsia="en-AU"/>
        </w:rPr>
        <w:t xml:space="preserve"> plans)</w:t>
      </w:r>
      <w:r>
        <w:rPr>
          <w:b/>
          <w:bCs/>
          <w:i/>
          <w:iCs/>
          <w:lang w:eastAsia="en-AU"/>
        </w:rPr>
        <w:t>.</w:t>
      </w:r>
    </w:p>
    <w:bookmarkEnd w:id="65"/>
    <w:p w14:paraId="2F73D4C6" w14:textId="3AAAB669" w:rsidR="000E6EA0" w:rsidRDefault="00276425" w:rsidP="0055527E">
      <w:pPr>
        <w:rPr>
          <w:lang w:eastAsia="en-AU"/>
        </w:rPr>
      </w:pPr>
      <w:r>
        <w:rPr>
          <w:lang w:eastAsia="en-AU"/>
        </w:rPr>
        <w:t>Finally, in terms of work-related telecommunications costs for wage</w:t>
      </w:r>
      <w:r w:rsidR="0014054D">
        <w:rPr>
          <w:lang w:eastAsia="en-AU"/>
        </w:rPr>
        <w:t>d</w:t>
      </w:r>
      <w:r>
        <w:rPr>
          <w:lang w:eastAsia="en-AU"/>
        </w:rPr>
        <w:t xml:space="preserve"> poor households, there </w:t>
      </w:r>
      <w:r w:rsidR="00457668">
        <w:rPr>
          <w:lang w:eastAsia="en-AU"/>
        </w:rPr>
        <w:t>are</w:t>
      </w:r>
      <w:r>
        <w:rPr>
          <w:lang w:eastAsia="en-AU"/>
        </w:rPr>
        <w:t xml:space="preserve"> </w:t>
      </w:r>
      <w:r w:rsidR="00397C94">
        <w:rPr>
          <w:lang w:eastAsia="en-AU"/>
        </w:rPr>
        <w:t>affordability issues arising from</w:t>
      </w:r>
      <w:r w:rsidR="00AC2397">
        <w:rPr>
          <w:lang w:eastAsia="en-AU"/>
        </w:rPr>
        <w:t xml:space="preserve"> the shift to working at home </w:t>
      </w:r>
      <w:r w:rsidR="00397C94">
        <w:rPr>
          <w:lang w:eastAsia="en-AU"/>
        </w:rPr>
        <w:t>as a result of the coronavirus response measures</w:t>
      </w:r>
      <w:r w:rsidR="00AC2397">
        <w:rPr>
          <w:lang w:eastAsia="en-AU"/>
        </w:rPr>
        <w:t>. Again, whil</w:t>
      </w:r>
      <w:r w:rsidR="000E6EA0">
        <w:rPr>
          <w:lang w:eastAsia="en-AU"/>
        </w:rPr>
        <w:t>e much of this research pre-dated the biggest impacts of COVID-19</w:t>
      </w:r>
      <w:r w:rsidR="002565DD">
        <w:rPr>
          <w:lang w:eastAsia="en-AU"/>
        </w:rPr>
        <w:t>, some of the interviews</w:t>
      </w:r>
      <w:r w:rsidR="000E6EA0">
        <w:rPr>
          <w:lang w:eastAsia="en-AU"/>
        </w:rPr>
        <w:t xml:space="preserve"> highlighted how households were bearing the costs of work communications. Nowhere is this more evident </w:t>
      </w:r>
      <w:r w:rsidR="00457668">
        <w:rPr>
          <w:lang w:eastAsia="en-AU"/>
        </w:rPr>
        <w:t xml:space="preserve">than </w:t>
      </w:r>
      <w:r w:rsidR="000E6EA0">
        <w:rPr>
          <w:lang w:eastAsia="en-AU"/>
        </w:rPr>
        <w:t xml:space="preserve">in </w:t>
      </w:r>
      <w:r w:rsidR="00D15AF9">
        <w:rPr>
          <w:lang w:eastAsia="en-AU"/>
        </w:rPr>
        <w:t>Allana’s</w:t>
      </w:r>
      <w:r w:rsidR="000E6EA0">
        <w:rPr>
          <w:lang w:eastAsia="en-AU"/>
        </w:rPr>
        <w:t xml:space="preserve"> story</w:t>
      </w:r>
      <w:r w:rsidR="00AC2397">
        <w:rPr>
          <w:lang w:eastAsia="en-AU"/>
        </w:rPr>
        <w:t xml:space="preserve">, when her partner’s work shifted </w:t>
      </w:r>
      <w:r w:rsidR="002565DD">
        <w:rPr>
          <w:lang w:eastAsia="en-AU"/>
        </w:rPr>
        <w:t xml:space="preserve">from university </w:t>
      </w:r>
      <w:r w:rsidR="00AC2397">
        <w:rPr>
          <w:lang w:eastAsia="en-AU"/>
        </w:rPr>
        <w:t>to home</w:t>
      </w:r>
      <w:r w:rsidR="000E6EA0">
        <w:rPr>
          <w:lang w:eastAsia="en-AU"/>
        </w:rPr>
        <w:t>:</w:t>
      </w:r>
    </w:p>
    <w:p w14:paraId="02DBCAB8" w14:textId="206848E5" w:rsidR="000E6EA0" w:rsidRDefault="00B074E3" w:rsidP="00B074E3">
      <w:pPr>
        <w:ind w:left="720"/>
      </w:pPr>
      <w:r>
        <w:t xml:space="preserve">That was a bit of a thorn in our side. He originally purchased </w:t>
      </w:r>
      <w:r w:rsidR="00F11840">
        <w:t xml:space="preserve">a </w:t>
      </w:r>
      <w:r>
        <w:t xml:space="preserve">USB dongle since we didn't think we'd have enough [data]. </w:t>
      </w:r>
      <w:r w:rsidR="00F11840">
        <w:t>…</w:t>
      </w:r>
      <w:r>
        <w:t xml:space="preserve"> but I said that's very costly doing it that way. Pretty much once he had to download all this stuff in </w:t>
      </w:r>
      <w:r w:rsidR="00AC2397">
        <w:t xml:space="preserve">the </w:t>
      </w:r>
      <w:r>
        <w:t xml:space="preserve">home office it used up all the data and he had to get a recharge and I said you need to get work to pay for all that. But </w:t>
      </w:r>
      <w:r w:rsidR="00F11840">
        <w:t>…</w:t>
      </w:r>
      <w:r>
        <w:t xml:space="preserve"> he just told me yesterday work</w:t>
      </w:r>
      <w:r w:rsidR="00C8434E">
        <w:t xml:space="preserve"> had</w:t>
      </w:r>
      <w:r>
        <w:t xml:space="preserve"> frozen all work credit cards. So we're having to cover some of those costs as well. We'll see if we can get anything at tax time.</w:t>
      </w:r>
      <w:r w:rsidR="00F11840">
        <w:t xml:space="preserve"> B</w:t>
      </w:r>
      <w:r>
        <w:t xml:space="preserve">ut then we figured out we </w:t>
      </w:r>
      <w:r w:rsidR="00F11840">
        <w:t>could</w:t>
      </w:r>
      <w:r>
        <w:t xml:space="preserve"> drill a hole through our floor, which is two-story and set up down in the garage and he grabbed </w:t>
      </w:r>
      <w:r w:rsidR="00F11840">
        <w:t>an</w:t>
      </w:r>
      <w:r>
        <w:t xml:space="preserve"> internet cable from work and we've plugged it into our modem</w:t>
      </w:r>
      <w:r w:rsidR="00F11840">
        <w:t xml:space="preserve"> [because the desktop computer borrowed from work could not pick up the </w:t>
      </w:r>
      <w:r w:rsidR="00FD3792">
        <w:t>WiFi</w:t>
      </w:r>
      <w:r w:rsidR="00F11840">
        <w:t>]</w:t>
      </w:r>
      <w:r>
        <w:t>. Telstra's giving us that unlimited data and he hooked up to that now. So he's using our data for work. As long as its free that's fine, it</w:t>
      </w:r>
      <w:r w:rsidR="004903F2">
        <w:t>’</w:t>
      </w:r>
      <w:r>
        <w:t xml:space="preserve">s pretty expensive pre-paid internet. </w:t>
      </w:r>
    </w:p>
    <w:p w14:paraId="4A5A0FC7" w14:textId="0327875F" w:rsidR="00185598" w:rsidRDefault="00397C94" w:rsidP="0096315F">
      <w:pPr>
        <w:rPr>
          <w:lang w:eastAsia="en-AU"/>
        </w:rPr>
      </w:pPr>
      <w:r>
        <w:rPr>
          <w:lang w:eastAsia="en-AU"/>
        </w:rPr>
        <w:t xml:space="preserve">Under the various workplace health and safety Acts </w:t>
      </w:r>
      <w:r w:rsidR="009D0AEA">
        <w:rPr>
          <w:lang w:eastAsia="en-AU"/>
        </w:rPr>
        <w:t>an</w:t>
      </w:r>
      <w:r w:rsidR="003D33EF">
        <w:rPr>
          <w:lang w:eastAsia="en-AU"/>
        </w:rPr>
        <w:t xml:space="preserve"> employer is responsible for safety in the workplace, and </w:t>
      </w:r>
      <w:r w:rsidR="00FF0B26">
        <w:rPr>
          <w:lang w:eastAsia="en-AU"/>
        </w:rPr>
        <w:t xml:space="preserve">as </w:t>
      </w:r>
      <w:r w:rsidR="003D33EF">
        <w:rPr>
          <w:lang w:eastAsia="en-AU"/>
        </w:rPr>
        <w:t xml:space="preserve">has been made clear through the coronavirus crisis, this remains the case when that workplace is the home. With this logic of the home as the place of business, it should be beholden on businesses to cover the costs of telecommunications for remote working. This may not matter for households with existing NBN connections and equipment, but as </w:t>
      </w:r>
      <w:r w:rsidR="00616C54">
        <w:rPr>
          <w:lang w:eastAsia="en-AU"/>
        </w:rPr>
        <w:t>Allana</w:t>
      </w:r>
      <w:r w:rsidR="003D33EF">
        <w:rPr>
          <w:lang w:eastAsia="en-AU"/>
        </w:rPr>
        <w:t>’s case shows, that is not always the case and those who are already poor should not have to bear this cost.</w:t>
      </w:r>
    </w:p>
    <w:bookmarkEnd w:id="64"/>
    <w:p w14:paraId="1E458548" w14:textId="6330B9FC" w:rsidR="00CB3B59" w:rsidRDefault="005923F7" w:rsidP="005923F7">
      <w:pPr>
        <w:pStyle w:val="Heading2"/>
        <w:rPr>
          <w:lang w:eastAsia="en-AU"/>
        </w:rPr>
      </w:pPr>
      <w:r>
        <w:rPr>
          <w:lang w:eastAsia="en-AU"/>
        </w:rPr>
        <w:br w:type="page"/>
      </w:r>
      <w:bookmarkStart w:id="66" w:name="_Toc42719039"/>
      <w:bookmarkStart w:id="67" w:name="_Hlk43037874"/>
      <w:bookmarkStart w:id="68" w:name="_Toc37776816"/>
      <w:r w:rsidR="00CB3B59">
        <w:rPr>
          <w:lang w:eastAsia="en-AU"/>
        </w:rPr>
        <w:lastRenderedPageBreak/>
        <w:t>Case Study: A</w:t>
      </w:r>
      <w:r w:rsidR="0007007E">
        <w:rPr>
          <w:lang w:eastAsia="en-AU"/>
        </w:rPr>
        <w:t>lison</w:t>
      </w:r>
      <w:r w:rsidR="00CB3B59">
        <w:rPr>
          <w:lang w:eastAsia="en-AU"/>
        </w:rPr>
        <w:t xml:space="preserve"> </w:t>
      </w:r>
      <w:r w:rsidR="0007007E">
        <w:rPr>
          <w:lang w:eastAsia="en-AU"/>
        </w:rPr>
        <w:t>(</w:t>
      </w:r>
      <w:r w:rsidR="00CB3B59">
        <w:rPr>
          <w:lang w:eastAsia="en-AU"/>
        </w:rPr>
        <w:t>ACT</w:t>
      </w:r>
      <w:r w:rsidR="0007007E">
        <w:rPr>
          <w:lang w:eastAsia="en-AU"/>
        </w:rPr>
        <w:t>)</w:t>
      </w:r>
      <w:bookmarkEnd w:id="66"/>
    </w:p>
    <w:p w14:paraId="79A10AE9" w14:textId="01A03E18" w:rsidR="009D5FC0" w:rsidRDefault="005A1FD2" w:rsidP="005A1FD2">
      <w:pPr>
        <w:rPr>
          <w:lang w:eastAsia="en-AU"/>
        </w:rPr>
      </w:pPr>
      <w:r>
        <w:rPr>
          <w:lang w:val="en-US" w:eastAsia="en-AU"/>
        </w:rPr>
        <w:t>A</w:t>
      </w:r>
      <w:r w:rsidR="0007007E">
        <w:rPr>
          <w:lang w:val="en-US" w:eastAsia="en-AU"/>
        </w:rPr>
        <w:t>lison</w:t>
      </w:r>
      <w:r>
        <w:rPr>
          <w:lang w:val="en-US" w:eastAsia="en-AU"/>
        </w:rPr>
        <w:t xml:space="preserve"> is a </w:t>
      </w:r>
      <w:r>
        <w:rPr>
          <w:lang w:eastAsia="en-AU"/>
        </w:rPr>
        <w:t>43 year old single parent who works as a photographer and in a print shop</w:t>
      </w:r>
      <w:r w:rsidR="009D5FC0">
        <w:rPr>
          <w:lang w:eastAsia="en-AU"/>
        </w:rPr>
        <w:t xml:space="preserve"> processing and editing photos</w:t>
      </w:r>
      <w:r>
        <w:rPr>
          <w:lang w:eastAsia="en-AU"/>
        </w:rPr>
        <w:t>. The job is permanent and the variable photography hours is balanced by the print shop hours to provide a regular income. She has 4 grown children at home, has NBN and Netflix (</w:t>
      </w:r>
      <w:r w:rsidR="009D5FC0">
        <w:rPr>
          <w:lang w:eastAsia="en-AU"/>
        </w:rPr>
        <w:t>“</w:t>
      </w:r>
      <w:r>
        <w:rPr>
          <w:lang w:eastAsia="en-AU"/>
        </w:rPr>
        <w:t>mainly for the kids</w:t>
      </w:r>
      <w:r w:rsidR="009D5FC0">
        <w:rPr>
          <w:lang w:eastAsia="en-AU"/>
        </w:rPr>
        <w:t>”</w:t>
      </w:r>
      <w:r>
        <w:rPr>
          <w:lang w:eastAsia="en-AU"/>
        </w:rPr>
        <w:t xml:space="preserve">), and does all her email and banking on </w:t>
      </w:r>
      <w:r w:rsidR="00113CED">
        <w:rPr>
          <w:lang w:eastAsia="en-AU"/>
        </w:rPr>
        <w:t xml:space="preserve">her </w:t>
      </w:r>
      <w:r>
        <w:rPr>
          <w:lang w:eastAsia="en-AU"/>
        </w:rPr>
        <w:t xml:space="preserve">phone. The kids pay for their phones themselves, but she pays NBN and Netflix </w:t>
      </w:r>
      <w:r w:rsidR="009D5FC0">
        <w:rPr>
          <w:lang w:eastAsia="en-AU"/>
        </w:rPr>
        <w:t>so her phone and internet bill is $118 per month</w:t>
      </w:r>
      <w:r>
        <w:rPr>
          <w:lang w:eastAsia="en-AU"/>
        </w:rPr>
        <w:t>.</w:t>
      </w:r>
      <w:r w:rsidR="009D5FC0">
        <w:rPr>
          <w:lang w:eastAsia="en-AU"/>
        </w:rPr>
        <w:t xml:space="preserve"> However, she says the NBN service in her area is “just terrible” with outages – a problem of outer-suburbia which seems to affect a lot</w:t>
      </w:r>
      <w:r w:rsidR="004903F2">
        <w:rPr>
          <w:lang w:eastAsia="en-AU"/>
        </w:rPr>
        <w:t xml:space="preserve"> of</w:t>
      </w:r>
      <w:r w:rsidR="009D5FC0">
        <w:rPr>
          <w:lang w:eastAsia="en-AU"/>
        </w:rPr>
        <w:t xml:space="preserve"> people in the area</w:t>
      </w:r>
      <w:r w:rsidR="00094FF3">
        <w:rPr>
          <w:rFonts w:cs="Calibri"/>
          <w:color w:val="000000"/>
        </w:rPr>
        <w:t>.</w:t>
      </w:r>
      <w:r w:rsidR="00286279">
        <w:rPr>
          <w:rFonts w:cs="Calibri"/>
          <w:color w:val="000000"/>
        </w:rPr>
        <w:t xml:space="preserve"> S</w:t>
      </w:r>
      <w:r w:rsidR="00094FF3">
        <w:rPr>
          <w:rFonts w:cs="Calibri"/>
          <w:color w:val="000000"/>
        </w:rPr>
        <w:t>he has had the same mobile phone provider for 20 years and may look to get more data on her phone because she is using it when the NBN drops out.</w:t>
      </w:r>
    </w:p>
    <w:p w14:paraId="430A17CA" w14:textId="3E59FE28" w:rsidR="009D5FC0" w:rsidRDefault="009D5FC0" w:rsidP="005A1FD2">
      <w:pPr>
        <w:rPr>
          <w:lang w:eastAsia="en-AU"/>
        </w:rPr>
      </w:pPr>
      <w:r>
        <w:rPr>
          <w:lang w:eastAsia="en-AU"/>
        </w:rPr>
        <w:t xml:space="preserve">She is not required to use her phone or internet for work, but occasionally if something </w:t>
      </w:r>
      <w:r w:rsidR="00094FF3">
        <w:rPr>
          <w:lang w:eastAsia="en-AU"/>
        </w:rPr>
        <w:t xml:space="preserve">urgent </w:t>
      </w:r>
      <w:r>
        <w:rPr>
          <w:lang w:eastAsia="en-AU"/>
        </w:rPr>
        <w:t xml:space="preserve">comes up she will quickly do it </w:t>
      </w:r>
      <w:r w:rsidR="00094FF3">
        <w:rPr>
          <w:lang w:eastAsia="en-AU"/>
        </w:rPr>
        <w:t xml:space="preserve">and “flick it back”, and she also </w:t>
      </w:r>
      <w:r>
        <w:rPr>
          <w:lang w:eastAsia="en-AU"/>
        </w:rPr>
        <w:t xml:space="preserve">uses her phone to </w:t>
      </w:r>
      <w:r w:rsidR="00703A9B">
        <w:rPr>
          <w:lang w:eastAsia="en-AU"/>
        </w:rPr>
        <w:t>navigate</w:t>
      </w:r>
      <w:r>
        <w:rPr>
          <w:lang w:eastAsia="en-AU"/>
        </w:rPr>
        <w:t xml:space="preserve"> to </w:t>
      </w:r>
      <w:r w:rsidR="00094FF3">
        <w:rPr>
          <w:lang w:eastAsia="en-AU"/>
        </w:rPr>
        <w:t>off-site photo shoots</w:t>
      </w:r>
      <w:r>
        <w:rPr>
          <w:lang w:eastAsia="en-AU"/>
        </w:rPr>
        <w:t xml:space="preserve">. </w:t>
      </w:r>
      <w:r w:rsidR="00094FF3">
        <w:rPr>
          <w:lang w:eastAsia="en-AU"/>
        </w:rPr>
        <w:t>However, s</w:t>
      </w:r>
      <w:r>
        <w:rPr>
          <w:lang w:eastAsia="en-AU"/>
        </w:rPr>
        <w:t xml:space="preserve">he </w:t>
      </w:r>
      <w:r w:rsidR="00094FF3">
        <w:rPr>
          <w:lang w:eastAsia="en-AU"/>
        </w:rPr>
        <w:t>generally uses</w:t>
      </w:r>
      <w:r>
        <w:rPr>
          <w:lang w:eastAsia="en-AU"/>
        </w:rPr>
        <w:t xml:space="preserve"> the internet at the print shop </w:t>
      </w:r>
      <w:r w:rsidR="00094FF3">
        <w:rPr>
          <w:lang w:eastAsia="en-AU"/>
        </w:rPr>
        <w:t xml:space="preserve">for regular work things, and her phone automatically connects to the work </w:t>
      </w:r>
      <w:r w:rsidR="00FD3792">
        <w:rPr>
          <w:lang w:eastAsia="en-AU"/>
        </w:rPr>
        <w:t>WiFi</w:t>
      </w:r>
      <w:r w:rsidR="00094FF3">
        <w:rPr>
          <w:lang w:eastAsia="en-AU"/>
        </w:rPr>
        <w:t xml:space="preserve"> when there.</w:t>
      </w:r>
    </w:p>
    <w:p w14:paraId="0BAC541B" w14:textId="34FF8785" w:rsidR="009D5FC0" w:rsidRDefault="00E1639D" w:rsidP="005A1FD2">
      <w:pPr>
        <w:rPr>
          <w:lang w:eastAsia="en-AU"/>
        </w:rPr>
      </w:pPr>
      <w:r>
        <w:rPr>
          <w:lang w:eastAsia="en-AU"/>
        </w:rPr>
        <w:t>While A</w:t>
      </w:r>
      <w:r w:rsidR="0007007E">
        <w:rPr>
          <w:lang w:eastAsia="en-AU"/>
        </w:rPr>
        <w:t>lison</w:t>
      </w:r>
      <w:r>
        <w:rPr>
          <w:lang w:eastAsia="en-AU"/>
        </w:rPr>
        <w:t xml:space="preserve">’s phone use at work is relatively minor, her phone is essential for family reasons. She has her son’s friend living with them, escaping domestic violence issues in </w:t>
      </w:r>
      <w:r w:rsidR="00B92E5B">
        <w:rPr>
          <w:lang w:eastAsia="en-AU"/>
        </w:rPr>
        <w:t>their</w:t>
      </w:r>
      <w:r>
        <w:rPr>
          <w:lang w:eastAsia="en-AU"/>
        </w:rPr>
        <w:t xml:space="preserve"> extended family, and A</w:t>
      </w:r>
      <w:r w:rsidR="0007007E">
        <w:rPr>
          <w:lang w:eastAsia="en-AU"/>
        </w:rPr>
        <w:t xml:space="preserve">lison </w:t>
      </w:r>
      <w:r>
        <w:rPr>
          <w:lang w:eastAsia="en-AU"/>
        </w:rPr>
        <w:t>needs to be available for her kids to contact her, or for the police to contact her if there are any changes in the AVO. She “</w:t>
      </w:r>
      <w:r>
        <w:rPr>
          <w:rFonts w:cs="Calibri"/>
          <w:color w:val="000000"/>
        </w:rPr>
        <w:t>quite often gets emergency phone calls and, if I didn't have my mobile we'd be stuck”. It means that she pays her phone bill “like clockwork”.</w:t>
      </w:r>
    </w:p>
    <w:p w14:paraId="62E7AA23" w14:textId="6C1A4EC8" w:rsidR="00E1639D" w:rsidRDefault="004D5558" w:rsidP="005A1FD2">
      <w:pPr>
        <w:rPr>
          <w:lang w:eastAsia="en-AU"/>
        </w:rPr>
      </w:pPr>
      <w:r>
        <w:rPr>
          <w:lang w:eastAsia="en-AU"/>
        </w:rPr>
        <w:t>A</w:t>
      </w:r>
      <w:r w:rsidR="0007007E">
        <w:rPr>
          <w:lang w:eastAsia="en-AU"/>
        </w:rPr>
        <w:t>lison</w:t>
      </w:r>
      <w:r>
        <w:rPr>
          <w:lang w:eastAsia="en-AU"/>
        </w:rPr>
        <w:t xml:space="preserve"> “grew up dirt poor</w:t>
      </w:r>
      <w:r w:rsidR="0011553A">
        <w:rPr>
          <w:lang w:eastAsia="en-AU"/>
        </w:rPr>
        <w:t>, l</w:t>
      </w:r>
      <w:r>
        <w:rPr>
          <w:lang w:eastAsia="en-AU"/>
        </w:rPr>
        <w:t xml:space="preserve">ike we had no carpet, no washing machine, nothing”, but it taught her </w:t>
      </w:r>
      <w:r w:rsidR="00536573">
        <w:rPr>
          <w:lang w:eastAsia="en-AU"/>
        </w:rPr>
        <w:t xml:space="preserve">to </w:t>
      </w:r>
      <w:r>
        <w:rPr>
          <w:lang w:eastAsia="en-AU"/>
        </w:rPr>
        <w:t xml:space="preserve">appreciate what she had and to learn to live on a tight budget. </w:t>
      </w:r>
      <w:r w:rsidR="00703A9B">
        <w:rPr>
          <w:lang w:eastAsia="en-AU"/>
        </w:rPr>
        <w:t>S</w:t>
      </w:r>
      <w:r>
        <w:rPr>
          <w:lang w:eastAsia="en-AU"/>
        </w:rPr>
        <w:t>he always pays her bills, even when it took three or four months to pay back an excess bill from her daughter because she did not know how the phone worked. Unsurprisingly, when asked whether she would seek help from a charity she said “</w:t>
      </w:r>
      <w:r>
        <w:rPr>
          <w:rFonts w:cs="Calibri"/>
          <w:color w:val="000000"/>
        </w:rPr>
        <w:t>I'm not big on the whole handouts. I think you have to earn it, you know, but I'm big on education. I don't think we teach people how to budget.”</w:t>
      </w:r>
    </w:p>
    <w:p w14:paraId="6B9551A5" w14:textId="77777777" w:rsidR="005A1FD2" w:rsidRPr="005A1FD2" w:rsidRDefault="005A1FD2" w:rsidP="005A1FD2">
      <w:pPr>
        <w:rPr>
          <w:lang w:val="en-US" w:eastAsia="en-AU"/>
        </w:rPr>
      </w:pPr>
    </w:p>
    <w:bookmarkEnd w:id="67"/>
    <w:p w14:paraId="62535BAB" w14:textId="21BF3953" w:rsidR="005923F7" w:rsidRDefault="00CB3B59" w:rsidP="005923F7">
      <w:pPr>
        <w:pStyle w:val="Heading2"/>
      </w:pPr>
      <w:r>
        <w:br w:type="page"/>
      </w:r>
      <w:bookmarkStart w:id="69" w:name="_Toc42719040"/>
      <w:r w:rsidR="005923F7">
        <w:lastRenderedPageBreak/>
        <w:t>Unmet Demand</w:t>
      </w:r>
      <w:bookmarkEnd w:id="68"/>
      <w:bookmarkEnd w:id="69"/>
    </w:p>
    <w:p w14:paraId="32F0AD14" w14:textId="04711D86" w:rsidR="005923F7" w:rsidRPr="002875A8" w:rsidRDefault="005923F7" w:rsidP="005923F7">
      <w:pPr>
        <w:rPr>
          <w:lang w:eastAsia="en-AU"/>
        </w:rPr>
      </w:pPr>
      <w:bookmarkStart w:id="70" w:name="_Hlk44595385"/>
      <w:bookmarkStart w:id="71" w:name="_Hlk44594832"/>
      <w:r w:rsidRPr="002875A8">
        <w:rPr>
          <w:lang w:eastAsia="en-AU"/>
        </w:rPr>
        <w:t xml:space="preserve">There was not a lot of demand for </w:t>
      </w:r>
      <w:r w:rsidRPr="002875A8">
        <w:rPr>
          <w:i/>
          <w:lang w:eastAsia="en-AU"/>
        </w:rPr>
        <w:t>new services</w:t>
      </w:r>
      <w:r w:rsidRPr="002875A8">
        <w:rPr>
          <w:lang w:eastAsia="en-AU"/>
        </w:rPr>
        <w:t xml:space="preserve"> demonstrated in the survey. 60% of respondents said they did not want any other telecommunications devices/services, with a further 10% saying that they </w:t>
      </w:r>
      <w:r w:rsidRPr="004833D0">
        <w:rPr>
          <w:lang w:eastAsia="en-AU"/>
        </w:rPr>
        <w:t xml:space="preserve">did </w:t>
      </w:r>
      <w:r w:rsidR="004833D0" w:rsidRPr="004833D0">
        <w:rPr>
          <w:lang w:eastAsia="en-AU"/>
        </w:rPr>
        <w:t xml:space="preserve">not </w:t>
      </w:r>
      <w:r w:rsidRPr="004833D0">
        <w:rPr>
          <w:lang w:eastAsia="en-AU"/>
        </w:rPr>
        <w:t>know</w:t>
      </w:r>
      <w:r w:rsidRPr="002875A8">
        <w:rPr>
          <w:lang w:eastAsia="en-AU"/>
        </w:rPr>
        <w:t xml:space="preserve"> if they wanted anything else.</w:t>
      </w:r>
      <w:bookmarkEnd w:id="70"/>
      <w:r w:rsidRPr="002875A8">
        <w:rPr>
          <w:lang w:eastAsia="en-AU"/>
        </w:rPr>
        <w:t xml:space="preserve"> </w:t>
      </w:r>
      <w:bookmarkEnd w:id="71"/>
      <w:r w:rsidRPr="002875A8">
        <w:rPr>
          <w:lang w:eastAsia="en-AU"/>
        </w:rPr>
        <w:t>The “luxury” items of subscription TV/movie streaming services and tablet devices with data were the biggest percentage of unmet demand – but the numbers were low with only 5.2% and 4.6% respectively of respondents wanting these. Affordability was the major reason cited for the unmet demand for these two items.</w:t>
      </w:r>
    </w:p>
    <w:p w14:paraId="562C98B4" w14:textId="77777777" w:rsidR="005923F7" w:rsidRPr="002875A8" w:rsidRDefault="005923F7" w:rsidP="005923F7">
      <w:pPr>
        <w:rPr>
          <w:lang w:eastAsia="en-AU"/>
        </w:rPr>
      </w:pPr>
      <w:r w:rsidRPr="002875A8">
        <w:rPr>
          <w:lang w:eastAsia="en-AU"/>
        </w:rPr>
        <w:t>However, when asked if they would change or upgrade their devices/services if their financial circumstances improved</w:t>
      </w:r>
      <w:r>
        <w:rPr>
          <w:lang w:eastAsia="en-AU"/>
        </w:rPr>
        <w:t>:</w:t>
      </w:r>
    </w:p>
    <w:p w14:paraId="07EB1353" w14:textId="386941AE" w:rsidR="005923F7" w:rsidRPr="002875A8" w:rsidRDefault="005923F7" w:rsidP="005923F7">
      <w:pPr>
        <w:pStyle w:val="ListParagraph"/>
        <w:numPr>
          <w:ilvl w:val="0"/>
          <w:numId w:val="18"/>
        </w:numPr>
        <w:spacing w:line="288" w:lineRule="auto"/>
        <w:ind w:left="714" w:hanging="357"/>
        <w:rPr>
          <w:sz w:val="22"/>
          <w:lang w:eastAsia="en-AU"/>
        </w:rPr>
      </w:pPr>
      <w:r w:rsidRPr="002875A8">
        <w:rPr>
          <w:sz w:val="22"/>
          <w:lang w:eastAsia="en-AU"/>
        </w:rPr>
        <w:t>35% would buy or upgrade their devices</w:t>
      </w:r>
      <w:r w:rsidR="008F45F6">
        <w:rPr>
          <w:sz w:val="22"/>
          <w:lang w:eastAsia="en-AU"/>
        </w:rPr>
        <w:t>;</w:t>
      </w:r>
    </w:p>
    <w:p w14:paraId="60511A23" w14:textId="3909724C" w:rsidR="005923F7" w:rsidRPr="002875A8" w:rsidRDefault="005923F7" w:rsidP="005923F7">
      <w:pPr>
        <w:pStyle w:val="ListParagraph"/>
        <w:numPr>
          <w:ilvl w:val="0"/>
          <w:numId w:val="18"/>
        </w:numPr>
        <w:spacing w:line="288" w:lineRule="auto"/>
        <w:ind w:left="714" w:hanging="357"/>
        <w:rPr>
          <w:sz w:val="22"/>
          <w:lang w:eastAsia="en-AU"/>
        </w:rPr>
      </w:pPr>
      <w:r w:rsidRPr="002875A8">
        <w:rPr>
          <w:sz w:val="22"/>
          <w:lang w:eastAsia="en-AU"/>
        </w:rPr>
        <w:t>18% would upgrade their internet service speed</w:t>
      </w:r>
      <w:r w:rsidR="008F45F6">
        <w:rPr>
          <w:sz w:val="22"/>
          <w:lang w:eastAsia="en-AU"/>
        </w:rPr>
        <w:t>;</w:t>
      </w:r>
    </w:p>
    <w:p w14:paraId="22649964" w14:textId="3A72AF64" w:rsidR="005923F7" w:rsidRPr="002875A8" w:rsidRDefault="005923F7" w:rsidP="005923F7">
      <w:pPr>
        <w:pStyle w:val="ListParagraph"/>
        <w:numPr>
          <w:ilvl w:val="0"/>
          <w:numId w:val="18"/>
        </w:numPr>
        <w:spacing w:line="288" w:lineRule="auto"/>
        <w:ind w:left="714" w:hanging="357"/>
        <w:rPr>
          <w:sz w:val="22"/>
          <w:lang w:eastAsia="en-AU"/>
        </w:rPr>
      </w:pPr>
      <w:r>
        <w:rPr>
          <w:sz w:val="22"/>
          <w:lang w:eastAsia="en-AU"/>
        </w:rPr>
        <w:t>16</w:t>
      </w:r>
      <w:r w:rsidRPr="002875A8">
        <w:rPr>
          <w:sz w:val="22"/>
          <w:lang w:eastAsia="en-AU"/>
        </w:rPr>
        <w:t>% would buy/use more data</w:t>
      </w:r>
      <w:r w:rsidR="008F45F6">
        <w:rPr>
          <w:sz w:val="22"/>
          <w:lang w:eastAsia="en-AU"/>
        </w:rPr>
        <w:t>;</w:t>
      </w:r>
    </w:p>
    <w:p w14:paraId="085D61A8" w14:textId="77777777" w:rsidR="005923F7" w:rsidRPr="002875A8" w:rsidRDefault="005923F7" w:rsidP="005923F7">
      <w:pPr>
        <w:pStyle w:val="ListParagraph"/>
        <w:numPr>
          <w:ilvl w:val="0"/>
          <w:numId w:val="18"/>
        </w:numPr>
        <w:spacing w:line="288" w:lineRule="auto"/>
        <w:ind w:left="714" w:hanging="357"/>
        <w:rPr>
          <w:sz w:val="22"/>
          <w:lang w:eastAsia="en-AU"/>
        </w:rPr>
      </w:pPr>
      <w:r w:rsidRPr="002875A8">
        <w:rPr>
          <w:sz w:val="22"/>
          <w:lang w:eastAsia="en-AU"/>
        </w:rPr>
        <w:t>30% said more money would make no difference.</w:t>
      </w:r>
    </w:p>
    <w:p w14:paraId="532A9AE1" w14:textId="76F6FEF7" w:rsidR="00D40F77" w:rsidRDefault="005923F7" w:rsidP="005923F7">
      <w:pPr>
        <w:rPr>
          <w:lang w:eastAsia="en-AU"/>
        </w:rPr>
      </w:pPr>
      <w:r w:rsidRPr="002875A8">
        <w:rPr>
          <w:lang w:eastAsia="en-AU"/>
        </w:rPr>
        <w:t>Taken together, this unmet demand data suggests that waged poor households are prioritising telecommunications expenditure to ensure they have the basics, but are using sub-par services and devices that they would like to upgrade as a priority (rather than buying additional services).</w:t>
      </w:r>
      <w:r w:rsidR="00316273">
        <w:rPr>
          <w:lang w:eastAsia="en-AU"/>
        </w:rPr>
        <w:t xml:space="preserve"> </w:t>
      </w:r>
      <w:r w:rsidR="00A35CBE">
        <w:rPr>
          <w:lang w:eastAsia="en-AU"/>
        </w:rPr>
        <w:t>Several interviewees commented that they had basic or the cheapest phones or plans</w:t>
      </w:r>
      <w:r w:rsidR="001C4F4A">
        <w:rPr>
          <w:lang w:eastAsia="en-AU"/>
        </w:rPr>
        <w:t>, incl</w:t>
      </w:r>
      <w:r w:rsidR="00D40F77">
        <w:rPr>
          <w:lang w:eastAsia="en-AU"/>
        </w:rPr>
        <w:t xml:space="preserve">uding </w:t>
      </w:r>
      <w:r w:rsidR="0007007E">
        <w:rPr>
          <w:lang w:eastAsia="en-AU"/>
        </w:rPr>
        <w:t xml:space="preserve">Barbara </w:t>
      </w:r>
      <w:r w:rsidR="00D40F77">
        <w:rPr>
          <w:lang w:eastAsia="en-AU"/>
        </w:rPr>
        <w:t>who received hand-</w:t>
      </w:r>
      <w:r w:rsidR="002118D5">
        <w:rPr>
          <w:lang w:eastAsia="en-AU"/>
        </w:rPr>
        <w:t>me-down devices</w:t>
      </w:r>
      <w:r w:rsidR="001C4F4A">
        <w:rPr>
          <w:lang w:eastAsia="en-AU"/>
        </w:rPr>
        <w:t>:</w:t>
      </w:r>
    </w:p>
    <w:p w14:paraId="3D6463CC" w14:textId="3A667EEF" w:rsidR="002118D5" w:rsidRDefault="002118D5" w:rsidP="002118D5">
      <w:pPr>
        <w:ind w:left="720"/>
        <w:rPr>
          <w:lang w:eastAsia="en-AU"/>
        </w:rPr>
      </w:pPr>
      <w:r>
        <w:t>my parents tend to upgrade devices</w:t>
      </w:r>
      <w:r w:rsidR="001C4F4A">
        <w:t xml:space="preserve"> </w:t>
      </w:r>
      <w:r>
        <w:t>very frequently</w:t>
      </w:r>
      <w:r w:rsidR="00DC3BB9">
        <w:t>, s</w:t>
      </w:r>
      <w:r>
        <w:t xml:space="preserve">o </w:t>
      </w:r>
      <w:r w:rsidR="001C4F4A">
        <w:t>we</w:t>
      </w:r>
      <w:r>
        <w:t xml:space="preserve"> sometimes get hand me down devices from them, </w:t>
      </w:r>
      <w:r w:rsidR="001C4F4A">
        <w:t>…</w:t>
      </w:r>
      <w:r>
        <w:t xml:space="preserve"> and hold onto devices pretty much until they're unworkable.</w:t>
      </w:r>
    </w:p>
    <w:p w14:paraId="74CED23D" w14:textId="6DD86804" w:rsidR="002118D5" w:rsidRDefault="0007007E" w:rsidP="005923F7">
      <w:pPr>
        <w:rPr>
          <w:lang w:eastAsia="en-AU"/>
        </w:rPr>
      </w:pPr>
      <w:r>
        <w:rPr>
          <w:lang w:eastAsia="en-AU"/>
        </w:rPr>
        <w:t>Alison</w:t>
      </w:r>
      <w:r w:rsidR="001C4F4A">
        <w:rPr>
          <w:lang w:eastAsia="en-AU"/>
        </w:rPr>
        <w:t xml:space="preserve">, </w:t>
      </w:r>
      <w:r w:rsidR="00DC3BB9">
        <w:rPr>
          <w:lang w:eastAsia="en-AU"/>
        </w:rPr>
        <w:t>summed it up:</w:t>
      </w:r>
      <w:r w:rsidR="001C4F4A">
        <w:rPr>
          <w:lang w:eastAsia="en-AU"/>
        </w:rPr>
        <w:t xml:space="preserve"> </w:t>
      </w:r>
    </w:p>
    <w:p w14:paraId="3AB14501" w14:textId="38B5D9F4" w:rsidR="00316273" w:rsidRDefault="00316273" w:rsidP="00316273">
      <w:pPr>
        <w:ind w:left="720"/>
        <w:rPr>
          <w:lang w:eastAsia="en-AU"/>
        </w:rPr>
      </w:pPr>
      <w:r>
        <w:t>My mobile phone is literally a phone, like it's the cheapest phone that I could afford. … it does the job of calling, like I don't take photos on it</w:t>
      </w:r>
      <w:r w:rsidR="00A35CBE">
        <w:t xml:space="preserve"> ..</w:t>
      </w:r>
      <w:r>
        <w:t>. It'd be cool to have an iPhone, don't get me wrong, that'd be awesome. But you know, that's a luxury.</w:t>
      </w:r>
    </w:p>
    <w:p w14:paraId="71019522" w14:textId="77777777" w:rsidR="00026EFA" w:rsidRDefault="00026EFA" w:rsidP="005923F7">
      <w:pPr>
        <w:rPr>
          <w:lang w:eastAsia="en-AU"/>
        </w:rPr>
      </w:pPr>
    </w:p>
    <w:p w14:paraId="1D948730" w14:textId="1A9AFB80" w:rsidR="00CB3B59" w:rsidRDefault="005923F7" w:rsidP="005923F7">
      <w:pPr>
        <w:pStyle w:val="Heading2"/>
      </w:pPr>
      <w:r>
        <w:br w:type="page"/>
      </w:r>
      <w:bookmarkStart w:id="72" w:name="_Toc42719041"/>
      <w:bookmarkStart w:id="73" w:name="_Hlk43037880"/>
      <w:bookmarkStart w:id="74" w:name="_Toc37776817"/>
      <w:r w:rsidR="00CB3B59">
        <w:lastRenderedPageBreak/>
        <w:t xml:space="preserve">Case Study: </w:t>
      </w:r>
      <w:r w:rsidR="00025DBF">
        <w:t>Stephen</w:t>
      </w:r>
      <w:r w:rsidR="00CB3B59">
        <w:t xml:space="preserve"> </w:t>
      </w:r>
      <w:r w:rsidR="00286279">
        <w:t>(</w:t>
      </w:r>
      <w:r w:rsidR="00CB3B59">
        <w:t>SA</w:t>
      </w:r>
      <w:bookmarkEnd w:id="72"/>
      <w:r w:rsidR="00286279">
        <w:t>)</w:t>
      </w:r>
    </w:p>
    <w:p w14:paraId="28B14B60" w14:textId="36948A7D" w:rsidR="00AC07B7" w:rsidRDefault="00025DBF" w:rsidP="00AC07B7">
      <w:r>
        <w:t>Stephen</w:t>
      </w:r>
      <w:r w:rsidR="00AC07B7">
        <w:t xml:space="preserve"> works delivering furniture, but the work is casual and it varies from week to week. He usually just gets a text message the day before telling him to come in. In busy times before Christmas he could be working 5 days a week, but work “died off” after that. When there is no work he relies on Centrelink payments. He is single and lives in public housing </w:t>
      </w:r>
      <w:r w:rsidR="00364F25">
        <w:t>and</w:t>
      </w:r>
      <w:r w:rsidR="00AC07B7">
        <w:t xml:space="preserve"> has two young children.</w:t>
      </w:r>
    </w:p>
    <w:p w14:paraId="48A80E42" w14:textId="14151A4A" w:rsidR="00AC07B7" w:rsidRDefault="00AC07B7" w:rsidP="00AC07B7">
      <w:r>
        <w:t xml:space="preserve">He relies on his mobile phone </w:t>
      </w:r>
      <w:r w:rsidR="00364F25">
        <w:t xml:space="preserve">to get </w:t>
      </w:r>
      <w:r>
        <w:t>work, and until very recently it was also his only internet connection – hotspotted to his TV so that he can play the games he likes. Gaming is his major data use, but until recently he has managed the expenditure by using pre-paid plans: “that way, if I run out of credit I can just go without until I get money for credit”. He purchases $25 or $50 blocks, but with gaming use he could spend $200 a month on mobile data. But when he has no money, he has no credit – which means he can’t contact people and he loses access to his key recreation: gaming.</w:t>
      </w:r>
    </w:p>
    <w:p w14:paraId="65946A44" w14:textId="4612DF46" w:rsidR="00AC07B7" w:rsidRDefault="00AC07B7" w:rsidP="00AC07B7">
      <w:r>
        <w:t xml:space="preserve">He resisted getting the NBN because “I was like, no – I can’t afford another bill”, but with advice from friends and looking at being at home more due to the coronavirus closures and no work, he has now signed up for a $65 monthly NBN package. It “is going to be cheaper than what I was doing … [and] </w:t>
      </w:r>
      <w:r w:rsidRPr="00476621">
        <w:t>I was thinking that it would be good to have the Netflix at home and home internet to try and entertain myself a bit more</w:t>
      </w:r>
      <w:r>
        <w:t xml:space="preserve">”. </w:t>
      </w:r>
    </w:p>
    <w:p w14:paraId="4888F960" w14:textId="5B33C5FF" w:rsidR="00AC07B7" w:rsidRDefault="00025DBF" w:rsidP="00AC07B7">
      <w:r>
        <w:t>Stephen</w:t>
      </w:r>
      <w:r w:rsidR="00AC07B7">
        <w:t>’</w:t>
      </w:r>
      <w:r>
        <w:t>s</w:t>
      </w:r>
      <w:r w:rsidR="00AC07B7">
        <w:t xml:space="preserve"> irregular income makes paying all his bills “a bit of a juggle … </w:t>
      </w:r>
      <w:r w:rsidR="00AC07B7" w:rsidRPr="001750E0">
        <w:t xml:space="preserve">at times when I'm really struggling I'll suddenly get an influx </w:t>
      </w:r>
      <w:r w:rsidR="00AC07B7">
        <w:t>of work and start catching up, t</w:t>
      </w:r>
      <w:r w:rsidR="00AC07B7" w:rsidRPr="001750E0">
        <w:t>hen it will die down and then I'll start to struggle again</w:t>
      </w:r>
      <w:r w:rsidR="00AC07B7">
        <w:t>”. He has been supported by charities in the past when times were particularly hard. That meant he could survive a lot better, but he is not sure how people get to find out about these services other than by word of mouth</w:t>
      </w:r>
      <w:r w:rsidR="00364F25">
        <w:t>. H</w:t>
      </w:r>
      <w:r w:rsidR="00AC07B7">
        <w:t>e did not know that community organisations could help with telecommunications and digital literacy (he says he is not very tech savvy).</w:t>
      </w:r>
    </w:p>
    <w:p w14:paraId="5783E01A" w14:textId="207AC1B8" w:rsidR="00AC07B7" w:rsidRPr="001E6712" w:rsidRDefault="00AC07B7" w:rsidP="00AC07B7">
      <w:r>
        <w:t xml:space="preserve">What would make his phone and internet more affordable? “There’s that energy and electricity discount payment that gets made once a year or something … </w:t>
      </w:r>
      <w:r w:rsidRPr="00D16347">
        <w:t>If they could do that for low income earners with telephones too, the telephon</w:t>
      </w:r>
      <w:r>
        <w:t>e bills, that would be amazing”.</w:t>
      </w:r>
    </w:p>
    <w:p w14:paraId="5E9FC554" w14:textId="77777777" w:rsidR="00F13BF4" w:rsidRPr="00F13BF4" w:rsidRDefault="00F13BF4" w:rsidP="00F13BF4">
      <w:pPr>
        <w:rPr>
          <w:lang w:val="en-US"/>
        </w:rPr>
      </w:pPr>
    </w:p>
    <w:bookmarkEnd w:id="73"/>
    <w:p w14:paraId="314F21B1" w14:textId="3B009E21" w:rsidR="005923F7" w:rsidRDefault="00CB3B59" w:rsidP="005923F7">
      <w:pPr>
        <w:pStyle w:val="Heading2"/>
      </w:pPr>
      <w:r>
        <w:br w:type="page"/>
      </w:r>
      <w:bookmarkStart w:id="75" w:name="_Toc42719042"/>
      <w:r w:rsidR="005923F7">
        <w:lastRenderedPageBreak/>
        <w:t>Seeking Help</w:t>
      </w:r>
      <w:bookmarkEnd w:id="74"/>
      <w:bookmarkEnd w:id="75"/>
    </w:p>
    <w:p w14:paraId="43CC4D8E" w14:textId="3E81C706" w:rsidR="005923F7" w:rsidRDefault="00AA68E5" w:rsidP="00425DBD">
      <w:pPr>
        <w:rPr>
          <w:lang w:eastAsia="en-AU"/>
        </w:rPr>
      </w:pPr>
      <w:r>
        <w:rPr>
          <w:lang w:eastAsia="en-AU"/>
        </w:rPr>
        <w:t xml:space="preserve">Survey participants were asked </w:t>
      </w:r>
      <w:r w:rsidR="00425DBD">
        <w:rPr>
          <w:lang w:eastAsia="en-AU"/>
        </w:rPr>
        <w:t xml:space="preserve">to select from a range of options as to what they would </w:t>
      </w:r>
      <w:r>
        <w:rPr>
          <w:lang w:eastAsia="en-AU"/>
        </w:rPr>
        <w:t xml:space="preserve">(hypothetically) </w:t>
      </w:r>
      <w:r w:rsidR="00425DBD">
        <w:rPr>
          <w:lang w:eastAsia="en-AU"/>
        </w:rPr>
        <w:t xml:space="preserve">do </w:t>
      </w:r>
      <w:r>
        <w:rPr>
          <w:lang w:eastAsia="en-AU"/>
        </w:rPr>
        <w:t>if they were having trouble paying their bills</w:t>
      </w:r>
      <w:r w:rsidR="00425DBD">
        <w:rPr>
          <w:lang w:eastAsia="en-AU"/>
        </w:rPr>
        <w:t xml:space="preserve">. This was viewed as important both in terms of relationships with retailers and the design of hardship policies, but also because of the figures in the ABS data which showed a particularly low rate of waged poor households seeking help from welfare or community organisations. The survey results are in Figure </w:t>
      </w:r>
      <w:r w:rsidR="003E799B">
        <w:rPr>
          <w:lang w:eastAsia="en-AU"/>
        </w:rPr>
        <w:t>14</w:t>
      </w:r>
      <w:r w:rsidR="00425DBD">
        <w:rPr>
          <w:lang w:eastAsia="en-AU"/>
        </w:rPr>
        <w:t xml:space="preserve"> below, with </w:t>
      </w:r>
      <w:r w:rsidR="005923F7" w:rsidRPr="00634958">
        <w:rPr>
          <w:lang w:eastAsia="en-AU"/>
        </w:rPr>
        <w:t>46% of</w:t>
      </w:r>
      <w:r w:rsidR="005923F7">
        <w:rPr>
          <w:lang w:eastAsia="en-AU"/>
        </w:rPr>
        <w:t xml:space="preserve"> respondents sa</w:t>
      </w:r>
      <w:r w:rsidR="00425DBD">
        <w:rPr>
          <w:lang w:eastAsia="en-AU"/>
        </w:rPr>
        <w:t>ying</w:t>
      </w:r>
      <w:r w:rsidR="005923F7">
        <w:rPr>
          <w:lang w:eastAsia="en-AU"/>
        </w:rPr>
        <w:t xml:space="preserve"> that they would approach the service provider</w:t>
      </w:r>
      <w:r w:rsidR="005A16CC">
        <w:rPr>
          <w:lang w:eastAsia="en-AU"/>
        </w:rPr>
        <w:t>, but o</w:t>
      </w:r>
      <w:r w:rsidR="005923F7" w:rsidRPr="00634958">
        <w:rPr>
          <w:lang w:eastAsia="en-AU"/>
        </w:rPr>
        <w:t>nly 7.2%</w:t>
      </w:r>
      <w:r w:rsidR="005923F7">
        <w:rPr>
          <w:lang w:eastAsia="en-AU"/>
        </w:rPr>
        <w:t xml:space="preserve"> </w:t>
      </w:r>
      <w:r w:rsidR="005A16CC">
        <w:rPr>
          <w:lang w:eastAsia="en-AU"/>
        </w:rPr>
        <w:t>being willing to</w:t>
      </w:r>
      <w:r w:rsidR="005923F7">
        <w:rPr>
          <w:lang w:eastAsia="en-AU"/>
        </w:rPr>
        <w:t xml:space="preserve"> approach a charity or welfare organisation. </w:t>
      </w:r>
    </w:p>
    <w:p w14:paraId="07925769" w14:textId="68994F99" w:rsidR="003E799B" w:rsidRDefault="003E799B" w:rsidP="003E799B">
      <w:pPr>
        <w:pStyle w:val="Caption"/>
      </w:pPr>
      <w:bookmarkStart w:id="76" w:name="_Toc37776835"/>
      <w:bookmarkStart w:id="77" w:name="_Toc41920125"/>
      <w:r>
        <w:t xml:space="preserve">Figure </w:t>
      </w:r>
      <w:fldSimple w:instr=" SEQ Figure \* ARABIC ">
        <w:r>
          <w:rPr>
            <w:noProof/>
          </w:rPr>
          <w:t>14</w:t>
        </w:r>
      </w:fldSimple>
      <w:r>
        <w:t>: Respondents' Strategies if in Payment Difficulty</w:t>
      </w:r>
      <w:bookmarkEnd w:id="76"/>
      <w:bookmarkEnd w:id="77"/>
    </w:p>
    <w:p w14:paraId="0FC81AA7" w14:textId="6D2A7DD7" w:rsidR="005923F7" w:rsidRDefault="00CB43E1" w:rsidP="005923F7">
      <w:pPr>
        <w:rPr>
          <w:lang w:eastAsia="en-AU"/>
        </w:rPr>
      </w:pPr>
      <w:r>
        <w:rPr>
          <w:noProof/>
          <w:lang w:eastAsia="en-AU"/>
        </w:rPr>
        <w:drawing>
          <wp:inline distT="0" distB="0" distL="0" distR="0" wp14:anchorId="2EE5EC39" wp14:editId="6F7EC3CD">
            <wp:extent cx="5732145" cy="3522345"/>
            <wp:effectExtent l="0" t="0" r="0" b="0"/>
            <wp:docPr id="17" name="Chart 4" descr="Title: Strategies if in payment difficulty - Description: Bar chart showing percent of respondents who would use particular strategies if in payment difficulty. The most common was to negotiate a payment plan (46%), followed by (in order) borrow from friends/family, work extra hours, sacrafice another bill, cancel service, sell possessions, avoid/delay payment, loan or credit from bank, approach a charity/NGO, payday lender and something els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E1CACA8" w14:textId="2F910A23" w:rsidR="00AA68E5" w:rsidRDefault="00AA68E5" w:rsidP="00425DBD">
      <w:pPr>
        <w:pStyle w:val="Heading3"/>
      </w:pPr>
      <w:bookmarkStart w:id="78" w:name="_Toc42719043"/>
      <w:r>
        <w:t>Telco Retailers</w:t>
      </w:r>
      <w:bookmarkEnd w:id="78"/>
    </w:p>
    <w:p w14:paraId="1FE9BC93" w14:textId="6C3FBCBF" w:rsidR="00425DBD" w:rsidRDefault="005A16CC" w:rsidP="00AA68E5">
      <w:pPr>
        <w:rPr>
          <w:lang w:eastAsia="en-AU"/>
        </w:rPr>
      </w:pPr>
      <w:r>
        <w:rPr>
          <w:lang w:eastAsia="en-AU"/>
        </w:rPr>
        <w:t>As evident above, approaching telecommunications retail service providers was the most popular strategy for the survey participants</w:t>
      </w:r>
      <w:r w:rsidR="00B80AE3">
        <w:rPr>
          <w:lang w:eastAsia="en-AU"/>
        </w:rPr>
        <w:t xml:space="preserve">. While this is encouraging, the data still suggests that just over half of survey respondents would not approach their retailer. This is a concern to welfare and consumer advocates, but it will also be of concern to the retailers in terms of customer relations and </w:t>
      </w:r>
      <w:r w:rsidR="00B24F84">
        <w:rPr>
          <w:lang w:eastAsia="en-AU"/>
        </w:rPr>
        <w:t>straight business interest given that</w:t>
      </w:r>
      <w:r w:rsidR="00B80AE3">
        <w:rPr>
          <w:lang w:eastAsia="en-AU"/>
        </w:rPr>
        <w:t xml:space="preserve"> 19% </w:t>
      </w:r>
      <w:r w:rsidR="00B24F84">
        <w:rPr>
          <w:lang w:eastAsia="en-AU"/>
        </w:rPr>
        <w:t xml:space="preserve">of respondents </w:t>
      </w:r>
      <w:r w:rsidR="00B80AE3">
        <w:rPr>
          <w:lang w:eastAsia="en-AU"/>
        </w:rPr>
        <w:t>sa</w:t>
      </w:r>
      <w:r w:rsidR="00B24F84">
        <w:rPr>
          <w:lang w:eastAsia="en-AU"/>
        </w:rPr>
        <w:t>id</w:t>
      </w:r>
      <w:r w:rsidR="00B80AE3">
        <w:rPr>
          <w:lang w:eastAsia="en-AU"/>
        </w:rPr>
        <w:t xml:space="preserve"> they would cancel the service and 14% </w:t>
      </w:r>
      <w:r w:rsidR="00B24F84">
        <w:rPr>
          <w:lang w:eastAsia="en-AU"/>
        </w:rPr>
        <w:t>said</w:t>
      </w:r>
      <w:r w:rsidR="00B80AE3">
        <w:rPr>
          <w:lang w:eastAsia="en-AU"/>
        </w:rPr>
        <w:t xml:space="preserve"> they would avoid or delay payment. </w:t>
      </w:r>
    </w:p>
    <w:p w14:paraId="49420E43" w14:textId="2C2198A5" w:rsidR="00AA68E5" w:rsidRPr="0015174F" w:rsidRDefault="00AA68E5" w:rsidP="00AA68E5">
      <w:pPr>
        <w:rPr>
          <w:lang w:eastAsia="en-AU"/>
        </w:rPr>
      </w:pPr>
      <w:r>
        <w:rPr>
          <w:lang w:eastAsia="en-AU"/>
        </w:rPr>
        <w:t xml:space="preserve">Of the 262 respondents (unweighted) who said </w:t>
      </w:r>
      <w:r w:rsidRPr="0015174F">
        <w:rPr>
          <w:lang w:eastAsia="en-AU"/>
        </w:rPr>
        <w:t>they would be unlikely to negotiate with the service provider</w:t>
      </w:r>
      <w:r>
        <w:rPr>
          <w:lang w:eastAsia="en-AU"/>
        </w:rPr>
        <w:t xml:space="preserve"> if in financial difficulty, </w:t>
      </w:r>
      <w:r w:rsidRPr="0015174F">
        <w:rPr>
          <w:lang w:eastAsia="en-AU"/>
        </w:rPr>
        <w:t>162 respondents gave specific reasons as to why</w:t>
      </w:r>
      <w:r>
        <w:rPr>
          <w:lang w:eastAsia="en-AU"/>
        </w:rPr>
        <w:t>:</w:t>
      </w:r>
    </w:p>
    <w:p w14:paraId="062A0D5D" w14:textId="586E22F5" w:rsidR="00AA68E5" w:rsidRDefault="00AA68E5" w:rsidP="00AA68E5">
      <w:pPr>
        <w:numPr>
          <w:ilvl w:val="0"/>
          <w:numId w:val="15"/>
        </w:numPr>
        <w:spacing w:after="120" w:line="288" w:lineRule="auto"/>
        <w:ind w:left="714" w:hanging="357"/>
        <w:rPr>
          <w:lang w:eastAsia="en-AU"/>
        </w:rPr>
      </w:pPr>
      <w:r>
        <w:rPr>
          <w:lang w:eastAsia="en-AU"/>
        </w:rPr>
        <w:t>14% said they would not need to</w:t>
      </w:r>
      <w:r w:rsidR="00F00E7B">
        <w:rPr>
          <w:lang w:eastAsia="en-AU"/>
        </w:rPr>
        <w:t xml:space="preserve"> (including for some because they had pre-paid phones so the issue did not arise in the same way)</w:t>
      </w:r>
      <w:r>
        <w:rPr>
          <w:lang w:eastAsia="en-AU"/>
        </w:rPr>
        <w:t>, while a further 7% would just cut down on usage or try for a better plan</w:t>
      </w:r>
      <w:r w:rsidR="00B126B0">
        <w:rPr>
          <w:lang w:eastAsia="en-AU"/>
        </w:rPr>
        <w:t>.</w:t>
      </w:r>
    </w:p>
    <w:p w14:paraId="164F6747" w14:textId="143FE48D" w:rsidR="00AA68E5" w:rsidRPr="0015174F" w:rsidRDefault="00AA68E5" w:rsidP="00AA68E5">
      <w:pPr>
        <w:numPr>
          <w:ilvl w:val="0"/>
          <w:numId w:val="15"/>
        </w:numPr>
        <w:spacing w:after="120" w:line="288" w:lineRule="auto"/>
        <w:ind w:left="714" w:hanging="357"/>
        <w:rPr>
          <w:lang w:eastAsia="en-AU"/>
        </w:rPr>
      </w:pPr>
      <w:r w:rsidRPr="0015174F">
        <w:rPr>
          <w:lang w:eastAsia="en-AU"/>
        </w:rPr>
        <w:lastRenderedPageBreak/>
        <w:t>9% simply did not think it was possible to negotiate with the service provider because prices were fixed or they had signed a contract</w:t>
      </w:r>
      <w:r w:rsidR="00B126B0">
        <w:rPr>
          <w:lang w:eastAsia="en-AU"/>
        </w:rPr>
        <w:t>.</w:t>
      </w:r>
    </w:p>
    <w:p w14:paraId="7F39D4FF" w14:textId="77777777" w:rsidR="00AA68E5" w:rsidRPr="0015174F" w:rsidRDefault="00AA68E5" w:rsidP="00AA68E5">
      <w:pPr>
        <w:numPr>
          <w:ilvl w:val="0"/>
          <w:numId w:val="15"/>
        </w:numPr>
        <w:spacing w:after="120" w:line="288" w:lineRule="auto"/>
        <w:ind w:left="714" w:hanging="357"/>
        <w:rPr>
          <w:lang w:eastAsia="en-AU"/>
        </w:rPr>
      </w:pPr>
      <w:r w:rsidRPr="0015174F">
        <w:rPr>
          <w:lang w:eastAsia="en-AU"/>
        </w:rPr>
        <w:t>27% believed it was theoretically possible</w:t>
      </w:r>
      <w:r>
        <w:rPr>
          <w:lang w:eastAsia="en-AU"/>
        </w:rPr>
        <w:t xml:space="preserve"> to negotiate</w:t>
      </w:r>
      <w:r w:rsidRPr="0015174F">
        <w:rPr>
          <w:lang w:eastAsia="en-AU"/>
        </w:rPr>
        <w:t xml:space="preserve">, but did not think it would help as they did not believe the service provider would do anything or that they would still have to pay in the end anyway. </w:t>
      </w:r>
    </w:p>
    <w:p w14:paraId="68AD4268" w14:textId="308774B9" w:rsidR="00AA68E5" w:rsidRPr="0015174F" w:rsidRDefault="00AA68E5" w:rsidP="00AA68E5">
      <w:pPr>
        <w:numPr>
          <w:ilvl w:val="0"/>
          <w:numId w:val="15"/>
        </w:numPr>
        <w:spacing w:after="120" w:line="288" w:lineRule="auto"/>
        <w:ind w:left="714" w:hanging="357"/>
        <w:rPr>
          <w:lang w:eastAsia="en-AU"/>
        </w:rPr>
      </w:pPr>
      <w:r w:rsidRPr="0015174F">
        <w:rPr>
          <w:lang w:eastAsia="en-AU"/>
        </w:rPr>
        <w:t>9% would not because they did not trust the provider or were afraid of negative consequences such as a bad credit or poor customer rating</w:t>
      </w:r>
      <w:r w:rsidR="00B126B0">
        <w:rPr>
          <w:lang w:eastAsia="en-AU"/>
        </w:rPr>
        <w:t>.</w:t>
      </w:r>
      <w:r w:rsidRPr="0015174F">
        <w:rPr>
          <w:lang w:eastAsia="en-AU"/>
        </w:rPr>
        <w:t xml:space="preserve"> </w:t>
      </w:r>
    </w:p>
    <w:p w14:paraId="59D96EB7" w14:textId="3A3C25EB" w:rsidR="00AA68E5" w:rsidRPr="0015174F" w:rsidRDefault="00AA68E5" w:rsidP="00AA68E5">
      <w:pPr>
        <w:numPr>
          <w:ilvl w:val="0"/>
          <w:numId w:val="15"/>
        </w:numPr>
        <w:spacing w:after="120" w:line="288" w:lineRule="auto"/>
        <w:ind w:left="714" w:hanging="357"/>
        <w:rPr>
          <w:lang w:eastAsia="en-AU"/>
        </w:rPr>
      </w:pPr>
      <w:r w:rsidRPr="0015174F">
        <w:rPr>
          <w:lang w:eastAsia="en-AU"/>
        </w:rPr>
        <w:t xml:space="preserve">11% were put off by perceived hassles of the process, </w:t>
      </w:r>
      <w:r>
        <w:rPr>
          <w:lang w:eastAsia="en-AU"/>
        </w:rPr>
        <w:t>the time it takes or</w:t>
      </w:r>
      <w:r w:rsidRPr="0015174F">
        <w:rPr>
          <w:lang w:eastAsia="en-AU"/>
        </w:rPr>
        <w:t xml:space="preserve"> having to deal with call centres</w:t>
      </w:r>
      <w:r w:rsidR="00B126B0">
        <w:rPr>
          <w:lang w:eastAsia="en-AU"/>
        </w:rPr>
        <w:t>.</w:t>
      </w:r>
    </w:p>
    <w:p w14:paraId="212257CA" w14:textId="1E9F6EC0" w:rsidR="0046697B" w:rsidRDefault="00AA68E5" w:rsidP="00AA68E5">
      <w:pPr>
        <w:rPr>
          <w:lang w:eastAsia="en-AU"/>
        </w:rPr>
      </w:pPr>
      <w:r w:rsidRPr="0015174F">
        <w:rPr>
          <w:lang w:eastAsia="en-AU"/>
        </w:rPr>
        <w:t>In contrast to approaching a charity, only 7% of these respondents reported being put off by fe</w:t>
      </w:r>
      <w:r>
        <w:rPr>
          <w:lang w:eastAsia="en-AU"/>
        </w:rPr>
        <w:t>eling awkward/embarrassed</w:t>
      </w:r>
      <w:r w:rsidR="00B24F84">
        <w:rPr>
          <w:lang w:eastAsia="en-AU"/>
        </w:rPr>
        <w:t xml:space="preserve"> and only a handful </w:t>
      </w:r>
      <w:r w:rsidRPr="0015174F">
        <w:rPr>
          <w:lang w:eastAsia="en-AU"/>
        </w:rPr>
        <w:t>(4%) by pride</w:t>
      </w:r>
      <w:r w:rsidR="0046697B">
        <w:rPr>
          <w:lang w:eastAsia="en-AU"/>
        </w:rPr>
        <w:t xml:space="preserve"> – though these </w:t>
      </w:r>
      <w:r w:rsidR="00DC3BB9">
        <w:rPr>
          <w:lang w:eastAsia="en-AU"/>
        </w:rPr>
        <w:t xml:space="preserve">feelings </w:t>
      </w:r>
      <w:r w:rsidR="0046697B">
        <w:rPr>
          <w:lang w:eastAsia="en-AU"/>
        </w:rPr>
        <w:t xml:space="preserve">were still present, as </w:t>
      </w:r>
      <w:r w:rsidR="004841A1">
        <w:rPr>
          <w:lang w:eastAsia="en-AU"/>
        </w:rPr>
        <w:t>Lena</w:t>
      </w:r>
      <w:r w:rsidR="0046697B">
        <w:rPr>
          <w:lang w:eastAsia="en-AU"/>
        </w:rPr>
        <w:t xml:space="preserve"> said about her experience of not being able to pay her bill:</w:t>
      </w:r>
    </w:p>
    <w:p w14:paraId="26855A26" w14:textId="6438E7EA" w:rsidR="0046697B" w:rsidRDefault="0046697B" w:rsidP="0046697B">
      <w:pPr>
        <w:ind w:left="720"/>
        <w:rPr>
          <w:lang w:eastAsia="en-AU"/>
        </w:rPr>
      </w:pPr>
      <w:r>
        <w:rPr>
          <w:rFonts w:cs="Calibri"/>
          <w:color w:val="000000"/>
        </w:rPr>
        <w:t xml:space="preserve">you feel guilty and you feel incompetent at paying your bills. You know, it's very disgraceful and, disappointing to them too because you feel like you can't afford to pay the bills even if you sign up for it. … </w:t>
      </w:r>
    </w:p>
    <w:p w14:paraId="3A42A584" w14:textId="14D1BF74" w:rsidR="00364F25" w:rsidRDefault="0046697B" w:rsidP="00AA68E5">
      <w:pPr>
        <w:rPr>
          <w:lang w:eastAsia="en-AU"/>
        </w:rPr>
      </w:pPr>
      <w:r>
        <w:rPr>
          <w:lang w:eastAsia="en-AU"/>
        </w:rPr>
        <w:t xml:space="preserve">However, this was an exception in the interviews and she still did </w:t>
      </w:r>
      <w:r w:rsidR="00457668">
        <w:rPr>
          <w:lang w:eastAsia="en-AU"/>
        </w:rPr>
        <w:t xml:space="preserve">reach out </w:t>
      </w:r>
      <w:r>
        <w:rPr>
          <w:lang w:eastAsia="en-AU"/>
        </w:rPr>
        <w:t>to the telecommunications retailer</w:t>
      </w:r>
      <w:r w:rsidR="00364F25">
        <w:rPr>
          <w:lang w:eastAsia="en-AU"/>
        </w:rPr>
        <w:t>. This</w:t>
      </w:r>
      <w:r>
        <w:rPr>
          <w:lang w:eastAsia="en-AU"/>
        </w:rPr>
        <w:t xml:space="preserve"> </w:t>
      </w:r>
      <w:r w:rsidR="00F00E7B">
        <w:rPr>
          <w:lang w:eastAsia="en-AU"/>
        </w:rPr>
        <w:t xml:space="preserve">suggests that, unlike the charities, there are not the same cultural barriers to seeking help and the issues are much more directly within the retailer-customer relationship. </w:t>
      </w:r>
    </w:p>
    <w:p w14:paraId="057941A5" w14:textId="6393DAED" w:rsidR="00AA68E5" w:rsidRDefault="0046697B" w:rsidP="00AA68E5">
      <w:pPr>
        <w:rPr>
          <w:lang w:eastAsia="en-AU"/>
        </w:rPr>
      </w:pPr>
      <w:r>
        <w:rPr>
          <w:lang w:eastAsia="en-AU"/>
        </w:rPr>
        <w:t>That said</w:t>
      </w:r>
      <w:r w:rsidR="00F00E7B">
        <w:rPr>
          <w:lang w:eastAsia="en-AU"/>
        </w:rPr>
        <w:t xml:space="preserve">, there are still issues </w:t>
      </w:r>
      <w:r>
        <w:rPr>
          <w:lang w:eastAsia="en-AU"/>
        </w:rPr>
        <w:t xml:space="preserve">in the data above </w:t>
      </w:r>
      <w:r w:rsidR="00F00E7B">
        <w:rPr>
          <w:lang w:eastAsia="en-AU"/>
        </w:rPr>
        <w:t xml:space="preserve">for retailers to address – including with people who did not think/know that any negotiation was possible (i.e. did not know payment plans were available) or were put off by the perceived hassle. </w:t>
      </w:r>
      <w:r w:rsidR="00F00E7B" w:rsidRPr="009E17C7">
        <w:rPr>
          <w:lang w:eastAsia="en-AU"/>
        </w:rPr>
        <w:t>And</w:t>
      </w:r>
      <w:r w:rsidRPr="009E17C7">
        <w:rPr>
          <w:lang w:eastAsia="en-AU"/>
        </w:rPr>
        <w:t xml:space="preserve">, as will be discussed below, </w:t>
      </w:r>
      <w:r w:rsidR="00F00E7B" w:rsidRPr="009E17C7">
        <w:rPr>
          <w:lang w:eastAsia="en-AU"/>
        </w:rPr>
        <w:t>the qualitative interviews also raised issues about product offerings that would assist but were not available.</w:t>
      </w:r>
    </w:p>
    <w:p w14:paraId="3ADDC63E" w14:textId="6A939063" w:rsidR="00F00E7B" w:rsidRDefault="004811C7" w:rsidP="00AA68E5">
      <w:pPr>
        <w:rPr>
          <w:lang w:eastAsia="en-AU"/>
        </w:rPr>
      </w:pPr>
      <w:r>
        <w:rPr>
          <w:lang w:eastAsia="en-AU"/>
        </w:rPr>
        <w:t>Notwithstanding that</w:t>
      </w:r>
      <w:r w:rsidR="00F00E7B">
        <w:rPr>
          <w:lang w:eastAsia="en-AU"/>
        </w:rPr>
        <w:t>, it was notable that</w:t>
      </w:r>
      <w:r w:rsidR="0046697B">
        <w:rPr>
          <w:lang w:eastAsia="en-AU"/>
        </w:rPr>
        <w:t xml:space="preserve"> most of</w:t>
      </w:r>
      <w:r w:rsidR="00F00E7B">
        <w:rPr>
          <w:lang w:eastAsia="en-AU"/>
        </w:rPr>
        <w:t xml:space="preserve"> the feedback from the qualitative research was very positive about how the retailers had dealt with the interviewees when they had had financial difficulties. </w:t>
      </w:r>
      <w:r w:rsidR="0046697B">
        <w:rPr>
          <w:lang w:eastAsia="en-AU"/>
        </w:rPr>
        <w:t>M</w:t>
      </w:r>
      <w:r w:rsidR="00AD1F3B">
        <w:rPr>
          <w:lang w:eastAsia="en-AU"/>
        </w:rPr>
        <w:t xml:space="preserve">ostly </w:t>
      </w:r>
      <w:r w:rsidR="0046697B">
        <w:rPr>
          <w:lang w:eastAsia="en-AU"/>
        </w:rPr>
        <w:t>the experience seemed to be that a</w:t>
      </w:r>
      <w:r w:rsidR="00AD1F3B">
        <w:rPr>
          <w:lang w:eastAsia="en-AU"/>
        </w:rPr>
        <w:t xml:space="preserve"> short (usually two-week) payment extension</w:t>
      </w:r>
      <w:r w:rsidR="0046697B">
        <w:rPr>
          <w:lang w:eastAsia="en-AU"/>
        </w:rPr>
        <w:t xml:space="preserve"> was obtained</w:t>
      </w:r>
      <w:r w:rsidR="00AD1F3B">
        <w:rPr>
          <w:lang w:eastAsia="en-AU"/>
        </w:rPr>
        <w:t xml:space="preserve"> without question or hassle. One interviewee favourably described being able to apply for an extension of time through the company app so she did not even have to ring the retailer</w:t>
      </w:r>
      <w:r w:rsidR="00933D86">
        <w:rPr>
          <w:lang w:eastAsia="en-AU"/>
        </w:rPr>
        <w:t>, while another noted a marked improvement over time:</w:t>
      </w:r>
    </w:p>
    <w:p w14:paraId="7AF4290B" w14:textId="7339FF7D" w:rsidR="00933D86" w:rsidRDefault="00933D86" w:rsidP="00933D86">
      <w:pPr>
        <w:ind w:left="720"/>
        <w:rPr>
          <w:lang w:eastAsia="en-AU"/>
        </w:rPr>
      </w:pPr>
      <w:r>
        <w:t xml:space="preserve">At Christmas time I stopped December's payments, so then I was like a month behind and thought I could catch up </w:t>
      </w:r>
      <w:r w:rsidR="009E17C7">
        <w:t xml:space="preserve">… </w:t>
      </w:r>
      <w:r>
        <w:t>I used to pay $150 a month to so am up to $200 a month. … I know a couple of years ago I tried to do that and they said no and they disconnected me. And now they've actually improved that service by allowing you to do what you can to try and get it up there.</w:t>
      </w:r>
      <w:r w:rsidR="009E17C7">
        <w:t xml:space="preserve"> [S</w:t>
      </w:r>
      <w:r w:rsidR="00616C54">
        <w:t>arah</w:t>
      </w:r>
      <w:r w:rsidR="009E17C7">
        <w:t>]</w:t>
      </w:r>
    </w:p>
    <w:p w14:paraId="51744BD9" w14:textId="2AAC85B3" w:rsidR="00013490" w:rsidRDefault="00013490" w:rsidP="00013490">
      <w:pPr>
        <w:tabs>
          <w:tab w:val="left" w:pos="4965"/>
        </w:tabs>
        <w:rPr>
          <w:lang w:eastAsia="en-AU"/>
        </w:rPr>
      </w:pPr>
      <w:r>
        <w:rPr>
          <w:lang w:eastAsia="en-AU"/>
        </w:rPr>
        <w:t>When asked what retailers could do to further assist, several interviewees said (unsurprisingly) they should drop their prices.</w:t>
      </w:r>
      <w:r w:rsidR="004B145A">
        <w:rPr>
          <w:lang w:eastAsia="en-AU"/>
        </w:rPr>
        <w:t xml:space="preserve"> Obviously retailers are operating in a competitive market and internet prices are also underpinned by the wholesale prices of the NBN, but in this context ACCAN’s </w:t>
      </w:r>
      <w:r w:rsidR="00B63835">
        <w:rPr>
          <w:i/>
          <w:iCs/>
          <w:lang w:eastAsia="en-AU"/>
        </w:rPr>
        <w:t xml:space="preserve">No Australian Left Offline </w:t>
      </w:r>
      <w:r w:rsidR="004B145A">
        <w:rPr>
          <w:lang w:eastAsia="en-AU"/>
        </w:rPr>
        <w:t>campaign call for a concessional broadband offering is relevant</w:t>
      </w:r>
      <w:r w:rsidR="00B63835">
        <w:rPr>
          <w:lang w:eastAsia="en-AU"/>
        </w:rPr>
        <w:t xml:space="preserve"> </w:t>
      </w:r>
      <w:r w:rsidR="001B3162">
        <w:rPr>
          <w:lang w:eastAsia="en-AU"/>
        </w:rPr>
        <w:fldChar w:fldCharType="begin"/>
      </w:r>
      <w:r w:rsidR="001B3162">
        <w:rPr>
          <w:lang w:eastAsia="en-AU"/>
        </w:rPr>
        <w:instrText xml:space="preserve"> ADDIN ZOTERO_ITEM CSL_CITATION {"citationID":"HwxqHTXy","properties":{"formattedCitation":"(ACCAN, 2020)","plainCitation":"(ACCAN, 2020)","noteIndex":0},"citationItems":[{"id":97,"uris":["http://zotero.org/groups/2380274/items/BGHI3NV8"],"uri":["http://zotero.org/groups/2380274/items/BGHI3NV8"],"itemData":{"id":97,"type":"webpage","container-title":"Australian Communications Consumer Action Network","title":"No Australian Left Offline: A Roadmap to Affordable Home Broadband for All","URL":"https://accan.org.au/no-australian-left-offline","author":[{"family":"ACCAN","given":""}],"accessed":{"date-parts":[["2020",5,31]]},"issued":{"date-parts":[["2020"]]}}}],"schema":"https://github.com/citation-style-language/schema/raw/master/csl-citation.json"} </w:instrText>
      </w:r>
      <w:r w:rsidR="001B3162">
        <w:rPr>
          <w:lang w:eastAsia="en-AU"/>
        </w:rPr>
        <w:fldChar w:fldCharType="separate"/>
      </w:r>
      <w:r w:rsidR="001B3162" w:rsidRPr="001B3162">
        <w:rPr>
          <w:rFonts w:cs="Calibri"/>
        </w:rPr>
        <w:t>(ACCAN, 2020)</w:t>
      </w:r>
      <w:r w:rsidR="001B3162">
        <w:rPr>
          <w:lang w:eastAsia="en-AU"/>
        </w:rPr>
        <w:fldChar w:fldCharType="end"/>
      </w:r>
      <w:r w:rsidR="004B145A">
        <w:rPr>
          <w:lang w:eastAsia="en-AU"/>
        </w:rPr>
        <w:t>. As one interviewee said</w:t>
      </w:r>
      <w:r w:rsidR="00FA2269">
        <w:rPr>
          <w:lang w:eastAsia="en-AU"/>
        </w:rPr>
        <w:t>:</w:t>
      </w:r>
    </w:p>
    <w:p w14:paraId="48FA7B15" w14:textId="3884B870" w:rsidR="00532125" w:rsidRDefault="00532125" w:rsidP="00532125">
      <w:pPr>
        <w:spacing w:before="80"/>
        <w:ind w:left="720"/>
        <w:rPr>
          <w:rFonts w:cs="Calibri"/>
          <w:color w:val="000000"/>
        </w:rPr>
      </w:pPr>
      <w:r>
        <w:rPr>
          <w:rFonts w:cs="Calibri"/>
          <w:color w:val="000000"/>
        </w:rPr>
        <w:lastRenderedPageBreak/>
        <w:t>there's that energy and electricity discount payment that gets made once a year or something if you register … If they could do that for low income earners with telephones too</w:t>
      </w:r>
      <w:r w:rsidR="00061996">
        <w:rPr>
          <w:rFonts w:cs="Calibri"/>
          <w:color w:val="000000"/>
        </w:rPr>
        <w:t>,</w:t>
      </w:r>
      <w:r>
        <w:rPr>
          <w:rFonts w:cs="Calibri"/>
          <w:color w:val="000000"/>
        </w:rPr>
        <w:t xml:space="preserve"> that would be amazing. They do it for electricity and gas, so it would be great if there was a setup for low income earners across the board for whatever essential house needs they have. I believe if you've got a mobile phone or a home phone, that's an essential need. </w:t>
      </w:r>
      <w:r w:rsidR="00025DBF">
        <w:rPr>
          <w:rFonts w:cs="Calibri"/>
          <w:color w:val="000000"/>
        </w:rPr>
        <w:t>[Stephen]</w:t>
      </w:r>
    </w:p>
    <w:p w14:paraId="64C1B416" w14:textId="3F236299" w:rsidR="00013490" w:rsidRDefault="004B145A" w:rsidP="00013490">
      <w:pPr>
        <w:tabs>
          <w:tab w:val="left" w:pos="4965"/>
        </w:tabs>
        <w:rPr>
          <w:lang w:eastAsia="en-AU"/>
        </w:rPr>
      </w:pPr>
      <w:r>
        <w:rPr>
          <w:lang w:eastAsia="en-AU"/>
        </w:rPr>
        <w:t xml:space="preserve">He was largely a mobile </w:t>
      </w:r>
      <w:r w:rsidR="008B0030">
        <w:rPr>
          <w:lang w:eastAsia="en-AU"/>
        </w:rPr>
        <w:t xml:space="preserve">phone </w:t>
      </w:r>
      <w:r>
        <w:rPr>
          <w:lang w:eastAsia="en-AU"/>
        </w:rPr>
        <w:t>user who had only just taken up NBN</w:t>
      </w:r>
      <w:r w:rsidR="00603F84">
        <w:rPr>
          <w:lang w:eastAsia="en-AU"/>
        </w:rPr>
        <w:t xml:space="preserve"> at home</w:t>
      </w:r>
      <w:r w:rsidR="008B0030">
        <w:rPr>
          <w:lang w:eastAsia="en-AU"/>
        </w:rPr>
        <w:t xml:space="preserve"> (hence his phone focus)</w:t>
      </w:r>
      <w:r w:rsidR="00603F84">
        <w:rPr>
          <w:lang w:eastAsia="en-AU"/>
        </w:rPr>
        <w:t>, but the principle is the same</w:t>
      </w:r>
      <w:r w:rsidR="008B0030">
        <w:rPr>
          <w:lang w:eastAsia="en-AU"/>
        </w:rPr>
        <w:t xml:space="preserve"> for NBN</w:t>
      </w:r>
      <w:r w:rsidR="00174E1E">
        <w:rPr>
          <w:lang w:eastAsia="en-AU"/>
        </w:rPr>
        <w:t>. It would also be</w:t>
      </w:r>
      <w:r w:rsidR="00603F84">
        <w:rPr>
          <w:lang w:eastAsia="en-AU"/>
        </w:rPr>
        <w:t xml:space="preserve"> important that any telecommunications concession </w:t>
      </w:r>
      <w:r w:rsidR="00174E1E">
        <w:rPr>
          <w:lang w:eastAsia="en-AU"/>
        </w:rPr>
        <w:t>be</w:t>
      </w:r>
      <w:r w:rsidR="00603F84">
        <w:rPr>
          <w:lang w:eastAsia="en-AU"/>
        </w:rPr>
        <w:t xml:space="preserve"> </w:t>
      </w:r>
      <w:r w:rsidR="00061996">
        <w:rPr>
          <w:lang w:eastAsia="en-AU"/>
        </w:rPr>
        <w:t xml:space="preserve">made </w:t>
      </w:r>
      <w:r w:rsidR="00603F84">
        <w:rPr>
          <w:lang w:eastAsia="en-AU"/>
        </w:rPr>
        <w:t xml:space="preserve">available to waged poor households. This is not the case with the current Centrelink Telephone Allowance – which is limited to certain Centrelink </w:t>
      </w:r>
      <w:r w:rsidR="00174E1E">
        <w:rPr>
          <w:lang w:eastAsia="en-AU"/>
        </w:rPr>
        <w:t>recipients</w:t>
      </w:r>
      <w:r w:rsidR="00603F84">
        <w:rPr>
          <w:lang w:eastAsia="en-AU"/>
        </w:rPr>
        <w:t xml:space="preserve"> (and is inadequate to meet telecommunications needs anyway)</w:t>
      </w:r>
      <w:r w:rsidR="001B3162">
        <w:rPr>
          <w:lang w:eastAsia="en-AU"/>
        </w:rPr>
        <w:fldChar w:fldCharType="begin"/>
      </w:r>
      <w:r w:rsidR="001B3162">
        <w:rPr>
          <w:lang w:eastAsia="en-AU"/>
        </w:rPr>
        <w:instrText xml:space="preserve"> ADDIN ZOTERO_ITEM CSL_CITATION {"citationID":"r64Ej0Ir","properties":{"formattedCitation":"(Ogle and Musolino, 2016)","plainCitation":"(Ogle and Musolino, 2016)","noteIndex":0},"citationItems":[{"id":42,"uris":["http://zotero.org/groups/2380274/items/YQCAJU4B"],"uri":["http://zotero.org/groups/2380274/items/YQCAJU4B"],"itemData":{"id":42,"type":"report","event-place":"Adelaide","publisher":"South Australian Council of Social Service","publisher-place":"Adelaide","title":"Connectivity Costs: Telecommunications Affordability for Low Income Australians","author":[{"family":"Ogle","given":"Greg"},{"family":"Musolino","given":"Vanessa"}],"issued":{"date-parts":[["2016"]]}}}],"schema":"https://github.com/citation-style-language/schema/raw/master/csl-citation.json"} </w:instrText>
      </w:r>
      <w:r w:rsidR="001B3162">
        <w:rPr>
          <w:lang w:eastAsia="en-AU"/>
        </w:rPr>
        <w:fldChar w:fldCharType="separate"/>
      </w:r>
      <w:r w:rsidR="001B3162" w:rsidRPr="001B3162">
        <w:rPr>
          <w:rFonts w:cs="Calibri"/>
        </w:rPr>
        <w:t>(Ogle and Musolino, 2016)</w:t>
      </w:r>
      <w:r w:rsidR="001B3162">
        <w:rPr>
          <w:lang w:eastAsia="en-AU"/>
        </w:rPr>
        <w:fldChar w:fldCharType="end"/>
      </w:r>
      <w:r w:rsidR="00603F84">
        <w:rPr>
          <w:lang w:eastAsia="en-AU"/>
        </w:rPr>
        <w:t xml:space="preserve">. </w:t>
      </w:r>
      <w:r w:rsidR="00532125">
        <w:rPr>
          <w:lang w:eastAsia="en-AU"/>
        </w:rPr>
        <w:t xml:space="preserve">Further, such </w:t>
      </w:r>
      <w:r w:rsidR="00174E1E">
        <w:rPr>
          <w:lang w:eastAsia="en-AU"/>
        </w:rPr>
        <w:t xml:space="preserve">a telecommunication </w:t>
      </w:r>
      <w:r w:rsidR="00532125">
        <w:rPr>
          <w:lang w:eastAsia="en-AU"/>
        </w:rPr>
        <w:t xml:space="preserve">concession may be </w:t>
      </w:r>
      <w:r w:rsidR="00532125">
        <w:rPr>
          <w:i/>
          <w:iCs/>
          <w:lang w:eastAsia="en-AU"/>
        </w:rPr>
        <w:t>particularly</w:t>
      </w:r>
      <w:r w:rsidR="00532125">
        <w:rPr>
          <w:lang w:eastAsia="en-AU"/>
        </w:rPr>
        <w:t xml:space="preserve"> needed for waged poor households because, as the ABS data cited earlier shows, they are likely to be larger </w:t>
      </w:r>
      <w:r w:rsidR="00174E1E">
        <w:rPr>
          <w:lang w:eastAsia="en-AU"/>
        </w:rPr>
        <w:t xml:space="preserve">households </w:t>
      </w:r>
      <w:r w:rsidR="00532125">
        <w:rPr>
          <w:lang w:eastAsia="en-AU"/>
        </w:rPr>
        <w:t xml:space="preserve">(with higher telecommunications usage) and </w:t>
      </w:r>
      <w:r w:rsidR="00061996">
        <w:rPr>
          <w:lang w:eastAsia="en-AU"/>
        </w:rPr>
        <w:t xml:space="preserve">sometimes </w:t>
      </w:r>
      <w:r w:rsidR="00532125">
        <w:rPr>
          <w:lang w:eastAsia="en-AU"/>
        </w:rPr>
        <w:t>on lower after-housing incomes than some Centrelink recipients.</w:t>
      </w:r>
    </w:p>
    <w:p w14:paraId="4399892D" w14:textId="1D3C1DD7" w:rsidR="000E223C" w:rsidRPr="00532125" w:rsidRDefault="000E223C" w:rsidP="00013490">
      <w:pPr>
        <w:tabs>
          <w:tab w:val="left" w:pos="4965"/>
        </w:tabs>
        <w:rPr>
          <w:lang w:eastAsia="en-AU"/>
        </w:rPr>
      </w:pPr>
      <w:r>
        <w:rPr>
          <w:lang w:eastAsia="en-AU"/>
        </w:rPr>
        <w:t>When the issue of a concessional home broadband was raised at the stakeholder workshop, NBN Co. noted that the take-up of the low income assistance package offered in response to the COVID-19 crisis ($37 off a 25MBS service). That package was warmly welcomed by consumer advocates when announced, but while around 20 retailers signed on</w:t>
      </w:r>
      <w:r w:rsidR="00B126B0">
        <w:rPr>
          <w:lang w:eastAsia="en-AU"/>
        </w:rPr>
        <w:t>,</w:t>
      </w:r>
      <w:r>
        <w:rPr>
          <w:lang w:eastAsia="en-AU"/>
        </w:rPr>
        <w:t xml:space="preserve"> the roll-out took time to implement. Some retailers said </w:t>
      </w:r>
      <w:r w:rsidR="00AE4E47">
        <w:rPr>
          <w:lang w:eastAsia="en-AU"/>
        </w:rPr>
        <w:t>the changes</w:t>
      </w:r>
      <w:r>
        <w:rPr>
          <w:lang w:eastAsia="en-AU"/>
        </w:rPr>
        <w:t xml:space="preserve"> took time to be built into </w:t>
      </w:r>
      <w:r w:rsidR="00AE4E47">
        <w:rPr>
          <w:lang w:eastAsia="en-AU"/>
        </w:rPr>
        <w:t xml:space="preserve">their </w:t>
      </w:r>
      <w:r>
        <w:rPr>
          <w:lang w:eastAsia="en-AU"/>
        </w:rPr>
        <w:t>systems while others noted that lack of other equipment (e.g. routers) also created barriers to uptake.</w:t>
      </w:r>
      <w:r w:rsidR="00AE4E47">
        <w:rPr>
          <w:lang w:eastAsia="en-AU"/>
        </w:rPr>
        <w:t xml:space="preserve"> There clearly needs to be more evaluation of the uptake and roll-out over time, and it may take a long time to fully engage with potentially eligible consumers around discounted offering. Nonetheless, the first step is to set a concessional system in place, and the importance of such offerings to those who do take them up should not be underestimated (even if it is not everyone who is eligible).</w:t>
      </w:r>
    </w:p>
    <w:p w14:paraId="7353D27A" w14:textId="1A938743" w:rsidR="004B145A" w:rsidRDefault="00603F84" w:rsidP="00013490">
      <w:pPr>
        <w:tabs>
          <w:tab w:val="left" w:pos="4965"/>
        </w:tabs>
        <w:rPr>
          <w:b/>
          <w:bCs/>
          <w:lang w:eastAsia="en-AU"/>
        </w:rPr>
      </w:pPr>
      <w:r>
        <w:rPr>
          <w:b/>
          <w:bCs/>
          <w:lang w:eastAsia="en-AU"/>
        </w:rPr>
        <w:t>Recommendation</w:t>
      </w:r>
      <w:r w:rsidR="001B0C76">
        <w:rPr>
          <w:b/>
          <w:bCs/>
          <w:lang w:eastAsia="en-AU"/>
        </w:rPr>
        <w:t xml:space="preserve"> </w:t>
      </w:r>
      <w:r w:rsidR="00ED2247">
        <w:rPr>
          <w:b/>
          <w:bCs/>
          <w:lang w:eastAsia="en-AU"/>
        </w:rPr>
        <w:t>5</w:t>
      </w:r>
    </w:p>
    <w:p w14:paraId="4DA96943" w14:textId="55E4F29E" w:rsidR="00603F84" w:rsidRPr="00603F84" w:rsidRDefault="00603F84" w:rsidP="00013490">
      <w:pPr>
        <w:tabs>
          <w:tab w:val="left" w:pos="4965"/>
        </w:tabs>
        <w:rPr>
          <w:b/>
          <w:bCs/>
          <w:i/>
          <w:iCs/>
          <w:lang w:eastAsia="en-AU"/>
        </w:rPr>
      </w:pPr>
      <w:bookmarkStart w:id="79" w:name="_Hlk41828570"/>
      <w:r>
        <w:rPr>
          <w:b/>
          <w:bCs/>
          <w:i/>
          <w:iCs/>
          <w:lang w:eastAsia="en-AU"/>
        </w:rPr>
        <w:t>That NBN Co. and telecommunications retailers provide a concession on NBN services to households in poverty</w:t>
      </w:r>
      <w:r w:rsidR="00B4678F">
        <w:rPr>
          <w:b/>
          <w:bCs/>
          <w:i/>
          <w:iCs/>
          <w:lang w:eastAsia="en-AU"/>
        </w:rPr>
        <w:t xml:space="preserve"> utilising the receipt of Family Tax Benefit A or a Low</w:t>
      </w:r>
      <w:r w:rsidR="00D64879">
        <w:rPr>
          <w:b/>
          <w:bCs/>
          <w:i/>
          <w:iCs/>
          <w:lang w:eastAsia="en-AU"/>
        </w:rPr>
        <w:t xml:space="preserve"> </w:t>
      </w:r>
      <w:r w:rsidR="00B4678F">
        <w:rPr>
          <w:b/>
          <w:bCs/>
          <w:i/>
          <w:iCs/>
          <w:lang w:eastAsia="en-AU"/>
        </w:rPr>
        <w:t xml:space="preserve">Income Health Care Card as the eligibility criteria to </w:t>
      </w:r>
      <w:r>
        <w:rPr>
          <w:b/>
          <w:bCs/>
          <w:i/>
          <w:iCs/>
          <w:lang w:eastAsia="en-AU"/>
        </w:rPr>
        <w:t>ensur</w:t>
      </w:r>
      <w:r w:rsidR="00B4678F">
        <w:rPr>
          <w:b/>
          <w:bCs/>
          <w:i/>
          <w:iCs/>
          <w:lang w:eastAsia="en-AU"/>
        </w:rPr>
        <w:t xml:space="preserve">e </w:t>
      </w:r>
      <w:r>
        <w:rPr>
          <w:b/>
          <w:bCs/>
          <w:i/>
          <w:iCs/>
          <w:lang w:eastAsia="en-AU"/>
        </w:rPr>
        <w:t>that waged poor households are included.</w:t>
      </w:r>
    </w:p>
    <w:bookmarkEnd w:id="79"/>
    <w:p w14:paraId="6026A4F9" w14:textId="31C8E238" w:rsidR="00623070" w:rsidRDefault="00013490" w:rsidP="00013490">
      <w:pPr>
        <w:tabs>
          <w:tab w:val="left" w:pos="4965"/>
        </w:tabs>
        <w:rPr>
          <w:lang w:eastAsia="en-AU"/>
        </w:rPr>
      </w:pPr>
      <w:r>
        <w:rPr>
          <w:lang w:eastAsia="en-AU"/>
        </w:rPr>
        <w:t>Two interviewees also highlighted a need for a more flexible product which adjusted to their variable incomes. Essentially, they were looking for a plan where they could adjust the amount of data to match their available money so that, for instance, in a month where they knew they had little income they could drop back from say a 30GB mobile plan to 5GB plan.</w:t>
      </w:r>
    </w:p>
    <w:p w14:paraId="52651F59" w14:textId="5705CC7B" w:rsidR="00623070" w:rsidRDefault="00623070" w:rsidP="00623070">
      <w:pPr>
        <w:tabs>
          <w:tab w:val="left" w:pos="4965"/>
        </w:tabs>
        <w:ind w:left="720"/>
        <w:rPr>
          <w:lang w:eastAsia="en-AU"/>
        </w:rPr>
      </w:pPr>
      <w:r>
        <w:t xml:space="preserve">I have got unlimited data but if I could just change it to like 20 gig for like a month and then like sort of halve it or something. I don't know if that would work, but… I think </w:t>
      </w:r>
      <w:r w:rsidR="00061996">
        <w:t>you</w:t>
      </w:r>
      <w:r>
        <w:t xml:space="preserve"> should be able to downgrade or upgrade your usage without getting charged a fee for it every time you do it. </w:t>
      </w:r>
      <w:r w:rsidR="00904389">
        <w:t>…</w:t>
      </w:r>
      <w:r>
        <w:t xml:space="preserve"> You're still staying with them so they are still getting your money</w:t>
      </w:r>
      <w:r w:rsidR="00904389">
        <w:t>.</w:t>
      </w:r>
      <w:r w:rsidR="00061996">
        <w:t xml:space="preserve"> [</w:t>
      </w:r>
      <w:r w:rsidR="00616C54">
        <w:t>Sarah</w:t>
      </w:r>
      <w:r w:rsidR="00061996">
        <w:t>]</w:t>
      </w:r>
    </w:p>
    <w:p w14:paraId="44BE05C9" w14:textId="4F4DA787" w:rsidR="00013490" w:rsidRDefault="00013490" w:rsidP="00013490">
      <w:pPr>
        <w:tabs>
          <w:tab w:val="left" w:pos="4965"/>
        </w:tabs>
        <w:rPr>
          <w:lang w:eastAsia="en-AU"/>
        </w:rPr>
      </w:pPr>
      <w:r>
        <w:rPr>
          <w:lang w:eastAsia="en-AU"/>
        </w:rPr>
        <w:t xml:space="preserve">In a sense, some of the interviewees were doing this themselves by using pre-paid plans and then just paying for extra data when money was available. However, in doing this they </w:t>
      </w:r>
      <w:r w:rsidR="00061996">
        <w:rPr>
          <w:lang w:eastAsia="en-AU"/>
        </w:rPr>
        <w:t>may be</w:t>
      </w:r>
      <w:r>
        <w:rPr>
          <w:lang w:eastAsia="en-AU"/>
        </w:rPr>
        <w:t xml:space="preserve"> paying premiums in higher unit prices for data – as would th</w:t>
      </w:r>
      <w:r w:rsidR="004B145A">
        <w:rPr>
          <w:lang w:eastAsia="en-AU"/>
        </w:rPr>
        <w:t xml:space="preserve">ose who sought the same result by having a </w:t>
      </w:r>
      <w:r w:rsidR="004B145A">
        <w:rPr>
          <w:lang w:eastAsia="en-AU"/>
        </w:rPr>
        <w:lastRenderedPageBreak/>
        <w:t>low-value post-paid plan and then paying for extra data. What they were seeking was a flexible plan that matched their variable income.</w:t>
      </w:r>
    </w:p>
    <w:p w14:paraId="12371E37" w14:textId="660C4C02" w:rsidR="00102DF8" w:rsidRDefault="00102DF8" w:rsidP="00102DF8">
      <w:pPr>
        <w:tabs>
          <w:tab w:val="left" w:pos="4965"/>
        </w:tabs>
        <w:rPr>
          <w:lang w:eastAsia="en-AU"/>
        </w:rPr>
      </w:pPr>
      <w:r>
        <w:rPr>
          <w:lang w:eastAsia="en-AU"/>
        </w:rPr>
        <w:t xml:space="preserve">For its part, the Telecommunications Consumer Protections Code </w:t>
      </w:r>
      <w:r w:rsidR="00C26FED">
        <w:rPr>
          <w:lang w:eastAsia="en-AU"/>
        </w:rPr>
        <w:t xml:space="preserve">(TCP) </w:t>
      </w:r>
      <w:r>
        <w:rPr>
          <w:lang w:eastAsia="en-AU"/>
        </w:rPr>
        <w:t xml:space="preserve">envisages a similar flexibility in proposing (at s7.2.2(a)) that low cost interim options might be provided for customers in hardship until they can continue their original plan </w:t>
      </w:r>
      <w:r>
        <w:rPr>
          <w:lang w:eastAsia="en-AU"/>
        </w:rPr>
        <w:fldChar w:fldCharType="begin"/>
      </w:r>
      <w:r w:rsidR="003F439A">
        <w:rPr>
          <w:lang w:eastAsia="en-AU"/>
        </w:rPr>
        <w:instrText xml:space="preserve"> ADDIN ZOTERO_ITEM CSL_CITATION {"citationID":"g7A7e4rC","properties":{"formattedCitation":"(Communications Alliance, 2019)","plainCitation":"(Communications Alliance, 2019)","noteIndex":0},"citationItems":[{"id":98,"uris":["http://zotero.org/groups/2380274/items/2QVN9RRF"],"uri":["http://zotero.org/groups/2380274/items/2QVN9RRF"],"itemData":{"id":98,"type":"article","publisher":"Communications Alliance","title":"Telecommunciations Consumer Protections Code: C628: 2019","title-short":"TCP Code","URL":"https://www.commsalliance.com.au/__data/assets/pdf_file/0011/64784/TCP-C628_2019.pdf","author":[{"family":"Communications Alliance","given":""}],"issued":{"date-parts":[["2019"]]}}}],"schema":"https://github.com/citation-style-language/schema/raw/master/csl-citation.json"} </w:instrText>
      </w:r>
      <w:r>
        <w:rPr>
          <w:lang w:eastAsia="en-AU"/>
        </w:rPr>
        <w:fldChar w:fldCharType="separate"/>
      </w:r>
      <w:r w:rsidRPr="00102DF8">
        <w:rPr>
          <w:rFonts w:cs="Calibri"/>
        </w:rPr>
        <w:t>(Communications Alliance, 2019)</w:t>
      </w:r>
      <w:r>
        <w:rPr>
          <w:lang w:eastAsia="en-AU"/>
        </w:rPr>
        <w:fldChar w:fldCharType="end"/>
      </w:r>
      <w:r>
        <w:rPr>
          <w:lang w:eastAsia="en-AU"/>
        </w:rPr>
        <w:t>. However, this is not mandatory (it is one of five options where retailers are required to offer three of the five</w:t>
      </w:r>
      <w:r w:rsidR="00926823">
        <w:rPr>
          <w:lang w:eastAsia="en-AU"/>
        </w:rPr>
        <w:t xml:space="preserve"> options</w:t>
      </w:r>
      <w:r>
        <w:rPr>
          <w:lang w:eastAsia="en-AU"/>
        </w:rPr>
        <w:t>) and</w:t>
      </w:r>
      <w:r w:rsidRPr="00102DF8">
        <w:rPr>
          <w:lang w:eastAsia="en-AU"/>
        </w:rPr>
        <w:t xml:space="preserve"> </w:t>
      </w:r>
      <w:r w:rsidR="002275B7">
        <w:rPr>
          <w:lang w:eastAsia="en-AU"/>
        </w:rPr>
        <w:t xml:space="preserve">importantly, it </w:t>
      </w:r>
      <w:r>
        <w:rPr>
          <w:lang w:eastAsia="en-AU"/>
        </w:rPr>
        <w:t xml:space="preserve">is for when a customer is already in hardship, rather than </w:t>
      </w:r>
      <w:r w:rsidR="002275B7">
        <w:rPr>
          <w:lang w:eastAsia="en-AU"/>
        </w:rPr>
        <w:t xml:space="preserve">being </w:t>
      </w:r>
      <w:r>
        <w:rPr>
          <w:lang w:eastAsia="en-AU"/>
        </w:rPr>
        <w:t>a part of a standard market offering.</w:t>
      </w:r>
    </w:p>
    <w:p w14:paraId="67272744" w14:textId="316428BF" w:rsidR="007A281B" w:rsidRDefault="001B3162" w:rsidP="00013490">
      <w:pPr>
        <w:tabs>
          <w:tab w:val="left" w:pos="4965"/>
        </w:tabs>
        <w:rPr>
          <w:lang w:eastAsia="en-AU"/>
        </w:rPr>
      </w:pPr>
      <w:r>
        <w:rPr>
          <w:lang w:eastAsia="en-AU"/>
        </w:rPr>
        <w:t>When th</w:t>
      </w:r>
      <w:r w:rsidR="00102DF8">
        <w:rPr>
          <w:lang w:eastAsia="en-AU"/>
        </w:rPr>
        <w:t xml:space="preserve">e issue of flexibility </w:t>
      </w:r>
      <w:r w:rsidR="002275B7">
        <w:rPr>
          <w:lang w:eastAsia="en-AU"/>
        </w:rPr>
        <w:t xml:space="preserve">of </w:t>
      </w:r>
      <w:r w:rsidR="00102DF8">
        <w:rPr>
          <w:lang w:eastAsia="en-AU"/>
        </w:rPr>
        <w:t>products</w:t>
      </w:r>
      <w:r>
        <w:rPr>
          <w:lang w:eastAsia="en-AU"/>
        </w:rPr>
        <w:t xml:space="preserve"> was raised at the stakeholder roundtable, </w:t>
      </w:r>
      <w:r w:rsidR="00AA490B">
        <w:rPr>
          <w:lang w:eastAsia="en-AU"/>
        </w:rPr>
        <w:t>it was noted that there ha</w:t>
      </w:r>
      <w:r w:rsidR="002275B7">
        <w:rPr>
          <w:lang w:eastAsia="en-AU"/>
        </w:rPr>
        <w:t>ve</w:t>
      </w:r>
      <w:r w:rsidR="00AA490B">
        <w:rPr>
          <w:lang w:eastAsia="en-AU"/>
        </w:rPr>
        <w:t xml:space="preserve"> been changes in the market in recent years and many </w:t>
      </w:r>
      <w:r w:rsidR="002275B7">
        <w:rPr>
          <w:lang w:eastAsia="en-AU"/>
        </w:rPr>
        <w:t xml:space="preserve">current </w:t>
      </w:r>
      <w:r w:rsidR="00AA490B">
        <w:rPr>
          <w:lang w:eastAsia="en-AU"/>
        </w:rPr>
        <w:t>retail plans are flexible</w:t>
      </w:r>
      <w:r w:rsidR="002275B7">
        <w:rPr>
          <w:lang w:eastAsia="en-AU"/>
        </w:rPr>
        <w:t xml:space="preserve"> – either explicitly</w:t>
      </w:r>
      <w:r w:rsidR="00AA490B">
        <w:rPr>
          <w:lang w:eastAsia="en-AU"/>
        </w:rPr>
        <w:t xml:space="preserve"> or </w:t>
      </w:r>
      <w:r w:rsidR="002275B7">
        <w:rPr>
          <w:lang w:eastAsia="en-AU"/>
        </w:rPr>
        <w:t xml:space="preserve">simply because </w:t>
      </w:r>
      <w:r w:rsidR="00AA490B">
        <w:rPr>
          <w:lang w:eastAsia="en-AU"/>
        </w:rPr>
        <w:t xml:space="preserve">no lock-in </w:t>
      </w:r>
      <w:r w:rsidR="002275B7">
        <w:rPr>
          <w:lang w:eastAsia="en-AU"/>
        </w:rPr>
        <w:t xml:space="preserve">provisions mean that in practice they </w:t>
      </w:r>
      <w:r w:rsidR="00AA490B">
        <w:rPr>
          <w:lang w:eastAsia="en-AU"/>
        </w:rPr>
        <w:t xml:space="preserve">can be varied from month to month by the consumer. </w:t>
      </w:r>
      <w:r w:rsidR="002275B7">
        <w:rPr>
          <w:lang w:eastAsia="en-AU"/>
        </w:rPr>
        <w:t>Further, in some cases this could be done by management apps, so there was no need to engage with retailers</w:t>
      </w:r>
      <w:r w:rsidR="007D7918">
        <w:rPr>
          <w:lang w:eastAsia="en-AU"/>
        </w:rPr>
        <w:t>’</w:t>
      </w:r>
      <w:r w:rsidR="002275B7">
        <w:rPr>
          <w:lang w:eastAsia="en-AU"/>
        </w:rPr>
        <w:t xml:space="preserve"> call centres. These are all significant and welcome changes </w:t>
      </w:r>
      <w:r w:rsidR="007A281B">
        <w:rPr>
          <w:lang w:eastAsia="en-AU"/>
        </w:rPr>
        <w:t xml:space="preserve">and where there is flexibility </w:t>
      </w:r>
      <w:r w:rsidR="00926823">
        <w:rPr>
          <w:lang w:eastAsia="en-AU"/>
        </w:rPr>
        <w:t>(</w:t>
      </w:r>
      <w:r w:rsidR="007A281B">
        <w:rPr>
          <w:lang w:eastAsia="en-AU"/>
        </w:rPr>
        <w:t>recognising that not all retail plans have that possibility)</w:t>
      </w:r>
      <w:r w:rsidR="00AA490B">
        <w:rPr>
          <w:lang w:eastAsia="en-AU"/>
        </w:rPr>
        <w:t xml:space="preserve"> the </w:t>
      </w:r>
      <w:r w:rsidR="00926823">
        <w:rPr>
          <w:lang w:eastAsia="en-AU"/>
        </w:rPr>
        <w:t>issue</w:t>
      </w:r>
      <w:r w:rsidR="00AA490B">
        <w:rPr>
          <w:lang w:eastAsia="en-AU"/>
        </w:rPr>
        <w:t xml:space="preserve"> is not so much the market product, but the </w:t>
      </w:r>
      <w:r w:rsidR="002275B7">
        <w:rPr>
          <w:lang w:eastAsia="en-AU"/>
        </w:rPr>
        <w:t xml:space="preserve">consumer </w:t>
      </w:r>
      <w:r w:rsidR="00AA490B">
        <w:rPr>
          <w:lang w:eastAsia="en-AU"/>
        </w:rPr>
        <w:t>awareness of the ability to change</w:t>
      </w:r>
      <w:r w:rsidR="002275B7">
        <w:rPr>
          <w:lang w:eastAsia="en-AU"/>
        </w:rPr>
        <w:t xml:space="preserve">. This is </w:t>
      </w:r>
      <w:r w:rsidR="00AA490B">
        <w:rPr>
          <w:lang w:eastAsia="en-AU"/>
        </w:rPr>
        <w:t>a particular challenge when</w:t>
      </w:r>
      <w:r w:rsidR="002275B7">
        <w:rPr>
          <w:lang w:eastAsia="en-AU"/>
        </w:rPr>
        <w:t>,</w:t>
      </w:r>
      <w:r w:rsidR="00AA490B">
        <w:rPr>
          <w:lang w:eastAsia="en-AU"/>
        </w:rPr>
        <w:t xml:space="preserve"> as the data above shows, half the customers don’t engage with their telecommunications retailer</w:t>
      </w:r>
      <w:r w:rsidR="00BA59A6">
        <w:rPr>
          <w:lang w:eastAsia="en-AU"/>
        </w:rPr>
        <w:t xml:space="preserve"> – and indeed there is a downside to apps making seeking extensions easy because it removes the personal contact with the retailer and the opportunity to identify hardship or better plan options</w:t>
      </w:r>
      <w:r w:rsidR="007A281B">
        <w:rPr>
          <w:lang w:eastAsia="en-AU"/>
        </w:rPr>
        <w:t xml:space="preserve">. Further, </w:t>
      </w:r>
      <w:r w:rsidR="002275B7">
        <w:rPr>
          <w:lang w:eastAsia="en-AU"/>
        </w:rPr>
        <w:t>the</w:t>
      </w:r>
      <w:r w:rsidR="00AA490B">
        <w:rPr>
          <w:lang w:eastAsia="en-AU"/>
        </w:rPr>
        <w:t xml:space="preserve"> strong notion among these consumers that prices were set, they had signed a contract and </w:t>
      </w:r>
      <w:r w:rsidR="002275B7">
        <w:rPr>
          <w:lang w:eastAsia="en-AU"/>
        </w:rPr>
        <w:t xml:space="preserve">they </w:t>
      </w:r>
      <w:r w:rsidR="00AA490B">
        <w:rPr>
          <w:lang w:eastAsia="en-AU"/>
        </w:rPr>
        <w:t>would meet their end of the bargain mitigates</w:t>
      </w:r>
      <w:r w:rsidR="007A281B">
        <w:rPr>
          <w:lang w:eastAsia="en-AU"/>
        </w:rPr>
        <w:t xml:space="preserve"> against such negotiation</w:t>
      </w:r>
      <w:r w:rsidR="00AA490B">
        <w:rPr>
          <w:lang w:eastAsia="en-AU"/>
        </w:rPr>
        <w:t>.</w:t>
      </w:r>
      <w:r w:rsidR="002275B7">
        <w:rPr>
          <w:lang w:eastAsia="en-AU"/>
        </w:rPr>
        <w:t xml:space="preserve"> </w:t>
      </w:r>
    </w:p>
    <w:p w14:paraId="4A3E2078" w14:textId="00CCDF44" w:rsidR="001B3162" w:rsidRDefault="007A281B" w:rsidP="00013490">
      <w:pPr>
        <w:tabs>
          <w:tab w:val="left" w:pos="4965"/>
        </w:tabs>
        <w:rPr>
          <w:lang w:eastAsia="en-AU"/>
        </w:rPr>
      </w:pPr>
      <w:r>
        <w:rPr>
          <w:lang w:eastAsia="en-AU"/>
        </w:rPr>
        <w:t>Importantly, all these flexible options still</w:t>
      </w:r>
      <w:r w:rsidR="002275B7">
        <w:rPr>
          <w:lang w:eastAsia="en-AU"/>
        </w:rPr>
        <w:t xml:space="preserve"> put the onus on the customer to </w:t>
      </w:r>
      <w:r>
        <w:rPr>
          <w:lang w:eastAsia="en-AU"/>
        </w:rPr>
        <w:t xml:space="preserve">know they can change their contract, </w:t>
      </w:r>
      <w:r w:rsidR="002275B7">
        <w:rPr>
          <w:lang w:eastAsia="en-AU"/>
        </w:rPr>
        <w:t>anticipate demand and proactively engage each month to vary their data limits or plan</w:t>
      </w:r>
      <w:r>
        <w:rPr>
          <w:lang w:eastAsia="en-AU"/>
        </w:rPr>
        <w:t xml:space="preserve">. This is the fictitious “all-knowing, rational consumer” </w:t>
      </w:r>
      <w:r w:rsidR="00926823">
        <w:rPr>
          <w:lang w:eastAsia="en-AU"/>
        </w:rPr>
        <w:t xml:space="preserve">writ large, </w:t>
      </w:r>
      <w:r>
        <w:rPr>
          <w:lang w:eastAsia="en-AU"/>
        </w:rPr>
        <w:t xml:space="preserve">when the reality for many waged poor households is that they </w:t>
      </w:r>
      <w:r w:rsidR="002275B7">
        <w:rPr>
          <w:lang w:eastAsia="en-AU"/>
        </w:rPr>
        <w:t>may simply be too busy, too stressed or lack the digital literacy to understand or anticipate data requirements.</w:t>
      </w:r>
      <w:r>
        <w:rPr>
          <w:lang w:eastAsia="en-AU"/>
        </w:rPr>
        <w:t xml:space="preserve"> In that sense, there is a contradiction between the desire to “set-and-forget” (and the statements of many of the interviewees that the telecommunications bill was easier to pay because it was regular and a known amount), and the desire for a flexible product.</w:t>
      </w:r>
      <w:r w:rsidR="00AE4E47">
        <w:rPr>
          <w:lang w:eastAsia="en-AU"/>
        </w:rPr>
        <w:t xml:space="preserve"> However, we are still a long way from some of the proactive intervention requirements required of energy retailers under the </w:t>
      </w:r>
      <w:r w:rsidR="00BA59A6">
        <w:rPr>
          <w:lang w:eastAsia="en-AU"/>
        </w:rPr>
        <w:t>National Energy Customer Framework (e.g. retailers required to contact customers and offer hardship plans when aware of hardship)</w:t>
      </w:r>
      <w:r w:rsidR="00AE4E47">
        <w:rPr>
          <w:lang w:eastAsia="en-AU"/>
        </w:rPr>
        <w:t xml:space="preserve"> and the automatic debt-trigger </w:t>
      </w:r>
      <w:r w:rsidR="00BA59A6">
        <w:rPr>
          <w:lang w:eastAsia="en-AU"/>
        </w:rPr>
        <w:t>under the</w:t>
      </w:r>
      <w:r w:rsidR="00AE4E47">
        <w:rPr>
          <w:lang w:eastAsia="en-AU"/>
        </w:rPr>
        <w:t xml:space="preserve"> Victoria</w:t>
      </w:r>
      <w:r w:rsidR="00BA59A6">
        <w:rPr>
          <w:lang w:eastAsia="en-AU"/>
        </w:rPr>
        <w:t>n Payment Difficulties Framework</w:t>
      </w:r>
      <w:r w:rsidR="00AE4E47">
        <w:rPr>
          <w:lang w:eastAsia="en-AU"/>
        </w:rPr>
        <w:t xml:space="preserve"> which is regarded as best practice by consumer advocates</w:t>
      </w:r>
      <w:r w:rsidR="00BA59A6">
        <w:rPr>
          <w:lang w:eastAsia="en-AU"/>
        </w:rPr>
        <w:t xml:space="preserve"> </w:t>
      </w:r>
      <w:r w:rsidR="00BA59A6">
        <w:rPr>
          <w:lang w:eastAsia="en-AU"/>
        </w:rPr>
        <w:fldChar w:fldCharType="begin"/>
      </w:r>
      <w:r w:rsidR="00BA59A6">
        <w:rPr>
          <w:lang w:eastAsia="en-AU"/>
        </w:rPr>
        <w:instrText xml:space="preserve"> ADDIN ZOTERO_ITEM CSL_CITATION {"citationID":"g9zTltMH","properties":{"formattedCitation":"(Law et al., 2019)","plainCitation":"(Law et al., 2019)","noteIndex":0},"citationItems":[{"id":43,"uris":["http://zotero.org/groups/2380274/items/86GNJIMM"],"uri":["http://zotero.org/groups/2380274/items/86GNJIMM"],"itemData":{"id":43,"type":"report","event-place":"Adelaide","publisher":"South Australian Council of Social Service","publisher-place":"Adelaide","title":"Working to Make Ends Meet: Low-income Workers and Energy Bill Stress","author":[{"family":"Law","given":"Rebecca"},{"family":"Ogle","given":"Greg"},{"family":"Foley","given":"Kirsten"}],"issued":{"date-parts":[["2019"]]}}}],"schema":"https://github.com/citation-style-language/schema/raw/master/csl-citation.json"} </w:instrText>
      </w:r>
      <w:r w:rsidR="00BA59A6">
        <w:rPr>
          <w:lang w:eastAsia="en-AU"/>
        </w:rPr>
        <w:fldChar w:fldCharType="separate"/>
      </w:r>
      <w:r w:rsidR="003F439A" w:rsidRPr="003F439A">
        <w:rPr>
          <w:rFonts w:cs="Calibri"/>
        </w:rPr>
        <w:t>(Law et al., 2019)</w:t>
      </w:r>
      <w:r w:rsidR="00BA59A6">
        <w:rPr>
          <w:lang w:eastAsia="en-AU"/>
        </w:rPr>
        <w:fldChar w:fldCharType="end"/>
      </w:r>
      <w:r w:rsidR="00AE4E47">
        <w:rPr>
          <w:lang w:eastAsia="en-AU"/>
        </w:rPr>
        <w:t>.</w:t>
      </w:r>
    </w:p>
    <w:p w14:paraId="7BCE3290" w14:textId="56B74C2C" w:rsidR="004B145A" w:rsidRPr="004B145A" w:rsidRDefault="004B145A" w:rsidP="004B145A">
      <w:pPr>
        <w:rPr>
          <w:b/>
          <w:bCs/>
          <w:lang w:eastAsia="en-AU"/>
        </w:rPr>
      </w:pPr>
      <w:r>
        <w:rPr>
          <w:b/>
          <w:bCs/>
          <w:lang w:eastAsia="en-AU"/>
        </w:rPr>
        <w:t>Recommendation</w:t>
      </w:r>
      <w:r w:rsidR="001B0C76">
        <w:rPr>
          <w:b/>
          <w:bCs/>
          <w:lang w:eastAsia="en-AU"/>
        </w:rPr>
        <w:t xml:space="preserve"> </w:t>
      </w:r>
      <w:r w:rsidR="00ED2247">
        <w:rPr>
          <w:b/>
          <w:bCs/>
          <w:lang w:eastAsia="en-AU"/>
        </w:rPr>
        <w:t>6</w:t>
      </w:r>
    </w:p>
    <w:p w14:paraId="7EB8F952" w14:textId="6F2DE6D3" w:rsidR="00013490" w:rsidRDefault="004B145A" w:rsidP="00AA68E5">
      <w:pPr>
        <w:rPr>
          <w:lang w:eastAsia="en-AU"/>
        </w:rPr>
      </w:pPr>
      <w:r>
        <w:rPr>
          <w:b/>
          <w:bCs/>
          <w:i/>
          <w:iCs/>
          <w:lang w:eastAsia="en-AU"/>
        </w:rPr>
        <w:t>That</w:t>
      </w:r>
      <w:r w:rsidR="00926823">
        <w:rPr>
          <w:b/>
          <w:bCs/>
          <w:i/>
          <w:iCs/>
          <w:lang w:eastAsia="en-AU"/>
        </w:rPr>
        <w:t xml:space="preserve"> (where they have not already)</w:t>
      </w:r>
      <w:r>
        <w:rPr>
          <w:b/>
          <w:bCs/>
          <w:i/>
          <w:iCs/>
          <w:lang w:eastAsia="en-AU"/>
        </w:rPr>
        <w:t xml:space="preserve"> telecommunications retailers </w:t>
      </w:r>
      <w:r w:rsidR="007A281B">
        <w:rPr>
          <w:b/>
          <w:bCs/>
          <w:i/>
          <w:iCs/>
          <w:lang w:eastAsia="en-AU"/>
        </w:rPr>
        <w:t>develop</w:t>
      </w:r>
      <w:r>
        <w:rPr>
          <w:b/>
          <w:bCs/>
          <w:i/>
          <w:iCs/>
          <w:lang w:eastAsia="en-AU"/>
        </w:rPr>
        <w:t xml:space="preserve"> flexible plan</w:t>
      </w:r>
      <w:r w:rsidR="007A281B">
        <w:rPr>
          <w:b/>
          <w:bCs/>
          <w:i/>
          <w:iCs/>
          <w:lang w:eastAsia="en-AU"/>
        </w:rPr>
        <w:t>s</w:t>
      </w:r>
      <w:r>
        <w:rPr>
          <w:b/>
          <w:bCs/>
          <w:i/>
          <w:iCs/>
          <w:lang w:eastAsia="en-AU"/>
        </w:rPr>
        <w:t xml:space="preserve"> tailored to those with low and variable incomes</w:t>
      </w:r>
      <w:r w:rsidR="00D64879">
        <w:rPr>
          <w:b/>
          <w:bCs/>
          <w:i/>
          <w:iCs/>
          <w:lang w:eastAsia="en-AU"/>
        </w:rPr>
        <w:t xml:space="preserve">, </w:t>
      </w:r>
      <w:r w:rsidR="00926823">
        <w:rPr>
          <w:b/>
          <w:bCs/>
          <w:i/>
          <w:iCs/>
          <w:lang w:eastAsia="en-AU"/>
        </w:rPr>
        <w:t>and promote this flexibility to those consumers as a possibility for managing expenditure within financial constraints</w:t>
      </w:r>
      <w:r>
        <w:rPr>
          <w:b/>
          <w:bCs/>
          <w:i/>
          <w:iCs/>
          <w:lang w:eastAsia="en-AU"/>
        </w:rPr>
        <w:t>.</w:t>
      </w:r>
    </w:p>
    <w:p w14:paraId="5442D17E" w14:textId="010A659E" w:rsidR="00AA68E5" w:rsidRDefault="00AA68E5" w:rsidP="00425DBD">
      <w:pPr>
        <w:pStyle w:val="Heading3"/>
      </w:pPr>
      <w:bookmarkStart w:id="80" w:name="_Toc42719044"/>
      <w:r>
        <w:t>Charities and NGOs</w:t>
      </w:r>
      <w:bookmarkEnd w:id="80"/>
    </w:p>
    <w:p w14:paraId="59A31641" w14:textId="2990652E" w:rsidR="00425DBD" w:rsidRDefault="00425DBD" w:rsidP="005923F7">
      <w:pPr>
        <w:rPr>
          <w:lang w:eastAsia="en-AU"/>
        </w:rPr>
      </w:pPr>
      <w:r w:rsidRPr="00213797">
        <w:rPr>
          <w:lang w:eastAsia="en-AU"/>
        </w:rPr>
        <w:t xml:space="preserve">The 7.2% of respondents who said that they would (hypothetically) seek help from a charity or non-government welfare organisation </w:t>
      </w:r>
      <w:r w:rsidR="00061996">
        <w:rPr>
          <w:lang w:eastAsia="en-AU"/>
        </w:rPr>
        <w:t xml:space="preserve">(NGO) </w:t>
      </w:r>
      <w:r w:rsidRPr="00213797">
        <w:rPr>
          <w:lang w:eastAsia="en-AU"/>
        </w:rPr>
        <w:t xml:space="preserve">was well above the 1% of waged poor households who had </w:t>
      </w:r>
      <w:r w:rsidRPr="00213797">
        <w:rPr>
          <w:i/>
          <w:lang w:eastAsia="en-AU"/>
        </w:rPr>
        <w:lastRenderedPageBreak/>
        <w:t>actually</w:t>
      </w:r>
      <w:r w:rsidRPr="00213797">
        <w:rPr>
          <w:lang w:eastAsia="en-AU"/>
        </w:rPr>
        <w:t xml:space="preserve"> sought such help in the 12 months prior to the ABS HES survey </w:t>
      </w:r>
      <w:r w:rsidRPr="00213797">
        <w:rPr>
          <w:lang w:eastAsia="en-AU"/>
        </w:rPr>
        <w:fldChar w:fldCharType="begin"/>
      </w:r>
      <w:r w:rsidR="008E107E">
        <w:rPr>
          <w:lang w:eastAsia="en-AU"/>
        </w:rPr>
        <w:instrText xml:space="preserve"> ADDIN ZOTERO_ITEM CSL_CITATION {"citationID":"JJxvvtNR","properties":{"formattedCitation":"(Law et al., 2019)","plainCitation":"(Law et al., 2019)","noteIndex":0},"citationItems":[{"id":43,"uris":["http://zotero.org/groups/2380274/items/86GNJIMM"],"uri":["http://zotero.org/groups/2380274/items/86GNJIMM"],"itemData":{"id":43,"type":"report","event-place":"Adelaide","publisher":"South Australian Council of Social Service","publisher-place":"Adelaide","title":"Working to Make Ends Meet: Low-income Workers and Energy Bill Stress","author":[{"family":"Law","given":"Rebecca"},{"family":"Ogle","given":"Greg"},{"family":"Foley","given":"Kirsten"}],"issued":{"date-parts":[["2019"]]}}}],"schema":"https://github.com/citation-style-language/schema/raw/master/csl-citation.json"} </w:instrText>
      </w:r>
      <w:r w:rsidRPr="00213797">
        <w:rPr>
          <w:lang w:eastAsia="en-AU"/>
        </w:rPr>
        <w:fldChar w:fldCharType="separate"/>
      </w:r>
      <w:r w:rsidRPr="00213797">
        <w:rPr>
          <w:lang w:eastAsia="en-AU"/>
        </w:rPr>
        <w:t>(Law et al., 2019)</w:t>
      </w:r>
      <w:r w:rsidRPr="00213797">
        <w:rPr>
          <w:lang w:eastAsia="en-AU"/>
        </w:rPr>
        <w:fldChar w:fldCharType="end"/>
      </w:r>
      <w:r w:rsidRPr="00213797">
        <w:rPr>
          <w:lang w:eastAsia="en-AU"/>
        </w:rPr>
        <w:t xml:space="preserve">. The difference between the hypothetical and actual data should not be surprising, but at 7.2%, the proportion of our survey respondents who </w:t>
      </w:r>
      <w:r w:rsidRPr="00213797">
        <w:rPr>
          <w:i/>
          <w:lang w:eastAsia="en-AU"/>
        </w:rPr>
        <w:t>would</w:t>
      </w:r>
      <w:r w:rsidRPr="00213797">
        <w:rPr>
          <w:lang w:eastAsia="en-AU"/>
        </w:rPr>
        <w:t xml:space="preserve"> seek help from charities and NGOs is still less than half of the proportion of other households in poverty (i.e. the non-waged poor</w:t>
      </w:r>
      <w:r w:rsidR="00CB43E1">
        <w:rPr>
          <w:lang w:eastAsia="en-AU"/>
        </w:rPr>
        <w:t xml:space="preserve"> households</w:t>
      </w:r>
      <w:r w:rsidRPr="00213797">
        <w:rPr>
          <w:lang w:eastAsia="en-AU"/>
        </w:rPr>
        <w:t>) who actually sought such help in the ABS data. The data again shows a particular reluctance among waged poor households to seek help from charities, with over 90% of our survey respondents not seeking such help even hypothetically.</w:t>
      </w:r>
    </w:p>
    <w:p w14:paraId="189A0321" w14:textId="1C8DAC23" w:rsidR="005923F7" w:rsidRPr="00296A94" w:rsidRDefault="005923F7" w:rsidP="005923F7">
      <w:pPr>
        <w:rPr>
          <w:lang w:eastAsia="en-AU"/>
        </w:rPr>
      </w:pPr>
      <w:r>
        <w:rPr>
          <w:lang w:eastAsia="en-AU"/>
        </w:rPr>
        <w:t xml:space="preserve">Of the 440 </w:t>
      </w:r>
      <w:r w:rsidR="00B43123">
        <w:rPr>
          <w:lang w:eastAsia="en-AU"/>
        </w:rPr>
        <w:t xml:space="preserve">survey </w:t>
      </w:r>
      <w:r>
        <w:rPr>
          <w:lang w:eastAsia="en-AU"/>
        </w:rPr>
        <w:t xml:space="preserve">respondents (unweighted) who said </w:t>
      </w:r>
      <w:r w:rsidRPr="0015174F">
        <w:rPr>
          <w:lang w:eastAsia="en-AU"/>
        </w:rPr>
        <w:t xml:space="preserve">they would </w:t>
      </w:r>
      <w:r w:rsidRPr="00296A94">
        <w:rPr>
          <w:lang w:eastAsia="en-AU"/>
        </w:rPr>
        <w:t>not approach a charity or welfare organisation</w:t>
      </w:r>
      <w:r>
        <w:rPr>
          <w:lang w:eastAsia="en-AU"/>
        </w:rPr>
        <w:t>, 355</w:t>
      </w:r>
      <w:r w:rsidRPr="00296A94">
        <w:rPr>
          <w:lang w:eastAsia="en-AU"/>
        </w:rPr>
        <w:t xml:space="preserve"> respondents gave a specific reason</w:t>
      </w:r>
      <w:r>
        <w:rPr>
          <w:lang w:eastAsia="en-AU"/>
        </w:rPr>
        <w:t xml:space="preserve"> as to why not</w:t>
      </w:r>
      <w:r w:rsidRPr="00296A94">
        <w:rPr>
          <w:lang w:eastAsia="en-AU"/>
        </w:rPr>
        <w:t>:</w:t>
      </w:r>
    </w:p>
    <w:p w14:paraId="6776D856" w14:textId="4B8A6518" w:rsidR="005923F7" w:rsidRDefault="005923F7" w:rsidP="005923F7">
      <w:pPr>
        <w:numPr>
          <w:ilvl w:val="0"/>
          <w:numId w:val="14"/>
        </w:numPr>
        <w:spacing w:after="120" w:line="288" w:lineRule="auto"/>
        <w:ind w:left="714" w:hanging="357"/>
        <w:rPr>
          <w:lang w:eastAsia="en-AU"/>
        </w:rPr>
      </w:pPr>
      <w:r>
        <w:rPr>
          <w:lang w:eastAsia="en-AU"/>
        </w:rPr>
        <w:t>17% said that they had not or would not need to get support</w:t>
      </w:r>
      <w:r w:rsidR="00674A04">
        <w:rPr>
          <w:lang w:eastAsia="en-AU"/>
        </w:rPr>
        <w:t>.</w:t>
      </w:r>
    </w:p>
    <w:p w14:paraId="555642CB" w14:textId="17551792" w:rsidR="005923F7" w:rsidRPr="00296A94" w:rsidRDefault="005923F7" w:rsidP="005923F7">
      <w:pPr>
        <w:numPr>
          <w:ilvl w:val="0"/>
          <w:numId w:val="14"/>
        </w:numPr>
        <w:spacing w:after="120" w:line="288" w:lineRule="auto"/>
        <w:ind w:left="714" w:hanging="357"/>
        <w:rPr>
          <w:lang w:eastAsia="en-AU"/>
        </w:rPr>
      </w:pPr>
      <w:r>
        <w:rPr>
          <w:lang w:eastAsia="en-AU"/>
        </w:rPr>
        <w:t xml:space="preserve">18% </w:t>
      </w:r>
      <w:r w:rsidRPr="00296A94">
        <w:rPr>
          <w:lang w:eastAsia="en-AU"/>
        </w:rPr>
        <w:t>said that they were not as needy as others or that it would be inappropriate to go to a charity for help</w:t>
      </w:r>
      <w:r>
        <w:rPr>
          <w:lang w:eastAsia="en-AU"/>
        </w:rPr>
        <w:t>, or that it would be a last resort when desperate</w:t>
      </w:r>
      <w:r w:rsidR="00674A04">
        <w:rPr>
          <w:lang w:eastAsia="en-AU"/>
        </w:rPr>
        <w:t>.</w:t>
      </w:r>
    </w:p>
    <w:p w14:paraId="694D40A2" w14:textId="36760B50" w:rsidR="005923F7" w:rsidRPr="00296A94" w:rsidRDefault="005923F7" w:rsidP="005923F7">
      <w:pPr>
        <w:numPr>
          <w:ilvl w:val="0"/>
          <w:numId w:val="14"/>
        </w:numPr>
        <w:spacing w:after="120" w:line="288" w:lineRule="auto"/>
        <w:ind w:left="714" w:hanging="357"/>
        <w:rPr>
          <w:lang w:eastAsia="en-AU"/>
        </w:rPr>
      </w:pPr>
      <w:r>
        <w:rPr>
          <w:lang w:eastAsia="en-AU"/>
        </w:rPr>
        <w:t>22</w:t>
      </w:r>
      <w:r w:rsidRPr="00296A94">
        <w:rPr>
          <w:lang w:eastAsia="en-AU"/>
        </w:rPr>
        <w:t xml:space="preserve">% said they would </w:t>
      </w:r>
      <w:r>
        <w:rPr>
          <w:lang w:eastAsia="en-AU"/>
        </w:rPr>
        <w:t xml:space="preserve">rather be independent, </w:t>
      </w:r>
      <w:r w:rsidRPr="00296A94">
        <w:rPr>
          <w:lang w:eastAsia="en-AU"/>
        </w:rPr>
        <w:t xml:space="preserve">were too proud </w:t>
      </w:r>
      <w:r>
        <w:rPr>
          <w:lang w:eastAsia="en-AU"/>
        </w:rPr>
        <w:t xml:space="preserve">or would be ashamed </w:t>
      </w:r>
      <w:r w:rsidRPr="00296A94">
        <w:rPr>
          <w:lang w:eastAsia="en-AU"/>
        </w:rPr>
        <w:t>to approach a charity for help</w:t>
      </w:r>
      <w:r>
        <w:rPr>
          <w:lang w:eastAsia="en-AU"/>
        </w:rPr>
        <w:t>, and a further 5% just “wouldn’t want/like to”</w:t>
      </w:r>
      <w:r w:rsidR="00674A04">
        <w:rPr>
          <w:lang w:eastAsia="en-AU"/>
        </w:rPr>
        <w:t>.</w:t>
      </w:r>
    </w:p>
    <w:p w14:paraId="53B56D5A" w14:textId="51BB632A" w:rsidR="005923F7" w:rsidRDefault="005923F7" w:rsidP="005923F7">
      <w:pPr>
        <w:numPr>
          <w:ilvl w:val="0"/>
          <w:numId w:val="14"/>
        </w:numPr>
        <w:spacing w:after="120" w:line="288" w:lineRule="auto"/>
        <w:ind w:left="714" w:hanging="357"/>
        <w:rPr>
          <w:lang w:eastAsia="en-AU"/>
        </w:rPr>
      </w:pPr>
      <w:r>
        <w:rPr>
          <w:lang w:eastAsia="en-AU"/>
        </w:rPr>
        <w:t>23</w:t>
      </w:r>
      <w:r w:rsidRPr="00296A94">
        <w:rPr>
          <w:lang w:eastAsia="en-AU"/>
        </w:rPr>
        <w:t xml:space="preserve">% </w:t>
      </w:r>
      <w:r>
        <w:rPr>
          <w:lang w:eastAsia="en-AU"/>
        </w:rPr>
        <w:t>responde</w:t>
      </w:r>
      <w:r w:rsidR="00061996">
        <w:rPr>
          <w:lang w:eastAsia="en-AU"/>
        </w:rPr>
        <w:t>d</w:t>
      </w:r>
      <w:r>
        <w:rPr>
          <w:lang w:eastAsia="en-AU"/>
        </w:rPr>
        <w:t xml:space="preserve"> in ways which suggested a lack of knowledge of the services available, including:</w:t>
      </w:r>
    </w:p>
    <w:p w14:paraId="7231021D" w14:textId="16B1DA42" w:rsidR="005923F7" w:rsidRDefault="005923F7" w:rsidP="005923F7">
      <w:pPr>
        <w:numPr>
          <w:ilvl w:val="1"/>
          <w:numId w:val="14"/>
        </w:numPr>
        <w:spacing w:after="60" w:line="288" w:lineRule="auto"/>
        <w:ind w:left="1434" w:hanging="357"/>
        <w:rPr>
          <w:lang w:eastAsia="en-AU"/>
        </w:rPr>
      </w:pPr>
      <w:r>
        <w:rPr>
          <w:lang w:eastAsia="en-AU"/>
        </w:rPr>
        <w:t xml:space="preserve">Not knowing where to go or that charities could </w:t>
      </w:r>
      <w:r w:rsidR="006C148C">
        <w:rPr>
          <w:lang w:eastAsia="en-AU"/>
        </w:rPr>
        <w:t xml:space="preserve">help </w:t>
      </w:r>
      <w:r>
        <w:rPr>
          <w:lang w:eastAsia="en-AU"/>
        </w:rPr>
        <w:t>“with that sort of thing”</w:t>
      </w:r>
    </w:p>
    <w:p w14:paraId="5D2B0C5E" w14:textId="5A155973" w:rsidR="005923F7" w:rsidRDefault="00444DF9" w:rsidP="005923F7">
      <w:pPr>
        <w:numPr>
          <w:ilvl w:val="1"/>
          <w:numId w:val="14"/>
        </w:numPr>
        <w:spacing w:after="60" w:line="288" w:lineRule="auto"/>
        <w:ind w:left="1434" w:hanging="357"/>
        <w:rPr>
          <w:lang w:eastAsia="en-AU"/>
        </w:rPr>
      </w:pPr>
      <w:r>
        <w:rPr>
          <w:lang w:eastAsia="en-AU"/>
        </w:rPr>
        <w:t>t</w:t>
      </w:r>
      <w:r w:rsidR="005923F7">
        <w:rPr>
          <w:lang w:eastAsia="en-AU"/>
        </w:rPr>
        <w:t>hinking they would not be eligible for support</w:t>
      </w:r>
    </w:p>
    <w:p w14:paraId="57865979" w14:textId="52ECA6F2" w:rsidR="005923F7" w:rsidRDefault="00444DF9" w:rsidP="005923F7">
      <w:pPr>
        <w:numPr>
          <w:ilvl w:val="1"/>
          <w:numId w:val="14"/>
        </w:numPr>
        <w:spacing w:after="60" w:line="288" w:lineRule="auto"/>
        <w:ind w:left="1434" w:hanging="357"/>
        <w:rPr>
          <w:lang w:eastAsia="en-AU"/>
        </w:rPr>
      </w:pPr>
      <w:r>
        <w:rPr>
          <w:lang w:eastAsia="en-AU"/>
        </w:rPr>
        <w:t>t</w:t>
      </w:r>
      <w:r w:rsidR="005923F7">
        <w:rPr>
          <w:lang w:eastAsia="en-AU"/>
        </w:rPr>
        <w:t>hinking that it would be a loan or cost them more</w:t>
      </w:r>
    </w:p>
    <w:p w14:paraId="5823634D" w14:textId="74551747" w:rsidR="005923F7" w:rsidRDefault="00444DF9" w:rsidP="005923F7">
      <w:pPr>
        <w:numPr>
          <w:ilvl w:val="1"/>
          <w:numId w:val="14"/>
        </w:numPr>
        <w:spacing w:after="60" w:line="288" w:lineRule="auto"/>
        <w:ind w:left="1434" w:hanging="357"/>
        <w:rPr>
          <w:lang w:eastAsia="en-AU"/>
        </w:rPr>
      </w:pPr>
      <w:r>
        <w:rPr>
          <w:lang w:eastAsia="en-AU"/>
        </w:rPr>
        <w:t>c</w:t>
      </w:r>
      <w:r w:rsidR="005923F7">
        <w:rPr>
          <w:lang w:eastAsia="en-AU"/>
        </w:rPr>
        <w:t>onfused the services with Centrelink or government, or</w:t>
      </w:r>
    </w:p>
    <w:p w14:paraId="60A573D6" w14:textId="479FC48E" w:rsidR="005923F7" w:rsidRDefault="00444DF9" w:rsidP="005923F7">
      <w:pPr>
        <w:numPr>
          <w:ilvl w:val="1"/>
          <w:numId w:val="14"/>
        </w:numPr>
        <w:spacing w:after="60" w:line="288" w:lineRule="auto"/>
        <w:ind w:left="1434" w:hanging="357"/>
        <w:rPr>
          <w:lang w:eastAsia="en-AU"/>
        </w:rPr>
      </w:pPr>
      <w:r>
        <w:rPr>
          <w:lang w:eastAsia="en-AU"/>
        </w:rPr>
        <w:t>j</w:t>
      </w:r>
      <w:r w:rsidR="005923F7">
        <w:rPr>
          <w:lang w:eastAsia="en-AU"/>
        </w:rPr>
        <w:t>ust didn’t think of it.</w:t>
      </w:r>
    </w:p>
    <w:p w14:paraId="648A597D" w14:textId="2A97F0C5" w:rsidR="00B43123" w:rsidRDefault="00B43123" w:rsidP="00B43123">
      <w:pPr>
        <w:spacing w:after="60" w:line="288" w:lineRule="auto"/>
        <w:rPr>
          <w:lang w:eastAsia="en-AU"/>
        </w:rPr>
      </w:pPr>
    </w:p>
    <w:p w14:paraId="21FC7FAC" w14:textId="2F842AF3" w:rsidR="00B43123" w:rsidRPr="00296A94" w:rsidRDefault="00B43123" w:rsidP="00B43123">
      <w:pPr>
        <w:spacing w:after="60" w:line="288" w:lineRule="auto"/>
        <w:rPr>
          <w:lang w:eastAsia="en-AU"/>
        </w:rPr>
      </w:pPr>
      <w:r>
        <w:rPr>
          <w:lang w:eastAsia="en-AU"/>
        </w:rPr>
        <w:t>Almost all these responses were reflected in the qualitative interviews.</w:t>
      </w:r>
    </w:p>
    <w:p w14:paraId="185344C6" w14:textId="77777777" w:rsidR="00213797" w:rsidRPr="00213797" w:rsidRDefault="00213797" w:rsidP="00246E08">
      <w:pPr>
        <w:pStyle w:val="Heading4"/>
        <w:rPr>
          <w:lang w:eastAsia="en-AU"/>
        </w:rPr>
      </w:pPr>
      <w:r w:rsidRPr="00213797">
        <w:rPr>
          <w:lang w:eastAsia="en-AU"/>
        </w:rPr>
        <w:t>Lack of Knowledge</w:t>
      </w:r>
    </w:p>
    <w:p w14:paraId="4D822BD5" w14:textId="3818C91F" w:rsidR="00213797" w:rsidRPr="00213797" w:rsidRDefault="00213797" w:rsidP="00213797">
      <w:pPr>
        <w:rPr>
          <w:lang w:eastAsia="en-AU"/>
        </w:rPr>
      </w:pPr>
      <w:r w:rsidRPr="00213797">
        <w:rPr>
          <w:lang w:eastAsia="en-AU"/>
        </w:rPr>
        <w:t xml:space="preserve">One of the key learnings from this survey data is that there is a significant lack of understanding of the work of charities and community organisations. </w:t>
      </w:r>
      <w:r w:rsidR="00D71B64">
        <w:rPr>
          <w:lang w:eastAsia="en-AU"/>
        </w:rPr>
        <w:t>Of the 23% noted above who</w:t>
      </w:r>
      <w:r w:rsidR="00930C01">
        <w:rPr>
          <w:lang w:eastAsia="en-AU"/>
        </w:rPr>
        <w:t>se responses suggested a lack of knowledge of services</w:t>
      </w:r>
      <w:r w:rsidR="00D71B64">
        <w:rPr>
          <w:lang w:eastAsia="en-AU"/>
        </w:rPr>
        <w:t>, about two-thirds s</w:t>
      </w:r>
      <w:r w:rsidRPr="00213797">
        <w:rPr>
          <w:lang w:eastAsia="en-AU"/>
        </w:rPr>
        <w:t xml:space="preserve">aid they would not know where to go or that charities could help “with that sort of thing” (or that they would </w:t>
      </w:r>
      <w:r w:rsidR="004811C7">
        <w:rPr>
          <w:lang w:eastAsia="en-AU"/>
        </w:rPr>
        <w:t xml:space="preserve">not </w:t>
      </w:r>
      <w:r w:rsidRPr="00213797">
        <w:rPr>
          <w:lang w:eastAsia="en-AU"/>
        </w:rPr>
        <w:t>be eligible for support)</w:t>
      </w:r>
      <w:r w:rsidR="00D71B64">
        <w:rPr>
          <w:lang w:eastAsia="en-AU"/>
        </w:rPr>
        <w:t>, while around one in five</w:t>
      </w:r>
      <w:r w:rsidRPr="00213797">
        <w:rPr>
          <w:lang w:eastAsia="en-AU"/>
        </w:rPr>
        <w:t xml:space="preserve"> asserted that the charities </w:t>
      </w:r>
      <w:r w:rsidRPr="00213797">
        <w:rPr>
          <w:i/>
          <w:lang w:eastAsia="en-AU"/>
        </w:rPr>
        <w:t>could</w:t>
      </w:r>
      <w:r w:rsidRPr="00213797">
        <w:rPr>
          <w:lang w:eastAsia="en-AU"/>
        </w:rPr>
        <w:t xml:space="preserve"> not help them (some on the basis of previous experience). </w:t>
      </w:r>
    </w:p>
    <w:p w14:paraId="298C69E3" w14:textId="77777777" w:rsidR="00213797" w:rsidRPr="00213797" w:rsidRDefault="00213797" w:rsidP="00213797">
      <w:pPr>
        <w:rPr>
          <w:lang w:eastAsia="en-AU"/>
        </w:rPr>
      </w:pPr>
      <w:r w:rsidRPr="00213797">
        <w:rPr>
          <w:lang w:eastAsia="en-AU"/>
        </w:rPr>
        <w:t xml:space="preserve">The survey question specifically asked about seeking financial assistance in relation to a difficulty in paying bills, so the responses were perhaps narrowed to monetary assistance and in particular for telecommunications bills. In that sense other services like financial counselling, utilities or digital literacy help, advocacy with service providers, or assistance with other household bills may not have been part of their answer. However, the bulk of evidence suggests a more general lack of knowledge of the sector and the sort of assistance possible. </w:t>
      </w:r>
    </w:p>
    <w:p w14:paraId="0F2740E6" w14:textId="6A7BF0D0" w:rsidR="00213797" w:rsidRPr="00213797" w:rsidRDefault="00213797" w:rsidP="00213797">
      <w:pPr>
        <w:rPr>
          <w:lang w:eastAsia="en-AU"/>
        </w:rPr>
      </w:pPr>
      <w:r w:rsidRPr="00213797">
        <w:rPr>
          <w:lang w:eastAsia="en-AU"/>
        </w:rPr>
        <w:t xml:space="preserve">This lack of knowledge was evident in the numbers </w:t>
      </w:r>
      <w:r w:rsidR="00FB0B0E">
        <w:rPr>
          <w:lang w:eastAsia="en-AU"/>
        </w:rPr>
        <w:t>of survey respondents saying</w:t>
      </w:r>
      <w:r w:rsidRPr="00213797">
        <w:rPr>
          <w:lang w:eastAsia="en-AU"/>
        </w:rPr>
        <w:t xml:space="preserve"> that they would not know where to go, and more pointed in one of the qualitative interviews where the participant (who</w:t>
      </w:r>
      <w:r w:rsidR="00CC24D0">
        <w:rPr>
          <w:lang w:eastAsia="en-AU"/>
        </w:rPr>
        <w:t xml:space="preserve"> </w:t>
      </w:r>
      <w:r w:rsidR="00CC24D0">
        <w:rPr>
          <w:lang w:eastAsia="en-AU"/>
        </w:rPr>
        <w:lastRenderedPageBreak/>
        <w:t>lives in public housing and</w:t>
      </w:r>
      <w:r w:rsidRPr="00213797">
        <w:rPr>
          <w:lang w:eastAsia="en-AU"/>
        </w:rPr>
        <w:t xml:space="preserve"> had </w:t>
      </w:r>
      <w:r w:rsidR="002556EB">
        <w:rPr>
          <w:lang w:eastAsia="en-AU"/>
        </w:rPr>
        <w:t>sought help from</w:t>
      </w:r>
      <w:r w:rsidRPr="00213797">
        <w:rPr>
          <w:lang w:eastAsia="en-AU"/>
        </w:rPr>
        <w:t xml:space="preserve"> charities in the past) appeared quite surprised that there were NGOs who offered computer and digital literacy training</w:t>
      </w:r>
      <w:r w:rsidR="00CC24D0">
        <w:rPr>
          <w:lang w:eastAsia="en-AU"/>
        </w:rPr>
        <w:t>. He had found NGO help through a local church and from a neighbour who accessed several services, but as he said</w:t>
      </w:r>
      <w:r w:rsidR="007D7918">
        <w:rPr>
          <w:lang w:eastAsia="en-AU"/>
        </w:rPr>
        <w:t>:</w:t>
      </w:r>
    </w:p>
    <w:p w14:paraId="6FF17FC8" w14:textId="2827188C" w:rsidR="00213797" w:rsidRDefault="00CC24D0" w:rsidP="00CC24D0">
      <w:pPr>
        <w:ind w:left="720"/>
        <w:rPr>
          <w:rFonts w:cs="Calibri"/>
          <w:color w:val="000000"/>
        </w:rPr>
      </w:pPr>
      <w:r>
        <w:rPr>
          <w:rFonts w:cs="Calibri"/>
          <w:color w:val="000000"/>
        </w:rPr>
        <w:t xml:space="preserve">it's not common knowledge, like if a worker was to find themselves out of work and struggling to put food on the table, unless they knew someone that knows about these systems [no way] </w:t>
      </w:r>
      <w:r w:rsidR="00FB0B0E">
        <w:rPr>
          <w:rFonts w:cs="Calibri"/>
          <w:color w:val="000000"/>
        </w:rPr>
        <w:t>I</w:t>
      </w:r>
      <w:r>
        <w:rPr>
          <w:rFonts w:cs="Calibri"/>
          <w:color w:val="000000"/>
        </w:rPr>
        <w:t xml:space="preserve">t's a word of mouth sort of thing – not really advertised or promoted </w:t>
      </w:r>
      <w:r w:rsidR="00187C0C">
        <w:rPr>
          <w:rFonts w:cs="Calibri"/>
          <w:color w:val="000000"/>
        </w:rPr>
        <w:t>[</w:t>
      </w:r>
      <w:r w:rsidR="00640865">
        <w:rPr>
          <w:rFonts w:cs="Calibri"/>
          <w:color w:val="000000"/>
        </w:rPr>
        <w:t>Stephen</w:t>
      </w:r>
      <w:r w:rsidR="00187C0C">
        <w:rPr>
          <w:rFonts w:cs="Calibri"/>
          <w:color w:val="000000"/>
        </w:rPr>
        <w:t>]</w:t>
      </w:r>
    </w:p>
    <w:p w14:paraId="1EC01FC2" w14:textId="1B9A2A79" w:rsidR="00213797" w:rsidRPr="00213797" w:rsidRDefault="00213797" w:rsidP="00213797">
      <w:pPr>
        <w:rPr>
          <w:lang w:eastAsia="en-AU"/>
        </w:rPr>
      </w:pPr>
      <w:r w:rsidRPr="00213797">
        <w:rPr>
          <w:lang w:eastAsia="en-AU"/>
        </w:rPr>
        <w:t xml:space="preserve">Added to this, 10 </w:t>
      </w:r>
      <w:r w:rsidR="00CC24D0">
        <w:rPr>
          <w:lang w:eastAsia="en-AU"/>
        </w:rPr>
        <w:t xml:space="preserve">survey </w:t>
      </w:r>
      <w:r w:rsidRPr="00213797">
        <w:rPr>
          <w:lang w:eastAsia="en-AU"/>
        </w:rPr>
        <w:t xml:space="preserve">respondents seemed to think that charities would offer them a loan (which they did not want), and another 5 said that they could not afford to go to community services for help. A further 5 respondents confused community services with Centrelink or the government, and another 7 respondents just “didn’t think of it”. </w:t>
      </w:r>
    </w:p>
    <w:p w14:paraId="4AB03ACB" w14:textId="6827DE28" w:rsidR="00213797" w:rsidRDefault="00213797" w:rsidP="00213797">
      <w:pPr>
        <w:rPr>
          <w:lang w:eastAsia="en-AU"/>
        </w:rPr>
      </w:pPr>
      <w:r w:rsidRPr="00213797">
        <w:rPr>
          <w:lang w:eastAsia="en-AU"/>
        </w:rPr>
        <w:t xml:space="preserve">Taken as individual categories, </w:t>
      </w:r>
      <w:r w:rsidR="00CC24D0">
        <w:rPr>
          <w:lang w:eastAsia="en-AU"/>
        </w:rPr>
        <w:t xml:space="preserve">all </w:t>
      </w:r>
      <w:r w:rsidRPr="00213797">
        <w:rPr>
          <w:lang w:eastAsia="en-AU"/>
        </w:rPr>
        <w:t xml:space="preserve">these appear to be small numbers, but </w:t>
      </w:r>
      <w:r w:rsidR="002556EB">
        <w:rPr>
          <w:lang w:eastAsia="en-AU"/>
        </w:rPr>
        <w:t xml:space="preserve">as evident above, </w:t>
      </w:r>
      <w:r w:rsidRPr="00213797">
        <w:rPr>
          <w:lang w:eastAsia="en-AU"/>
        </w:rPr>
        <w:t xml:space="preserve">when all the categories which reflect a lack of knowledge of services are added together nearly one-in-four respondents would not seek help from charities and non-government agencies because they did not really understand what those agencies could do or how they could be of help. This speaks to a significant communications challenge for those support services to </w:t>
      </w:r>
      <w:r w:rsidR="002556EB">
        <w:rPr>
          <w:lang w:eastAsia="en-AU"/>
        </w:rPr>
        <w:t>inform people about</w:t>
      </w:r>
      <w:r w:rsidRPr="00213797">
        <w:rPr>
          <w:lang w:eastAsia="en-AU"/>
        </w:rPr>
        <w:t xml:space="preserve"> what help is available.</w:t>
      </w:r>
      <w:r w:rsidR="00733A0D">
        <w:rPr>
          <w:lang w:eastAsia="en-AU"/>
        </w:rPr>
        <w:t xml:space="preserve"> This challenge is magnified by the cultural barriers discussed below, but as a first step NGOs should consider how they promote knowledge of their services and ensure that they are likely to reach </w:t>
      </w:r>
      <w:r w:rsidR="00170969">
        <w:rPr>
          <w:lang w:eastAsia="en-AU"/>
        </w:rPr>
        <w:t>waged poor</w:t>
      </w:r>
      <w:r w:rsidR="00733A0D">
        <w:rPr>
          <w:lang w:eastAsia="en-AU"/>
        </w:rPr>
        <w:t xml:space="preserve"> households.</w:t>
      </w:r>
    </w:p>
    <w:p w14:paraId="70EF7F93" w14:textId="705F90F4" w:rsidR="00F5223B" w:rsidRDefault="00F5223B" w:rsidP="00F5223B">
      <w:pPr>
        <w:rPr>
          <w:b/>
          <w:bCs/>
          <w:lang w:eastAsia="en-AU"/>
        </w:rPr>
      </w:pPr>
      <w:r>
        <w:rPr>
          <w:b/>
          <w:bCs/>
          <w:lang w:eastAsia="en-AU"/>
        </w:rPr>
        <w:t>Recommendation</w:t>
      </w:r>
      <w:r w:rsidR="001B0C76">
        <w:rPr>
          <w:b/>
          <w:bCs/>
          <w:lang w:eastAsia="en-AU"/>
        </w:rPr>
        <w:t xml:space="preserve"> </w:t>
      </w:r>
      <w:r w:rsidR="00ED2247">
        <w:rPr>
          <w:b/>
          <w:bCs/>
          <w:lang w:eastAsia="en-AU"/>
        </w:rPr>
        <w:t>7</w:t>
      </w:r>
    </w:p>
    <w:p w14:paraId="2EFE2104" w14:textId="4B93CA2B" w:rsidR="00F5223B" w:rsidRDefault="00F5223B" w:rsidP="00F5223B">
      <w:pPr>
        <w:rPr>
          <w:b/>
          <w:bCs/>
          <w:i/>
          <w:iCs/>
          <w:lang w:eastAsia="en-AU"/>
        </w:rPr>
      </w:pPr>
      <w:r>
        <w:rPr>
          <w:b/>
          <w:bCs/>
          <w:i/>
          <w:iCs/>
          <w:lang w:eastAsia="en-AU"/>
        </w:rPr>
        <w:t>That charities and community welfare organi</w:t>
      </w:r>
      <w:r w:rsidR="00817526">
        <w:rPr>
          <w:b/>
          <w:bCs/>
          <w:i/>
          <w:iCs/>
          <w:lang w:eastAsia="en-AU"/>
        </w:rPr>
        <w:t>s</w:t>
      </w:r>
      <w:r>
        <w:rPr>
          <w:b/>
          <w:bCs/>
          <w:i/>
          <w:iCs/>
          <w:lang w:eastAsia="en-AU"/>
        </w:rPr>
        <w:t xml:space="preserve">ations </w:t>
      </w:r>
      <w:r w:rsidR="00F81B9D" w:rsidRPr="00F81B9D">
        <w:rPr>
          <w:b/>
          <w:bCs/>
          <w:i/>
          <w:iCs/>
          <w:lang w:eastAsia="en-AU"/>
        </w:rPr>
        <w:t>engaged in relevant work, such as financial counselling, emergency relief or digital literacy</w:t>
      </w:r>
      <w:r w:rsidR="00F81B9D">
        <w:rPr>
          <w:b/>
          <w:bCs/>
          <w:i/>
          <w:iCs/>
          <w:lang w:eastAsia="en-AU"/>
        </w:rPr>
        <w:t xml:space="preserve"> support</w:t>
      </w:r>
      <w:r w:rsidR="00F81B9D">
        <w:rPr>
          <w:lang w:eastAsia="en-AU"/>
        </w:rPr>
        <w:t xml:space="preserve">, </w:t>
      </w:r>
      <w:r>
        <w:rPr>
          <w:b/>
          <w:bCs/>
          <w:i/>
          <w:iCs/>
          <w:lang w:eastAsia="en-AU"/>
        </w:rPr>
        <w:t>consider their promotional practices and whether they are targeted at or likely to reach waged poor households.</w:t>
      </w:r>
    </w:p>
    <w:p w14:paraId="7CFCB01C" w14:textId="48C1809D" w:rsidR="00D724FB" w:rsidRDefault="00F5223B" w:rsidP="00930C01">
      <w:pPr>
        <w:rPr>
          <w:lang w:eastAsia="en-AU"/>
        </w:rPr>
      </w:pPr>
      <w:r>
        <w:rPr>
          <w:lang w:eastAsia="en-AU"/>
        </w:rPr>
        <w:t>In making this recommendation, SACOSS acknowledges that</w:t>
      </w:r>
      <w:r w:rsidR="00733A0D">
        <w:rPr>
          <w:lang w:eastAsia="en-AU"/>
        </w:rPr>
        <w:t xml:space="preserve"> this outreach is difficult</w:t>
      </w:r>
      <w:r>
        <w:rPr>
          <w:lang w:eastAsia="en-AU"/>
        </w:rPr>
        <w:t>, particularly</w:t>
      </w:r>
      <w:r w:rsidR="00733A0D">
        <w:rPr>
          <w:lang w:eastAsia="en-AU"/>
        </w:rPr>
        <w:t xml:space="preserve"> where government grants provide little or no scope for advertising. In this context, telecommunications retailers themselves may have a vital role because they have direct communication with their customers. </w:t>
      </w:r>
      <w:r w:rsidR="00D724FB">
        <w:rPr>
          <w:lang w:eastAsia="en-AU"/>
        </w:rPr>
        <w:t>T</w:t>
      </w:r>
      <w:r w:rsidR="00733A0D">
        <w:rPr>
          <w:lang w:eastAsia="en-AU"/>
        </w:rPr>
        <w:t>he Telecommunications Consumer Protection</w:t>
      </w:r>
      <w:r w:rsidR="00D724FB">
        <w:rPr>
          <w:lang w:eastAsia="en-AU"/>
        </w:rPr>
        <w:t>s</w:t>
      </w:r>
      <w:r w:rsidR="00733A0D">
        <w:rPr>
          <w:lang w:eastAsia="en-AU"/>
        </w:rPr>
        <w:t xml:space="preserve"> Code mandate</w:t>
      </w:r>
      <w:r w:rsidR="00FB0B0E">
        <w:rPr>
          <w:lang w:eastAsia="en-AU"/>
        </w:rPr>
        <w:t>s</w:t>
      </w:r>
      <w:r w:rsidR="00733A0D">
        <w:rPr>
          <w:lang w:eastAsia="en-AU"/>
        </w:rPr>
        <w:t xml:space="preserve"> actions to be taken when customers are in hardship</w:t>
      </w:r>
      <w:r w:rsidR="00D724FB">
        <w:rPr>
          <w:lang w:eastAsia="en-AU"/>
        </w:rPr>
        <w:t xml:space="preserve"> – including providing details on where consumers can access financial counselling support (s7.1.3)</w:t>
      </w:r>
      <w:r w:rsidR="00D724FB">
        <w:rPr>
          <w:lang w:eastAsia="en-AU"/>
        </w:rPr>
        <w:fldChar w:fldCharType="begin"/>
      </w:r>
      <w:r w:rsidR="003F439A">
        <w:rPr>
          <w:lang w:eastAsia="en-AU"/>
        </w:rPr>
        <w:instrText xml:space="preserve"> ADDIN ZOTERO_ITEM CSL_CITATION {"citationID":"nyvejbcX","properties":{"formattedCitation":"(Communications Alliance, 2019)","plainCitation":"(Communications Alliance, 2019)","noteIndex":0},"citationItems":[{"id":98,"uris":["http://zotero.org/groups/2380274/items/2QVN9RRF"],"uri":["http://zotero.org/groups/2380274/items/2QVN9RRF"],"itemData":{"id":98,"type":"article","publisher":"Communications Alliance","title":"Telecommunciations Consumer Protections Code: C628: 2019","title-short":"TCP Code","URL":"https://www.commsalliance.com.au/__data/assets/pdf_file/0011/64784/TCP-C628_2019.pdf","author":[{"family":"Communications Alliance","given":""}],"issued":{"date-parts":[["2019"]]}}}],"schema":"https://github.com/citation-style-language/schema/raw/master/csl-citation.json"} </w:instrText>
      </w:r>
      <w:r w:rsidR="00D724FB">
        <w:rPr>
          <w:lang w:eastAsia="en-AU"/>
        </w:rPr>
        <w:fldChar w:fldCharType="separate"/>
      </w:r>
      <w:r w:rsidR="00D724FB" w:rsidRPr="00D724FB">
        <w:rPr>
          <w:rFonts w:cs="Calibri"/>
        </w:rPr>
        <w:t>(Communications Alliance, 2019)</w:t>
      </w:r>
      <w:r w:rsidR="00D724FB">
        <w:rPr>
          <w:lang w:eastAsia="en-AU"/>
        </w:rPr>
        <w:fldChar w:fldCharType="end"/>
      </w:r>
      <w:r w:rsidR="00733A0D">
        <w:rPr>
          <w:lang w:eastAsia="en-AU"/>
        </w:rPr>
        <w:t xml:space="preserve">, </w:t>
      </w:r>
      <w:r w:rsidR="00D724FB">
        <w:rPr>
          <w:lang w:eastAsia="en-AU"/>
        </w:rPr>
        <w:t xml:space="preserve">but </w:t>
      </w:r>
      <w:r w:rsidR="00733A0D">
        <w:rPr>
          <w:lang w:eastAsia="en-AU"/>
        </w:rPr>
        <w:t xml:space="preserve">this is </w:t>
      </w:r>
      <w:r w:rsidR="00FB0B0E">
        <w:rPr>
          <w:lang w:eastAsia="en-AU"/>
        </w:rPr>
        <w:t>(</w:t>
      </w:r>
      <w:r w:rsidR="00733A0D">
        <w:rPr>
          <w:lang w:eastAsia="en-AU"/>
        </w:rPr>
        <w:t>by definition</w:t>
      </w:r>
      <w:r w:rsidR="00FB0B0E">
        <w:rPr>
          <w:lang w:eastAsia="en-AU"/>
        </w:rPr>
        <w:t>)</w:t>
      </w:r>
      <w:r w:rsidR="00733A0D">
        <w:rPr>
          <w:lang w:eastAsia="en-AU"/>
        </w:rPr>
        <w:t xml:space="preserve"> after a problem arises. </w:t>
      </w:r>
      <w:r w:rsidR="00D724FB">
        <w:rPr>
          <w:lang w:eastAsia="en-AU"/>
        </w:rPr>
        <w:t xml:space="preserve">A customer must first </w:t>
      </w:r>
      <w:r w:rsidR="00C26FED">
        <w:rPr>
          <w:lang w:eastAsia="en-AU"/>
        </w:rPr>
        <w:t>be in payment difficulty</w:t>
      </w:r>
      <w:r w:rsidR="00D724FB">
        <w:rPr>
          <w:lang w:eastAsia="en-AU"/>
        </w:rPr>
        <w:t>, then approach the retailer and be on a hardship policy before the requirement to notify of potential financial counselling support is triggered.</w:t>
      </w:r>
    </w:p>
    <w:p w14:paraId="72EDF7B5" w14:textId="18A7E980" w:rsidR="00C26FED" w:rsidRPr="00213797" w:rsidRDefault="00733A0D" w:rsidP="00C26FED">
      <w:pPr>
        <w:rPr>
          <w:lang w:eastAsia="en-AU"/>
        </w:rPr>
      </w:pPr>
      <w:r>
        <w:rPr>
          <w:lang w:eastAsia="en-AU"/>
        </w:rPr>
        <w:t xml:space="preserve">A more proactive and preventive approach is </w:t>
      </w:r>
      <w:r w:rsidR="00C26FED">
        <w:rPr>
          <w:lang w:eastAsia="en-AU"/>
        </w:rPr>
        <w:t>desirable</w:t>
      </w:r>
      <w:r w:rsidR="00C26FED" w:rsidRPr="00C26FED">
        <w:rPr>
          <w:lang w:eastAsia="en-AU"/>
        </w:rPr>
        <w:t xml:space="preserve"> </w:t>
      </w:r>
      <w:r w:rsidR="00C26FED">
        <w:rPr>
          <w:lang w:eastAsia="en-AU"/>
        </w:rPr>
        <w:t>and there is some practice of this already among retailers. For instance, Dodo’s customer welcome pack provides contact for the national debt hotline, but it is not clear if this practice is widespread. Indeed, SACOSS has seen a recent bill from a major retailer with money owing from previous bill and no referral information as to where to get help. Best practice would be for information about access to financial counselling services to be included on all bills, but at a minimum such information needs to be on bills with previous monies owing, on reminder notices and</w:t>
      </w:r>
      <w:r w:rsidR="001E5C91">
        <w:rPr>
          <w:lang w:eastAsia="en-AU"/>
        </w:rPr>
        <w:t xml:space="preserve"> all</w:t>
      </w:r>
      <w:r w:rsidR="00C26FED">
        <w:rPr>
          <w:lang w:eastAsia="en-AU"/>
        </w:rPr>
        <w:t xml:space="preserve"> service restriction</w:t>
      </w:r>
      <w:r w:rsidR="001E5C91">
        <w:rPr>
          <w:lang w:eastAsia="en-AU"/>
        </w:rPr>
        <w:t>, suspension</w:t>
      </w:r>
      <w:r w:rsidR="00C26FED">
        <w:rPr>
          <w:lang w:eastAsia="en-AU"/>
        </w:rPr>
        <w:t xml:space="preserve"> or disconnection notices. Again, at these later points s6.7.4 of the TCP Code mandates advice about the financial hardship policy, but </w:t>
      </w:r>
      <w:r w:rsidR="00C26FED">
        <w:rPr>
          <w:lang w:eastAsia="en-AU"/>
        </w:rPr>
        <w:lastRenderedPageBreak/>
        <w:t>the consumers have to go to those policies before the financial counselling referral is mandatory. It is a two-step process, when referral information at each contact would be better.</w:t>
      </w:r>
    </w:p>
    <w:p w14:paraId="0B5C38D8" w14:textId="5503549F" w:rsidR="00733A0D" w:rsidRPr="00213797" w:rsidRDefault="001E5C91" w:rsidP="00213797">
      <w:pPr>
        <w:rPr>
          <w:lang w:eastAsia="en-AU"/>
        </w:rPr>
      </w:pPr>
      <w:r>
        <w:rPr>
          <w:lang w:eastAsia="en-AU"/>
        </w:rPr>
        <w:t xml:space="preserve">Further, the discussion above (and the TCP Code) deal only with financial counselling advice, but </w:t>
      </w:r>
      <w:r w:rsidR="000C6C68">
        <w:rPr>
          <w:lang w:eastAsia="en-AU"/>
        </w:rPr>
        <w:t xml:space="preserve">lack of </w:t>
      </w:r>
      <w:r w:rsidR="00FB0B0E">
        <w:rPr>
          <w:lang w:eastAsia="en-AU"/>
        </w:rPr>
        <w:t>telecommunications literacy in understanding bills</w:t>
      </w:r>
      <w:r>
        <w:rPr>
          <w:lang w:eastAsia="en-AU"/>
        </w:rPr>
        <w:t xml:space="preserve">, </w:t>
      </w:r>
      <w:r w:rsidR="00FB0B0E">
        <w:rPr>
          <w:lang w:eastAsia="en-AU"/>
        </w:rPr>
        <w:t>services</w:t>
      </w:r>
      <w:r w:rsidR="000C6C68">
        <w:rPr>
          <w:lang w:eastAsia="en-AU"/>
        </w:rPr>
        <w:t xml:space="preserve"> or</w:t>
      </w:r>
      <w:r w:rsidR="00FB0B0E">
        <w:rPr>
          <w:lang w:eastAsia="en-AU"/>
        </w:rPr>
        <w:t xml:space="preserve"> technology</w:t>
      </w:r>
      <w:r>
        <w:rPr>
          <w:lang w:eastAsia="en-AU"/>
        </w:rPr>
        <w:t xml:space="preserve"> may be just as important as a barrier to payment</w:t>
      </w:r>
      <w:r w:rsidR="000C6C68">
        <w:rPr>
          <w:lang w:eastAsia="en-AU"/>
        </w:rPr>
        <w:t>. These</w:t>
      </w:r>
      <w:r w:rsidR="00FB0B0E">
        <w:rPr>
          <w:lang w:eastAsia="en-AU"/>
        </w:rPr>
        <w:t xml:space="preserve"> </w:t>
      </w:r>
      <w:r>
        <w:rPr>
          <w:lang w:eastAsia="en-AU"/>
        </w:rPr>
        <w:t xml:space="preserve">issues </w:t>
      </w:r>
      <w:r w:rsidR="00FB0B0E">
        <w:rPr>
          <w:lang w:eastAsia="en-AU"/>
        </w:rPr>
        <w:t xml:space="preserve">may </w:t>
      </w:r>
      <w:r w:rsidR="000C6C68">
        <w:rPr>
          <w:lang w:eastAsia="en-AU"/>
        </w:rPr>
        <w:t>appear to be</w:t>
      </w:r>
      <w:r w:rsidR="00FB0B0E">
        <w:rPr>
          <w:lang w:eastAsia="en-AU"/>
        </w:rPr>
        <w:t xml:space="preserve"> beyond the immediate purview of </w:t>
      </w:r>
      <w:r w:rsidR="000C6C68">
        <w:rPr>
          <w:lang w:eastAsia="en-AU"/>
        </w:rPr>
        <w:t>telecommunications companies</w:t>
      </w:r>
      <w:r>
        <w:rPr>
          <w:lang w:eastAsia="en-AU"/>
        </w:rPr>
        <w:t xml:space="preserve"> (although some retailers are involved either directly or through the Australian Digital Inclusion Alliance)</w:t>
      </w:r>
      <w:r w:rsidR="000C6C68">
        <w:rPr>
          <w:lang w:eastAsia="en-AU"/>
        </w:rPr>
        <w:t xml:space="preserve">, but </w:t>
      </w:r>
      <w:r>
        <w:rPr>
          <w:lang w:eastAsia="en-AU"/>
        </w:rPr>
        <w:t xml:space="preserve">all retailers </w:t>
      </w:r>
      <w:r w:rsidR="00FB0B0E">
        <w:rPr>
          <w:lang w:eastAsia="en-AU"/>
        </w:rPr>
        <w:t xml:space="preserve">stand to benefit from increases in </w:t>
      </w:r>
      <w:r>
        <w:rPr>
          <w:lang w:eastAsia="en-AU"/>
        </w:rPr>
        <w:t>digital literacy</w:t>
      </w:r>
      <w:r w:rsidR="00FB0B0E">
        <w:rPr>
          <w:lang w:eastAsia="en-AU"/>
        </w:rPr>
        <w:t xml:space="preserve">. </w:t>
      </w:r>
      <w:r w:rsidR="00F5223B">
        <w:rPr>
          <w:lang w:eastAsia="en-AU"/>
        </w:rPr>
        <w:t xml:space="preserve">Given there are NGOs providing services in these areas, it would also be useful for </w:t>
      </w:r>
      <w:r w:rsidR="00FB0B0E">
        <w:rPr>
          <w:lang w:eastAsia="en-AU"/>
        </w:rPr>
        <w:t xml:space="preserve">telecommunication retailers </w:t>
      </w:r>
      <w:r w:rsidR="00F5223B">
        <w:rPr>
          <w:lang w:eastAsia="en-AU"/>
        </w:rPr>
        <w:t xml:space="preserve">to promote these </w:t>
      </w:r>
      <w:r w:rsidR="00FB0B0E">
        <w:rPr>
          <w:lang w:eastAsia="en-AU"/>
        </w:rPr>
        <w:t>NGOs services to their customers</w:t>
      </w:r>
      <w:r>
        <w:rPr>
          <w:lang w:eastAsia="en-AU"/>
        </w:rPr>
        <w:t xml:space="preserve"> as well as financial counselling</w:t>
      </w:r>
      <w:r w:rsidR="00FB0B0E">
        <w:rPr>
          <w:lang w:eastAsia="en-AU"/>
        </w:rPr>
        <w:t>.</w:t>
      </w:r>
    </w:p>
    <w:p w14:paraId="4E99ECE0" w14:textId="0C06DCE9" w:rsidR="00F5223B" w:rsidRPr="00F5223B" w:rsidRDefault="00F5223B" w:rsidP="00213797">
      <w:pPr>
        <w:rPr>
          <w:b/>
          <w:bCs/>
          <w:lang w:eastAsia="en-AU"/>
        </w:rPr>
      </w:pPr>
      <w:r>
        <w:rPr>
          <w:b/>
          <w:bCs/>
          <w:lang w:eastAsia="en-AU"/>
        </w:rPr>
        <w:t>Recommendation</w:t>
      </w:r>
      <w:r w:rsidR="001B0C76">
        <w:rPr>
          <w:b/>
          <w:bCs/>
          <w:lang w:eastAsia="en-AU"/>
        </w:rPr>
        <w:t xml:space="preserve"> </w:t>
      </w:r>
      <w:r w:rsidR="00ED2247">
        <w:rPr>
          <w:b/>
          <w:bCs/>
          <w:lang w:eastAsia="en-AU"/>
        </w:rPr>
        <w:t>8</w:t>
      </w:r>
    </w:p>
    <w:p w14:paraId="27B26558" w14:textId="77777777" w:rsidR="008E2A93" w:rsidRPr="00382EE5" w:rsidRDefault="008E2A93" w:rsidP="00382EE5">
      <w:pPr>
        <w:rPr>
          <w:b/>
          <w:bCs/>
          <w:i/>
          <w:iCs/>
          <w:lang w:eastAsia="en-AU"/>
        </w:rPr>
      </w:pPr>
      <w:r w:rsidRPr="00382EE5">
        <w:rPr>
          <w:b/>
          <w:bCs/>
          <w:i/>
          <w:iCs/>
          <w:lang w:eastAsia="en-AU"/>
        </w:rPr>
        <w:t>That telecommunications retailers provide information on financial counselling and digital literacy support services on all bills with previous monies owing, all reminder notices and all service restriction, suspension or disconnection notices.</w:t>
      </w:r>
    </w:p>
    <w:p w14:paraId="6BD8A0B2" w14:textId="6C30D042" w:rsidR="00213797" w:rsidRPr="00213797" w:rsidRDefault="00213797" w:rsidP="00246E08">
      <w:pPr>
        <w:pStyle w:val="Heading4"/>
        <w:rPr>
          <w:lang w:eastAsia="en-AU"/>
        </w:rPr>
      </w:pPr>
      <w:r w:rsidRPr="00213797">
        <w:rPr>
          <w:lang w:eastAsia="en-AU"/>
        </w:rPr>
        <w:t>Cultural Barriers</w:t>
      </w:r>
    </w:p>
    <w:p w14:paraId="7099BE2E" w14:textId="45C7B3E1" w:rsidR="00213797" w:rsidRPr="00213797" w:rsidRDefault="00213797" w:rsidP="00213797">
      <w:pPr>
        <w:rPr>
          <w:lang w:eastAsia="en-AU"/>
        </w:rPr>
      </w:pPr>
      <w:r w:rsidRPr="00213797">
        <w:rPr>
          <w:lang w:eastAsia="en-AU"/>
        </w:rPr>
        <w:t>The</w:t>
      </w:r>
      <w:r w:rsidR="009B6E9D">
        <w:rPr>
          <w:lang w:eastAsia="en-AU"/>
        </w:rPr>
        <w:t xml:space="preserve"> survey also showed that the</w:t>
      </w:r>
      <w:r w:rsidRPr="00213797">
        <w:rPr>
          <w:lang w:eastAsia="en-AU"/>
        </w:rPr>
        <w:t xml:space="preserve">re were significant cultural barriers to seeking help from charities and non-government welfare organisations. These were manifest in the number of respondents saying either that charities were for other “more needy” (remembering that all respondents were living at or below the poverty line). </w:t>
      </w:r>
      <w:r w:rsidR="009B6E9D">
        <w:rPr>
          <w:lang w:eastAsia="en-AU"/>
        </w:rPr>
        <w:t>The barriers were</w:t>
      </w:r>
      <w:r w:rsidRPr="00213797">
        <w:rPr>
          <w:lang w:eastAsia="en-AU"/>
        </w:rPr>
        <w:t xml:space="preserve"> also evident </w:t>
      </w:r>
      <w:r w:rsidR="009B6E9D">
        <w:rPr>
          <w:lang w:eastAsia="en-AU"/>
        </w:rPr>
        <w:t>where respondents said that</w:t>
      </w:r>
      <w:r w:rsidRPr="00213797">
        <w:rPr>
          <w:lang w:eastAsia="en-AU"/>
        </w:rPr>
        <w:t xml:space="preserve"> they would rather be independent, were too proud or would be ashamed/embarrassed to approach a charity for help, or just “wouldn’t want/like to”. All of these speak to a reluctance to seek help based on </w:t>
      </w:r>
      <w:r w:rsidR="009B6E9D">
        <w:rPr>
          <w:lang w:eastAsia="en-AU"/>
        </w:rPr>
        <w:t>a</w:t>
      </w:r>
      <w:r w:rsidRPr="00213797">
        <w:rPr>
          <w:lang w:eastAsia="en-AU"/>
        </w:rPr>
        <w:t xml:space="preserve"> notion that seeking help from charities is somehow not normal or is normatively bad – and not part of who they aspire to be or who they want to be seen to be.</w:t>
      </w:r>
    </w:p>
    <w:p w14:paraId="0C921A8F" w14:textId="5DCA1DAE" w:rsidR="00213797" w:rsidRPr="00213797" w:rsidRDefault="00213797" w:rsidP="00213797">
      <w:pPr>
        <w:rPr>
          <w:lang w:eastAsia="en-AU"/>
        </w:rPr>
      </w:pPr>
      <w:r w:rsidRPr="00213797">
        <w:rPr>
          <w:lang w:eastAsia="en-AU"/>
        </w:rPr>
        <w:t xml:space="preserve">This highlights a major challenge for non-government welfare organisations seeking to reach waged poor households. </w:t>
      </w:r>
      <w:r w:rsidR="008C5B85">
        <w:rPr>
          <w:lang w:eastAsia="en-AU"/>
        </w:rPr>
        <w:t>NGOs</w:t>
      </w:r>
      <w:r w:rsidRPr="00213797">
        <w:rPr>
          <w:lang w:eastAsia="en-AU"/>
        </w:rPr>
        <w:t xml:space="preserve"> clearly need to do work not just to inform those people what services are available, but </w:t>
      </w:r>
      <w:r w:rsidR="00651F74">
        <w:rPr>
          <w:lang w:eastAsia="en-AU"/>
        </w:rPr>
        <w:t>also to convince those in waged poverty that</w:t>
      </w:r>
      <w:r w:rsidRPr="00213797">
        <w:rPr>
          <w:lang w:eastAsia="en-AU"/>
        </w:rPr>
        <w:t xml:space="preserve"> it is ok to use th</w:t>
      </w:r>
      <w:r w:rsidR="00651F74">
        <w:rPr>
          <w:lang w:eastAsia="en-AU"/>
        </w:rPr>
        <w:t>ose services</w:t>
      </w:r>
      <w:r w:rsidRPr="00213797">
        <w:rPr>
          <w:lang w:eastAsia="en-AU"/>
        </w:rPr>
        <w:t xml:space="preserve">. Some of this might be about how people are dealt with when they arrive and </w:t>
      </w:r>
      <w:r w:rsidR="008C5B85">
        <w:rPr>
          <w:lang w:eastAsia="en-AU"/>
        </w:rPr>
        <w:t xml:space="preserve">being clear </w:t>
      </w:r>
      <w:r w:rsidRPr="00213797">
        <w:rPr>
          <w:lang w:eastAsia="en-AU"/>
        </w:rPr>
        <w:t xml:space="preserve">where there are eligibility criteria, but more generally it is about normalising the services in community culture. </w:t>
      </w:r>
    </w:p>
    <w:p w14:paraId="287FB7B6" w14:textId="665D1DB9" w:rsidR="00213797" w:rsidRPr="00213797" w:rsidRDefault="00213797" w:rsidP="00213797">
      <w:pPr>
        <w:rPr>
          <w:lang w:eastAsia="en-AU"/>
        </w:rPr>
      </w:pPr>
      <w:r w:rsidRPr="00213797">
        <w:rPr>
          <w:lang w:eastAsia="en-AU"/>
        </w:rPr>
        <w:t xml:space="preserve">There is also a gender dimension to this issue. In the survey there were 113 responses that dealt very directly with these cultural issues and used (or could be reduced to) words like ashamed, awkward, embarrassed, independence, or pride, or referred to others as more in need. </w:t>
      </w:r>
      <w:r w:rsidR="005E2CA7">
        <w:rPr>
          <w:lang w:eastAsia="en-AU"/>
        </w:rPr>
        <w:t>The gender composition in these responses</w:t>
      </w:r>
      <w:r w:rsidRPr="00213797">
        <w:rPr>
          <w:lang w:eastAsia="en-AU"/>
        </w:rPr>
        <w:t xml:space="preserve"> reflected </w:t>
      </w:r>
      <w:r w:rsidR="005E2CA7">
        <w:rPr>
          <w:lang w:eastAsia="en-AU"/>
        </w:rPr>
        <w:t>th</w:t>
      </w:r>
      <w:r w:rsidRPr="00213797">
        <w:rPr>
          <w:lang w:eastAsia="en-AU"/>
        </w:rPr>
        <w:t>e overall survey group</w:t>
      </w:r>
      <w:r w:rsidR="003650D8">
        <w:rPr>
          <w:lang w:eastAsia="en-AU"/>
        </w:rPr>
        <w:t xml:space="preserve"> demographic</w:t>
      </w:r>
      <w:r w:rsidRPr="00213797">
        <w:rPr>
          <w:lang w:eastAsia="en-AU"/>
        </w:rPr>
        <w:t xml:space="preserve">, but there were subtle differences in how </w:t>
      </w:r>
      <w:r w:rsidR="005E2CA7">
        <w:rPr>
          <w:lang w:eastAsia="en-AU"/>
        </w:rPr>
        <w:t>gender</w:t>
      </w:r>
      <w:r w:rsidRPr="00213797">
        <w:rPr>
          <w:lang w:eastAsia="en-AU"/>
        </w:rPr>
        <w:t xml:space="preserve"> was manifested in the responses. </w:t>
      </w:r>
    </w:p>
    <w:p w14:paraId="0BC665EE" w14:textId="41B79403" w:rsidR="00213797" w:rsidRPr="00213797" w:rsidRDefault="003650D8" w:rsidP="00213797">
      <w:pPr>
        <w:rPr>
          <w:lang w:eastAsia="en-AU"/>
        </w:rPr>
      </w:pPr>
      <w:r>
        <w:rPr>
          <w:lang w:eastAsia="en-AU"/>
        </w:rPr>
        <w:t>In one sense, b</w:t>
      </w:r>
      <w:r w:rsidR="00213797" w:rsidRPr="00213797">
        <w:rPr>
          <w:lang w:eastAsia="en-AU"/>
        </w:rPr>
        <w:t>eing ashamed, feeling awkward or embarrassed at approaching a charity are</w:t>
      </w:r>
      <w:r w:rsidR="005E2CA7">
        <w:rPr>
          <w:lang w:eastAsia="en-AU"/>
        </w:rPr>
        <w:t xml:space="preserve"> all</w:t>
      </w:r>
      <w:r w:rsidR="00213797" w:rsidRPr="00213797">
        <w:rPr>
          <w:lang w:eastAsia="en-AU"/>
        </w:rPr>
        <w:t xml:space="preserve"> simply negative expression</w:t>
      </w:r>
      <w:r>
        <w:rPr>
          <w:lang w:eastAsia="en-AU"/>
        </w:rPr>
        <w:t>s</w:t>
      </w:r>
      <w:r w:rsidR="00213797" w:rsidRPr="00213797">
        <w:rPr>
          <w:lang w:eastAsia="en-AU"/>
        </w:rPr>
        <w:t xml:space="preserve"> (“I should not be doing this”) of the same cultural barrier which is expressed positively as independence or pride (“I am better than that”). They stem from the same route of charity as “other” to their identity. </w:t>
      </w:r>
      <w:r w:rsidR="005E2CA7">
        <w:rPr>
          <w:lang w:eastAsia="en-AU"/>
        </w:rPr>
        <w:t xml:space="preserve">While </w:t>
      </w:r>
      <w:r>
        <w:rPr>
          <w:lang w:eastAsia="en-AU"/>
        </w:rPr>
        <w:t xml:space="preserve">the </w:t>
      </w:r>
      <w:r w:rsidR="005E2CA7">
        <w:rPr>
          <w:lang w:eastAsia="en-AU"/>
        </w:rPr>
        <w:t xml:space="preserve">women </w:t>
      </w:r>
      <w:r w:rsidR="005E2CA7" w:rsidRPr="00213797">
        <w:rPr>
          <w:lang w:eastAsia="en-AU"/>
        </w:rPr>
        <w:t xml:space="preserve">who cited these particular issues </w:t>
      </w:r>
      <w:r w:rsidR="005E2CA7">
        <w:rPr>
          <w:lang w:eastAsia="en-AU"/>
        </w:rPr>
        <w:t xml:space="preserve">were split fairly evenly in terms of how they expressed them (48% used the positive framing, 52% used the negative), </w:t>
      </w:r>
      <w:r w:rsidR="00213797" w:rsidRPr="00213797">
        <w:rPr>
          <w:lang w:eastAsia="en-AU"/>
        </w:rPr>
        <w:t>65% of the male respondents framed them as the positive (pride, or a desire to be independent)</w:t>
      </w:r>
      <w:r w:rsidR="005E2CA7">
        <w:rPr>
          <w:lang w:eastAsia="en-AU"/>
        </w:rPr>
        <w:t>, with only 34% using</w:t>
      </w:r>
      <w:r w:rsidR="00213797" w:rsidRPr="00213797">
        <w:rPr>
          <w:lang w:eastAsia="en-AU"/>
        </w:rPr>
        <w:t xml:space="preserve"> the negative framing. </w:t>
      </w:r>
    </w:p>
    <w:p w14:paraId="17E798F7" w14:textId="54C830BB" w:rsidR="00213797" w:rsidRPr="00213797" w:rsidRDefault="00213797" w:rsidP="00213797">
      <w:pPr>
        <w:rPr>
          <w:lang w:eastAsia="en-AU"/>
        </w:rPr>
      </w:pPr>
      <w:r w:rsidRPr="00213797">
        <w:rPr>
          <w:lang w:eastAsia="en-AU"/>
        </w:rPr>
        <w:lastRenderedPageBreak/>
        <w:t xml:space="preserve">It should be stressed that the numbers in this sample were small and the categorisation of responses had some level of arbitrariness, but there is enough in the responses to warrant further investigation by charities and </w:t>
      </w:r>
      <w:r w:rsidR="002D3D2D">
        <w:rPr>
          <w:lang w:eastAsia="en-AU"/>
        </w:rPr>
        <w:t>NGOs</w:t>
      </w:r>
      <w:r w:rsidRPr="00213797">
        <w:rPr>
          <w:lang w:eastAsia="en-AU"/>
        </w:rPr>
        <w:t xml:space="preserve"> seeking to overcome these cultural barriers to service delivery.</w:t>
      </w:r>
    </w:p>
    <w:p w14:paraId="04FDBA33" w14:textId="205A98A6" w:rsidR="00213797" w:rsidRPr="00213797" w:rsidRDefault="00213797" w:rsidP="00213797">
      <w:pPr>
        <w:rPr>
          <w:lang w:eastAsia="en-AU"/>
        </w:rPr>
      </w:pPr>
      <w:r w:rsidRPr="00213797">
        <w:rPr>
          <w:lang w:eastAsia="en-AU"/>
        </w:rPr>
        <w:t xml:space="preserve">But there are further issues for charities and non-government organisations in relation to these cultural barriers, because some charities themselves help create the notion that seeking their help is not normal. The “poverty porn” used in some charities’ communications and marketing posits the charity recipient as “other” – a person who is </w:t>
      </w:r>
      <w:r w:rsidR="00875B99">
        <w:rPr>
          <w:lang w:eastAsia="en-AU"/>
        </w:rPr>
        <w:t xml:space="preserve">an object of pity, </w:t>
      </w:r>
      <w:r w:rsidRPr="00213797">
        <w:rPr>
          <w:lang w:eastAsia="en-AU"/>
        </w:rPr>
        <w:t>and therefore different to us. Such approaches are powerful in eliciting responses (and money) for charities, but they reinforce the notion that charities are for hopeless and unfortunate people – not for people who are employed and earning an income, no matter how low.</w:t>
      </w:r>
    </w:p>
    <w:p w14:paraId="775AF8F1" w14:textId="50FB0C16" w:rsidR="00213797" w:rsidRDefault="00E94311" w:rsidP="00213797">
      <w:pPr>
        <w:rPr>
          <w:lang w:eastAsia="en-AU"/>
        </w:rPr>
      </w:pPr>
      <w:r>
        <w:rPr>
          <w:lang w:eastAsia="en-AU"/>
        </w:rPr>
        <w:t>F</w:t>
      </w:r>
      <w:r w:rsidR="00213797" w:rsidRPr="00213797">
        <w:rPr>
          <w:lang w:eastAsia="en-AU"/>
        </w:rPr>
        <w:t xml:space="preserve">ew charities try to pitch themselves as being a mainstream part of life – although Foodbank SA’s association with Port Power football club was a notable exception because there is no better way to normalise your services to a mainstream and proudly male audience than to be associated with an AFL club. However, such mainstreaming is also risky for </w:t>
      </w:r>
      <w:r>
        <w:rPr>
          <w:lang w:eastAsia="en-AU"/>
        </w:rPr>
        <w:t>NGO</w:t>
      </w:r>
      <w:r w:rsidR="00213797" w:rsidRPr="00213797">
        <w:rPr>
          <w:lang w:eastAsia="en-AU"/>
        </w:rPr>
        <w:t xml:space="preserve">s – both </w:t>
      </w:r>
      <w:r w:rsidR="00BE0DF3">
        <w:rPr>
          <w:lang w:eastAsia="en-AU"/>
        </w:rPr>
        <w:t xml:space="preserve">because </w:t>
      </w:r>
      <w:r w:rsidR="00213797" w:rsidRPr="00213797">
        <w:rPr>
          <w:lang w:eastAsia="en-AU"/>
        </w:rPr>
        <w:t xml:space="preserve">successful marketing may see them over-run with people seeking support, but also </w:t>
      </w:r>
      <w:r>
        <w:rPr>
          <w:lang w:eastAsia="en-AU"/>
        </w:rPr>
        <w:t>because</w:t>
      </w:r>
      <w:r w:rsidR="00213797" w:rsidRPr="00213797">
        <w:rPr>
          <w:lang w:eastAsia="en-AU"/>
        </w:rPr>
        <w:t xml:space="preserve"> government funders often want tightly targeted services (so they fulfil criteria mis-labelled as value-for-money) and private donors might question where their money is going if they are seen to be advertising and spending on mainstream pursuits. It is a genuinely difficult balance.</w:t>
      </w:r>
    </w:p>
    <w:p w14:paraId="3942CFA8" w14:textId="6AFF2163" w:rsidR="00B47A62" w:rsidRDefault="00B47A62" w:rsidP="00B47A62">
      <w:pPr>
        <w:rPr>
          <w:lang w:eastAsia="en-AU"/>
        </w:rPr>
      </w:pPr>
      <w:r>
        <w:rPr>
          <w:lang w:eastAsia="en-AU"/>
        </w:rPr>
        <w:t xml:space="preserve">It is also worth noting that the cultural barriers may not attach to the charities as organisations, but the act of receiving charity. One of the interviewees said she had never gone to a charity for help and would sacrifice other things to ensure bills were paid on time rather than seek help from a charity. But, </w:t>
      </w:r>
    </w:p>
    <w:p w14:paraId="532533BA" w14:textId="04D95803" w:rsidR="00B47A62" w:rsidRDefault="00B47A62" w:rsidP="00384367">
      <w:pPr>
        <w:ind w:left="720"/>
        <w:rPr>
          <w:lang w:eastAsia="en-AU"/>
        </w:rPr>
      </w:pPr>
      <w:r>
        <w:t>op shops. I think they're really helpful to me. I get a lot of my needs from thrift shops and op shops, so they already helping me in a way</w:t>
      </w:r>
      <w:r w:rsidR="00616C54">
        <w:t>. [Ariel]</w:t>
      </w:r>
    </w:p>
    <w:p w14:paraId="2BE2B54F" w14:textId="0A97C931" w:rsidR="00213797" w:rsidRPr="00213797" w:rsidRDefault="00384367" w:rsidP="00213797">
      <w:pPr>
        <w:rPr>
          <w:lang w:eastAsia="en-AU"/>
        </w:rPr>
      </w:pPr>
      <w:r>
        <w:rPr>
          <w:lang w:eastAsia="en-AU"/>
        </w:rPr>
        <w:t xml:space="preserve">This commercial transaction element is </w:t>
      </w:r>
      <w:r w:rsidR="00BE0DF3">
        <w:rPr>
          <w:lang w:eastAsia="en-AU"/>
        </w:rPr>
        <w:t xml:space="preserve">also </w:t>
      </w:r>
      <w:r>
        <w:rPr>
          <w:lang w:eastAsia="en-AU"/>
        </w:rPr>
        <w:t>important when considered on a grander scale, namely the</w:t>
      </w:r>
      <w:r w:rsidR="00213797" w:rsidRPr="00213797">
        <w:rPr>
          <w:lang w:eastAsia="en-AU"/>
        </w:rPr>
        <w:t xml:space="preserve"> </w:t>
      </w:r>
      <w:r>
        <w:rPr>
          <w:lang w:eastAsia="en-AU"/>
        </w:rPr>
        <w:t xml:space="preserve">comparison with a fully </w:t>
      </w:r>
      <w:r w:rsidR="00213797" w:rsidRPr="00213797">
        <w:rPr>
          <w:lang w:eastAsia="en-AU"/>
        </w:rPr>
        <w:t xml:space="preserve">commercial </w:t>
      </w:r>
      <w:r>
        <w:rPr>
          <w:lang w:eastAsia="en-AU"/>
        </w:rPr>
        <w:t>operati</w:t>
      </w:r>
      <w:r w:rsidR="00213797" w:rsidRPr="00213797">
        <w:rPr>
          <w:lang w:eastAsia="en-AU"/>
        </w:rPr>
        <w:t xml:space="preserve">on. </w:t>
      </w:r>
      <w:r w:rsidR="00213797" w:rsidRPr="00384367">
        <w:rPr>
          <w:i/>
          <w:iCs/>
          <w:lang w:eastAsia="en-AU"/>
        </w:rPr>
        <w:t>MyBudget</w:t>
      </w:r>
      <w:r w:rsidR="00213797" w:rsidRPr="00213797">
        <w:rPr>
          <w:lang w:eastAsia="en-AU"/>
        </w:rPr>
        <w:t xml:space="preserve"> is a for-profit purveyor of basic financial advice and money management services. Since its inception in 1999, the company </w:t>
      </w:r>
      <w:r w:rsidR="00545EC9">
        <w:rPr>
          <w:lang w:eastAsia="en-AU"/>
        </w:rPr>
        <w:t>has grown</w:t>
      </w:r>
      <w:r w:rsidR="00213797" w:rsidRPr="00213797">
        <w:rPr>
          <w:lang w:eastAsia="en-AU"/>
        </w:rPr>
        <w:t xml:space="preserve"> rapidly and has built a multi-million dollar empire targeting its services to people struggling financially. While some in the not-for-profit sector and elsewhere decry the fees charged (including for services which sector financial counsellors offer for free) and the making of money from people’s misery </w:t>
      </w:r>
      <w:r w:rsidR="00213797" w:rsidRPr="00213797">
        <w:rPr>
          <w:lang w:eastAsia="en-AU"/>
        </w:rPr>
        <w:fldChar w:fldCharType="begin"/>
      </w:r>
      <w:r w:rsidR="008E107E">
        <w:rPr>
          <w:lang w:eastAsia="en-AU"/>
        </w:rPr>
        <w:instrText xml:space="preserve"> ADDIN ZOTERO_ITEM CSL_CITATION {"citationID":"Ptd4KSJD","properties":{"formattedCitation":"(\\uc0\\u8220{}Wikipedia - My Budget,\\uc0\\u8221{} 2019)","plainCitation":"(“Wikipedia - My Budget,” 2019)","noteIndex":0},"citationItems":[{"id":5,"uris":["http://zotero.org/groups/2380274/items/CK9EIG58"],"uri":["http://zotero.org/groups/2380274/items/CK9EIG58"],"itemData":{"id":5,"type":"webpage","container-title":"Wikipedia","title":"Wikipedia - My Budget","URL":"https://en.wikipedia.org/wiki/MyBudget","accessed":{"date-parts":[["2020",4,6]]},"issued":{"date-parts":[["2019"]]}}}],"schema":"https://github.com/citation-style-language/schema/raw/master/csl-citation.json"} </w:instrText>
      </w:r>
      <w:r w:rsidR="00213797" w:rsidRPr="00213797">
        <w:rPr>
          <w:lang w:eastAsia="en-AU"/>
        </w:rPr>
        <w:fldChar w:fldCharType="separate"/>
      </w:r>
      <w:r w:rsidR="00213797" w:rsidRPr="00213797">
        <w:rPr>
          <w:lang w:eastAsia="en-AU"/>
        </w:rPr>
        <w:t>(“Wikipedia - My Budget,” 2019)</w:t>
      </w:r>
      <w:r w:rsidR="00213797" w:rsidRPr="00213797">
        <w:rPr>
          <w:lang w:eastAsia="en-AU"/>
        </w:rPr>
        <w:fldChar w:fldCharType="end"/>
      </w:r>
      <w:r w:rsidR="00B47A62">
        <w:rPr>
          <w:lang w:eastAsia="en-AU"/>
        </w:rPr>
        <w:t>, i</w:t>
      </w:r>
      <w:r w:rsidR="00213797" w:rsidRPr="00213797">
        <w:rPr>
          <w:lang w:eastAsia="en-AU"/>
        </w:rPr>
        <w:t xml:space="preserve">t is not always clear why it is morally wrong to </w:t>
      </w:r>
      <w:r w:rsidR="00B47A62">
        <w:rPr>
          <w:lang w:eastAsia="en-AU"/>
        </w:rPr>
        <w:t xml:space="preserve">take money for managing a poor person’s budget, but not </w:t>
      </w:r>
      <w:r w:rsidR="00545EC9">
        <w:rPr>
          <w:lang w:eastAsia="en-AU"/>
        </w:rPr>
        <w:t>for</w:t>
      </w:r>
      <w:r w:rsidR="00213797" w:rsidRPr="00213797">
        <w:rPr>
          <w:lang w:eastAsia="en-AU"/>
        </w:rPr>
        <w:t xml:space="preserve"> manag</w:t>
      </w:r>
      <w:r w:rsidR="00545EC9">
        <w:rPr>
          <w:lang w:eastAsia="en-AU"/>
        </w:rPr>
        <w:t>ing</w:t>
      </w:r>
      <w:r w:rsidR="00213797" w:rsidRPr="00213797">
        <w:rPr>
          <w:lang w:eastAsia="en-AU"/>
        </w:rPr>
        <w:t xml:space="preserve"> </w:t>
      </w:r>
      <w:r w:rsidR="00B47A62">
        <w:rPr>
          <w:lang w:eastAsia="en-AU"/>
        </w:rPr>
        <w:t>say, their medical requirements (as a G</w:t>
      </w:r>
      <w:r w:rsidR="00B97351">
        <w:rPr>
          <w:lang w:eastAsia="en-AU"/>
        </w:rPr>
        <w:t xml:space="preserve">P </w:t>
      </w:r>
      <w:r w:rsidR="00B47A62">
        <w:rPr>
          <w:lang w:eastAsia="en-AU"/>
        </w:rPr>
        <w:t>might)</w:t>
      </w:r>
      <w:r w:rsidR="00213797" w:rsidRPr="00213797">
        <w:rPr>
          <w:lang w:eastAsia="en-AU"/>
        </w:rPr>
        <w:t xml:space="preserve">. </w:t>
      </w:r>
    </w:p>
    <w:p w14:paraId="7C7E90F1" w14:textId="67E6BC62" w:rsidR="00213797" w:rsidRPr="00213797" w:rsidRDefault="00213797" w:rsidP="00213797">
      <w:pPr>
        <w:rPr>
          <w:lang w:eastAsia="en-AU"/>
        </w:rPr>
      </w:pPr>
      <w:r w:rsidRPr="00213797">
        <w:rPr>
          <w:lang w:eastAsia="en-AU"/>
        </w:rPr>
        <w:t>More importantly for the discussion here, MyBudget’s advertising is aimed at those on low incomes, but it does not “other” them – it presents a service to happy clients who are back on their feet and part of mainstream Australia. Their website is explicit:</w:t>
      </w:r>
    </w:p>
    <w:p w14:paraId="1E8B57BA" w14:textId="63F09B24" w:rsidR="00213797" w:rsidRPr="00213797" w:rsidRDefault="00213797" w:rsidP="00B47A62">
      <w:pPr>
        <w:ind w:left="720"/>
        <w:rPr>
          <w:lang w:eastAsia="en-AU"/>
        </w:rPr>
      </w:pPr>
      <w:r w:rsidRPr="00213797">
        <w:rPr>
          <w:lang w:eastAsia="en-AU"/>
        </w:rPr>
        <w:t>“If you feel embarrassed about being in debt, there's no need to. Many people across Australia are in the same exact financial position as you.”</w:t>
      </w:r>
      <w:r w:rsidRPr="00213797">
        <w:rPr>
          <w:lang w:eastAsia="en-AU"/>
        </w:rPr>
        <w:fldChar w:fldCharType="begin"/>
      </w:r>
      <w:r w:rsidR="008E107E">
        <w:rPr>
          <w:lang w:eastAsia="en-AU"/>
        </w:rPr>
        <w:instrText xml:space="preserve"> ADDIN ZOTERO_ITEM CSL_CITATION {"citationID":"r4Ki2Q3j","properties":{"formattedCitation":"(\\uc0\\u8220{}MyBudget - Debt Solutions,\\uc0\\u8221{} 2019)","plainCitation":"(“MyBudget - Debt Solutions,” 2019)","noteIndex":0},"citationItems":[{"id":6,"uris":["http://zotero.org/groups/2380274/items/VD2BFARU"],"uri":["http://zotero.org/groups/2380274/items/VD2BFARU"],"itemData":{"id":6,"type":"webpage","container-title":"My Budget","title":"MyBudget - Debt Solutions","URL":"https://www.mybudget.com.au/debt-solutions/get-out-of-debt/","accessed":{"date-parts":[["2020",4,6]]},"issued":{"date-parts":[["2019"]]}}}],"schema":"https://github.com/citation-style-language/schema/raw/master/csl-citation.json"} </w:instrText>
      </w:r>
      <w:r w:rsidRPr="00213797">
        <w:rPr>
          <w:lang w:eastAsia="en-AU"/>
        </w:rPr>
        <w:fldChar w:fldCharType="separate"/>
      </w:r>
      <w:r w:rsidRPr="00213797">
        <w:rPr>
          <w:lang w:eastAsia="en-AU"/>
        </w:rPr>
        <w:t>(“MyBudget - Debt Solutions,” 2019)</w:t>
      </w:r>
      <w:r w:rsidRPr="00213797">
        <w:rPr>
          <w:lang w:eastAsia="en-AU"/>
        </w:rPr>
        <w:fldChar w:fldCharType="end"/>
      </w:r>
      <w:r w:rsidRPr="00213797">
        <w:rPr>
          <w:lang w:eastAsia="en-AU"/>
        </w:rPr>
        <w:t xml:space="preserve"> </w:t>
      </w:r>
    </w:p>
    <w:p w14:paraId="3D156B1B" w14:textId="27FEE907" w:rsidR="00735C99" w:rsidRDefault="00213797" w:rsidP="00BE0DF3">
      <w:pPr>
        <w:rPr>
          <w:lang w:eastAsia="en-AU"/>
        </w:rPr>
      </w:pPr>
      <w:r w:rsidRPr="00213797">
        <w:rPr>
          <w:lang w:eastAsia="en-AU"/>
        </w:rPr>
        <w:lastRenderedPageBreak/>
        <w:t>The clients are not objects of pity or marginalised people</w:t>
      </w:r>
      <w:r w:rsidR="00B47A62">
        <w:rPr>
          <w:lang w:eastAsia="en-AU"/>
        </w:rPr>
        <w:t>. There are,</w:t>
      </w:r>
      <w:r w:rsidRPr="00213797">
        <w:rPr>
          <w:lang w:eastAsia="en-AU"/>
        </w:rPr>
        <w:t xml:space="preserve"> according to their website</w:t>
      </w:r>
      <w:r w:rsidR="00B47A62">
        <w:rPr>
          <w:lang w:eastAsia="en-AU"/>
        </w:rPr>
        <w:t>,</w:t>
      </w:r>
      <w:r w:rsidRPr="00213797">
        <w:rPr>
          <w:lang w:eastAsia="en-AU"/>
        </w:rPr>
        <w:t xml:space="preserve"> over 110,000 </w:t>
      </w:r>
      <w:r w:rsidR="00B47A62">
        <w:rPr>
          <w:lang w:eastAsia="en-AU"/>
        </w:rPr>
        <w:t>customers</w:t>
      </w:r>
      <w:r w:rsidRPr="00213797">
        <w:rPr>
          <w:lang w:eastAsia="en-AU"/>
        </w:rPr>
        <w:t xml:space="preserve"> </w:t>
      </w:r>
      <w:r w:rsidR="00B47A62" w:rsidRPr="00213797">
        <w:rPr>
          <w:lang w:eastAsia="en-AU"/>
        </w:rPr>
        <w:fldChar w:fldCharType="begin"/>
      </w:r>
      <w:r w:rsidR="008E107E">
        <w:rPr>
          <w:lang w:eastAsia="en-AU"/>
        </w:rPr>
        <w:instrText xml:space="preserve"> ADDIN ZOTERO_ITEM CSL_CITATION {"citationID":"Eq4V0uJs","properties":{"formattedCitation":"(\\uc0\\u8220{}MyBudget - How It Works,\\uc0\\u8221{} 2019)","plainCitation":"(“MyBudget - How It Works,” 2019)","noteIndex":0},"citationItems":[{"id":7,"uris":["http://zotero.org/groups/2380274/items/96B4DVFI"],"uri":["http://zotero.org/groups/2380274/items/96B4DVFI"],"itemData":{"id":7,"type":"webpage","container-title":"My Budget","title":"MyBudget - How It Works","URL":"https://www.mybudget.com.au/how-does-it-work/","accessed":{"date-parts":[["2020",4,6]]},"issued":{"date-parts":[["2019"]]}}}],"schema":"https://github.com/citation-style-language/schema/raw/master/csl-citation.json"} </w:instrText>
      </w:r>
      <w:r w:rsidR="00B47A62" w:rsidRPr="00213797">
        <w:rPr>
          <w:lang w:eastAsia="en-AU"/>
        </w:rPr>
        <w:fldChar w:fldCharType="separate"/>
      </w:r>
      <w:r w:rsidR="00B47A62" w:rsidRPr="00213797">
        <w:rPr>
          <w:lang w:eastAsia="en-AU"/>
        </w:rPr>
        <w:t>(“MyBudget - How It Works,” 2019)</w:t>
      </w:r>
      <w:r w:rsidR="00B47A62" w:rsidRPr="00213797">
        <w:rPr>
          <w:lang w:eastAsia="en-AU"/>
        </w:rPr>
        <w:fldChar w:fldCharType="end"/>
      </w:r>
      <w:r w:rsidR="00B47A62">
        <w:rPr>
          <w:lang w:eastAsia="en-AU"/>
        </w:rPr>
        <w:t xml:space="preserve">, and judging by the photos and stories </w:t>
      </w:r>
      <w:r w:rsidRPr="00213797">
        <w:rPr>
          <w:lang w:eastAsia="en-AU"/>
        </w:rPr>
        <w:t>they appear very white and mainstream</w:t>
      </w:r>
      <w:r w:rsidR="00B47A62">
        <w:rPr>
          <w:lang w:eastAsia="en-AU"/>
        </w:rPr>
        <w:t>!</w:t>
      </w:r>
      <w:r w:rsidRPr="00213797">
        <w:rPr>
          <w:lang w:eastAsia="en-AU"/>
        </w:rPr>
        <w:t xml:space="preserve"> The absence of marginalised people is problematic for obvious reasons, </w:t>
      </w:r>
      <w:r w:rsidR="00BE0DF3">
        <w:rPr>
          <w:lang w:eastAsia="en-AU"/>
        </w:rPr>
        <w:t xml:space="preserve">and the success of the people highlighted in their advertising might also be open to question, </w:t>
      </w:r>
      <w:r w:rsidRPr="00213797">
        <w:rPr>
          <w:lang w:eastAsia="en-AU"/>
        </w:rPr>
        <w:t xml:space="preserve">but </w:t>
      </w:r>
      <w:r w:rsidR="00BE0DF3">
        <w:rPr>
          <w:lang w:eastAsia="en-AU"/>
        </w:rPr>
        <w:t xml:space="preserve">the point here is not whether they are offering good services. The point is that in taking a different marketing approach, </w:t>
      </w:r>
      <w:r w:rsidRPr="00213797">
        <w:rPr>
          <w:lang w:eastAsia="en-AU"/>
        </w:rPr>
        <w:t xml:space="preserve">MyBudget has been hugely successful in attracting clients in financial stress </w:t>
      </w:r>
      <w:r w:rsidR="00BE0DF3">
        <w:rPr>
          <w:lang w:eastAsia="en-AU"/>
        </w:rPr>
        <w:t xml:space="preserve">whose needs were </w:t>
      </w:r>
      <w:r w:rsidRPr="00213797">
        <w:rPr>
          <w:lang w:eastAsia="en-AU"/>
        </w:rPr>
        <w:t>not being met by NGO services</w:t>
      </w:r>
      <w:r w:rsidR="00D878FC">
        <w:rPr>
          <w:lang w:eastAsia="en-AU"/>
        </w:rPr>
        <w:t>. And in doing that,</w:t>
      </w:r>
      <w:r w:rsidR="00BE0DF3">
        <w:rPr>
          <w:lang w:eastAsia="en-AU"/>
        </w:rPr>
        <w:t xml:space="preserve"> </w:t>
      </w:r>
      <w:r w:rsidRPr="00213797">
        <w:rPr>
          <w:lang w:eastAsia="en-AU"/>
        </w:rPr>
        <w:t>they have been successful in overcoming the cultural barriers to seeking financial help</w:t>
      </w:r>
      <w:r w:rsidR="0064026B">
        <w:rPr>
          <w:lang w:eastAsia="en-AU"/>
        </w:rPr>
        <w:t>,</w:t>
      </w:r>
      <w:r w:rsidRPr="00213797">
        <w:rPr>
          <w:lang w:eastAsia="en-AU"/>
        </w:rPr>
        <w:t xml:space="preserve"> whereas the marketing of some NGOs contributes to those cultural barriers</w:t>
      </w:r>
      <w:r w:rsidR="00384367">
        <w:rPr>
          <w:lang w:eastAsia="en-AU"/>
        </w:rPr>
        <w:t xml:space="preserve"> </w:t>
      </w:r>
    </w:p>
    <w:p w14:paraId="3CF633FF" w14:textId="7C81EE27" w:rsidR="00735C99" w:rsidRDefault="00D878FC" w:rsidP="00213797">
      <w:pPr>
        <w:rPr>
          <w:lang w:eastAsia="en-AU"/>
        </w:rPr>
      </w:pPr>
      <w:r>
        <w:rPr>
          <w:lang w:eastAsia="en-AU"/>
        </w:rPr>
        <w:t>This is an issue for the whole charity sector and a</w:t>
      </w:r>
      <w:r w:rsidR="00384367">
        <w:rPr>
          <w:lang w:eastAsia="en-AU"/>
        </w:rPr>
        <w:t xml:space="preserve">gain, the commercial comparison is </w:t>
      </w:r>
      <w:r w:rsidR="00735C99">
        <w:rPr>
          <w:lang w:eastAsia="en-AU"/>
        </w:rPr>
        <w:t>useful. If a business found that 23% of a potential core market did not know about their product and another 40% thought their whole industry was a problem, then alarm bells would be ringing and they would be doing serious marketing – at an industry level as well as individually. Something similar may be needed in the charitable sector</w:t>
      </w:r>
      <w:r w:rsidR="006C2E42">
        <w:rPr>
          <w:lang w:eastAsia="en-AU"/>
        </w:rPr>
        <w:t xml:space="preserve"> – and if so, it needs to be</w:t>
      </w:r>
      <w:r w:rsidR="00735C99">
        <w:rPr>
          <w:lang w:eastAsia="en-AU"/>
        </w:rPr>
        <w:t xml:space="preserve"> done in a way which is empowering rather than “othering”. This probably requires the co-operation of government or in this case, potentially the telecommunication</w:t>
      </w:r>
      <w:r w:rsidR="00EB55D5">
        <w:rPr>
          <w:lang w:eastAsia="en-AU"/>
        </w:rPr>
        <w:t>s</w:t>
      </w:r>
      <w:r w:rsidR="00735C99">
        <w:rPr>
          <w:lang w:eastAsia="en-AU"/>
        </w:rPr>
        <w:t xml:space="preserve"> industry to fund such advertising </w:t>
      </w:r>
      <w:r w:rsidR="0064026B">
        <w:rPr>
          <w:lang w:eastAsia="en-AU"/>
        </w:rPr>
        <w:t>– p</w:t>
      </w:r>
      <w:r w:rsidR="00735C99">
        <w:rPr>
          <w:lang w:eastAsia="en-AU"/>
        </w:rPr>
        <w:t xml:space="preserve">otentially </w:t>
      </w:r>
      <w:r w:rsidR="0064026B">
        <w:rPr>
          <w:lang w:eastAsia="en-AU"/>
        </w:rPr>
        <w:t xml:space="preserve">working </w:t>
      </w:r>
      <w:r w:rsidR="00735C99">
        <w:rPr>
          <w:lang w:eastAsia="en-AU"/>
        </w:rPr>
        <w:t>through NFP peak bodies or alliances of organisations</w:t>
      </w:r>
      <w:r w:rsidR="00885FFF">
        <w:rPr>
          <w:lang w:eastAsia="en-AU"/>
        </w:rPr>
        <w:t xml:space="preserve"> such as the Thriving Communities Partnership which already brings together community organisations</w:t>
      </w:r>
      <w:r w:rsidR="00A53297">
        <w:rPr>
          <w:lang w:eastAsia="en-AU"/>
        </w:rPr>
        <w:t xml:space="preserve"> with businesses in utilities, financial services, telecommunications and transport </w:t>
      </w:r>
      <w:r w:rsidR="00A53297">
        <w:rPr>
          <w:lang w:eastAsia="en-AU"/>
        </w:rPr>
        <w:fldChar w:fldCharType="begin"/>
      </w:r>
      <w:r w:rsidR="00A53297">
        <w:rPr>
          <w:lang w:eastAsia="en-AU"/>
        </w:rPr>
        <w:instrText xml:space="preserve"> ADDIN ZOTERO_ITEM CSL_CITATION {"citationID":"U3IyRaYd","properties":{"formattedCitation":"(TCP, 2020)","plainCitation":"(TCP, 2020)","noteIndex":0},"citationItems":[{"id":99,"uris":["http://zotero.org/groups/2380274/items/BR8SJFIN"],"uri":["http://zotero.org/groups/2380274/items/BR8SJFIN"],"itemData":{"id":99,"type":"webpage","container-title":"Thriving Communities Partnership","title":"Thriving Communities Parternship - About Us","URL":"https://thriving.org.au/about-tcp","author":[{"family":"TCP","given":""}],"accessed":{"date-parts":[["2020",5,31]]},"issued":{"date-parts":[["2020"]]}}}],"schema":"https://github.com/citation-style-language/schema/raw/master/csl-citation.json"} </w:instrText>
      </w:r>
      <w:r w:rsidR="00A53297">
        <w:rPr>
          <w:lang w:eastAsia="en-AU"/>
        </w:rPr>
        <w:fldChar w:fldCharType="separate"/>
      </w:r>
      <w:r w:rsidR="00A53297" w:rsidRPr="00A53297">
        <w:rPr>
          <w:rFonts w:cs="Calibri"/>
        </w:rPr>
        <w:t>(TCP, 2020)</w:t>
      </w:r>
      <w:r w:rsidR="00A53297">
        <w:rPr>
          <w:lang w:eastAsia="en-AU"/>
        </w:rPr>
        <w:fldChar w:fldCharType="end"/>
      </w:r>
      <w:r w:rsidR="0064026B">
        <w:rPr>
          <w:lang w:eastAsia="en-AU"/>
        </w:rPr>
        <w:t>.</w:t>
      </w:r>
    </w:p>
    <w:p w14:paraId="7CEFA462" w14:textId="34FF1DA6" w:rsidR="00213797" w:rsidRPr="006C2E42" w:rsidRDefault="006C2E42" w:rsidP="005923F7">
      <w:pPr>
        <w:rPr>
          <w:b/>
          <w:bCs/>
          <w:lang w:eastAsia="en-AU"/>
        </w:rPr>
      </w:pPr>
      <w:r>
        <w:rPr>
          <w:b/>
          <w:bCs/>
          <w:lang w:eastAsia="en-AU"/>
        </w:rPr>
        <w:t>Recommendation</w:t>
      </w:r>
      <w:r w:rsidR="001B0C76">
        <w:rPr>
          <w:b/>
          <w:bCs/>
          <w:lang w:eastAsia="en-AU"/>
        </w:rPr>
        <w:t xml:space="preserve"> </w:t>
      </w:r>
      <w:r w:rsidR="00ED2247">
        <w:rPr>
          <w:b/>
          <w:bCs/>
          <w:lang w:eastAsia="en-AU"/>
        </w:rPr>
        <w:t>9</w:t>
      </w:r>
    </w:p>
    <w:p w14:paraId="10822F80" w14:textId="45E3F2C3" w:rsidR="001B58E5" w:rsidRPr="006C2E42" w:rsidRDefault="006C2E42" w:rsidP="00AE36AE">
      <w:pPr>
        <w:rPr>
          <w:b/>
          <w:bCs/>
          <w:i/>
          <w:iCs/>
          <w:lang w:val="en-US" w:eastAsia="ja-JP"/>
        </w:rPr>
      </w:pPr>
      <w:r w:rsidRPr="006C2E42">
        <w:rPr>
          <w:b/>
          <w:bCs/>
          <w:i/>
          <w:iCs/>
          <w:lang w:val="en-US" w:eastAsia="ja-JP"/>
        </w:rPr>
        <w:t xml:space="preserve">That consideration be given to developing an alliance of government, industry and </w:t>
      </w:r>
      <w:r w:rsidR="00F81B9D">
        <w:rPr>
          <w:b/>
          <w:bCs/>
          <w:i/>
          <w:iCs/>
          <w:lang w:val="en-US" w:eastAsia="ja-JP"/>
        </w:rPr>
        <w:t>the charity</w:t>
      </w:r>
      <w:r w:rsidRPr="006C2E42">
        <w:rPr>
          <w:b/>
          <w:bCs/>
          <w:i/>
          <w:iCs/>
          <w:lang w:val="en-US" w:eastAsia="ja-JP"/>
        </w:rPr>
        <w:t xml:space="preserve"> sector </w:t>
      </w:r>
      <w:r w:rsidR="00885FFF">
        <w:rPr>
          <w:b/>
          <w:bCs/>
          <w:i/>
          <w:iCs/>
          <w:lang w:val="en-US" w:eastAsia="ja-JP"/>
        </w:rPr>
        <w:t xml:space="preserve">(or working through existing structures such as the Thriving Communities Partnership) </w:t>
      </w:r>
      <w:r w:rsidRPr="006C2E42">
        <w:rPr>
          <w:b/>
          <w:bCs/>
          <w:i/>
          <w:iCs/>
          <w:lang w:val="en-US" w:eastAsia="ja-JP"/>
        </w:rPr>
        <w:t>to enable some pro-active, positive promotion of support services available to those who struggle with telecommunications bills or digital literacy.</w:t>
      </w:r>
    </w:p>
    <w:p w14:paraId="6D650A8D" w14:textId="77777777" w:rsidR="001B58E5" w:rsidRDefault="001B58E5" w:rsidP="00AE36AE">
      <w:pPr>
        <w:rPr>
          <w:lang w:val="en-US" w:eastAsia="ja-JP"/>
        </w:rPr>
      </w:pPr>
    </w:p>
    <w:p w14:paraId="5852C73F" w14:textId="3FAF8C61" w:rsidR="006532DE" w:rsidRDefault="00AD1F3B" w:rsidP="00DD6F0E">
      <w:pPr>
        <w:pStyle w:val="Heading1"/>
        <w:rPr>
          <w:lang w:val="en-US" w:eastAsia="ja-JP"/>
        </w:rPr>
      </w:pPr>
      <w:bookmarkStart w:id="81" w:name="_Toc42719045"/>
      <w:r>
        <w:rPr>
          <w:lang w:val="en-US" w:eastAsia="ja-JP"/>
        </w:rPr>
        <w:lastRenderedPageBreak/>
        <w:t xml:space="preserve">Discussion and </w:t>
      </w:r>
      <w:r w:rsidR="006532DE">
        <w:rPr>
          <w:lang w:val="en-US" w:eastAsia="ja-JP"/>
        </w:rPr>
        <w:t>Conclusions</w:t>
      </w:r>
      <w:bookmarkEnd w:id="81"/>
    </w:p>
    <w:p w14:paraId="4CA93629" w14:textId="197FE8D7" w:rsidR="00AD1F3B" w:rsidRDefault="00AD1F3B" w:rsidP="00AD1F3B">
      <w:pPr>
        <w:pStyle w:val="Heading3"/>
      </w:pPr>
      <w:bookmarkStart w:id="82" w:name="_Toc42719046"/>
      <w:r>
        <w:t>Poverty Problems Still Apply</w:t>
      </w:r>
      <w:bookmarkEnd w:id="82"/>
    </w:p>
    <w:p w14:paraId="1A85BDB2" w14:textId="144F40DB" w:rsidR="00FC2DFB" w:rsidRDefault="00FC2DFB" w:rsidP="00FC2DFB">
      <w:pPr>
        <w:rPr>
          <w:lang w:val="en-US" w:eastAsia="ja-JP"/>
        </w:rPr>
      </w:pPr>
      <w:r>
        <w:rPr>
          <w:lang w:val="en-US" w:eastAsia="ja-JP"/>
        </w:rPr>
        <w:t xml:space="preserve">While this report has focused on particular telecommunications affordability challenges faced by waged poor households and especially on issues arising from being employed, it is important to keep these issues in the context of waged poor households being a subset of all those in poverty. As such, waged poor households share many of the challenges that face other poor households, both in relation to telecommunications and to poverty generally. </w:t>
      </w:r>
      <w:r w:rsidR="00CB1B8B">
        <w:rPr>
          <w:lang w:val="en-US" w:eastAsia="ja-JP"/>
        </w:rPr>
        <w:t>This was evident in the qualitative interviews with stories of people barely making ends meet and having to go without to balance the household budget.</w:t>
      </w:r>
    </w:p>
    <w:p w14:paraId="3FA8E545" w14:textId="5726F8FA" w:rsidR="00FC2DFB" w:rsidRDefault="00FC2DFB" w:rsidP="00FC2DFB">
      <w:pPr>
        <w:rPr>
          <w:lang w:val="en-US" w:eastAsia="ja-JP"/>
        </w:rPr>
      </w:pPr>
      <w:r>
        <w:rPr>
          <w:lang w:val="en-US" w:eastAsia="ja-JP"/>
        </w:rPr>
        <w:t>In practice, this means that thinking about the telecommunications affordability challenges facing waged poor household means addressing three different areas:</w:t>
      </w:r>
    </w:p>
    <w:p w14:paraId="0D2A601F" w14:textId="38A2D9C1" w:rsidR="00FC2DFB" w:rsidRDefault="00FC2DFB" w:rsidP="00FC2DFB">
      <w:pPr>
        <w:numPr>
          <w:ilvl w:val="0"/>
          <w:numId w:val="20"/>
        </w:numPr>
        <w:rPr>
          <w:lang w:val="en-US" w:eastAsia="ja-JP"/>
        </w:rPr>
      </w:pPr>
      <w:r>
        <w:rPr>
          <w:lang w:val="en-US" w:eastAsia="ja-JP"/>
        </w:rPr>
        <w:t>Non-telecommunications issues such as income (i.e. why are they are in poverty)</w:t>
      </w:r>
      <w:r w:rsidR="00910AC6">
        <w:rPr>
          <w:lang w:val="en-US" w:eastAsia="ja-JP"/>
        </w:rPr>
        <w:t>;</w:t>
      </w:r>
    </w:p>
    <w:p w14:paraId="0D80C7B1" w14:textId="6D38B8BE" w:rsidR="00FC2DFB" w:rsidRDefault="00FC2DFB" w:rsidP="00FC2DFB">
      <w:pPr>
        <w:numPr>
          <w:ilvl w:val="0"/>
          <w:numId w:val="20"/>
        </w:numPr>
        <w:rPr>
          <w:lang w:val="en-US" w:eastAsia="ja-JP"/>
        </w:rPr>
      </w:pPr>
      <w:r>
        <w:rPr>
          <w:lang w:val="en-US" w:eastAsia="ja-JP"/>
        </w:rPr>
        <w:t>Telecommunications issues arising generally from poverty</w:t>
      </w:r>
      <w:r w:rsidR="003732F2">
        <w:rPr>
          <w:lang w:val="en-US" w:eastAsia="ja-JP"/>
        </w:rPr>
        <w:t>; and</w:t>
      </w:r>
    </w:p>
    <w:p w14:paraId="264DE554" w14:textId="704ED322" w:rsidR="00FC2DFB" w:rsidRDefault="00CB1B8B" w:rsidP="00FC2DFB">
      <w:pPr>
        <w:numPr>
          <w:ilvl w:val="0"/>
          <w:numId w:val="20"/>
        </w:numPr>
        <w:rPr>
          <w:lang w:val="en-US" w:eastAsia="ja-JP"/>
        </w:rPr>
      </w:pPr>
      <w:r>
        <w:rPr>
          <w:lang w:val="en-US" w:eastAsia="ja-JP"/>
        </w:rPr>
        <w:t>Specific t</w:t>
      </w:r>
      <w:r w:rsidR="00FC2DFB">
        <w:rPr>
          <w:lang w:val="en-US" w:eastAsia="ja-JP"/>
        </w:rPr>
        <w:t xml:space="preserve">elecommunications issues arising from </w:t>
      </w:r>
      <w:r>
        <w:rPr>
          <w:i/>
          <w:iCs/>
          <w:lang w:val="en-US" w:eastAsia="ja-JP"/>
        </w:rPr>
        <w:t xml:space="preserve">waged </w:t>
      </w:r>
      <w:r>
        <w:rPr>
          <w:lang w:val="en-US" w:eastAsia="ja-JP"/>
        </w:rPr>
        <w:t>poverty, both f</w:t>
      </w:r>
      <w:r w:rsidR="00737071">
        <w:rPr>
          <w:lang w:val="en-US" w:eastAsia="ja-JP"/>
        </w:rPr>
        <w:t>ro</w:t>
      </w:r>
      <w:r>
        <w:rPr>
          <w:lang w:val="en-US" w:eastAsia="ja-JP"/>
        </w:rPr>
        <w:t>m the particular demographics of waged poor households and from work itself.</w:t>
      </w:r>
    </w:p>
    <w:p w14:paraId="6B96D0E2" w14:textId="77777777" w:rsidR="00FC2DFB" w:rsidRDefault="00FC2DFB" w:rsidP="00FC2DFB">
      <w:pPr>
        <w:rPr>
          <w:lang w:val="en-US" w:eastAsia="ja-JP"/>
        </w:rPr>
      </w:pPr>
    </w:p>
    <w:p w14:paraId="547ABEFA" w14:textId="1E556524" w:rsidR="00AD1F3B" w:rsidRDefault="00AD1F3B" w:rsidP="00AD1F3B">
      <w:pPr>
        <w:pStyle w:val="Heading4"/>
        <w:rPr>
          <w:lang w:val="en-US" w:eastAsia="ja-JP"/>
        </w:rPr>
      </w:pPr>
      <w:r>
        <w:rPr>
          <w:lang w:val="en-US" w:eastAsia="ja-JP"/>
        </w:rPr>
        <w:t>Income issues</w:t>
      </w:r>
    </w:p>
    <w:p w14:paraId="0F8A0B47" w14:textId="176CBD21" w:rsidR="00CB1B8B" w:rsidRDefault="00CB1B8B" w:rsidP="00CB1B8B">
      <w:pPr>
        <w:rPr>
          <w:lang w:eastAsia="en-AU"/>
        </w:rPr>
      </w:pPr>
      <w:r>
        <w:rPr>
          <w:lang w:eastAsia="en-AU"/>
        </w:rPr>
        <w:t xml:space="preserve">A recognition that many of the telecommunications affordability challenges arise simply from being in poverty (i.e. from lacking income) means that one way of addressing </w:t>
      </w:r>
      <w:r w:rsidR="00737071">
        <w:rPr>
          <w:lang w:eastAsia="en-AU"/>
        </w:rPr>
        <w:t>telecommunications affordability</w:t>
      </w:r>
      <w:r>
        <w:rPr>
          <w:lang w:eastAsia="en-AU"/>
        </w:rPr>
        <w:t xml:space="preserve"> would be to ensure that households have sufficient income to cover costs. As we noted in the SACOSS energy report</w:t>
      </w:r>
      <w:r w:rsidR="00BD58E2">
        <w:rPr>
          <w:lang w:eastAsia="en-AU"/>
        </w:rPr>
        <w:t>:</w:t>
      </w:r>
    </w:p>
    <w:p w14:paraId="26FD8221" w14:textId="02BB3B1F" w:rsidR="00431F60" w:rsidRDefault="00CB1B8B" w:rsidP="00431F60">
      <w:pPr>
        <w:ind w:left="720"/>
        <w:rPr>
          <w:lang w:eastAsia="en-AU"/>
        </w:rPr>
      </w:pPr>
      <w:r>
        <w:rPr>
          <w:lang w:eastAsia="en-AU"/>
        </w:rPr>
        <w:t>When wages stagnate, awards are by-passed or ignored, underemployment rises, or penalty rates cuts lead to lower household incomes, it is unsurprising that waged poor households have more difficulty affording basics</w:t>
      </w:r>
      <w:r w:rsidR="00431F60">
        <w:rPr>
          <w:lang w:eastAsia="en-AU"/>
        </w:rPr>
        <w:t xml:space="preserve"> </w:t>
      </w:r>
      <w:r w:rsidR="002B305D">
        <w:rPr>
          <w:lang w:eastAsia="en-AU"/>
        </w:rPr>
        <w:fldChar w:fldCharType="begin"/>
      </w:r>
      <w:r w:rsidR="002B305D">
        <w:rPr>
          <w:lang w:eastAsia="en-AU"/>
        </w:rPr>
        <w:instrText xml:space="preserve"> ADDIN ZOTERO_ITEM CSL_CITATION {"citationID":"LroEcQ7Z","properties":{"formattedCitation":"(Law et al., 2019)","plainCitation":"(Law et al., 2019)","noteIndex":0},"citationItems":[{"id":43,"uris":["http://zotero.org/groups/2380274/items/86GNJIMM"],"uri":["http://zotero.org/groups/2380274/items/86GNJIMM"],"itemData":{"id":43,"type":"report","event-place":"Adelaide","publisher":"South Australian Council of Social Service","publisher-place":"Adelaide","title":"Working to Make Ends Meet: Low-income Workers and Energy Bill Stress","author":[{"family":"Law","given":"Rebecca"},{"family":"Ogle","given":"Greg"},{"family":"Foley","given":"Kirsten"}],"issued":{"date-parts":[["2019"]]}}}],"schema":"https://github.com/citation-style-language/schema/raw/master/csl-citation.json"} </w:instrText>
      </w:r>
      <w:r w:rsidR="002B305D">
        <w:rPr>
          <w:lang w:eastAsia="en-AU"/>
        </w:rPr>
        <w:fldChar w:fldCharType="separate"/>
      </w:r>
      <w:r w:rsidR="002B305D" w:rsidRPr="008B1D79">
        <w:t>(Law et al., 2019, p 69)</w:t>
      </w:r>
      <w:r w:rsidR="002B305D">
        <w:rPr>
          <w:lang w:eastAsia="en-AU"/>
        </w:rPr>
        <w:fldChar w:fldCharType="end"/>
      </w:r>
      <w:r w:rsidR="00431F60">
        <w:rPr>
          <w:lang w:eastAsia="en-AU"/>
        </w:rPr>
        <w:t>.</w:t>
      </w:r>
    </w:p>
    <w:p w14:paraId="5AB0BDED" w14:textId="6EA14EBD" w:rsidR="00CB1B8B" w:rsidRDefault="00431F60" w:rsidP="00431F60">
      <w:pPr>
        <w:rPr>
          <w:lang w:eastAsia="en-AU"/>
        </w:rPr>
      </w:pPr>
      <w:r>
        <w:rPr>
          <w:lang w:eastAsia="en-AU"/>
        </w:rPr>
        <w:t>W</w:t>
      </w:r>
      <w:r w:rsidR="00CB1B8B">
        <w:rPr>
          <w:lang w:eastAsia="en-AU"/>
        </w:rPr>
        <w:t xml:space="preserve">hile this report focuses its recommendations on </w:t>
      </w:r>
      <w:r>
        <w:rPr>
          <w:lang w:eastAsia="en-AU"/>
        </w:rPr>
        <w:t>telecommunications</w:t>
      </w:r>
      <w:r w:rsidR="00CB1B8B">
        <w:rPr>
          <w:lang w:eastAsia="en-AU"/>
        </w:rPr>
        <w:t xml:space="preserve">-specific </w:t>
      </w:r>
      <w:r>
        <w:rPr>
          <w:lang w:eastAsia="en-AU"/>
        </w:rPr>
        <w:t>responses</w:t>
      </w:r>
      <w:r w:rsidR="00CB1B8B">
        <w:rPr>
          <w:lang w:eastAsia="en-AU"/>
        </w:rPr>
        <w:t xml:space="preserve">, </w:t>
      </w:r>
      <w:r w:rsidR="00CB1B8B" w:rsidRPr="00FF0705">
        <w:rPr>
          <w:i/>
          <w:iCs/>
          <w:lang w:eastAsia="en-AU"/>
        </w:rPr>
        <w:t xml:space="preserve">addressing these income issues is equally part of the solution to </w:t>
      </w:r>
      <w:r>
        <w:rPr>
          <w:i/>
          <w:iCs/>
          <w:lang w:eastAsia="en-AU"/>
        </w:rPr>
        <w:t>telecommunication</w:t>
      </w:r>
      <w:r w:rsidR="00CB1B8B" w:rsidRPr="00FF0705">
        <w:rPr>
          <w:i/>
          <w:iCs/>
          <w:lang w:eastAsia="en-AU"/>
        </w:rPr>
        <w:t xml:space="preserve"> affordability struggles for </w:t>
      </w:r>
      <w:r w:rsidR="00CB1B8B">
        <w:rPr>
          <w:i/>
          <w:iCs/>
          <w:lang w:eastAsia="en-AU"/>
        </w:rPr>
        <w:t>waged</w:t>
      </w:r>
      <w:r w:rsidR="00CB1B8B" w:rsidRPr="00FF0705">
        <w:rPr>
          <w:i/>
          <w:iCs/>
          <w:lang w:eastAsia="en-AU"/>
        </w:rPr>
        <w:t xml:space="preserve"> poor households</w:t>
      </w:r>
      <w:r w:rsidR="00CB1B8B">
        <w:rPr>
          <w:lang w:eastAsia="en-AU"/>
        </w:rPr>
        <w:t>.</w:t>
      </w:r>
    </w:p>
    <w:p w14:paraId="63600B42" w14:textId="11929CA1" w:rsidR="006852AE" w:rsidRDefault="008B1D79" w:rsidP="00CB1B8B">
      <w:pPr>
        <w:rPr>
          <w:lang w:eastAsia="en-AU"/>
        </w:rPr>
      </w:pPr>
      <w:r>
        <w:rPr>
          <w:lang w:eastAsia="en-AU"/>
        </w:rPr>
        <w:t>W</w:t>
      </w:r>
      <w:r w:rsidR="00B85562">
        <w:rPr>
          <w:lang w:eastAsia="en-AU"/>
        </w:rPr>
        <w:t>age and employment issues are crucial to this</w:t>
      </w:r>
      <w:r>
        <w:rPr>
          <w:lang w:eastAsia="en-AU"/>
        </w:rPr>
        <w:t xml:space="preserve"> income problem</w:t>
      </w:r>
      <w:r w:rsidR="00B85562">
        <w:rPr>
          <w:lang w:eastAsia="en-AU"/>
        </w:rPr>
        <w:t xml:space="preserve">, but </w:t>
      </w:r>
      <w:r w:rsidR="00CB1B8B">
        <w:rPr>
          <w:lang w:eastAsia="en-AU"/>
        </w:rPr>
        <w:t xml:space="preserve">even though by definition the waged poor </w:t>
      </w:r>
      <w:r w:rsidR="00CB43E1">
        <w:rPr>
          <w:lang w:eastAsia="en-AU"/>
        </w:rPr>
        <w:t xml:space="preserve">households </w:t>
      </w:r>
      <w:r w:rsidR="00CB1B8B">
        <w:rPr>
          <w:lang w:eastAsia="en-AU"/>
        </w:rPr>
        <w:t xml:space="preserve">in this study derive the majority of the income from wages, social security </w:t>
      </w:r>
      <w:r w:rsidR="00B85562">
        <w:rPr>
          <w:lang w:eastAsia="en-AU"/>
        </w:rPr>
        <w:t>payments</w:t>
      </w:r>
      <w:r w:rsidR="00CB1B8B">
        <w:rPr>
          <w:lang w:eastAsia="en-AU"/>
        </w:rPr>
        <w:t xml:space="preserve"> </w:t>
      </w:r>
      <w:r w:rsidR="00B85562">
        <w:rPr>
          <w:lang w:eastAsia="en-AU"/>
        </w:rPr>
        <w:t>also</w:t>
      </w:r>
      <w:r w:rsidR="00CB1B8B">
        <w:rPr>
          <w:lang w:eastAsia="en-AU"/>
        </w:rPr>
        <w:t xml:space="preserve"> provide important support for </w:t>
      </w:r>
      <w:r w:rsidR="00B85562">
        <w:rPr>
          <w:lang w:eastAsia="en-AU"/>
        </w:rPr>
        <w:t>many waged poor</w:t>
      </w:r>
      <w:r w:rsidR="00CB1B8B">
        <w:rPr>
          <w:lang w:eastAsia="en-AU"/>
        </w:rPr>
        <w:t xml:space="preserve"> households. </w:t>
      </w:r>
      <w:r w:rsidR="00431F60">
        <w:rPr>
          <w:lang w:eastAsia="en-AU"/>
        </w:rPr>
        <w:t>A</w:t>
      </w:r>
      <w:r w:rsidR="00CB1B8B">
        <w:rPr>
          <w:lang w:eastAsia="en-AU"/>
        </w:rPr>
        <w:t xml:space="preserve">round half of waged poor households received some form of government income support payments, </w:t>
      </w:r>
      <w:r w:rsidR="006852AE">
        <w:rPr>
          <w:lang w:eastAsia="en-AU"/>
        </w:rPr>
        <w:t xml:space="preserve">and </w:t>
      </w:r>
      <w:r w:rsidR="002413D4">
        <w:rPr>
          <w:lang w:eastAsia="en-AU"/>
        </w:rPr>
        <w:t>payments like Family Tax Benefit and Commonwealth Rent Assistance have particular importance given the demographic</w:t>
      </w:r>
      <w:r>
        <w:rPr>
          <w:lang w:eastAsia="en-AU"/>
        </w:rPr>
        <w:t xml:space="preserve"> characteristics</w:t>
      </w:r>
      <w:r w:rsidR="002413D4">
        <w:rPr>
          <w:lang w:eastAsia="en-AU"/>
        </w:rPr>
        <w:t xml:space="preserve"> of the waged poor cohort. </w:t>
      </w:r>
      <w:r>
        <w:rPr>
          <w:lang w:eastAsia="en-AU"/>
        </w:rPr>
        <w:t xml:space="preserve">These </w:t>
      </w:r>
      <w:r w:rsidR="00002AE1">
        <w:rPr>
          <w:lang w:eastAsia="en-AU"/>
        </w:rPr>
        <w:t xml:space="preserve">income support </w:t>
      </w:r>
      <w:r>
        <w:rPr>
          <w:lang w:eastAsia="en-AU"/>
        </w:rPr>
        <w:t xml:space="preserve">payments are currently inadequate and the </w:t>
      </w:r>
      <w:r w:rsidR="00002AE1">
        <w:rPr>
          <w:lang w:eastAsia="en-AU"/>
        </w:rPr>
        <w:t>increases</w:t>
      </w:r>
      <w:r>
        <w:rPr>
          <w:lang w:eastAsia="en-AU"/>
        </w:rPr>
        <w:t xml:space="preserve"> proposed by ACOSS would benefit many waged poor households as well as other households in poverty </w:t>
      </w:r>
      <w:r>
        <w:rPr>
          <w:lang w:eastAsia="en-AU"/>
        </w:rPr>
        <w:fldChar w:fldCharType="begin"/>
      </w:r>
      <w:r>
        <w:rPr>
          <w:lang w:eastAsia="en-AU"/>
        </w:rPr>
        <w:instrText xml:space="preserve"> ADDIN ZOTERO_ITEM CSL_CITATION {"citationID":"EsHGAkfJ","properties":{"formattedCitation":"(ACOSS, 2019)","plainCitation":"(ACOSS, 2019)","noteIndex":0},"citationItems":[{"id":23,"uris":["http://zotero.org/groups/2380274/items/VXXJMPLE"],"uri":["http://zotero.org/groups/2380274/items/VXXJMPLE"],"itemData":{"id":23,"type":"report","publisher":"Australian Council of Social Service","title":"Budget Priorities Statement: 2020-21","URL":"https://www.acoss.org.au/wp-content/uploads/2020/02/FINAL-ACOSS-Budget-Priority-Statement-2020-2021.pdf","author":[{"family":"ACOSS","given":""}],"issued":{"date-parts":[["2019"]]}}}],"schema":"https://github.com/citation-style-language/schema/raw/master/csl-citation.json"} </w:instrText>
      </w:r>
      <w:r>
        <w:rPr>
          <w:lang w:eastAsia="en-AU"/>
        </w:rPr>
        <w:fldChar w:fldCharType="separate"/>
      </w:r>
      <w:r w:rsidRPr="008B1D79">
        <w:rPr>
          <w:rFonts w:cs="Calibri"/>
        </w:rPr>
        <w:t>(ACOSS, 2019)</w:t>
      </w:r>
      <w:r>
        <w:rPr>
          <w:lang w:eastAsia="en-AU"/>
        </w:rPr>
        <w:fldChar w:fldCharType="end"/>
      </w:r>
      <w:r>
        <w:rPr>
          <w:lang w:eastAsia="en-AU"/>
        </w:rPr>
        <w:t xml:space="preserve">. Further, </w:t>
      </w:r>
      <w:r w:rsidR="006852AE">
        <w:rPr>
          <w:lang w:eastAsia="en-AU"/>
        </w:rPr>
        <w:t xml:space="preserve">as noted earlier, the business closures in response to the coronavirus impacted very immediately on some of the waged </w:t>
      </w:r>
      <w:r w:rsidR="006852AE">
        <w:rPr>
          <w:lang w:eastAsia="en-AU"/>
        </w:rPr>
        <w:lastRenderedPageBreak/>
        <w:t>poor interviewees</w:t>
      </w:r>
      <w:r w:rsidR="00002AE1">
        <w:rPr>
          <w:lang w:eastAsia="en-AU"/>
        </w:rPr>
        <w:t>,</w:t>
      </w:r>
      <w:r>
        <w:rPr>
          <w:lang w:eastAsia="en-AU"/>
        </w:rPr>
        <w:t xml:space="preserve"> </w:t>
      </w:r>
      <w:r w:rsidR="00002AE1">
        <w:rPr>
          <w:lang w:eastAsia="en-AU"/>
        </w:rPr>
        <w:t>showing that</w:t>
      </w:r>
      <w:r>
        <w:rPr>
          <w:lang w:eastAsia="en-AU"/>
        </w:rPr>
        <w:t xml:space="preserve"> t</w:t>
      </w:r>
      <w:r w:rsidR="006852AE">
        <w:rPr>
          <w:lang w:eastAsia="en-AU"/>
        </w:rPr>
        <w:t xml:space="preserve">he lines between unemployment, underemployment and precarious work are </w:t>
      </w:r>
      <w:r w:rsidR="00002AE1">
        <w:rPr>
          <w:lang w:eastAsia="en-AU"/>
        </w:rPr>
        <w:t xml:space="preserve">often </w:t>
      </w:r>
      <w:r w:rsidR="006852AE">
        <w:rPr>
          <w:lang w:eastAsia="en-AU"/>
        </w:rPr>
        <w:t>fairly fine</w:t>
      </w:r>
      <w:r>
        <w:rPr>
          <w:lang w:eastAsia="en-AU"/>
        </w:rPr>
        <w:t>. Even</w:t>
      </w:r>
      <w:r w:rsidR="006852AE">
        <w:rPr>
          <w:lang w:eastAsia="en-AU"/>
        </w:rPr>
        <w:t xml:space="preserve"> those in stable employment can quickly find themselves out of work and reliant on income support.</w:t>
      </w:r>
    </w:p>
    <w:p w14:paraId="1C9ED2A9" w14:textId="310CEB64" w:rsidR="006852AE" w:rsidRDefault="006852AE" w:rsidP="00CB1B8B">
      <w:pPr>
        <w:rPr>
          <w:lang w:eastAsia="en-AU"/>
        </w:rPr>
      </w:pPr>
      <w:r>
        <w:rPr>
          <w:lang w:eastAsia="en-AU"/>
        </w:rPr>
        <w:t xml:space="preserve">The government’s COVID-19 response recognises this cross-over </w:t>
      </w:r>
      <w:r w:rsidR="00002AE1">
        <w:rPr>
          <w:lang w:eastAsia="en-AU"/>
        </w:rPr>
        <w:t xml:space="preserve">of income support and waged poverty </w:t>
      </w:r>
      <w:r>
        <w:rPr>
          <w:lang w:eastAsia="en-AU"/>
        </w:rPr>
        <w:t>in its Job</w:t>
      </w:r>
      <w:r w:rsidR="00737071">
        <w:rPr>
          <w:lang w:eastAsia="en-AU"/>
        </w:rPr>
        <w:t>K</w:t>
      </w:r>
      <w:r>
        <w:rPr>
          <w:lang w:eastAsia="en-AU"/>
        </w:rPr>
        <w:t xml:space="preserve">eeper payment, while the Coronavirus </w:t>
      </w:r>
      <w:r w:rsidR="00737071">
        <w:rPr>
          <w:lang w:eastAsia="en-AU"/>
        </w:rPr>
        <w:t>S</w:t>
      </w:r>
      <w:r>
        <w:rPr>
          <w:lang w:eastAsia="en-AU"/>
        </w:rPr>
        <w:t xml:space="preserve">upplement </w:t>
      </w:r>
      <w:r w:rsidR="00737071">
        <w:rPr>
          <w:lang w:eastAsia="en-AU"/>
        </w:rPr>
        <w:t xml:space="preserve">implicitly </w:t>
      </w:r>
      <w:r>
        <w:rPr>
          <w:lang w:eastAsia="en-AU"/>
        </w:rPr>
        <w:t xml:space="preserve">recognises </w:t>
      </w:r>
      <w:r w:rsidR="00737071">
        <w:rPr>
          <w:lang w:eastAsia="en-AU"/>
        </w:rPr>
        <w:t>the inadequacy</w:t>
      </w:r>
      <w:r w:rsidR="00910AC6">
        <w:rPr>
          <w:lang w:eastAsia="en-AU"/>
        </w:rPr>
        <w:t xml:space="preserve"> of</w:t>
      </w:r>
      <w:r>
        <w:rPr>
          <w:lang w:eastAsia="en-AU"/>
        </w:rPr>
        <w:t xml:space="preserve"> the previous Newstart/Job</w:t>
      </w:r>
      <w:r w:rsidR="00E85C79">
        <w:rPr>
          <w:lang w:eastAsia="en-AU"/>
        </w:rPr>
        <w:t>S</w:t>
      </w:r>
      <w:r>
        <w:rPr>
          <w:lang w:eastAsia="en-AU"/>
        </w:rPr>
        <w:t xml:space="preserve">eeker payment. This </w:t>
      </w:r>
      <w:r w:rsidR="00002AE1">
        <w:rPr>
          <w:lang w:eastAsia="en-AU"/>
        </w:rPr>
        <w:t xml:space="preserve">inadequacy </w:t>
      </w:r>
      <w:r w:rsidR="00995E35">
        <w:rPr>
          <w:lang w:eastAsia="en-AU"/>
        </w:rPr>
        <w:t>can be seen in</w:t>
      </w:r>
      <w:r>
        <w:rPr>
          <w:lang w:eastAsia="en-AU"/>
        </w:rPr>
        <w:t xml:space="preserve"> relation to telecommunications </w:t>
      </w:r>
      <w:r w:rsidR="00995E35">
        <w:rPr>
          <w:lang w:eastAsia="en-AU"/>
        </w:rPr>
        <w:t>expenditure</w:t>
      </w:r>
      <w:r>
        <w:rPr>
          <w:lang w:eastAsia="en-AU"/>
        </w:rPr>
        <w:t xml:space="preserve">. </w:t>
      </w:r>
      <w:r w:rsidR="00995E35">
        <w:rPr>
          <w:lang w:eastAsia="en-AU"/>
        </w:rPr>
        <w:t>The average communications expenditure for Centrelink-reliant households in the ABS data was $27.39 in 2015/16, which translates to $29.40 in March 2020</w:t>
      </w:r>
      <w:r w:rsidR="00781331">
        <w:rPr>
          <w:lang w:eastAsia="en-AU"/>
        </w:rPr>
        <w:t xml:space="preserve"> (although this </w:t>
      </w:r>
      <w:r w:rsidR="002F302B">
        <w:rPr>
          <w:lang w:eastAsia="en-AU"/>
        </w:rPr>
        <w:t>is probably an underestimate of expenditure given the over-representation of single person households among Centrelink recipients)</w:t>
      </w:r>
      <w:r w:rsidR="00995E35">
        <w:rPr>
          <w:lang w:eastAsia="en-AU"/>
        </w:rPr>
        <w:t xml:space="preserve">. For a single unemployed person with two children, this </w:t>
      </w:r>
      <w:r w:rsidR="002F302B">
        <w:rPr>
          <w:lang w:eastAsia="en-AU"/>
        </w:rPr>
        <w:t xml:space="preserve">average Centrelink expenditure </w:t>
      </w:r>
      <w:r w:rsidR="00995E35">
        <w:rPr>
          <w:lang w:eastAsia="en-AU"/>
        </w:rPr>
        <w:t xml:space="preserve">represents </w:t>
      </w:r>
      <w:r w:rsidR="008D3C71">
        <w:rPr>
          <w:lang w:eastAsia="en-AU"/>
        </w:rPr>
        <w:t>5</w:t>
      </w:r>
      <w:r w:rsidR="00995E35">
        <w:rPr>
          <w:lang w:eastAsia="en-AU"/>
        </w:rPr>
        <w:t>% of</w:t>
      </w:r>
      <w:r w:rsidR="008D3C71">
        <w:rPr>
          <w:lang w:eastAsia="en-AU"/>
        </w:rPr>
        <w:t xml:space="preserve"> the Centrelink income </w:t>
      </w:r>
      <w:r w:rsidR="00995E35">
        <w:rPr>
          <w:lang w:eastAsia="en-AU"/>
        </w:rPr>
        <w:t xml:space="preserve">without the </w:t>
      </w:r>
      <w:r w:rsidR="002802BF">
        <w:rPr>
          <w:lang w:eastAsia="en-AU"/>
        </w:rPr>
        <w:t>C</w:t>
      </w:r>
      <w:r w:rsidR="00995E35">
        <w:rPr>
          <w:lang w:eastAsia="en-AU"/>
        </w:rPr>
        <w:t>oronavirus</w:t>
      </w:r>
      <w:r w:rsidR="00E85C79">
        <w:rPr>
          <w:lang w:eastAsia="en-AU"/>
        </w:rPr>
        <w:t xml:space="preserve"> </w:t>
      </w:r>
      <w:r w:rsidR="002802BF">
        <w:rPr>
          <w:lang w:eastAsia="en-AU"/>
        </w:rPr>
        <w:t>S</w:t>
      </w:r>
      <w:r w:rsidR="00E85C79">
        <w:rPr>
          <w:lang w:eastAsia="en-AU"/>
        </w:rPr>
        <w:t>upplement</w:t>
      </w:r>
      <w:r w:rsidR="008D3C71">
        <w:rPr>
          <w:lang w:eastAsia="en-AU"/>
        </w:rPr>
        <w:t xml:space="preserve"> (</w:t>
      </w:r>
      <w:r w:rsidR="008D3C71" w:rsidRPr="00B0530C">
        <w:t>$583.35</w:t>
      </w:r>
      <w:r w:rsidR="008D3C71">
        <w:t xml:space="preserve">, which </w:t>
      </w:r>
      <w:r w:rsidR="008D3C71">
        <w:rPr>
          <w:lang w:eastAsia="en-AU"/>
        </w:rPr>
        <w:t>includes Energy Supplement and Family Tax Benefit)</w:t>
      </w:r>
      <w:r w:rsidR="00995E35">
        <w:rPr>
          <w:lang w:eastAsia="en-AU"/>
        </w:rPr>
        <w:t xml:space="preserve">. </w:t>
      </w:r>
      <w:r w:rsidR="00995E35" w:rsidRPr="00781331">
        <w:rPr>
          <w:lang w:eastAsia="en-AU"/>
        </w:rPr>
        <w:t xml:space="preserve">That is </w:t>
      </w:r>
      <w:r w:rsidR="00781331" w:rsidRPr="00781331">
        <w:rPr>
          <w:lang w:eastAsia="en-AU"/>
        </w:rPr>
        <w:t>nearly double</w:t>
      </w:r>
      <w:r w:rsidR="00E85C79" w:rsidRPr="00781331">
        <w:rPr>
          <w:lang w:eastAsia="en-AU"/>
        </w:rPr>
        <w:t xml:space="preserve"> the average of all households</w:t>
      </w:r>
      <w:r w:rsidR="00781331" w:rsidRPr="00781331">
        <w:rPr>
          <w:lang w:eastAsia="en-AU"/>
        </w:rPr>
        <w:t xml:space="preserve"> who</w:t>
      </w:r>
      <w:r w:rsidR="00781331">
        <w:rPr>
          <w:lang w:eastAsia="en-AU"/>
        </w:rPr>
        <w:t xml:space="preserve"> spend </w:t>
      </w:r>
      <w:r w:rsidR="00737071">
        <w:rPr>
          <w:lang w:eastAsia="en-AU"/>
        </w:rPr>
        <w:t>3.3</w:t>
      </w:r>
      <w:r w:rsidR="00781331">
        <w:rPr>
          <w:lang w:eastAsia="en-AU"/>
        </w:rPr>
        <w:t xml:space="preserve">% of average income on communications </w:t>
      </w:r>
      <w:r w:rsidR="00737071">
        <w:rPr>
          <w:lang w:eastAsia="en-AU"/>
        </w:rPr>
        <w:t>(BCAR, 2020)</w:t>
      </w:r>
      <w:r w:rsidR="00E85C79">
        <w:rPr>
          <w:lang w:eastAsia="en-AU"/>
        </w:rPr>
        <w:t xml:space="preserve">. However, with the </w:t>
      </w:r>
      <w:r w:rsidR="002F302B">
        <w:rPr>
          <w:lang w:eastAsia="en-AU"/>
        </w:rPr>
        <w:t>Coronavirus S</w:t>
      </w:r>
      <w:r w:rsidR="00E85C79">
        <w:rPr>
          <w:lang w:eastAsia="en-AU"/>
        </w:rPr>
        <w:t xml:space="preserve">upplement, </w:t>
      </w:r>
      <w:r w:rsidR="002F302B">
        <w:rPr>
          <w:lang w:eastAsia="en-AU"/>
        </w:rPr>
        <w:t>expenditure</w:t>
      </w:r>
      <w:r w:rsidR="00E85C79">
        <w:rPr>
          <w:lang w:eastAsia="en-AU"/>
        </w:rPr>
        <w:t xml:space="preserve"> reduces to </w:t>
      </w:r>
      <w:r w:rsidR="00781331">
        <w:rPr>
          <w:lang w:eastAsia="en-AU"/>
        </w:rPr>
        <w:t>3.4</w:t>
      </w:r>
      <w:r w:rsidR="00E85C79">
        <w:rPr>
          <w:lang w:eastAsia="en-AU"/>
        </w:rPr>
        <w:t>%</w:t>
      </w:r>
      <w:r w:rsidR="00A50901">
        <w:rPr>
          <w:lang w:eastAsia="en-AU"/>
        </w:rPr>
        <w:t xml:space="preserve"> – cl</w:t>
      </w:r>
      <w:r w:rsidR="00737071">
        <w:rPr>
          <w:lang w:eastAsia="en-AU"/>
        </w:rPr>
        <w:t>ose to</w:t>
      </w:r>
      <w:r w:rsidR="00781331">
        <w:rPr>
          <w:lang w:eastAsia="en-AU"/>
        </w:rPr>
        <w:t xml:space="preserve"> th</w:t>
      </w:r>
      <w:r w:rsidR="00A50901">
        <w:rPr>
          <w:lang w:eastAsia="en-AU"/>
        </w:rPr>
        <w:t>at of th</w:t>
      </w:r>
      <w:r w:rsidR="00781331">
        <w:rPr>
          <w:lang w:eastAsia="en-AU"/>
        </w:rPr>
        <w:t>e average household</w:t>
      </w:r>
      <w:r w:rsidR="00E85C79">
        <w:rPr>
          <w:lang w:eastAsia="en-AU"/>
        </w:rPr>
        <w:t xml:space="preserve">. This highlights the importance to telecommunications affordability of retaining the increased levels of </w:t>
      </w:r>
      <w:r w:rsidR="00247E66">
        <w:rPr>
          <w:lang w:eastAsia="en-AU"/>
        </w:rPr>
        <w:t xml:space="preserve">the </w:t>
      </w:r>
      <w:r w:rsidR="00E85C79">
        <w:rPr>
          <w:lang w:eastAsia="en-AU"/>
        </w:rPr>
        <w:t>JobSeeker payment.</w:t>
      </w:r>
    </w:p>
    <w:p w14:paraId="52DA878E" w14:textId="78F04B23" w:rsidR="00946DCE" w:rsidRDefault="00E85C79" w:rsidP="00CB1B8B">
      <w:pPr>
        <w:rPr>
          <w:lang w:eastAsia="en-AU"/>
        </w:rPr>
      </w:pPr>
      <w:r>
        <w:rPr>
          <w:lang w:eastAsia="en-AU"/>
        </w:rPr>
        <w:t xml:space="preserve">A similar calculation </w:t>
      </w:r>
      <w:r w:rsidR="009B1186">
        <w:rPr>
          <w:lang w:eastAsia="en-AU"/>
        </w:rPr>
        <w:t xml:space="preserve">about increases in the </w:t>
      </w:r>
      <w:r>
        <w:rPr>
          <w:lang w:eastAsia="en-AU"/>
        </w:rPr>
        <w:t xml:space="preserve">minimum wage </w:t>
      </w:r>
      <w:r w:rsidR="009B1186">
        <w:rPr>
          <w:lang w:eastAsia="en-AU"/>
        </w:rPr>
        <w:t xml:space="preserve">could be done in reference to </w:t>
      </w:r>
      <w:r>
        <w:rPr>
          <w:lang w:eastAsia="en-AU"/>
        </w:rPr>
        <w:t>waged-poor households, but as was evident in the survey and interview data in this report, many waged poor households are not in full-time work and their income is variable.</w:t>
      </w:r>
      <w:r w:rsidR="009B1186">
        <w:rPr>
          <w:lang w:eastAsia="en-AU"/>
        </w:rPr>
        <w:t xml:space="preserve"> </w:t>
      </w:r>
      <w:r>
        <w:rPr>
          <w:lang w:eastAsia="en-AU"/>
        </w:rPr>
        <w:t>However,</w:t>
      </w:r>
      <w:r w:rsidR="00946DCE">
        <w:rPr>
          <w:lang w:eastAsia="en-AU"/>
        </w:rPr>
        <w:t xml:space="preserve"> an increase in minimum and award wages would nonetheless still increase income and telecommunications affordability.</w:t>
      </w:r>
    </w:p>
    <w:p w14:paraId="4CF1ABCB" w14:textId="5549E649" w:rsidR="00E85C79" w:rsidRDefault="00946DCE" w:rsidP="00CB1B8B">
      <w:pPr>
        <w:rPr>
          <w:lang w:eastAsia="en-AU"/>
        </w:rPr>
      </w:pPr>
      <w:r>
        <w:rPr>
          <w:lang w:eastAsia="en-AU"/>
        </w:rPr>
        <w:t>The</w:t>
      </w:r>
      <w:r w:rsidR="00E85C79">
        <w:rPr>
          <w:lang w:eastAsia="en-AU"/>
        </w:rPr>
        <w:t xml:space="preserve"> importance of income to telecommunications affordability</w:t>
      </w:r>
      <w:r>
        <w:rPr>
          <w:lang w:eastAsia="en-AU"/>
        </w:rPr>
        <w:t xml:space="preserve"> for waged poor households</w:t>
      </w:r>
      <w:r w:rsidR="00E85C79">
        <w:rPr>
          <w:lang w:eastAsia="en-AU"/>
        </w:rPr>
        <w:t xml:space="preserve"> leads us to echo the recommendations of the SACOSS waged poor energy report around addressing income issues.</w:t>
      </w:r>
    </w:p>
    <w:p w14:paraId="4D15DC49" w14:textId="4EF477C1" w:rsidR="00CB1B8B" w:rsidRDefault="00E85C79" w:rsidP="00CB1B8B">
      <w:pPr>
        <w:rPr>
          <w:b/>
          <w:bCs/>
          <w:lang w:val="en-US" w:eastAsia="ja-JP"/>
        </w:rPr>
      </w:pPr>
      <w:r>
        <w:rPr>
          <w:b/>
          <w:bCs/>
          <w:lang w:val="en-US" w:eastAsia="ja-JP"/>
        </w:rPr>
        <w:t>Recommendation</w:t>
      </w:r>
      <w:r w:rsidR="001B0C76">
        <w:rPr>
          <w:b/>
          <w:bCs/>
          <w:lang w:val="en-US" w:eastAsia="ja-JP"/>
        </w:rPr>
        <w:t xml:space="preserve"> </w:t>
      </w:r>
      <w:r w:rsidR="00ED2247">
        <w:rPr>
          <w:b/>
          <w:bCs/>
          <w:lang w:val="en-US" w:eastAsia="ja-JP"/>
        </w:rPr>
        <w:t>10</w:t>
      </w:r>
    </w:p>
    <w:p w14:paraId="19214B53" w14:textId="54124BC4" w:rsidR="00E85C79" w:rsidRPr="00E85C79" w:rsidRDefault="00E85C79" w:rsidP="00E85C79">
      <w:pPr>
        <w:rPr>
          <w:b/>
          <w:bCs/>
          <w:i/>
          <w:iCs/>
          <w:lang w:eastAsia="en-AU"/>
        </w:rPr>
      </w:pPr>
      <w:r w:rsidRPr="00E85C79">
        <w:rPr>
          <w:b/>
          <w:bCs/>
          <w:i/>
          <w:iCs/>
          <w:lang w:eastAsia="en-AU"/>
        </w:rPr>
        <w:t xml:space="preserve">While not making specific recommendations on issues outside of direct </w:t>
      </w:r>
      <w:r w:rsidR="009754A3">
        <w:rPr>
          <w:b/>
          <w:bCs/>
          <w:i/>
          <w:iCs/>
          <w:lang w:eastAsia="en-AU"/>
        </w:rPr>
        <w:t>telecommunications</w:t>
      </w:r>
      <w:r w:rsidRPr="00E85C79">
        <w:rPr>
          <w:b/>
          <w:bCs/>
          <w:i/>
          <w:iCs/>
          <w:lang w:eastAsia="en-AU"/>
        </w:rPr>
        <w:t xml:space="preserve"> policy, th</w:t>
      </w:r>
      <w:r w:rsidR="00C12023">
        <w:rPr>
          <w:b/>
          <w:bCs/>
          <w:i/>
          <w:iCs/>
          <w:lang w:eastAsia="en-AU"/>
        </w:rPr>
        <w:t>is</w:t>
      </w:r>
      <w:r w:rsidRPr="00E85C79">
        <w:rPr>
          <w:b/>
          <w:bCs/>
          <w:i/>
          <w:iCs/>
          <w:lang w:eastAsia="en-AU"/>
        </w:rPr>
        <w:t xml:space="preserve"> report notes the importance to </w:t>
      </w:r>
      <w:r w:rsidR="00002AE1">
        <w:rPr>
          <w:b/>
          <w:bCs/>
          <w:i/>
          <w:iCs/>
          <w:lang w:eastAsia="en-AU"/>
        </w:rPr>
        <w:t>telecommunications</w:t>
      </w:r>
      <w:r w:rsidR="00002AE1" w:rsidRPr="00E85C79">
        <w:rPr>
          <w:b/>
          <w:bCs/>
          <w:i/>
          <w:iCs/>
          <w:lang w:eastAsia="en-AU"/>
        </w:rPr>
        <w:t xml:space="preserve"> </w:t>
      </w:r>
      <w:r w:rsidRPr="00E85C79">
        <w:rPr>
          <w:b/>
          <w:bCs/>
          <w:i/>
          <w:iCs/>
          <w:lang w:eastAsia="en-AU"/>
        </w:rPr>
        <w:t>affordability of an adequate income, and therefore of addressing issues in relation to:</w:t>
      </w:r>
    </w:p>
    <w:p w14:paraId="2D537CB4" w14:textId="77777777" w:rsidR="00E85C79" w:rsidRPr="00E85C79" w:rsidRDefault="00E85C79" w:rsidP="00E85C79">
      <w:pPr>
        <w:pStyle w:val="ListParagraph"/>
        <w:numPr>
          <w:ilvl w:val="0"/>
          <w:numId w:val="22"/>
        </w:numPr>
        <w:rPr>
          <w:b/>
          <w:bCs/>
          <w:i/>
          <w:iCs/>
          <w:sz w:val="22"/>
          <w:lang w:eastAsia="en-AU"/>
        </w:rPr>
      </w:pPr>
      <w:r w:rsidRPr="00E85C79">
        <w:rPr>
          <w:b/>
          <w:bCs/>
          <w:i/>
          <w:iCs/>
          <w:sz w:val="22"/>
          <w:lang w:eastAsia="en-AU"/>
        </w:rPr>
        <w:t>Wage stagnation and underemployment;</w:t>
      </w:r>
    </w:p>
    <w:p w14:paraId="76E3DF27" w14:textId="77777777" w:rsidR="00E85C79" w:rsidRPr="00E85C79" w:rsidRDefault="00E85C79" w:rsidP="00E85C79">
      <w:pPr>
        <w:pStyle w:val="ListParagraph"/>
        <w:numPr>
          <w:ilvl w:val="0"/>
          <w:numId w:val="22"/>
        </w:numPr>
        <w:rPr>
          <w:b/>
          <w:bCs/>
          <w:i/>
          <w:iCs/>
          <w:sz w:val="22"/>
          <w:lang w:eastAsia="en-AU"/>
        </w:rPr>
      </w:pPr>
      <w:r w:rsidRPr="00E85C79">
        <w:rPr>
          <w:b/>
          <w:bCs/>
          <w:i/>
          <w:iCs/>
          <w:sz w:val="22"/>
          <w:lang w:eastAsia="en-AU"/>
        </w:rPr>
        <w:t>Inadequate income support payments; and</w:t>
      </w:r>
    </w:p>
    <w:p w14:paraId="1EF4CC3D" w14:textId="77777777" w:rsidR="00E85C79" w:rsidRPr="00E85C79" w:rsidRDefault="00E85C79" w:rsidP="00E85C79">
      <w:pPr>
        <w:pStyle w:val="ListParagraph"/>
        <w:numPr>
          <w:ilvl w:val="0"/>
          <w:numId w:val="22"/>
        </w:numPr>
        <w:rPr>
          <w:b/>
          <w:bCs/>
          <w:i/>
          <w:iCs/>
          <w:sz w:val="22"/>
          <w:lang w:eastAsia="en-AU"/>
        </w:rPr>
      </w:pPr>
      <w:r w:rsidRPr="00E85C79">
        <w:rPr>
          <w:b/>
          <w:bCs/>
          <w:i/>
          <w:iCs/>
          <w:sz w:val="22"/>
          <w:lang w:eastAsia="en-AU"/>
        </w:rPr>
        <w:t>The interaction between income support payments and paid work.</w:t>
      </w:r>
    </w:p>
    <w:p w14:paraId="4FB87B01" w14:textId="7EAF69D0" w:rsidR="00AD1F3B" w:rsidRDefault="00AD1F3B" w:rsidP="00AD1F3B">
      <w:pPr>
        <w:pStyle w:val="Heading4"/>
        <w:rPr>
          <w:lang w:val="en-US" w:eastAsia="ja-JP"/>
        </w:rPr>
      </w:pPr>
      <w:r>
        <w:rPr>
          <w:lang w:val="en-US" w:eastAsia="ja-JP"/>
        </w:rPr>
        <w:t>Tel</w:t>
      </w:r>
      <w:r w:rsidR="001635C3">
        <w:rPr>
          <w:lang w:val="en-US" w:eastAsia="ja-JP"/>
        </w:rPr>
        <w:t>e</w:t>
      </w:r>
      <w:r>
        <w:rPr>
          <w:lang w:val="en-US" w:eastAsia="ja-JP"/>
        </w:rPr>
        <w:t>co</w:t>
      </w:r>
      <w:r w:rsidR="001635C3">
        <w:rPr>
          <w:lang w:val="en-US" w:eastAsia="ja-JP"/>
        </w:rPr>
        <w:t>mmunications and Poverty</w:t>
      </w:r>
    </w:p>
    <w:p w14:paraId="503A5CFF" w14:textId="3B681704" w:rsidR="009C4BDB" w:rsidRDefault="00CB1B8B" w:rsidP="00CB1B8B">
      <w:pPr>
        <w:rPr>
          <w:lang w:eastAsia="en-AU"/>
        </w:rPr>
      </w:pPr>
      <w:r>
        <w:rPr>
          <w:lang w:eastAsia="en-AU"/>
        </w:rPr>
        <w:t xml:space="preserve">Given that waged poor </w:t>
      </w:r>
      <w:r w:rsidR="00CB43E1">
        <w:rPr>
          <w:lang w:eastAsia="en-AU"/>
        </w:rPr>
        <w:t xml:space="preserve">households </w:t>
      </w:r>
      <w:r>
        <w:rPr>
          <w:lang w:eastAsia="en-AU"/>
        </w:rPr>
        <w:t>face many of the same affordability issues as other households in poverty</w:t>
      </w:r>
      <w:r w:rsidR="009C4BDB">
        <w:rPr>
          <w:lang w:eastAsia="en-AU"/>
        </w:rPr>
        <w:t xml:space="preserve"> simply by virtue of lack of money</w:t>
      </w:r>
      <w:r>
        <w:rPr>
          <w:lang w:eastAsia="en-AU"/>
        </w:rPr>
        <w:t xml:space="preserve">, most </w:t>
      </w:r>
      <w:r w:rsidR="00C12023">
        <w:rPr>
          <w:lang w:eastAsia="en-AU"/>
        </w:rPr>
        <w:t>hardship and affordability</w:t>
      </w:r>
      <w:r>
        <w:rPr>
          <w:lang w:eastAsia="en-AU"/>
        </w:rPr>
        <w:t xml:space="preserve"> policies and practices aimed at </w:t>
      </w:r>
      <w:r w:rsidR="00C12023">
        <w:rPr>
          <w:lang w:eastAsia="en-AU"/>
        </w:rPr>
        <w:t>assisting</w:t>
      </w:r>
      <w:r>
        <w:rPr>
          <w:lang w:eastAsia="en-AU"/>
        </w:rPr>
        <w:t xml:space="preserve"> those in poverty will also apply to waged poor</w:t>
      </w:r>
      <w:r w:rsidR="00C12023">
        <w:rPr>
          <w:lang w:eastAsia="en-AU"/>
        </w:rPr>
        <w:t xml:space="preserve"> households</w:t>
      </w:r>
      <w:r>
        <w:rPr>
          <w:lang w:eastAsia="en-AU"/>
        </w:rPr>
        <w:t xml:space="preserve">. </w:t>
      </w:r>
      <w:r w:rsidR="009C4BDB">
        <w:rPr>
          <w:lang w:eastAsia="en-AU"/>
        </w:rPr>
        <w:t>In this context it is also important to note that affordability issues rarely relate to one product or one area of expenditure. Just as increasing income would make telecommunications more affordable, so would decreasing housing or energy costs. In that sense, telecommunications affordability needs to be seen in the context of the whole household budget, although telecommunications expenditure is clearly a significant factor in those household budgets.</w:t>
      </w:r>
    </w:p>
    <w:p w14:paraId="6E37032B" w14:textId="07DF0CFD" w:rsidR="00CB1B8B" w:rsidRDefault="009C4BDB" w:rsidP="00CB1B8B">
      <w:pPr>
        <w:rPr>
          <w:lang w:eastAsia="en-AU"/>
        </w:rPr>
      </w:pPr>
      <w:r>
        <w:rPr>
          <w:lang w:eastAsia="en-AU"/>
        </w:rPr>
        <w:lastRenderedPageBreak/>
        <w:t>In terms of telecommunications costs themselves, t</w:t>
      </w:r>
      <w:r w:rsidR="001635C3">
        <w:rPr>
          <w:lang w:eastAsia="en-AU"/>
        </w:rPr>
        <w:t xml:space="preserve">he </w:t>
      </w:r>
      <w:r w:rsidR="00D809D7">
        <w:rPr>
          <w:lang w:eastAsia="en-AU"/>
        </w:rPr>
        <w:t>2016</w:t>
      </w:r>
      <w:r>
        <w:rPr>
          <w:lang w:eastAsia="en-AU"/>
        </w:rPr>
        <w:t xml:space="preserve"> </w:t>
      </w:r>
      <w:r w:rsidR="001635C3" w:rsidRPr="00D809D7">
        <w:rPr>
          <w:i/>
          <w:iCs/>
          <w:lang w:eastAsia="en-AU"/>
        </w:rPr>
        <w:t>Connectivity Cost</w:t>
      </w:r>
      <w:r w:rsidR="00D809D7" w:rsidRPr="00D809D7">
        <w:rPr>
          <w:i/>
          <w:iCs/>
          <w:lang w:eastAsia="en-AU"/>
        </w:rPr>
        <w:t>s</w:t>
      </w:r>
      <w:r>
        <w:rPr>
          <w:lang w:eastAsia="en-AU"/>
        </w:rPr>
        <w:t xml:space="preserve"> report contained a number of recommendations to improve affordability based on the study of people on Centrelink payments</w:t>
      </w:r>
      <w:r w:rsidR="002B305D">
        <w:rPr>
          <w:lang w:eastAsia="en-AU"/>
        </w:rPr>
        <w:t xml:space="preserve"> </w:t>
      </w:r>
      <w:r w:rsidR="002B305D">
        <w:rPr>
          <w:lang w:eastAsia="en-AU"/>
        </w:rPr>
        <w:fldChar w:fldCharType="begin"/>
      </w:r>
      <w:r w:rsidR="002B305D">
        <w:rPr>
          <w:lang w:eastAsia="en-AU"/>
        </w:rPr>
        <w:instrText xml:space="preserve"> ADDIN ZOTERO_ITEM CSL_CITATION {"citationID":"LwrMPpU3","properties":{"formattedCitation":"(Ogle and Musolino, 2016)","plainCitation":"(Ogle and Musolino, 2016)","noteIndex":0},"citationItems":[{"id":42,"uris":["http://zotero.org/groups/2380274/items/YQCAJU4B"],"uri":["http://zotero.org/groups/2380274/items/YQCAJU4B"],"itemData":{"id":42,"type":"report","event-place":"Adelaide","publisher":"South Australian Council of Social Service","publisher-place":"Adelaide","title":"Connectivity Costs: Telecommunications Affordability for Low Income Australians","author":[{"family":"Ogle","given":"Greg"},{"family":"Musolino","given":"Vanessa"}],"issued":{"date-parts":[["2016"]]}}}],"schema":"https://github.com/citation-style-language/schema/raw/master/csl-citation.json"} </w:instrText>
      </w:r>
      <w:r w:rsidR="002B305D">
        <w:rPr>
          <w:lang w:eastAsia="en-AU"/>
        </w:rPr>
        <w:fldChar w:fldCharType="separate"/>
      </w:r>
      <w:r w:rsidR="002B305D" w:rsidRPr="002B305D">
        <w:rPr>
          <w:rFonts w:cs="Calibri"/>
        </w:rPr>
        <w:t>(Ogle and Musolino, 2016)</w:t>
      </w:r>
      <w:r w:rsidR="002B305D">
        <w:rPr>
          <w:lang w:eastAsia="en-AU"/>
        </w:rPr>
        <w:fldChar w:fldCharType="end"/>
      </w:r>
      <w:r>
        <w:rPr>
          <w:lang w:eastAsia="en-AU"/>
        </w:rPr>
        <w:t>. The first related to the reform of the Centrelink Telephone Allowance (CTA), a poor</w:t>
      </w:r>
      <w:r w:rsidR="00CB43E1">
        <w:rPr>
          <w:lang w:eastAsia="en-AU"/>
        </w:rPr>
        <w:t>ly</w:t>
      </w:r>
      <w:r>
        <w:rPr>
          <w:lang w:eastAsia="en-AU"/>
        </w:rPr>
        <w:t xml:space="preserve"> targeted and grossly inadequate payment to some social security recipients. Most waged poor households would not qualify for the CTA so one obvious reform would be to extend the eligibility to households below the poverty line who are mainly reliant on wages. However, as a model the CTA is flawed both because its design is based on a notion of telecommunications as an emergency rather than an essential service, and </w:t>
      </w:r>
      <w:r w:rsidR="00B6251A">
        <w:rPr>
          <w:lang w:eastAsia="en-AU"/>
        </w:rPr>
        <w:t xml:space="preserve">because </w:t>
      </w:r>
      <w:r>
        <w:rPr>
          <w:lang w:eastAsia="en-AU"/>
        </w:rPr>
        <w:t>paying a</w:t>
      </w:r>
      <w:r w:rsidR="00B6251A">
        <w:rPr>
          <w:lang w:eastAsia="en-AU"/>
        </w:rPr>
        <w:t>n</w:t>
      </w:r>
      <w:r>
        <w:rPr>
          <w:lang w:eastAsia="en-AU"/>
        </w:rPr>
        <w:t xml:space="preserve"> income support supplement for a universal expenditure </w:t>
      </w:r>
      <w:r w:rsidR="00B6251A">
        <w:rPr>
          <w:lang w:eastAsia="en-AU"/>
        </w:rPr>
        <w:t>borne by all households is also questionable</w:t>
      </w:r>
      <w:r w:rsidR="00C12023">
        <w:rPr>
          <w:lang w:eastAsia="en-AU"/>
        </w:rPr>
        <w:t>. It would be better to</w:t>
      </w:r>
      <w:r w:rsidR="00B6251A">
        <w:rPr>
          <w:lang w:eastAsia="en-AU"/>
        </w:rPr>
        <w:t xml:space="preserve"> just increase the base-level income support payment</w:t>
      </w:r>
      <w:r w:rsidR="00C12023">
        <w:rPr>
          <w:lang w:eastAsia="en-AU"/>
        </w:rPr>
        <w:t>.</w:t>
      </w:r>
      <w:r w:rsidR="00B6251A">
        <w:rPr>
          <w:lang w:eastAsia="en-AU"/>
        </w:rPr>
        <w:t xml:space="preserve"> </w:t>
      </w:r>
    </w:p>
    <w:p w14:paraId="3EF4C2FB" w14:textId="24808F2E" w:rsidR="00354847" w:rsidRDefault="00B6251A" w:rsidP="00CB1B8B">
      <w:pPr>
        <w:rPr>
          <w:lang w:eastAsia="en-AU"/>
        </w:rPr>
      </w:pPr>
      <w:r>
        <w:rPr>
          <w:lang w:eastAsia="en-AU"/>
        </w:rPr>
        <w:t>In any case, the CTA argument has been somewhat super</w:t>
      </w:r>
      <w:r w:rsidR="00AB7971">
        <w:rPr>
          <w:lang w:eastAsia="en-AU"/>
        </w:rPr>
        <w:t>s</w:t>
      </w:r>
      <w:r>
        <w:rPr>
          <w:lang w:eastAsia="en-AU"/>
        </w:rPr>
        <w:t xml:space="preserve">eded by calls to introduce a broad-based NBN concession to make home internet connection more affordable. ACCAN’s </w:t>
      </w:r>
      <w:r w:rsidR="00354847">
        <w:rPr>
          <w:i/>
          <w:iCs/>
          <w:lang w:eastAsia="en-AU"/>
        </w:rPr>
        <w:t>No Australian Left Offline</w:t>
      </w:r>
      <w:r w:rsidR="00354847">
        <w:rPr>
          <w:lang w:eastAsia="en-AU"/>
        </w:rPr>
        <w:t xml:space="preserve"> campaign is calling for an NBN wholesale concession to allow retailers to </w:t>
      </w:r>
      <w:r w:rsidR="007674BB">
        <w:rPr>
          <w:lang w:eastAsia="en-AU"/>
        </w:rPr>
        <w:t>provide</w:t>
      </w:r>
      <w:r w:rsidR="00354847">
        <w:rPr>
          <w:lang w:eastAsia="en-AU"/>
        </w:rPr>
        <w:t xml:space="preserve"> a cheaper NBN product for low income households. The proposal </w:t>
      </w:r>
      <w:r w:rsidR="007674BB">
        <w:rPr>
          <w:lang w:eastAsia="en-AU"/>
        </w:rPr>
        <w:t xml:space="preserve">aims to </w:t>
      </w:r>
      <w:r w:rsidR="00C12023">
        <w:rPr>
          <w:lang w:eastAsia="en-AU"/>
        </w:rPr>
        <w:t xml:space="preserve">provide </w:t>
      </w:r>
      <w:r w:rsidR="007674BB">
        <w:rPr>
          <w:lang w:eastAsia="en-AU"/>
        </w:rPr>
        <w:t>an unlimited broadband service for eligible households at approximately $30 per month – around half the cost of current entry-level packages</w:t>
      </w:r>
      <w:r w:rsidR="002B305D">
        <w:rPr>
          <w:lang w:eastAsia="en-AU"/>
        </w:rPr>
        <w:t xml:space="preserve"> </w:t>
      </w:r>
      <w:r w:rsidR="002B305D">
        <w:rPr>
          <w:lang w:eastAsia="en-AU"/>
        </w:rPr>
        <w:fldChar w:fldCharType="begin"/>
      </w:r>
      <w:r w:rsidR="002B305D">
        <w:rPr>
          <w:lang w:eastAsia="en-AU"/>
        </w:rPr>
        <w:instrText xml:space="preserve"> ADDIN ZOTERO_ITEM CSL_CITATION {"citationID":"tcn6VdPC","properties":{"formattedCitation":"(ACCAN, 2020)","plainCitation":"(ACCAN, 2020)","noteIndex":0},"citationItems":[{"id":97,"uris":["http://zotero.org/groups/2380274/items/BGHI3NV8"],"uri":["http://zotero.org/groups/2380274/items/BGHI3NV8"],"itemData":{"id":97,"type":"webpage","container-title":"Australian Communications Consumer Action Network","title":"No Australian Left Offline: A Roadmap to Affordable Home Broadband for All","URL":"https://accan.org.au/no-australian-left-offline","author":[{"family":"ACCAN","given":""}],"accessed":{"date-parts":[["2020",5,31]]},"issued":{"date-parts":[["2020"]]}}}],"schema":"https://github.com/citation-style-language/schema/raw/master/csl-citation.json"} </w:instrText>
      </w:r>
      <w:r w:rsidR="002B305D">
        <w:rPr>
          <w:lang w:eastAsia="en-AU"/>
        </w:rPr>
        <w:fldChar w:fldCharType="separate"/>
      </w:r>
      <w:r w:rsidR="002B305D" w:rsidRPr="002B305D">
        <w:rPr>
          <w:rFonts w:cs="Calibri"/>
        </w:rPr>
        <w:t>(ACCAN, 2020)</w:t>
      </w:r>
      <w:r w:rsidR="002B305D">
        <w:rPr>
          <w:lang w:eastAsia="en-AU"/>
        </w:rPr>
        <w:fldChar w:fldCharType="end"/>
      </w:r>
      <w:r w:rsidR="007674BB">
        <w:rPr>
          <w:lang w:eastAsia="en-AU"/>
        </w:rPr>
        <w:t>. However, as with the CTA, eligibility will be a key test of the package and with only half of all waged poor households receiving Centrelink payments</w:t>
      </w:r>
      <w:r w:rsidR="00AB7971">
        <w:rPr>
          <w:lang w:eastAsia="en-AU"/>
        </w:rPr>
        <w:t>,</w:t>
      </w:r>
      <w:r w:rsidR="007674BB">
        <w:rPr>
          <w:lang w:eastAsia="en-AU"/>
        </w:rPr>
        <w:t xml:space="preserve"> the criteria needs to be broad enough to assist all waged poor households. </w:t>
      </w:r>
      <w:r w:rsidR="008B0030">
        <w:rPr>
          <w:lang w:eastAsia="en-AU"/>
        </w:rPr>
        <w:t>A recommendation along these lines has already been made in the main body of this report.</w:t>
      </w:r>
    </w:p>
    <w:p w14:paraId="4C1F0022" w14:textId="7C900A37" w:rsidR="00B6251A" w:rsidRDefault="00354847" w:rsidP="00CB1B8B">
      <w:pPr>
        <w:rPr>
          <w:lang w:eastAsia="en-AU"/>
        </w:rPr>
      </w:pPr>
      <w:r>
        <w:rPr>
          <w:lang w:eastAsia="en-AU"/>
        </w:rPr>
        <w:t>While broader discussions</w:t>
      </w:r>
      <w:r w:rsidR="007674BB">
        <w:rPr>
          <w:lang w:eastAsia="en-AU"/>
        </w:rPr>
        <w:t xml:space="preserve"> around concessions packages</w:t>
      </w:r>
      <w:r>
        <w:rPr>
          <w:lang w:eastAsia="en-AU"/>
        </w:rPr>
        <w:t xml:space="preserve"> are ongoing, </w:t>
      </w:r>
      <w:r w:rsidR="002B305D">
        <w:rPr>
          <w:lang w:eastAsia="en-AU"/>
        </w:rPr>
        <w:t xml:space="preserve">as noted earlier </w:t>
      </w:r>
      <w:r>
        <w:rPr>
          <w:lang w:eastAsia="en-AU"/>
        </w:rPr>
        <w:t xml:space="preserve">in the face of the COVID-19 crisis NBN </w:t>
      </w:r>
      <w:r w:rsidR="007674BB">
        <w:rPr>
          <w:lang w:eastAsia="en-AU"/>
        </w:rPr>
        <w:t xml:space="preserve">Co. </w:t>
      </w:r>
      <w:r>
        <w:rPr>
          <w:lang w:eastAsia="en-AU"/>
        </w:rPr>
        <w:t xml:space="preserve">rolled out </w:t>
      </w:r>
      <w:r w:rsidR="007674BB">
        <w:rPr>
          <w:lang w:eastAsia="en-AU"/>
        </w:rPr>
        <w:t xml:space="preserve">a </w:t>
      </w:r>
      <w:r>
        <w:rPr>
          <w:lang w:eastAsia="en-AU"/>
        </w:rPr>
        <w:t>$100m support</w:t>
      </w:r>
      <w:r w:rsidR="007674BB">
        <w:rPr>
          <w:lang w:eastAsia="en-AU"/>
        </w:rPr>
        <w:t xml:space="preserve"> package</w:t>
      </w:r>
      <w:r>
        <w:rPr>
          <w:lang w:eastAsia="en-AU"/>
        </w:rPr>
        <w:t xml:space="preserve"> for households to help those with school children get connected and those facing financial hardship remain connected</w:t>
      </w:r>
      <w:r w:rsidR="002B305D">
        <w:rPr>
          <w:lang w:eastAsia="en-AU"/>
        </w:rPr>
        <w:t xml:space="preserve"> </w:t>
      </w:r>
      <w:r w:rsidR="002B305D">
        <w:rPr>
          <w:lang w:eastAsia="en-AU"/>
        </w:rPr>
        <w:fldChar w:fldCharType="begin"/>
      </w:r>
      <w:r w:rsidR="002B305D">
        <w:rPr>
          <w:lang w:eastAsia="en-AU"/>
        </w:rPr>
        <w:instrText xml:space="preserve"> ADDIN ZOTERO_ITEM CSL_CITATION {"citationID":"F6IQoW1R","properties":{"formattedCitation":"(NBN, 2020)","plainCitation":"(NBN, 2020)","noteIndex":0},"citationItems":[{"id":100,"uris":["http://zotero.org/groups/2380274/items/J3Q3HJJL"],"uri":["http://zotero.org/groups/2380274/items/J3Q3HJJL"],"itemData":{"id":100,"type":"webpage","title":"NBN Co creates $150 million COVID-19 relief and assistance package","URL":"https://www.nbnco.com.au/corporate-information/media-centre/media-statements/nbn-co-creates-covid-19-relief-and-assistance-package","author":[{"family":"NBN","given":""}],"accessed":{"date-parts":[["2020",4,17]]},"issued":{"date-parts":[["2020"]]}}}],"schema":"https://github.com/citation-style-language/schema/raw/master/csl-citation.json"} </w:instrText>
      </w:r>
      <w:r w:rsidR="002B305D">
        <w:rPr>
          <w:lang w:eastAsia="en-AU"/>
        </w:rPr>
        <w:fldChar w:fldCharType="separate"/>
      </w:r>
      <w:r w:rsidR="002B305D" w:rsidRPr="002B305D">
        <w:rPr>
          <w:rFonts w:cs="Calibri"/>
        </w:rPr>
        <w:t>(NBN, 2020)</w:t>
      </w:r>
      <w:r w:rsidR="002B305D">
        <w:rPr>
          <w:lang w:eastAsia="en-AU"/>
        </w:rPr>
        <w:fldChar w:fldCharType="end"/>
      </w:r>
      <w:r>
        <w:rPr>
          <w:lang w:eastAsia="en-AU"/>
        </w:rPr>
        <w:t>.</w:t>
      </w:r>
      <w:r w:rsidR="007674BB">
        <w:rPr>
          <w:lang w:eastAsia="en-AU"/>
        </w:rPr>
        <w:t xml:space="preserve"> Given the impact the crisis had on many of the waged poor interviewees we spoke to, this is a welcome step, and will provide something of a pilot for broader wholesale concession scheme.</w:t>
      </w:r>
    </w:p>
    <w:p w14:paraId="797538FA" w14:textId="1301E83B" w:rsidR="000235D7" w:rsidRDefault="007674BB" w:rsidP="00CB1B8B">
      <w:pPr>
        <w:rPr>
          <w:lang w:val="en-US" w:eastAsia="ja-JP"/>
        </w:rPr>
      </w:pPr>
      <w:r>
        <w:rPr>
          <w:lang w:val="en-US" w:eastAsia="ja-JP"/>
        </w:rPr>
        <w:t xml:space="preserve">Beyond concessions, the 2016 </w:t>
      </w:r>
      <w:r>
        <w:rPr>
          <w:i/>
          <w:iCs/>
          <w:lang w:val="en-US" w:eastAsia="ja-JP"/>
        </w:rPr>
        <w:t>Connectivity Cost</w:t>
      </w:r>
      <w:r w:rsidR="00D809D7">
        <w:rPr>
          <w:i/>
          <w:iCs/>
          <w:lang w:val="en-US" w:eastAsia="ja-JP"/>
        </w:rPr>
        <w:t>s</w:t>
      </w:r>
      <w:r>
        <w:rPr>
          <w:i/>
          <w:iCs/>
          <w:lang w:val="en-US" w:eastAsia="ja-JP"/>
        </w:rPr>
        <w:t xml:space="preserve"> </w:t>
      </w:r>
      <w:r>
        <w:rPr>
          <w:lang w:val="en-US" w:eastAsia="ja-JP"/>
        </w:rPr>
        <w:t>report highlighted other issues making telecommunications unaffordable for low income households, including</w:t>
      </w:r>
      <w:r w:rsidR="000235D7">
        <w:rPr>
          <w:lang w:val="en-US" w:eastAsia="ja-JP"/>
        </w:rPr>
        <w:t>:</w:t>
      </w:r>
    </w:p>
    <w:p w14:paraId="381750A4" w14:textId="7BC180E1" w:rsidR="00CB1B8B" w:rsidRDefault="000235D7" w:rsidP="000235D7">
      <w:pPr>
        <w:numPr>
          <w:ilvl w:val="0"/>
          <w:numId w:val="23"/>
        </w:numPr>
        <w:rPr>
          <w:lang w:val="en-US" w:eastAsia="ja-JP"/>
        </w:rPr>
      </w:pPr>
      <w:r>
        <w:rPr>
          <w:lang w:val="en-US" w:eastAsia="ja-JP"/>
        </w:rPr>
        <w:t xml:space="preserve">the need for more data on low cost plans, </w:t>
      </w:r>
      <w:r w:rsidR="007674BB">
        <w:rPr>
          <w:lang w:val="en-US" w:eastAsia="ja-JP"/>
        </w:rPr>
        <w:t>ex</w:t>
      </w:r>
      <w:r>
        <w:rPr>
          <w:lang w:val="en-US" w:eastAsia="ja-JP"/>
        </w:rPr>
        <w:t>cess data costs and poverty premiums that make data more expensive per GB on cheaper plans</w:t>
      </w:r>
      <w:r w:rsidR="009627D3">
        <w:rPr>
          <w:lang w:val="en-US" w:eastAsia="ja-JP"/>
        </w:rPr>
        <w:t>;</w:t>
      </w:r>
    </w:p>
    <w:p w14:paraId="791A232B" w14:textId="497A2549" w:rsidR="000235D7" w:rsidRDefault="000235D7" w:rsidP="000235D7">
      <w:pPr>
        <w:numPr>
          <w:ilvl w:val="0"/>
          <w:numId w:val="23"/>
        </w:numPr>
        <w:rPr>
          <w:lang w:val="en-US" w:eastAsia="ja-JP"/>
        </w:rPr>
      </w:pPr>
      <w:r>
        <w:rPr>
          <w:lang w:val="en-US" w:eastAsia="ja-JP"/>
        </w:rPr>
        <w:t>billing cycles that did fit with customers</w:t>
      </w:r>
      <w:r w:rsidR="00AB7971">
        <w:rPr>
          <w:lang w:val="en-US" w:eastAsia="ja-JP"/>
        </w:rPr>
        <w:t>’</w:t>
      </w:r>
      <w:r>
        <w:rPr>
          <w:lang w:val="en-US" w:eastAsia="ja-JP"/>
        </w:rPr>
        <w:t xml:space="preserve"> expectations and lock-in contracts with high exit fees</w:t>
      </w:r>
      <w:r w:rsidR="009627D3">
        <w:rPr>
          <w:lang w:val="en-US" w:eastAsia="ja-JP"/>
        </w:rPr>
        <w:t>;</w:t>
      </w:r>
    </w:p>
    <w:p w14:paraId="7FF3B4B2" w14:textId="77777777" w:rsidR="00C12023" w:rsidRDefault="000235D7" w:rsidP="000235D7">
      <w:pPr>
        <w:numPr>
          <w:ilvl w:val="0"/>
          <w:numId w:val="23"/>
        </w:numPr>
        <w:rPr>
          <w:lang w:val="en-US" w:eastAsia="ja-JP"/>
        </w:rPr>
      </w:pPr>
      <w:r>
        <w:rPr>
          <w:lang w:val="en-US" w:eastAsia="ja-JP"/>
        </w:rPr>
        <w:t>lack of compliance with the Telecommunications Consumers Protection Code.</w:t>
      </w:r>
    </w:p>
    <w:p w14:paraId="27B23BF2" w14:textId="79CBCB07" w:rsidR="000235D7" w:rsidRPr="00C12023" w:rsidRDefault="00C12023" w:rsidP="00C12023">
      <w:pPr>
        <w:rPr>
          <w:lang w:val="en-US" w:eastAsia="ja-JP"/>
        </w:rPr>
      </w:pPr>
      <w:r>
        <w:rPr>
          <w:lang w:val="en-US" w:eastAsia="ja-JP"/>
        </w:rPr>
        <w:t>M</w:t>
      </w:r>
      <w:r w:rsidR="000235D7" w:rsidRPr="00C12023">
        <w:rPr>
          <w:lang w:val="en-US" w:eastAsia="ja-JP"/>
        </w:rPr>
        <w:t xml:space="preserve">any of these concerns might also apply to waged poor households given that </w:t>
      </w:r>
      <w:r w:rsidR="008B0030" w:rsidRPr="00C12023">
        <w:rPr>
          <w:lang w:val="en-US" w:eastAsia="ja-JP"/>
        </w:rPr>
        <w:t>the</w:t>
      </w:r>
      <w:r w:rsidR="000235D7" w:rsidRPr="00C12023">
        <w:rPr>
          <w:lang w:val="en-US" w:eastAsia="ja-JP"/>
        </w:rPr>
        <w:t xml:space="preserve"> research for this report heard similar usage of pre-paid plans and stories of people running out of data</w:t>
      </w:r>
      <w:r w:rsidR="008B0030" w:rsidRPr="00C12023">
        <w:rPr>
          <w:lang w:val="en-US" w:eastAsia="ja-JP"/>
        </w:rPr>
        <w:t xml:space="preserve">. Further, </w:t>
      </w:r>
      <w:r w:rsidR="000235D7" w:rsidRPr="00C12023">
        <w:rPr>
          <w:lang w:val="en-US" w:eastAsia="ja-JP"/>
        </w:rPr>
        <w:t>the variable income and over-representation of renters among waged poor households would make lock-in contracts a particular problem. However, since the 2016 there have been some significant changes. Data has become cheaper overall and data limits</w:t>
      </w:r>
      <w:r>
        <w:rPr>
          <w:lang w:val="en-US" w:eastAsia="ja-JP"/>
        </w:rPr>
        <w:t xml:space="preserve"> or inclusions</w:t>
      </w:r>
      <w:r w:rsidR="000235D7" w:rsidRPr="00C12023">
        <w:rPr>
          <w:lang w:val="en-US" w:eastAsia="ja-JP"/>
        </w:rPr>
        <w:t xml:space="preserve"> have increased significantly on average plans </w:t>
      </w:r>
      <w:r>
        <w:rPr>
          <w:lang w:val="en-US" w:eastAsia="ja-JP"/>
        </w:rPr>
        <w:t xml:space="preserve">(BCAR, 2020). Indeed, </w:t>
      </w:r>
      <w:r w:rsidR="000235D7" w:rsidRPr="00C12023">
        <w:rPr>
          <w:lang w:val="en-US" w:eastAsia="ja-JP"/>
        </w:rPr>
        <w:t>many people interviewed for this report had unlimited or large data limits</w:t>
      </w:r>
      <w:r w:rsidR="008B0030" w:rsidRPr="00C12023">
        <w:rPr>
          <w:lang w:val="en-US" w:eastAsia="ja-JP"/>
        </w:rPr>
        <w:t>. There</w:t>
      </w:r>
      <w:r w:rsidR="000235D7" w:rsidRPr="00C12023">
        <w:rPr>
          <w:lang w:val="en-US" w:eastAsia="ja-JP"/>
        </w:rPr>
        <w:t xml:space="preserve"> has also been a move away from lock-in contracts and excess data charges from some </w:t>
      </w:r>
      <w:r w:rsidR="008B0030" w:rsidRPr="00C12023">
        <w:rPr>
          <w:lang w:val="en-US" w:eastAsia="ja-JP"/>
        </w:rPr>
        <w:t xml:space="preserve">major </w:t>
      </w:r>
      <w:r w:rsidR="000235D7" w:rsidRPr="00C12023">
        <w:rPr>
          <w:lang w:val="en-US" w:eastAsia="ja-JP"/>
        </w:rPr>
        <w:t>retailers</w:t>
      </w:r>
      <w:r>
        <w:rPr>
          <w:lang w:val="en-US" w:eastAsia="ja-JP"/>
        </w:rPr>
        <w:t xml:space="preserve">, and </w:t>
      </w:r>
      <w:r w:rsidR="0064112F">
        <w:rPr>
          <w:lang w:val="en-US" w:eastAsia="ja-JP"/>
        </w:rPr>
        <w:t xml:space="preserve">the unit costs between pre-paid and post-paid plans now appear </w:t>
      </w:r>
      <w:r w:rsidR="0064112F">
        <w:rPr>
          <w:lang w:val="en-US" w:eastAsia="ja-JP"/>
        </w:rPr>
        <w:lastRenderedPageBreak/>
        <w:t xml:space="preserve">broadly similar </w:t>
      </w:r>
      <w:r w:rsidR="00161044">
        <w:rPr>
          <w:lang w:val="en-US" w:eastAsia="ja-JP"/>
        </w:rPr>
        <w:t xml:space="preserve">– thus removing one poverty premium </w:t>
      </w:r>
      <w:r w:rsidR="0064112F">
        <w:rPr>
          <w:lang w:val="en-US" w:eastAsia="ja-JP"/>
        </w:rPr>
        <w:t>(SACOSS calculations, plus BCAR, 2020)</w:t>
      </w:r>
      <w:r w:rsidR="00161044">
        <w:rPr>
          <w:lang w:val="en-US" w:eastAsia="ja-JP"/>
        </w:rPr>
        <w:t>. That said, there remains higher unit data costs on low-end contracts as supply charges are built in.</w:t>
      </w:r>
    </w:p>
    <w:p w14:paraId="03E42159" w14:textId="1A38CC46" w:rsidR="000235D7" w:rsidRDefault="000235D7" w:rsidP="000235D7">
      <w:pPr>
        <w:rPr>
          <w:lang w:val="en-US" w:eastAsia="ja-JP"/>
        </w:rPr>
      </w:pPr>
      <w:r>
        <w:rPr>
          <w:lang w:val="en-US" w:eastAsia="ja-JP"/>
        </w:rPr>
        <w:t>To the extent that</w:t>
      </w:r>
      <w:r w:rsidR="00161044">
        <w:rPr>
          <w:lang w:val="en-US" w:eastAsia="ja-JP"/>
        </w:rPr>
        <w:t xml:space="preserve"> poverty premiums remain, or</w:t>
      </w:r>
      <w:r>
        <w:rPr>
          <w:lang w:val="en-US" w:eastAsia="ja-JP"/>
        </w:rPr>
        <w:t xml:space="preserve"> </w:t>
      </w:r>
      <w:r w:rsidR="008B0030">
        <w:rPr>
          <w:lang w:val="en-US" w:eastAsia="ja-JP"/>
        </w:rPr>
        <w:t>any</w:t>
      </w:r>
      <w:r>
        <w:rPr>
          <w:lang w:val="en-US" w:eastAsia="ja-JP"/>
        </w:rPr>
        <w:t xml:space="preserve"> retailers retain lock-in contracts (beyond payment for devices) or charge excess data fees, then the </w:t>
      </w:r>
      <w:r w:rsidR="00003CD6">
        <w:rPr>
          <w:lang w:val="en-US" w:eastAsia="ja-JP"/>
        </w:rPr>
        <w:t xml:space="preserve">concerns and the </w:t>
      </w:r>
      <w:r>
        <w:rPr>
          <w:lang w:val="en-US" w:eastAsia="ja-JP"/>
        </w:rPr>
        <w:t xml:space="preserve">recommendations </w:t>
      </w:r>
      <w:r w:rsidR="00003CD6">
        <w:rPr>
          <w:lang w:val="en-US" w:eastAsia="ja-JP"/>
        </w:rPr>
        <w:t>of the 2016 report remain. However, the market has addressed some of those concerns and the issues did not figure prominently in the interviews conducted for this research</w:t>
      </w:r>
      <w:r w:rsidR="0065713D">
        <w:rPr>
          <w:lang w:val="en-US" w:eastAsia="ja-JP"/>
        </w:rPr>
        <w:t xml:space="preserve"> (although the call for a variable monthly package was in some ways a similar issue)</w:t>
      </w:r>
      <w:r w:rsidR="00003CD6">
        <w:rPr>
          <w:lang w:val="en-US" w:eastAsia="ja-JP"/>
        </w:rPr>
        <w:t>.</w:t>
      </w:r>
    </w:p>
    <w:p w14:paraId="7FC1C6CC" w14:textId="29DC73F1" w:rsidR="00AD1F3B" w:rsidRDefault="00002AE1" w:rsidP="00AD1F3B">
      <w:pPr>
        <w:pStyle w:val="Heading3"/>
      </w:pPr>
      <w:bookmarkStart w:id="83" w:name="_Toc42719047"/>
      <w:r>
        <w:t xml:space="preserve">Waged </w:t>
      </w:r>
      <w:r w:rsidR="00AD1F3B">
        <w:t>Poor Issues</w:t>
      </w:r>
      <w:bookmarkEnd w:id="83"/>
    </w:p>
    <w:p w14:paraId="41DD3E98" w14:textId="6649F35E" w:rsidR="00CB1B8B" w:rsidRDefault="003E0EE3" w:rsidP="00CB1B8B">
      <w:pPr>
        <w:rPr>
          <w:lang w:eastAsia="en-AU"/>
        </w:rPr>
      </w:pPr>
      <w:r>
        <w:rPr>
          <w:lang w:eastAsia="en-AU"/>
        </w:rPr>
        <w:t xml:space="preserve">While waged poor households will be assisted by income increases and by telecommunications measures that benefit all households in poverty, given </w:t>
      </w:r>
      <w:r w:rsidR="00CB1B8B">
        <w:rPr>
          <w:lang w:eastAsia="en-AU"/>
        </w:rPr>
        <w:t>the specific characteristics of waged poor</w:t>
      </w:r>
      <w:r>
        <w:rPr>
          <w:lang w:eastAsia="en-AU"/>
        </w:rPr>
        <w:t xml:space="preserve"> households,</w:t>
      </w:r>
      <w:r w:rsidR="00CB1B8B">
        <w:rPr>
          <w:lang w:eastAsia="en-AU"/>
        </w:rPr>
        <w:t xml:space="preserve"> there are some </w:t>
      </w:r>
      <w:r>
        <w:rPr>
          <w:lang w:eastAsia="en-AU"/>
        </w:rPr>
        <w:t>issues</w:t>
      </w:r>
      <w:r w:rsidR="00CB1B8B">
        <w:rPr>
          <w:lang w:eastAsia="en-AU"/>
        </w:rPr>
        <w:t xml:space="preserve"> which will particularly </w:t>
      </w:r>
      <w:r>
        <w:rPr>
          <w:lang w:eastAsia="en-AU"/>
        </w:rPr>
        <w:t>impact on</w:t>
      </w:r>
      <w:r w:rsidR="00CB1B8B">
        <w:rPr>
          <w:lang w:eastAsia="en-AU"/>
        </w:rPr>
        <w:t xml:space="preserve"> </w:t>
      </w:r>
      <w:r>
        <w:rPr>
          <w:lang w:eastAsia="en-AU"/>
        </w:rPr>
        <w:t>those households.</w:t>
      </w:r>
      <w:r w:rsidR="008B0030">
        <w:rPr>
          <w:lang w:eastAsia="en-AU"/>
        </w:rPr>
        <w:t xml:space="preserve"> </w:t>
      </w:r>
      <w:r>
        <w:rPr>
          <w:lang w:eastAsia="en-AU"/>
        </w:rPr>
        <w:t>These have been the subject of this report and can be summarised broadly as:</w:t>
      </w:r>
    </w:p>
    <w:p w14:paraId="4E8005EE" w14:textId="41B0F5CC" w:rsidR="00485EBA" w:rsidRDefault="00485EBA" w:rsidP="003E0EE3">
      <w:pPr>
        <w:numPr>
          <w:ilvl w:val="0"/>
          <w:numId w:val="24"/>
        </w:numPr>
        <w:rPr>
          <w:lang w:val="en-US" w:eastAsia="ja-JP"/>
        </w:rPr>
      </w:pPr>
      <w:r>
        <w:rPr>
          <w:lang w:val="en-US" w:eastAsia="ja-JP"/>
        </w:rPr>
        <w:t>lack of recognition of waged poor households as a cohort of people who may be struggling with telecommunications affordability;</w:t>
      </w:r>
    </w:p>
    <w:p w14:paraId="333D49D0" w14:textId="3CD26202" w:rsidR="003E0EE3" w:rsidRDefault="003E0EE3" w:rsidP="003E0EE3">
      <w:pPr>
        <w:numPr>
          <w:ilvl w:val="0"/>
          <w:numId w:val="24"/>
        </w:numPr>
        <w:rPr>
          <w:lang w:val="en-US" w:eastAsia="ja-JP"/>
        </w:rPr>
      </w:pPr>
      <w:r>
        <w:rPr>
          <w:lang w:val="en-US" w:eastAsia="ja-JP"/>
        </w:rPr>
        <w:t>issues relating to employment, in particular the use of personal telecommunications services for work without reimbursement</w:t>
      </w:r>
      <w:r w:rsidR="00485EBA">
        <w:rPr>
          <w:lang w:val="en-US" w:eastAsia="ja-JP"/>
        </w:rPr>
        <w:t>;</w:t>
      </w:r>
    </w:p>
    <w:p w14:paraId="3A92C0CE" w14:textId="184B8786" w:rsidR="003E0EE3" w:rsidRDefault="003E0EE3" w:rsidP="003E0EE3">
      <w:pPr>
        <w:numPr>
          <w:ilvl w:val="0"/>
          <w:numId w:val="24"/>
        </w:numPr>
        <w:rPr>
          <w:lang w:val="en-US" w:eastAsia="ja-JP"/>
        </w:rPr>
      </w:pPr>
      <w:r>
        <w:rPr>
          <w:lang w:val="en-US" w:eastAsia="ja-JP"/>
        </w:rPr>
        <w:t>telecommunications plans that are not flexible and do not match th</w:t>
      </w:r>
      <w:r w:rsidR="008B0030">
        <w:rPr>
          <w:lang w:val="en-US" w:eastAsia="ja-JP"/>
        </w:rPr>
        <w:t>e</w:t>
      </w:r>
      <w:r>
        <w:rPr>
          <w:lang w:val="en-US" w:eastAsia="ja-JP"/>
        </w:rPr>
        <w:t xml:space="preserve"> variable incomes</w:t>
      </w:r>
      <w:r w:rsidR="008B0030">
        <w:rPr>
          <w:lang w:val="en-US" w:eastAsia="ja-JP"/>
        </w:rPr>
        <w:t xml:space="preserve"> of waged poor households</w:t>
      </w:r>
      <w:r w:rsidR="00485EBA">
        <w:rPr>
          <w:lang w:val="en-US" w:eastAsia="ja-JP"/>
        </w:rPr>
        <w:t>; and</w:t>
      </w:r>
    </w:p>
    <w:p w14:paraId="6D5779A2" w14:textId="26651B66" w:rsidR="003E0EE3" w:rsidRDefault="003E0EE3" w:rsidP="003E0EE3">
      <w:pPr>
        <w:numPr>
          <w:ilvl w:val="0"/>
          <w:numId w:val="24"/>
        </w:numPr>
        <w:rPr>
          <w:lang w:val="en-US" w:eastAsia="ja-JP"/>
        </w:rPr>
      </w:pPr>
      <w:r>
        <w:rPr>
          <w:lang w:val="en-US" w:eastAsia="ja-JP"/>
        </w:rPr>
        <w:t>the lack of knowledge of or engagement with charity and NGO supports and the cultural barriers to using such services.</w:t>
      </w:r>
    </w:p>
    <w:p w14:paraId="72FEB856" w14:textId="1ABD148F" w:rsidR="00DE5A6A" w:rsidRDefault="008B0030" w:rsidP="00CB1B8B">
      <w:pPr>
        <w:rPr>
          <w:lang w:val="en-US" w:eastAsia="ja-JP"/>
        </w:rPr>
      </w:pPr>
      <w:r>
        <w:rPr>
          <w:lang w:val="en-US" w:eastAsia="ja-JP"/>
        </w:rPr>
        <w:t xml:space="preserve">This report makes specific recommendations in each of these areas and </w:t>
      </w:r>
      <w:r w:rsidR="00DE5A6A">
        <w:rPr>
          <w:lang w:val="en-US" w:eastAsia="ja-JP"/>
        </w:rPr>
        <w:t xml:space="preserve">would </w:t>
      </w:r>
      <w:r>
        <w:rPr>
          <w:lang w:val="en-US" w:eastAsia="ja-JP"/>
        </w:rPr>
        <w:t>require action from government, regulators, trade unions, NBN Co. and retailers, and from the NGO sector.</w:t>
      </w:r>
      <w:r w:rsidR="00485EBA">
        <w:rPr>
          <w:lang w:val="en-US" w:eastAsia="ja-JP"/>
        </w:rPr>
        <w:t xml:space="preserve"> Inevitably these recommendations will not cover all the steps that could be taken to assist </w:t>
      </w:r>
      <w:r w:rsidR="00170969">
        <w:rPr>
          <w:lang w:val="en-US" w:eastAsia="ja-JP"/>
        </w:rPr>
        <w:t>waged poor</w:t>
      </w:r>
      <w:r w:rsidR="00485EBA">
        <w:rPr>
          <w:lang w:val="en-US" w:eastAsia="ja-JP"/>
        </w:rPr>
        <w:t xml:space="preserve"> households with telecommunications affordability (</w:t>
      </w:r>
      <w:r w:rsidR="00DE5A6A">
        <w:rPr>
          <w:lang w:val="en-US" w:eastAsia="ja-JP"/>
        </w:rPr>
        <w:t xml:space="preserve">and as </w:t>
      </w:r>
      <w:r w:rsidR="00485EBA">
        <w:rPr>
          <w:lang w:val="en-US" w:eastAsia="ja-JP"/>
        </w:rPr>
        <w:t xml:space="preserve">above, some of those steps are not even in the telecommunications sector). Further, as the summary of the 2016 report shows, in a fast-moving market, things change quickly as some issues are solved and new needs arise. In that sense, this report is simply a snapshot in time but one with a focus on a group that has often been neglected in policy discussion around telecommunication affordability. </w:t>
      </w:r>
    </w:p>
    <w:p w14:paraId="28E3AFD5" w14:textId="5243180E" w:rsidR="00CB1B8B" w:rsidRPr="00CB1B8B" w:rsidRDefault="00485EBA" w:rsidP="00CB1B8B">
      <w:pPr>
        <w:rPr>
          <w:lang w:val="en-US" w:eastAsia="ja-JP"/>
        </w:rPr>
      </w:pPr>
      <w:r>
        <w:rPr>
          <w:lang w:val="en-US" w:eastAsia="ja-JP"/>
        </w:rPr>
        <w:t>It is hoped that the data in this report is enough to overcome that gap and that policy responses can be developed to assist those households who are mainly reliant on wage income but are still living below the poverty line. Our recommendations are a start in that direction.</w:t>
      </w:r>
    </w:p>
    <w:p w14:paraId="30774E9F" w14:textId="77777777" w:rsidR="006532DE" w:rsidRDefault="006532DE" w:rsidP="00DD6F0E">
      <w:pPr>
        <w:pStyle w:val="Heading1"/>
        <w:rPr>
          <w:lang w:val="en-US" w:eastAsia="ja-JP"/>
        </w:rPr>
      </w:pPr>
      <w:bookmarkStart w:id="84" w:name="_Toc42719048"/>
      <w:r>
        <w:rPr>
          <w:lang w:val="en-US" w:eastAsia="ja-JP"/>
        </w:rPr>
        <w:lastRenderedPageBreak/>
        <w:t>Recommendations</w:t>
      </w:r>
      <w:bookmarkEnd w:id="84"/>
    </w:p>
    <w:p w14:paraId="3D4FFDA7" w14:textId="77777777" w:rsidR="006532DE" w:rsidRDefault="006532DE" w:rsidP="00E1061E">
      <w:pPr>
        <w:pStyle w:val="Heading3"/>
      </w:pPr>
      <w:r>
        <w:t>Recommendation 1</w:t>
      </w:r>
    </w:p>
    <w:p w14:paraId="40C2C3D0" w14:textId="743B8619" w:rsidR="001F0BD8" w:rsidRPr="001F0BD8" w:rsidRDefault="001F0BD8" w:rsidP="001F0BD8">
      <w:pPr>
        <w:rPr>
          <w:lang w:eastAsia="ja-JP"/>
        </w:rPr>
      </w:pPr>
      <w:r w:rsidRPr="001F0BD8">
        <w:rPr>
          <w:lang w:eastAsia="ja-JP"/>
        </w:rPr>
        <w:t>That telecommunications regulators, companies and community groups supporting consumer</w:t>
      </w:r>
      <w:r w:rsidR="00CD52FD">
        <w:rPr>
          <w:lang w:eastAsia="ja-JP"/>
        </w:rPr>
        <w:t>s</w:t>
      </w:r>
      <w:r w:rsidRPr="001F0BD8">
        <w:rPr>
          <w:lang w:eastAsia="ja-JP"/>
        </w:rPr>
        <w:t xml:space="preserve"> note the prevalence of waged poor households and include a consideration of these households in their analysis of telecommunications affordability and financial hardship.</w:t>
      </w:r>
    </w:p>
    <w:p w14:paraId="0ADEDBBB" w14:textId="5A8E53D6" w:rsidR="006532DE" w:rsidRDefault="006532DE" w:rsidP="00E1061E">
      <w:pPr>
        <w:pStyle w:val="Heading3"/>
      </w:pPr>
      <w:r>
        <w:t>Recommendation 2</w:t>
      </w:r>
    </w:p>
    <w:p w14:paraId="374D7E64" w14:textId="24295493" w:rsidR="00187C0C" w:rsidRDefault="00187C0C" w:rsidP="00187C0C">
      <w:pPr>
        <w:spacing w:before="80"/>
        <w:rPr>
          <w:lang w:eastAsia="ja-JP"/>
        </w:rPr>
      </w:pPr>
      <w:r w:rsidRPr="00187C0C">
        <w:rPr>
          <w:rFonts w:cs="Calibri"/>
          <w:color w:val="000000"/>
          <w:szCs w:val="24"/>
        </w:rPr>
        <w:t xml:space="preserve">That state and local governments provide greater access to fast, reliable public </w:t>
      </w:r>
      <w:r w:rsidR="00FD3792">
        <w:rPr>
          <w:rFonts w:cs="Calibri"/>
          <w:color w:val="000000"/>
          <w:szCs w:val="24"/>
        </w:rPr>
        <w:t>WiFi</w:t>
      </w:r>
      <w:r w:rsidRPr="00187C0C">
        <w:rPr>
          <w:rFonts w:cs="Calibri"/>
          <w:color w:val="000000"/>
          <w:szCs w:val="24"/>
        </w:rPr>
        <w:t xml:space="preserve"> </w:t>
      </w:r>
      <w:r w:rsidR="00F6489B">
        <w:rPr>
          <w:rFonts w:cs="Calibri"/>
          <w:color w:val="000000"/>
          <w:szCs w:val="24"/>
        </w:rPr>
        <w:t xml:space="preserve">– particularly in disadvantaged areas, </w:t>
      </w:r>
      <w:r w:rsidRPr="00187C0C">
        <w:rPr>
          <w:rFonts w:cs="Calibri"/>
          <w:color w:val="000000"/>
          <w:szCs w:val="24"/>
        </w:rPr>
        <w:t xml:space="preserve">and advertise it in a way that distinguishes it from commercial networks. </w:t>
      </w:r>
    </w:p>
    <w:p w14:paraId="367AC5BB" w14:textId="30820D15" w:rsidR="00187C0C" w:rsidRDefault="00187C0C" w:rsidP="00E1061E">
      <w:pPr>
        <w:pStyle w:val="Heading3"/>
      </w:pPr>
      <w:r>
        <w:t>Recommendation 3</w:t>
      </w:r>
    </w:p>
    <w:p w14:paraId="5F6DCC5E" w14:textId="6D78850B" w:rsidR="001B0C76" w:rsidRPr="001B0C76" w:rsidRDefault="001B0C76" w:rsidP="001B0C76">
      <w:pPr>
        <w:rPr>
          <w:lang w:eastAsia="ja-JP"/>
        </w:rPr>
      </w:pPr>
      <w:r w:rsidRPr="001B0C76">
        <w:rPr>
          <w:lang w:eastAsia="ja-JP"/>
        </w:rPr>
        <w:t xml:space="preserve">Where </w:t>
      </w:r>
      <w:r w:rsidR="00A7052F">
        <w:rPr>
          <w:lang w:eastAsia="ja-JP"/>
        </w:rPr>
        <w:t>they are</w:t>
      </w:r>
      <w:r w:rsidRPr="001B0C76">
        <w:rPr>
          <w:lang w:eastAsia="ja-JP"/>
        </w:rPr>
        <w:t xml:space="preserve"> not already available, state and territory governments should provide basic computer equipment and support (including data) for all school students.</w:t>
      </w:r>
    </w:p>
    <w:p w14:paraId="2133235E" w14:textId="192CB789" w:rsidR="001B0C76" w:rsidRDefault="001B0C76" w:rsidP="00E1061E">
      <w:pPr>
        <w:pStyle w:val="Heading3"/>
      </w:pPr>
      <w:r>
        <w:t xml:space="preserve">Recommendation </w:t>
      </w:r>
      <w:r w:rsidR="008015A5">
        <w:t>4</w:t>
      </w:r>
    </w:p>
    <w:p w14:paraId="36696A50" w14:textId="4EF8E5CB" w:rsidR="00DC0A6B" w:rsidRPr="00DC0A6B" w:rsidRDefault="00DC0A6B" w:rsidP="00DC0A6B">
      <w:pPr>
        <w:rPr>
          <w:lang w:eastAsia="en-AU"/>
        </w:rPr>
      </w:pPr>
      <w:r w:rsidRPr="00DC0A6B">
        <w:rPr>
          <w:lang w:eastAsia="en-AU"/>
        </w:rPr>
        <w:t xml:space="preserve">That employment conditions should contain clear rules around the requirements for and uses of personal telecommunications devices and services for work, and </w:t>
      </w:r>
      <w:r w:rsidRPr="00DC0A6B">
        <w:t>where there is either an expectation or a significant use of an employee’s devices and services for work purposes</w:t>
      </w:r>
      <w:r w:rsidR="00AA15CF">
        <w:t>,</w:t>
      </w:r>
      <w:r w:rsidRPr="00DC0A6B">
        <w:rPr>
          <w:lang w:eastAsia="en-AU"/>
        </w:rPr>
        <w:t xml:space="preserve"> the</w:t>
      </w:r>
      <w:r w:rsidR="00AA15CF">
        <w:rPr>
          <w:lang w:eastAsia="en-AU"/>
        </w:rPr>
        <w:t xml:space="preserve"> employee should</w:t>
      </w:r>
      <w:r w:rsidRPr="00DC0A6B">
        <w:rPr>
          <w:lang w:eastAsia="en-AU"/>
        </w:rPr>
        <w:t xml:space="preserve"> have a right to reimbursement of costs (including part-costs of monthly phone and/or internet plans).</w:t>
      </w:r>
    </w:p>
    <w:p w14:paraId="37C0D325" w14:textId="38041F53" w:rsidR="001B0C76" w:rsidRDefault="001B0C76" w:rsidP="00E1061E">
      <w:pPr>
        <w:pStyle w:val="Heading3"/>
      </w:pPr>
      <w:r>
        <w:t xml:space="preserve">Recommendation </w:t>
      </w:r>
      <w:r w:rsidR="008015A5">
        <w:t>5</w:t>
      </w:r>
    </w:p>
    <w:p w14:paraId="2B42F71F" w14:textId="77777777" w:rsidR="00D64879" w:rsidRPr="00D64879" w:rsidRDefault="00D64879" w:rsidP="00D64879">
      <w:pPr>
        <w:rPr>
          <w:lang w:eastAsia="en-AU"/>
        </w:rPr>
      </w:pPr>
      <w:r w:rsidRPr="00D64879">
        <w:rPr>
          <w:lang w:eastAsia="en-AU"/>
        </w:rPr>
        <w:t>That NBN Co. and telecommunications retailers provide a concession on NBN services to households in poverty utilising the receipt of Family Tax Benefit A or a Low Income Health Care Card as the eligibility criteria to ensure that waged poor households are included.</w:t>
      </w:r>
    </w:p>
    <w:p w14:paraId="6B2DE89A" w14:textId="57C886F1" w:rsidR="001B0C76" w:rsidRDefault="001B0C76" w:rsidP="00E1061E">
      <w:pPr>
        <w:pStyle w:val="Heading3"/>
      </w:pPr>
      <w:r>
        <w:t xml:space="preserve">Recommendation </w:t>
      </w:r>
      <w:r w:rsidR="008015A5">
        <w:t>6</w:t>
      </w:r>
    </w:p>
    <w:p w14:paraId="1DE9CBC5" w14:textId="6DF52A92" w:rsidR="001B0C76" w:rsidRPr="00D64879" w:rsidRDefault="00D64879" w:rsidP="001B0C76">
      <w:pPr>
        <w:rPr>
          <w:lang w:eastAsia="en-AU"/>
        </w:rPr>
      </w:pPr>
      <w:r w:rsidRPr="00D64879">
        <w:rPr>
          <w:lang w:eastAsia="en-AU"/>
        </w:rPr>
        <w:t>That (where they have not already) telecommunications retailers develop flexible plans tailored to those with low and variable incomes and promote this flexibility to those consumers as a possibility for managing expenditure within financial constraints.</w:t>
      </w:r>
    </w:p>
    <w:p w14:paraId="441404A1" w14:textId="322B1C49" w:rsidR="001B0C76" w:rsidRDefault="001B0C76" w:rsidP="00E1061E">
      <w:pPr>
        <w:pStyle w:val="Heading3"/>
      </w:pPr>
      <w:r>
        <w:t xml:space="preserve">Recommendation </w:t>
      </w:r>
      <w:r w:rsidR="008015A5">
        <w:t>7</w:t>
      </w:r>
    </w:p>
    <w:p w14:paraId="743BA9AD" w14:textId="22155130" w:rsidR="001B0C76" w:rsidRPr="001B0C76" w:rsidRDefault="001B0C76" w:rsidP="001B0C76">
      <w:pPr>
        <w:rPr>
          <w:lang w:eastAsia="en-AU"/>
        </w:rPr>
      </w:pPr>
      <w:r w:rsidRPr="001B0C76">
        <w:rPr>
          <w:lang w:eastAsia="en-AU"/>
        </w:rPr>
        <w:t>That charities and community welfare organ</w:t>
      </w:r>
      <w:r w:rsidR="00F81B9D">
        <w:rPr>
          <w:lang w:eastAsia="en-AU"/>
        </w:rPr>
        <w:t>is</w:t>
      </w:r>
      <w:r w:rsidRPr="001B0C76">
        <w:rPr>
          <w:lang w:eastAsia="en-AU"/>
        </w:rPr>
        <w:t xml:space="preserve">ations </w:t>
      </w:r>
      <w:r w:rsidR="00F81B9D">
        <w:rPr>
          <w:lang w:eastAsia="en-AU"/>
        </w:rPr>
        <w:t xml:space="preserve">engaged in relevant work, such as financial counselling, emergency relief or digital literacy support, </w:t>
      </w:r>
      <w:r w:rsidRPr="001B0C76">
        <w:rPr>
          <w:lang w:eastAsia="en-AU"/>
        </w:rPr>
        <w:t>consider their promotional practices and whether they are targeted at or likely to reach waged poor households.</w:t>
      </w:r>
    </w:p>
    <w:p w14:paraId="23B01D79" w14:textId="14B62AD0" w:rsidR="001B0C76" w:rsidRDefault="001B0C76" w:rsidP="00E1061E">
      <w:pPr>
        <w:pStyle w:val="Heading3"/>
      </w:pPr>
      <w:r>
        <w:t xml:space="preserve">Recommendation </w:t>
      </w:r>
      <w:r w:rsidR="008015A5">
        <w:t>8</w:t>
      </w:r>
    </w:p>
    <w:p w14:paraId="30718DC5" w14:textId="3907885B" w:rsidR="001B0C76" w:rsidRPr="001B0C76" w:rsidRDefault="001B0C76" w:rsidP="001B0C76">
      <w:pPr>
        <w:rPr>
          <w:lang w:eastAsia="en-AU"/>
        </w:rPr>
      </w:pPr>
      <w:r w:rsidRPr="001B0C76">
        <w:rPr>
          <w:lang w:eastAsia="en-AU"/>
        </w:rPr>
        <w:t xml:space="preserve">That telecommunications retailers </w:t>
      </w:r>
      <w:r w:rsidR="001E5C91">
        <w:rPr>
          <w:lang w:eastAsia="en-AU"/>
        </w:rPr>
        <w:t xml:space="preserve">provide </w:t>
      </w:r>
      <w:r w:rsidRPr="001B0C76">
        <w:rPr>
          <w:lang w:eastAsia="en-AU"/>
        </w:rPr>
        <w:t xml:space="preserve">information on financial counselling and </w:t>
      </w:r>
      <w:r w:rsidR="008E2A93">
        <w:rPr>
          <w:lang w:eastAsia="en-AU"/>
        </w:rPr>
        <w:t xml:space="preserve">digital literacy </w:t>
      </w:r>
      <w:r w:rsidRPr="001B0C76">
        <w:rPr>
          <w:lang w:eastAsia="en-AU"/>
        </w:rPr>
        <w:t>support</w:t>
      </w:r>
      <w:r w:rsidR="001E5C91">
        <w:rPr>
          <w:lang w:eastAsia="en-AU"/>
        </w:rPr>
        <w:t xml:space="preserve"> services</w:t>
      </w:r>
      <w:r w:rsidR="008E2A93">
        <w:rPr>
          <w:lang w:eastAsia="en-AU"/>
        </w:rPr>
        <w:t xml:space="preserve"> </w:t>
      </w:r>
      <w:r w:rsidR="001E5C91">
        <w:rPr>
          <w:lang w:eastAsia="en-AU"/>
        </w:rPr>
        <w:t>on all bills with previous monies owing, all reminder notices and all service restriction, suspension or disconnection notices</w:t>
      </w:r>
      <w:r w:rsidRPr="001B0C76">
        <w:rPr>
          <w:lang w:eastAsia="en-AU"/>
        </w:rPr>
        <w:t>.</w:t>
      </w:r>
    </w:p>
    <w:p w14:paraId="709DFEEC" w14:textId="172EFF9F" w:rsidR="001B0C76" w:rsidRDefault="001B0C76" w:rsidP="00E1061E">
      <w:pPr>
        <w:pStyle w:val="Heading3"/>
      </w:pPr>
      <w:r>
        <w:lastRenderedPageBreak/>
        <w:t xml:space="preserve">Recommendation </w:t>
      </w:r>
      <w:r w:rsidR="008015A5">
        <w:t>9</w:t>
      </w:r>
    </w:p>
    <w:p w14:paraId="4D4A18EF" w14:textId="318F10D6" w:rsidR="001B0C76" w:rsidRPr="00E87565" w:rsidRDefault="00E87565" w:rsidP="001B0C76">
      <w:pPr>
        <w:rPr>
          <w:lang w:val="en-US" w:eastAsia="ja-JP"/>
        </w:rPr>
      </w:pPr>
      <w:r w:rsidRPr="00E87565">
        <w:rPr>
          <w:lang w:val="en-US" w:eastAsia="ja-JP"/>
        </w:rPr>
        <w:t>That consideration be given to developing an alliance of government, industry and the charity sector (or working through existing structures such as the Thriving Communities Partnership) to enable some pro-active, positive promotion of support services available to those who struggle with telecommunications bills or digital literacy.</w:t>
      </w:r>
    </w:p>
    <w:p w14:paraId="51957522" w14:textId="246F0213" w:rsidR="001B0C76" w:rsidRDefault="00CD52FD" w:rsidP="00E1061E">
      <w:pPr>
        <w:pStyle w:val="Heading3"/>
      </w:pPr>
      <w:r>
        <w:t xml:space="preserve">Recommendation </w:t>
      </w:r>
      <w:r w:rsidR="008015A5">
        <w:t>10</w:t>
      </w:r>
    </w:p>
    <w:p w14:paraId="4F3BBE18" w14:textId="6139A27B" w:rsidR="00CD52FD" w:rsidRPr="00CD52FD" w:rsidRDefault="00CD52FD" w:rsidP="00CD52FD">
      <w:pPr>
        <w:rPr>
          <w:lang w:eastAsia="en-AU"/>
        </w:rPr>
      </w:pPr>
      <w:r w:rsidRPr="00CD52FD">
        <w:rPr>
          <w:lang w:eastAsia="en-AU"/>
        </w:rPr>
        <w:t xml:space="preserve">While not making specific recommendations on issues outside of direct </w:t>
      </w:r>
      <w:r w:rsidR="0034259F">
        <w:rPr>
          <w:lang w:eastAsia="en-AU"/>
        </w:rPr>
        <w:t>telecommunications</w:t>
      </w:r>
      <w:r w:rsidRPr="00CD52FD">
        <w:rPr>
          <w:lang w:eastAsia="en-AU"/>
        </w:rPr>
        <w:t xml:space="preserve"> policy, th</w:t>
      </w:r>
      <w:r w:rsidR="00C12023">
        <w:rPr>
          <w:lang w:eastAsia="en-AU"/>
        </w:rPr>
        <w:t>is</w:t>
      </w:r>
      <w:r w:rsidRPr="00CD52FD">
        <w:rPr>
          <w:lang w:eastAsia="en-AU"/>
        </w:rPr>
        <w:t xml:space="preserve"> report notes the importance to </w:t>
      </w:r>
      <w:r w:rsidR="00002AE1">
        <w:rPr>
          <w:lang w:eastAsia="en-AU"/>
        </w:rPr>
        <w:t>telecommunications</w:t>
      </w:r>
      <w:r w:rsidRPr="00CD52FD">
        <w:rPr>
          <w:lang w:eastAsia="en-AU"/>
        </w:rPr>
        <w:t xml:space="preserve"> affordability of an adequate income, and therefore of addressing issues in relation to:</w:t>
      </w:r>
    </w:p>
    <w:p w14:paraId="41F87C28" w14:textId="77777777" w:rsidR="00CD52FD" w:rsidRPr="00CD52FD" w:rsidRDefault="00CD52FD" w:rsidP="00CD52FD">
      <w:pPr>
        <w:pStyle w:val="ListParagraph"/>
        <w:numPr>
          <w:ilvl w:val="0"/>
          <w:numId w:val="22"/>
        </w:numPr>
        <w:rPr>
          <w:sz w:val="22"/>
          <w:lang w:eastAsia="en-AU"/>
        </w:rPr>
      </w:pPr>
      <w:r w:rsidRPr="00CD52FD">
        <w:rPr>
          <w:sz w:val="22"/>
          <w:lang w:eastAsia="en-AU"/>
        </w:rPr>
        <w:t>Wage stagnation and underemployment;</w:t>
      </w:r>
    </w:p>
    <w:p w14:paraId="74BFD169" w14:textId="77777777" w:rsidR="00CD52FD" w:rsidRPr="00CD52FD" w:rsidRDefault="00CD52FD" w:rsidP="00CD52FD">
      <w:pPr>
        <w:pStyle w:val="ListParagraph"/>
        <w:numPr>
          <w:ilvl w:val="0"/>
          <w:numId w:val="22"/>
        </w:numPr>
        <w:rPr>
          <w:sz w:val="22"/>
          <w:lang w:eastAsia="en-AU"/>
        </w:rPr>
      </w:pPr>
      <w:r w:rsidRPr="00CD52FD">
        <w:rPr>
          <w:sz w:val="22"/>
          <w:lang w:eastAsia="en-AU"/>
        </w:rPr>
        <w:t>Inadequate income support payments; and</w:t>
      </w:r>
    </w:p>
    <w:p w14:paraId="7DD1A2E6" w14:textId="77777777" w:rsidR="00CD52FD" w:rsidRPr="00CD52FD" w:rsidRDefault="00CD52FD" w:rsidP="00CD52FD">
      <w:pPr>
        <w:pStyle w:val="ListParagraph"/>
        <w:numPr>
          <w:ilvl w:val="0"/>
          <w:numId w:val="22"/>
        </w:numPr>
        <w:rPr>
          <w:sz w:val="22"/>
          <w:lang w:eastAsia="en-AU"/>
        </w:rPr>
      </w:pPr>
      <w:r w:rsidRPr="00CD52FD">
        <w:rPr>
          <w:sz w:val="22"/>
          <w:lang w:eastAsia="en-AU"/>
        </w:rPr>
        <w:t>The interaction between income support payments and paid work.</w:t>
      </w:r>
    </w:p>
    <w:p w14:paraId="2CC651C5" w14:textId="77777777" w:rsidR="00CD52FD" w:rsidRPr="00CD52FD" w:rsidRDefault="00CD52FD" w:rsidP="00CD52FD">
      <w:pPr>
        <w:rPr>
          <w:lang w:eastAsia="ja-JP"/>
        </w:rPr>
      </w:pPr>
    </w:p>
    <w:p w14:paraId="7AE6EBBA" w14:textId="77777777" w:rsidR="004822C2" w:rsidRDefault="004822C2" w:rsidP="00DD6F0E">
      <w:pPr>
        <w:pStyle w:val="Heading1"/>
        <w:rPr>
          <w:lang w:val="en-US" w:eastAsia="ja-JP"/>
        </w:rPr>
      </w:pPr>
      <w:bookmarkStart w:id="85" w:name="_Toc42719049"/>
      <w:r>
        <w:rPr>
          <w:lang w:val="en-US" w:eastAsia="ja-JP"/>
        </w:rPr>
        <w:lastRenderedPageBreak/>
        <w:t>Authors</w:t>
      </w:r>
      <w:bookmarkEnd w:id="85"/>
    </w:p>
    <w:p w14:paraId="07EE2FCA" w14:textId="2B891E43" w:rsidR="004822C2" w:rsidRPr="004822C2" w:rsidRDefault="00CD52FD" w:rsidP="004822C2">
      <w:pPr>
        <w:rPr>
          <w:rStyle w:val="IntenseEmphasis"/>
        </w:rPr>
      </w:pPr>
      <w:r>
        <w:rPr>
          <w:rStyle w:val="IntenseEmphasis"/>
        </w:rPr>
        <w:t>Greg Ogle</w:t>
      </w:r>
    </w:p>
    <w:p w14:paraId="57AC1D8A" w14:textId="124ED39B" w:rsidR="004822C2" w:rsidRPr="00CD52FD" w:rsidRDefault="00CD52FD" w:rsidP="00AE36AE">
      <w:pPr>
        <w:rPr>
          <w:lang w:val="en-US" w:eastAsia="ja-JP"/>
        </w:rPr>
      </w:pPr>
      <w:r>
        <w:rPr>
          <w:lang w:val="en-US" w:eastAsia="ja-JP"/>
        </w:rPr>
        <w:t xml:space="preserve">Dr Greg Ogle is the Senior Policy and Research Analyst at the South Australian Council of Social Service, and has authored a range of SACOSS reports on telecommunications affordability, including the 2016 </w:t>
      </w:r>
      <w:r>
        <w:rPr>
          <w:i/>
          <w:iCs/>
          <w:lang w:val="en-US" w:eastAsia="ja-JP"/>
        </w:rPr>
        <w:t>Connectivity Costs</w:t>
      </w:r>
      <w:r>
        <w:rPr>
          <w:lang w:val="en-US" w:eastAsia="ja-JP"/>
        </w:rPr>
        <w:t xml:space="preserve"> report (with Vanessa Musolino). Greg has a PhD in political economy from the University of Adelaide.</w:t>
      </w:r>
    </w:p>
    <w:p w14:paraId="00F62A14" w14:textId="4259D584" w:rsidR="004822C2" w:rsidRPr="004822C2" w:rsidRDefault="00CD52FD" w:rsidP="00AE36AE">
      <w:pPr>
        <w:rPr>
          <w:rStyle w:val="IntenseEmphasis"/>
        </w:rPr>
      </w:pPr>
      <w:r>
        <w:rPr>
          <w:rStyle w:val="IntenseEmphasis"/>
        </w:rPr>
        <w:t>Rebecca Law</w:t>
      </w:r>
    </w:p>
    <w:p w14:paraId="7EB8E6CD" w14:textId="6895FDAF" w:rsidR="004822C2" w:rsidRDefault="00CD52FD" w:rsidP="00AE36AE">
      <w:pPr>
        <w:rPr>
          <w:lang w:val="en-US" w:eastAsia="ja-JP"/>
        </w:rPr>
      </w:pPr>
      <w:r>
        <w:rPr>
          <w:lang w:val="en-US" w:eastAsia="ja-JP"/>
        </w:rPr>
        <w:t>Rebecca Law is a Policy Officer at the South Australian Council of Social Service specialising in utilities. She was the lead author of SACOSS’ 2019 report on energy affordability and waged poor households, and was responsible for the quantitative data analysis in both waged poor reports.</w:t>
      </w:r>
    </w:p>
    <w:p w14:paraId="167B46C1" w14:textId="77777777" w:rsidR="00B721E6" w:rsidRDefault="00B721E6" w:rsidP="00DD6F0E">
      <w:pPr>
        <w:pStyle w:val="Heading1"/>
        <w:rPr>
          <w:lang w:val="en-US" w:eastAsia="ja-JP"/>
        </w:rPr>
      </w:pPr>
      <w:bookmarkStart w:id="86" w:name="_Toc42719050"/>
      <w:r>
        <w:rPr>
          <w:lang w:val="en-US" w:eastAsia="ja-JP"/>
        </w:rPr>
        <w:lastRenderedPageBreak/>
        <w:t>Appendix</w:t>
      </w:r>
      <w:r w:rsidR="00346B9D">
        <w:rPr>
          <w:lang w:val="en-US" w:eastAsia="ja-JP"/>
        </w:rPr>
        <w:t xml:space="preserve"> 1: Survey </w:t>
      </w:r>
      <w:r w:rsidR="00E20A37">
        <w:rPr>
          <w:lang w:val="en-US" w:eastAsia="ja-JP"/>
        </w:rPr>
        <w:t xml:space="preserve">Methodology and </w:t>
      </w:r>
      <w:r w:rsidR="00346B9D">
        <w:rPr>
          <w:lang w:val="en-US" w:eastAsia="ja-JP"/>
        </w:rPr>
        <w:t>Demographics</w:t>
      </w:r>
      <w:bookmarkEnd w:id="86"/>
    </w:p>
    <w:p w14:paraId="125617EF" w14:textId="70C5FEF4" w:rsidR="00B721E6" w:rsidRDefault="00F537A1" w:rsidP="00B721E6">
      <w:pPr>
        <w:rPr>
          <w:lang w:val="en-US" w:eastAsia="ja-JP"/>
        </w:rPr>
      </w:pPr>
      <w:r>
        <w:rPr>
          <w:lang w:val="en-US" w:eastAsia="ja-JP"/>
        </w:rPr>
        <w:t>The Mint Research survey was conducted with 500 online respondents</w:t>
      </w:r>
      <w:r w:rsidR="002627F0">
        <w:rPr>
          <w:lang w:val="en-US" w:eastAsia="ja-JP"/>
        </w:rPr>
        <w:t xml:space="preserve"> in October 2019</w:t>
      </w:r>
      <w:r w:rsidR="005344CD">
        <w:rPr>
          <w:lang w:val="en-US" w:eastAsia="ja-JP"/>
        </w:rPr>
        <w:t xml:space="preserve">, but </w:t>
      </w:r>
      <w:r w:rsidR="002627F0">
        <w:rPr>
          <w:lang w:val="en-US" w:eastAsia="ja-JP"/>
        </w:rPr>
        <w:t xml:space="preserve">there were problems with </w:t>
      </w:r>
      <w:r w:rsidR="00CD52FD">
        <w:rPr>
          <w:lang w:val="en-US" w:eastAsia="ja-JP"/>
        </w:rPr>
        <w:t>the</w:t>
      </w:r>
      <w:r w:rsidR="002627F0">
        <w:rPr>
          <w:lang w:val="en-US" w:eastAsia="ja-JP"/>
        </w:rPr>
        <w:t xml:space="preserve"> application of the selection criteria</w:t>
      </w:r>
      <w:r w:rsidR="00CD52FD">
        <w:rPr>
          <w:lang w:val="en-US" w:eastAsia="ja-JP"/>
        </w:rPr>
        <w:t xml:space="preserve"> in some cases</w:t>
      </w:r>
      <w:r w:rsidR="002627F0">
        <w:rPr>
          <w:lang w:val="en-US" w:eastAsia="ja-JP"/>
        </w:rPr>
        <w:t xml:space="preserve">. This resulted in removing some </w:t>
      </w:r>
      <w:r w:rsidR="003A6194">
        <w:rPr>
          <w:lang w:val="en-US" w:eastAsia="ja-JP"/>
        </w:rPr>
        <w:t xml:space="preserve">118 </w:t>
      </w:r>
      <w:r w:rsidR="002627F0">
        <w:rPr>
          <w:lang w:val="en-US" w:eastAsia="ja-JP"/>
        </w:rPr>
        <w:t xml:space="preserve">records from the </w:t>
      </w:r>
      <w:r w:rsidR="00CD52FD">
        <w:rPr>
          <w:lang w:val="en-US" w:eastAsia="ja-JP"/>
        </w:rPr>
        <w:t>dataset</w:t>
      </w:r>
      <w:r w:rsidR="002627F0">
        <w:rPr>
          <w:lang w:val="en-US" w:eastAsia="ja-JP"/>
        </w:rPr>
        <w:t xml:space="preserve"> and topping up t</w:t>
      </w:r>
      <w:r w:rsidR="003A6194">
        <w:rPr>
          <w:lang w:val="en-US" w:eastAsia="ja-JP"/>
        </w:rPr>
        <w:t>he sample with an additional 103</w:t>
      </w:r>
      <w:r w:rsidR="002627F0">
        <w:rPr>
          <w:lang w:val="en-US" w:eastAsia="ja-JP"/>
        </w:rPr>
        <w:t xml:space="preserve"> responses from a supplemental survey conducted in March 2020</w:t>
      </w:r>
      <w:r>
        <w:rPr>
          <w:lang w:val="en-US" w:eastAsia="ja-JP"/>
        </w:rPr>
        <w:t xml:space="preserve">. </w:t>
      </w:r>
      <w:r w:rsidR="002627F0">
        <w:rPr>
          <w:lang w:val="en-US" w:eastAsia="ja-JP"/>
        </w:rPr>
        <w:t xml:space="preserve">The total final sample size was </w:t>
      </w:r>
      <w:r w:rsidR="003A6194">
        <w:rPr>
          <w:lang w:val="en-US" w:eastAsia="ja-JP"/>
        </w:rPr>
        <w:t>485</w:t>
      </w:r>
      <w:r w:rsidR="002627F0">
        <w:rPr>
          <w:lang w:val="en-US" w:eastAsia="ja-JP"/>
        </w:rPr>
        <w:t xml:space="preserve"> and u</w:t>
      </w:r>
      <w:r>
        <w:rPr>
          <w:lang w:val="en-US" w:eastAsia="ja-JP"/>
        </w:rPr>
        <w:t xml:space="preserve">nless otherwise stated, all figures below refer to the </w:t>
      </w:r>
      <w:r w:rsidR="005344CD">
        <w:rPr>
          <w:lang w:val="en-US" w:eastAsia="ja-JP"/>
        </w:rPr>
        <w:t>cleaned and combined unweighted</w:t>
      </w:r>
      <w:r>
        <w:rPr>
          <w:lang w:val="en-US" w:eastAsia="ja-JP"/>
        </w:rPr>
        <w:t xml:space="preserve"> sample.</w:t>
      </w:r>
    </w:p>
    <w:p w14:paraId="0BE0D9AF" w14:textId="77777777" w:rsidR="00E20A37" w:rsidRDefault="00E20A37" w:rsidP="002D3C2F">
      <w:pPr>
        <w:pStyle w:val="Heading3"/>
      </w:pPr>
      <w:bookmarkStart w:id="87" w:name="_Toc42719051"/>
      <w:r>
        <w:t>Methodology</w:t>
      </w:r>
      <w:bookmarkEnd w:id="87"/>
    </w:p>
    <w:p w14:paraId="4C0BC858" w14:textId="77777777" w:rsidR="00E20A37" w:rsidRDefault="00E20A37" w:rsidP="00E20A37">
      <w:pPr>
        <w:rPr>
          <w:lang w:eastAsia="ja-JP"/>
        </w:rPr>
      </w:pPr>
      <w:r>
        <w:t xml:space="preserve">To calculate eligibility for the survey, initial screening questions </w:t>
      </w:r>
      <w:r>
        <w:rPr>
          <w:lang w:eastAsia="ja-JP"/>
        </w:rPr>
        <w:t>asked for household income, the number of adults and number of children under 15 and the survey software then calculated the equivalised income (using the OECD equivalisation values: 1</w:t>
      </w:r>
      <w:r w:rsidRPr="001D257F">
        <w:rPr>
          <w:vertAlign w:val="superscript"/>
          <w:lang w:eastAsia="ja-JP"/>
        </w:rPr>
        <w:t>st</w:t>
      </w:r>
      <w:r>
        <w:rPr>
          <w:lang w:eastAsia="ja-JP"/>
        </w:rPr>
        <w:t xml:space="preserve"> adult =1, subsequent adults = 0.5, and children = 0.3). The survey was terminated for those with incomes above that figure, and for those who answered that less than half of their income came from employment.</w:t>
      </w:r>
    </w:p>
    <w:p w14:paraId="7B11B387" w14:textId="2E834D5B" w:rsidR="00E20A37" w:rsidRDefault="00E20A37" w:rsidP="00E20A37">
      <w:pPr>
        <w:rPr>
          <w:lang w:eastAsia="ja-JP"/>
        </w:rPr>
      </w:pPr>
      <w:r>
        <w:rPr>
          <w:lang w:eastAsia="ja-JP"/>
        </w:rPr>
        <w:t xml:space="preserve">However, conceptually there was also the “young adult” problem: a stereotypical 21 year old living at home, paying their own phone bill but not responsible for (or knowledgeable of) other household expenditures (including potentially household broadband services paid by the parent/s). They can’t simply be treated as a member of the household as their experience may not reflect that of their household as a whole. On the other hand, a single person poverty line </w:t>
      </w:r>
      <w:r w:rsidR="00036DBA">
        <w:rPr>
          <w:lang w:eastAsia="ja-JP"/>
        </w:rPr>
        <w:t xml:space="preserve">is inappropriate </w:t>
      </w:r>
      <w:r>
        <w:rPr>
          <w:lang w:eastAsia="ja-JP"/>
        </w:rPr>
        <w:t>as their other costs are subsidised (so the poverty line should be lower). To exclude th</w:t>
      </w:r>
      <w:r w:rsidR="00036DBA">
        <w:rPr>
          <w:lang w:eastAsia="ja-JP"/>
        </w:rPr>
        <w:t>is young</w:t>
      </w:r>
      <w:r>
        <w:rPr>
          <w:lang w:eastAsia="ja-JP"/>
        </w:rPr>
        <w:t xml:space="preserve"> person would unnecessarily limit the sample as they may fit the criteria and have relevant experiences, but to include them may bias the survey as their experience may not reflect that of their household. </w:t>
      </w:r>
    </w:p>
    <w:p w14:paraId="712140E5" w14:textId="172519DB" w:rsidR="00E20A37" w:rsidRDefault="00E20A37" w:rsidP="00E20A37">
      <w:pPr>
        <w:rPr>
          <w:lang w:eastAsia="ja-JP"/>
        </w:rPr>
      </w:pPr>
      <w:r>
        <w:rPr>
          <w:lang w:eastAsia="ja-JP"/>
        </w:rPr>
        <w:t>Neither SACOSS nor Mint Research was aware of established methods to deal with this situation, but we (imperfectly) resolved the issue by including a question in the screening as to whether the respondent was responsible for household bills – and if not, they were treated as an individual but with a lower poverty line. This lower poverty line was created by the somewhat arbitrary method of dividing the poverty line for the household by the number of adults –so</w:t>
      </w:r>
      <w:r w:rsidR="00036DBA">
        <w:rPr>
          <w:lang w:eastAsia="ja-JP"/>
        </w:rPr>
        <w:t xml:space="preserve"> where</w:t>
      </w:r>
      <w:r>
        <w:rPr>
          <w:lang w:eastAsia="ja-JP"/>
        </w:rPr>
        <w:t xml:space="preserve"> the poverty line for a 3 adult household was $880 per week</w:t>
      </w:r>
      <w:r w:rsidR="00036DBA">
        <w:rPr>
          <w:lang w:eastAsia="ja-JP"/>
        </w:rPr>
        <w:t>,</w:t>
      </w:r>
      <w:r>
        <w:rPr>
          <w:lang w:eastAsia="ja-JP"/>
        </w:rPr>
        <w:t xml:space="preserve"> the individual poverty line would be $293, which would be $147 below the equivalised poverty line. In the final sample, only 6% of respondents ticked the box saying they did not share responsibility for household bills and were dealt with in this way.</w:t>
      </w:r>
    </w:p>
    <w:p w14:paraId="23C37EF7" w14:textId="77777777" w:rsidR="00D27581" w:rsidRDefault="00D27581" w:rsidP="002D3C2F">
      <w:pPr>
        <w:pStyle w:val="Heading3"/>
      </w:pPr>
      <w:bookmarkStart w:id="88" w:name="_Toc42719052"/>
      <w:r>
        <w:t>Key Demographics</w:t>
      </w:r>
      <w:bookmarkEnd w:id="88"/>
    </w:p>
    <w:p w14:paraId="1DEA8141" w14:textId="77777777" w:rsidR="002D3C2F" w:rsidRPr="002D3C2F" w:rsidRDefault="002D3C2F" w:rsidP="002D3C2F">
      <w:pPr>
        <w:pStyle w:val="Heading4"/>
        <w:rPr>
          <w:lang w:val="en-US" w:eastAsia="ja-JP"/>
        </w:rPr>
      </w:pPr>
      <w:r>
        <w:rPr>
          <w:lang w:val="en-US" w:eastAsia="ja-JP"/>
        </w:rPr>
        <w:t>Household Type and Weightings</w:t>
      </w:r>
    </w:p>
    <w:p w14:paraId="486D64F1" w14:textId="77777777" w:rsidR="007F1105" w:rsidRDefault="0083025B" w:rsidP="00B721E6">
      <w:pPr>
        <w:rPr>
          <w:lang w:val="en-US" w:eastAsia="ja-JP"/>
        </w:rPr>
      </w:pPr>
      <w:r>
        <w:rPr>
          <w:lang w:val="en-US" w:eastAsia="ja-JP"/>
        </w:rPr>
        <w:t xml:space="preserve">The two most important demographic characteristics of waged poor households identified in the ABS </w:t>
      </w:r>
      <w:r w:rsidR="002D3C2F">
        <w:rPr>
          <w:lang w:val="en-US" w:eastAsia="ja-JP"/>
        </w:rPr>
        <w:t xml:space="preserve">waged poor </w:t>
      </w:r>
      <w:r>
        <w:rPr>
          <w:lang w:val="en-US" w:eastAsia="ja-JP"/>
        </w:rPr>
        <w:t xml:space="preserve">data were household composition and housing status. </w:t>
      </w:r>
      <w:r w:rsidR="007F1105">
        <w:rPr>
          <w:lang w:val="en-US" w:eastAsia="ja-JP"/>
        </w:rPr>
        <w:t xml:space="preserve">Given the survey sample under-represented this family formation cohort, the survey results were weighted to more closely reflect the household composition in the ABS data. </w:t>
      </w:r>
      <w:r>
        <w:rPr>
          <w:lang w:val="en-US" w:eastAsia="ja-JP"/>
        </w:rPr>
        <w:t xml:space="preserve">The household composition data </w:t>
      </w:r>
      <w:r w:rsidR="00797B17">
        <w:rPr>
          <w:lang w:val="en-US" w:eastAsia="ja-JP"/>
        </w:rPr>
        <w:t xml:space="preserve">for the SACOSS survey sample </w:t>
      </w:r>
      <w:r w:rsidR="007F1105">
        <w:rPr>
          <w:lang w:val="en-US" w:eastAsia="ja-JP"/>
        </w:rPr>
        <w:t>and weighting are shown in the table below.</w:t>
      </w:r>
      <w:r w:rsidR="00797B17">
        <w:rPr>
          <w:lang w:val="en-US" w:eastAsia="ja-JP"/>
        </w:rPr>
        <w:t xml:space="preserve"> </w:t>
      </w:r>
    </w:p>
    <w:p w14:paraId="27C65296" w14:textId="646DB9A2" w:rsidR="007F1105" w:rsidRPr="003B04B2" w:rsidRDefault="004E39EB" w:rsidP="007F1105">
      <w:pPr>
        <w:rPr>
          <w:b/>
          <w:lang w:eastAsia="ja-JP"/>
        </w:rPr>
      </w:pPr>
      <w:r>
        <w:rPr>
          <w:b/>
          <w:lang w:eastAsia="ja-JP"/>
        </w:rPr>
        <w:lastRenderedPageBreak/>
        <w:t>Table A1: Household Composition, Comparison of SACOSS Sample and ABS Data</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Caption w:val="Table A1: Household Composition, Comparison of SACOSS and ABS Data"/>
        <w:tblDescription w:val="Table comparing data and showing the weightings used to adjust the SACOSS data for this report. &#10;Biggest change is mixed adult households = 33% in SACOSS sample reduced to 8.9% in ABS and final data.&#10;Two adults with children = 20% of SACOSS sample increased to 35% in ABS &amp; final data."/>
      </w:tblPr>
      <w:tblGrid>
        <w:gridCol w:w="4026"/>
        <w:gridCol w:w="1706"/>
        <w:gridCol w:w="1628"/>
        <w:gridCol w:w="1646"/>
      </w:tblGrid>
      <w:tr w:rsidR="007F1105" w:rsidRPr="00BC71AE" w14:paraId="05E4B17F" w14:textId="77777777" w:rsidTr="00F67D6E">
        <w:tc>
          <w:tcPr>
            <w:tcW w:w="4160" w:type="dxa"/>
            <w:shd w:val="clear" w:color="auto" w:fill="4F81BD"/>
          </w:tcPr>
          <w:p w14:paraId="7E5B0095" w14:textId="77777777" w:rsidR="007F1105" w:rsidRPr="00A35B18" w:rsidRDefault="007F1105" w:rsidP="00F67D6E">
            <w:pPr>
              <w:rPr>
                <w:b/>
                <w:bCs/>
              </w:rPr>
            </w:pPr>
            <w:r w:rsidRPr="00A35B18">
              <w:rPr>
                <w:b/>
                <w:bCs/>
              </w:rPr>
              <w:t>Household Type</w:t>
            </w:r>
          </w:p>
        </w:tc>
        <w:tc>
          <w:tcPr>
            <w:tcW w:w="1744" w:type="dxa"/>
            <w:shd w:val="clear" w:color="auto" w:fill="4F81BD"/>
          </w:tcPr>
          <w:p w14:paraId="043247E6" w14:textId="77777777" w:rsidR="007F1105" w:rsidRPr="00A35B18" w:rsidRDefault="007F1105" w:rsidP="00F67D6E">
            <w:pPr>
              <w:rPr>
                <w:b/>
                <w:bCs/>
              </w:rPr>
            </w:pPr>
            <w:r w:rsidRPr="00A35B18">
              <w:rPr>
                <w:b/>
                <w:bCs/>
              </w:rPr>
              <w:t>Survey Sample</w:t>
            </w:r>
          </w:p>
        </w:tc>
        <w:tc>
          <w:tcPr>
            <w:tcW w:w="1669" w:type="dxa"/>
            <w:shd w:val="clear" w:color="auto" w:fill="4F81BD"/>
          </w:tcPr>
          <w:p w14:paraId="17FCE819" w14:textId="614E45B4" w:rsidR="007F1105" w:rsidRPr="00A35B18" w:rsidRDefault="007F1105" w:rsidP="00F67D6E">
            <w:pPr>
              <w:rPr>
                <w:b/>
                <w:bCs/>
              </w:rPr>
            </w:pPr>
            <w:r w:rsidRPr="00A35B18">
              <w:rPr>
                <w:b/>
                <w:bCs/>
              </w:rPr>
              <w:t xml:space="preserve">ABS </w:t>
            </w:r>
            <w:r w:rsidR="00CB43E1" w:rsidRPr="00A35B18">
              <w:rPr>
                <w:b/>
                <w:bCs/>
              </w:rPr>
              <w:t>Data</w:t>
            </w:r>
          </w:p>
        </w:tc>
        <w:tc>
          <w:tcPr>
            <w:tcW w:w="1669" w:type="dxa"/>
            <w:shd w:val="clear" w:color="auto" w:fill="4F81BD"/>
          </w:tcPr>
          <w:p w14:paraId="5C60BAA2" w14:textId="77777777" w:rsidR="007F1105" w:rsidRPr="00A35B18" w:rsidRDefault="007F1105" w:rsidP="00F67D6E">
            <w:pPr>
              <w:rPr>
                <w:b/>
                <w:bCs/>
              </w:rPr>
            </w:pPr>
            <w:r w:rsidRPr="00A35B18">
              <w:rPr>
                <w:b/>
                <w:bCs/>
              </w:rPr>
              <w:t>Survey Weighting</w:t>
            </w:r>
          </w:p>
        </w:tc>
      </w:tr>
      <w:tr w:rsidR="007F1105" w:rsidRPr="00BC71AE" w14:paraId="24393071" w14:textId="77777777" w:rsidTr="00F67D6E">
        <w:tc>
          <w:tcPr>
            <w:tcW w:w="4160" w:type="dxa"/>
            <w:tcBorders>
              <w:top w:val="single" w:sz="8" w:space="0" w:color="4F81BD"/>
              <w:left w:val="single" w:sz="8" w:space="0" w:color="4F81BD"/>
              <w:bottom w:val="single" w:sz="8" w:space="0" w:color="4F81BD"/>
            </w:tcBorders>
            <w:shd w:val="clear" w:color="auto" w:fill="auto"/>
          </w:tcPr>
          <w:p w14:paraId="317A040B" w14:textId="77777777" w:rsidR="007F1105" w:rsidRPr="004C06A5" w:rsidRDefault="007F1105" w:rsidP="00F67D6E">
            <w:pPr>
              <w:rPr>
                <w:b/>
                <w:bCs/>
              </w:rPr>
            </w:pPr>
            <w:r>
              <w:rPr>
                <w:b/>
                <w:bCs/>
              </w:rPr>
              <w:t>Single Person Household</w:t>
            </w:r>
          </w:p>
        </w:tc>
        <w:tc>
          <w:tcPr>
            <w:tcW w:w="1744" w:type="dxa"/>
            <w:tcBorders>
              <w:top w:val="single" w:sz="8" w:space="0" w:color="4F81BD"/>
              <w:bottom w:val="single" w:sz="8" w:space="0" w:color="4F81BD"/>
            </w:tcBorders>
            <w:shd w:val="clear" w:color="auto" w:fill="auto"/>
          </w:tcPr>
          <w:p w14:paraId="30F9E899" w14:textId="77777777" w:rsidR="007F1105" w:rsidRPr="00BC71AE" w:rsidRDefault="007F1105" w:rsidP="00F67D6E">
            <w:r>
              <w:t>21.9%</w:t>
            </w:r>
          </w:p>
        </w:tc>
        <w:tc>
          <w:tcPr>
            <w:tcW w:w="1669" w:type="dxa"/>
            <w:tcBorders>
              <w:top w:val="single" w:sz="8" w:space="0" w:color="4F81BD"/>
              <w:bottom w:val="single" w:sz="8" w:space="0" w:color="4F81BD"/>
            </w:tcBorders>
          </w:tcPr>
          <w:p w14:paraId="7E5CFDCF" w14:textId="77777777" w:rsidR="007F1105" w:rsidRDefault="007F1105" w:rsidP="00F67D6E">
            <w:r>
              <w:t>25.3%</w:t>
            </w:r>
          </w:p>
        </w:tc>
        <w:tc>
          <w:tcPr>
            <w:tcW w:w="1669" w:type="dxa"/>
            <w:tcBorders>
              <w:top w:val="single" w:sz="8" w:space="0" w:color="4F81BD"/>
              <w:bottom w:val="single" w:sz="8" w:space="0" w:color="4F81BD"/>
            </w:tcBorders>
          </w:tcPr>
          <w:p w14:paraId="5081F24C" w14:textId="77777777" w:rsidR="007F1105" w:rsidRDefault="007F1105" w:rsidP="00F67D6E">
            <w:r>
              <w:t>1.16</w:t>
            </w:r>
          </w:p>
        </w:tc>
      </w:tr>
      <w:tr w:rsidR="007F1105" w:rsidRPr="00BC71AE" w14:paraId="52574B3E" w14:textId="77777777" w:rsidTr="002F6867">
        <w:tc>
          <w:tcPr>
            <w:tcW w:w="4160" w:type="dxa"/>
            <w:shd w:val="clear" w:color="auto" w:fill="auto"/>
          </w:tcPr>
          <w:p w14:paraId="410428EE" w14:textId="77777777" w:rsidR="007F1105" w:rsidRPr="004C06A5" w:rsidRDefault="007F1105" w:rsidP="00F67D6E">
            <w:pPr>
              <w:rPr>
                <w:b/>
                <w:bCs/>
              </w:rPr>
            </w:pPr>
            <w:r>
              <w:rPr>
                <w:b/>
                <w:bCs/>
              </w:rPr>
              <w:t>Two adults, no children</w:t>
            </w:r>
          </w:p>
        </w:tc>
        <w:tc>
          <w:tcPr>
            <w:tcW w:w="1744" w:type="dxa"/>
            <w:shd w:val="clear" w:color="auto" w:fill="auto"/>
          </w:tcPr>
          <w:p w14:paraId="57A3100C" w14:textId="77777777" w:rsidR="007F1105" w:rsidRPr="00BC71AE" w:rsidRDefault="007F1105" w:rsidP="00F67D6E">
            <w:r>
              <w:t>26.8%</w:t>
            </w:r>
          </w:p>
        </w:tc>
        <w:tc>
          <w:tcPr>
            <w:tcW w:w="1669" w:type="dxa"/>
            <w:tcBorders>
              <w:bottom w:val="single" w:sz="8" w:space="0" w:color="4F81BD"/>
            </w:tcBorders>
          </w:tcPr>
          <w:p w14:paraId="25AB712E" w14:textId="77777777" w:rsidR="007F1105" w:rsidRDefault="007F1105" w:rsidP="00F67D6E">
            <w:r>
              <w:t>20.7%</w:t>
            </w:r>
          </w:p>
        </w:tc>
        <w:tc>
          <w:tcPr>
            <w:tcW w:w="1669" w:type="dxa"/>
          </w:tcPr>
          <w:p w14:paraId="3D21BCDD" w14:textId="77777777" w:rsidR="007F1105" w:rsidRDefault="007F1105" w:rsidP="00F67D6E">
            <w:r>
              <w:t>0.77</w:t>
            </w:r>
          </w:p>
        </w:tc>
      </w:tr>
      <w:tr w:rsidR="007F1105" w:rsidRPr="00BC71AE" w14:paraId="79E05AE3" w14:textId="77777777" w:rsidTr="002F6867">
        <w:tc>
          <w:tcPr>
            <w:tcW w:w="4160" w:type="dxa"/>
            <w:tcBorders>
              <w:top w:val="single" w:sz="8" w:space="0" w:color="4F81BD"/>
              <w:left w:val="single" w:sz="8" w:space="0" w:color="4F81BD"/>
              <w:bottom w:val="single" w:sz="8" w:space="0" w:color="4F81BD"/>
            </w:tcBorders>
            <w:shd w:val="clear" w:color="auto" w:fill="auto"/>
          </w:tcPr>
          <w:p w14:paraId="79EE6502" w14:textId="77777777" w:rsidR="007F1105" w:rsidRPr="004C06A5" w:rsidRDefault="007F1105" w:rsidP="00F67D6E">
            <w:pPr>
              <w:rPr>
                <w:b/>
                <w:bCs/>
              </w:rPr>
            </w:pPr>
            <w:r>
              <w:rPr>
                <w:b/>
                <w:bCs/>
              </w:rPr>
              <w:t>Single Parent, Child/ren under 18</w:t>
            </w:r>
          </w:p>
        </w:tc>
        <w:tc>
          <w:tcPr>
            <w:tcW w:w="1744" w:type="dxa"/>
            <w:tcBorders>
              <w:top w:val="single" w:sz="8" w:space="0" w:color="4F81BD"/>
              <w:bottom w:val="single" w:sz="8" w:space="0" w:color="4F81BD"/>
              <w:right w:val="single" w:sz="4" w:space="0" w:color="auto"/>
            </w:tcBorders>
            <w:shd w:val="clear" w:color="auto" w:fill="auto"/>
          </w:tcPr>
          <w:p w14:paraId="49A5F59D" w14:textId="77777777" w:rsidR="007F1105" w:rsidRPr="00BC71AE" w:rsidRDefault="007F1105" w:rsidP="00F67D6E">
            <w:r>
              <w:t>6.8%</w:t>
            </w:r>
          </w:p>
        </w:tc>
        <w:tc>
          <w:tcPr>
            <w:tcW w:w="1669" w:type="dxa"/>
            <w:vMerge w:val="restart"/>
            <w:tcBorders>
              <w:top w:val="single" w:sz="8" w:space="0" w:color="4F81BD"/>
              <w:left w:val="single" w:sz="4" w:space="0" w:color="auto"/>
              <w:bottom w:val="single" w:sz="8" w:space="0" w:color="4F81BD"/>
            </w:tcBorders>
            <w:vAlign w:val="center"/>
          </w:tcPr>
          <w:p w14:paraId="7ECC537C" w14:textId="77777777" w:rsidR="007F1105" w:rsidRDefault="007F1105" w:rsidP="00F67D6E">
            <w:r>
              <w:t>10.0%</w:t>
            </w:r>
          </w:p>
        </w:tc>
        <w:tc>
          <w:tcPr>
            <w:tcW w:w="1669" w:type="dxa"/>
            <w:tcBorders>
              <w:top w:val="single" w:sz="8" w:space="0" w:color="4F81BD"/>
              <w:bottom w:val="single" w:sz="8" w:space="0" w:color="4F81BD"/>
            </w:tcBorders>
          </w:tcPr>
          <w:p w14:paraId="7FABB8E0" w14:textId="77777777" w:rsidR="007F1105" w:rsidRDefault="007F1105" w:rsidP="00F67D6E">
            <w:r>
              <w:t>1.07</w:t>
            </w:r>
          </w:p>
        </w:tc>
      </w:tr>
      <w:tr w:rsidR="007F1105" w:rsidRPr="00BC71AE" w14:paraId="71E610AB" w14:textId="77777777" w:rsidTr="002F6867">
        <w:tc>
          <w:tcPr>
            <w:tcW w:w="4160" w:type="dxa"/>
            <w:tcBorders>
              <w:top w:val="single" w:sz="8" w:space="0" w:color="4F81BD"/>
              <w:left w:val="single" w:sz="8" w:space="0" w:color="4F81BD"/>
              <w:bottom w:val="single" w:sz="8" w:space="0" w:color="4F81BD"/>
            </w:tcBorders>
            <w:shd w:val="clear" w:color="auto" w:fill="auto"/>
          </w:tcPr>
          <w:p w14:paraId="2F0BBDDD" w14:textId="77777777" w:rsidR="007F1105" w:rsidRPr="004C06A5" w:rsidRDefault="007F1105" w:rsidP="00F67D6E">
            <w:pPr>
              <w:rPr>
                <w:b/>
                <w:bCs/>
              </w:rPr>
            </w:pPr>
            <w:r>
              <w:rPr>
                <w:b/>
                <w:bCs/>
              </w:rPr>
              <w:t>Single Parent, Child/ren over 18</w:t>
            </w:r>
          </w:p>
        </w:tc>
        <w:tc>
          <w:tcPr>
            <w:tcW w:w="1744" w:type="dxa"/>
            <w:tcBorders>
              <w:top w:val="single" w:sz="8" w:space="0" w:color="4F81BD"/>
              <w:bottom w:val="single" w:sz="8" w:space="0" w:color="4F81BD"/>
              <w:right w:val="single" w:sz="4" w:space="0" w:color="auto"/>
            </w:tcBorders>
            <w:shd w:val="clear" w:color="auto" w:fill="auto"/>
          </w:tcPr>
          <w:p w14:paraId="707F8373" w14:textId="77777777" w:rsidR="007F1105" w:rsidRPr="00BC71AE" w:rsidRDefault="007F1105" w:rsidP="00F67D6E">
            <w:r>
              <w:t>3.5%</w:t>
            </w:r>
          </w:p>
        </w:tc>
        <w:tc>
          <w:tcPr>
            <w:tcW w:w="1669" w:type="dxa"/>
            <w:vMerge/>
            <w:tcBorders>
              <w:top w:val="nil"/>
              <w:left w:val="single" w:sz="4" w:space="0" w:color="auto"/>
              <w:bottom w:val="single" w:sz="8" w:space="0" w:color="4F81BD"/>
            </w:tcBorders>
          </w:tcPr>
          <w:p w14:paraId="66E2CD82" w14:textId="77777777" w:rsidR="007F1105" w:rsidRDefault="007F1105" w:rsidP="00F67D6E"/>
        </w:tc>
        <w:tc>
          <w:tcPr>
            <w:tcW w:w="1669" w:type="dxa"/>
            <w:tcBorders>
              <w:top w:val="single" w:sz="8" w:space="0" w:color="4F81BD"/>
              <w:bottom w:val="single" w:sz="8" w:space="0" w:color="4F81BD"/>
            </w:tcBorders>
          </w:tcPr>
          <w:p w14:paraId="25F2E273" w14:textId="77777777" w:rsidR="007F1105" w:rsidRDefault="007F1105" w:rsidP="00F67D6E">
            <w:r>
              <w:t>1.07</w:t>
            </w:r>
          </w:p>
        </w:tc>
      </w:tr>
      <w:tr w:rsidR="007F1105" w:rsidRPr="00BC71AE" w14:paraId="0C247220" w14:textId="77777777" w:rsidTr="002F6867">
        <w:tc>
          <w:tcPr>
            <w:tcW w:w="4160" w:type="dxa"/>
            <w:tcBorders>
              <w:top w:val="single" w:sz="8" w:space="0" w:color="4F81BD"/>
              <w:left w:val="single" w:sz="8" w:space="0" w:color="4F81BD"/>
              <w:bottom w:val="single" w:sz="8" w:space="0" w:color="4F81BD"/>
            </w:tcBorders>
            <w:shd w:val="clear" w:color="auto" w:fill="auto"/>
          </w:tcPr>
          <w:p w14:paraId="221A677C" w14:textId="77777777" w:rsidR="007F1105" w:rsidRPr="004C06A5" w:rsidRDefault="007F1105" w:rsidP="00F67D6E">
            <w:pPr>
              <w:rPr>
                <w:b/>
                <w:bCs/>
              </w:rPr>
            </w:pPr>
            <w:r>
              <w:rPr>
                <w:b/>
                <w:bCs/>
              </w:rPr>
              <w:t>Two Adults, Child/ren under 18</w:t>
            </w:r>
          </w:p>
        </w:tc>
        <w:tc>
          <w:tcPr>
            <w:tcW w:w="1744" w:type="dxa"/>
            <w:tcBorders>
              <w:top w:val="single" w:sz="8" w:space="0" w:color="4F81BD"/>
              <w:bottom w:val="single" w:sz="8" w:space="0" w:color="4F81BD"/>
              <w:right w:val="single" w:sz="4" w:space="0" w:color="auto"/>
            </w:tcBorders>
            <w:shd w:val="clear" w:color="auto" w:fill="auto"/>
          </w:tcPr>
          <w:p w14:paraId="6A00C128" w14:textId="77777777" w:rsidR="007F1105" w:rsidRPr="00BC71AE" w:rsidRDefault="007F1105" w:rsidP="00F67D6E">
            <w:r>
              <w:t>16.5%</w:t>
            </w:r>
          </w:p>
        </w:tc>
        <w:tc>
          <w:tcPr>
            <w:tcW w:w="1669" w:type="dxa"/>
            <w:vMerge w:val="restart"/>
            <w:tcBorders>
              <w:top w:val="single" w:sz="8" w:space="0" w:color="4F81BD"/>
              <w:left w:val="single" w:sz="4" w:space="0" w:color="auto"/>
              <w:bottom w:val="single" w:sz="8" w:space="0" w:color="4F81BD"/>
            </w:tcBorders>
            <w:vAlign w:val="center"/>
          </w:tcPr>
          <w:p w14:paraId="39FF15D1" w14:textId="77777777" w:rsidR="007F1105" w:rsidRDefault="007F1105" w:rsidP="00F67D6E">
            <w:r>
              <w:t>35.0%</w:t>
            </w:r>
          </w:p>
        </w:tc>
        <w:tc>
          <w:tcPr>
            <w:tcW w:w="1669" w:type="dxa"/>
            <w:tcBorders>
              <w:top w:val="single" w:sz="8" w:space="0" w:color="4F81BD"/>
              <w:bottom w:val="single" w:sz="8" w:space="0" w:color="4F81BD"/>
            </w:tcBorders>
          </w:tcPr>
          <w:p w14:paraId="09F4B730" w14:textId="77777777" w:rsidR="007F1105" w:rsidRDefault="007F1105" w:rsidP="00F67D6E">
            <w:r>
              <w:t>1.84</w:t>
            </w:r>
          </w:p>
        </w:tc>
      </w:tr>
      <w:tr w:rsidR="007F1105" w:rsidRPr="00BC71AE" w14:paraId="25961AE8" w14:textId="77777777" w:rsidTr="00CF2E91">
        <w:tc>
          <w:tcPr>
            <w:tcW w:w="4160" w:type="dxa"/>
            <w:tcBorders>
              <w:top w:val="single" w:sz="8" w:space="0" w:color="4F81BD"/>
              <w:left w:val="single" w:sz="8" w:space="0" w:color="4F81BD"/>
              <w:bottom w:val="single" w:sz="8" w:space="0" w:color="4F81BD"/>
            </w:tcBorders>
            <w:shd w:val="clear" w:color="auto" w:fill="auto"/>
          </w:tcPr>
          <w:p w14:paraId="6D3AE640" w14:textId="77777777" w:rsidR="007F1105" w:rsidRPr="004C06A5" w:rsidRDefault="007F1105" w:rsidP="00F67D6E">
            <w:pPr>
              <w:rPr>
                <w:b/>
                <w:bCs/>
              </w:rPr>
            </w:pPr>
            <w:r>
              <w:rPr>
                <w:b/>
                <w:bCs/>
              </w:rPr>
              <w:t>Two Adults, Child/ren over 18</w:t>
            </w:r>
          </w:p>
        </w:tc>
        <w:tc>
          <w:tcPr>
            <w:tcW w:w="1744" w:type="dxa"/>
            <w:tcBorders>
              <w:top w:val="single" w:sz="8" w:space="0" w:color="4F81BD"/>
              <w:bottom w:val="single" w:sz="8" w:space="0" w:color="4F81BD"/>
              <w:right w:val="single" w:sz="4" w:space="0" w:color="auto"/>
            </w:tcBorders>
            <w:shd w:val="clear" w:color="auto" w:fill="auto"/>
          </w:tcPr>
          <w:p w14:paraId="07A02109" w14:textId="77777777" w:rsidR="007F1105" w:rsidRPr="00BC71AE" w:rsidRDefault="007F1105" w:rsidP="00F67D6E">
            <w:r>
              <w:t>3.5%</w:t>
            </w:r>
          </w:p>
        </w:tc>
        <w:tc>
          <w:tcPr>
            <w:tcW w:w="1669" w:type="dxa"/>
            <w:vMerge/>
            <w:tcBorders>
              <w:top w:val="nil"/>
              <w:left w:val="single" w:sz="4" w:space="0" w:color="auto"/>
              <w:bottom w:val="single" w:sz="8" w:space="0" w:color="4F81BD"/>
            </w:tcBorders>
          </w:tcPr>
          <w:p w14:paraId="25200C72" w14:textId="77777777" w:rsidR="007F1105" w:rsidRDefault="007F1105" w:rsidP="00F67D6E"/>
        </w:tc>
        <w:tc>
          <w:tcPr>
            <w:tcW w:w="1669" w:type="dxa"/>
            <w:tcBorders>
              <w:top w:val="single" w:sz="8" w:space="0" w:color="4F81BD"/>
              <w:bottom w:val="single" w:sz="8" w:space="0" w:color="4F81BD"/>
            </w:tcBorders>
          </w:tcPr>
          <w:p w14:paraId="598A3167" w14:textId="77777777" w:rsidR="007F1105" w:rsidRDefault="007F1105" w:rsidP="00F67D6E">
            <w:r>
              <w:t>1.84</w:t>
            </w:r>
          </w:p>
        </w:tc>
      </w:tr>
      <w:tr w:rsidR="007F1105" w:rsidRPr="00BC71AE" w14:paraId="4D473C4E" w14:textId="77777777" w:rsidTr="00CF2E91">
        <w:tc>
          <w:tcPr>
            <w:tcW w:w="4160" w:type="dxa"/>
            <w:tcBorders>
              <w:top w:val="single" w:sz="8" w:space="0" w:color="4F81BD"/>
              <w:left w:val="single" w:sz="8" w:space="0" w:color="4F81BD"/>
              <w:bottom w:val="single" w:sz="8" w:space="0" w:color="4F81BD"/>
            </w:tcBorders>
            <w:shd w:val="clear" w:color="auto" w:fill="auto"/>
          </w:tcPr>
          <w:p w14:paraId="0A92EBA2" w14:textId="77777777" w:rsidR="007F1105" w:rsidRPr="004C06A5" w:rsidRDefault="007F1105" w:rsidP="00F67D6E">
            <w:pPr>
              <w:rPr>
                <w:b/>
                <w:bCs/>
              </w:rPr>
            </w:pPr>
            <w:r>
              <w:rPr>
                <w:b/>
                <w:bCs/>
              </w:rPr>
              <w:t>Family with other adults</w:t>
            </w:r>
          </w:p>
        </w:tc>
        <w:tc>
          <w:tcPr>
            <w:tcW w:w="1744" w:type="dxa"/>
            <w:tcBorders>
              <w:top w:val="single" w:sz="8" w:space="0" w:color="4F81BD"/>
              <w:bottom w:val="single" w:sz="8" w:space="0" w:color="4F81BD"/>
              <w:right w:val="single" w:sz="4" w:space="0" w:color="auto"/>
            </w:tcBorders>
            <w:shd w:val="clear" w:color="auto" w:fill="auto"/>
          </w:tcPr>
          <w:p w14:paraId="416665EA" w14:textId="77777777" w:rsidR="007F1105" w:rsidRPr="00BC71AE" w:rsidRDefault="007F1105" w:rsidP="00F67D6E">
            <w:r>
              <w:t>10.5%</w:t>
            </w:r>
          </w:p>
        </w:tc>
        <w:tc>
          <w:tcPr>
            <w:tcW w:w="1669" w:type="dxa"/>
            <w:vMerge w:val="restart"/>
            <w:tcBorders>
              <w:top w:val="single" w:sz="8" w:space="0" w:color="4F81BD"/>
              <w:left w:val="single" w:sz="4" w:space="0" w:color="auto"/>
              <w:bottom w:val="single" w:sz="8" w:space="0" w:color="4F81BD"/>
            </w:tcBorders>
            <w:vAlign w:val="center"/>
          </w:tcPr>
          <w:p w14:paraId="1060A777" w14:textId="77777777" w:rsidR="007F1105" w:rsidRDefault="007F1105" w:rsidP="00F67D6E">
            <w:r>
              <w:t>8.9%</w:t>
            </w:r>
          </w:p>
        </w:tc>
        <w:tc>
          <w:tcPr>
            <w:tcW w:w="1669" w:type="dxa"/>
            <w:tcBorders>
              <w:top w:val="single" w:sz="8" w:space="0" w:color="4F81BD"/>
              <w:bottom w:val="single" w:sz="8" w:space="0" w:color="4F81BD"/>
            </w:tcBorders>
          </w:tcPr>
          <w:p w14:paraId="67053175" w14:textId="77777777" w:rsidR="007F1105" w:rsidRDefault="007F1105" w:rsidP="00F67D6E">
            <w:r>
              <w:t>0.39</w:t>
            </w:r>
          </w:p>
        </w:tc>
      </w:tr>
      <w:tr w:rsidR="007F1105" w:rsidRPr="00BC71AE" w14:paraId="21F2A04A" w14:textId="77777777" w:rsidTr="00CF2E91">
        <w:tc>
          <w:tcPr>
            <w:tcW w:w="4160" w:type="dxa"/>
            <w:tcBorders>
              <w:top w:val="single" w:sz="8" w:space="0" w:color="4F81BD"/>
              <w:left w:val="single" w:sz="8" w:space="0" w:color="4F81BD"/>
              <w:bottom w:val="single" w:sz="8" w:space="0" w:color="4F81BD"/>
            </w:tcBorders>
            <w:shd w:val="clear" w:color="auto" w:fill="auto"/>
          </w:tcPr>
          <w:p w14:paraId="40E15E44" w14:textId="77777777" w:rsidR="007F1105" w:rsidRDefault="007F1105" w:rsidP="00F67D6E">
            <w:pPr>
              <w:rPr>
                <w:b/>
                <w:bCs/>
              </w:rPr>
            </w:pPr>
            <w:r>
              <w:rPr>
                <w:b/>
                <w:bCs/>
              </w:rPr>
              <w:t>Mixed Adult Household (e.g. share house)</w:t>
            </w:r>
          </w:p>
        </w:tc>
        <w:tc>
          <w:tcPr>
            <w:tcW w:w="1744" w:type="dxa"/>
            <w:tcBorders>
              <w:top w:val="single" w:sz="8" w:space="0" w:color="4F81BD"/>
              <w:bottom w:val="single" w:sz="8" w:space="0" w:color="4F81BD"/>
              <w:right w:val="single" w:sz="4" w:space="0" w:color="auto"/>
            </w:tcBorders>
            <w:shd w:val="clear" w:color="auto" w:fill="auto"/>
          </w:tcPr>
          <w:p w14:paraId="20EA400E" w14:textId="77777777" w:rsidR="007F1105" w:rsidRPr="00BC71AE" w:rsidRDefault="007F1105" w:rsidP="00F67D6E">
            <w:r>
              <w:t>22.9%</w:t>
            </w:r>
          </w:p>
        </w:tc>
        <w:tc>
          <w:tcPr>
            <w:tcW w:w="1669" w:type="dxa"/>
            <w:vMerge/>
            <w:tcBorders>
              <w:top w:val="nil"/>
              <w:left w:val="single" w:sz="4" w:space="0" w:color="auto"/>
              <w:bottom w:val="single" w:sz="8" w:space="0" w:color="4F81BD"/>
            </w:tcBorders>
          </w:tcPr>
          <w:p w14:paraId="55A81B65" w14:textId="77777777" w:rsidR="007F1105" w:rsidRDefault="007F1105" w:rsidP="00F67D6E"/>
        </w:tc>
        <w:tc>
          <w:tcPr>
            <w:tcW w:w="1669" w:type="dxa"/>
            <w:tcBorders>
              <w:top w:val="single" w:sz="8" w:space="0" w:color="4F81BD"/>
              <w:bottom w:val="single" w:sz="8" w:space="0" w:color="4F81BD"/>
            </w:tcBorders>
          </w:tcPr>
          <w:p w14:paraId="2D2FE861" w14:textId="77777777" w:rsidR="007F1105" w:rsidRDefault="007F1105" w:rsidP="00F67D6E">
            <w:r>
              <w:t>0.39</w:t>
            </w:r>
          </w:p>
        </w:tc>
      </w:tr>
      <w:tr w:rsidR="007F1105" w:rsidRPr="00BC71AE" w14:paraId="10FFCDE3" w14:textId="77777777" w:rsidTr="00F67D6E">
        <w:tc>
          <w:tcPr>
            <w:tcW w:w="4160" w:type="dxa"/>
            <w:tcBorders>
              <w:top w:val="single" w:sz="8" w:space="0" w:color="4F81BD"/>
              <w:left w:val="single" w:sz="8" w:space="0" w:color="4F81BD"/>
              <w:bottom w:val="single" w:sz="8" w:space="0" w:color="4F81BD"/>
            </w:tcBorders>
            <w:shd w:val="clear" w:color="auto" w:fill="auto"/>
          </w:tcPr>
          <w:p w14:paraId="73FC028F" w14:textId="77777777" w:rsidR="007F1105" w:rsidRDefault="007F1105" w:rsidP="00F67D6E">
            <w:pPr>
              <w:rPr>
                <w:b/>
                <w:bCs/>
              </w:rPr>
            </w:pPr>
            <w:r>
              <w:rPr>
                <w:b/>
                <w:bCs/>
              </w:rPr>
              <w:t>Total</w:t>
            </w:r>
          </w:p>
        </w:tc>
        <w:tc>
          <w:tcPr>
            <w:tcW w:w="1744" w:type="dxa"/>
            <w:tcBorders>
              <w:top w:val="single" w:sz="8" w:space="0" w:color="4F81BD"/>
              <w:bottom w:val="single" w:sz="8" w:space="0" w:color="4F81BD"/>
            </w:tcBorders>
            <w:shd w:val="clear" w:color="auto" w:fill="auto"/>
          </w:tcPr>
          <w:p w14:paraId="25FB1353" w14:textId="77777777" w:rsidR="007F1105" w:rsidRPr="00BC71AE" w:rsidRDefault="007F1105" w:rsidP="00F67D6E">
            <w:r>
              <w:t>101.9%</w:t>
            </w:r>
          </w:p>
        </w:tc>
        <w:tc>
          <w:tcPr>
            <w:tcW w:w="1669" w:type="dxa"/>
            <w:tcBorders>
              <w:top w:val="single" w:sz="8" w:space="0" w:color="4F81BD"/>
              <w:bottom w:val="single" w:sz="8" w:space="0" w:color="4F81BD"/>
            </w:tcBorders>
          </w:tcPr>
          <w:p w14:paraId="2C2115DE" w14:textId="77777777" w:rsidR="007F1105" w:rsidRDefault="007F1105" w:rsidP="00F67D6E">
            <w:r>
              <w:t>100%</w:t>
            </w:r>
          </w:p>
        </w:tc>
        <w:tc>
          <w:tcPr>
            <w:tcW w:w="1669" w:type="dxa"/>
            <w:tcBorders>
              <w:top w:val="single" w:sz="8" w:space="0" w:color="4F81BD"/>
              <w:bottom w:val="single" w:sz="8" w:space="0" w:color="4F81BD"/>
            </w:tcBorders>
          </w:tcPr>
          <w:p w14:paraId="0C50C0C4" w14:textId="77777777" w:rsidR="007F1105" w:rsidRDefault="007F1105" w:rsidP="00F67D6E"/>
        </w:tc>
      </w:tr>
    </w:tbl>
    <w:p w14:paraId="408A3729" w14:textId="77777777" w:rsidR="007F1105" w:rsidRPr="003B04B2" w:rsidRDefault="007F1105" w:rsidP="007F1105">
      <w:pPr>
        <w:rPr>
          <w:sz w:val="20"/>
          <w:szCs w:val="20"/>
          <w:lang w:eastAsia="ja-JP"/>
        </w:rPr>
      </w:pPr>
      <w:r w:rsidRPr="003B04B2">
        <w:rPr>
          <w:sz w:val="20"/>
          <w:szCs w:val="20"/>
          <w:lang w:eastAsia="ja-JP"/>
        </w:rPr>
        <w:t xml:space="preserve">Note: survey adds to more than </w:t>
      </w:r>
      <w:r>
        <w:rPr>
          <w:sz w:val="20"/>
          <w:szCs w:val="20"/>
          <w:lang w:eastAsia="ja-JP"/>
        </w:rPr>
        <w:t xml:space="preserve">100% as some households could select both living with children above and below 18 years old. The weightings were adjusted for this. The ABS data is applied across two categories where the categories do not match. </w:t>
      </w:r>
    </w:p>
    <w:p w14:paraId="1172F47E" w14:textId="77777777" w:rsidR="002D3C2F" w:rsidRDefault="002D3C2F" w:rsidP="002D3C2F">
      <w:pPr>
        <w:pStyle w:val="Heading4"/>
        <w:rPr>
          <w:lang w:val="en-US" w:eastAsia="ja-JP"/>
        </w:rPr>
      </w:pPr>
      <w:r>
        <w:rPr>
          <w:lang w:val="en-US" w:eastAsia="ja-JP"/>
        </w:rPr>
        <w:t>Housing Tenure</w:t>
      </w:r>
    </w:p>
    <w:p w14:paraId="021A3C07" w14:textId="6471408A" w:rsidR="0083025B" w:rsidRDefault="00797B17" w:rsidP="00B721E6">
      <w:pPr>
        <w:rPr>
          <w:lang w:val="en-US" w:eastAsia="ja-JP"/>
        </w:rPr>
      </w:pPr>
      <w:r>
        <w:rPr>
          <w:lang w:val="en-US" w:eastAsia="ja-JP"/>
        </w:rPr>
        <w:t xml:space="preserve">The housing tenure </w:t>
      </w:r>
      <w:r w:rsidR="007F1105">
        <w:rPr>
          <w:lang w:val="en-US" w:eastAsia="ja-JP"/>
        </w:rPr>
        <w:t xml:space="preserve">demographic </w:t>
      </w:r>
      <w:r>
        <w:rPr>
          <w:lang w:val="en-US" w:eastAsia="ja-JP"/>
        </w:rPr>
        <w:t xml:space="preserve">data is </w:t>
      </w:r>
      <w:r w:rsidR="007F1105">
        <w:rPr>
          <w:lang w:val="en-US" w:eastAsia="ja-JP"/>
        </w:rPr>
        <w:t xml:space="preserve">shown </w:t>
      </w:r>
      <w:r>
        <w:rPr>
          <w:lang w:val="en-US" w:eastAsia="ja-JP"/>
        </w:rPr>
        <w:t xml:space="preserve">in Table </w:t>
      </w:r>
      <w:r w:rsidR="004E39EB">
        <w:rPr>
          <w:lang w:val="en-US" w:eastAsia="ja-JP"/>
        </w:rPr>
        <w:t>A2</w:t>
      </w:r>
      <w:r>
        <w:rPr>
          <w:lang w:val="en-US" w:eastAsia="ja-JP"/>
        </w:rPr>
        <w:t xml:space="preserve"> below, and because of its importance the table also shows the weighted data used in the main body of the report (i.e. weighted by household composition), and the comparison to the ABS data.</w:t>
      </w:r>
      <w:r w:rsidR="00BB3CA9">
        <w:rPr>
          <w:lang w:val="en-US" w:eastAsia="ja-JP"/>
        </w:rPr>
        <w:t xml:space="preserve"> </w:t>
      </w:r>
      <w:r w:rsidR="002D3C2F">
        <w:rPr>
          <w:lang w:val="en-US" w:eastAsia="ja-JP"/>
        </w:rPr>
        <w:t>B</w:t>
      </w:r>
      <w:r w:rsidR="00BB3CA9">
        <w:rPr>
          <w:lang w:val="en-US" w:eastAsia="ja-JP"/>
        </w:rPr>
        <w:t>y comparison with the ABS data, the survey group over-represents renters, while under-representing home-owners with mortgages.</w:t>
      </w:r>
    </w:p>
    <w:p w14:paraId="437D7923" w14:textId="3DC0D42D" w:rsidR="00797B17" w:rsidRPr="00A617D9" w:rsidRDefault="004E39EB" w:rsidP="00797B17">
      <w:pPr>
        <w:rPr>
          <w:b/>
          <w:lang w:val="en-US" w:eastAsia="ja-JP"/>
        </w:rPr>
      </w:pPr>
      <w:r>
        <w:rPr>
          <w:b/>
          <w:lang w:val="en-US" w:eastAsia="ja-JP"/>
        </w:rPr>
        <w:t>Table A2: Household Tenure, Comparison of SACOSS Survey and ABS Data</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Caption w:val="Table A2: Household Tenure, Comparison of SACOSS Survey and ABS Data"/>
        <w:tblDescription w:val="Table lists orginal SACOSS sample data, plus weighted sample and compares these to ABS waged poor data. &#10;Home owners with no mortgages over-represented in SACOSS sample: 27% to 8% in ABS&#10;With mortgage - SACOSS weighted 23%, ABS 25%&#10;Renters underrepresented in SACOSS sample: 48% weighted, vs ABS 65%."/>
      </w:tblPr>
      <w:tblGrid>
        <w:gridCol w:w="3931"/>
        <w:gridCol w:w="1741"/>
        <w:gridCol w:w="1749"/>
        <w:gridCol w:w="1585"/>
      </w:tblGrid>
      <w:tr w:rsidR="00797B17" w:rsidRPr="00BC71AE" w14:paraId="2BAA9376" w14:textId="77777777" w:rsidTr="00797B17">
        <w:tc>
          <w:tcPr>
            <w:tcW w:w="4062" w:type="dxa"/>
            <w:shd w:val="clear" w:color="auto" w:fill="4F81BD"/>
          </w:tcPr>
          <w:p w14:paraId="3F9D0E15" w14:textId="77777777" w:rsidR="00797B17" w:rsidRPr="004C06A5" w:rsidRDefault="00797B17" w:rsidP="00D27581">
            <w:pPr>
              <w:rPr>
                <w:b/>
                <w:bCs/>
                <w:color w:val="FFFFFF"/>
              </w:rPr>
            </w:pPr>
          </w:p>
        </w:tc>
        <w:tc>
          <w:tcPr>
            <w:tcW w:w="1781" w:type="dxa"/>
            <w:shd w:val="clear" w:color="auto" w:fill="4F81BD"/>
          </w:tcPr>
          <w:p w14:paraId="0732085C" w14:textId="77777777" w:rsidR="00797B17" w:rsidRPr="00A35B18" w:rsidRDefault="00797B17" w:rsidP="00D27581">
            <w:pPr>
              <w:rPr>
                <w:b/>
                <w:bCs/>
              </w:rPr>
            </w:pPr>
            <w:r w:rsidRPr="00A35B18">
              <w:rPr>
                <w:b/>
                <w:bCs/>
              </w:rPr>
              <w:t>Percent of SACOSS Survey</w:t>
            </w:r>
          </w:p>
        </w:tc>
        <w:tc>
          <w:tcPr>
            <w:tcW w:w="1781" w:type="dxa"/>
            <w:shd w:val="clear" w:color="auto" w:fill="4F81BD"/>
          </w:tcPr>
          <w:p w14:paraId="257764E6" w14:textId="77777777" w:rsidR="00797B17" w:rsidRPr="00A35B18" w:rsidRDefault="00797B17" w:rsidP="00D27581">
            <w:pPr>
              <w:rPr>
                <w:b/>
                <w:bCs/>
              </w:rPr>
            </w:pPr>
            <w:r w:rsidRPr="00A35B18">
              <w:rPr>
                <w:b/>
                <w:bCs/>
              </w:rPr>
              <w:t>Weighted Percent of SACOSS Survey</w:t>
            </w:r>
          </w:p>
        </w:tc>
        <w:tc>
          <w:tcPr>
            <w:tcW w:w="1618" w:type="dxa"/>
            <w:shd w:val="clear" w:color="auto" w:fill="4F81BD"/>
          </w:tcPr>
          <w:p w14:paraId="70669D39" w14:textId="77777777" w:rsidR="00797B17" w:rsidRPr="00A35B18" w:rsidRDefault="00797B17" w:rsidP="00D27581">
            <w:pPr>
              <w:rPr>
                <w:b/>
                <w:bCs/>
              </w:rPr>
            </w:pPr>
            <w:r w:rsidRPr="00A35B18">
              <w:rPr>
                <w:b/>
                <w:bCs/>
              </w:rPr>
              <w:t>Percent of ABS Waged Poor Cohort</w:t>
            </w:r>
          </w:p>
        </w:tc>
      </w:tr>
      <w:tr w:rsidR="00797B17" w:rsidRPr="00BC71AE" w14:paraId="147F45A5" w14:textId="77777777" w:rsidTr="00797B17">
        <w:tc>
          <w:tcPr>
            <w:tcW w:w="4062" w:type="dxa"/>
            <w:tcBorders>
              <w:top w:val="single" w:sz="8" w:space="0" w:color="4F81BD"/>
              <w:left w:val="single" w:sz="8" w:space="0" w:color="4F81BD"/>
              <w:bottom w:val="single" w:sz="8" w:space="0" w:color="4F81BD"/>
            </w:tcBorders>
            <w:shd w:val="clear" w:color="auto" w:fill="auto"/>
          </w:tcPr>
          <w:p w14:paraId="49E7E42B" w14:textId="77777777" w:rsidR="00797B17" w:rsidRPr="004C06A5" w:rsidRDefault="00797B17" w:rsidP="00D27581">
            <w:pPr>
              <w:rPr>
                <w:b/>
                <w:bCs/>
              </w:rPr>
            </w:pPr>
            <w:r>
              <w:rPr>
                <w:b/>
                <w:bCs/>
              </w:rPr>
              <w:t>Home owner with no mortgage</w:t>
            </w:r>
          </w:p>
        </w:tc>
        <w:tc>
          <w:tcPr>
            <w:tcW w:w="1781" w:type="dxa"/>
            <w:tcBorders>
              <w:top w:val="single" w:sz="8" w:space="0" w:color="4F81BD"/>
              <w:bottom w:val="single" w:sz="8" w:space="0" w:color="4F81BD"/>
            </w:tcBorders>
            <w:shd w:val="clear" w:color="auto" w:fill="auto"/>
          </w:tcPr>
          <w:p w14:paraId="60291857" w14:textId="77777777" w:rsidR="00797B17" w:rsidRPr="00BC71AE" w:rsidRDefault="00797B17" w:rsidP="00D27581">
            <w:r>
              <w:t>27%</w:t>
            </w:r>
          </w:p>
        </w:tc>
        <w:tc>
          <w:tcPr>
            <w:tcW w:w="1781" w:type="dxa"/>
            <w:tcBorders>
              <w:top w:val="single" w:sz="8" w:space="0" w:color="4F81BD"/>
              <w:bottom w:val="single" w:sz="8" w:space="0" w:color="4F81BD"/>
            </w:tcBorders>
          </w:tcPr>
          <w:p w14:paraId="2397AFD4" w14:textId="77777777" w:rsidR="00797B17" w:rsidRDefault="00BB3CA9" w:rsidP="00D27581">
            <w:r>
              <w:t>27%</w:t>
            </w:r>
          </w:p>
        </w:tc>
        <w:tc>
          <w:tcPr>
            <w:tcW w:w="1618" w:type="dxa"/>
            <w:tcBorders>
              <w:top w:val="single" w:sz="8" w:space="0" w:color="4F81BD"/>
              <w:bottom w:val="single" w:sz="8" w:space="0" w:color="4F81BD"/>
            </w:tcBorders>
          </w:tcPr>
          <w:p w14:paraId="0D4112EA" w14:textId="77777777" w:rsidR="00797B17" w:rsidRDefault="00BB3CA9" w:rsidP="00D27581">
            <w:r>
              <w:t>8</w:t>
            </w:r>
            <w:r w:rsidR="00797B17">
              <w:t>%</w:t>
            </w:r>
          </w:p>
        </w:tc>
      </w:tr>
      <w:tr w:rsidR="00797B17" w:rsidRPr="00BC71AE" w14:paraId="384640BC" w14:textId="77777777" w:rsidTr="00CF2E91">
        <w:tc>
          <w:tcPr>
            <w:tcW w:w="4062" w:type="dxa"/>
            <w:shd w:val="clear" w:color="auto" w:fill="auto"/>
          </w:tcPr>
          <w:p w14:paraId="719F8BFA" w14:textId="77777777" w:rsidR="00797B17" w:rsidRPr="004C06A5" w:rsidRDefault="00797B17" w:rsidP="00D27581">
            <w:pPr>
              <w:rPr>
                <w:b/>
                <w:bCs/>
              </w:rPr>
            </w:pPr>
            <w:r>
              <w:rPr>
                <w:b/>
                <w:bCs/>
              </w:rPr>
              <w:t>Home owner with a mortgage</w:t>
            </w:r>
          </w:p>
        </w:tc>
        <w:tc>
          <w:tcPr>
            <w:tcW w:w="1781" w:type="dxa"/>
            <w:shd w:val="clear" w:color="auto" w:fill="auto"/>
          </w:tcPr>
          <w:p w14:paraId="10C9E923" w14:textId="77777777" w:rsidR="00797B17" w:rsidRPr="00BC71AE" w:rsidRDefault="00797B17" w:rsidP="00D27581">
            <w:r>
              <w:t>17%</w:t>
            </w:r>
          </w:p>
        </w:tc>
        <w:tc>
          <w:tcPr>
            <w:tcW w:w="1781" w:type="dxa"/>
          </w:tcPr>
          <w:p w14:paraId="2D01AC2C" w14:textId="77777777" w:rsidR="00797B17" w:rsidRDefault="00BB3CA9" w:rsidP="00D27581">
            <w:r>
              <w:t>23%</w:t>
            </w:r>
          </w:p>
        </w:tc>
        <w:tc>
          <w:tcPr>
            <w:tcW w:w="1618" w:type="dxa"/>
            <w:tcBorders>
              <w:bottom w:val="single" w:sz="8" w:space="0" w:color="4F81BD"/>
            </w:tcBorders>
          </w:tcPr>
          <w:p w14:paraId="3436E043" w14:textId="77777777" w:rsidR="00797B17" w:rsidRDefault="00BB3CA9" w:rsidP="00D27581">
            <w:r>
              <w:t>25</w:t>
            </w:r>
            <w:r w:rsidR="00797B17">
              <w:t>%</w:t>
            </w:r>
          </w:p>
        </w:tc>
      </w:tr>
      <w:tr w:rsidR="00797B17" w:rsidRPr="00BC71AE" w14:paraId="01A53FCA" w14:textId="77777777" w:rsidTr="00CF2E91">
        <w:tc>
          <w:tcPr>
            <w:tcW w:w="4062" w:type="dxa"/>
            <w:tcBorders>
              <w:top w:val="single" w:sz="8" w:space="0" w:color="4F81BD"/>
              <w:left w:val="single" w:sz="8" w:space="0" w:color="4F81BD"/>
              <w:bottom w:val="single" w:sz="8" w:space="0" w:color="4F81BD"/>
            </w:tcBorders>
            <w:shd w:val="clear" w:color="auto" w:fill="auto"/>
          </w:tcPr>
          <w:p w14:paraId="7A2E3054" w14:textId="77777777" w:rsidR="00797B17" w:rsidRPr="004C06A5" w:rsidRDefault="00797B17" w:rsidP="00D27581">
            <w:pPr>
              <w:rPr>
                <w:b/>
                <w:bCs/>
              </w:rPr>
            </w:pPr>
            <w:r>
              <w:rPr>
                <w:b/>
                <w:bCs/>
              </w:rPr>
              <w:t>Renting from a private landlord</w:t>
            </w:r>
          </w:p>
        </w:tc>
        <w:tc>
          <w:tcPr>
            <w:tcW w:w="1781" w:type="dxa"/>
            <w:tcBorders>
              <w:top w:val="single" w:sz="8" w:space="0" w:color="4F81BD"/>
              <w:bottom w:val="single" w:sz="8" w:space="0" w:color="4F81BD"/>
            </w:tcBorders>
            <w:shd w:val="clear" w:color="auto" w:fill="auto"/>
          </w:tcPr>
          <w:p w14:paraId="59010405" w14:textId="77777777" w:rsidR="00797B17" w:rsidRPr="00BC71AE" w:rsidRDefault="00797B17" w:rsidP="00D27581">
            <w:r>
              <w:t>38%</w:t>
            </w:r>
          </w:p>
        </w:tc>
        <w:tc>
          <w:tcPr>
            <w:tcW w:w="1781" w:type="dxa"/>
            <w:tcBorders>
              <w:top w:val="single" w:sz="8" w:space="0" w:color="4F81BD"/>
              <w:bottom w:val="single" w:sz="8" w:space="0" w:color="4F81BD"/>
              <w:right w:val="single" w:sz="4" w:space="0" w:color="auto"/>
            </w:tcBorders>
          </w:tcPr>
          <w:p w14:paraId="17041740" w14:textId="77777777" w:rsidR="00797B17" w:rsidRDefault="00BB3CA9" w:rsidP="00D27581">
            <w:r>
              <w:t>35%</w:t>
            </w:r>
          </w:p>
        </w:tc>
        <w:tc>
          <w:tcPr>
            <w:tcW w:w="1618" w:type="dxa"/>
            <w:vMerge w:val="restart"/>
            <w:tcBorders>
              <w:top w:val="single" w:sz="8" w:space="0" w:color="4F81BD"/>
              <w:left w:val="single" w:sz="4" w:space="0" w:color="auto"/>
              <w:bottom w:val="single" w:sz="8" w:space="0" w:color="4F81BD"/>
            </w:tcBorders>
            <w:vAlign w:val="center"/>
          </w:tcPr>
          <w:p w14:paraId="12FCA727" w14:textId="77777777" w:rsidR="00797B17" w:rsidRDefault="00BB3CA9" w:rsidP="00797B17">
            <w:r>
              <w:t>65</w:t>
            </w:r>
            <w:r w:rsidR="00797B17">
              <w:t>%</w:t>
            </w:r>
          </w:p>
        </w:tc>
      </w:tr>
      <w:tr w:rsidR="00797B17" w:rsidRPr="00BC71AE" w14:paraId="2967E39E" w14:textId="77777777" w:rsidTr="00CF2E91">
        <w:tc>
          <w:tcPr>
            <w:tcW w:w="4062" w:type="dxa"/>
            <w:tcBorders>
              <w:top w:val="single" w:sz="8" w:space="0" w:color="4F81BD"/>
              <w:left w:val="single" w:sz="8" w:space="0" w:color="4F81BD"/>
              <w:bottom w:val="single" w:sz="8" w:space="0" w:color="4F81BD"/>
            </w:tcBorders>
            <w:shd w:val="clear" w:color="auto" w:fill="auto"/>
          </w:tcPr>
          <w:p w14:paraId="3B8CD9D6" w14:textId="77777777" w:rsidR="00797B17" w:rsidRPr="004C06A5" w:rsidRDefault="00797B17" w:rsidP="00D27581">
            <w:pPr>
              <w:rPr>
                <w:b/>
                <w:bCs/>
              </w:rPr>
            </w:pPr>
            <w:r>
              <w:rPr>
                <w:b/>
                <w:bCs/>
              </w:rPr>
              <w:t>Renting, public or community housing</w:t>
            </w:r>
          </w:p>
        </w:tc>
        <w:tc>
          <w:tcPr>
            <w:tcW w:w="1781" w:type="dxa"/>
            <w:tcBorders>
              <w:top w:val="single" w:sz="8" w:space="0" w:color="4F81BD"/>
              <w:bottom w:val="single" w:sz="8" w:space="0" w:color="4F81BD"/>
            </w:tcBorders>
            <w:shd w:val="clear" w:color="auto" w:fill="auto"/>
          </w:tcPr>
          <w:p w14:paraId="258DBC17" w14:textId="77777777" w:rsidR="00797B17" w:rsidRPr="00BC71AE" w:rsidRDefault="00797B17" w:rsidP="00D27581">
            <w:r>
              <w:t>13%</w:t>
            </w:r>
          </w:p>
        </w:tc>
        <w:tc>
          <w:tcPr>
            <w:tcW w:w="1781" w:type="dxa"/>
            <w:tcBorders>
              <w:top w:val="single" w:sz="8" w:space="0" w:color="4F81BD"/>
              <w:bottom w:val="single" w:sz="8" w:space="0" w:color="4F81BD"/>
              <w:right w:val="single" w:sz="4" w:space="0" w:color="auto"/>
            </w:tcBorders>
          </w:tcPr>
          <w:p w14:paraId="49757906" w14:textId="77777777" w:rsidR="00797B17" w:rsidRDefault="00BB3CA9" w:rsidP="00D27581">
            <w:r>
              <w:t>13%</w:t>
            </w:r>
          </w:p>
        </w:tc>
        <w:tc>
          <w:tcPr>
            <w:tcW w:w="1618" w:type="dxa"/>
            <w:vMerge/>
            <w:tcBorders>
              <w:top w:val="nil"/>
              <w:left w:val="single" w:sz="4" w:space="0" w:color="auto"/>
              <w:bottom w:val="single" w:sz="8" w:space="0" w:color="4F81BD"/>
            </w:tcBorders>
          </w:tcPr>
          <w:p w14:paraId="3AB0BDA3" w14:textId="77777777" w:rsidR="00797B17" w:rsidRDefault="00797B17" w:rsidP="00D27581"/>
        </w:tc>
      </w:tr>
      <w:tr w:rsidR="00797B17" w:rsidRPr="00BC71AE" w14:paraId="4C19D73D" w14:textId="77777777" w:rsidTr="00797B17">
        <w:tc>
          <w:tcPr>
            <w:tcW w:w="4062" w:type="dxa"/>
            <w:tcBorders>
              <w:top w:val="single" w:sz="8" w:space="0" w:color="4F81BD"/>
              <w:left w:val="single" w:sz="8" w:space="0" w:color="4F81BD"/>
              <w:bottom w:val="single" w:sz="8" w:space="0" w:color="4F81BD"/>
            </w:tcBorders>
            <w:shd w:val="clear" w:color="auto" w:fill="auto"/>
          </w:tcPr>
          <w:p w14:paraId="1193F03B" w14:textId="77777777" w:rsidR="00797B17" w:rsidRPr="004C06A5" w:rsidRDefault="00797B17" w:rsidP="00D27581">
            <w:pPr>
              <w:rPr>
                <w:b/>
                <w:bCs/>
              </w:rPr>
            </w:pPr>
            <w:r>
              <w:rPr>
                <w:b/>
                <w:bCs/>
              </w:rPr>
              <w:t>Other</w:t>
            </w:r>
          </w:p>
        </w:tc>
        <w:tc>
          <w:tcPr>
            <w:tcW w:w="1781" w:type="dxa"/>
            <w:tcBorders>
              <w:top w:val="single" w:sz="8" w:space="0" w:color="4F81BD"/>
              <w:bottom w:val="single" w:sz="8" w:space="0" w:color="4F81BD"/>
            </w:tcBorders>
            <w:shd w:val="clear" w:color="auto" w:fill="auto"/>
          </w:tcPr>
          <w:p w14:paraId="7373B403" w14:textId="77777777" w:rsidR="00797B17" w:rsidRPr="00BC71AE" w:rsidRDefault="00797B17" w:rsidP="00D27581">
            <w:r>
              <w:t>5%</w:t>
            </w:r>
          </w:p>
        </w:tc>
        <w:tc>
          <w:tcPr>
            <w:tcW w:w="1781" w:type="dxa"/>
            <w:tcBorders>
              <w:top w:val="single" w:sz="8" w:space="0" w:color="4F81BD"/>
              <w:bottom w:val="single" w:sz="8" w:space="0" w:color="4F81BD"/>
            </w:tcBorders>
          </w:tcPr>
          <w:p w14:paraId="38CDDA37" w14:textId="77777777" w:rsidR="00797B17" w:rsidRDefault="00BB3CA9" w:rsidP="00D27581">
            <w:r>
              <w:t>3%</w:t>
            </w:r>
          </w:p>
        </w:tc>
        <w:tc>
          <w:tcPr>
            <w:tcW w:w="1618" w:type="dxa"/>
            <w:tcBorders>
              <w:top w:val="single" w:sz="8" w:space="0" w:color="4F81BD"/>
              <w:bottom w:val="single" w:sz="8" w:space="0" w:color="4F81BD"/>
            </w:tcBorders>
          </w:tcPr>
          <w:p w14:paraId="4C394506" w14:textId="77777777" w:rsidR="00797B17" w:rsidRDefault="00BB3CA9" w:rsidP="00D27581">
            <w:r>
              <w:t>2</w:t>
            </w:r>
            <w:r w:rsidR="00797B17">
              <w:t>%</w:t>
            </w:r>
          </w:p>
        </w:tc>
      </w:tr>
    </w:tbl>
    <w:p w14:paraId="166313C2" w14:textId="77777777" w:rsidR="0083025B" w:rsidRDefault="0083025B" w:rsidP="00B721E6">
      <w:pPr>
        <w:rPr>
          <w:lang w:val="en-US" w:eastAsia="ja-JP"/>
        </w:rPr>
      </w:pPr>
    </w:p>
    <w:p w14:paraId="71F9AFB9" w14:textId="77777777" w:rsidR="00D27581" w:rsidRDefault="00D27581" w:rsidP="00D27581">
      <w:pPr>
        <w:pStyle w:val="Heading4"/>
        <w:rPr>
          <w:lang w:val="en-US" w:eastAsia="ja-JP"/>
        </w:rPr>
      </w:pPr>
      <w:r>
        <w:rPr>
          <w:lang w:val="en-US" w:eastAsia="ja-JP"/>
        </w:rPr>
        <w:lastRenderedPageBreak/>
        <w:t>Geographic Spread</w:t>
      </w:r>
    </w:p>
    <w:p w14:paraId="12D73988" w14:textId="56752FB3" w:rsidR="00D27581" w:rsidRDefault="00A617D9" w:rsidP="00A617D9">
      <w:pPr>
        <w:rPr>
          <w:lang w:val="en-US" w:eastAsia="ja-JP"/>
        </w:rPr>
      </w:pPr>
      <w:r>
        <w:rPr>
          <w:lang w:val="en-US" w:eastAsia="ja-JP"/>
        </w:rPr>
        <w:t>While the original intention was to have s</w:t>
      </w:r>
      <w:r w:rsidR="0079168F">
        <w:rPr>
          <w:lang w:val="en-US" w:eastAsia="ja-JP"/>
        </w:rPr>
        <w:t>urvey respondents spread relatively evenly across the country in 5 jurisdictional blocks</w:t>
      </w:r>
      <w:r w:rsidR="00D27581">
        <w:rPr>
          <w:lang w:val="en-US" w:eastAsia="ja-JP"/>
        </w:rPr>
        <w:t xml:space="preserve">, with SA and NT combined, ACT and NSW combined, </w:t>
      </w:r>
      <w:r w:rsidR="00627B21">
        <w:rPr>
          <w:lang w:val="en-US" w:eastAsia="ja-JP"/>
        </w:rPr>
        <w:t xml:space="preserve">Victoria and Tasmania combined. </w:t>
      </w:r>
      <w:r w:rsidR="00D27581">
        <w:rPr>
          <w:lang w:val="en-US" w:eastAsia="ja-JP"/>
        </w:rPr>
        <w:t xml:space="preserve">This was the methodology used by SACOSS </w:t>
      </w:r>
      <w:r>
        <w:rPr>
          <w:lang w:val="en-US" w:eastAsia="ja-JP"/>
        </w:rPr>
        <w:t xml:space="preserve">in the </w:t>
      </w:r>
      <w:r>
        <w:rPr>
          <w:i/>
          <w:lang w:val="en-US" w:eastAsia="ja-JP"/>
        </w:rPr>
        <w:t>Connectivity Costs</w:t>
      </w:r>
      <w:r>
        <w:rPr>
          <w:lang w:val="en-US" w:eastAsia="ja-JP"/>
        </w:rPr>
        <w:t xml:space="preserve"> report </w:t>
      </w:r>
      <w:r>
        <w:rPr>
          <w:lang w:val="en-US" w:eastAsia="ja-JP"/>
        </w:rPr>
        <w:fldChar w:fldCharType="begin"/>
      </w:r>
      <w:r w:rsidR="008E107E">
        <w:rPr>
          <w:lang w:val="en-US" w:eastAsia="ja-JP"/>
        </w:rPr>
        <w:instrText xml:space="preserve"> ADDIN ZOTERO_ITEM CSL_CITATION {"citationID":"WIi8suJi","properties":{"formattedCitation":"(Ogle and Musolino, 2016)","plainCitation":"(Ogle and Musolino, 2016)","noteIndex":0},"citationItems":[{"id":42,"uris":["http://zotero.org/groups/2380274/items/YQCAJU4B"],"uri":["http://zotero.org/groups/2380274/items/YQCAJU4B"],"itemData":{"id":42,"type":"report","event-place":"Adelaide","publisher":"South Australian Council of Social Service","publisher-place":"Adelaide","title":"Connectivity Costs: Telecommunications Affordability for Low Income Australians","author":[{"family":"Ogle","given":"Greg"},{"family":"Musolino","given":"Vanessa"}],"issued":{"date-parts":[["2016"]]}}}],"schema":"https://github.com/citation-style-language/schema/raw/master/csl-citation.json"} </w:instrText>
      </w:r>
      <w:r>
        <w:rPr>
          <w:lang w:val="en-US" w:eastAsia="ja-JP"/>
        </w:rPr>
        <w:fldChar w:fldCharType="separate"/>
      </w:r>
      <w:r w:rsidRPr="00A617D9">
        <w:rPr>
          <w:rFonts w:cs="Calibri"/>
        </w:rPr>
        <w:t>(Ogle and Musolino, 2016)</w:t>
      </w:r>
      <w:r>
        <w:rPr>
          <w:lang w:val="en-US" w:eastAsia="ja-JP"/>
        </w:rPr>
        <w:fldChar w:fldCharType="end"/>
      </w:r>
      <w:r w:rsidR="00D27581">
        <w:rPr>
          <w:lang w:val="en-US" w:eastAsia="ja-JP"/>
        </w:rPr>
        <w:t xml:space="preserve">. However, </w:t>
      </w:r>
      <w:r>
        <w:rPr>
          <w:lang w:val="en-US" w:eastAsia="ja-JP"/>
        </w:rPr>
        <w:t xml:space="preserve">the survey </w:t>
      </w:r>
      <w:r w:rsidR="00F17F00">
        <w:rPr>
          <w:lang w:val="en-US" w:eastAsia="ja-JP"/>
        </w:rPr>
        <w:t>changes</w:t>
      </w:r>
      <w:r>
        <w:rPr>
          <w:lang w:val="en-US" w:eastAsia="ja-JP"/>
        </w:rPr>
        <w:t xml:space="preserve"> and top-ups </w:t>
      </w:r>
      <w:r w:rsidR="00F17F00">
        <w:rPr>
          <w:lang w:val="en-US" w:eastAsia="ja-JP"/>
        </w:rPr>
        <w:t>altered</w:t>
      </w:r>
      <w:r>
        <w:rPr>
          <w:lang w:val="en-US" w:eastAsia="ja-JP"/>
        </w:rPr>
        <w:t xml:space="preserve"> the original geographic spread. </w:t>
      </w:r>
    </w:p>
    <w:p w14:paraId="65C6CA7B" w14:textId="36729271" w:rsidR="00D27581" w:rsidRDefault="00A617D9" w:rsidP="00A617D9">
      <w:pPr>
        <w:rPr>
          <w:lang w:val="en-US" w:eastAsia="ja-JP"/>
        </w:rPr>
      </w:pPr>
      <w:r>
        <w:rPr>
          <w:lang w:val="en-US" w:eastAsia="ja-JP"/>
        </w:rPr>
        <w:t xml:space="preserve">The final </w:t>
      </w:r>
      <w:r w:rsidR="00D27581">
        <w:rPr>
          <w:lang w:val="en-US" w:eastAsia="ja-JP"/>
        </w:rPr>
        <w:t xml:space="preserve">geographic </w:t>
      </w:r>
      <w:r>
        <w:rPr>
          <w:lang w:val="en-US" w:eastAsia="ja-JP"/>
        </w:rPr>
        <w:t xml:space="preserve">distribution is presented in Table </w:t>
      </w:r>
      <w:r w:rsidR="00506854">
        <w:rPr>
          <w:lang w:val="en-US" w:eastAsia="ja-JP"/>
        </w:rPr>
        <w:t>A3</w:t>
      </w:r>
      <w:r>
        <w:rPr>
          <w:lang w:val="en-US" w:eastAsia="ja-JP"/>
        </w:rPr>
        <w:t>.</w:t>
      </w:r>
    </w:p>
    <w:p w14:paraId="1652B3BE" w14:textId="04D143CF" w:rsidR="00A617D9" w:rsidRPr="00A617D9" w:rsidRDefault="00506854" w:rsidP="00A617D9">
      <w:pPr>
        <w:rPr>
          <w:b/>
          <w:lang w:val="en-US" w:eastAsia="ja-JP"/>
        </w:rPr>
      </w:pPr>
      <w:r>
        <w:rPr>
          <w:b/>
          <w:lang w:val="en-US" w:eastAsia="ja-JP"/>
        </w:rPr>
        <w:t>Table A3: Survey Respondents by Location</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Caption w:val="Table A3: Survey Respondents by Location"/>
        <w:tblDescription w:val="Table showing state and territory breakdown of SACOSS survey respondents. &#10;NSW 21%, Vic 20%, Tas 2%, Qld 21%, WA 17%, SA 15%, NT 2%, ACT 2%"/>
      </w:tblPr>
      <w:tblGrid>
        <w:gridCol w:w="4503"/>
        <w:gridCol w:w="1842"/>
        <w:gridCol w:w="1842"/>
      </w:tblGrid>
      <w:tr w:rsidR="00A617D9" w:rsidRPr="00BC71AE" w14:paraId="6F74EA7B" w14:textId="77777777" w:rsidTr="00D27581">
        <w:tc>
          <w:tcPr>
            <w:tcW w:w="4503" w:type="dxa"/>
            <w:shd w:val="clear" w:color="auto" w:fill="4F81BD"/>
          </w:tcPr>
          <w:p w14:paraId="7DC63871" w14:textId="77777777" w:rsidR="00A617D9" w:rsidRPr="004C06A5" w:rsidRDefault="00A617D9" w:rsidP="00D27581">
            <w:pPr>
              <w:rPr>
                <w:b/>
                <w:bCs/>
                <w:color w:val="FFFFFF"/>
              </w:rPr>
            </w:pPr>
          </w:p>
        </w:tc>
        <w:tc>
          <w:tcPr>
            <w:tcW w:w="1842" w:type="dxa"/>
            <w:shd w:val="clear" w:color="auto" w:fill="4F81BD"/>
          </w:tcPr>
          <w:p w14:paraId="38703EA3" w14:textId="77777777" w:rsidR="00A617D9" w:rsidRPr="00A35B18" w:rsidRDefault="00A617D9" w:rsidP="00D27581">
            <w:pPr>
              <w:rPr>
                <w:b/>
                <w:bCs/>
              </w:rPr>
            </w:pPr>
            <w:r w:rsidRPr="00A35B18">
              <w:rPr>
                <w:b/>
                <w:bCs/>
              </w:rPr>
              <w:t>Number of Respondents</w:t>
            </w:r>
          </w:p>
        </w:tc>
        <w:tc>
          <w:tcPr>
            <w:tcW w:w="1842" w:type="dxa"/>
            <w:shd w:val="clear" w:color="auto" w:fill="4F81BD"/>
          </w:tcPr>
          <w:p w14:paraId="451FC928" w14:textId="77777777" w:rsidR="00A617D9" w:rsidRPr="00A35B18" w:rsidRDefault="00A617D9" w:rsidP="00D27581">
            <w:pPr>
              <w:rPr>
                <w:b/>
                <w:bCs/>
              </w:rPr>
            </w:pPr>
            <w:r w:rsidRPr="00A35B18">
              <w:rPr>
                <w:b/>
                <w:bCs/>
              </w:rPr>
              <w:t>Percentage of Respondents</w:t>
            </w:r>
          </w:p>
        </w:tc>
      </w:tr>
      <w:tr w:rsidR="00A617D9" w:rsidRPr="00BC71AE" w14:paraId="5D6AC597" w14:textId="77777777" w:rsidTr="00D27581">
        <w:tc>
          <w:tcPr>
            <w:tcW w:w="4503" w:type="dxa"/>
            <w:tcBorders>
              <w:top w:val="single" w:sz="8" w:space="0" w:color="4F81BD"/>
              <w:left w:val="single" w:sz="8" w:space="0" w:color="4F81BD"/>
              <w:bottom w:val="single" w:sz="8" w:space="0" w:color="4F81BD"/>
            </w:tcBorders>
            <w:shd w:val="clear" w:color="auto" w:fill="auto"/>
          </w:tcPr>
          <w:p w14:paraId="7354608C" w14:textId="77777777" w:rsidR="00A617D9" w:rsidRPr="004C06A5" w:rsidRDefault="00A617D9" w:rsidP="00D27581">
            <w:pPr>
              <w:rPr>
                <w:b/>
                <w:bCs/>
              </w:rPr>
            </w:pPr>
            <w:r>
              <w:rPr>
                <w:b/>
                <w:bCs/>
              </w:rPr>
              <w:t>New South Wales</w:t>
            </w:r>
          </w:p>
        </w:tc>
        <w:tc>
          <w:tcPr>
            <w:tcW w:w="1842" w:type="dxa"/>
            <w:tcBorders>
              <w:top w:val="single" w:sz="8" w:space="0" w:color="4F81BD"/>
              <w:bottom w:val="single" w:sz="8" w:space="0" w:color="4F81BD"/>
            </w:tcBorders>
            <w:shd w:val="clear" w:color="auto" w:fill="auto"/>
          </w:tcPr>
          <w:p w14:paraId="0708E269" w14:textId="77777777" w:rsidR="00A617D9" w:rsidRPr="00BC71AE" w:rsidRDefault="00A617D9" w:rsidP="00D27581">
            <w:r>
              <w:t>101</w:t>
            </w:r>
          </w:p>
        </w:tc>
        <w:tc>
          <w:tcPr>
            <w:tcW w:w="1842" w:type="dxa"/>
            <w:tcBorders>
              <w:top w:val="single" w:sz="8" w:space="0" w:color="4F81BD"/>
              <w:bottom w:val="single" w:sz="8" w:space="0" w:color="4F81BD"/>
            </w:tcBorders>
          </w:tcPr>
          <w:p w14:paraId="7AE279E2" w14:textId="77777777" w:rsidR="00A617D9" w:rsidRDefault="00A617D9" w:rsidP="00D27581">
            <w:r>
              <w:t>21%</w:t>
            </w:r>
          </w:p>
        </w:tc>
      </w:tr>
      <w:tr w:rsidR="00A617D9" w:rsidRPr="00BC71AE" w14:paraId="03553EDB" w14:textId="77777777" w:rsidTr="00D27581">
        <w:tc>
          <w:tcPr>
            <w:tcW w:w="4503" w:type="dxa"/>
            <w:shd w:val="clear" w:color="auto" w:fill="auto"/>
          </w:tcPr>
          <w:p w14:paraId="642B20AC" w14:textId="77777777" w:rsidR="00A617D9" w:rsidRPr="004C06A5" w:rsidRDefault="00A617D9" w:rsidP="00D27581">
            <w:pPr>
              <w:rPr>
                <w:b/>
                <w:bCs/>
              </w:rPr>
            </w:pPr>
            <w:r>
              <w:rPr>
                <w:b/>
                <w:bCs/>
              </w:rPr>
              <w:t>Victoria</w:t>
            </w:r>
          </w:p>
        </w:tc>
        <w:tc>
          <w:tcPr>
            <w:tcW w:w="1842" w:type="dxa"/>
            <w:shd w:val="clear" w:color="auto" w:fill="auto"/>
          </w:tcPr>
          <w:p w14:paraId="6591591F" w14:textId="77777777" w:rsidR="00A617D9" w:rsidRPr="00BC71AE" w:rsidRDefault="00A617D9" w:rsidP="00D27581">
            <w:r>
              <w:t>96</w:t>
            </w:r>
          </w:p>
        </w:tc>
        <w:tc>
          <w:tcPr>
            <w:tcW w:w="1842" w:type="dxa"/>
          </w:tcPr>
          <w:p w14:paraId="1414F705" w14:textId="77777777" w:rsidR="00A617D9" w:rsidRDefault="00A617D9" w:rsidP="00D27581">
            <w:r>
              <w:t>20%</w:t>
            </w:r>
          </w:p>
        </w:tc>
      </w:tr>
      <w:tr w:rsidR="00A617D9" w:rsidRPr="00BC71AE" w14:paraId="51AE8BA5" w14:textId="77777777" w:rsidTr="00D27581">
        <w:tc>
          <w:tcPr>
            <w:tcW w:w="4503" w:type="dxa"/>
            <w:tcBorders>
              <w:top w:val="single" w:sz="8" w:space="0" w:color="4F81BD"/>
              <w:left w:val="single" w:sz="8" w:space="0" w:color="4F81BD"/>
              <w:bottom w:val="single" w:sz="8" w:space="0" w:color="4F81BD"/>
            </w:tcBorders>
            <w:shd w:val="clear" w:color="auto" w:fill="auto"/>
          </w:tcPr>
          <w:p w14:paraId="78590855" w14:textId="77777777" w:rsidR="00A617D9" w:rsidRPr="004C06A5" w:rsidRDefault="00A617D9" w:rsidP="00D27581">
            <w:pPr>
              <w:rPr>
                <w:b/>
                <w:bCs/>
              </w:rPr>
            </w:pPr>
            <w:r>
              <w:rPr>
                <w:b/>
                <w:bCs/>
              </w:rPr>
              <w:t>Tasmania</w:t>
            </w:r>
          </w:p>
        </w:tc>
        <w:tc>
          <w:tcPr>
            <w:tcW w:w="1842" w:type="dxa"/>
            <w:tcBorders>
              <w:top w:val="single" w:sz="8" w:space="0" w:color="4F81BD"/>
              <w:bottom w:val="single" w:sz="8" w:space="0" w:color="4F81BD"/>
            </w:tcBorders>
            <w:shd w:val="clear" w:color="auto" w:fill="auto"/>
          </w:tcPr>
          <w:p w14:paraId="0AA1AE9A" w14:textId="77777777" w:rsidR="00A617D9" w:rsidRPr="00BC71AE" w:rsidRDefault="00A617D9" w:rsidP="00D27581">
            <w:r>
              <w:t>11</w:t>
            </w:r>
          </w:p>
        </w:tc>
        <w:tc>
          <w:tcPr>
            <w:tcW w:w="1842" w:type="dxa"/>
            <w:tcBorders>
              <w:top w:val="single" w:sz="8" w:space="0" w:color="4F81BD"/>
              <w:bottom w:val="single" w:sz="8" w:space="0" w:color="4F81BD"/>
            </w:tcBorders>
          </w:tcPr>
          <w:p w14:paraId="77B40EF4" w14:textId="77777777" w:rsidR="00A617D9" w:rsidRDefault="00A617D9" w:rsidP="00D27581">
            <w:r>
              <w:t>2%</w:t>
            </w:r>
          </w:p>
        </w:tc>
      </w:tr>
      <w:tr w:rsidR="00A617D9" w:rsidRPr="00BC71AE" w14:paraId="35FA0A19" w14:textId="77777777" w:rsidTr="00D27581">
        <w:tc>
          <w:tcPr>
            <w:tcW w:w="4503" w:type="dxa"/>
            <w:tcBorders>
              <w:top w:val="single" w:sz="8" w:space="0" w:color="4F81BD"/>
              <w:left w:val="single" w:sz="8" w:space="0" w:color="4F81BD"/>
              <w:bottom w:val="single" w:sz="8" w:space="0" w:color="4F81BD"/>
            </w:tcBorders>
            <w:shd w:val="clear" w:color="auto" w:fill="auto"/>
          </w:tcPr>
          <w:p w14:paraId="30300D16" w14:textId="77777777" w:rsidR="00A617D9" w:rsidRPr="004C06A5" w:rsidRDefault="00A617D9" w:rsidP="00D27581">
            <w:pPr>
              <w:rPr>
                <w:b/>
                <w:bCs/>
              </w:rPr>
            </w:pPr>
            <w:r>
              <w:rPr>
                <w:b/>
                <w:bCs/>
              </w:rPr>
              <w:t>Queensland</w:t>
            </w:r>
          </w:p>
        </w:tc>
        <w:tc>
          <w:tcPr>
            <w:tcW w:w="1842" w:type="dxa"/>
            <w:tcBorders>
              <w:top w:val="single" w:sz="8" w:space="0" w:color="4F81BD"/>
              <w:bottom w:val="single" w:sz="8" w:space="0" w:color="4F81BD"/>
            </w:tcBorders>
            <w:shd w:val="clear" w:color="auto" w:fill="auto"/>
          </w:tcPr>
          <w:p w14:paraId="3E72DE28" w14:textId="77777777" w:rsidR="00A617D9" w:rsidRPr="00BC71AE" w:rsidRDefault="00A617D9" w:rsidP="00D27581">
            <w:r>
              <w:t>103</w:t>
            </w:r>
          </w:p>
        </w:tc>
        <w:tc>
          <w:tcPr>
            <w:tcW w:w="1842" w:type="dxa"/>
            <w:tcBorders>
              <w:top w:val="single" w:sz="8" w:space="0" w:color="4F81BD"/>
              <w:bottom w:val="single" w:sz="8" w:space="0" w:color="4F81BD"/>
            </w:tcBorders>
          </w:tcPr>
          <w:p w14:paraId="57C18437" w14:textId="77777777" w:rsidR="00A617D9" w:rsidRDefault="00A617D9" w:rsidP="00D27581">
            <w:r>
              <w:t>21%</w:t>
            </w:r>
          </w:p>
        </w:tc>
      </w:tr>
      <w:tr w:rsidR="00A617D9" w:rsidRPr="00BC71AE" w14:paraId="470619A8" w14:textId="77777777" w:rsidTr="00D27581">
        <w:tc>
          <w:tcPr>
            <w:tcW w:w="4503" w:type="dxa"/>
            <w:tcBorders>
              <w:top w:val="single" w:sz="8" w:space="0" w:color="4F81BD"/>
              <w:left w:val="single" w:sz="8" w:space="0" w:color="4F81BD"/>
              <w:bottom w:val="single" w:sz="8" w:space="0" w:color="4F81BD"/>
            </w:tcBorders>
            <w:shd w:val="clear" w:color="auto" w:fill="auto"/>
          </w:tcPr>
          <w:p w14:paraId="54622BEF" w14:textId="77777777" w:rsidR="00A617D9" w:rsidRPr="004C06A5" w:rsidRDefault="00A617D9" w:rsidP="00D27581">
            <w:pPr>
              <w:rPr>
                <w:b/>
                <w:bCs/>
              </w:rPr>
            </w:pPr>
            <w:r>
              <w:rPr>
                <w:b/>
                <w:bCs/>
              </w:rPr>
              <w:t>Western Australia</w:t>
            </w:r>
          </w:p>
        </w:tc>
        <w:tc>
          <w:tcPr>
            <w:tcW w:w="1842" w:type="dxa"/>
            <w:tcBorders>
              <w:top w:val="single" w:sz="8" w:space="0" w:color="4F81BD"/>
              <w:bottom w:val="single" w:sz="8" w:space="0" w:color="4F81BD"/>
            </w:tcBorders>
            <w:shd w:val="clear" w:color="auto" w:fill="auto"/>
          </w:tcPr>
          <w:p w14:paraId="553C5B45" w14:textId="77777777" w:rsidR="00A617D9" w:rsidRPr="00BC71AE" w:rsidRDefault="00A617D9" w:rsidP="00D27581">
            <w:r>
              <w:t>82</w:t>
            </w:r>
          </w:p>
        </w:tc>
        <w:tc>
          <w:tcPr>
            <w:tcW w:w="1842" w:type="dxa"/>
            <w:tcBorders>
              <w:top w:val="single" w:sz="8" w:space="0" w:color="4F81BD"/>
              <w:bottom w:val="single" w:sz="8" w:space="0" w:color="4F81BD"/>
            </w:tcBorders>
          </w:tcPr>
          <w:p w14:paraId="0786520B" w14:textId="77777777" w:rsidR="00A617D9" w:rsidRDefault="00A617D9" w:rsidP="00D27581">
            <w:r>
              <w:t>17%</w:t>
            </w:r>
          </w:p>
        </w:tc>
      </w:tr>
      <w:tr w:rsidR="00A617D9" w:rsidRPr="00BC71AE" w14:paraId="33EEBE25" w14:textId="77777777" w:rsidTr="00D27581">
        <w:tc>
          <w:tcPr>
            <w:tcW w:w="4503" w:type="dxa"/>
            <w:tcBorders>
              <w:top w:val="single" w:sz="8" w:space="0" w:color="4F81BD"/>
              <w:left w:val="single" w:sz="8" w:space="0" w:color="4F81BD"/>
              <w:bottom w:val="single" w:sz="8" w:space="0" w:color="4F81BD"/>
            </w:tcBorders>
            <w:shd w:val="clear" w:color="auto" w:fill="auto"/>
          </w:tcPr>
          <w:p w14:paraId="50131B92" w14:textId="77777777" w:rsidR="00A617D9" w:rsidRPr="004C06A5" w:rsidRDefault="00A617D9" w:rsidP="00D27581">
            <w:pPr>
              <w:rPr>
                <w:b/>
                <w:bCs/>
              </w:rPr>
            </w:pPr>
            <w:r>
              <w:rPr>
                <w:b/>
                <w:bCs/>
              </w:rPr>
              <w:t>South Australia</w:t>
            </w:r>
          </w:p>
        </w:tc>
        <w:tc>
          <w:tcPr>
            <w:tcW w:w="1842" w:type="dxa"/>
            <w:tcBorders>
              <w:top w:val="single" w:sz="8" w:space="0" w:color="4F81BD"/>
              <w:bottom w:val="single" w:sz="8" w:space="0" w:color="4F81BD"/>
            </w:tcBorders>
            <w:shd w:val="clear" w:color="auto" w:fill="auto"/>
          </w:tcPr>
          <w:p w14:paraId="08158C34" w14:textId="77777777" w:rsidR="00A617D9" w:rsidRPr="00BC71AE" w:rsidRDefault="00A617D9" w:rsidP="00A617D9">
            <w:r>
              <w:t>75</w:t>
            </w:r>
          </w:p>
        </w:tc>
        <w:tc>
          <w:tcPr>
            <w:tcW w:w="1842" w:type="dxa"/>
            <w:tcBorders>
              <w:top w:val="single" w:sz="8" w:space="0" w:color="4F81BD"/>
              <w:bottom w:val="single" w:sz="8" w:space="0" w:color="4F81BD"/>
            </w:tcBorders>
          </w:tcPr>
          <w:p w14:paraId="3DB06A67" w14:textId="77777777" w:rsidR="00A617D9" w:rsidRDefault="00A617D9" w:rsidP="00D27581">
            <w:r>
              <w:t>15%</w:t>
            </w:r>
          </w:p>
        </w:tc>
      </w:tr>
      <w:tr w:rsidR="00A617D9" w:rsidRPr="00BC71AE" w14:paraId="4B5C9415" w14:textId="77777777" w:rsidTr="00D27581">
        <w:tc>
          <w:tcPr>
            <w:tcW w:w="4503" w:type="dxa"/>
            <w:tcBorders>
              <w:top w:val="single" w:sz="8" w:space="0" w:color="4F81BD"/>
              <w:left w:val="single" w:sz="8" w:space="0" w:color="4F81BD"/>
              <w:bottom w:val="single" w:sz="8" w:space="0" w:color="4F81BD"/>
            </w:tcBorders>
            <w:shd w:val="clear" w:color="auto" w:fill="auto"/>
          </w:tcPr>
          <w:p w14:paraId="69016B47" w14:textId="77777777" w:rsidR="00A617D9" w:rsidRPr="004C06A5" w:rsidRDefault="00A617D9" w:rsidP="00D27581">
            <w:pPr>
              <w:rPr>
                <w:b/>
                <w:bCs/>
              </w:rPr>
            </w:pPr>
            <w:r>
              <w:rPr>
                <w:b/>
                <w:bCs/>
              </w:rPr>
              <w:t>Northern Territory</w:t>
            </w:r>
          </w:p>
        </w:tc>
        <w:tc>
          <w:tcPr>
            <w:tcW w:w="1842" w:type="dxa"/>
            <w:tcBorders>
              <w:top w:val="single" w:sz="8" w:space="0" w:color="4F81BD"/>
              <w:bottom w:val="single" w:sz="8" w:space="0" w:color="4F81BD"/>
            </w:tcBorders>
            <w:shd w:val="clear" w:color="auto" w:fill="auto"/>
          </w:tcPr>
          <w:p w14:paraId="767D7AD3" w14:textId="77777777" w:rsidR="00A617D9" w:rsidRPr="00BC71AE" w:rsidRDefault="00A617D9" w:rsidP="00D27581">
            <w:r>
              <w:t>8</w:t>
            </w:r>
          </w:p>
        </w:tc>
        <w:tc>
          <w:tcPr>
            <w:tcW w:w="1842" w:type="dxa"/>
            <w:tcBorders>
              <w:top w:val="single" w:sz="8" w:space="0" w:color="4F81BD"/>
              <w:bottom w:val="single" w:sz="8" w:space="0" w:color="4F81BD"/>
            </w:tcBorders>
          </w:tcPr>
          <w:p w14:paraId="46DDF068" w14:textId="77777777" w:rsidR="00A617D9" w:rsidRDefault="00A617D9" w:rsidP="00D27581">
            <w:r>
              <w:t>2%</w:t>
            </w:r>
          </w:p>
        </w:tc>
      </w:tr>
      <w:tr w:rsidR="00A617D9" w:rsidRPr="00BC71AE" w14:paraId="19CA09AF" w14:textId="77777777" w:rsidTr="00D27581">
        <w:tc>
          <w:tcPr>
            <w:tcW w:w="4503" w:type="dxa"/>
            <w:tcBorders>
              <w:top w:val="single" w:sz="8" w:space="0" w:color="4F81BD"/>
              <w:left w:val="single" w:sz="8" w:space="0" w:color="4F81BD"/>
              <w:bottom w:val="single" w:sz="8" w:space="0" w:color="4F81BD"/>
            </w:tcBorders>
            <w:shd w:val="clear" w:color="auto" w:fill="auto"/>
          </w:tcPr>
          <w:p w14:paraId="39A9BC5A" w14:textId="77777777" w:rsidR="00A617D9" w:rsidRDefault="00A617D9" w:rsidP="00D27581">
            <w:pPr>
              <w:rPr>
                <w:b/>
                <w:bCs/>
              </w:rPr>
            </w:pPr>
            <w:r>
              <w:rPr>
                <w:b/>
                <w:bCs/>
              </w:rPr>
              <w:t>Australian Capital Territory</w:t>
            </w:r>
          </w:p>
        </w:tc>
        <w:tc>
          <w:tcPr>
            <w:tcW w:w="1842" w:type="dxa"/>
            <w:tcBorders>
              <w:top w:val="single" w:sz="8" w:space="0" w:color="4F81BD"/>
              <w:bottom w:val="single" w:sz="8" w:space="0" w:color="4F81BD"/>
            </w:tcBorders>
            <w:shd w:val="clear" w:color="auto" w:fill="auto"/>
          </w:tcPr>
          <w:p w14:paraId="3FAB908D" w14:textId="77777777" w:rsidR="00A617D9" w:rsidRDefault="00A617D9" w:rsidP="00D27581">
            <w:r>
              <w:t>9</w:t>
            </w:r>
          </w:p>
        </w:tc>
        <w:tc>
          <w:tcPr>
            <w:tcW w:w="1842" w:type="dxa"/>
            <w:tcBorders>
              <w:top w:val="single" w:sz="8" w:space="0" w:color="4F81BD"/>
              <w:bottom w:val="single" w:sz="8" w:space="0" w:color="4F81BD"/>
            </w:tcBorders>
          </w:tcPr>
          <w:p w14:paraId="33D5527B" w14:textId="77777777" w:rsidR="00A617D9" w:rsidRDefault="00A617D9" w:rsidP="00D27581">
            <w:r>
              <w:t>2%</w:t>
            </w:r>
          </w:p>
        </w:tc>
      </w:tr>
      <w:tr w:rsidR="00A617D9" w:rsidRPr="00BC71AE" w14:paraId="1160F26E" w14:textId="77777777" w:rsidTr="00D27581">
        <w:tc>
          <w:tcPr>
            <w:tcW w:w="4503" w:type="dxa"/>
            <w:tcBorders>
              <w:top w:val="single" w:sz="8" w:space="0" w:color="4F81BD"/>
              <w:left w:val="single" w:sz="8" w:space="0" w:color="4F81BD"/>
              <w:bottom w:val="single" w:sz="8" w:space="0" w:color="4F81BD"/>
            </w:tcBorders>
            <w:shd w:val="clear" w:color="auto" w:fill="auto"/>
          </w:tcPr>
          <w:p w14:paraId="76E23F9C" w14:textId="77777777" w:rsidR="00A617D9" w:rsidRDefault="00A617D9" w:rsidP="00D27581">
            <w:pPr>
              <w:rPr>
                <w:b/>
                <w:bCs/>
              </w:rPr>
            </w:pPr>
            <w:r>
              <w:rPr>
                <w:b/>
                <w:bCs/>
              </w:rPr>
              <w:t>Total</w:t>
            </w:r>
          </w:p>
        </w:tc>
        <w:tc>
          <w:tcPr>
            <w:tcW w:w="1842" w:type="dxa"/>
            <w:tcBorders>
              <w:top w:val="single" w:sz="8" w:space="0" w:color="4F81BD"/>
              <w:bottom w:val="single" w:sz="8" w:space="0" w:color="4F81BD"/>
            </w:tcBorders>
            <w:shd w:val="clear" w:color="auto" w:fill="auto"/>
          </w:tcPr>
          <w:p w14:paraId="60AF36FC" w14:textId="77777777" w:rsidR="00A617D9" w:rsidRPr="00BC71AE" w:rsidRDefault="00A617D9" w:rsidP="00D27581">
            <w:r>
              <w:t>485</w:t>
            </w:r>
          </w:p>
        </w:tc>
        <w:tc>
          <w:tcPr>
            <w:tcW w:w="1842" w:type="dxa"/>
            <w:tcBorders>
              <w:top w:val="single" w:sz="8" w:space="0" w:color="4F81BD"/>
              <w:bottom w:val="single" w:sz="8" w:space="0" w:color="4F81BD"/>
            </w:tcBorders>
          </w:tcPr>
          <w:p w14:paraId="3CDD505E" w14:textId="77777777" w:rsidR="00A617D9" w:rsidRDefault="00A617D9" w:rsidP="00D27581">
            <w:r>
              <w:t>100%</w:t>
            </w:r>
          </w:p>
        </w:tc>
      </w:tr>
    </w:tbl>
    <w:p w14:paraId="4F4115FD" w14:textId="77777777" w:rsidR="00A617D9" w:rsidRDefault="00A617D9" w:rsidP="00A617D9">
      <w:pPr>
        <w:rPr>
          <w:lang w:val="en-US" w:eastAsia="ja-JP"/>
        </w:rPr>
      </w:pPr>
    </w:p>
    <w:p w14:paraId="0EF57550" w14:textId="77777777" w:rsidR="00627B21" w:rsidRDefault="00627B21" w:rsidP="00627B21">
      <w:pPr>
        <w:pStyle w:val="Heading4"/>
        <w:rPr>
          <w:lang w:val="en-US" w:eastAsia="ja-JP"/>
        </w:rPr>
      </w:pPr>
      <w:r>
        <w:rPr>
          <w:lang w:val="en-US" w:eastAsia="ja-JP"/>
        </w:rPr>
        <w:t>Age</w:t>
      </w:r>
    </w:p>
    <w:p w14:paraId="79A22ED6" w14:textId="0C299CFA" w:rsidR="00036DBA" w:rsidRDefault="0079168F" w:rsidP="00B721E6">
      <w:pPr>
        <w:rPr>
          <w:lang w:val="en-US" w:eastAsia="ja-JP"/>
        </w:rPr>
      </w:pPr>
      <w:r>
        <w:rPr>
          <w:lang w:val="en-US" w:eastAsia="ja-JP"/>
        </w:rPr>
        <w:t>As noted in the text, there was a substantial age skew in the sample with older</w:t>
      </w:r>
      <w:r w:rsidR="00F17F00">
        <w:rPr>
          <w:lang w:val="en-US" w:eastAsia="ja-JP"/>
        </w:rPr>
        <w:t xml:space="preserve"> people being over-represented, although in the weighted results this would be accounted for in the weightings which favoured the younger family formation cohort. It is also noteworthy that 15% of survey participants were over 65 years old – the traditional retirement age, and 13% listed themselves as retired. However, this is not necessarily incompatible with the idea of wag</w:t>
      </w:r>
      <w:r w:rsidR="0083025B">
        <w:rPr>
          <w:lang w:val="en-US" w:eastAsia="ja-JP"/>
        </w:rPr>
        <w:t>ed poverty as their partners or other household members may have been in work and providing the bulk of the household income.</w:t>
      </w:r>
    </w:p>
    <w:p w14:paraId="5FE16142" w14:textId="4161F3FE" w:rsidR="00036DBA" w:rsidRDefault="00036DBA" w:rsidP="00B721E6">
      <w:pPr>
        <w:rPr>
          <w:lang w:val="en-US" w:eastAsia="ja-JP"/>
        </w:rPr>
      </w:pPr>
      <w:r>
        <w:rPr>
          <w:lang w:val="en-US" w:eastAsia="ja-JP"/>
        </w:rPr>
        <w:t xml:space="preserve">The age break-down of the survey group is in Table </w:t>
      </w:r>
      <w:r w:rsidR="00305B21">
        <w:rPr>
          <w:lang w:val="en-US" w:eastAsia="ja-JP"/>
        </w:rPr>
        <w:t>A4</w:t>
      </w:r>
      <w:r>
        <w:rPr>
          <w:lang w:val="en-US" w:eastAsia="ja-JP"/>
        </w:rPr>
        <w:t xml:space="preserve"> below.</w:t>
      </w:r>
    </w:p>
    <w:p w14:paraId="5DEBD175" w14:textId="434ABD64" w:rsidR="00F17F00" w:rsidRPr="00F17F00" w:rsidRDefault="00036DBA" w:rsidP="00B721E6">
      <w:pPr>
        <w:rPr>
          <w:b/>
          <w:lang w:val="en-US" w:eastAsia="ja-JP"/>
        </w:rPr>
      </w:pPr>
      <w:r>
        <w:rPr>
          <w:lang w:val="en-US" w:eastAsia="ja-JP"/>
        </w:rPr>
        <w:br w:type="page"/>
      </w:r>
      <w:r w:rsidR="00305B21">
        <w:rPr>
          <w:b/>
          <w:lang w:val="en-US" w:eastAsia="ja-JP"/>
        </w:rPr>
        <w:lastRenderedPageBreak/>
        <w:t>Table A4: Age Composition of Survey Group</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Caption w:val="Table A4: Age Composition of Survey Group"/>
        <w:tblDescription w:val="Biggest skew is 15% of survey group aged over 65. Data as follows:&#10;Age 18-24 equals13%&#10;25-34 equals 19%&#10;35-44 equals 20%&#10;45-54 equals 16%&#10;55-64 equals 18%"/>
      </w:tblPr>
      <w:tblGrid>
        <w:gridCol w:w="4503"/>
        <w:gridCol w:w="1842"/>
      </w:tblGrid>
      <w:tr w:rsidR="00F17F00" w:rsidRPr="00BC71AE" w14:paraId="03DBD0DD" w14:textId="77777777" w:rsidTr="00D27581">
        <w:tc>
          <w:tcPr>
            <w:tcW w:w="4503" w:type="dxa"/>
            <w:shd w:val="clear" w:color="auto" w:fill="4F81BD"/>
          </w:tcPr>
          <w:p w14:paraId="3ACF7050" w14:textId="77777777" w:rsidR="00F17F00" w:rsidRPr="00A35B18" w:rsidRDefault="00F17F00" w:rsidP="00D27581">
            <w:pPr>
              <w:rPr>
                <w:b/>
                <w:bCs/>
              </w:rPr>
            </w:pPr>
            <w:r w:rsidRPr="00A35B18">
              <w:rPr>
                <w:b/>
                <w:bCs/>
              </w:rPr>
              <w:t>Age Groups</w:t>
            </w:r>
          </w:p>
        </w:tc>
        <w:tc>
          <w:tcPr>
            <w:tcW w:w="1842" w:type="dxa"/>
            <w:shd w:val="clear" w:color="auto" w:fill="4F81BD"/>
          </w:tcPr>
          <w:p w14:paraId="43147BBD" w14:textId="77777777" w:rsidR="00F17F00" w:rsidRPr="00A35B18" w:rsidRDefault="00F17F00" w:rsidP="00F17F00">
            <w:pPr>
              <w:rPr>
                <w:b/>
                <w:bCs/>
              </w:rPr>
            </w:pPr>
            <w:r w:rsidRPr="00A35B18">
              <w:rPr>
                <w:b/>
                <w:bCs/>
              </w:rPr>
              <w:t>Percent of Sample</w:t>
            </w:r>
          </w:p>
        </w:tc>
      </w:tr>
      <w:tr w:rsidR="00F17F00" w:rsidRPr="00BC71AE" w14:paraId="4320084F" w14:textId="77777777" w:rsidTr="00305B21">
        <w:trPr>
          <w:trHeight w:val="397"/>
        </w:trPr>
        <w:tc>
          <w:tcPr>
            <w:tcW w:w="4503" w:type="dxa"/>
            <w:tcBorders>
              <w:top w:val="single" w:sz="8" w:space="0" w:color="4F81BD"/>
              <w:left w:val="single" w:sz="8" w:space="0" w:color="4F81BD"/>
              <w:bottom w:val="single" w:sz="8" w:space="0" w:color="4F81BD"/>
            </w:tcBorders>
            <w:shd w:val="clear" w:color="auto" w:fill="auto"/>
          </w:tcPr>
          <w:p w14:paraId="22E8618A" w14:textId="77777777" w:rsidR="00F17F00" w:rsidRPr="004C06A5" w:rsidRDefault="00F17F00" w:rsidP="00305B21">
            <w:pPr>
              <w:spacing w:after="120"/>
              <w:rPr>
                <w:b/>
                <w:bCs/>
              </w:rPr>
            </w:pPr>
            <w:r>
              <w:rPr>
                <w:b/>
                <w:bCs/>
              </w:rPr>
              <w:t xml:space="preserve">18 – 24 </w:t>
            </w:r>
          </w:p>
        </w:tc>
        <w:tc>
          <w:tcPr>
            <w:tcW w:w="1842" w:type="dxa"/>
            <w:tcBorders>
              <w:top w:val="single" w:sz="8" w:space="0" w:color="4F81BD"/>
              <w:bottom w:val="single" w:sz="8" w:space="0" w:color="4F81BD"/>
            </w:tcBorders>
            <w:shd w:val="clear" w:color="auto" w:fill="auto"/>
          </w:tcPr>
          <w:p w14:paraId="47F2A7E6" w14:textId="77777777" w:rsidR="00F17F00" w:rsidRPr="00BC71AE" w:rsidRDefault="00F17F00" w:rsidP="00305B21">
            <w:pPr>
              <w:spacing w:after="120"/>
            </w:pPr>
            <w:r>
              <w:t>13%</w:t>
            </w:r>
          </w:p>
        </w:tc>
      </w:tr>
      <w:tr w:rsidR="00F17F00" w:rsidRPr="00BC71AE" w14:paraId="72A0E1CF" w14:textId="77777777" w:rsidTr="00305B21">
        <w:trPr>
          <w:trHeight w:val="397"/>
        </w:trPr>
        <w:tc>
          <w:tcPr>
            <w:tcW w:w="4503" w:type="dxa"/>
            <w:shd w:val="clear" w:color="auto" w:fill="auto"/>
          </w:tcPr>
          <w:p w14:paraId="3EEB8BCD" w14:textId="77777777" w:rsidR="00F17F00" w:rsidRPr="004C06A5" w:rsidRDefault="00F17F00" w:rsidP="00305B21">
            <w:pPr>
              <w:spacing w:after="120"/>
              <w:rPr>
                <w:b/>
                <w:bCs/>
              </w:rPr>
            </w:pPr>
            <w:r>
              <w:rPr>
                <w:b/>
                <w:bCs/>
              </w:rPr>
              <w:t xml:space="preserve">25 – 34 </w:t>
            </w:r>
          </w:p>
        </w:tc>
        <w:tc>
          <w:tcPr>
            <w:tcW w:w="1842" w:type="dxa"/>
            <w:shd w:val="clear" w:color="auto" w:fill="auto"/>
          </w:tcPr>
          <w:p w14:paraId="6D5F0DCA" w14:textId="77777777" w:rsidR="00F17F00" w:rsidRPr="00BC71AE" w:rsidRDefault="00F17F00" w:rsidP="00305B21">
            <w:pPr>
              <w:spacing w:after="120"/>
            </w:pPr>
            <w:r>
              <w:t>19%</w:t>
            </w:r>
          </w:p>
        </w:tc>
      </w:tr>
      <w:tr w:rsidR="00F17F00" w:rsidRPr="00BC71AE" w14:paraId="33AA606E" w14:textId="77777777" w:rsidTr="00305B21">
        <w:trPr>
          <w:trHeight w:val="397"/>
        </w:trPr>
        <w:tc>
          <w:tcPr>
            <w:tcW w:w="4503" w:type="dxa"/>
            <w:tcBorders>
              <w:top w:val="single" w:sz="8" w:space="0" w:color="4F81BD"/>
              <w:left w:val="single" w:sz="8" w:space="0" w:color="4F81BD"/>
              <w:bottom w:val="single" w:sz="8" w:space="0" w:color="4F81BD"/>
            </w:tcBorders>
            <w:shd w:val="clear" w:color="auto" w:fill="auto"/>
          </w:tcPr>
          <w:p w14:paraId="2103C3E7" w14:textId="77777777" w:rsidR="00F17F00" w:rsidRPr="004C06A5" w:rsidRDefault="00F17F00" w:rsidP="00305B21">
            <w:pPr>
              <w:spacing w:after="120"/>
              <w:rPr>
                <w:b/>
                <w:bCs/>
              </w:rPr>
            </w:pPr>
            <w:r>
              <w:rPr>
                <w:b/>
                <w:bCs/>
              </w:rPr>
              <w:t xml:space="preserve">35 – 44 </w:t>
            </w:r>
          </w:p>
        </w:tc>
        <w:tc>
          <w:tcPr>
            <w:tcW w:w="1842" w:type="dxa"/>
            <w:tcBorders>
              <w:top w:val="single" w:sz="8" w:space="0" w:color="4F81BD"/>
              <w:bottom w:val="single" w:sz="8" w:space="0" w:color="4F81BD"/>
            </w:tcBorders>
            <w:shd w:val="clear" w:color="auto" w:fill="auto"/>
          </w:tcPr>
          <w:p w14:paraId="287F3894" w14:textId="77777777" w:rsidR="00F17F00" w:rsidRPr="00BC71AE" w:rsidRDefault="00F17F00" w:rsidP="00305B21">
            <w:pPr>
              <w:spacing w:after="120"/>
            </w:pPr>
            <w:r>
              <w:t>20%</w:t>
            </w:r>
          </w:p>
        </w:tc>
      </w:tr>
      <w:tr w:rsidR="00F17F00" w:rsidRPr="00BC71AE" w14:paraId="283AA3DC" w14:textId="77777777" w:rsidTr="00305B21">
        <w:trPr>
          <w:trHeight w:val="397"/>
        </w:trPr>
        <w:tc>
          <w:tcPr>
            <w:tcW w:w="4503" w:type="dxa"/>
            <w:tcBorders>
              <w:top w:val="single" w:sz="8" w:space="0" w:color="4F81BD"/>
              <w:left w:val="single" w:sz="8" w:space="0" w:color="4F81BD"/>
              <w:bottom w:val="single" w:sz="8" w:space="0" w:color="4F81BD"/>
            </w:tcBorders>
            <w:shd w:val="clear" w:color="auto" w:fill="auto"/>
          </w:tcPr>
          <w:p w14:paraId="2A422D8F" w14:textId="77777777" w:rsidR="00F17F00" w:rsidRPr="004C06A5" w:rsidRDefault="00F17F00" w:rsidP="00305B21">
            <w:pPr>
              <w:spacing w:after="120"/>
              <w:rPr>
                <w:b/>
                <w:bCs/>
              </w:rPr>
            </w:pPr>
            <w:r>
              <w:rPr>
                <w:b/>
                <w:bCs/>
              </w:rPr>
              <w:t xml:space="preserve">45 – 54 </w:t>
            </w:r>
          </w:p>
        </w:tc>
        <w:tc>
          <w:tcPr>
            <w:tcW w:w="1842" w:type="dxa"/>
            <w:tcBorders>
              <w:top w:val="single" w:sz="8" w:space="0" w:color="4F81BD"/>
              <w:bottom w:val="single" w:sz="8" w:space="0" w:color="4F81BD"/>
            </w:tcBorders>
            <w:shd w:val="clear" w:color="auto" w:fill="auto"/>
          </w:tcPr>
          <w:p w14:paraId="47DA995F" w14:textId="77777777" w:rsidR="00F17F00" w:rsidRPr="00BC71AE" w:rsidRDefault="00F17F00" w:rsidP="00305B21">
            <w:pPr>
              <w:spacing w:after="120"/>
            </w:pPr>
            <w:r>
              <w:t>16%</w:t>
            </w:r>
          </w:p>
        </w:tc>
      </w:tr>
      <w:tr w:rsidR="00F17F00" w:rsidRPr="00BC71AE" w14:paraId="1E8F9029" w14:textId="77777777" w:rsidTr="00305B21">
        <w:trPr>
          <w:trHeight w:val="397"/>
        </w:trPr>
        <w:tc>
          <w:tcPr>
            <w:tcW w:w="4503" w:type="dxa"/>
            <w:tcBorders>
              <w:top w:val="single" w:sz="8" w:space="0" w:color="4F81BD"/>
              <w:left w:val="single" w:sz="8" w:space="0" w:color="4F81BD"/>
              <w:bottom w:val="single" w:sz="8" w:space="0" w:color="4F81BD"/>
            </w:tcBorders>
            <w:shd w:val="clear" w:color="auto" w:fill="auto"/>
          </w:tcPr>
          <w:p w14:paraId="6CACFA4C" w14:textId="77777777" w:rsidR="00F17F00" w:rsidRPr="004C06A5" w:rsidRDefault="00F17F00" w:rsidP="00305B21">
            <w:pPr>
              <w:spacing w:after="120"/>
              <w:rPr>
                <w:b/>
                <w:bCs/>
              </w:rPr>
            </w:pPr>
            <w:r>
              <w:rPr>
                <w:b/>
                <w:bCs/>
              </w:rPr>
              <w:t xml:space="preserve">55 – 64 </w:t>
            </w:r>
          </w:p>
        </w:tc>
        <w:tc>
          <w:tcPr>
            <w:tcW w:w="1842" w:type="dxa"/>
            <w:tcBorders>
              <w:top w:val="single" w:sz="8" w:space="0" w:color="4F81BD"/>
              <w:bottom w:val="single" w:sz="8" w:space="0" w:color="4F81BD"/>
            </w:tcBorders>
            <w:shd w:val="clear" w:color="auto" w:fill="auto"/>
          </w:tcPr>
          <w:p w14:paraId="430B2B79" w14:textId="77777777" w:rsidR="00F17F00" w:rsidRPr="00BC71AE" w:rsidRDefault="00F17F00" w:rsidP="00305B21">
            <w:pPr>
              <w:spacing w:after="120"/>
            </w:pPr>
            <w:r>
              <w:t>18%</w:t>
            </w:r>
          </w:p>
        </w:tc>
      </w:tr>
      <w:tr w:rsidR="00F17F00" w:rsidRPr="00BC71AE" w14:paraId="71BA24CA" w14:textId="77777777" w:rsidTr="00305B21">
        <w:trPr>
          <w:trHeight w:val="397"/>
        </w:trPr>
        <w:tc>
          <w:tcPr>
            <w:tcW w:w="4503" w:type="dxa"/>
            <w:tcBorders>
              <w:top w:val="single" w:sz="8" w:space="0" w:color="4F81BD"/>
              <w:left w:val="single" w:sz="8" w:space="0" w:color="4F81BD"/>
              <w:bottom w:val="single" w:sz="8" w:space="0" w:color="4F81BD"/>
            </w:tcBorders>
            <w:shd w:val="clear" w:color="auto" w:fill="auto"/>
          </w:tcPr>
          <w:p w14:paraId="049A2826" w14:textId="77777777" w:rsidR="00F17F00" w:rsidRPr="004C06A5" w:rsidRDefault="00F17F00" w:rsidP="00305B21">
            <w:pPr>
              <w:spacing w:after="120"/>
              <w:rPr>
                <w:b/>
                <w:bCs/>
              </w:rPr>
            </w:pPr>
            <w:r>
              <w:rPr>
                <w:b/>
                <w:bCs/>
              </w:rPr>
              <w:t>65+</w:t>
            </w:r>
          </w:p>
        </w:tc>
        <w:tc>
          <w:tcPr>
            <w:tcW w:w="1842" w:type="dxa"/>
            <w:tcBorders>
              <w:top w:val="single" w:sz="8" w:space="0" w:color="4F81BD"/>
              <w:bottom w:val="single" w:sz="8" w:space="0" w:color="4F81BD"/>
            </w:tcBorders>
            <w:shd w:val="clear" w:color="auto" w:fill="auto"/>
          </w:tcPr>
          <w:p w14:paraId="2902F693" w14:textId="77777777" w:rsidR="00F17F00" w:rsidRPr="00BC71AE" w:rsidRDefault="00F17F00" w:rsidP="00305B21">
            <w:pPr>
              <w:spacing w:after="120"/>
            </w:pPr>
            <w:r>
              <w:t>15%</w:t>
            </w:r>
          </w:p>
        </w:tc>
      </w:tr>
    </w:tbl>
    <w:p w14:paraId="77EAF739" w14:textId="77777777" w:rsidR="00627B21" w:rsidRDefault="00627B21" w:rsidP="00627B21">
      <w:pPr>
        <w:pStyle w:val="Heading4"/>
        <w:rPr>
          <w:lang w:val="en-US" w:eastAsia="ja-JP"/>
        </w:rPr>
      </w:pPr>
      <w:r>
        <w:rPr>
          <w:lang w:val="en-US" w:eastAsia="ja-JP"/>
        </w:rPr>
        <w:t>Gender and Occupation</w:t>
      </w:r>
    </w:p>
    <w:p w14:paraId="0C1B301C" w14:textId="293940A1" w:rsidR="00346B9D" w:rsidRDefault="00390B0C" w:rsidP="00B721E6">
      <w:pPr>
        <w:rPr>
          <w:lang w:val="en-US" w:eastAsia="ja-JP"/>
        </w:rPr>
      </w:pPr>
      <w:r>
        <w:rPr>
          <w:lang w:val="en-US" w:eastAsia="ja-JP"/>
        </w:rPr>
        <w:t>Over half (56%) of respondents were female, and interestingly, only just over a third were actually in the labour force (that is, employed full-time, part-time or casual, or looking for work).</w:t>
      </w:r>
      <w:r w:rsidR="00BE7D7E">
        <w:rPr>
          <w:lang w:val="en-US" w:eastAsia="ja-JP"/>
        </w:rPr>
        <w:t xml:space="preserve"> As </w:t>
      </w:r>
      <w:r w:rsidR="0083025B">
        <w:rPr>
          <w:lang w:val="en-US" w:eastAsia="ja-JP"/>
        </w:rPr>
        <w:t>above</w:t>
      </w:r>
      <w:r w:rsidR="00BE7D7E">
        <w:rPr>
          <w:lang w:val="en-US" w:eastAsia="ja-JP"/>
        </w:rPr>
        <w:t xml:space="preserve">, the remainder would be part of households where someone else was employed and that provided the main source of income. The </w:t>
      </w:r>
      <w:r w:rsidR="0032281C">
        <w:rPr>
          <w:lang w:val="en-US" w:eastAsia="ja-JP"/>
        </w:rPr>
        <w:t xml:space="preserve">occupational status of respondents is shown in Table </w:t>
      </w:r>
      <w:r w:rsidR="00305B21">
        <w:rPr>
          <w:lang w:val="en-US" w:eastAsia="ja-JP"/>
        </w:rPr>
        <w:t>A5</w:t>
      </w:r>
      <w:r w:rsidR="0032281C">
        <w:rPr>
          <w:lang w:val="en-US" w:eastAsia="ja-JP"/>
        </w:rPr>
        <w:t xml:space="preserve"> below, but</w:t>
      </w:r>
      <w:r w:rsidR="00BE7D7E">
        <w:rPr>
          <w:lang w:val="en-US" w:eastAsia="ja-JP"/>
        </w:rPr>
        <w:t xml:space="preserve"> </w:t>
      </w:r>
      <w:r w:rsidR="0032281C">
        <w:rPr>
          <w:lang w:val="en-US" w:eastAsia="ja-JP"/>
        </w:rPr>
        <w:t xml:space="preserve">where </w:t>
      </w:r>
      <w:r w:rsidR="00BE7D7E">
        <w:rPr>
          <w:lang w:val="en-US" w:eastAsia="ja-JP"/>
        </w:rPr>
        <w:t xml:space="preserve">the lack of direct labour force participation </w:t>
      </w:r>
      <w:r w:rsidR="0032281C">
        <w:rPr>
          <w:lang w:val="en-US" w:eastAsia="ja-JP"/>
        </w:rPr>
        <w:t>of many of the respondents may impact on the survey results (for instance, use of telecommunications at work) we have generally also cited in the report the figures for the subgroup of those in the labour force.</w:t>
      </w:r>
    </w:p>
    <w:p w14:paraId="0A1152F4" w14:textId="1547D4C2" w:rsidR="0083025B" w:rsidRPr="0083025B" w:rsidRDefault="00305B21" w:rsidP="00B721E6">
      <w:pPr>
        <w:rPr>
          <w:b/>
          <w:lang w:val="en-US" w:eastAsia="ja-JP"/>
        </w:rPr>
      </w:pPr>
      <w:r>
        <w:rPr>
          <w:b/>
          <w:lang w:val="en-US" w:eastAsia="ja-JP"/>
        </w:rPr>
        <w:t>Table A5: Occupational Status of Respondents</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Caption w:val="Table A5: Occupational Status of Survey Respondents"/>
        <w:tblDescription w:val="Primary occupational status:&#10;Work full time 12%&#10;Work part time  23%&#10;Work casual 12%&#10;Unpaid caring/home 7%&#10;Unemployed 15%&#10;Retired = 13%&#10;Student/Apprentice = 5%&#10;Injured = 7%"/>
      </w:tblPr>
      <w:tblGrid>
        <w:gridCol w:w="4503"/>
        <w:gridCol w:w="1842"/>
      </w:tblGrid>
      <w:tr w:rsidR="0083025B" w:rsidRPr="00BC71AE" w14:paraId="7C84508A" w14:textId="77777777" w:rsidTr="00D27581">
        <w:tc>
          <w:tcPr>
            <w:tcW w:w="4503" w:type="dxa"/>
            <w:shd w:val="clear" w:color="auto" w:fill="4F81BD"/>
          </w:tcPr>
          <w:p w14:paraId="55A817A2" w14:textId="77777777" w:rsidR="0083025B" w:rsidRPr="004C06A5" w:rsidRDefault="0083025B" w:rsidP="00D27581">
            <w:pPr>
              <w:rPr>
                <w:b/>
                <w:bCs/>
                <w:color w:val="FFFFFF"/>
              </w:rPr>
            </w:pPr>
            <w:r w:rsidRPr="00A35B18">
              <w:rPr>
                <w:b/>
                <w:bCs/>
              </w:rPr>
              <w:t>Primary Occupational Status</w:t>
            </w:r>
          </w:p>
        </w:tc>
        <w:tc>
          <w:tcPr>
            <w:tcW w:w="1842" w:type="dxa"/>
            <w:shd w:val="clear" w:color="auto" w:fill="4F81BD"/>
          </w:tcPr>
          <w:p w14:paraId="2C9F7626" w14:textId="77777777" w:rsidR="0083025B" w:rsidRDefault="0083025B" w:rsidP="00D27581">
            <w:pPr>
              <w:rPr>
                <w:b/>
                <w:bCs/>
                <w:color w:val="FFFFFF"/>
              </w:rPr>
            </w:pPr>
            <w:r w:rsidRPr="00A35B18">
              <w:rPr>
                <w:b/>
                <w:bCs/>
              </w:rPr>
              <w:t>Percentage of Respondents</w:t>
            </w:r>
          </w:p>
        </w:tc>
      </w:tr>
      <w:tr w:rsidR="0083025B" w:rsidRPr="00BC71AE" w14:paraId="35711FD8" w14:textId="77777777" w:rsidTr="00D27581">
        <w:tc>
          <w:tcPr>
            <w:tcW w:w="4503" w:type="dxa"/>
            <w:tcBorders>
              <w:top w:val="single" w:sz="8" w:space="0" w:color="4F81BD"/>
              <w:left w:val="single" w:sz="8" w:space="0" w:color="4F81BD"/>
              <w:bottom w:val="single" w:sz="8" w:space="0" w:color="4F81BD"/>
            </w:tcBorders>
            <w:shd w:val="clear" w:color="auto" w:fill="auto"/>
          </w:tcPr>
          <w:p w14:paraId="7B12BBEF" w14:textId="77777777" w:rsidR="0083025B" w:rsidRPr="004C06A5" w:rsidRDefault="0083025B" w:rsidP="00305B21">
            <w:pPr>
              <w:spacing w:after="120"/>
              <w:rPr>
                <w:b/>
                <w:bCs/>
              </w:rPr>
            </w:pPr>
            <w:r>
              <w:rPr>
                <w:b/>
                <w:bCs/>
              </w:rPr>
              <w:t>Work Full Time</w:t>
            </w:r>
          </w:p>
        </w:tc>
        <w:tc>
          <w:tcPr>
            <w:tcW w:w="1842" w:type="dxa"/>
            <w:tcBorders>
              <w:top w:val="single" w:sz="8" w:space="0" w:color="4F81BD"/>
              <w:bottom w:val="single" w:sz="8" w:space="0" w:color="4F81BD"/>
            </w:tcBorders>
          </w:tcPr>
          <w:p w14:paraId="18C0BF21" w14:textId="77777777" w:rsidR="0083025B" w:rsidRDefault="0083025B" w:rsidP="00305B21">
            <w:pPr>
              <w:spacing w:after="120"/>
            </w:pPr>
            <w:r>
              <w:t>12%</w:t>
            </w:r>
          </w:p>
        </w:tc>
      </w:tr>
      <w:tr w:rsidR="0083025B" w:rsidRPr="00BC71AE" w14:paraId="43161D30" w14:textId="77777777" w:rsidTr="00D27581">
        <w:tc>
          <w:tcPr>
            <w:tcW w:w="4503" w:type="dxa"/>
            <w:shd w:val="clear" w:color="auto" w:fill="auto"/>
          </w:tcPr>
          <w:p w14:paraId="4FDF668D" w14:textId="77777777" w:rsidR="0083025B" w:rsidRPr="004C06A5" w:rsidRDefault="0083025B" w:rsidP="00305B21">
            <w:pPr>
              <w:spacing w:after="120"/>
              <w:rPr>
                <w:b/>
                <w:bCs/>
              </w:rPr>
            </w:pPr>
            <w:r>
              <w:rPr>
                <w:b/>
                <w:bCs/>
              </w:rPr>
              <w:t>Work Part Time</w:t>
            </w:r>
          </w:p>
        </w:tc>
        <w:tc>
          <w:tcPr>
            <w:tcW w:w="1842" w:type="dxa"/>
          </w:tcPr>
          <w:p w14:paraId="486E1B32" w14:textId="77777777" w:rsidR="0083025B" w:rsidRDefault="0083025B" w:rsidP="00305B21">
            <w:pPr>
              <w:spacing w:after="120"/>
            </w:pPr>
            <w:r>
              <w:t>23%</w:t>
            </w:r>
          </w:p>
        </w:tc>
      </w:tr>
      <w:tr w:rsidR="0083025B" w:rsidRPr="00BC71AE" w14:paraId="75DABC0E" w14:textId="77777777" w:rsidTr="00D27581">
        <w:tc>
          <w:tcPr>
            <w:tcW w:w="4503" w:type="dxa"/>
            <w:tcBorders>
              <w:top w:val="single" w:sz="8" w:space="0" w:color="4F81BD"/>
              <w:left w:val="single" w:sz="8" w:space="0" w:color="4F81BD"/>
              <w:bottom w:val="single" w:sz="8" w:space="0" w:color="4F81BD"/>
            </w:tcBorders>
            <w:shd w:val="clear" w:color="auto" w:fill="auto"/>
          </w:tcPr>
          <w:p w14:paraId="426A93FA" w14:textId="77777777" w:rsidR="0083025B" w:rsidRPr="004C06A5" w:rsidRDefault="0083025B" w:rsidP="00305B21">
            <w:pPr>
              <w:spacing w:after="120"/>
              <w:rPr>
                <w:b/>
                <w:bCs/>
              </w:rPr>
            </w:pPr>
            <w:r>
              <w:rPr>
                <w:b/>
                <w:bCs/>
              </w:rPr>
              <w:t>Work in a Casual Position</w:t>
            </w:r>
          </w:p>
        </w:tc>
        <w:tc>
          <w:tcPr>
            <w:tcW w:w="1842" w:type="dxa"/>
            <w:tcBorders>
              <w:top w:val="single" w:sz="8" w:space="0" w:color="4F81BD"/>
              <w:bottom w:val="single" w:sz="8" w:space="0" w:color="4F81BD"/>
            </w:tcBorders>
          </w:tcPr>
          <w:p w14:paraId="0DBBB9FC" w14:textId="77777777" w:rsidR="0083025B" w:rsidRDefault="0083025B" w:rsidP="00305B21">
            <w:pPr>
              <w:spacing w:after="120"/>
            </w:pPr>
            <w:r>
              <w:t>12%</w:t>
            </w:r>
          </w:p>
        </w:tc>
      </w:tr>
      <w:tr w:rsidR="0083025B" w:rsidRPr="00BC71AE" w14:paraId="4C94531C" w14:textId="77777777" w:rsidTr="00D27581">
        <w:tc>
          <w:tcPr>
            <w:tcW w:w="4503" w:type="dxa"/>
            <w:tcBorders>
              <w:top w:val="single" w:sz="8" w:space="0" w:color="4F81BD"/>
              <w:left w:val="single" w:sz="8" w:space="0" w:color="4F81BD"/>
              <w:bottom w:val="single" w:sz="8" w:space="0" w:color="4F81BD"/>
            </w:tcBorders>
            <w:shd w:val="clear" w:color="auto" w:fill="auto"/>
          </w:tcPr>
          <w:p w14:paraId="636D582D" w14:textId="77777777" w:rsidR="0083025B" w:rsidRPr="004C06A5" w:rsidRDefault="0083025B" w:rsidP="00305B21">
            <w:pPr>
              <w:spacing w:after="120"/>
              <w:rPr>
                <w:b/>
                <w:bCs/>
              </w:rPr>
            </w:pPr>
            <w:r>
              <w:rPr>
                <w:b/>
                <w:bCs/>
              </w:rPr>
              <w:t>Unpaid Volunteering</w:t>
            </w:r>
          </w:p>
        </w:tc>
        <w:tc>
          <w:tcPr>
            <w:tcW w:w="1842" w:type="dxa"/>
            <w:tcBorders>
              <w:top w:val="single" w:sz="8" w:space="0" w:color="4F81BD"/>
              <w:bottom w:val="single" w:sz="8" w:space="0" w:color="4F81BD"/>
            </w:tcBorders>
          </w:tcPr>
          <w:p w14:paraId="74DC902F" w14:textId="77777777" w:rsidR="0083025B" w:rsidRDefault="0083025B" w:rsidP="00305B21">
            <w:pPr>
              <w:spacing w:after="120"/>
            </w:pPr>
            <w:r>
              <w:t>1%</w:t>
            </w:r>
          </w:p>
        </w:tc>
      </w:tr>
      <w:tr w:rsidR="0083025B" w:rsidRPr="00BC71AE" w14:paraId="40F629D1" w14:textId="77777777" w:rsidTr="00D27581">
        <w:tc>
          <w:tcPr>
            <w:tcW w:w="4503" w:type="dxa"/>
            <w:tcBorders>
              <w:top w:val="single" w:sz="8" w:space="0" w:color="4F81BD"/>
              <w:left w:val="single" w:sz="8" w:space="0" w:color="4F81BD"/>
              <w:bottom w:val="single" w:sz="8" w:space="0" w:color="4F81BD"/>
            </w:tcBorders>
            <w:shd w:val="clear" w:color="auto" w:fill="auto"/>
          </w:tcPr>
          <w:p w14:paraId="714532B5" w14:textId="77777777" w:rsidR="0083025B" w:rsidRPr="004C06A5" w:rsidRDefault="0083025B" w:rsidP="00305B21">
            <w:pPr>
              <w:spacing w:after="120"/>
              <w:rPr>
                <w:b/>
                <w:bCs/>
              </w:rPr>
            </w:pPr>
            <w:r>
              <w:rPr>
                <w:b/>
                <w:bCs/>
              </w:rPr>
              <w:t>Unpaid Caring/Home Duties</w:t>
            </w:r>
          </w:p>
        </w:tc>
        <w:tc>
          <w:tcPr>
            <w:tcW w:w="1842" w:type="dxa"/>
            <w:tcBorders>
              <w:top w:val="single" w:sz="8" w:space="0" w:color="4F81BD"/>
              <w:bottom w:val="single" w:sz="8" w:space="0" w:color="4F81BD"/>
            </w:tcBorders>
          </w:tcPr>
          <w:p w14:paraId="06B74C48" w14:textId="77777777" w:rsidR="0083025B" w:rsidRDefault="0083025B" w:rsidP="00305B21">
            <w:pPr>
              <w:spacing w:after="120"/>
            </w:pPr>
            <w:r>
              <w:t>7%</w:t>
            </w:r>
          </w:p>
        </w:tc>
      </w:tr>
      <w:tr w:rsidR="0083025B" w:rsidRPr="00BC71AE" w14:paraId="5FEBF78F" w14:textId="77777777" w:rsidTr="00D27581">
        <w:tc>
          <w:tcPr>
            <w:tcW w:w="4503" w:type="dxa"/>
            <w:tcBorders>
              <w:top w:val="single" w:sz="8" w:space="0" w:color="4F81BD"/>
              <w:left w:val="single" w:sz="8" w:space="0" w:color="4F81BD"/>
              <w:bottom w:val="single" w:sz="8" w:space="0" w:color="4F81BD"/>
            </w:tcBorders>
            <w:shd w:val="clear" w:color="auto" w:fill="auto"/>
          </w:tcPr>
          <w:p w14:paraId="3EAF1197" w14:textId="77777777" w:rsidR="0083025B" w:rsidRPr="004C06A5" w:rsidRDefault="0083025B" w:rsidP="00305B21">
            <w:pPr>
              <w:spacing w:after="120"/>
              <w:rPr>
                <w:b/>
                <w:bCs/>
              </w:rPr>
            </w:pPr>
            <w:r>
              <w:rPr>
                <w:b/>
                <w:bCs/>
              </w:rPr>
              <w:t>Unemployed, Looking for Work</w:t>
            </w:r>
          </w:p>
        </w:tc>
        <w:tc>
          <w:tcPr>
            <w:tcW w:w="1842" w:type="dxa"/>
            <w:tcBorders>
              <w:top w:val="single" w:sz="8" w:space="0" w:color="4F81BD"/>
              <w:bottom w:val="single" w:sz="8" w:space="0" w:color="4F81BD"/>
            </w:tcBorders>
          </w:tcPr>
          <w:p w14:paraId="5D429F73" w14:textId="77777777" w:rsidR="0083025B" w:rsidRDefault="0083025B" w:rsidP="00305B21">
            <w:pPr>
              <w:spacing w:after="120"/>
            </w:pPr>
            <w:r>
              <w:t>15%</w:t>
            </w:r>
          </w:p>
        </w:tc>
      </w:tr>
      <w:tr w:rsidR="0083025B" w:rsidRPr="00BC71AE" w14:paraId="3B5B4A94" w14:textId="77777777" w:rsidTr="00D27581">
        <w:tc>
          <w:tcPr>
            <w:tcW w:w="4503" w:type="dxa"/>
            <w:tcBorders>
              <w:top w:val="single" w:sz="8" w:space="0" w:color="4F81BD"/>
              <w:left w:val="single" w:sz="8" w:space="0" w:color="4F81BD"/>
              <w:bottom w:val="single" w:sz="8" w:space="0" w:color="4F81BD"/>
            </w:tcBorders>
            <w:shd w:val="clear" w:color="auto" w:fill="auto"/>
          </w:tcPr>
          <w:p w14:paraId="7A8521A8" w14:textId="77777777" w:rsidR="0083025B" w:rsidRPr="004C06A5" w:rsidRDefault="0083025B" w:rsidP="00305B21">
            <w:pPr>
              <w:spacing w:after="120"/>
              <w:rPr>
                <w:b/>
                <w:bCs/>
              </w:rPr>
            </w:pPr>
            <w:r>
              <w:rPr>
                <w:b/>
                <w:bCs/>
              </w:rPr>
              <w:t>Retired</w:t>
            </w:r>
          </w:p>
        </w:tc>
        <w:tc>
          <w:tcPr>
            <w:tcW w:w="1842" w:type="dxa"/>
            <w:tcBorders>
              <w:top w:val="single" w:sz="8" w:space="0" w:color="4F81BD"/>
              <w:bottom w:val="single" w:sz="8" w:space="0" w:color="4F81BD"/>
            </w:tcBorders>
          </w:tcPr>
          <w:p w14:paraId="60691BC5" w14:textId="77777777" w:rsidR="0083025B" w:rsidRDefault="0083025B" w:rsidP="00305B21">
            <w:pPr>
              <w:spacing w:after="120"/>
            </w:pPr>
            <w:r>
              <w:t>13%</w:t>
            </w:r>
          </w:p>
        </w:tc>
      </w:tr>
      <w:tr w:rsidR="0083025B" w:rsidRPr="00BC71AE" w14:paraId="33042FDF" w14:textId="77777777" w:rsidTr="00D27581">
        <w:tc>
          <w:tcPr>
            <w:tcW w:w="4503" w:type="dxa"/>
            <w:tcBorders>
              <w:top w:val="single" w:sz="8" w:space="0" w:color="4F81BD"/>
              <w:left w:val="single" w:sz="8" w:space="0" w:color="4F81BD"/>
              <w:bottom w:val="single" w:sz="8" w:space="0" w:color="4F81BD"/>
            </w:tcBorders>
            <w:shd w:val="clear" w:color="auto" w:fill="auto"/>
          </w:tcPr>
          <w:p w14:paraId="3848ECD4" w14:textId="77777777" w:rsidR="0083025B" w:rsidRDefault="0083025B" w:rsidP="00305B21">
            <w:pPr>
              <w:spacing w:after="120"/>
              <w:rPr>
                <w:b/>
                <w:bCs/>
              </w:rPr>
            </w:pPr>
            <w:r>
              <w:rPr>
                <w:b/>
                <w:bCs/>
              </w:rPr>
              <w:t>Full-time Student or Apprentice</w:t>
            </w:r>
          </w:p>
        </w:tc>
        <w:tc>
          <w:tcPr>
            <w:tcW w:w="1842" w:type="dxa"/>
            <w:tcBorders>
              <w:top w:val="single" w:sz="8" w:space="0" w:color="4F81BD"/>
              <w:bottom w:val="single" w:sz="8" w:space="0" w:color="4F81BD"/>
            </w:tcBorders>
          </w:tcPr>
          <w:p w14:paraId="60B24B6B" w14:textId="77777777" w:rsidR="0083025B" w:rsidRDefault="0083025B" w:rsidP="00305B21">
            <w:pPr>
              <w:spacing w:after="120"/>
            </w:pPr>
            <w:r>
              <w:t>5%</w:t>
            </w:r>
          </w:p>
        </w:tc>
      </w:tr>
      <w:tr w:rsidR="0083025B" w:rsidRPr="00BC71AE" w14:paraId="4FF14A7A" w14:textId="77777777" w:rsidTr="00D27581">
        <w:tc>
          <w:tcPr>
            <w:tcW w:w="4503" w:type="dxa"/>
            <w:tcBorders>
              <w:top w:val="single" w:sz="8" w:space="0" w:color="4F81BD"/>
              <w:left w:val="single" w:sz="8" w:space="0" w:color="4F81BD"/>
              <w:bottom w:val="single" w:sz="8" w:space="0" w:color="4F81BD"/>
            </w:tcBorders>
            <w:shd w:val="clear" w:color="auto" w:fill="auto"/>
          </w:tcPr>
          <w:p w14:paraId="42AD5C59" w14:textId="77777777" w:rsidR="0083025B" w:rsidRDefault="0083025B" w:rsidP="00305B21">
            <w:pPr>
              <w:spacing w:after="120"/>
              <w:rPr>
                <w:b/>
                <w:bCs/>
              </w:rPr>
            </w:pPr>
            <w:r>
              <w:rPr>
                <w:b/>
                <w:bCs/>
              </w:rPr>
              <w:t>Not Working Because of Injury</w:t>
            </w:r>
          </w:p>
        </w:tc>
        <w:tc>
          <w:tcPr>
            <w:tcW w:w="1842" w:type="dxa"/>
            <w:tcBorders>
              <w:top w:val="single" w:sz="8" w:space="0" w:color="4F81BD"/>
              <w:bottom w:val="single" w:sz="8" w:space="0" w:color="4F81BD"/>
            </w:tcBorders>
          </w:tcPr>
          <w:p w14:paraId="0FBC901C" w14:textId="77777777" w:rsidR="0083025B" w:rsidRDefault="0083025B" w:rsidP="00305B21">
            <w:pPr>
              <w:spacing w:after="120"/>
            </w:pPr>
            <w:r>
              <w:t>7%</w:t>
            </w:r>
          </w:p>
        </w:tc>
      </w:tr>
      <w:tr w:rsidR="0083025B" w:rsidRPr="00BC71AE" w14:paraId="6C7E1049" w14:textId="77777777" w:rsidTr="00D27581">
        <w:tc>
          <w:tcPr>
            <w:tcW w:w="4503" w:type="dxa"/>
            <w:tcBorders>
              <w:top w:val="single" w:sz="8" w:space="0" w:color="4F81BD"/>
              <w:left w:val="single" w:sz="8" w:space="0" w:color="4F81BD"/>
              <w:bottom w:val="single" w:sz="8" w:space="0" w:color="4F81BD"/>
            </w:tcBorders>
            <w:shd w:val="clear" w:color="auto" w:fill="auto"/>
          </w:tcPr>
          <w:p w14:paraId="76C30F05" w14:textId="77777777" w:rsidR="0083025B" w:rsidRDefault="0083025B" w:rsidP="00305B21">
            <w:pPr>
              <w:spacing w:after="120"/>
              <w:rPr>
                <w:b/>
                <w:bCs/>
              </w:rPr>
            </w:pPr>
            <w:r>
              <w:rPr>
                <w:b/>
                <w:bCs/>
              </w:rPr>
              <w:t>Other</w:t>
            </w:r>
          </w:p>
        </w:tc>
        <w:tc>
          <w:tcPr>
            <w:tcW w:w="1842" w:type="dxa"/>
            <w:tcBorders>
              <w:top w:val="single" w:sz="8" w:space="0" w:color="4F81BD"/>
              <w:bottom w:val="single" w:sz="8" w:space="0" w:color="4F81BD"/>
            </w:tcBorders>
          </w:tcPr>
          <w:p w14:paraId="342437D1" w14:textId="77777777" w:rsidR="0083025B" w:rsidRDefault="0083025B" w:rsidP="00305B21">
            <w:pPr>
              <w:spacing w:after="120"/>
            </w:pPr>
            <w:r>
              <w:t>4%</w:t>
            </w:r>
          </w:p>
        </w:tc>
      </w:tr>
    </w:tbl>
    <w:p w14:paraId="3B43A5AC" w14:textId="77777777" w:rsidR="0083025B" w:rsidRDefault="0083025B" w:rsidP="00B721E6">
      <w:pPr>
        <w:rPr>
          <w:lang w:val="en-US" w:eastAsia="ja-JP"/>
        </w:rPr>
      </w:pPr>
    </w:p>
    <w:p w14:paraId="77B1FC97" w14:textId="3CE73ABA" w:rsidR="00275589" w:rsidRDefault="00275589" w:rsidP="00F5789A">
      <w:pPr>
        <w:pStyle w:val="Heading1"/>
        <w:rPr>
          <w:lang w:val="en-US" w:eastAsia="ja-JP"/>
        </w:rPr>
      </w:pPr>
      <w:bookmarkStart w:id="89" w:name="_Toc42719053"/>
      <w:r>
        <w:rPr>
          <w:lang w:val="en-US" w:eastAsia="ja-JP"/>
        </w:rPr>
        <w:lastRenderedPageBreak/>
        <w:t>Appendix 2: Summary of Interviewees</w:t>
      </w:r>
      <w:bookmarkEnd w:id="89"/>
    </w:p>
    <w:p w14:paraId="0DC4D634" w14:textId="164BD8A3" w:rsidR="00A8240E" w:rsidRDefault="002153AC" w:rsidP="00A8240E">
      <w:pPr>
        <w:rPr>
          <w:lang w:val="en-US" w:eastAsia="ja-JP"/>
        </w:rPr>
      </w:pPr>
      <w:r>
        <w:rPr>
          <w:lang w:val="en-US" w:eastAsia="ja-JP"/>
        </w:rPr>
        <w:t xml:space="preserve">The names of interviewees </w:t>
      </w:r>
      <w:r w:rsidR="00A25C41">
        <w:rPr>
          <w:lang w:val="en-US" w:eastAsia="ja-JP"/>
        </w:rPr>
        <w:t xml:space="preserve">here </w:t>
      </w:r>
      <w:r>
        <w:rPr>
          <w:lang w:val="en-US" w:eastAsia="ja-JP"/>
        </w:rPr>
        <w:t xml:space="preserve">are the ones used in the report, but </w:t>
      </w:r>
      <w:r w:rsidR="00A25C41">
        <w:rPr>
          <w:lang w:val="en-US" w:eastAsia="ja-JP"/>
        </w:rPr>
        <w:t xml:space="preserve">they </w:t>
      </w:r>
      <w:r>
        <w:rPr>
          <w:lang w:val="en-US" w:eastAsia="ja-JP"/>
        </w:rPr>
        <w:t>are not their real names.</w:t>
      </w:r>
    </w:p>
    <w:p w14:paraId="014ADF01" w14:textId="1F997B60" w:rsidR="002153AC" w:rsidRDefault="002153AC" w:rsidP="002153AC">
      <w:pPr>
        <w:pStyle w:val="Heading4"/>
        <w:rPr>
          <w:lang w:val="en-US" w:eastAsia="ja-JP"/>
        </w:rPr>
      </w:pPr>
      <w:r>
        <w:rPr>
          <w:lang w:val="en-US" w:eastAsia="ja-JP"/>
        </w:rPr>
        <w:t>ACT Interviewees</w:t>
      </w:r>
    </w:p>
    <w:p w14:paraId="5E1ED5AF" w14:textId="33A81AD9" w:rsidR="002153AC" w:rsidRDefault="002153AC" w:rsidP="002153AC">
      <w:pPr>
        <w:rPr>
          <w:lang w:val="en-US" w:eastAsia="ja-JP"/>
        </w:rPr>
      </w:pPr>
      <w:r>
        <w:rPr>
          <w:b/>
          <w:bCs/>
          <w:lang w:val="en-US" w:eastAsia="ja-JP"/>
        </w:rPr>
        <w:t>Barbara</w:t>
      </w:r>
      <w:r>
        <w:rPr>
          <w:lang w:val="en-US" w:eastAsia="ja-JP"/>
        </w:rPr>
        <w:t xml:space="preserve"> – Stay-at-home mother with 6 people in the household. Mortgagee, partner uses mobile phone and home internet for work, she uses Canberra Free </w:t>
      </w:r>
      <w:r w:rsidR="00FD3792">
        <w:rPr>
          <w:lang w:val="en-US" w:eastAsia="ja-JP"/>
        </w:rPr>
        <w:t>WiFi</w:t>
      </w:r>
      <w:r>
        <w:rPr>
          <w:lang w:val="en-US" w:eastAsia="ja-JP"/>
        </w:rPr>
        <w:t>.</w:t>
      </w:r>
    </w:p>
    <w:p w14:paraId="37E6B9D7" w14:textId="1ECF552C" w:rsidR="002153AC" w:rsidRDefault="002153AC" w:rsidP="002153AC">
      <w:pPr>
        <w:rPr>
          <w:lang w:val="en-US" w:eastAsia="ja-JP"/>
        </w:rPr>
      </w:pPr>
      <w:r>
        <w:rPr>
          <w:b/>
          <w:bCs/>
          <w:lang w:val="en-US" w:eastAsia="ja-JP"/>
        </w:rPr>
        <w:t>Toni</w:t>
      </w:r>
      <w:r>
        <w:rPr>
          <w:lang w:val="en-US" w:eastAsia="ja-JP"/>
        </w:rPr>
        <w:t xml:space="preserve"> – 31 year old domestic cleaner renting with 3 adults and two children. Variable income, uses pre-paid data which sometimes runs out.</w:t>
      </w:r>
    </w:p>
    <w:p w14:paraId="77DB7CB0" w14:textId="53250047" w:rsidR="002153AC" w:rsidRDefault="002153AC" w:rsidP="002153AC">
      <w:pPr>
        <w:rPr>
          <w:lang w:val="en-US" w:eastAsia="ja-JP"/>
        </w:rPr>
      </w:pPr>
      <w:r>
        <w:rPr>
          <w:b/>
          <w:bCs/>
          <w:lang w:val="en-US" w:eastAsia="ja-JP"/>
        </w:rPr>
        <w:t>Peter</w:t>
      </w:r>
      <w:r>
        <w:rPr>
          <w:lang w:val="en-US" w:eastAsia="ja-JP"/>
        </w:rPr>
        <w:t xml:space="preserve"> – 35 year old IT worker, formerly a delivery driver</w:t>
      </w:r>
      <w:r w:rsidR="007D2DCD">
        <w:rPr>
          <w:lang w:val="en-US" w:eastAsia="ja-JP"/>
        </w:rPr>
        <w:t xml:space="preserve"> where his phone was used for work</w:t>
      </w:r>
      <w:r>
        <w:rPr>
          <w:lang w:val="en-US" w:eastAsia="ja-JP"/>
        </w:rPr>
        <w:t xml:space="preserve">. </w:t>
      </w:r>
    </w:p>
    <w:p w14:paraId="1A50A725" w14:textId="56D6A796" w:rsidR="002153AC" w:rsidRDefault="002153AC" w:rsidP="002153AC">
      <w:pPr>
        <w:rPr>
          <w:lang w:val="en-US" w:eastAsia="ja-JP"/>
        </w:rPr>
      </w:pPr>
      <w:r>
        <w:rPr>
          <w:b/>
          <w:bCs/>
          <w:lang w:val="en-US" w:eastAsia="ja-JP"/>
        </w:rPr>
        <w:t>Alison</w:t>
      </w:r>
      <w:r>
        <w:rPr>
          <w:lang w:val="en-US" w:eastAsia="ja-JP"/>
        </w:rPr>
        <w:t xml:space="preserve"> – 43 year old photographer, homeowner with 4 grown children at home.</w:t>
      </w:r>
      <w:r w:rsidR="007D2DCD">
        <w:rPr>
          <w:lang w:val="en-US" w:eastAsia="ja-JP"/>
        </w:rPr>
        <w:t xml:space="preserve"> Can access internet at work, but also uses personal phone for work.</w:t>
      </w:r>
    </w:p>
    <w:p w14:paraId="03E81AD5" w14:textId="20D0E1D7" w:rsidR="007D2DCD" w:rsidRDefault="007D2DCD" w:rsidP="002153AC">
      <w:pPr>
        <w:rPr>
          <w:lang w:val="en-US" w:eastAsia="ja-JP"/>
        </w:rPr>
      </w:pPr>
      <w:r>
        <w:rPr>
          <w:b/>
          <w:bCs/>
          <w:lang w:val="en-US" w:eastAsia="ja-JP"/>
        </w:rPr>
        <w:t>Anne</w:t>
      </w:r>
      <w:r>
        <w:rPr>
          <w:lang w:val="en-US" w:eastAsia="ja-JP"/>
        </w:rPr>
        <w:t xml:space="preserve"> – casual worker doing odd jobs and private cleaning and cooking. Uses post-paid phone and has NBN, but uses library for printing documents.</w:t>
      </w:r>
    </w:p>
    <w:p w14:paraId="0874AE94" w14:textId="7E335A4E" w:rsidR="007D2DCD" w:rsidRDefault="007D2DCD" w:rsidP="002153AC">
      <w:pPr>
        <w:rPr>
          <w:lang w:val="en-US" w:eastAsia="ja-JP"/>
        </w:rPr>
      </w:pPr>
      <w:r>
        <w:rPr>
          <w:b/>
          <w:bCs/>
          <w:lang w:val="en-US" w:eastAsia="ja-JP"/>
        </w:rPr>
        <w:t>Lena</w:t>
      </w:r>
      <w:r>
        <w:rPr>
          <w:lang w:val="en-US" w:eastAsia="ja-JP"/>
        </w:rPr>
        <w:t xml:space="preserve"> – nurse on short-term contract, also doing casual aged-care work, and uses her own devices for work research.</w:t>
      </w:r>
    </w:p>
    <w:p w14:paraId="131C4BFD" w14:textId="1AF83FCC" w:rsidR="007D2DCD" w:rsidRDefault="007D2DCD" w:rsidP="002153AC">
      <w:pPr>
        <w:rPr>
          <w:lang w:val="en-US" w:eastAsia="ja-JP"/>
        </w:rPr>
      </w:pPr>
      <w:r>
        <w:rPr>
          <w:b/>
          <w:bCs/>
          <w:lang w:val="en-US" w:eastAsia="ja-JP"/>
        </w:rPr>
        <w:t>Sue</w:t>
      </w:r>
      <w:r>
        <w:rPr>
          <w:lang w:val="en-US" w:eastAsia="ja-JP"/>
        </w:rPr>
        <w:t xml:space="preserve"> – single mother doing casual retail work, but work limited by childcare and payments. Has high rent costs making budget difficult, and uses her phone for work.</w:t>
      </w:r>
    </w:p>
    <w:p w14:paraId="40B44881" w14:textId="76F05E7C" w:rsidR="007D2DCD" w:rsidRPr="007D2DCD" w:rsidRDefault="007D2DCD" w:rsidP="002153AC">
      <w:pPr>
        <w:rPr>
          <w:lang w:val="en-US" w:eastAsia="ja-JP"/>
        </w:rPr>
      </w:pPr>
      <w:r>
        <w:rPr>
          <w:b/>
          <w:bCs/>
          <w:lang w:val="en-US" w:eastAsia="ja-JP"/>
        </w:rPr>
        <w:t>Catherine</w:t>
      </w:r>
      <w:r>
        <w:rPr>
          <w:lang w:val="en-US" w:eastAsia="ja-JP"/>
        </w:rPr>
        <w:t xml:space="preserve"> – 43 year old casual home and community care worker. Paying off a mortgage and lives with 3 adults and 3 children. Work provides a mobile phone, but she also has her own prepaid phone (as do her children).</w:t>
      </w:r>
    </w:p>
    <w:p w14:paraId="0DC806F4" w14:textId="2736A053" w:rsidR="002153AC" w:rsidRDefault="002153AC" w:rsidP="002153AC">
      <w:pPr>
        <w:pStyle w:val="Heading4"/>
        <w:rPr>
          <w:lang w:val="en-US" w:eastAsia="ja-JP"/>
        </w:rPr>
      </w:pPr>
      <w:r>
        <w:rPr>
          <w:lang w:val="en-US" w:eastAsia="ja-JP"/>
        </w:rPr>
        <w:t>South Australian Interviewees</w:t>
      </w:r>
    </w:p>
    <w:p w14:paraId="75B16545" w14:textId="4368E5A3" w:rsidR="007D2DCD" w:rsidRDefault="007D2DCD" w:rsidP="007D2DCD">
      <w:pPr>
        <w:rPr>
          <w:lang w:val="en-US" w:eastAsia="ja-JP"/>
        </w:rPr>
      </w:pPr>
      <w:r>
        <w:rPr>
          <w:b/>
          <w:bCs/>
          <w:lang w:val="en-US" w:eastAsia="ja-JP"/>
        </w:rPr>
        <w:t>Stephen</w:t>
      </w:r>
      <w:r>
        <w:rPr>
          <w:lang w:val="en-US" w:eastAsia="ja-JP"/>
        </w:rPr>
        <w:t xml:space="preserve"> – single parent and casual delivery driver. Had prepaid mobile only with heavy usage for gaming – varying with changing income. Recently got</w:t>
      </w:r>
      <w:r w:rsidR="00F93B31">
        <w:rPr>
          <w:lang w:val="en-US" w:eastAsia="ja-JP"/>
        </w:rPr>
        <w:t xml:space="preserve"> the</w:t>
      </w:r>
      <w:r>
        <w:rPr>
          <w:lang w:val="en-US" w:eastAsia="ja-JP"/>
        </w:rPr>
        <w:t xml:space="preserve"> NBN.</w:t>
      </w:r>
    </w:p>
    <w:p w14:paraId="716160CA" w14:textId="05667F76" w:rsidR="007D2DCD" w:rsidRDefault="007D2DCD" w:rsidP="007D2DCD">
      <w:pPr>
        <w:rPr>
          <w:lang w:val="en-US" w:eastAsia="ja-JP"/>
        </w:rPr>
      </w:pPr>
      <w:r>
        <w:rPr>
          <w:b/>
          <w:bCs/>
          <w:lang w:val="en-US" w:eastAsia="ja-JP"/>
        </w:rPr>
        <w:t>Usman</w:t>
      </w:r>
      <w:r>
        <w:rPr>
          <w:lang w:val="en-US" w:eastAsia="ja-JP"/>
        </w:rPr>
        <w:t xml:space="preserve"> – works part-time for a telecommunications retailer.</w:t>
      </w:r>
      <w:r w:rsidR="007A351A">
        <w:rPr>
          <w:lang w:val="en-US" w:eastAsia="ja-JP"/>
        </w:rPr>
        <w:t xml:space="preserve"> Lives with partner, and they have NBN and postpaid mobiles.</w:t>
      </w:r>
    </w:p>
    <w:p w14:paraId="48348558" w14:textId="41CB5BEA" w:rsidR="007A351A" w:rsidRDefault="007A351A" w:rsidP="007D2DCD">
      <w:pPr>
        <w:rPr>
          <w:lang w:val="en-US" w:eastAsia="ja-JP"/>
        </w:rPr>
      </w:pPr>
      <w:r>
        <w:rPr>
          <w:b/>
          <w:bCs/>
          <w:lang w:val="en-US" w:eastAsia="ja-JP"/>
        </w:rPr>
        <w:t>Yasmin</w:t>
      </w:r>
      <w:r>
        <w:rPr>
          <w:lang w:val="en-US" w:eastAsia="ja-JP"/>
        </w:rPr>
        <w:t xml:space="preserve"> – 23 year-old permanent resident, stay-at-home mother living with partner and young child, and self-employed with a phone-based selling business. Uses pre-paid mobile data, but low data usage with no streaming services.</w:t>
      </w:r>
    </w:p>
    <w:p w14:paraId="3191F32E" w14:textId="529510C6" w:rsidR="007A351A" w:rsidRDefault="007A351A" w:rsidP="007D2DCD">
      <w:pPr>
        <w:rPr>
          <w:lang w:val="en-US" w:eastAsia="ja-JP"/>
        </w:rPr>
      </w:pPr>
      <w:r>
        <w:rPr>
          <w:b/>
          <w:bCs/>
          <w:lang w:val="en-US" w:eastAsia="ja-JP"/>
        </w:rPr>
        <w:t>Chris</w:t>
      </w:r>
      <w:r>
        <w:rPr>
          <w:lang w:val="en-US" w:eastAsia="ja-JP"/>
        </w:rPr>
        <w:t xml:space="preserve"> – 27 year old stay-at-home partner, with no children. Renting and uses NBN and mobile services, finding them easy to pay on regular basis.</w:t>
      </w:r>
    </w:p>
    <w:p w14:paraId="3BB16B80" w14:textId="574AE4C5" w:rsidR="007A351A" w:rsidRDefault="007A351A" w:rsidP="007D2DCD">
      <w:pPr>
        <w:rPr>
          <w:lang w:val="en-US" w:eastAsia="ja-JP"/>
        </w:rPr>
      </w:pPr>
      <w:r>
        <w:rPr>
          <w:b/>
          <w:bCs/>
          <w:lang w:val="en-US" w:eastAsia="ja-JP"/>
        </w:rPr>
        <w:t>Brian</w:t>
      </w:r>
      <w:r>
        <w:rPr>
          <w:lang w:val="en-US" w:eastAsia="ja-JP"/>
        </w:rPr>
        <w:t xml:space="preserve"> – university student doing work placement and sharing rental house with hospitality workers. They have a lot of devices between 4 people, but largely paid for separately meaning he has high costs. Housemate uses pre-paid to limit costs, but often runs out of credit.</w:t>
      </w:r>
    </w:p>
    <w:p w14:paraId="6F374E61" w14:textId="06CFA473" w:rsidR="007A351A" w:rsidRDefault="007A351A" w:rsidP="007D2DCD">
      <w:pPr>
        <w:rPr>
          <w:lang w:val="en-US" w:eastAsia="ja-JP"/>
        </w:rPr>
      </w:pPr>
      <w:r>
        <w:rPr>
          <w:b/>
          <w:bCs/>
          <w:lang w:val="en-US" w:eastAsia="ja-JP"/>
        </w:rPr>
        <w:lastRenderedPageBreak/>
        <w:t>Jo</w:t>
      </w:r>
      <w:r>
        <w:rPr>
          <w:lang w:val="en-US" w:eastAsia="ja-JP"/>
        </w:rPr>
        <w:t xml:space="preserve"> – lives with partner (retired) and owns own home. Does childcare contracting there and has NBN and postpaid mobiles, and uses these for work purposes.</w:t>
      </w:r>
    </w:p>
    <w:p w14:paraId="66E47B29" w14:textId="463D0E3C" w:rsidR="007A351A" w:rsidRDefault="007A351A" w:rsidP="007D2DCD">
      <w:pPr>
        <w:rPr>
          <w:lang w:val="en-US" w:eastAsia="ja-JP"/>
        </w:rPr>
      </w:pPr>
      <w:r>
        <w:rPr>
          <w:b/>
          <w:bCs/>
          <w:lang w:val="en-US" w:eastAsia="ja-JP"/>
        </w:rPr>
        <w:t>Daniel</w:t>
      </w:r>
      <w:r>
        <w:rPr>
          <w:lang w:val="en-US" w:eastAsia="ja-JP"/>
        </w:rPr>
        <w:t xml:space="preserve"> – formerly a chef, now an Uber driver while studying at university</w:t>
      </w:r>
      <w:r w:rsidR="00102F91">
        <w:rPr>
          <w:lang w:val="en-US" w:eastAsia="ja-JP"/>
        </w:rPr>
        <w:t xml:space="preserve">. Has a wife and 3 children, and no money for “luxuries” like Netflix. Uses public </w:t>
      </w:r>
      <w:r w:rsidR="00FD3792">
        <w:rPr>
          <w:lang w:val="en-US" w:eastAsia="ja-JP"/>
        </w:rPr>
        <w:t>WiFi</w:t>
      </w:r>
      <w:r w:rsidR="00102F91">
        <w:rPr>
          <w:lang w:val="en-US" w:eastAsia="ja-JP"/>
        </w:rPr>
        <w:t xml:space="preserve"> and finds telecommunications bill manageable.</w:t>
      </w:r>
    </w:p>
    <w:p w14:paraId="660A8AD9" w14:textId="2261AB3F" w:rsidR="00102F91" w:rsidRPr="00102F91" w:rsidRDefault="00102F91" w:rsidP="007D2DCD">
      <w:pPr>
        <w:rPr>
          <w:lang w:val="en-US" w:eastAsia="ja-JP"/>
        </w:rPr>
      </w:pPr>
      <w:r>
        <w:rPr>
          <w:b/>
          <w:bCs/>
          <w:lang w:val="en-US" w:eastAsia="ja-JP"/>
        </w:rPr>
        <w:t>Abbey</w:t>
      </w:r>
      <w:r>
        <w:rPr>
          <w:lang w:val="en-US" w:eastAsia="ja-JP"/>
        </w:rPr>
        <w:t xml:space="preserve"> – 32 year-old widow living with extended family – 9 people with lots of devices. Is using an old prepaid mobile and goes to community centre and library for </w:t>
      </w:r>
      <w:r w:rsidR="00FD3792">
        <w:rPr>
          <w:lang w:val="en-US" w:eastAsia="ja-JP"/>
        </w:rPr>
        <w:t>WiFi</w:t>
      </w:r>
      <w:r>
        <w:rPr>
          <w:lang w:val="en-US" w:eastAsia="ja-JP"/>
        </w:rPr>
        <w:t xml:space="preserve"> and computers.</w:t>
      </w:r>
    </w:p>
    <w:p w14:paraId="4D9DDCC9" w14:textId="1F591322" w:rsidR="002153AC" w:rsidRDefault="002153AC" w:rsidP="002153AC">
      <w:pPr>
        <w:pStyle w:val="Heading4"/>
        <w:rPr>
          <w:lang w:val="en-US" w:eastAsia="ja-JP"/>
        </w:rPr>
      </w:pPr>
      <w:r>
        <w:rPr>
          <w:lang w:val="en-US" w:eastAsia="ja-JP"/>
        </w:rPr>
        <w:t>Tasmanian Interviewees</w:t>
      </w:r>
    </w:p>
    <w:p w14:paraId="373FCBDB" w14:textId="077405E5" w:rsidR="00F74ECF" w:rsidRDefault="00F74ECF" w:rsidP="00F74ECF">
      <w:pPr>
        <w:rPr>
          <w:lang w:val="en-US" w:eastAsia="ja-JP"/>
        </w:rPr>
      </w:pPr>
      <w:r>
        <w:rPr>
          <w:b/>
          <w:bCs/>
          <w:lang w:val="en-US" w:eastAsia="ja-JP"/>
        </w:rPr>
        <w:t>Ben</w:t>
      </w:r>
      <w:r>
        <w:rPr>
          <w:lang w:val="en-US" w:eastAsia="ja-JP"/>
        </w:rPr>
        <w:t xml:space="preserve"> – aged 22 and never been employed. Lives with his father in public housing who pays for NBN, phone and laptop. He is studying at TAFE, and says that being on a really low income forced him to be more thorough in researching telecommunications offers.</w:t>
      </w:r>
    </w:p>
    <w:p w14:paraId="0912D871" w14:textId="6D601671" w:rsidR="00F74ECF" w:rsidRDefault="00F74ECF" w:rsidP="00F74ECF">
      <w:pPr>
        <w:rPr>
          <w:lang w:val="en-US" w:eastAsia="ja-JP"/>
        </w:rPr>
      </w:pPr>
      <w:r>
        <w:rPr>
          <w:b/>
          <w:bCs/>
          <w:lang w:val="en-US" w:eastAsia="ja-JP"/>
        </w:rPr>
        <w:t>Ken</w:t>
      </w:r>
      <w:r>
        <w:rPr>
          <w:lang w:val="en-US" w:eastAsia="ja-JP"/>
        </w:rPr>
        <w:t xml:space="preserve"> – 22 year old living with parents in family home. Often uses public </w:t>
      </w:r>
      <w:r w:rsidR="00FD3792">
        <w:rPr>
          <w:lang w:val="en-US" w:eastAsia="ja-JP"/>
        </w:rPr>
        <w:t>WiFi</w:t>
      </w:r>
      <w:r>
        <w:rPr>
          <w:lang w:val="en-US" w:eastAsia="ja-JP"/>
        </w:rPr>
        <w:t>, but says 20% of his data goes on job-searching.</w:t>
      </w:r>
    </w:p>
    <w:p w14:paraId="3E75A710" w14:textId="1F9B99BF" w:rsidR="00F74ECF" w:rsidRDefault="00F74ECF" w:rsidP="00F74ECF">
      <w:pPr>
        <w:rPr>
          <w:lang w:val="en-US" w:eastAsia="ja-JP"/>
        </w:rPr>
      </w:pPr>
      <w:r>
        <w:rPr>
          <w:b/>
          <w:bCs/>
          <w:lang w:val="en-US" w:eastAsia="ja-JP"/>
        </w:rPr>
        <w:t>Allana</w:t>
      </w:r>
      <w:r>
        <w:rPr>
          <w:lang w:val="en-US" w:eastAsia="ja-JP"/>
        </w:rPr>
        <w:t xml:space="preserve"> – home duties with 3 children. Household has NBN and her partner does work from home, she uses </w:t>
      </w:r>
      <w:r w:rsidR="004347E4">
        <w:rPr>
          <w:lang w:val="en-US" w:eastAsia="ja-JP"/>
        </w:rPr>
        <w:t xml:space="preserve">public </w:t>
      </w:r>
      <w:r w:rsidR="00FD3792">
        <w:rPr>
          <w:lang w:val="en-US" w:eastAsia="ja-JP"/>
        </w:rPr>
        <w:t>WiFi</w:t>
      </w:r>
      <w:r w:rsidR="004347E4">
        <w:rPr>
          <w:lang w:val="en-US" w:eastAsia="ja-JP"/>
        </w:rPr>
        <w:t xml:space="preserve"> and library regularly.</w:t>
      </w:r>
    </w:p>
    <w:p w14:paraId="60EBE499" w14:textId="764E5A7E" w:rsidR="004347E4" w:rsidRDefault="004347E4" w:rsidP="00F74ECF">
      <w:pPr>
        <w:rPr>
          <w:lang w:val="en-US" w:eastAsia="ja-JP"/>
        </w:rPr>
      </w:pPr>
      <w:r>
        <w:rPr>
          <w:b/>
          <w:bCs/>
          <w:lang w:val="en-US" w:eastAsia="ja-JP"/>
        </w:rPr>
        <w:t>Gary</w:t>
      </w:r>
      <w:r>
        <w:rPr>
          <w:lang w:val="en-US" w:eastAsia="ja-JP"/>
        </w:rPr>
        <w:t xml:space="preserve"> – home duties with partner working in administration and a daughter living at home. He has trouble accessing public </w:t>
      </w:r>
      <w:r w:rsidR="00FD3792">
        <w:rPr>
          <w:lang w:val="en-US" w:eastAsia="ja-JP"/>
        </w:rPr>
        <w:t>WiFi</w:t>
      </w:r>
      <w:r>
        <w:rPr>
          <w:lang w:val="en-US" w:eastAsia="ja-JP"/>
        </w:rPr>
        <w:t xml:space="preserve"> and home data use dominated by partner when she works from home.</w:t>
      </w:r>
    </w:p>
    <w:p w14:paraId="599D94F6" w14:textId="542D1BFE" w:rsidR="004347E4" w:rsidRDefault="004347E4" w:rsidP="00F74ECF">
      <w:pPr>
        <w:rPr>
          <w:lang w:val="en-US" w:eastAsia="ja-JP"/>
        </w:rPr>
      </w:pPr>
      <w:r>
        <w:rPr>
          <w:b/>
          <w:bCs/>
          <w:lang w:val="en-US" w:eastAsia="ja-JP"/>
        </w:rPr>
        <w:t>Kay</w:t>
      </w:r>
      <w:r>
        <w:rPr>
          <w:lang w:val="en-US" w:eastAsia="ja-JP"/>
        </w:rPr>
        <w:t xml:space="preserve"> – 20 year old nursing student living with parents and 3 siblings. She was doing casual disability support work (until it was cut). Her mobile has unlimited data, but with variable income she has had to go to family to help pay bills.</w:t>
      </w:r>
    </w:p>
    <w:p w14:paraId="6197AF26" w14:textId="45728B28" w:rsidR="004347E4" w:rsidRDefault="004347E4" w:rsidP="00F74ECF">
      <w:pPr>
        <w:rPr>
          <w:lang w:val="en-US" w:eastAsia="ja-JP"/>
        </w:rPr>
      </w:pPr>
      <w:r>
        <w:rPr>
          <w:b/>
          <w:bCs/>
          <w:lang w:val="en-US" w:eastAsia="ja-JP"/>
        </w:rPr>
        <w:t>Ariel</w:t>
      </w:r>
      <w:r>
        <w:rPr>
          <w:lang w:val="en-US" w:eastAsia="ja-JP"/>
        </w:rPr>
        <w:t xml:space="preserve"> – Living in a rented apartment with two children, she is a PhD student and casual academic researcher who has been the major breadwinner until partner recently got a job. Despite working from home, she is mobile hotspotting because she doesn’t want two plans.</w:t>
      </w:r>
    </w:p>
    <w:p w14:paraId="53302F0B" w14:textId="08A612A3" w:rsidR="004347E4" w:rsidRDefault="004347E4" w:rsidP="00F74ECF">
      <w:pPr>
        <w:rPr>
          <w:lang w:val="en-US" w:eastAsia="ja-JP"/>
        </w:rPr>
      </w:pPr>
      <w:r>
        <w:rPr>
          <w:b/>
          <w:bCs/>
          <w:lang w:val="en-US" w:eastAsia="ja-JP"/>
        </w:rPr>
        <w:t xml:space="preserve">Nina </w:t>
      </w:r>
      <w:r>
        <w:rPr>
          <w:lang w:val="en-US" w:eastAsia="ja-JP"/>
        </w:rPr>
        <w:t xml:space="preserve">– living on disability pension with working husband and 18 year </w:t>
      </w:r>
      <w:r w:rsidR="004E7064">
        <w:rPr>
          <w:lang w:val="en-US" w:eastAsia="ja-JP"/>
        </w:rPr>
        <w:t xml:space="preserve">old </w:t>
      </w:r>
      <w:r>
        <w:rPr>
          <w:lang w:val="en-US" w:eastAsia="ja-JP"/>
        </w:rPr>
        <w:t>son at home</w:t>
      </w:r>
      <w:r w:rsidR="00DD0B83">
        <w:rPr>
          <w:lang w:val="en-US" w:eastAsia="ja-JP"/>
        </w:rPr>
        <w:t xml:space="preserve"> – making for </w:t>
      </w:r>
      <w:r w:rsidR="004E7064">
        <w:rPr>
          <w:lang w:val="en-US" w:eastAsia="ja-JP"/>
        </w:rPr>
        <w:t xml:space="preserve">a </w:t>
      </w:r>
      <w:r w:rsidR="00DD0B83">
        <w:rPr>
          <w:lang w:val="en-US" w:eastAsia="ja-JP"/>
        </w:rPr>
        <w:t>big family telecommunications bill (inc</w:t>
      </w:r>
      <w:r w:rsidR="004E7064">
        <w:rPr>
          <w:lang w:val="en-US" w:eastAsia="ja-JP"/>
        </w:rPr>
        <w:t>l.</w:t>
      </w:r>
      <w:r w:rsidR="00DD0B83">
        <w:rPr>
          <w:lang w:val="en-US" w:eastAsia="ja-JP"/>
        </w:rPr>
        <w:t xml:space="preserve"> NBN, Netflix)</w:t>
      </w:r>
      <w:r>
        <w:rPr>
          <w:lang w:val="en-US" w:eastAsia="ja-JP"/>
        </w:rPr>
        <w:t xml:space="preserve">. </w:t>
      </w:r>
      <w:r w:rsidR="00DD0B83">
        <w:rPr>
          <w:lang w:val="en-US" w:eastAsia="ja-JP"/>
        </w:rPr>
        <w:t>Phone bill is often overdue, but always paid.</w:t>
      </w:r>
    </w:p>
    <w:p w14:paraId="6EC92610" w14:textId="041FE567" w:rsidR="00DD0B83" w:rsidRPr="00DD0B83" w:rsidRDefault="00DD0B83" w:rsidP="00F74ECF">
      <w:pPr>
        <w:rPr>
          <w:lang w:val="en-US" w:eastAsia="ja-JP"/>
        </w:rPr>
      </w:pPr>
      <w:r>
        <w:rPr>
          <w:b/>
          <w:bCs/>
          <w:lang w:val="en-US" w:eastAsia="ja-JP"/>
        </w:rPr>
        <w:t>Sarah</w:t>
      </w:r>
      <w:r>
        <w:rPr>
          <w:lang w:val="en-US" w:eastAsia="ja-JP"/>
        </w:rPr>
        <w:t xml:space="preserve"> – working in a corporate office</w:t>
      </w:r>
      <w:r w:rsidR="004E7064">
        <w:rPr>
          <w:lang w:val="en-US" w:eastAsia="ja-JP"/>
        </w:rPr>
        <w:t xml:space="preserve"> </w:t>
      </w:r>
      <w:r>
        <w:rPr>
          <w:lang w:val="en-US" w:eastAsia="ja-JP"/>
        </w:rPr>
        <w:t>and caring for husband with disability and two children. Has had trouble paying bills and gone to</w:t>
      </w:r>
      <w:r w:rsidR="00D4023A">
        <w:rPr>
          <w:lang w:val="en-US" w:eastAsia="ja-JP"/>
        </w:rPr>
        <w:t xml:space="preserve"> the</w:t>
      </w:r>
      <w:r>
        <w:rPr>
          <w:lang w:val="en-US" w:eastAsia="ja-JP"/>
        </w:rPr>
        <w:t xml:space="preserve"> retailer</w:t>
      </w:r>
      <w:r w:rsidR="00D4023A">
        <w:rPr>
          <w:lang w:val="en-US" w:eastAsia="ja-JP"/>
        </w:rPr>
        <w:t xml:space="preserve"> </w:t>
      </w:r>
      <w:r>
        <w:rPr>
          <w:lang w:val="en-US" w:eastAsia="ja-JP"/>
        </w:rPr>
        <w:t>but would like more flexibility in plan.</w:t>
      </w:r>
    </w:p>
    <w:p w14:paraId="2D3799B8" w14:textId="09FCC1B0" w:rsidR="00F5789A" w:rsidRDefault="00F5789A" w:rsidP="00F5789A">
      <w:pPr>
        <w:pStyle w:val="Heading1"/>
        <w:rPr>
          <w:lang w:val="en-US" w:eastAsia="ja-JP"/>
        </w:rPr>
      </w:pPr>
      <w:bookmarkStart w:id="90" w:name="_Toc42719054"/>
      <w:r>
        <w:rPr>
          <w:lang w:val="en-US" w:eastAsia="ja-JP"/>
        </w:rPr>
        <w:lastRenderedPageBreak/>
        <w:t xml:space="preserve">Appendix </w:t>
      </w:r>
      <w:r w:rsidR="00275589">
        <w:rPr>
          <w:lang w:val="en-US" w:eastAsia="ja-JP"/>
        </w:rPr>
        <w:t>3</w:t>
      </w:r>
      <w:r>
        <w:rPr>
          <w:lang w:val="en-US" w:eastAsia="ja-JP"/>
        </w:rPr>
        <w:t>: Stakeholder Roundtable Parti</w:t>
      </w:r>
      <w:r w:rsidR="00A8240E">
        <w:rPr>
          <w:lang w:val="en-US" w:eastAsia="ja-JP"/>
        </w:rPr>
        <w:t>cipants</w:t>
      </w:r>
      <w:bookmarkEnd w:id="90"/>
    </w:p>
    <w:p w14:paraId="4910E057" w14:textId="3C6B7EA2" w:rsidR="00802E65" w:rsidRDefault="00A8240E" w:rsidP="00B721E6">
      <w:pPr>
        <w:rPr>
          <w:lang w:val="en-US" w:eastAsia="ja-JP"/>
        </w:rPr>
      </w:pPr>
      <w:r>
        <w:rPr>
          <w:lang w:val="en-US" w:eastAsia="ja-JP"/>
        </w:rPr>
        <w:t>The Stakeholder Roundtable was held by videoconference on Friday 22 May 2020. Attending were representatives of the following organisations:</w:t>
      </w:r>
    </w:p>
    <w:p w14:paraId="02E5D23D" w14:textId="68D1D576" w:rsidR="00A8240E" w:rsidRDefault="00A8240E" w:rsidP="00A8240E">
      <w:pPr>
        <w:pStyle w:val="Heading4"/>
        <w:rPr>
          <w:lang w:val="en-US" w:eastAsia="ja-JP"/>
        </w:rPr>
      </w:pPr>
      <w:r>
        <w:rPr>
          <w:lang w:val="en-US" w:eastAsia="ja-JP"/>
        </w:rPr>
        <w:t>Collaborating Partners</w:t>
      </w:r>
    </w:p>
    <w:p w14:paraId="54F6F71E" w14:textId="362F7673" w:rsidR="00A8240E" w:rsidRDefault="00A8240E" w:rsidP="00A8240E">
      <w:pPr>
        <w:rPr>
          <w:lang w:val="en-US" w:eastAsia="ja-JP"/>
        </w:rPr>
      </w:pPr>
      <w:r>
        <w:rPr>
          <w:lang w:val="en-US" w:eastAsia="ja-JP"/>
        </w:rPr>
        <w:t xml:space="preserve">ACCAN – Australian Communications </w:t>
      </w:r>
      <w:r w:rsidR="003F15D2">
        <w:rPr>
          <w:lang w:val="en-US" w:eastAsia="ja-JP"/>
        </w:rPr>
        <w:t xml:space="preserve">Consumer </w:t>
      </w:r>
      <w:r>
        <w:rPr>
          <w:lang w:val="en-US" w:eastAsia="ja-JP"/>
        </w:rPr>
        <w:t>Action Network</w:t>
      </w:r>
    </w:p>
    <w:p w14:paraId="04F70967" w14:textId="7920D251" w:rsidR="00A8240E" w:rsidRDefault="00A8240E" w:rsidP="00A8240E">
      <w:pPr>
        <w:rPr>
          <w:lang w:val="en-US" w:eastAsia="ja-JP"/>
        </w:rPr>
      </w:pPr>
      <w:r>
        <w:rPr>
          <w:lang w:val="en-US" w:eastAsia="ja-JP"/>
        </w:rPr>
        <w:t>ACOSS – Australian Council of Social Service</w:t>
      </w:r>
    </w:p>
    <w:p w14:paraId="7B31563F" w14:textId="4C2AB783" w:rsidR="00A8240E" w:rsidRDefault="00A8240E" w:rsidP="00A8240E">
      <w:pPr>
        <w:rPr>
          <w:lang w:val="en-US" w:eastAsia="ja-JP"/>
        </w:rPr>
      </w:pPr>
      <w:r>
        <w:rPr>
          <w:lang w:val="en-US" w:eastAsia="ja-JP"/>
        </w:rPr>
        <w:t>ACTCOSS – Australian Capital Territory Council of Social Service</w:t>
      </w:r>
    </w:p>
    <w:p w14:paraId="1DCEEA25" w14:textId="4578FF77" w:rsidR="00A8240E" w:rsidRDefault="00A8240E" w:rsidP="00A8240E">
      <w:pPr>
        <w:rPr>
          <w:lang w:val="en-US" w:eastAsia="ja-JP"/>
        </w:rPr>
      </w:pPr>
      <w:r>
        <w:rPr>
          <w:lang w:val="en-US" w:eastAsia="ja-JP"/>
        </w:rPr>
        <w:t>SACOSS – South Australian Council of Social Service</w:t>
      </w:r>
    </w:p>
    <w:p w14:paraId="4DED4CE6" w14:textId="43B71B07" w:rsidR="00A8240E" w:rsidRPr="00A8240E" w:rsidRDefault="00A8240E" w:rsidP="00A8240E">
      <w:pPr>
        <w:rPr>
          <w:lang w:val="en-US" w:eastAsia="ja-JP"/>
        </w:rPr>
      </w:pPr>
      <w:r>
        <w:rPr>
          <w:lang w:val="en-US" w:eastAsia="ja-JP"/>
        </w:rPr>
        <w:t>TasCOSS – Tasmanian Council of Social Service</w:t>
      </w:r>
    </w:p>
    <w:p w14:paraId="09B4131E" w14:textId="565159C4" w:rsidR="00A8240E" w:rsidRDefault="00A8240E" w:rsidP="00A8240E">
      <w:pPr>
        <w:pStyle w:val="Heading4"/>
        <w:rPr>
          <w:lang w:val="en-US" w:eastAsia="ja-JP"/>
        </w:rPr>
      </w:pPr>
      <w:r>
        <w:rPr>
          <w:lang w:val="en-US" w:eastAsia="ja-JP"/>
        </w:rPr>
        <w:t>Telecommunication</w:t>
      </w:r>
      <w:r w:rsidR="00D4023A">
        <w:rPr>
          <w:lang w:val="en-US" w:eastAsia="ja-JP"/>
        </w:rPr>
        <w:t>s</w:t>
      </w:r>
      <w:r>
        <w:rPr>
          <w:lang w:val="en-US" w:eastAsia="ja-JP"/>
        </w:rPr>
        <w:t xml:space="preserve"> Retailers</w:t>
      </w:r>
    </w:p>
    <w:p w14:paraId="76931C2C" w14:textId="6A7D0E07" w:rsidR="00A8240E" w:rsidRDefault="00A8240E" w:rsidP="00A8240E">
      <w:pPr>
        <w:rPr>
          <w:lang w:val="en-US" w:eastAsia="ja-JP"/>
        </w:rPr>
      </w:pPr>
      <w:r>
        <w:rPr>
          <w:lang w:val="en-US" w:eastAsia="ja-JP"/>
        </w:rPr>
        <w:t>Amaysi</w:t>
      </w:r>
      <w:r w:rsidR="003F15D2">
        <w:rPr>
          <w:lang w:val="en-US" w:eastAsia="ja-JP"/>
        </w:rPr>
        <w:t>m</w:t>
      </w:r>
    </w:p>
    <w:p w14:paraId="71CCE452" w14:textId="6C98CC6C" w:rsidR="00A8240E" w:rsidRDefault="00A8240E" w:rsidP="00A8240E">
      <w:pPr>
        <w:rPr>
          <w:lang w:val="en-US" w:eastAsia="ja-JP"/>
        </w:rPr>
      </w:pPr>
      <w:r>
        <w:rPr>
          <w:lang w:val="en-US" w:eastAsia="ja-JP"/>
        </w:rPr>
        <w:t>Aussie Broadband</w:t>
      </w:r>
    </w:p>
    <w:p w14:paraId="6E37176A" w14:textId="04ACBC9F" w:rsidR="00A8240E" w:rsidRDefault="00A8240E" w:rsidP="00A8240E">
      <w:pPr>
        <w:rPr>
          <w:lang w:val="en-US" w:eastAsia="ja-JP"/>
        </w:rPr>
      </w:pPr>
      <w:r>
        <w:rPr>
          <w:lang w:val="en-US" w:eastAsia="ja-JP"/>
        </w:rPr>
        <w:t>Optus</w:t>
      </w:r>
    </w:p>
    <w:p w14:paraId="63DBFB0B" w14:textId="50E4A267" w:rsidR="00A8240E" w:rsidRPr="00A8240E" w:rsidRDefault="00A8240E" w:rsidP="00A8240E">
      <w:pPr>
        <w:rPr>
          <w:lang w:val="en-US" w:eastAsia="ja-JP"/>
        </w:rPr>
      </w:pPr>
      <w:r>
        <w:rPr>
          <w:lang w:val="en-US" w:eastAsia="ja-JP"/>
        </w:rPr>
        <w:t>Telstra</w:t>
      </w:r>
    </w:p>
    <w:p w14:paraId="5F7782F3" w14:textId="2E56814A" w:rsidR="00A8240E" w:rsidRDefault="00A8240E" w:rsidP="00A8240E">
      <w:pPr>
        <w:pStyle w:val="Heading4"/>
        <w:rPr>
          <w:lang w:val="en-US" w:eastAsia="ja-JP"/>
        </w:rPr>
      </w:pPr>
      <w:r>
        <w:rPr>
          <w:lang w:val="en-US" w:eastAsia="ja-JP"/>
        </w:rPr>
        <w:t>Community Groups</w:t>
      </w:r>
    </w:p>
    <w:p w14:paraId="47AAB60B" w14:textId="1FBD7BCC" w:rsidR="00A8240E" w:rsidRDefault="00A8240E" w:rsidP="00A8240E">
      <w:pPr>
        <w:rPr>
          <w:lang w:val="en-US" w:eastAsia="ja-JP"/>
        </w:rPr>
      </w:pPr>
      <w:r>
        <w:rPr>
          <w:lang w:val="en-US" w:eastAsia="ja-JP"/>
        </w:rPr>
        <w:t>Financial Counsellors Australia</w:t>
      </w:r>
    </w:p>
    <w:p w14:paraId="4342F2F0" w14:textId="2C63A04C" w:rsidR="00A8240E" w:rsidRDefault="00A8240E" w:rsidP="00A8240E">
      <w:pPr>
        <w:rPr>
          <w:lang w:val="en-US" w:eastAsia="ja-JP"/>
        </w:rPr>
      </w:pPr>
      <w:r>
        <w:rPr>
          <w:lang w:val="en-US" w:eastAsia="ja-JP"/>
        </w:rPr>
        <w:t>Infoxchange</w:t>
      </w:r>
    </w:p>
    <w:p w14:paraId="0509512A" w14:textId="1C324B26" w:rsidR="00A8240E" w:rsidRPr="00A8240E" w:rsidRDefault="00A8240E" w:rsidP="00A8240E">
      <w:pPr>
        <w:rPr>
          <w:lang w:val="en-US" w:eastAsia="ja-JP"/>
        </w:rPr>
      </w:pPr>
      <w:r>
        <w:rPr>
          <w:lang w:val="en-US" w:eastAsia="ja-JP"/>
        </w:rPr>
        <w:t>Working Women’s Centre</w:t>
      </w:r>
    </w:p>
    <w:p w14:paraId="54AEE99A" w14:textId="43C12589" w:rsidR="00A8240E" w:rsidRDefault="00A8240E" w:rsidP="00A8240E">
      <w:pPr>
        <w:pStyle w:val="Heading4"/>
        <w:rPr>
          <w:lang w:val="en-US" w:eastAsia="ja-JP"/>
        </w:rPr>
      </w:pPr>
      <w:r>
        <w:rPr>
          <w:lang w:val="en-US" w:eastAsia="ja-JP"/>
        </w:rPr>
        <w:t>Others</w:t>
      </w:r>
    </w:p>
    <w:p w14:paraId="5544A61D" w14:textId="63C9D348" w:rsidR="00A8240E" w:rsidRDefault="00A8240E" w:rsidP="00A8240E">
      <w:pPr>
        <w:rPr>
          <w:lang w:val="en-US" w:eastAsia="ja-JP"/>
        </w:rPr>
      </w:pPr>
      <w:r>
        <w:rPr>
          <w:lang w:val="en-US" w:eastAsia="ja-JP"/>
        </w:rPr>
        <w:t>ACMA – The Australian Communications and Media Authority</w:t>
      </w:r>
    </w:p>
    <w:p w14:paraId="50BB5B2E" w14:textId="4D33ABE7" w:rsidR="00A8240E" w:rsidRDefault="00A8240E" w:rsidP="00A8240E">
      <w:pPr>
        <w:rPr>
          <w:lang w:val="en-US" w:eastAsia="ja-JP"/>
        </w:rPr>
      </w:pPr>
      <w:r>
        <w:rPr>
          <w:lang w:val="en-US" w:eastAsia="ja-JP"/>
        </w:rPr>
        <w:t>Communications Alliance</w:t>
      </w:r>
    </w:p>
    <w:p w14:paraId="52568F6A" w14:textId="1128D744" w:rsidR="00A8240E" w:rsidRPr="00A8240E" w:rsidRDefault="00A8240E" w:rsidP="00A8240E">
      <w:pPr>
        <w:rPr>
          <w:lang w:val="en-US" w:eastAsia="ja-JP"/>
        </w:rPr>
      </w:pPr>
      <w:r>
        <w:rPr>
          <w:lang w:val="en-US" w:eastAsia="ja-JP"/>
        </w:rPr>
        <w:t>NBN Co.</w:t>
      </w:r>
    </w:p>
    <w:p w14:paraId="29EDA06F" w14:textId="77777777" w:rsidR="00A8240E" w:rsidRPr="00A8240E" w:rsidRDefault="00A8240E" w:rsidP="00A8240E">
      <w:pPr>
        <w:rPr>
          <w:lang w:val="en-US" w:eastAsia="ja-JP"/>
        </w:rPr>
      </w:pPr>
    </w:p>
    <w:p w14:paraId="6C1EAB1B" w14:textId="77777777" w:rsidR="004822C2" w:rsidRDefault="004822C2" w:rsidP="00DD6F0E">
      <w:pPr>
        <w:pStyle w:val="Heading1"/>
        <w:rPr>
          <w:lang w:val="en-US" w:eastAsia="ja-JP"/>
        </w:rPr>
      </w:pPr>
      <w:bookmarkStart w:id="91" w:name="_Toc42719055"/>
      <w:r>
        <w:rPr>
          <w:lang w:val="en-US" w:eastAsia="ja-JP"/>
        </w:rPr>
        <w:t>References</w:t>
      </w:r>
      <w:bookmarkEnd w:id="91"/>
    </w:p>
    <w:p w14:paraId="722887D3" w14:textId="77777777" w:rsidR="00387202" w:rsidRPr="00387202" w:rsidRDefault="00C86152" w:rsidP="00AA4F5E">
      <w:pPr>
        <w:pStyle w:val="Bibliography"/>
        <w:spacing w:after="120"/>
        <w:rPr>
          <w:rFonts w:cs="Calibri"/>
        </w:rPr>
      </w:pPr>
      <w:r>
        <w:fldChar w:fldCharType="begin"/>
      </w:r>
      <w:r>
        <w:instrText xml:space="preserve"> ADDIN ZOTERO_BIBL {"uncited":[],"omitted":[],"custom":[]} CSL_BIBLIOGRAPHY </w:instrText>
      </w:r>
      <w:r>
        <w:fldChar w:fldCharType="separate"/>
      </w:r>
      <w:r w:rsidR="00387202" w:rsidRPr="00387202">
        <w:rPr>
          <w:rFonts w:cs="Calibri"/>
        </w:rPr>
        <w:t>ABS, 2018. 8146.0 Household Use of Information Technology, Australia, 2016-17. Australian Bureau of Statistics.</w:t>
      </w:r>
    </w:p>
    <w:p w14:paraId="17EF96FA" w14:textId="77777777" w:rsidR="00387202" w:rsidRPr="00387202" w:rsidRDefault="00387202" w:rsidP="00AA4F5E">
      <w:pPr>
        <w:pStyle w:val="Bibliography"/>
        <w:spacing w:after="120"/>
        <w:rPr>
          <w:rFonts w:cs="Calibri"/>
        </w:rPr>
      </w:pPr>
      <w:r w:rsidRPr="00387202">
        <w:rPr>
          <w:rFonts w:cs="Calibri"/>
        </w:rPr>
        <w:t>ABS, 2017a. 6530.0 - Household Expenditure Survey, Australia: 2015-16. Australian Bureau of Statistics.</w:t>
      </w:r>
    </w:p>
    <w:p w14:paraId="5D7FA8E5" w14:textId="77777777" w:rsidR="00387202" w:rsidRPr="00387202" w:rsidRDefault="00387202" w:rsidP="00AA4F5E">
      <w:pPr>
        <w:pStyle w:val="Bibliography"/>
        <w:spacing w:after="120"/>
        <w:rPr>
          <w:rFonts w:cs="Calibri"/>
        </w:rPr>
      </w:pPr>
      <w:r w:rsidRPr="00387202">
        <w:rPr>
          <w:rFonts w:cs="Calibri"/>
        </w:rPr>
        <w:t>ABS, 2017b. 6523.0 - Household Income and Wealth, Australia: 2015-16. Australian Bureau of Statistics.</w:t>
      </w:r>
    </w:p>
    <w:p w14:paraId="057F3C40" w14:textId="77777777" w:rsidR="00387202" w:rsidRPr="00387202" w:rsidRDefault="00387202" w:rsidP="00AA4F5E">
      <w:pPr>
        <w:pStyle w:val="Bibliography"/>
        <w:spacing w:after="120"/>
        <w:rPr>
          <w:rFonts w:cs="Calibri"/>
        </w:rPr>
      </w:pPr>
      <w:r w:rsidRPr="00387202">
        <w:rPr>
          <w:rFonts w:cs="Calibri"/>
        </w:rPr>
        <w:t>ACCAN, 2020. No Australian Left Offline: A Roadmap to Affordable Home Broadband for All [WWW Document]. Aust. Commun. Consum. Action Netw. URL https://accan.org.au/no-australian-left-offline (accessed 5.31.20).</w:t>
      </w:r>
    </w:p>
    <w:p w14:paraId="7D371BAB" w14:textId="77777777" w:rsidR="00387202" w:rsidRPr="00387202" w:rsidRDefault="00387202" w:rsidP="00AA4F5E">
      <w:pPr>
        <w:pStyle w:val="Bibliography"/>
        <w:spacing w:after="120"/>
        <w:rPr>
          <w:rFonts w:cs="Calibri"/>
        </w:rPr>
      </w:pPr>
      <w:r w:rsidRPr="00387202">
        <w:rPr>
          <w:rFonts w:cs="Calibri"/>
        </w:rPr>
        <w:t>ACMA, 2020. Customer Financial Hardship in the Telco Industry: State of Play Report 2018-19. Australian Communications and Media Authority.</w:t>
      </w:r>
    </w:p>
    <w:p w14:paraId="462D66B5" w14:textId="77777777" w:rsidR="00387202" w:rsidRPr="00387202" w:rsidRDefault="00387202" w:rsidP="00AA4F5E">
      <w:pPr>
        <w:pStyle w:val="Bibliography"/>
        <w:spacing w:after="120"/>
        <w:rPr>
          <w:rFonts w:cs="Calibri"/>
        </w:rPr>
      </w:pPr>
      <w:r w:rsidRPr="00387202">
        <w:rPr>
          <w:rFonts w:cs="Calibri"/>
        </w:rPr>
        <w:t>ACOSS, 2020. About the Campaign [WWW Document]. Raise Rate. URL https://raisetherate.org.au/about/#:~:text=About%20the%20campaign,income%20of%20%24500%20per%20week. (accessed 10.6.20).</w:t>
      </w:r>
    </w:p>
    <w:p w14:paraId="56CA03B2" w14:textId="77777777" w:rsidR="00387202" w:rsidRPr="00387202" w:rsidRDefault="00387202" w:rsidP="00AA4F5E">
      <w:pPr>
        <w:pStyle w:val="Bibliography"/>
        <w:spacing w:after="120"/>
        <w:rPr>
          <w:rFonts w:cs="Calibri"/>
        </w:rPr>
      </w:pPr>
      <w:r w:rsidRPr="00387202">
        <w:rPr>
          <w:rFonts w:cs="Calibri"/>
        </w:rPr>
        <w:t>ACOSS, 2019. Budget Priorities Statement: 2020-21. Australian Council of Social Service.</w:t>
      </w:r>
    </w:p>
    <w:p w14:paraId="1EFCAA9E" w14:textId="77777777" w:rsidR="00387202" w:rsidRPr="00387202" w:rsidRDefault="00387202" w:rsidP="00AA4F5E">
      <w:pPr>
        <w:pStyle w:val="Bibliography"/>
        <w:spacing w:after="120"/>
        <w:rPr>
          <w:rFonts w:cs="Calibri"/>
        </w:rPr>
      </w:pPr>
      <w:r w:rsidRPr="00387202">
        <w:rPr>
          <w:rFonts w:cs="Calibri"/>
        </w:rPr>
        <w:t>BCAR, 2020. Affordability of Communications Services for Low Income Households (Working Paper). Bureau of Communications and Arts Research, Australian Government.</w:t>
      </w:r>
    </w:p>
    <w:p w14:paraId="5E2A38E7" w14:textId="77777777" w:rsidR="00387202" w:rsidRPr="00387202" w:rsidRDefault="00387202" w:rsidP="00AA4F5E">
      <w:pPr>
        <w:pStyle w:val="Bibliography"/>
        <w:spacing w:after="120"/>
        <w:rPr>
          <w:rFonts w:cs="Calibri"/>
        </w:rPr>
      </w:pPr>
      <w:r w:rsidRPr="00387202">
        <w:rPr>
          <w:rFonts w:cs="Calibri"/>
        </w:rPr>
        <w:t>BCAR, 2017. Trends and drivers in the affordability of communications services for Australian households (Working Paper). Bureau of Communications and Arts Research, Australian Government.</w:t>
      </w:r>
    </w:p>
    <w:p w14:paraId="14D5D707" w14:textId="77777777" w:rsidR="00387202" w:rsidRPr="00387202" w:rsidRDefault="00387202" w:rsidP="00AA4F5E">
      <w:pPr>
        <w:pStyle w:val="Bibliography"/>
        <w:spacing w:after="120"/>
        <w:rPr>
          <w:rFonts w:cs="Calibri"/>
        </w:rPr>
      </w:pPr>
      <w:r w:rsidRPr="00387202">
        <w:rPr>
          <w:rFonts w:cs="Calibri"/>
        </w:rPr>
        <w:t>Campbell, C., 2020. SA schools’ online learning set-ups to highlight internet and technology access disparities. ABC News.</w:t>
      </w:r>
    </w:p>
    <w:p w14:paraId="6AA6EA9A" w14:textId="77777777" w:rsidR="00387202" w:rsidRPr="00387202" w:rsidRDefault="00387202" w:rsidP="00AA4F5E">
      <w:pPr>
        <w:pStyle w:val="Bibliography"/>
        <w:spacing w:after="120"/>
        <w:rPr>
          <w:rFonts w:cs="Calibri"/>
        </w:rPr>
      </w:pPr>
      <w:r w:rsidRPr="00387202">
        <w:rPr>
          <w:rFonts w:cs="Calibri"/>
        </w:rPr>
        <w:t>Communications Alliance, 2019. Telecommunciations Consumer Protections Code: C628: 2019.</w:t>
      </w:r>
    </w:p>
    <w:p w14:paraId="20830597" w14:textId="77777777" w:rsidR="00387202" w:rsidRPr="00387202" w:rsidRDefault="00387202" w:rsidP="00AA4F5E">
      <w:pPr>
        <w:pStyle w:val="Bibliography"/>
        <w:spacing w:after="120"/>
        <w:rPr>
          <w:rFonts w:cs="Calibri"/>
        </w:rPr>
      </w:pPr>
      <w:r w:rsidRPr="00387202">
        <w:rPr>
          <w:rFonts w:cs="Calibri"/>
        </w:rPr>
        <w:t>Davidson, P., Bradbury, B., Wong, M., 2018. Poverty in Australia, 2018 (No. 2), ACOSS/UNSW Poverty and Inequality Partnership Report. Australian Council of Social Service, Sydney.</w:t>
      </w:r>
    </w:p>
    <w:p w14:paraId="5D7A3E0E" w14:textId="77777777" w:rsidR="00387202" w:rsidRPr="00387202" w:rsidRDefault="00387202" w:rsidP="00AA4F5E">
      <w:pPr>
        <w:pStyle w:val="Bibliography"/>
        <w:spacing w:after="120"/>
        <w:rPr>
          <w:rFonts w:cs="Calibri"/>
        </w:rPr>
      </w:pPr>
      <w:r w:rsidRPr="00387202">
        <w:rPr>
          <w:rFonts w:cs="Calibri"/>
        </w:rPr>
        <w:t>Davidson, P., Bradbury, B., Wong, M., Hill, T., 2020. Poverty in Australia, 2020: Part 2: Who is affected? (No. 2), ACOSS/UNSW Poverty and Inequality Partnership Report. Australian Council of Social Service, Sydney.</w:t>
      </w:r>
    </w:p>
    <w:p w14:paraId="35AB94E0" w14:textId="77777777" w:rsidR="00387202" w:rsidRPr="00387202" w:rsidRDefault="00387202" w:rsidP="00AA4F5E">
      <w:pPr>
        <w:pStyle w:val="Bibliography"/>
        <w:spacing w:after="120"/>
        <w:rPr>
          <w:rFonts w:cs="Calibri"/>
        </w:rPr>
      </w:pPr>
      <w:r w:rsidRPr="00387202">
        <w:rPr>
          <w:rFonts w:cs="Calibri"/>
        </w:rPr>
        <w:t>FWC, 2020a. Social, Community, Home Care and Disability Service Industry Award, 2010.</w:t>
      </w:r>
    </w:p>
    <w:p w14:paraId="127B1D89" w14:textId="77777777" w:rsidR="00387202" w:rsidRPr="00387202" w:rsidRDefault="00387202" w:rsidP="00AA4F5E">
      <w:pPr>
        <w:pStyle w:val="Bibliography"/>
        <w:spacing w:after="120"/>
        <w:rPr>
          <w:rFonts w:cs="Calibri"/>
        </w:rPr>
      </w:pPr>
      <w:r w:rsidRPr="00387202">
        <w:rPr>
          <w:rFonts w:cs="Calibri"/>
        </w:rPr>
        <w:t>FWC, 2020b. Hospitality Industry (General) Award 2020.</w:t>
      </w:r>
    </w:p>
    <w:p w14:paraId="1828C12D" w14:textId="77777777" w:rsidR="00387202" w:rsidRPr="00387202" w:rsidRDefault="00387202" w:rsidP="00AA4F5E">
      <w:pPr>
        <w:pStyle w:val="Bibliography"/>
        <w:spacing w:after="120"/>
        <w:rPr>
          <w:rFonts w:cs="Calibri"/>
        </w:rPr>
      </w:pPr>
      <w:r w:rsidRPr="00387202">
        <w:rPr>
          <w:rFonts w:cs="Calibri"/>
        </w:rPr>
        <w:t>FWC, 2020c. General Retail Industry Award 2010.</w:t>
      </w:r>
    </w:p>
    <w:p w14:paraId="6E879BDC" w14:textId="77777777" w:rsidR="00387202" w:rsidRPr="00387202" w:rsidRDefault="00387202" w:rsidP="00AA4F5E">
      <w:pPr>
        <w:pStyle w:val="Bibliography"/>
        <w:spacing w:after="120"/>
        <w:rPr>
          <w:rFonts w:cs="Calibri"/>
        </w:rPr>
      </w:pPr>
      <w:r w:rsidRPr="00387202">
        <w:rPr>
          <w:rFonts w:cs="Calibri"/>
        </w:rPr>
        <w:t>Greenbank, A., Marciniak, C., 2020. Principal say her school was forgotten during the coronavirus lockdown. ABC News.</w:t>
      </w:r>
    </w:p>
    <w:p w14:paraId="63732FD2" w14:textId="77777777" w:rsidR="00387202" w:rsidRPr="00387202" w:rsidRDefault="00387202" w:rsidP="00AA4F5E">
      <w:pPr>
        <w:pStyle w:val="Bibliography"/>
        <w:spacing w:after="120"/>
        <w:rPr>
          <w:rFonts w:cs="Calibri"/>
        </w:rPr>
      </w:pPr>
      <w:r w:rsidRPr="00387202">
        <w:rPr>
          <w:rFonts w:cs="Calibri"/>
        </w:rPr>
        <w:t>Law, R., Ogle, G., Foley, K., 2019. Working to Make Ends Meet: Low-income Workers and Energy Bill Stress. South Australian Council of Social Service, Adelaide.</w:t>
      </w:r>
    </w:p>
    <w:p w14:paraId="54FE7084" w14:textId="77777777" w:rsidR="00387202" w:rsidRPr="00387202" w:rsidRDefault="00387202" w:rsidP="00AA4F5E">
      <w:pPr>
        <w:pStyle w:val="Bibliography"/>
        <w:spacing w:after="120"/>
        <w:rPr>
          <w:rFonts w:cs="Calibri"/>
        </w:rPr>
      </w:pPr>
      <w:r w:rsidRPr="00387202">
        <w:rPr>
          <w:rFonts w:cs="Calibri"/>
        </w:rPr>
        <w:t>MyBudget - Debt Solutions [WWW Document], 2019. . My Budg. URL https://www.mybudget.com.au/debt-solutions/get-out-of-debt/ (accessed 4.6.20).</w:t>
      </w:r>
    </w:p>
    <w:p w14:paraId="402F6101" w14:textId="77777777" w:rsidR="00387202" w:rsidRPr="00387202" w:rsidRDefault="00387202" w:rsidP="00AA4F5E">
      <w:pPr>
        <w:pStyle w:val="Bibliography"/>
        <w:spacing w:after="120"/>
        <w:rPr>
          <w:rFonts w:cs="Calibri"/>
        </w:rPr>
      </w:pPr>
      <w:r w:rsidRPr="00387202">
        <w:rPr>
          <w:rFonts w:cs="Calibri"/>
        </w:rPr>
        <w:t>MyBudget - How It Works [WWW Document], 2019. . My Budg. URL https://www.mybudget.com.au/how-does-it-work/ (accessed 4.6.20).</w:t>
      </w:r>
    </w:p>
    <w:p w14:paraId="74A93029" w14:textId="77777777" w:rsidR="00387202" w:rsidRPr="00387202" w:rsidRDefault="00387202" w:rsidP="00AA4F5E">
      <w:pPr>
        <w:pStyle w:val="Bibliography"/>
        <w:spacing w:after="120"/>
        <w:rPr>
          <w:rFonts w:cs="Calibri"/>
        </w:rPr>
      </w:pPr>
      <w:r w:rsidRPr="00387202">
        <w:rPr>
          <w:rFonts w:cs="Calibri"/>
        </w:rPr>
        <w:t>Nance, A., 2013. Relative energy poverty in Australia.</w:t>
      </w:r>
    </w:p>
    <w:p w14:paraId="19A99C11" w14:textId="77777777" w:rsidR="00387202" w:rsidRPr="00387202" w:rsidRDefault="00387202" w:rsidP="00AA4F5E">
      <w:pPr>
        <w:pStyle w:val="Bibliography"/>
        <w:spacing w:after="120"/>
        <w:rPr>
          <w:rFonts w:cs="Calibri"/>
        </w:rPr>
      </w:pPr>
      <w:r w:rsidRPr="00387202">
        <w:rPr>
          <w:rFonts w:cs="Calibri"/>
        </w:rPr>
        <w:t>NBN, 2020. NBN Co creates $150 million COVID-19 relief and assistance package [WWW Document]. URL https://www.nbnco.com.au/corporate-information/media-centre/media-statements/nbn-co-creates-covid-19-relief-and-assistance-package (accessed 4.17.20).</w:t>
      </w:r>
    </w:p>
    <w:p w14:paraId="1AD505BB" w14:textId="77777777" w:rsidR="00387202" w:rsidRPr="00387202" w:rsidRDefault="00387202" w:rsidP="00AA4F5E">
      <w:pPr>
        <w:pStyle w:val="Bibliography"/>
        <w:spacing w:after="120"/>
        <w:rPr>
          <w:rFonts w:cs="Calibri"/>
        </w:rPr>
      </w:pPr>
      <w:r w:rsidRPr="00387202">
        <w:rPr>
          <w:rFonts w:cs="Calibri"/>
        </w:rPr>
        <w:t>NCOSS, 2019. The Cost of Staying Connected: Telecommunications Findings from the 2019 Cost of Living in NSW Survey. NSW Council of Social Service.</w:t>
      </w:r>
    </w:p>
    <w:p w14:paraId="79498A55" w14:textId="77777777" w:rsidR="00387202" w:rsidRPr="00387202" w:rsidRDefault="00387202" w:rsidP="00AA4F5E">
      <w:pPr>
        <w:pStyle w:val="Bibliography"/>
        <w:spacing w:after="120"/>
        <w:rPr>
          <w:rFonts w:cs="Calibri"/>
        </w:rPr>
      </w:pPr>
      <w:r w:rsidRPr="00387202">
        <w:rPr>
          <w:rFonts w:cs="Calibri"/>
        </w:rPr>
        <w:t>Ogle, G., 2017. Telecommunications Expenditure in Australia (Fact Sheet). Australian Communications Consumer Action Network, Sydney.</w:t>
      </w:r>
    </w:p>
    <w:p w14:paraId="154CCFF3" w14:textId="77777777" w:rsidR="00387202" w:rsidRPr="00387202" w:rsidRDefault="00387202" w:rsidP="00AA4F5E">
      <w:pPr>
        <w:pStyle w:val="Bibliography"/>
        <w:spacing w:after="120"/>
        <w:rPr>
          <w:rFonts w:cs="Calibri"/>
        </w:rPr>
      </w:pPr>
      <w:r w:rsidRPr="00387202">
        <w:rPr>
          <w:rFonts w:cs="Calibri"/>
        </w:rPr>
        <w:t>Ogle, G., Musolino, V., 2016. Connectivity Costs: Telecommunications Affordability for Low Income Australians. South Australian Council of Social Service, Adelaide.</w:t>
      </w:r>
    </w:p>
    <w:p w14:paraId="3ED25480" w14:textId="77777777" w:rsidR="00387202" w:rsidRPr="00387202" w:rsidRDefault="00387202" w:rsidP="00AA4F5E">
      <w:pPr>
        <w:pStyle w:val="Bibliography"/>
        <w:spacing w:after="120"/>
        <w:rPr>
          <w:rFonts w:cs="Calibri"/>
        </w:rPr>
      </w:pPr>
      <w:r w:rsidRPr="00387202">
        <w:rPr>
          <w:rFonts w:cs="Calibri"/>
        </w:rPr>
        <w:t>Payne, A., 2009. Working poor in Australia: An analysis among households in which a member is employed. Fam. Matters 81.</w:t>
      </w:r>
    </w:p>
    <w:p w14:paraId="26008752" w14:textId="77777777" w:rsidR="00387202" w:rsidRPr="00387202" w:rsidRDefault="00387202" w:rsidP="00AA4F5E">
      <w:pPr>
        <w:pStyle w:val="Bibliography"/>
        <w:spacing w:after="120"/>
        <w:rPr>
          <w:rFonts w:cs="Calibri"/>
        </w:rPr>
      </w:pPr>
      <w:r w:rsidRPr="00387202">
        <w:rPr>
          <w:rFonts w:cs="Calibri"/>
        </w:rPr>
        <w:t>Pennington, A., Stanford, J., 2020. Working from Home: Opportunities and Risks (Briefing Paper). The Australia Institute: Centre for Future Work.</w:t>
      </w:r>
    </w:p>
    <w:p w14:paraId="7D541FF0" w14:textId="77777777" w:rsidR="00387202" w:rsidRPr="00387202" w:rsidRDefault="00387202" w:rsidP="00AA4F5E">
      <w:pPr>
        <w:pStyle w:val="Bibliography"/>
        <w:spacing w:after="120"/>
        <w:rPr>
          <w:rFonts w:cs="Calibri"/>
        </w:rPr>
      </w:pPr>
      <w:r w:rsidRPr="00387202">
        <w:rPr>
          <w:rFonts w:cs="Calibri"/>
        </w:rPr>
        <w:t>SACOSS, 2020. Cost of Living Update: December Qtr 2019 (No. 41). South Australian Council of Social Service.</w:t>
      </w:r>
    </w:p>
    <w:p w14:paraId="1F5A4183" w14:textId="77777777" w:rsidR="00387202" w:rsidRPr="00387202" w:rsidRDefault="00387202" w:rsidP="00AA4F5E">
      <w:pPr>
        <w:pStyle w:val="Bibliography"/>
        <w:spacing w:after="120"/>
        <w:rPr>
          <w:rFonts w:cs="Calibri"/>
        </w:rPr>
      </w:pPr>
      <w:r w:rsidRPr="00387202">
        <w:rPr>
          <w:rFonts w:cs="Calibri"/>
        </w:rPr>
        <w:t>SACOSS, 2018. Cost of Living Update: December Qtr 2017 (No. 33). South Australian Council of Social Service, Adelaide.</w:t>
      </w:r>
    </w:p>
    <w:p w14:paraId="648FF3DD" w14:textId="77777777" w:rsidR="00387202" w:rsidRPr="00387202" w:rsidRDefault="00387202" w:rsidP="00AA4F5E">
      <w:pPr>
        <w:pStyle w:val="Bibliography"/>
        <w:spacing w:after="120"/>
        <w:rPr>
          <w:rFonts w:cs="Calibri"/>
        </w:rPr>
      </w:pPr>
      <w:r w:rsidRPr="00387202">
        <w:rPr>
          <w:rFonts w:cs="Calibri"/>
        </w:rPr>
        <w:t>TCP, 2020. Thriving Communities Parternship - About Us [WWW Document]. Thriving Communities Partnersh. URL https://thriving.org.au/about-tcp (accessed 5.31.20).</w:t>
      </w:r>
    </w:p>
    <w:p w14:paraId="018B44BF" w14:textId="77777777" w:rsidR="00387202" w:rsidRPr="00387202" w:rsidRDefault="00387202" w:rsidP="00AA4F5E">
      <w:pPr>
        <w:pStyle w:val="Bibliography"/>
        <w:spacing w:after="120"/>
        <w:rPr>
          <w:rFonts w:cs="Calibri"/>
        </w:rPr>
      </w:pPr>
      <w:r w:rsidRPr="00387202">
        <w:rPr>
          <w:rFonts w:cs="Calibri"/>
        </w:rPr>
        <w:t>Thomas, J., Barraket, J., Wilson, C., Rennie, E., Ewing, S., MacDonald, T., 2019. Measuring Australia’s Digital Divide: The Australian Digital Inclusion Index 2019. RMIT University and Swinburne Institute of Technology, for Telstra, Melbourne.</w:t>
      </w:r>
    </w:p>
    <w:p w14:paraId="56D91699" w14:textId="77777777" w:rsidR="00387202" w:rsidRPr="00387202" w:rsidRDefault="00387202" w:rsidP="00AA4F5E">
      <w:pPr>
        <w:pStyle w:val="Bibliography"/>
        <w:spacing w:after="120"/>
        <w:rPr>
          <w:rFonts w:cs="Calibri"/>
        </w:rPr>
      </w:pPr>
      <w:r w:rsidRPr="00387202">
        <w:rPr>
          <w:rFonts w:cs="Calibri"/>
        </w:rPr>
        <w:t>TSF, 2020a. COVID-19 Insights Snapshot: The Challenges of Surviving COVID-19 in Australia’s Hardest Hit Communities. The Smith Family.</w:t>
      </w:r>
    </w:p>
    <w:p w14:paraId="6144C2CC" w14:textId="77777777" w:rsidR="00387202" w:rsidRPr="00387202" w:rsidRDefault="00387202" w:rsidP="00AA4F5E">
      <w:pPr>
        <w:pStyle w:val="Bibliography"/>
        <w:spacing w:after="120"/>
        <w:rPr>
          <w:rFonts w:cs="Calibri"/>
        </w:rPr>
      </w:pPr>
      <w:r w:rsidRPr="00387202">
        <w:rPr>
          <w:rFonts w:cs="Calibri"/>
        </w:rPr>
        <w:t>TSF, 2020b. Digital Access: Internet and Devices for Learning at Home [WWW Document]. Smith Fam. URL https://www.thesmithfamily.com.au/programs/technology/digital-access</w:t>
      </w:r>
    </w:p>
    <w:p w14:paraId="25F201E6" w14:textId="77777777" w:rsidR="00387202" w:rsidRPr="00387202" w:rsidRDefault="00387202" w:rsidP="00AA4F5E">
      <w:pPr>
        <w:pStyle w:val="Bibliography"/>
        <w:spacing w:after="120"/>
        <w:rPr>
          <w:rFonts w:cs="Calibri"/>
        </w:rPr>
      </w:pPr>
      <w:r w:rsidRPr="00387202">
        <w:rPr>
          <w:rFonts w:cs="Calibri"/>
        </w:rPr>
        <w:t>Wallace, A., 2013. Cut Off III: The Social Impact of Utility Disconnection. Public Interest Advocacy Centre, Sydney.</w:t>
      </w:r>
    </w:p>
    <w:p w14:paraId="503F9CB6" w14:textId="77777777" w:rsidR="00387202" w:rsidRPr="00387202" w:rsidRDefault="00387202" w:rsidP="00AA4F5E">
      <w:pPr>
        <w:pStyle w:val="Bibliography"/>
        <w:spacing w:after="120"/>
        <w:rPr>
          <w:rFonts w:cs="Calibri"/>
        </w:rPr>
      </w:pPr>
      <w:r w:rsidRPr="00387202">
        <w:rPr>
          <w:rFonts w:cs="Calibri"/>
        </w:rPr>
        <w:t>Wikipedia - My Budget [WWW Document], 2019. . Wikipedia. URL https://en.wikipedia.org/wiki/MyBudget (accessed 4.6.20).</w:t>
      </w:r>
    </w:p>
    <w:p w14:paraId="4CC9F3D8" w14:textId="168F9BB9" w:rsidR="00B05832" w:rsidRDefault="00C86152" w:rsidP="00AA4F5E">
      <w:pPr>
        <w:spacing w:after="120"/>
      </w:pPr>
      <w:r>
        <w:fldChar w:fldCharType="end"/>
      </w:r>
    </w:p>
    <w:p w14:paraId="7A9C9050" w14:textId="77777777" w:rsidR="004822C2" w:rsidRPr="00EA1543" w:rsidRDefault="004822C2" w:rsidP="004822C2">
      <w:pPr>
        <w:pStyle w:val="NoSpacing"/>
      </w:pPr>
    </w:p>
    <w:sectPr w:rsidR="004822C2" w:rsidRPr="00EA1543" w:rsidSect="00DD6F0E">
      <w:pgSz w:w="11906" w:h="16838"/>
      <w:pgMar w:top="1440" w:right="1440" w:bottom="1440" w:left="1440" w:header="74"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7F358" w14:textId="77777777" w:rsidR="00BB7657" w:rsidRDefault="00BB7657" w:rsidP="000D3F93">
      <w:pPr>
        <w:spacing w:after="0" w:line="240" w:lineRule="auto"/>
      </w:pPr>
      <w:r>
        <w:separator/>
      </w:r>
    </w:p>
  </w:endnote>
  <w:endnote w:type="continuationSeparator" w:id="0">
    <w:p w14:paraId="616CDFA1" w14:textId="77777777" w:rsidR="00BB7657" w:rsidRDefault="00BB7657" w:rsidP="000D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FBB43" w14:textId="77777777" w:rsidR="00BB7657" w:rsidRDefault="00BB7657" w:rsidP="00DD6F0E">
    <w:pPr>
      <w:pStyle w:val="Footer"/>
      <w:pBdr>
        <w:top w:val="single" w:sz="4" w:space="14" w:color="0F243E"/>
      </w:pBdr>
      <w:jc w:val="center"/>
    </w:pPr>
    <w:r>
      <w:t>ACCAN GRANTS PROGRAM</w:t>
    </w:r>
  </w:p>
  <w:p w14:paraId="42AFF19A" w14:textId="77777777" w:rsidR="00BB7657" w:rsidRDefault="00BB7657" w:rsidP="00DD6F0E">
    <w:pPr>
      <w:pStyle w:val="Footer"/>
      <w:spacing w:after="0"/>
      <w:jc w:val="center"/>
    </w:pPr>
    <w:r>
      <w:fldChar w:fldCharType="begin"/>
    </w:r>
    <w:r>
      <w:instrText xml:space="preserve"> PAGE   \* MERGEFORMAT </w:instrText>
    </w:r>
    <w:r>
      <w:fldChar w:fldCharType="separate"/>
    </w:r>
    <w:r>
      <w:rPr>
        <w:noProof/>
      </w:rPr>
      <w:t>26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91945" w14:textId="77777777" w:rsidR="00BB7657" w:rsidRDefault="00BB7657" w:rsidP="00DD6F0E">
    <w:pPr>
      <w:pStyle w:val="Footer"/>
      <w:pBdr>
        <w:top w:val="single" w:sz="4" w:space="14" w:color="0F243E"/>
      </w:pBdr>
      <w:jc w:val="center"/>
    </w:pPr>
    <w:r>
      <w:t>ACCAN GRANTS PROGRAM</w:t>
    </w:r>
  </w:p>
  <w:p w14:paraId="494B31F9" w14:textId="77777777" w:rsidR="00BB7657" w:rsidRDefault="00BB7657" w:rsidP="00DD6F0E">
    <w:pPr>
      <w:pStyle w:val="Footer"/>
      <w:pBdr>
        <w:top w:val="single" w:sz="4" w:space="14" w:color="0F243E"/>
      </w:pBd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3C84D" w14:textId="77777777" w:rsidR="00BB7657" w:rsidRDefault="00BB7657" w:rsidP="000D3F93">
      <w:pPr>
        <w:spacing w:after="0" w:line="240" w:lineRule="auto"/>
      </w:pPr>
      <w:r>
        <w:separator/>
      </w:r>
    </w:p>
  </w:footnote>
  <w:footnote w:type="continuationSeparator" w:id="0">
    <w:p w14:paraId="562FA72B" w14:textId="77777777" w:rsidR="00BB7657" w:rsidRDefault="00BB7657" w:rsidP="000D3F93">
      <w:pPr>
        <w:spacing w:after="0" w:line="240" w:lineRule="auto"/>
      </w:pPr>
      <w:r>
        <w:continuationSeparator/>
      </w:r>
    </w:p>
  </w:footnote>
  <w:footnote w:id="1">
    <w:p w14:paraId="4DC8F0F3" w14:textId="77777777" w:rsidR="00BB7657" w:rsidRDefault="00BB7657" w:rsidP="005923F7">
      <w:pPr>
        <w:pStyle w:val="FootnoteText"/>
      </w:pPr>
      <w:r w:rsidRPr="00AC345D">
        <w:rPr>
          <w:rStyle w:val="FootnoteReference"/>
        </w:rPr>
        <w:footnoteRef/>
      </w:r>
      <w:r w:rsidRPr="00CD328A">
        <w:t xml:space="preserve"> </w:t>
      </w:r>
      <w:r w:rsidRPr="00CD328A">
        <w:tab/>
        <w:t xml:space="preserve">There is an apparent anomaly with 79% of respondents saying they accessed the internet via home internet connection, while only 72% had broadband at home. The difference here may be due to respondents giving inconsistent answers, the use </w:t>
      </w:r>
      <w:r>
        <w:t>of</w:t>
      </w:r>
      <w:r w:rsidRPr="00CD328A">
        <w:t xml:space="preserve"> dial-up home internet</w:t>
      </w:r>
      <w:r>
        <w:t>,</w:t>
      </w:r>
      <w:r w:rsidRPr="00CD328A">
        <w:t xml:space="preserve"> or some respondents double-counting mobile access done at home.</w:t>
      </w:r>
    </w:p>
  </w:footnote>
  <w:footnote w:id="2">
    <w:p w14:paraId="7CD3FD32" w14:textId="506B7A18" w:rsidR="00BB7657" w:rsidRDefault="00BB7657" w:rsidP="00055E16">
      <w:pPr>
        <w:pStyle w:val="FootnoteText"/>
      </w:pPr>
      <w:r w:rsidRPr="00AC345D">
        <w:rPr>
          <w:rStyle w:val="FootnoteReference"/>
        </w:rPr>
        <w:footnoteRef/>
      </w:r>
      <w:r>
        <w:t xml:space="preserve"> </w:t>
      </w:r>
      <w:r>
        <w:tab/>
        <w:t>s21(b)(ix) of the Hospitality Award does contain a requirement to reimburse an employee where they are required to provide and use “implements”, but even if a phone or internet service was captured by this (which is unlikely), the reimbursement is for purchase and it is unclear how this applies to an ongoing service like the maintenance of telephone/internet connections.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AE8AE" w14:textId="21CDF57C" w:rsidR="00BB7657" w:rsidRDefault="00357AAD">
    <w:pPr>
      <w:pStyle w:val="Header"/>
    </w:pPr>
    <w:r>
      <w:rPr>
        <w:noProof/>
      </w:rPr>
      <w:pict w14:anchorId="4458E8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3D91" w14:textId="7A4A3BC7" w:rsidR="00BB7657" w:rsidRDefault="00357AAD">
    <w:pPr>
      <w:pStyle w:val="Header"/>
    </w:pPr>
    <w:r>
      <w:rPr>
        <w:noProof/>
      </w:rPr>
      <w:pict w14:anchorId="597BB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DE91" w14:textId="177733F7" w:rsidR="00BB7657" w:rsidRDefault="00357AAD">
    <w:pPr>
      <w:pStyle w:val="Header"/>
    </w:pPr>
    <w:r>
      <w:rPr>
        <w:noProof/>
      </w:rPr>
      <w:pict w14:anchorId="51BE95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365C" w14:textId="23BEA5E7" w:rsidR="00BB7657" w:rsidRDefault="00BB76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7A3B" w14:textId="15E411DD" w:rsidR="00BB7657" w:rsidRDefault="00BB7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cs="Times New Roman" w:hint="default"/>
        <w:b/>
        <w:i w:val="0"/>
        <w:caps w:val="0"/>
        <w:strike w:val="0"/>
        <w:dstrike w:val="0"/>
        <w:vanish w:val="0"/>
        <w:webHidden w:val="0"/>
        <w:color w:val="000000"/>
        <w:sz w:val="28"/>
        <w:u w:val="none"/>
        <w:effect w:val="none"/>
        <w:vertAlign w:val="baseline"/>
        <w:specVanish w:val="0"/>
      </w:rPr>
    </w:lvl>
    <w:lvl w:ilvl="1">
      <w:start w:val="1"/>
      <w:numFmt w:val="decimal"/>
      <w:pStyle w:val="Level2"/>
      <w:lvlText w:val="%1.%2"/>
      <w:lvlJc w:val="left"/>
      <w:pPr>
        <w:tabs>
          <w:tab w:val="num" w:pos="851"/>
        </w:tabs>
        <w:ind w:left="851" w:hanging="851"/>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rPr>
    </w:lvl>
    <w:lvl w:ilvl="2">
      <w:start w:val="1"/>
      <w:numFmt w:val="lowerLetter"/>
      <w:pStyle w:val="Level3"/>
      <w:lvlText w:val="(%3)"/>
      <w:lvlJc w:val="left"/>
      <w:pPr>
        <w:tabs>
          <w:tab w:val="num" w:pos="1418"/>
        </w:tabs>
        <w:ind w:left="1418" w:hanging="56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rPr>
    </w:lvl>
    <w:lvl w:ilvl="3">
      <w:start w:val="1"/>
      <w:numFmt w:val="lowerRoman"/>
      <w:pStyle w:val="Level4"/>
      <w:lvlText w:val="(%4)"/>
      <w:lvlJc w:val="left"/>
      <w:pPr>
        <w:tabs>
          <w:tab w:val="num" w:pos="1985"/>
        </w:tabs>
        <w:ind w:left="1985" w:hanging="567"/>
      </w:pPr>
      <w:rPr>
        <w:b/>
        <w:i w:val="0"/>
      </w:rPr>
    </w:lvl>
    <w:lvl w:ilvl="4">
      <w:start w:val="1"/>
      <w:numFmt w:val="decimal"/>
      <w:lvlText w:val="%1.%2.%3.%4.%5."/>
      <w:lvlJc w:val="left"/>
      <w:pPr>
        <w:tabs>
          <w:tab w:val="num" w:pos="3080"/>
        </w:tabs>
        <w:ind w:left="3080" w:hanging="792"/>
      </w:pPr>
    </w:lvl>
    <w:lvl w:ilvl="5">
      <w:start w:val="1"/>
      <w:numFmt w:val="decimal"/>
      <w:lvlText w:val="%1.%2.%3.%4.%5.%6."/>
      <w:lvlJc w:val="left"/>
      <w:pPr>
        <w:tabs>
          <w:tab w:val="num" w:pos="3584"/>
        </w:tabs>
        <w:ind w:left="3584" w:hanging="936"/>
      </w:pPr>
    </w:lvl>
    <w:lvl w:ilvl="6">
      <w:start w:val="1"/>
      <w:numFmt w:val="decimal"/>
      <w:lvlText w:val="%1.%2.%3.%4.%5.%6.%7."/>
      <w:lvlJc w:val="left"/>
      <w:pPr>
        <w:tabs>
          <w:tab w:val="num" w:pos="4088"/>
        </w:tabs>
        <w:ind w:left="4088" w:hanging="1080"/>
      </w:pPr>
    </w:lvl>
    <w:lvl w:ilvl="7">
      <w:start w:val="1"/>
      <w:numFmt w:val="decimal"/>
      <w:lvlText w:val="%1.%2.%3.%4.%5.%6.%7.%8."/>
      <w:lvlJc w:val="left"/>
      <w:pPr>
        <w:tabs>
          <w:tab w:val="num" w:pos="4592"/>
        </w:tabs>
        <w:ind w:left="4592" w:hanging="1224"/>
      </w:pPr>
    </w:lvl>
    <w:lvl w:ilvl="8">
      <w:start w:val="1"/>
      <w:numFmt w:val="decimal"/>
      <w:lvlText w:val="%1.%2.%3.%4.%5.%6.%7.%8.%9."/>
      <w:lvlJc w:val="left"/>
      <w:pPr>
        <w:tabs>
          <w:tab w:val="num" w:pos="5168"/>
        </w:tabs>
        <w:ind w:left="5168" w:hanging="1440"/>
      </w:pPr>
    </w:lvl>
  </w:abstractNum>
  <w:abstractNum w:abstractNumId="1" w15:restartNumberingAfterBreak="0">
    <w:nsid w:val="0A382746"/>
    <w:multiLevelType w:val="hybridMultilevel"/>
    <w:tmpl w:val="B104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47C85"/>
    <w:multiLevelType w:val="hybridMultilevel"/>
    <w:tmpl w:val="B7142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FD5EDE"/>
    <w:multiLevelType w:val="hybridMultilevel"/>
    <w:tmpl w:val="88EE8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8B2233"/>
    <w:multiLevelType w:val="hybridMultilevel"/>
    <w:tmpl w:val="7AF6C0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A765F6D"/>
    <w:multiLevelType w:val="hybridMultilevel"/>
    <w:tmpl w:val="48D68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B54320"/>
    <w:multiLevelType w:val="hybridMultilevel"/>
    <w:tmpl w:val="E2267C1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0E04123"/>
    <w:multiLevelType w:val="hybridMultilevel"/>
    <w:tmpl w:val="2758C39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544E59"/>
    <w:multiLevelType w:val="hybridMultilevel"/>
    <w:tmpl w:val="CA385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5D1BA6"/>
    <w:multiLevelType w:val="hybridMultilevel"/>
    <w:tmpl w:val="B194F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144F3B"/>
    <w:multiLevelType w:val="hybridMultilevel"/>
    <w:tmpl w:val="93D019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FE682F"/>
    <w:multiLevelType w:val="hybridMultilevel"/>
    <w:tmpl w:val="1E2266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7A5D44"/>
    <w:multiLevelType w:val="hybridMultilevel"/>
    <w:tmpl w:val="7CB6F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063B57"/>
    <w:multiLevelType w:val="hybridMultilevel"/>
    <w:tmpl w:val="93C47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14471A1"/>
    <w:multiLevelType w:val="hybridMultilevel"/>
    <w:tmpl w:val="EFFC351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40D4537"/>
    <w:multiLevelType w:val="hybridMultilevel"/>
    <w:tmpl w:val="20F8136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57B90B3E"/>
    <w:multiLevelType w:val="hybridMultilevel"/>
    <w:tmpl w:val="DF30BD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5E547427"/>
    <w:multiLevelType w:val="hybridMultilevel"/>
    <w:tmpl w:val="F684B6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AC6043"/>
    <w:multiLevelType w:val="hybridMultilevel"/>
    <w:tmpl w:val="6A84AF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123F0C"/>
    <w:multiLevelType w:val="hybridMultilevel"/>
    <w:tmpl w:val="064E4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2265AFD"/>
    <w:multiLevelType w:val="hybridMultilevel"/>
    <w:tmpl w:val="D77E953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1" w15:restartNumberingAfterBreak="0">
    <w:nsid w:val="7A9C1661"/>
    <w:multiLevelType w:val="hybridMultilevel"/>
    <w:tmpl w:val="5B762A7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7F536597"/>
    <w:multiLevelType w:val="hybridMultilevel"/>
    <w:tmpl w:val="595ECF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6"/>
  </w:num>
  <w:num w:numId="4">
    <w:abstractNumId w:val="22"/>
  </w:num>
  <w:num w:numId="5">
    <w:abstractNumId w:val="13"/>
  </w:num>
  <w:num w:numId="6">
    <w:abstractNumId w:val="19"/>
  </w:num>
  <w:num w:numId="7">
    <w:abstractNumId w:val="4"/>
  </w:num>
  <w:num w:numId="8">
    <w:abstractNumId w:val="4"/>
  </w:num>
  <w:num w:numId="9">
    <w:abstractNumId w:val="20"/>
  </w:num>
  <w:num w:numId="10">
    <w:abstractNumId w:val="9"/>
  </w:num>
  <w:num w:numId="11">
    <w:abstractNumId w:val="21"/>
  </w:num>
  <w:num w:numId="12">
    <w:abstractNumId w:val="11"/>
  </w:num>
  <w:num w:numId="13">
    <w:abstractNumId w:val="15"/>
  </w:num>
  <w:num w:numId="14">
    <w:abstractNumId w:val="18"/>
  </w:num>
  <w:num w:numId="15">
    <w:abstractNumId w:val="12"/>
  </w:num>
  <w:num w:numId="16">
    <w:abstractNumId w:val="1"/>
  </w:num>
  <w:num w:numId="17">
    <w:abstractNumId w:val="8"/>
  </w:num>
  <w:num w:numId="18">
    <w:abstractNumId w:val="5"/>
  </w:num>
  <w:num w:numId="19">
    <w:abstractNumId w:val="10"/>
  </w:num>
  <w:num w:numId="20">
    <w:abstractNumId w:val="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BC"/>
    <w:rsid w:val="0000181F"/>
    <w:rsid w:val="00001EDB"/>
    <w:rsid w:val="00002AE1"/>
    <w:rsid w:val="00002FAA"/>
    <w:rsid w:val="00003CD6"/>
    <w:rsid w:val="00013224"/>
    <w:rsid w:val="00013490"/>
    <w:rsid w:val="000151DB"/>
    <w:rsid w:val="00016B7E"/>
    <w:rsid w:val="000235D7"/>
    <w:rsid w:val="00024BC9"/>
    <w:rsid w:val="0002554B"/>
    <w:rsid w:val="00025DBF"/>
    <w:rsid w:val="00026EFA"/>
    <w:rsid w:val="000314E2"/>
    <w:rsid w:val="00033323"/>
    <w:rsid w:val="00035AD1"/>
    <w:rsid w:val="00036DBA"/>
    <w:rsid w:val="000440D1"/>
    <w:rsid w:val="000441F2"/>
    <w:rsid w:val="0004683D"/>
    <w:rsid w:val="00051F48"/>
    <w:rsid w:val="00055E16"/>
    <w:rsid w:val="00056C6A"/>
    <w:rsid w:val="000573AA"/>
    <w:rsid w:val="00061996"/>
    <w:rsid w:val="00061BAC"/>
    <w:rsid w:val="00066171"/>
    <w:rsid w:val="0007007E"/>
    <w:rsid w:val="0007033A"/>
    <w:rsid w:val="00070D5F"/>
    <w:rsid w:val="0007147C"/>
    <w:rsid w:val="00071E78"/>
    <w:rsid w:val="00076B55"/>
    <w:rsid w:val="00080604"/>
    <w:rsid w:val="00081DA1"/>
    <w:rsid w:val="000821D5"/>
    <w:rsid w:val="00082300"/>
    <w:rsid w:val="00086C0F"/>
    <w:rsid w:val="00094580"/>
    <w:rsid w:val="00094FF3"/>
    <w:rsid w:val="00095489"/>
    <w:rsid w:val="00097E8D"/>
    <w:rsid w:val="000A22F8"/>
    <w:rsid w:val="000A7058"/>
    <w:rsid w:val="000A75D1"/>
    <w:rsid w:val="000B21D8"/>
    <w:rsid w:val="000C6C68"/>
    <w:rsid w:val="000D226A"/>
    <w:rsid w:val="000D3F93"/>
    <w:rsid w:val="000D6DFE"/>
    <w:rsid w:val="000E0CF4"/>
    <w:rsid w:val="000E223C"/>
    <w:rsid w:val="000E3A3A"/>
    <w:rsid w:val="000E5860"/>
    <w:rsid w:val="000E6EA0"/>
    <w:rsid w:val="000F53A2"/>
    <w:rsid w:val="00102DF8"/>
    <w:rsid w:val="00102F91"/>
    <w:rsid w:val="001032B1"/>
    <w:rsid w:val="00104E0B"/>
    <w:rsid w:val="00106440"/>
    <w:rsid w:val="00107E07"/>
    <w:rsid w:val="00110C34"/>
    <w:rsid w:val="0011266B"/>
    <w:rsid w:val="00113C72"/>
    <w:rsid w:val="00113CED"/>
    <w:rsid w:val="00114E8F"/>
    <w:rsid w:val="0011553A"/>
    <w:rsid w:val="00122203"/>
    <w:rsid w:val="0012617A"/>
    <w:rsid w:val="00126AB1"/>
    <w:rsid w:val="00126B3B"/>
    <w:rsid w:val="001276C2"/>
    <w:rsid w:val="00127DE4"/>
    <w:rsid w:val="00131195"/>
    <w:rsid w:val="00140465"/>
    <w:rsid w:val="0014054D"/>
    <w:rsid w:val="00147F1B"/>
    <w:rsid w:val="00150282"/>
    <w:rsid w:val="001522F3"/>
    <w:rsid w:val="00152C4A"/>
    <w:rsid w:val="00154B8A"/>
    <w:rsid w:val="00155990"/>
    <w:rsid w:val="0015757E"/>
    <w:rsid w:val="00157776"/>
    <w:rsid w:val="001601B1"/>
    <w:rsid w:val="00161044"/>
    <w:rsid w:val="001614B2"/>
    <w:rsid w:val="001635C3"/>
    <w:rsid w:val="00164F90"/>
    <w:rsid w:val="00167F36"/>
    <w:rsid w:val="001700A4"/>
    <w:rsid w:val="001700D3"/>
    <w:rsid w:val="00170969"/>
    <w:rsid w:val="00171464"/>
    <w:rsid w:val="00171AE5"/>
    <w:rsid w:val="00174E1E"/>
    <w:rsid w:val="00174F09"/>
    <w:rsid w:val="0017626D"/>
    <w:rsid w:val="001843FB"/>
    <w:rsid w:val="00185598"/>
    <w:rsid w:val="00185DB8"/>
    <w:rsid w:val="00187C0C"/>
    <w:rsid w:val="00192EF6"/>
    <w:rsid w:val="00196FBD"/>
    <w:rsid w:val="00196FD3"/>
    <w:rsid w:val="001B0C76"/>
    <w:rsid w:val="001B3162"/>
    <w:rsid w:val="001B3619"/>
    <w:rsid w:val="001B58E5"/>
    <w:rsid w:val="001C4F4A"/>
    <w:rsid w:val="001C60E1"/>
    <w:rsid w:val="001D257F"/>
    <w:rsid w:val="001D2FD7"/>
    <w:rsid w:val="001D3427"/>
    <w:rsid w:val="001D54A2"/>
    <w:rsid w:val="001E00C1"/>
    <w:rsid w:val="001E1535"/>
    <w:rsid w:val="001E2811"/>
    <w:rsid w:val="001E3233"/>
    <w:rsid w:val="001E5C91"/>
    <w:rsid w:val="001E77AF"/>
    <w:rsid w:val="001E7D3B"/>
    <w:rsid w:val="001F0BD8"/>
    <w:rsid w:val="001F60A7"/>
    <w:rsid w:val="002047F4"/>
    <w:rsid w:val="00204D78"/>
    <w:rsid w:val="00210AB9"/>
    <w:rsid w:val="00211359"/>
    <w:rsid w:val="002118D5"/>
    <w:rsid w:val="0021196D"/>
    <w:rsid w:val="002119DB"/>
    <w:rsid w:val="00211A63"/>
    <w:rsid w:val="002127B8"/>
    <w:rsid w:val="00213797"/>
    <w:rsid w:val="00214530"/>
    <w:rsid w:val="002153AC"/>
    <w:rsid w:val="0022183B"/>
    <w:rsid w:val="00223295"/>
    <w:rsid w:val="002275B7"/>
    <w:rsid w:val="00231DDD"/>
    <w:rsid w:val="00232F6B"/>
    <w:rsid w:val="002351AB"/>
    <w:rsid w:val="0023633F"/>
    <w:rsid w:val="002413D4"/>
    <w:rsid w:val="00241719"/>
    <w:rsid w:val="002461DE"/>
    <w:rsid w:val="00246E08"/>
    <w:rsid w:val="00247E66"/>
    <w:rsid w:val="002504A6"/>
    <w:rsid w:val="002556EB"/>
    <w:rsid w:val="002565DD"/>
    <w:rsid w:val="00257A42"/>
    <w:rsid w:val="002627F0"/>
    <w:rsid w:val="0026484D"/>
    <w:rsid w:val="00270E70"/>
    <w:rsid w:val="002738F8"/>
    <w:rsid w:val="00274806"/>
    <w:rsid w:val="0027529D"/>
    <w:rsid w:val="00275589"/>
    <w:rsid w:val="00276425"/>
    <w:rsid w:val="002765E8"/>
    <w:rsid w:val="00277C96"/>
    <w:rsid w:val="002802BF"/>
    <w:rsid w:val="00280F0C"/>
    <w:rsid w:val="002813F1"/>
    <w:rsid w:val="00282795"/>
    <w:rsid w:val="00283C64"/>
    <w:rsid w:val="00286279"/>
    <w:rsid w:val="0028775F"/>
    <w:rsid w:val="00290D21"/>
    <w:rsid w:val="00296D68"/>
    <w:rsid w:val="002A3EC5"/>
    <w:rsid w:val="002A7749"/>
    <w:rsid w:val="002B2040"/>
    <w:rsid w:val="002B305D"/>
    <w:rsid w:val="002B42D2"/>
    <w:rsid w:val="002B5300"/>
    <w:rsid w:val="002C5990"/>
    <w:rsid w:val="002C5A63"/>
    <w:rsid w:val="002C6401"/>
    <w:rsid w:val="002D2E8C"/>
    <w:rsid w:val="002D3C2F"/>
    <w:rsid w:val="002D3D2D"/>
    <w:rsid w:val="002D615A"/>
    <w:rsid w:val="002E12D6"/>
    <w:rsid w:val="002F302B"/>
    <w:rsid w:val="002F34B6"/>
    <w:rsid w:val="002F5398"/>
    <w:rsid w:val="002F6867"/>
    <w:rsid w:val="003035BB"/>
    <w:rsid w:val="00305B21"/>
    <w:rsid w:val="003108A9"/>
    <w:rsid w:val="003138FA"/>
    <w:rsid w:val="00315BD8"/>
    <w:rsid w:val="00316273"/>
    <w:rsid w:val="0032281C"/>
    <w:rsid w:val="003260B9"/>
    <w:rsid w:val="003303FD"/>
    <w:rsid w:val="00340D71"/>
    <w:rsid w:val="0034259F"/>
    <w:rsid w:val="00346B9D"/>
    <w:rsid w:val="00353F00"/>
    <w:rsid w:val="0035466E"/>
    <w:rsid w:val="00354847"/>
    <w:rsid w:val="00355F74"/>
    <w:rsid w:val="00357AAD"/>
    <w:rsid w:val="00361031"/>
    <w:rsid w:val="00361BB4"/>
    <w:rsid w:val="003620CB"/>
    <w:rsid w:val="00363577"/>
    <w:rsid w:val="00364E06"/>
    <w:rsid w:val="00364F25"/>
    <w:rsid w:val="003650D8"/>
    <w:rsid w:val="003732F2"/>
    <w:rsid w:val="00382EE5"/>
    <w:rsid w:val="003832FC"/>
    <w:rsid w:val="00383C87"/>
    <w:rsid w:val="00384367"/>
    <w:rsid w:val="0038499C"/>
    <w:rsid w:val="00387202"/>
    <w:rsid w:val="00390270"/>
    <w:rsid w:val="00390B0C"/>
    <w:rsid w:val="003911F9"/>
    <w:rsid w:val="00394CC7"/>
    <w:rsid w:val="00397C94"/>
    <w:rsid w:val="00397D75"/>
    <w:rsid w:val="003A1968"/>
    <w:rsid w:val="003A6194"/>
    <w:rsid w:val="003A761C"/>
    <w:rsid w:val="003B017E"/>
    <w:rsid w:val="003B01E7"/>
    <w:rsid w:val="003B04B2"/>
    <w:rsid w:val="003B34CA"/>
    <w:rsid w:val="003B71C6"/>
    <w:rsid w:val="003C270C"/>
    <w:rsid w:val="003C319F"/>
    <w:rsid w:val="003C3428"/>
    <w:rsid w:val="003C3838"/>
    <w:rsid w:val="003C416C"/>
    <w:rsid w:val="003C4E4F"/>
    <w:rsid w:val="003D33CA"/>
    <w:rsid w:val="003D33EF"/>
    <w:rsid w:val="003D5946"/>
    <w:rsid w:val="003E0EE3"/>
    <w:rsid w:val="003E2AC6"/>
    <w:rsid w:val="003E799B"/>
    <w:rsid w:val="003F0542"/>
    <w:rsid w:val="003F15D2"/>
    <w:rsid w:val="003F17BD"/>
    <w:rsid w:val="003F2A28"/>
    <w:rsid w:val="003F3A77"/>
    <w:rsid w:val="003F439A"/>
    <w:rsid w:val="003F49A3"/>
    <w:rsid w:val="004013A7"/>
    <w:rsid w:val="00402409"/>
    <w:rsid w:val="00406FBB"/>
    <w:rsid w:val="0040734A"/>
    <w:rsid w:val="00413F2E"/>
    <w:rsid w:val="00415572"/>
    <w:rsid w:val="00417DE5"/>
    <w:rsid w:val="004203AB"/>
    <w:rsid w:val="00420440"/>
    <w:rsid w:val="00424899"/>
    <w:rsid w:val="00424A58"/>
    <w:rsid w:val="00425839"/>
    <w:rsid w:val="00425DBD"/>
    <w:rsid w:val="004300B0"/>
    <w:rsid w:val="00431F60"/>
    <w:rsid w:val="00432ECF"/>
    <w:rsid w:val="004347E4"/>
    <w:rsid w:val="00435B8C"/>
    <w:rsid w:val="00440694"/>
    <w:rsid w:val="00444DF9"/>
    <w:rsid w:val="00453B81"/>
    <w:rsid w:val="004545E7"/>
    <w:rsid w:val="00454919"/>
    <w:rsid w:val="00454CBB"/>
    <w:rsid w:val="00457034"/>
    <w:rsid w:val="00457668"/>
    <w:rsid w:val="00461088"/>
    <w:rsid w:val="004617B9"/>
    <w:rsid w:val="00461E4E"/>
    <w:rsid w:val="0046218E"/>
    <w:rsid w:val="00462608"/>
    <w:rsid w:val="00462F95"/>
    <w:rsid w:val="004631CB"/>
    <w:rsid w:val="00463304"/>
    <w:rsid w:val="00464D7E"/>
    <w:rsid w:val="0046697B"/>
    <w:rsid w:val="0047016E"/>
    <w:rsid w:val="00475A32"/>
    <w:rsid w:val="00480A91"/>
    <w:rsid w:val="004811C7"/>
    <w:rsid w:val="004822C2"/>
    <w:rsid w:val="004833D0"/>
    <w:rsid w:val="004841A1"/>
    <w:rsid w:val="00485EBA"/>
    <w:rsid w:val="004903F2"/>
    <w:rsid w:val="00490F6A"/>
    <w:rsid w:val="004917A9"/>
    <w:rsid w:val="004961D7"/>
    <w:rsid w:val="00496C1C"/>
    <w:rsid w:val="004A0C31"/>
    <w:rsid w:val="004A7764"/>
    <w:rsid w:val="004B0FCA"/>
    <w:rsid w:val="004B145A"/>
    <w:rsid w:val="004B39F6"/>
    <w:rsid w:val="004B759D"/>
    <w:rsid w:val="004C06A5"/>
    <w:rsid w:val="004C5059"/>
    <w:rsid w:val="004C6DF3"/>
    <w:rsid w:val="004D4A79"/>
    <w:rsid w:val="004D4B35"/>
    <w:rsid w:val="004D5558"/>
    <w:rsid w:val="004E1BB9"/>
    <w:rsid w:val="004E39EB"/>
    <w:rsid w:val="004E7064"/>
    <w:rsid w:val="004E7753"/>
    <w:rsid w:val="004F6923"/>
    <w:rsid w:val="00500496"/>
    <w:rsid w:val="00501278"/>
    <w:rsid w:val="00501C04"/>
    <w:rsid w:val="00503D85"/>
    <w:rsid w:val="00503F58"/>
    <w:rsid w:val="00506854"/>
    <w:rsid w:val="005151A1"/>
    <w:rsid w:val="00517AC2"/>
    <w:rsid w:val="00517DB3"/>
    <w:rsid w:val="005217F8"/>
    <w:rsid w:val="00521EF4"/>
    <w:rsid w:val="005221FE"/>
    <w:rsid w:val="005242AB"/>
    <w:rsid w:val="00532125"/>
    <w:rsid w:val="00532CAD"/>
    <w:rsid w:val="00533AE3"/>
    <w:rsid w:val="005344CD"/>
    <w:rsid w:val="00536573"/>
    <w:rsid w:val="00537A4C"/>
    <w:rsid w:val="00540C41"/>
    <w:rsid w:val="00545EC9"/>
    <w:rsid w:val="00550884"/>
    <w:rsid w:val="00554E03"/>
    <w:rsid w:val="0055527E"/>
    <w:rsid w:val="00556DED"/>
    <w:rsid w:val="0055761C"/>
    <w:rsid w:val="00562673"/>
    <w:rsid w:val="00564A94"/>
    <w:rsid w:val="00564DE6"/>
    <w:rsid w:val="005650FE"/>
    <w:rsid w:val="00570158"/>
    <w:rsid w:val="005728B2"/>
    <w:rsid w:val="005732E0"/>
    <w:rsid w:val="00573A97"/>
    <w:rsid w:val="005915DB"/>
    <w:rsid w:val="005923F7"/>
    <w:rsid w:val="00594933"/>
    <w:rsid w:val="005A16CC"/>
    <w:rsid w:val="005A1FD2"/>
    <w:rsid w:val="005A2583"/>
    <w:rsid w:val="005A3847"/>
    <w:rsid w:val="005A6002"/>
    <w:rsid w:val="005A7852"/>
    <w:rsid w:val="005B063E"/>
    <w:rsid w:val="005B19D2"/>
    <w:rsid w:val="005B1A70"/>
    <w:rsid w:val="005B1AD8"/>
    <w:rsid w:val="005B4E24"/>
    <w:rsid w:val="005C5D74"/>
    <w:rsid w:val="005C7A1B"/>
    <w:rsid w:val="005D1BBE"/>
    <w:rsid w:val="005D5883"/>
    <w:rsid w:val="005E2CA7"/>
    <w:rsid w:val="005E7067"/>
    <w:rsid w:val="005F7BA2"/>
    <w:rsid w:val="0060069B"/>
    <w:rsid w:val="006010D0"/>
    <w:rsid w:val="00602595"/>
    <w:rsid w:val="00603F84"/>
    <w:rsid w:val="006041CA"/>
    <w:rsid w:val="00604E3E"/>
    <w:rsid w:val="006062DD"/>
    <w:rsid w:val="00616C54"/>
    <w:rsid w:val="00617AE2"/>
    <w:rsid w:val="006213A3"/>
    <w:rsid w:val="00623055"/>
    <w:rsid w:val="00623070"/>
    <w:rsid w:val="006275A7"/>
    <w:rsid w:val="00627B21"/>
    <w:rsid w:val="00627C06"/>
    <w:rsid w:val="00633E55"/>
    <w:rsid w:val="006348E8"/>
    <w:rsid w:val="0064026B"/>
    <w:rsid w:val="00640865"/>
    <w:rsid w:val="0064112F"/>
    <w:rsid w:val="006424CD"/>
    <w:rsid w:val="006455CA"/>
    <w:rsid w:val="00645A74"/>
    <w:rsid w:val="00647231"/>
    <w:rsid w:val="00647CCA"/>
    <w:rsid w:val="00651F74"/>
    <w:rsid w:val="00652E8D"/>
    <w:rsid w:val="006532DE"/>
    <w:rsid w:val="0065713D"/>
    <w:rsid w:val="00657142"/>
    <w:rsid w:val="00657E11"/>
    <w:rsid w:val="00674863"/>
    <w:rsid w:val="00674A04"/>
    <w:rsid w:val="00675596"/>
    <w:rsid w:val="006852AE"/>
    <w:rsid w:val="00686B08"/>
    <w:rsid w:val="006874B8"/>
    <w:rsid w:val="0069070B"/>
    <w:rsid w:val="006914D6"/>
    <w:rsid w:val="0069523D"/>
    <w:rsid w:val="006A4F52"/>
    <w:rsid w:val="006A7552"/>
    <w:rsid w:val="006B0F71"/>
    <w:rsid w:val="006B4146"/>
    <w:rsid w:val="006B604D"/>
    <w:rsid w:val="006C148C"/>
    <w:rsid w:val="006C2E42"/>
    <w:rsid w:val="006C5717"/>
    <w:rsid w:val="006C670B"/>
    <w:rsid w:val="006C730F"/>
    <w:rsid w:val="006D356A"/>
    <w:rsid w:val="006D715D"/>
    <w:rsid w:val="006E0151"/>
    <w:rsid w:val="006E1C9B"/>
    <w:rsid w:val="006E2313"/>
    <w:rsid w:val="006E5719"/>
    <w:rsid w:val="006F1067"/>
    <w:rsid w:val="006F5BE6"/>
    <w:rsid w:val="006F6497"/>
    <w:rsid w:val="006F70F8"/>
    <w:rsid w:val="00703068"/>
    <w:rsid w:val="00703A9B"/>
    <w:rsid w:val="0070410A"/>
    <w:rsid w:val="00706076"/>
    <w:rsid w:val="00706401"/>
    <w:rsid w:val="00706AD6"/>
    <w:rsid w:val="00706DA2"/>
    <w:rsid w:val="00707C7F"/>
    <w:rsid w:val="00710992"/>
    <w:rsid w:val="00717989"/>
    <w:rsid w:val="0073201A"/>
    <w:rsid w:val="00733A0D"/>
    <w:rsid w:val="00734968"/>
    <w:rsid w:val="00735C99"/>
    <w:rsid w:val="00737071"/>
    <w:rsid w:val="00740379"/>
    <w:rsid w:val="00741A80"/>
    <w:rsid w:val="00742E23"/>
    <w:rsid w:val="007463A5"/>
    <w:rsid w:val="007465D5"/>
    <w:rsid w:val="0075154C"/>
    <w:rsid w:val="00756B51"/>
    <w:rsid w:val="007611DE"/>
    <w:rsid w:val="0076458B"/>
    <w:rsid w:val="007664F8"/>
    <w:rsid w:val="007674BB"/>
    <w:rsid w:val="0077197B"/>
    <w:rsid w:val="00771B8C"/>
    <w:rsid w:val="007725EE"/>
    <w:rsid w:val="00773FCC"/>
    <w:rsid w:val="00774387"/>
    <w:rsid w:val="0077661E"/>
    <w:rsid w:val="00777BA3"/>
    <w:rsid w:val="00777C76"/>
    <w:rsid w:val="00781331"/>
    <w:rsid w:val="0079168F"/>
    <w:rsid w:val="00793F5F"/>
    <w:rsid w:val="007967ED"/>
    <w:rsid w:val="00796C7A"/>
    <w:rsid w:val="007975AD"/>
    <w:rsid w:val="007979A0"/>
    <w:rsid w:val="00797B17"/>
    <w:rsid w:val="007A0EBE"/>
    <w:rsid w:val="007A210E"/>
    <w:rsid w:val="007A281B"/>
    <w:rsid w:val="007A2E40"/>
    <w:rsid w:val="007A31C0"/>
    <w:rsid w:val="007A351A"/>
    <w:rsid w:val="007B15C2"/>
    <w:rsid w:val="007B4D67"/>
    <w:rsid w:val="007C3C31"/>
    <w:rsid w:val="007C59F6"/>
    <w:rsid w:val="007C6AF7"/>
    <w:rsid w:val="007C775A"/>
    <w:rsid w:val="007D1122"/>
    <w:rsid w:val="007D2DCD"/>
    <w:rsid w:val="007D631C"/>
    <w:rsid w:val="007D7918"/>
    <w:rsid w:val="007D7A06"/>
    <w:rsid w:val="007D7C1C"/>
    <w:rsid w:val="007E2861"/>
    <w:rsid w:val="007F1105"/>
    <w:rsid w:val="007F133F"/>
    <w:rsid w:val="007F156F"/>
    <w:rsid w:val="007F2B34"/>
    <w:rsid w:val="007F4147"/>
    <w:rsid w:val="007F7B1C"/>
    <w:rsid w:val="008015A5"/>
    <w:rsid w:val="00801E6C"/>
    <w:rsid w:val="00802D63"/>
    <w:rsid w:val="00802E65"/>
    <w:rsid w:val="008040A4"/>
    <w:rsid w:val="00806F0A"/>
    <w:rsid w:val="00807369"/>
    <w:rsid w:val="00807ADA"/>
    <w:rsid w:val="008165D2"/>
    <w:rsid w:val="00817526"/>
    <w:rsid w:val="00817996"/>
    <w:rsid w:val="00824A9E"/>
    <w:rsid w:val="0083025B"/>
    <w:rsid w:val="00830ECF"/>
    <w:rsid w:val="008371CE"/>
    <w:rsid w:val="0083741A"/>
    <w:rsid w:val="00843DE9"/>
    <w:rsid w:val="008515B1"/>
    <w:rsid w:val="00854477"/>
    <w:rsid w:val="00856C80"/>
    <w:rsid w:val="008611A4"/>
    <w:rsid w:val="0086199D"/>
    <w:rsid w:val="00874596"/>
    <w:rsid w:val="00875B99"/>
    <w:rsid w:val="00880724"/>
    <w:rsid w:val="008810D6"/>
    <w:rsid w:val="00881FF8"/>
    <w:rsid w:val="00883238"/>
    <w:rsid w:val="00885FFF"/>
    <w:rsid w:val="00886581"/>
    <w:rsid w:val="00893511"/>
    <w:rsid w:val="00895E57"/>
    <w:rsid w:val="00897724"/>
    <w:rsid w:val="00897AF8"/>
    <w:rsid w:val="00897FF7"/>
    <w:rsid w:val="008A22CA"/>
    <w:rsid w:val="008B0030"/>
    <w:rsid w:val="008B050E"/>
    <w:rsid w:val="008B1D79"/>
    <w:rsid w:val="008C5B85"/>
    <w:rsid w:val="008C6AD5"/>
    <w:rsid w:val="008D1CAF"/>
    <w:rsid w:val="008D3C71"/>
    <w:rsid w:val="008D4D69"/>
    <w:rsid w:val="008E107E"/>
    <w:rsid w:val="008E1BA6"/>
    <w:rsid w:val="008E1E8D"/>
    <w:rsid w:val="008E2A93"/>
    <w:rsid w:val="008E4FFD"/>
    <w:rsid w:val="008F45F6"/>
    <w:rsid w:val="008F4B58"/>
    <w:rsid w:val="00904389"/>
    <w:rsid w:val="00910AC6"/>
    <w:rsid w:val="00910AD9"/>
    <w:rsid w:val="00923FCB"/>
    <w:rsid w:val="00926552"/>
    <w:rsid w:val="00926823"/>
    <w:rsid w:val="00930C01"/>
    <w:rsid w:val="00931ABA"/>
    <w:rsid w:val="00932473"/>
    <w:rsid w:val="00932BAC"/>
    <w:rsid w:val="00933D86"/>
    <w:rsid w:val="00935B45"/>
    <w:rsid w:val="00936712"/>
    <w:rsid w:val="00942BC9"/>
    <w:rsid w:val="00943EBC"/>
    <w:rsid w:val="00946DBD"/>
    <w:rsid w:val="00946DCE"/>
    <w:rsid w:val="00951A55"/>
    <w:rsid w:val="00954CA1"/>
    <w:rsid w:val="00956EF6"/>
    <w:rsid w:val="00957701"/>
    <w:rsid w:val="009578C2"/>
    <w:rsid w:val="0096000D"/>
    <w:rsid w:val="00960D32"/>
    <w:rsid w:val="0096268B"/>
    <w:rsid w:val="009627D3"/>
    <w:rsid w:val="0096315F"/>
    <w:rsid w:val="009713B1"/>
    <w:rsid w:val="009737BD"/>
    <w:rsid w:val="009754A3"/>
    <w:rsid w:val="009754FF"/>
    <w:rsid w:val="009765B4"/>
    <w:rsid w:val="00976CA7"/>
    <w:rsid w:val="009822B7"/>
    <w:rsid w:val="009829AA"/>
    <w:rsid w:val="00990C64"/>
    <w:rsid w:val="00995517"/>
    <w:rsid w:val="00995E35"/>
    <w:rsid w:val="00997420"/>
    <w:rsid w:val="009977F4"/>
    <w:rsid w:val="009A063B"/>
    <w:rsid w:val="009A118B"/>
    <w:rsid w:val="009A52B8"/>
    <w:rsid w:val="009B0238"/>
    <w:rsid w:val="009B1186"/>
    <w:rsid w:val="009B1934"/>
    <w:rsid w:val="009B4069"/>
    <w:rsid w:val="009B6E9D"/>
    <w:rsid w:val="009C0FD4"/>
    <w:rsid w:val="009C14D7"/>
    <w:rsid w:val="009C1AD0"/>
    <w:rsid w:val="009C4BDB"/>
    <w:rsid w:val="009C6389"/>
    <w:rsid w:val="009D08C7"/>
    <w:rsid w:val="009D0AEA"/>
    <w:rsid w:val="009D0CDA"/>
    <w:rsid w:val="009D38ED"/>
    <w:rsid w:val="009D5FC0"/>
    <w:rsid w:val="009D766B"/>
    <w:rsid w:val="009E17C7"/>
    <w:rsid w:val="009E58F3"/>
    <w:rsid w:val="009E5D0C"/>
    <w:rsid w:val="009E6570"/>
    <w:rsid w:val="009F169A"/>
    <w:rsid w:val="009F2363"/>
    <w:rsid w:val="009F64DC"/>
    <w:rsid w:val="009F729B"/>
    <w:rsid w:val="009F7599"/>
    <w:rsid w:val="00A036E8"/>
    <w:rsid w:val="00A054ED"/>
    <w:rsid w:val="00A0583C"/>
    <w:rsid w:val="00A16B0E"/>
    <w:rsid w:val="00A16F83"/>
    <w:rsid w:val="00A25C41"/>
    <w:rsid w:val="00A30BBF"/>
    <w:rsid w:val="00A31F11"/>
    <w:rsid w:val="00A338DD"/>
    <w:rsid w:val="00A34E92"/>
    <w:rsid w:val="00A35B18"/>
    <w:rsid w:val="00A35B36"/>
    <w:rsid w:val="00A35CBE"/>
    <w:rsid w:val="00A363F1"/>
    <w:rsid w:val="00A36FC1"/>
    <w:rsid w:val="00A41C46"/>
    <w:rsid w:val="00A46FBD"/>
    <w:rsid w:val="00A47BB6"/>
    <w:rsid w:val="00A50901"/>
    <w:rsid w:val="00A50A02"/>
    <w:rsid w:val="00A51720"/>
    <w:rsid w:val="00A53297"/>
    <w:rsid w:val="00A53F2C"/>
    <w:rsid w:val="00A555FF"/>
    <w:rsid w:val="00A56887"/>
    <w:rsid w:val="00A56C2E"/>
    <w:rsid w:val="00A60753"/>
    <w:rsid w:val="00A617D9"/>
    <w:rsid w:val="00A65BF5"/>
    <w:rsid w:val="00A7052F"/>
    <w:rsid w:val="00A8240E"/>
    <w:rsid w:val="00A833E2"/>
    <w:rsid w:val="00A84DD9"/>
    <w:rsid w:val="00A85738"/>
    <w:rsid w:val="00A86BA1"/>
    <w:rsid w:val="00A87F95"/>
    <w:rsid w:val="00A90D31"/>
    <w:rsid w:val="00A94968"/>
    <w:rsid w:val="00A967CB"/>
    <w:rsid w:val="00AA0D88"/>
    <w:rsid w:val="00AA15CF"/>
    <w:rsid w:val="00AA490B"/>
    <w:rsid w:val="00AA4F5E"/>
    <w:rsid w:val="00AA68E5"/>
    <w:rsid w:val="00AB7971"/>
    <w:rsid w:val="00AC07B7"/>
    <w:rsid w:val="00AC2397"/>
    <w:rsid w:val="00AC345D"/>
    <w:rsid w:val="00AC43AD"/>
    <w:rsid w:val="00AC797A"/>
    <w:rsid w:val="00AD14B6"/>
    <w:rsid w:val="00AD1F3B"/>
    <w:rsid w:val="00AD27E8"/>
    <w:rsid w:val="00AD68A1"/>
    <w:rsid w:val="00AE045A"/>
    <w:rsid w:val="00AE36AE"/>
    <w:rsid w:val="00AE4E47"/>
    <w:rsid w:val="00AE6D7D"/>
    <w:rsid w:val="00AF7DFA"/>
    <w:rsid w:val="00B02459"/>
    <w:rsid w:val="00B05832"/>
    <w:rsid w:val="00B074E3"/>
    <w:rsid w:val="00B11054"/>
    <w:rsid w:val="00B126B0"/>
    <w:rsid w:val="00B177D2"/>
    <w:rsid w:val="00B21C48"/>
    <w:rsid w:val="00B24F84"/>
    <w:rsid w:val="00B30361"/>
    <w:rsid w:val="00B33FFF"/>
    <w:rsid w:val="00B36E1F"/>
    <w:rsid w:val="00B37BFE"/>
    <w:rsid w:val="00B43123"/>
    <w:rsid w:val="00B43153"/>
    <w:rsid w:val="00B44D7A"/>
    <w:rsid w:val="00B4678F"/>
    <w:rsid w:val="00B47A62"/>
    <w:rsid w:val="00B47BDD"/>
    <w:rsid w:val="00B516D6"/>
    <w:rsid w:val="00B523BE"/>
    <w:rsid w:val="00B52B1C"/>
    <w:rsid w:val="00B55B0B"/>
    <w:rsid w:val="00B570A3"/>
    <w:rsid w:val="00B6008B"/>
    <w:rsid w:val="00B6251A"/>
    <w:rsid w:val="00B63835"/>
    <w:rsid w:val="00B645A7"/>
    <w:rsid w:val="00B6558E"/>
    <w:rsid w:val="00B66DE9"/>
    <w:rsid w:val="00B721E6"/>
    <w:rsid w:val="00B7253F"/>
    <w:rsid w:val="00B80AE3"/>
    <w:rsid w:val="00B80C89"/>
    <w:rsid w:val="00B81910"/>
    <w:rsid w:val="00B85562"/>
    <w:rsid w:val="00B91EB4"/>
    <w:rsid w:val="00B92E5B"/>
    <w:rsid w:val="00B93F1F"/>
    <w:rsid w:val="00B97351"/>
    <w:rsid w:val="00B97BAA"/>
    <w:rsid w:val="00B97C0E"/>
    <w:rsid w:val="00BA0D9B"/>
    <w:rsid w:val="00BA124D"/>
    <w:rsid w:val="00BA54FD"/>
    <w:rsid w:val="00BA59A6"/>
    <w:rsid w:val="00BA7A4D"/>
    <w:rsid w:val="00BB3CA9"/>
    <w:rsid w:val="00BB4E13"/>
    <w:rsid w:val="00BB7657"/>
    <w:rsid w:val="00BC5732"/>
    <w:rsid w:val="00BC6D29"/>
    <w:rsid w:val="00BD3BF1"/>
    <w:rsid w:val="00BD4AF9"/>
    <w:rsid w:val="00BD58E2"/>
    <w:rsid w:val="00BD6BA4"/>
    <w:rsid w:val="00BE0DF3"/>
    <w:rsid w:val="00BE714E"/>
    <w:rsid w:val="00BE7D7E"/>
    <w:rsid w:val="00BF1ABC"/>
    <w:rsid w:val="00BF3F28"/>
    <w:rsid w:val="00BF5859"/>
    <w:rsid w:val="00C01ECD"/>
    <w:rsid w:val="00C02362"/>
    <w:rsid w:val="00C11BF3"/>
    <w:rsid w:val="00C12023"/>
    <w:rsid w:val="00C1408C"/>
    <w:rsid w:val="00C168A8"/>
    <w:rsid w:val="00C17EAC"/>
    <w:rsid w:val="00C20DF4"/>
    <w:rsid w:val="00C25B4C"/>
    <w:rsid w:val="00C26577"/>
    <w:rsid w:val="00C26FED"/>
    <w:rsid w:val="00C32603"/>
    <w:rsid w:val="00C34C14"/>
    <w:rsid w:val="00C402C6"/>
    <w:rsid w:val="00C413F8"/>
    <w:rsid w:val="00C4555E"/>
    <w:rsid w:val="00C47018"/>
    <w:rsid w:val="00C5523C"/>
    <w:rsid w:val="00C57932"/>
    <w:rsid w:val="00C76059"/>
    <w:rsid w:val="00C7670F"/>
    <w:rsid w:val="00C76A05"/>
    <w:rsid w:val="00C77367"/>
    <w:rsid w:val="00C77B10"/>
    <w:rsid w:val="00C82B67"/>
    <w:rsid w:val="00C8434E"/>
    <w:rsid w:val="00C86152"/>
    <w:rsid w:val="00C90552"/>
    <w:rsid w:val="00C90C61"/>
    <w:rsid w:val="00C928A5"/>
    <w:rsid w:val="00C94174"/>
    <w:rsid w:val="00C94940"/>
    <w:rsid w:val="00C96CE1"/>
    <w:rsid w:val="00C9728B"/>
    <w:rsid w:val="00C9746D"/>
    <w:rsid w:val="00CA19D4"/>
    <w:rsid w:val="00CB1B8B"/>
    <w:rsid w:val="00CB29F3"/>
    <w:rsid w:val="00CB3B59"/>
    <w:rsid w:val="00CB43E1"/>
    <w:rsid w:val="00CB79EA"/>
    <w:rsid w:val="00CC24D0"/>
    <w:rsid w:val="00CD08DA"/>
    <w:rsid w:val="00CD19BC"/>
    <w:rsid w:val="00CD52FD"/>
    <w:rsid w:val="00CE23EC"/>
    <w:rsid w:val="00CE3DE1"/>
    <w:rsid w:val="00CE4238"/>
    <w:rsid w:val="00CE42FD"/>
    <w:rsid w:val="00CE4AB1"/>
    <w:rsid w:val="00CE62F4"/>
    <w:rsid w:val="00CE6974"/>
    <w:rsid w:val="00CF2536"/>
    <w:rsid w:val="00CF2E91"/>
    <w:rsid w:val="00CF436B"/>
    <w:rsid w:val="00CF736A"/>
    <w:rsid w:val="00D02216"/>
    <w:rsid w:val="00D037F3"/>
    <w:rsid w:val="00D04618"/>
    <w:rsid w:val="00D07EDF"/>
    <w:rsid w:val="00D15AF9"/>
    <w:rsid w:val="00D218F6"/>
    <w:rsid w:val="00D247C3"/>
    <w:rsid w:val="00D27581"/>
    <w:rsid w:val="00D30058"/>
    <w:rsid w:val="00D314B0"/>
    <w:rsid w:val="00D32AE9"/>
    <w:rsid w:val="00D352A7"/>
    <w:rsid w:val="00D35742"/>
    <w:rsid w:val="00D370BA"/>
    <w:rsid w:val="00D4023A"/>
    <w:rsid w:val="00D4038E"/>
    <w:rsid w:val="00D40F77"/>
    <w:rsid w:val="00D40FC6"/>
    <w:rsid w:val="00D418DB"/>
    <w:rsid w:val="00D448CE"/>
    <w:rsid w:val="00D46386"/>
    <w:rsid w:val="00D46B3B"/>
    <w:rsid w:val="00D52B51"/>
    <w:rsid w:val="00D53B1C"/>
    <w:rsid w:val="00D54BE5"/>
    <w:rsid w:val="00D61641"/>
    <w:rsid w:val="00D622B4"/>
    <w:rsid w:val="00D64879"/>
    <w:rsid w:val="00D71B64"/>
    <w:rsid w:val="00D724FB"/>
    <w:rsid w:val="00D809D7"/>
    <w:rsid w:val="00D878FC"/>
    <w:rsid w:val="00D96685"/>
    <w:rsid w:val="00D968DA"/>
    <w:rsid w:val="00DA3609"/>
    <w:rsid w:val="00DA36AC"/>
    <w:rsid w:val="00DA7C34"/>
    <w:rsid w:val="00DB5CEA"/>
    <w:rsid w:val="00DC0910"/>
    <w:rsid w:val="00DC0A62"/>
    <w:rsid w:val="00DC0A6B"/>
    <w:rsid w:val="00DC3517"/>
    <w:rsid w:val="00DC3BB9"/>
    <w:rsid w:val="00DD0491"/>
    <w:rsid w:val="00DD0A52"/>
    <w:rsid w:val="00DD0B83"/>
    <w:rsid w:val="00DD40DE"/>
    <w:rsid w:val="00DD654D"/>
    <w:rsid w:val="00DD6F0E"/>
    <w:rsid w:val="00DD7CB6"/>
    <w:rsid w:val="00DE244C"/>
    <w:rsid w:val="00DE3B16"/>
    <w:rsid w:val="00DE4095"/>
    <w:rsid w:val="00DE47B1"/>
    <w:rsid w:val="00DE5A6A"/>
    <w:rsid w:val="00DF4917"/>
    <w:rsid w:val="00DF6355"/>
    <w:rsid w:val="00E014F1"/>
    <w:rsid w:val="00E1061E"/>
    <w:rsid w:val="00E12CA9"/>
    <w:rsid w:val="00E15747"/>
    <w:rsid w:val="00E161C9"/>
    <w:rsid w:val="00E1639D"/>
    <w:rsid w:val="00E20A37"/>
    <w:rsid w:val="00E23713"/>
    <w:rsid w:val="00E31477"/>
    <w:rsid w:val="00E37216"/>
    <w:rsid w:val="00E403C4"/>
    <w:rsid w:val="00E463E5"/>
    <w:rsid w:val="00E5412E"/>
    <w:rsid w:val="00E54B07"/>
    <w:rsid w:val="00E5735B"/>
    <w:rsid w:val="00E6110F"/>
    <w:rsid w:val="00E6255C"/>
    <w:rsid w:val="00E62BA6"/>
    <w:rsid w:val="00E63DD3"/>
    <w:rsid w:val="00E6659A"/>
    <w:rsid w:val="00E70935"/>
    <w:rsid w:val="00E73CE4"/>
    <w:rsid w:val="00E815A1"/>
    <w:rsid w:val="00E84EA1"/>
    <w:rsid w:val="00E852EA"/>
    <w:rsid w:val="00E85327"/>
    <w:rsid w:val="00E85C79"/>
    <w:rsid w:val="00E8620E"/>
    <w:rsid w:val="00E87565"/>
    <w:rsid w:val="00E93206"/>
    <w:rsid w:val="00E94311"/>
    <w:rsid w:val="00EA026B"/>
    <w:rsid w:val="00EA0FC1"/>
    <w:rsid w:val="00EA1543"/>
    <w:rsid w:val="00EA2B66"/>
    <w:rsid w:val="00EB22D2"/>
    <w:rsid w:val="00EB55D5"/>
    <w:rsid w:val="00EB5790"/>
    <w:rsid w:val="00EC3C8D"/>
    <w:rsid w:val="00EC5306"/>
    <w:rsid w:val="00ED0038"/>
    <w:rsid w:val="00ED072C"/>
    <w:rsid w:val="00ED18A0"/>
    <w:rsid w:val="00ED2247"/>
    <w:rsid w:val="00ED25C5"/>
    <w:rsid w:val="00ED523C"/>
    <w:rsid w:val="00EF05A4"/>
    <w:rsid w:val="00EF23B4"/>
    <w:rsid w:val="00EF65D0"/>
    <w:rsid w:val="00F00E7B"/>
    <w:rsid w:val="00F05B8A"/>
    <w:rsid w:val="00F11840"/>
    <w:rsid w:val="00F13BF4"/>
    <w:rsid w:val="00F14089"/>
    <w:rsid w:val="00F14B4B"/>
    <w:rsid w:val="00F176D7"/>
    <w:rsid w:val="00F17F00"/>
    <w:rsid w:val="00F2164B"/>
    <w:rsid w:val="00F21E02"/>
    <w:rsid w:val="00F2217F"/>
    <w:rsid w:val="00F33E7F"/>
    <w:rsid w:val="00F3429B"/>
    <w:rsid w:val="00F40FEE"/>
    <w:rsid w:val="00F41E3C"/>
    <w:rsid w:val="00F43360"/>
    <w:rsid w:val="00F475F8"/>
    <w:rsid w:val="00F5000C"/>
    <w:rsid w:val="00F5223B"/>
    <w:rsid w:val="00F537A1"/>
    <w:rsid w:val="00F54D40"/>
    <w:rsid w:val="00F5550D"/>
    <w:rsid w:val="00F5789A"/>
    <w:rsid w:val="00F618A0"/>
    <w:rsid w:val="00F6489B"/>
    <w:rsid w:val="00F64C9D"/>
    <w:rsid w:val="00F659A9"/>
    <w:rsid w:val="00F662D1"/>
    <w:rsid w:val="00F67C9A"/>
    <w:rsid w:val="00F67D6E"/>
    <w:rsid w:val="00F70DF3"/>
    <w:rsid w:val="00F7205F"/>
    <w:rsid w:val="00F7466B"/>
    <w:rsid w:val="00F74ECF"/>
    <w:rsid w:val="00F81B9D"/>
    <w:rsid w:val="00F842F1"/>
    <w:rsid w:val="00F87F47"/>
    <w:rsid w:val="00F93B31"/>
    <w:rsid w:val="00FA2269"/>
    <w:rsid w:val="00FB0B0E"/>
    <w:rsid w:val="00FB7C1A"/>
    <w:rsid w:val="00FC2DFB"/>
    <w:rsid w:val="00FC494E"/>
    <w:rsid w:val="00FC4B5B"/>
    <w:rsid w:val="00FD0089"/>
    <w:rsid w:val="00FD3792"/>
    <w:rsid w:val="00FE2FEE"/>
    <w:rsid w:val="00FE6A54"/>
    <w:rsid w:val="00FF0B26"/>
    <w:rsid w:val="00FF1B4F"/>
    <w:rsid w:val="00FF3A93"/>
    <w:rsid w:val="00FF43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77D40D3"/>
  <w15:docId w15:val="{5CF8C4ED-1DF7-41F4-A671-EC74F7C3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9E"/>
    <w:pPr>
      <w:spacing w:after="200" w:line="276" w:lineRule="auto"/>
    </w:pPr>
    <w:rPr>
      <w:sz w:val="22"/>
      <w:szCs w:val="22"/>
      <w:lang w:eastAsia="en-US"/>
    </w:rPr>
  </w:style>
  <w:style w:type="paragraph" w:styleId="Heading1">
    <w:name w:val="heading 1"/>
    <w:basedOn w:val="Normal"/>
    <w:next w:val="Normal"/>
    <w:link w:val="Heading1Char"/>
    <w:uiPriority w:val="9"/>
    <w:qFormat/>
    <w:rsid w:val="00DD6F0E"/>
    <w:pPr>
      <w:keepNext/>
      <w:pageBreakBefore/>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nhideWhenUsed/>
    <w:qFormat/>
    <w:rsid w:val="00BA0D9B"/>
    <w:pPr>
      <w:keepLines/>
      <w:spacing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594933"/>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594933"/>
    <w:pPr>
      <w:keepNext/>
      <w:spacing w:before="240" w:after="60"/>
      <w:outlineLvl w:val="3"/>
    </w:pPr>
    <w:rPr>
      <w:rFonts w:eastAsia="Times New Roman" w:cs="Calibri"/>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4CA1"/>
    <w:rPr>
      <w:rFonts w:eastAsia="MS Mincho" w:cs="Arial"/>
      <w:sz w:val="22"/>
      <w:szCs w:val="22"/>
      <w:lang w:val="en-US" w:eastAsia="ja-JP"/>
    </w:rPr>
  </w:style>
  <w:style w:type="character" w:customStyle="1" w:styleId="NoSpacingChar">
    <w:name w:val="No Spacing Char"/>
    <w:link w:val="NoSpacing"/>
    <w:uiPriority w:val="1"/>
    <w:rsid w:val="00954CA1"/>
    <w:rPr>
      <w:rFonts w:eastAsia="MS Mincho" w:cs="Arial"/>
      <w:sz w:val="22"/>
      <w:szCs w:val="22"/>
      <w:lang w:val="en-US" w:eastAsia="ja-JP"/>
    </w:rPr>
  </w:style>
  <w:style w:type="paragraph" w:styleId="BalloonText">
    <w:name w:val="Balloon Text"/>
    <w:basedOn w:val="Normal"/>
    <w:link w:val="BalloonTextChar"/>
    <w:uiPriority w:val="99"/>
    <w:semiHidden/>
    <w:unhideWhenUsed/>
    <w:rsid w:val="00954C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4CA1"/>
    <w:rPr>
      <w:rFonts w:ascii="Tahoma" w:hAnsi="Tahoma" w:cs="Tahoma"/>
      <w:sz w:val="16"/>
      <w:szCs w:val="16"/>
      <w:lang w:eastAsia="en-US"/>
    </w:rPr>
  </w:style>
  <w:style w:type="paragraph" w:styleId="Title">
    <w:name w:val="Title"/>
    <w:basedOn w:val="Normal"/>
    <w:next w:val="Normal"/>
    <w:link w:val="TitleChar"/>
    <w:uiPriority w:val="10"/>
    <w:qFormat/>
    <w:rsid w:val="00954CA1"/>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954CA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954CA1"/>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954CA1"/>
    <w:rPr>
      <w:rFonts w:ascii="Cambria" w:eastAsia="MS Gothic" w:hAnsi="Cambria"/>
      <w:i/>
      <w:iCs/>
      <w:color w:val="4F81BD"/>
      <w:spacing w:val="15"/>
      <w:sz w:val="24"/>
      <w:szCs w:val="24"/>
      <w:lang w:val="en-US" w:eastAsia="ja-JP"/>
    </w:rPr>
  </w:style>
  <w:style w:type="character" w:styleId="Hyperlink">
    <w:name w:val="Hyperlink"/>
    <w:uiPriority w:val="99"/>
    <w:unhideWhenUsed/>
    <w:rsid w:val="009D0CDA"/>
    <w:rPr>
      <w:color w:val="0000FF"/>
      <w:u w:val="single"/>
    </w:rPr>
  </w:style>
  <w:style w:type="character" w:customStyle="1" w:styleId="Heading1Char">
    <w:name w:val="Heading 1 Char"/>
    <w:link w:val="Heading1"/>
    <w:uiPriority w:val="9"/>
    <w:rsid w:val="00DD6F0E"/>
    <w:rPr>
      <w:rFonts w:eastAsia="Times New Roman" w:cs="Calibri"/>
      <w:bCs/>
      <w:color w:val="244061"/>
      <w:kern w:val="32"/>
      <w:sz w:val="52"/>
      <w:szCs w:val="52"/>
      <w:lang w:val="en-AU"/>
    </w:rPr>
  </w:style>
  <w:style w:type="paragraph" w:styleId="TOC1">
    <w:name w:val="toc 1"/>
    <w:basedOn w:val="Normal"/>
    <w:next w:val="Normal"/>
    <w:autoRedefine/>
    <w:uiPriority w:val="39"/>
    <w:unhideWhenUsed/>
    <w:qFormat/>
    <w:rsid w:val="00926552"/>
  </w:style>
  <w:style w:type="paragraph" w:styleId="TOCHeading">
    <w:name w:val="TOC Heading"/>
    <w:basedOn w:val="Heading1"/>
    <w:next w:val="Normal"/>
    <w:uiPriority w:val="39"/>
    <w:semiHidden/>
    <w:unhideWhenUsed/>
    <w:qFormat/>
    <w:rsid w:val="00926552"/>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926552"/>
    <w:pPr>
      <w:spacing w:after="100"/>
      <w:ind w:left="220"/>
    </w:pPr>
    <w:rPr>
      <w:rFonts w:eastAsia="MS Mincho" w:cs="Arial"/>
      <w:lang w:val="en-US" w:eastAsia="ja-JP"/>
    </w:rPr>
  </w:style>
  <w:style w:type="paragraph" w:styleId="TOC3">
    <w:name w:val="toc 3"/>
    <w:basedOn w:val="Normal"/>
    <w:next w:val="Normal"/>
    <w:autoRedefine/>
    <w:uiPriority w:val="39"/>
    <w:unhideWhenUsed/>
    <w:qFormat/>
    <w:rsid w:val="00926552"/>
    <w:pPr>
      <w:spacing w:after="100"/>
      <w:ind w:left="440"/>
    </w:pPr>
    <w:rPr>
      <w:rFonts w:eastAsia="MS Mincho" w:cs="Arial"/>
      <w:lang w:val="en-US" w:eastAsia="ja-JP"/>
    </w:rPr>
  </w:style>
  <w:style w:type="paragraph" w:styleId="Header">
    <w:name w:val="header"/>
    <w:basedOn w:val="Normal"/>
    <w:link w:val="HeaderChar"/>
    <w:uiPriority w:val="99"/>
    <w:unhideWhenUsed/>
    <w:rsid w:val="000D3F93"/>
    <w:pPr>
      <w:tabs>
        <w:tab w:val="center" w:pos="4513"/>
        <w:tab w:val="right" w:pos="9026"/>
      </w:tabs>
    </w:pPr>
  </w:style>
  <w:style w:type="character" w:customStyle="1" w:styleId="HeaderChar">
    <w:name w:val="Header Char"/>
    <w:link w:val="Header"/>
    <w:uiPriority w:val="99"/>
    <w:rsid w:val="000D3F93"/>
    <w:rPr>
      <w:sz w:val="22"/>
      <w:szCs w:val="22"/>
      <w:lang w:eastAsia="en-US"/>
    </w:rPr>
  </w:style>
  <w:style w:type="paragraph" w:styleId="Footer">
    <w:name w:val="footer"/>
    <w:basedOn w:val="Normal"/>
    <w:link w:val="FooterChar"/>
    <w:uiPriority w:val="99"/>
    <w:unhideWhenUsed/>
    <w:rsid w:val="000D3F93"/>
    <w:pPr>
      <w:tabs>
        <w:tab w:val="center" w:pos="4513"/>
        <w:tab w:val="right" w:pos="9026"/>
      </w:tabs>
    </w:pPr>
  </w:style>
  <w:style w:type="character" w:customStyle="1" w:styleId="FooterChar">
    <w:name w:val="Footer Char"/>
    <w:link w:val="Footer"/>
    <w:uiPriority w:val="99"/>
    <w:rsid w:val="000D3F93"/>
    <w:rPr>
      <w:sz w:val="22"/>
      <w:szCs w:val="22"/>
      <w:lang w:eastAsia="en-US"/>
    </w:rPr>
  </w:style>
  <w:style w:type="character" w:customStyle="1" w:styleId="Heading2Char">
    <w:name w:val="Heading 2 Char"/>
    <w:link w:val="Heading2"/>
    <w:rsid w:val="00BA0D9B"/>
    <w:rPr>
      <w:rFonts w:ascii="Calibri" w:eastAsia="Calibri" w:hAnsi="Calibri" w:cs="Times New Roman"/>
      <w:b/>
      <w:bCs/>
      <w:color w:val="365F91"/>
      <w:spacing w:val="10"/>
      <w:sz w:val="32"/>
      <w:szCs w:val="32"/>
    </w:rPr>
  </w:style>
  <w:style w:type="character" w:customStyle="1" w:styleId="Heading3Char">
    <w:name w:val="Heading 3 Char"/>
    <w:link w:val="Heading3"/>
    <w:uiPriority w:val="9"/>
    <w:rsid w:val="00594933"/>
    <w:rPr>
      <w:rFonts w:eastAsia="Times New Roman" w:cs="Calibri"/>
      <w:b/>
      <w:bCs/>
      <w:color w:val="4F81BD"/>
      <w:sz w:val="28"/>
      <w:szCs w:val="28"/>
      <w:lang w:eastAsia="ja-JP"/>
    </w:rPr>
  </w:style>
  <w:style w:type="character" w:customStyle="1" w:styleId="Heading4Char">
    <w:name w:val="Heading 4 Char"/>
    <w:link w:val="Heading4"/>
    <w:uiPriority w:val="9"/>
    <w:rsid w:val="00594933"/>
    <w:rPr>
      <w:rFonts w:eastAsia="Times New Roman" w:cs="Calibri"/>
      <w:b/>
      <w:bCs/>
      <w:color w:val="4F81BD"/>
      <w:sz w:val="24"/>
      <w:szCs w:val="24"/>
      <w:lang w:val="en-AU"/>
    </w:rPr>
  </w:style>
  <w:style w:type="paragraph" w:styleId="TOC4">
    <w:name w:val="toc 4"/>
    <w:basedOn w:val="Normal"/>
    <w:next w:val="Normal"/>
    <w:autoRedefine/>
    <w:uiPriority w:val="39"/>
    <w:unhideWhenUsed/>
    <w:rsid w:val="00617AE2"/>
    <w:pPr>
      <w:ind w:left="660"/>
    </w:pPr>
  </w:style>
  <w:style w:type="character" w:styleId="CommentReference">
    <w:name w:val="annotation reference"/>
    <w:uiPriority w:val="99"/>
    <w:semiHidden/>
    <w:unhideWhenUsed/>
    <w:rsid w:val="004822C2"/>
    <w:rPr>
      <w:sz w:val="16"/>
      <w:szCs w:val="16"/>
    </w:rPr>
  </w:style>
  <w:style w:type="paragraph" w:styleId="CommentText">
    <w:name w:val="annotation text"/>
    <w:basedOn w:val="Normal"/>
    <w:link w:val="CommentTextChar"/>
    <w:uiPriority w:val="99"/>
    <w:semiHidden/>
    <w:unhideWhenUsed/>
    <w:rsid w:val="004822C2"/>
    <w:rPr>
      <w:sz w:val="20"/>
      <w:szCs w:val="20"/>
    </w:rPr>
  </w:style>
  <w:style w:type="character" w:customStyle="1" w:styleId="CommentTextChar">
    <w:name w:val="Comment Text Char"/>
    <w:link w:val="CommentText"/>
    <w:uiPriority w:val="99"/>
    <w:semiHidden/>
    <w:rsid w:val="004822C2"/>
    <w:rPr>
      <w:lang w:eastAsia="en-US"/>
    </w:rPr>
  </w:style>
  <w:style w:type="paragraph" w:styleId="CommentSubject">
    <w:name w:val="annotation subject"/>
    <w:basedOn w:val="CommentText"/>
    <w:next w:val="CommentText"/>
    <w:link w:val="CommentSubjectChar"/>
    <w:uiPriority w:val="99"/>
    <w:semiHidden/>
    <w:unhideWhenUsed/>
    <w:rsid w:val="004822C2"/>
    <w:rPr>
      <w:b/>
      <w:bCs/>
    </w:rPr>
  </w:style>
  <w:style w:type="character" w:customStyle="1" w:styleId="CommentSubjectChar">
    <w:name w:val="Comment Subject Char"/>
    <w:link w:val="CommentSubject"/>
    <w:uiPriority w:val="99"/>
    <w:semiHidden/>
    <w:rsid w:val="004822C2"/>
    <w:rPr>
      <w:b/>
      <w:bCs/>
      <w:lang w:eastAsia="en-US"/>
    </w:rPr>
  </w:style>
  <w:style w:type="character" w:styleId="IntenseEmphasis">
    <w:name w:val="Intense Emphasis"/>
    <w:uiPriority w:val="21"/>
    <w:qFormat/>
    <w:rsid w:val="004822C2"/>
    <w:rPr>
      <w:b/>
      <w:bCs/>
      <w:i/>
      <w:iCs/>
      <w:color w:val="4F81BD"/>
    </w:rPr>
  </w:style>
  <w:style w:type="paragraph" w:customStyle="1" w:styleId="Glossary">
    <w:name w:val="Glossary"/>
    <w:basedOn w:val="NoSpacing"/>
    <w:link w:val="GlossaryChar"/>
    <w:qFormat/>
    <w:rsid w:val="00440694"/>
    <w:pPr>
      <w:ind w:left="993" w:hanging="993"/>
    </w:pPr>
  </w:style>
  <w:style w:type="paragraph" w:customStyle="1" w:styleId="Title1">
    <w:name w:val="Title1"/>
    <w:next w:val="Normal"/>
    <w:link w:val="TITLEChar0"/>
    <w:qFormat/>
    <w:rsid w:val="00824A9E"/>
    <w:pPr>
      <w:spacing w:after="120" w:line="840" w:lineRule="exact"/>
    </w:pPr>
    <w:rPr>
      <w:rFonts w:ascii="Arial" w:hAnsi="Arial" w:cs="Calibri"/>
      <w:noProof/>
      <w:color w:val="000000"/>
      <w:spacing w:val="10"/>
      <w:sz w:val="72"/>
      <w:szCs w:val="84"/>
      <w:lang w:val="en-US" w:eastAsia="en-US"/>
    </w:rPr>
  </w:style>
  <w:style w:type="character" w:customStyle="1" w:styleId="GlossaryChar">
    <w:name w:val="Glossary Char"/>
    <w:link w:val="Glossary"/>
    <w:rsid w:val="00440694"/>
    <w:rPr>
      <w:rFonts w:eastAsia="MS Mincho" w:cs="Arial"/>
      <w:sz w:val="22"/>
      <w:szCs w:val="22"/>
      <w:lang w:val="en-US" w:eastAsia="ja-JP"/>
    </w:rPr>
  </w:style>
  <w:style w:type="character" w:customStyle="1" w:styleId="TITLEChar0">
    <w:name w:val="TITLE Char"/>
    <w:link w:val="Title1"/>
    <w:rsid w:val="00824A9E"/>
    <w:rPr>
      <w:rFonts w:ascii="Arial" w:hAnsi="Arial" w:cs="Calibri"/>
      <w:noProof/>
      <w:color w:val="000000"/>
      <w:spacing w:val="10"/>
      <w:sz w:val="72"/>
      <w:szCs w:val="84"/>
    </w:rPr>
  </w:style>
  <w:style w:type="paragraph" w:customStyle="1" w:styleId="TITLE2">
    <w:name w:val="TITLE 2"/>
    <w:basedOn w:val="Normal"/>
    <w:rsid w:val="00824A9E"/>
    <w:pPr>
      <w:spacing w:line="520" w:lineRule="exact"/>
      <w:ind w:left="-7"/>
      <w:jc w:val="center"/>
    </w:pPr>
    <w:rPr>
      <w:spacing w:val="7"/>
      <w:sz w:val="40"/>
      <w:szCs w:val="42"/>
      <w:lang w:val="en-US"/>
    </w:rPr>
  </w:style>
  <w:style w:type="paragraph" w:styleId="FootnoteText">
    <w:name w:val="footnote text"/>
    <w:basedOn w:val="Normal"/>
    <w:link w:val="FootnoteTextChar"/>
    <w:autoRedefine/>
    <w:uiPriority w:val="99"/>
    <w:unhideWhenUsed/>
    <w:qFormat/>
    <w:rsid w:val="00CE62F4"/>
    <w:pPr>
      <w:spacing w:after="0" w:line="240" w:lineRule="auto"/>
    </w:pPr>
    <w:rPr>
      <w:rFonts w:eastAsia="MS Mincho"/>
      <w:sz w:val="20"/>
      <w:szCs w:val="24"/>
      <w:lang w:eastAsia="en-AU"/>
    </w:rPr>
  </w:style>
  <w:style w:type="character" w:customStyle="1" w:styleId="FootnoteTextChar">
    <w:name w:val="Footnote Text Char"/>
    <w:link w:val="FootnoteText"/>
    <w:uiPriority w:val="99"/>
    <w:rsid w:val="00CE62F4"/>
    <w:rPr>
      <w:rFonts w:eastAsia="MS Mincho"/>
      <w:szCs w:val="24"/>
    </w:rPr>
  </w:style>
  <w:style w:type="character" w:styleId="FootnoteReference">
    <w:name w:val="footnote reference"/>
    <w:aliases w:val="(NECG) Footnote Reference"/>
    <w:uiPriority w:val="99"/>
    <w:unhideWhenUsed/>
    <w:rsid w:val="00A555FF"/>
    <w:rPr>
      <w:vertAlign w:val="superscript"/>
    </w:rPr>
  </w:style>
  <w:style w:type="paragraph" w:styleId="Caption">
    <w:name w:val="caption"/>
    <w:basedOn w:val="Normal"/>
    <w:next w:val="Normal"/>
    <w:uiPriority w:val="35"/>
    <w:unhideWhenUsed/>
    <w:qFormat/>
    <w:rsid w:val="00A555FF"/>
    <w:pPr>
      <w:spacing w:after="120" w:line="288" w:lineRule="auto"/>
    </w:pPr>
    <w:rPr>
      <w:rFonts w:ascii="Arial" w:eastAsia="Cambria" w:hAnsi="Arial" w:cs="Cambria"/>
      <w:b/>
      <w:bCs/>
      <w:sz w:val="20"/>
      <w:szCs w:val="20"/>
      <w:lang w:eastAsia="en-AU"/>
    </w:rPr>
  </w:style>
  <w:style w:type="table" w:styleId="LightList-Accent1">
    <w:name w:val="Light List Accent 1"/>
    <w:basedOn w:val="TableNormal"/>
    <w:uiPriority w:val="61"/>
    <w:rsid w:val="00807AD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uiPriority w:val="99"/>
    <w:semiHidden/>
    <w:unhideWhenUsed/>
    <w:rsid w:val="00A41C46"/>
    <w:rPr>
      <w:color w:val="800080"/>
      <w:u w:val="single"/>
    </w:rPr>
  </w:style>
  <w:style w:type="paragraph" w:styleId="Bibliography">
    <w:name w:val="Bibliography"/>
    <w:basedOn w:val="Normal"/>
    <w:next w:val="Normal"/>
    <w:uiPriority w:val="37"/>
    <w:unhideWhenUsed/>
    <w:rsid w:val="00C86152"/>
    <w:pPr>
      <w:spacing w:after="0" w:line="240" w:lineRule="auto"/>
      <w:ind w:left="720" w:hanging="720"/>
    </w:pPr>
  </w:style>
  <w:style w:type="paragraph" w:styleId="ListParagraph">
    <w:name w:val="List Paragraph"/>
    <w:basedOn w:val="Normal"/>
    <w:link w:val="ListParagraphChar"/>
    <w:uiPriority w:val="34"/>
    <w:qFormat/>
    <w:rsid w:val="00C77367"/>
    <w:pPr>
      <w:spacing w:after="120"/>
      <w:ind w:left="720"/>
      <w:contextualSpacing/>
    </w:pPr>
    <w:rPr>
      <w:rFonts w:eastAsia="Times New Roman" w:cs="Arial"/>
      <w:sz w:val="24"/>
    </w:rPr>
  </w:style>
  <w:style w:type="character" w:customStyle="1" w:styleId="ListParagraphChar">
    <w:name w:val="List Paragraph Char"/>
    <w:link w:val="ListParagraph"/>
    <w:uiPriority w:val="34"/>
    <w:rsid w:val="00C77367"/>
    <w:rPr>
      <w:rFonts w:eastAsia="Times New Roman" w:cs="Arial"/>
      <w:sz w:val="24"/>
      <w:szCs w:val="22"/>
      <w:lang w:eastAsia="en-US"/>
    </w:rPr>
  </w:style>
  <w:style w:type="paragraph" w:customStyle="1" w:styleId="Level1">
    <w:name w:val="Level 1"/>
    <w:next w:val="Normal"/>
    <w:rsid w:val="007F156F"/>
    <w:pPr>
      <w:keepNext/>
      <w:numPr>
        <w:numId w:val="21"/>
      </w:numPr>
      <w:spacing w:before="480" w:after="60"/>
      <w:outlineLvl w:val="1"/>
    </w:pPr>
    <w:rPr>
      <w:rFonts w:ascii="Times New Roman" w:eastAsia="Times New Roman" w:hAnsi="Times New Roman" w:cs="Arial"/>
      <w:b/>
      <w:bCs/>
      <w:kern w:val="32"/>
      <w:sz w:val="28"/>
      <w:szCs w:val="32"/>
    </w:rPr>
  </w:style>
  <w:style w:type="paragraph" w:customStyle="1" w:styleId="Level2">
    <w:name w:val="Level 2"/>
    <w:next w:val="Normal"/>
    <w:rsid w:val="007F156F"/>
    <w:pPr>
      <w:numPr>
        <w:ilvl w:val="1"/>
        <w:numId w:val="21"/>
      </w:numPr>
      <w:spacing w:before="200" w:after="60"/>
      <w:jc w:val="both"/>
      <w:outlineLvl w:val="2"/>
    </w:pPr>
    <w:rPr>
      <w:rFonts w:ascii="Times New Roman" w:eastAsia="Times New Roman" w:hAnsi="Times New Roman"/>
      <w:bCs/>
      <w:iCs/>
      <w:sz w:val="24"/>
      <w:szCs w:val="28"/>
    </w:rPr>
  </w:style>
  <w:style w:type="paragraph" w:customStyle="1" w:styleId="Level3">
    <w:name w:val="Level 3"/>
    <w:basedOn w:val="Normal"/>
    <w:next w:val="Normal"/>
    <w:rsid w:val="007F156F"/>
    <w:pPr>
      <w:numPr>
        <w:ilvl w:val="2"/>
        <w:numId w:val="21"/>
      </w:numPr>
      <w:tabs>
        <w:tab w:val="clear" w:pos="1418"/>
      </w:tabs>
      <w:spacing w:after="160" w:line="256" w:lineRule="auto"/>
      <w:ind w:left="2160" w:hanging="360"/>
    </w:pPr>
  </w:style>
  <w:style w:type="character" w:customStyle="1" w:styleId="Block1Char">
    <w:name w:val="Block 1 Char"/>
    <w:link w:val="Block1"/>
    <w:locked/>
    <w:rsid w:val="007F156F"/>
    <w:rPr>
      <w:sz w:val="22"/>
      <w:szCs w:val="22"/>
      <w:lang w:eastAsia="en-US"/>
    </w:rPr>
  </w:style>
  <w:style w:type="paragraph" w:customStyle="1" w:styleId="Block1">
    <w:name w:val="Block 1"/>
    <w:basedOn w:val="Normal"/>
    <w:next w:val="Normal"/>
    <w:link w:val="Block1Char"/>
    <w:rsid w:val="007F156F"/>
    <w:pPr>
      <w:spacing w:after="160" w:line="256" w:lineRule="auto"/>
      <w:ind w:left="851"/>
    </w:pPr>
  </w:style>
  <w:style w:type="paragraph" w:customStyle="1" w:styleId="Level4">
    <w:name w:val="Level 4"/>
    <w:basedOn w:val="Normal"/>
    <w:next w:val="Normal"/>
    <w:rsid w:val="007F156F"/>
    <w:pPr>
      <w:numPr>
        <w:ilvl w:val="3"/>
        <w:numId w:val="21"/>
      </w:numPr>
      <w:tabs>
        <w:tab w:val="clear" w:pos="1985"/>
      </w:tabs>
      <w:spacing w:after="160" w:line="256" w:lineRule="auto"/>
      <w:ind w:left="2880" w:hanging="360"/>
      <w:outlineLvl w:val="3"/>
    </w:pPr>
    <w:rPr>
      <w:bCs/>
      <w:szCs w:val="28"/>
    </w:rPr>
  </w:style>
  <w:style w:type="character" w:customStyle="1" w:styleId="Level2BoldChar">
    <w:name w:val="Level 2 Bold Char"/>
    <w:link w:val="Level2Bold"/>
    <w:locked/>
    <w:rsid w:val="007F156F"/>
    <w:rPr>
      <w:b/>
      <w:bCs/>
      <w:iCs/>
      <w:sz w:val="24"/>
      <w:szCs w:val="28"/>
    </w:rPr>
  </w:style>
  <w:style w:type="paragraph" w:customStyle="1" w:styleId="Level2Bold">
    <w:name w:val="Level 2 Bold"/>
    <w:basedOn w:val="Level2"/>
    <w:next w:val="Normal"/>
    <w:link w:val="Level2BoldChar"/>
    <w:rsid w:val="007F156F"/>
    <w:pPr>
      <w:keepNext/>
      <w:jc w:val="left"/>
    </w:pPr>
    <w:rPr>
      <w:rFonts w:ascii="Calibri" w:eastAsia="Calibri" w:hAnsi="Calibri"/>
      <w:b/>
    </w:rPr>
  </w:style>
  <w:style w:type="character" w:styleId="UnresolvedMention">
    <w:name w:val="Unresolved Mention"/>
    <w:uiPriority w:val="99"/>
    <w:semiHidden/>
    <w:unhideWhenUsed/>
    <w:rsid w:val="007975AD"/>
    <w:rPr>
      <w:color w:val="605E5C"/>
      <w:shd w:val="clear" w:color="auto" w:fill="E1DFDD"/>
    </w:rPr>
  </w:style>
  <w:style w:type="character" w:styleId="EndnoteReference">
    <w:name w:val="endnote reference"/>
    <w:basedOn w:val="DefaultParagraphFont"/>
    <w:uiPriority w:val="99"/>
    <w:semiHidden/>
    <w:unhideWhenUsed/>
    <w:rsid w:val="00AC345D"/>
    <w:rPr>
      <w:vertAlign w:val="superscript"/>
    </w:rPr>
  </w:style>
  <w:style w:type="paragraph" w:styleId="TableofFigures">
    <w:name w:val="table of figures"/>
    <w:basedOn w:val="Normal"/>
    <w:next w:val="Normal"/>
    <w:uiPriority w:val="99"/>
    <w:unhideWhenUsed/>
    <w:rsid w:val="00F842F1"/>
    <w:pPr>
      <w:spacing w:after="0"/>
    </w:pPr>
  </w:style>
  <w:style w:type="table" w:styleId="TableGrid">
    <w:name w:val="Table Grid"/>
    <w:basedOn w:val="TableNormal"/>
    <w:uiPriority w:val="59"/>
    <w:rsid w:val="00496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1557">
      <w:bodyDiv w:val="1"/>
      <w:marLeft w:val="0"/>
      <w:marRight w:val="0"/>
      <w:marTop w:val="0"/>
      <w:marBottom w:val="0"/>
      <w:divBdr>
        <w:top w:val="none" w:sz="0" w:space="0" w:color="auto"/>
        <w:left w:val="none" w:sz="0" w:space="0" w:color="auto"/>
        <w:bottom w:val="none" w:sz="0" w:space="0" w:color="auto"/>
        <w:right w:val="none" w:sz="0" w:space="0" w:color="auto"/>
      </w:divBdr>
    </w:div>
    <w:div w:id="94592781">
      <w:bodyDiv w:val="1"/>
      <w:marLeft w:val="0"/>
      <w:marRight w:val="0"/>
      <w:marTop w:val="0"/>
      <w:marBottom w:val="0"/>
      <w:divBdr>
        <w:top w:val="none" w:sz="0" w:space="0" w:color="auto"/>
        <w:left w:val="none" w:sz="0" w:space="0" w:color="auto"/>
        <w:bottom w:val="none" w:sz="0" w:space="0" w:color="auto"/>
        <w:right w:val="none" w:sz="0" w:space="0" w:color="auto"/>
      </w:divBdr>
    </w:div>
    <w:div w:id="156238452">
      <w:bodyDiv w:val="1"/>
      <w:marLeft w:val="0"/>
      <w:marRight w:val="0"/>
      <w:marTop w:val="0"/>
      <w:marBottom w:val="0"/>
      <w:divBdr>
        <w:top w:val="none" w:sz="0" w:space="0" w:color="auto"/>
        <w:left w:val="none" w:sz="0" w:space="0" w:color="auto"/>
        <w:bottom w:val="none" w:sz="0" w:space="0" w:color="auto"/>
        <w:right w:val="none" w:sz="0" w:space="0" w:color="auto"/>
      </w:divBdr>
    </w:div>
    <w:div w:id="986516436">
      <w:bodyDiv w:val="1"/>
      <w:marLeft w:val="0"/>
      <w:marRight w:val="0"/>
      <w:marTop w:val="0"/>
      <w:marBottom w:val="0"/>
      <w:divBdr>
        <w:top w:val="none" w:sz="0" w:space="0" w:color="auto"/>
        <w:left w:val="none" w:sz="0" w:space="0" w:color="auto"/>
        <w:bottom w:val="none" w:sz="0" w:space="0" w:color="auto"/>
        <w:right w:val="none" w:sz="0" w:space="0" w:color="auto"/>
      </w:divBdr>
    </w:div>
    <w:div w:id="1401103001">
      <w:bodyDiv w:val="1"/>
      <w:marLeft w:val="0"/>
      <w:marRight w:val="0"/>
      <w:marTop w:val="0"/>
      <w:marBottom w:val="0"/>
      <w:divBdr>
        <w:top w:val="none" w:sz="0" w:space="0" w:color="auto"/>
        <w:left w:val="none" w:sz="0" w:space="0" w:color="auto"/>
        <w:bottom w:val="none" w:sz="0" w:space="0" w:color="auto"/>
        <w:right w:val="none" w:sz="0" w:space="0" w:color="auto"/>
      </w:divBdr>
    </w:div>
    <w:div w:id="1808546287">
      <w:bodyDiv w:val="1"/>
      <w:marLeft w:val="0"/>
      <w:marRight w:val="0"/>
      <w:marTop w:val="0"/>
      <w:marBottom w:val="0"/>
      <w:divBdr>
        <w:top w:val="none" w:sz="0" w:space="0" w:color="auto"/>
        <w:left w:val="none" w:sz="0" w:space="0" w:color="auto"/>
        <w:bottom w:val="none" w:sz="0" w:space="0" w:color="auto"/>
        <w:right w:val="none" w:sz="0" w:space="0" w:color="auto"/>
      </w:divBdr>
    </w:div>
    <w:div w:id="1967346862">
      <w:bodyDiv w:val="1"/>
      <w:marLeft w:val="0"/>
      <w:marRight w:val="0"/>
      <w:marTop w:val="0"/>
      <w:marBottom w:val="0"/>
      <w:divBdr>
        <w:top w:val="none" w:sz="0" w:space="0" w:color="auto"/>
        <w:left w:val="none" w:sz="0" w:space="0" w:color="auto"/>
        <w:bottom w:val="none" w:sz="0" w:space="0" w:color="auto"/>
        <w:right w:val="none" w:sz="0" w:space="0" w:color="auto"/>
      </w:divBdr>
    </w:div>
    <w:div w:id="2092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ccan.org.au/" TargetMode="External"/><Relationship Id="rId26" Type="http://schemas.openxmlformats.org/officeDocument/2006/relationships/footer" Target="footer2.xml"/><Relationship Id="rId39" Type="http://schemas.openxmlformats.org/officeDocument/2006/relationships/chart" Target="charts/chart5.xml"/><Relationship Id="rId21" Type="http://schemas.openxmlformats.org/officeDocument/2006/relationships/image" Target="media/image3.png"/><Relationship Id="rId34" Type="http://schemas.openxmlformats.org/officeDocument/2006/relationships/diagramColors" Target="diagrams/colors1.xml"/><Relationship Id="rId42" Type="http://schemas.openxmlformats.org/officeDocument/2006/relationships/chart" Target="charts/chart7.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acoss.org.au"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diagramLayout" Target="diagrams/layout1.xml"/><Relationship Id="rId37" Type="http://schemas.openxmlformats.org/officeDocument/2006/relationships/image" Target="cid:image002.png@01D65901.93D22330" TargetMode="External"/><Relationship Id="rId40" Type="http://schemas.openxmlformats.org/officeDocument/2006/relationships/image" Target="media/image6.png"/><Relationship Id="rId45" Type="http://schemas.openxmlformats.org/officeDocument/2006/relationships/chart" Target="charts/chart10.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chart" Target="charts/chart1.xm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mailto:grants@accan.org.au" TargetMode="External"/><Relationship Id="rId31" Type="http://schemas.openxmlformats.org/officeDocument/2006/relationships/diagramData" Target="diagrams/data1.xml"/><Relationship Id="rId44" Type="http://schemas.openxmlformats.org/officeDocument/2006/relationships/chart" Target="charts/chart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creativecommons.org/licenses/by/4.0/" TargetMode="External"/><Relationship Id="rId27" Type="http://schemas.openxmlformats.org/officeDocument/2006/relationships/image" Target="media/image4.jpeg"/><Relationship Id="rId30" Type="http://schemas.openxmlformats.org/officeDocument/2006/relationships/chart" Target="charts/chart3.xml"/><Relationship Id="rId35" Type="http://schemas.microsoft.com/office/2007/relationships/diagramDrawing" Target="diagrams/drawing1.xml"/><Relationship Id="rId43" Type="http://schemas.openxmlformats.org/officeDocument/2006/relationships/chart" Target="charts/chart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greg@sacoss.org.au" TargetMode="External"/><Relationship Id="rId25" Type="http://schemas.openxmlformats.org/officeDocument/2006/relationships/header" Target="header5.xml"/><Relationship Id="rId33" Type="http://schemas.openxmlformats.org/officeDocument/2006/relationships/diagramQuickStyle" Target="diagrams/quickStyle1.xml"/><Relationship Id="rId38" Type="http://schemas.openxmlformats.org/officeDocument/2006/relationships/chart" Target="charts/chart4.xml"/><Relationship Id="rId46" Type="http://schemas.openxmlformats.org/officeDocument/2006/relationships/fontTable" Target="fontTable.xml"/><Relationship Id="rId20" Type="http://schemas.openxmlformats.org/officeDocument/2006/relationships/hyperlink" Target="https://www.communications.gov.au/what-we-do/phone/services-people-disability/accesshub/national-relay-service/service-features/national-relay-service-call-numbers" TargetMode="External"/><Relationship Id="rId41" Type="http://schemas.openxmlformats.org/officeDocument/2006/relationships/chart" Target="charts/chart6.xml"/></Relationships>
</file>

<file path=word/_rels/settings.xml.rels><?xml version="1.0" encoding="UTF-8" standalone="yes"?>
<Relationships xmlns="http://schemas.openxmlformats.org/package/2006/relationships"><Relationship Id="rId1" Type="http://schemas.openxmlformats.org/officeDocument/2006/relationships/attachedTemplate" Target="file:///W:\Work%20-%20Social%20Justice%20Policy%20Issues\Digital%20Inclusion\ACCAN%20Grant%202019%20-%20Waged%20Poor\Admin\ACCAN%20Grants%20Program%20report%20template.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SBS2011\RedirectedFolders\greg\Desktop\Copy%20of%20190827_Working%20Poor%20Analysis_2.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Rebecca\Desktop\200408_3.4.%20MR0046_BecAnalysis_GO%20graphs.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SBS2011\RedirectedFolders\greg\Desktop\Copy%20of%20190827_Working%20Poor%20Analysis_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BS2011\RedirectedFolders\greg\Desktop\Copy%20of%20190827_Working%20Poor%20Analysis_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greg\AppData\Local\Microsoft\Windows\INetCache\Content.Outlook\6L7OH5CY\200408_3.4.%20MR0046_BecAnalysis_GO%20graph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SBS2011\RedirectedFolders\greg\Desktop\200405_3.4.%20MR0046_BecAnalysis_GO%20graph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SBS2011\RedirectedFolders\greg\Desktop\200405_3.4.%20MR0046_BecAnalysis_GO%20graph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cnccorp\Desktop\Telco%20Waged%20Poor\WP%20Back%20up\200408_3.4.%20MR0046_BecAnalysis_GO%20graphs.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cnccorp\Desktop\Telco%20Waged%20Poor\WP%20Back%20up\200408_3.4.%20MR0046_BecAnalysis_GO%20graphs.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SBS2011\RedirectedFolders\greg\Desktop\200405_3.4.%20MR0046_BecAnalysis_GO%20graphs.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Graphs!$B$36</c:f>
              <c:strCache>
                <c:ptCount val="1"/>
                <c:pt idx="0">
                  <c:v>Waged Poor</c:v>
                </c:pt>
              </c:strCache>
            </c:strRef>
          </c:tx>
          <c:invertIfNegative val="0"/>
          <c:cat>
            <c:strRef>
              <c:f>Graphs!$A$37:$A$41</c:f>
              <c:strCache>
                <c:ptCount val="5"/>
                <c:pt idx="0">
                  <c:v>Couple, children</c:v>
                </c:pt>
                <c:pt idx="1">
                  <c:v>Couple, no children</c:v>
                </c:pt>
                <c:pt idx="2">
                  <c:v>Single, no children</c:v>
                </c:pt>
                <c:pt idx="3">
                  <c:v>Single, children</c:v>
                </c:pt>
                <c:pt idx="4">
                  <c:v>Other</c:v>
                </c:pt>
              </c:strCache>
            </c:strRef>
          </c:cat>
          <c:val>
            <c:numRef>
              <c:f>Graphs!$B$37:$B$41</c:f>
              <c:numCache>
                <c:formatCode>0.00%</c:formatCode>
                <c:ptCount val="5"/>
                <c:pt idx="0">
                  <c:v>0.35010266565416698</c:v>
                </c:pt>
                <c:pt idx="1">
                  <c:v>0.20741198458751431</c:v>
                </c:pt>
                <c:pt idx="2">
                  <c:v>0.25312733499000273</c:v>
                </c:pt>
                <c:pt idx="3">
                  <c:v>0.10010597279944414</c:v>
                </c:pt>
                <c:pt idx="4">
                  <c:v>8.9252041968871793E-2</c:v>
                </c:pt>
              </c:numCache>
            </c:numRef>
          </c:val>
          <c:extLst>
            <c:ext xmlns:c16="http://schemas.microsoft.com/office/drawing/2014/chart" uri="{C3380CC4-5D6E-409C-BE32-E72D297353CC}">
              <c16:uniqueId val="{00000000-AA60-4B7B-8B19-1FCDCB2B5167}"/>
            </c:ext>
          </c:extLst>
        </c:ser>
        <c:ser>
          <c:idx val="1"/>
          <c:order val="1"/>
          <c:tx>
            <c:strRef>
              <c:f>Graphs!$C$36</c:f>
              <c:strCache>
                <c:ptCount val="1"/>
                <c:pt idx="0">
                  <c:v>Income Support Poverty</c:v>
                </c:pt>
              </c:strCache>
            </c:strRef>
          </c:tx>
          <c:invertIfNegative val="0"/>
          <c:cat>
            <c:strRef>
              <c:f>Graphs!$A$37:$A$41</c:f>
              <c:strCache>
                <c:ptCount val="5"/>
                <c:pt idx="0">
                  <c:v>Couple, children</c:v>
                </c:pt>
                <c:pt idx="1">
                  <c:v>Couple, no children</c:v>
                </c:pt>
                <c:pt idx="2">
                  <c:v>Single, no children</c:v>
                </c:pt>
                <c:pt idx="3">
                  <c:v>Single, children</c:v>
                </c:pt>
                <c:pt idx="4">
                  <c:v>Other</c:v>
                </c:pt>
              </c:strCache>
            </c:strRef>
          </c:cat>
          <c:val>
            <c:numRef>
              <c:f>Graphs!$C$37:$C$41</c:f>
              <c:numCache>
                <c:formatCode>0.00%</c:formatCode>
                <c:ptCount val="5"/>
                <c:pt idx="0">
                  <c:v>9.9963825234048551E-2</c:v>
                </c:pt>
                <c:pt idx="1">
                  <c:v>0.16504900894665661</c:v>
                </c:pt>
                <c:pt idx="2">
                  <c:v>0.50693061617571866</c:v>
                </c:pt>
                <c:pt idx="3">
                  <c:v>0.17966507110601918</c:v>
                </c:pt>
                <c:pt idx="4">
                  <c:v>4.8391478537556834E-2</c:v>
                </c:pt>
              </c:numCache>
            </c:numRef>
          </c:val>
          <c:extLst>
            <c:ext xmlns:c16="http://schemas.microsoft.com/office/drawing/2014/chart" uri="{C3380CC4-5D6E-409C-BE32-E72D297353CC}">
              <c16:uniqueId val="{00000001-AA60-4B7B-8B19-1FCDCB2B5167}"/>
            </c:ext>
          </c:extLst>
        </c:ser>
        <c:ser>
          <c:idx val="3"/>
          <c:order val="2"/>
          <c:tx>
            <c:strRef>
              <c:f>Graphs!$E$36</c:f>
              <c:strCache>
                <c:ptCount val="1"/>
                <c:pt idx="0">
                  <c:v>All Households</c:v>
                </c:pt>
              </c:strCache>
            </c:strRef>
          </c:tx>
          <c:spPr>
            <a:solidFill>
              <a:schemeClr val="tx1"/>
            </a:solidFill>
          </c:spPr>
          <c:invertIfNegative val="0"/>
          <c:cat>
            <c:strRef>
              <c:f>Graphs!$A$37:$A$41</c:f>
              <c:strCache>
                <c:ptCount val="5"/>
                <c:pt idx="0">
                  <c:v>Couple, children</c:v>
                </c:pt>
                <c:pt idx="1">
                  <c:v>Couple, no children</c:v>
                </c:pt>
                <c:pt idx="2">
                  <c:v>Single, no children</c:v>
                </c:pt>
                <c:pt idx="3">
                  <c:v>Single, children</c:v>
                </c:pt>
                <c:pt idx="4">
                  <c:v>Other</c:v>
                </c:pt>
              </c:strCache>
            </c:strRef>
          </c:cat>
          <c:val>
            <c:numRef>
              <c:f>Graphs!$E$37:$E$41</c:f>
              <c:numCache>
                <c:formatCode>0.00%</c:formatCode>
                <c:ptCount val="5"/>
                <c:pt idx="0">
                  <c:v>0.31694483461276107</c:v>
                </c:pt>
                <c:pt idx="1">
                  <c:v>0.27547460144114805</c:v>
                </c:pt>
                <c:pt idx="2">
                  <c:v>0.26506878996227357</c:v>
                </c:pt>
                <c:pt idx="3">
                  <c:v>6.1833733015293275E-2</c:v>
                </c:pt>
                <c:pt idx="4">
                  <c:v>8.0678040968523906E-2</c:v>
                </c:pt>
              </c:numCache>
            </c:numRef>
          </c:val>
          <c:extLst>
            <c:ext xmlns:c16="http://schemas.microsoft.com/office/drawing/2014/chart" uri="{C3380CC4-5D6E-409C-BE32-E72D297353CC}">
              <c16:uniqueId val="{00000003-AA60-4B7B-8B19-1FCDCB2B5167}"/>
            </c:ext>
          </c:extLst>
        </c:ser>
        <c:dLbls>
          <c:showLegendKey val="0"/>
          <c:showVal val="0"/>
          <c:showCatName val="0"/>
          <c:showSerName val="0"/>
          <c:showPercent val="0"/>
          <c:showBubbleSize val="0"/>
        </c:dLbls>
        <c:gapWidth val="150"/>
        <c:axId val="271347712"/>
        <c:axId val="271349248"/>
      </c:barChart>
      <c:catAx>
        <c:axId val="271347712"/>
        <c:scaling>
          <c:orientation val="minMax"/>
        </c:scaling>
        <c:delete val="0"/>
        <c:axPos val="b"/>
        <c:numFmt formatCode="General" sourceLinked="0"/>
        <c:majorTickMark val="out"/>
        <c:minorTickMark val="none"/>
        <c:tickLblPos val="nextTo"/>
        <c:crossAx val="271349248"/>
        <c:crosses val="autoZero"/>
        <c:auto val="1"/>
        <c:lblAlgn val="ctr"/>
        <c:lblOffset val="100"/>
        <c:noMultiLvlLbl val="0"/>
      </c:catAx>
      <c:valAx>
        <c:axId val="271349248"/>
        <c:scaling>
          <c:orientation val="minMax"/>
        </c:scaling>
        <c:delete val="0"/>
        <c:axPos val="l"/>
        <c:majorGridlines/>
        <c:numFmt formatCode="0%" sourceLinked="0"/>
        <c:majorTickMark val="out"/>
        <c:minorTickMark val="none"/>
        <c:tickLblPos val="nextTo"/>
        <c:crossAx val="271347712"/>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'Q1,3,7,19 Graphs'!$H$35</c:f>
              <c:strCache>
                <c:ptCount val="1"/>
                <c:pt idx="0">
                  <c:v>%</c:v>
                </c:pt>
              </c:strCache>
            </c:strRef>
          </c:tx>
          <c:invertIfNegative val="0"/>
          <c:cat>
            <c:strRef>
              <c:f>'Q1,3,7,19 Graphs'!$G$36:$G$46</c:f>
              <c:strCache>
                <c:ptCount val="11"/>
                <c:pt idx="0">
                  <c:v>Something else</c:v>
                </c:pt>
                <c:pt idx="1">
                  <c:v>Loan from payday lender</c:v>
                </c:pt>
                <c:pt idx="2">
                  <c:v>Approach charity/NGO</c:v>
                </c:pt>
                <c:pt idx="3">
                  <c:v>Loan or credit from bank</c:v>
                </c:pt>
                <c:pt idx="4">
                  <c:v>Avoid/delay payment</c:v>
                </c:pt>
                <c:pt idx="5">
                  <c:v>Sell possessions</c:v>
                </c:pt>
                <c:pt idx="6">
                  <c:v>Cancel service</c:v>
                </c:pt>
                <c:pt idx="7">
                  <c:v>Sacrifice another bill</c:v>
                </c:pt>
                <c:pt idx="8">
                  <c:v>Work more/extra hours</c:v>
                </c:pt>
                <c:pt idx="9">
                  <c:v>Borrow from family/friends</c:v>
                </c:pt>
                <c:pt idx="10">
                  <c:v>Negotiate payment</c:v>
                </c:pt>
              </c:strCache>
            </c:strRef>
          </c:cat>
          <c:val>
            <c:numRef>
              <c:f>'Q1,3,7,19 Graphs'!$H$36:$H$46</c:f>
              <c:numCache>
                <c:formatCode>0.0%</c:formatCode>
                <c:ptCount val="11"/>
                <c:pt idx="0">
                  <c:v>5.3278688524590161E-2</c:v>
                </c:pt>
                <c:pt idx="1">
                  <c:v>6.7622950819672137E-2</c:v>
                </c:pt>
                <c:pt idx="2">
                  <c:v>7.1721311475409832E-2</c:v>
                </c:pt>
                <c:pt idx="3">
                  <c:v>7.5819672131147542E-2</c:v>
                </c:pt>
                <c:pt idx="4">
                  <c:v>0.13934426229508196</c:v>
                </c:pt>
                <c:pt idx="5">
                  <c:v>0.17622950819672131</c:v>
                </c:pt>
                <c:pt idx="6">
                  <c:v>0.18647540983606559</c:v>
                </c:pt>
                <c:pt idx="7">
                  <c:v>0.18852459016393441</c:v>
                </c:pt>
                <c:pt idx="8">
                  <c:v>0.23360655737704919</c:v>
                </c:pt>
                <c:pt idx="9">
                  <c:v>0.23565573770491804</c:v>
                </c:pt>
                <c:pt idx="10">
                  <c:v>0.45696721311475408</c:v>
                </c:pt>
              </c:numCache>
            </c:numRef>
          </c:val>
          <c:extLst>
            <c:ext xmlns:c16="http://schemas.microsoft.com/office/drawing/2014/chart" uri="{C3380CC4-5D6E-409C-BE32-E72D297353CC}">
              <c16:uniqueId val="{00000000-7CFF-4CB6-8E64-FD1D54D2BB6F}"/>
            </c:ext>
          </c:extLst>
        </c:ser>
        <c:dLbls>
          <c:showLegendKey val="0"/>
          <c:showVal val="0"/>
          <c:showCatName val="0"/>
          <c:showSerName val="0"/>
          <c:showPercent val="0"/>
          <c:showBubbleSize val="0"/>
        </c:dLbls>
        <c:gapWidth val="150"/>
        <c:axId val="278661760"/>
        <c:axId val="279060864"/>
      </c:barChart>
      <c:catAx>
        <c:axId val="278661760"/>
        <c:scaling>
          <c:orientation val="minMax"/>
        </c:scaling>
        <c:delete val="0"/>
        <c:axPos val="l"/>
        <c:numFmt formatCode="General" sourceLinked="1"/>
        <c:majorTickMark val="out"/>
        <c:minorTickMark val="none"/>
        <c:tickLblPos val="nextTo"/>
        <c:crossAx val="279060864"/>
        <c:crosses val="autoZero"/>
        <c:auto val="1"/>
        <c:lblAlgn val="ctr"/>
        <c:lblOffset val="100"/>
        <c:noMultiLvlLbl val="0"/>
      </c:catAx>
      <c:valAx>
        <c:axId val="279060864"/>
        <c:scaling>
          <c:orientation val="minMax"/>
        </c:scaling>
        <c:delete val="0"/>
        <c:axPos val="b"/>
        <c:majorGridlines/>
        <c:title>
          <c:tx>
            <c:rich>
              <a:bodyPr/>
              <a:lstStyle/>
              <a:p>
                <a:pPr>
                  <a:defRPr b="0"/>
                </a:pPr>
                <a:r>
                  <a:rPr lang="en-AU" b="0"/>
                  <a:t>Percent of Respondents</a:t>
                </a:r>
              </a:p>
            </c:rich>
          </c:tx>
          <c:overlay val="0"/>
        </c:title>
        <c:numFmt formatCode="0%" sourceLinked="0"/>
        <c:majorTickMark val="out"/>
        <c:minorTickMark val="none"/>
        <c:tickLblPos val="nextTo"/>
        <c:crossAx val="27866176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Graphs!$B$86</c:f>
              <c:strCache>
                <c:ptCount val="1"/>
                <c:pt idx="0">
                  <c:v>Waged Poor</c:v>
                </c:pt>
              </c:strCache>
            </c:strRef>
          </c:tx>
          <c:invertIfNegative val="0"/>
          <c:cat>
            <c:strRef>
              <c:f>Graphs!$A$87:$A$90</c:f>
              <c:strCache>
                <c:ptCount val="4"/>
                <c:pt idx="0">
                  <c:v>Owner without a mortgage</c:v>
                </c:pt>
                <c:pt idx="1">
                  <c:v>Owner with a mortgage</c:v>
                </c:pt>
                <c:pt idx="2">
                  <c:v>Renter</c:v>
                </c:pt>
                <c:pt idx="3">
                  <c:v>Other</c:v>
                </c:pt>
              </c:strCache>
            </c:strRef>
          </c:cat>
          <c:val>
            <c:numRef>
              <c:f>Graphs!$B$87:$B$90</c:f>
              <c:numCache>
                <c:formatCode>0.0%</c:formatCode>
                <c:ptCount val="4"/>
                <c:pt idx="0">
                  <c:v>8.0361468628673993E-2</c:v>
                </c:pt>
                <c:pt idx="1">
                  <c:v>0.25021549779809599</c:v>
                </c:pt>
                <c:pt idx="2">
                  <c:v>0.65223084350383298</c:v>
                </c:pt>
                <c:pt idx="3">
                  <c:v>1.7192190069397699E-2</c:v>
                </c:pt>
              </c:numCache>
            </c:numRef>
          </c:val>
          <c:extLst>
            <c:ext xmlns:c16="http://schemas.microsoft.com/office/drawing/2014/chart" uri="{C3380CC4-5D6E-409C-BE32-E72D297353CC}">
              <c16:uniqueId val="{00000000-01D7-4653-824B-54E215120E3F}"/>
            </c:ext>
          </c:extLst>
        </c:ser>
        <c:ser>
          <c:idx val="1"/>
          <c:order val="1"/>
          <c:tx>
            <c:strRef>
              <c:f>Graphs!$C$86</c:f>
              <c:strCache>
                <c:ptCount val="1"/>
                <c:pt idx="0">
                  <c:v>Income Support Poverty</c:v>
                </c:pt>
              </c:strCache>
            </c:strRef>
          </c:tx>
          <c:invertIfNegative val="0"/>
          <c:cat>
            <c:strRef>
              <c:f>Graphs!$A$87:$A$90</c:f>
              <c:strCache>
                <c:ptCount val="4"/>
                <c:pt idx="0">
                  <c:v>Owner without a mortgage</c:v>
                </c:pt>
                <c:pt idx="1">
                  <c:v>Owner with a mortgage</c:v>
                </c:pt>
                <c:pt idx="2">
                  <c:v>Renter</c:v>
                </c:pt>
                <c:pt idx="3">
                  <c:v>Other</c:v>
                </c:pt>
              </c:strCache>
            </c:strRef>
          </c:cat>
          <c:val>
            <c:numRef>
              <c:f>Graphs!$C$87:$C$90</c:f>
              <c:numCache>
                <c:formatCode>0.0%</c:formatCode>
                <c:ptCount val="4"/>
                <c:pt idx="0">
                  <c:v>0.19249256620552699</c:v>
                </c:pt>
                <c:pt idx="1">
                  <c:v>0.114320310213433</c:v>
                </c:pt>
                <c:pt idx="2">
                  <c:v>0.68074430590031099</c:v>
                </c:pt>
                <c:pt idx="3">
                  <c:v>1.24428176807277E-2</c:v>
                </c:pt>
              </c:numCache>
            </c:numRef>
          </c:val>
          <c:extLst>
            <c:ext xmlns:c16="http://schemas.microsoft.com/office/drawing/2014/chart" uri="{C3380CC4-5D6E-409C-BE32-E72D297353CC}">
              <c16:uniqueId val="{00000001-01D7-4653-824B-54E215120E3F}"/>
            </c:ext>
          </c:extLst>
        </c:ser>
        <c:ser>
          <c:idx val="3"/>
          <c:order val="2"/>
          <c:tx>
            <c:strRef>
              <c:f>Graphs!$E$86</c:f>
              <c:strCache>
                <c:ptCount val="1"/>
                <c:pt idx="0">
                  <c:v>All Households</c:v>
                </c:pt>
              </c:strCache>
            </c:strRef>
          </c:tx>
          <c:spPr>
            <a:solidFill>
              <a:schemeClr val="tx1"/>
            </a:solidFill>
          </c:spPr>
          <c:invertIfNegative val="0"/>
          <c:cat>
            <c:strRef>
              <c:f>Graphs!$A$87:$A$90</c:f>
              <c:strCache>
                <c:ptCount val="4"/>
                <c:pt idx="0">
                  <c:v>Owner without a mortgage</c:v>
                </c:pt>
                <c:pt idx="1">
                  <c:v>Owner with a mortgage</c:v>
                </c:pt>
                <c:pt idx="2">
                  <c:v>Renter</c:v>
                </c:pt>
                <c:pt idx="3">
                  <c:v>Other</c:v>
                </c:pt>
              </c:strCache>
            </c:strRef>
          </c:cat>
          <c:val>
            <c:numRef>
              <c:f>Graphs!$E$87:$E$90</c:f>
              <c:numCache>
                <c:formatCode>0.0%</c:formatCode>
                <c:ptCount val="4"/>
                <c:pt idx="0">
                  <c:v>0.31871604738170201</c:v>
                </c:pt>
                <c:pt idx="1">
                  <c:v>0.35128423306022599</c:v>
                </c:pt>
                <c:pt idx="2">
                  <c:v>0.30573497376676301</c:v>
                </c:pt>
                <c:pt idx="3">
                  <c:v>2.4264745791309002E-2</c:v>
                </c:pt>
              </c:numCache>
            </c:numRef>
          </c:val>
          <c:extLst>
            <c:ext xmlns:c16="http://schemas.microsoft.com/office/drawing/2014/chart" uri="{C3380CC4-5D6E-409C-BE32-E72D297353CC}">
              <c16:uniqueId val="{00000003-01D7-4653-824B-54E215120E3F}"/>
            </c:ext>
          </c:extLst>
        </c:ser>
        <c:dLbls>
          <c:showLegendKey val="0"/>
          <c:showVal val="0"/>
          <c:showCatName val="0"/>
          <c:showSerName val="0"/>
          <c:showPercent val="0"/>
          <c:showBubbleSize val="0"/>
        </c:dLbls>
        <c:gapWidth val="150"/>
        <c:axId val="271361920"/>
        <c:axId val="271363456"/>
      </c:barChart>
      <c:catAx>
        <c:axId val="271361920"/>
        <c:scaling>
          <c:orientation val="minMax"/>
        </c:scaling>
        <c:delete val="0"/>
        <c:axPos val="b"/>
        <c:numFmt formatCode="General" sourceLinked="0"/>
        <c:majorTickMark val="out"/>
        <c:minorTickMark val="none"/>
        <c:tickLblPos val="nextTo"/>
        <c:crossAx val="271363456"/>
        <c:crosses val="autoZero"/>
        <c:auto val="1"/>
        <c:lblAlgn val="ctr"/>
        <c:lblOffset val="100"/>
        <c:noMultiLvlLbl val="0"/>
      </c:catAx>
      <c:valAx>
        <c:axId val="271363456"/>
        <c:scaling>
          <c:orientation val="minMax"/>
        </c:scaling>
        <c:delete val="0"/>
        <c:axPos val="l"/>
        <c:majorGridlines/>
        <c:numFmt formatCode="0%" sourceLinked="0"/>
        <c:majorTickMark val="out"/>
        <c:minorTickMark val="none"/>
        <c:tickLblPos val="nextTo"/>
        <c:crossAx val="27136192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2"/>
          <c:order val="0"/>
          <c:tx>
            <c:strRef>
              <c:f>Graphs!$E$176</c:f>
              <c:strCache>
                <c:ptCount val="1"/>
                <c:pt idx="0">
                  <c:v>All Households</c:v>
                </c:pt>
              </c:strCache>
            </c:strRef>
          </c:tx>
          <c:spPr>
            <a:solidFill>
              <a:schemeClr val="tx1"/>
            </a:solidFill>
          </c:spPr>
          <c:invertIfNegative val="0"/>
          <c:cat>
            <c:strRef>
              <c:f>Graphs!$A$177:$A$180</c:f>
              <c:strCache>
                <c:ptCount val="4"/>
                <c:pt idx="0">
                  <c:v>Sought assistance from welfare/community organisations </c:v>
                </c:pt>
                <c:pt idx="1">
                  <c:v>Would use loan from family/friends for emergency money </c:v>
                </c:pt>
                <c:pt idx="2">
                  <c:v>Would use own savings as source of emergency money</c:v>
                </c:pt>
                <c:pt idx="3">
                  <c:v>Could not pay gas/electricity/telephone bill </c:v>
                </c:pt>
              </c:strCache>
            </c:strRef>
          </c:cat>
          <c:val>
            <c:numRef>
              <c:f>Graphs!$E$177:$E$180</c:f>
              <c:numCache>
                <c:formatCode>0.0%</c:formatCode>
                <c:ptCount val="4"/>
                <c:pt idx="0">
                  <c:v>2.7999999999999997E-2</c:v>
                </c:pt>
                <c:pt idx="1">
                  <c:v>0.25800000000000001</c:v>
                </c:pt>
                <c:pt idx="2">
                  <c:v>0.53300000000000003</c:v>
                </c:pt>
                <c:pt idx="3">
                  <c:v>9.6999999999999989E-2</c:v>
                </c:pt>
              </c:numCache>
            </c:numRef>
          </c:val>
          <c:extLst>
            <c:ext xmlns:c16="http://schemas.microsoft.com/office/drawing/2014/chart" uri="{C3380CC4-5D6E-409C-BE32-E72D297353CC}">
              <c16:uniqueId val="{00000000-63EE-4C2E-A035-BF189F4600CA}"/>
            </c:ext>
          </c:extLst>
        </c:ser>
        <c:ser>
          <c:idx val="1"/>
          <c:order val="1"/>
          <c:tx>
            <c:strRef>
              <c:f>Graphs!$C$176</c:f>
              <c:strCache>
                <c:ptCount val="1"/>
                <c:pt idx="0">
                  <c:v>Income Support Poverty</c:v>
                </c:pt>
              </c:strCache>
            </c:strRef>
          </c:tx>
          <c:invertIfNegative val="0"/>
          <c:cat>
            <c:strRef>
              <c:f>Graphs!$A$177:$A$180</c:f>
              <c:strCache>
                <c:ptCount val="4"/>
                <c:pt idx="0">
                  <c:v>Sought assistance from welfare/community organisations </c:v>
                </c:pt>
                <c:pt idx="1">
                  <c:v>Would use loan from family/friends for emergency money </c:v>
                </c:pt>
                <c:pt idx="2">
                  <c:v>Would use own savings as source of emergency money</c:v>
                </c:pt>
                <c:pt idx="3">
                  <c:v>Could not pay gas/electricity/telephone bill </c:v>
                </c:pt>
              </c:strCache>
            </c:strRef>
          </c:cat>
          <c:val>
            <c:numRef>
              <c:f>Graphs!$C$177:$C$180</c:f>
              <c:numCache>
                <c:formatCode>0.0%</c:formatCode>
                <c:ptCount val="4"/>
                <c:pt idx="0">
                  <c:v>0.16600000000000001</c:v>
                </c:pt>
                <c:pt idx="1">
                  <c:v>0.13800000000000001</c:v>
                </c:pt>
                <c:pt idx="2">
                  <c:v>0.314</c:v>
                </c:pt>
                <c:pt idx="3">
                  <c:v>0.26800000000000002</c:v>
                </c:pt>
              </c:numCache>
            </c:numRef>
          </c:val>
          <c:extLst>
            <c:ext xmlns:c16="http://schemas.microsoft.com/office/drawing/2014/chart" uri="{C3380CC4-5D6E-409C-BE32-E72D297353CC}">
              <c16:uniqueId val="{00000001-63EE-4C2E-A035-BF189F4600CA}"/>
            </c:ext>
          </c:extLst>
        </c:ser>
        <c:ser>
          <c:idx val="0"/>
          <c:order val="2"/>
          <c:tx>
            <c:strRef>
              <c:f>Graphs!$B$176</c:f>
              <c:strCache>
                <c:ptCount val="1"/>
                <c:pt idx="0">
                  <c:v>Waged Poor</c:v>
                </c:pt>
              </c:strCache>
            </c:strRef>
          </c:tx>
          <c:spPr>
            <a:solidFill>
              <a:schemeClr val="accent1"/>
            </a:solidFill>
          </c:spPr>
          <c:invertIfNegative val="0"/>
          <c:cat>
            <c:strRef>
              <c:f>Graphs!$A$177:$A$180</c:f>
              <c:strCache>
                <c:ptCount val="4"/>
                <c:pt idx="0">
                  <c:v>Sought assistance from welfare/community organisations </c:v>
                </c:pt>
                <c:pt idx="1">
                  <c:v>Would use loan from family/friends for emergency money </c:v>
                </c:pt>
                <c:pt idx="2">
                  <c:v>Would use own savings as source of emergency money</c:v>
                </c:pt>
                <c:pt idx="3">
                  <c:v>Could not pay gas/electricity/telephone bill </c:v>
                </c:pt>
              </c:strCache>
            </c:strRef>
          </c:cat>
          <c:val>
            <c:numRef>
              <c:f>Graphs!$B$177:$B$180</c:f>
              <c:numCache>
                <c:formatCode>0.0%</c:formatCode>
                <c:ptCount val="4"/>
                <c:pt idx="0">
                  <c:v>9.2422085525162619E-3</c:v>
                </c:pt>
                <c:pt idx="1">
                  <c:v>0.22072031254734195</c:v>
                </c:pt>
                <c:pt idx="2">
                  <c:v>0.47150639212703105</c:v>
                </c:pt>
                <c:pt idx="3">
                  <c:v>0.18230056370837586</c:v>
                </c:pt>
              </c:numCache>
            </c:numRef>
          </c:val>
          <c:extLst>
            <c:ext xmlns:c16="http://schemas.microsoft.com/office/drawing/2014/chart" uri="{C3380CC4-5D6E-409C-BE32-E72D297353CC}">
              <c16:uniqueId val="{00000002-63EE-4C2E-A035-BF189F4600CA}"/>
            </c:ext>
          </c:extLst>
        </c:ser>
        <c:dLbls>
          <c:showLegendKey val="0"/>
          <c:showVal val="0"/>
          <c:showCatName val="0"/>
          <c:showSerName val="0"/>
          <c:showPercent val="0"/>
          <c:showBubbleSize val="0"/>
        </c:dLbls>
        <c:gapWidth val="150"/>
        <c:axId val="265536640"/>
        <c:axId val="265538176"/>
      </c:barChart>
      <c:catAx>
        <c:axId val="265536640"/>
        <c:scaling>
          <c:orientation val="minMax"/>
        </c:scaling>
        <c:delete val="0"/>
        <c:axPos val="l"/>
        <c:numFmt formatCode="General" sourceLinked="0"/>
        <c:majorTickMark val="out"/>
        <c:minorTickMark val="none"/>
        <c:tickLblPos val="nextTo"/>
        <c:crossAx val="265538176"/>
        <c:crosses val="autoZero"/>
        <c:auto val="1"/>
        <c:lblAlgn val="ctr"/>
        <c:lblOffset val="100"/>
        <c:noMultiLvlLbl val="0"/>
      </c:catAx>
      <c:valAx>
        <c:axId val="265538176"/>
        <c:scaling>
          <c:orientation val="minMax"/>
        </c:scaling>
        <c:delete val="0"/>
        <c:axPos val="b"/>
        <c:majorGridlines/>
        <c:numFmt formatCode="0%" sourceLinked="0"/>
        <c:majorTickMark val="out"/>
        <c:minorTickMark val="none"/>
        <c:tickLblPos val="nextTo"/>
        <c:crossAx val="265536640"/>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'Q1,3,7,19 Graphs'!$C$81</c:f>
              <c:strCache>
                <c:ptCount val="1"/>
                <c:pt idx="0">
                  <c:v>Whole sample</c:v>
                </c:pt>
              </c:strCache>
            </c:strRef>
          </c:tx>
          <c:invertIfNegative val="0"/>
          <c:cat>
            <c:strRef>
              <c:f>'Q1,3,7,19 Graphs'!$B$82:$B$90</c:f>
              <c:strCache>
                <c:ptCount val="9"/>
                <c:pt idx="0">
                  <c:v>Landline</c:v>
                </c:pt>
                <c:pt idx="1">
                  <c:v>Mobile, no data</c:v>
                </c:pt>
                <c:pt idx="2">
                  <c:v>Smart Phone</c:v>
                </c:pt>
                <c:pt idx="3">
                  <c:v>Tablet with data</c:v>
                </c:pt>
                <c:pt idx="4">
                  <c:v>NBN</c:v>
                </c:pt>
                <c:pt idx="5">
                  <c:v>TV Streaming</c:v>
                </c:pt>
                <c:pt idx="6">
                  <c:v>Download Movies</c:v>
                </c:pt>
                <c:pt idx="7">
                  <c:v>Subs Audio</c:v>
                </c:pt>
                <c:pt idx="8">
                  <c:v>Other</c:v>
                </c:pt>
              </c:strCache>
            </c:strRef>
          </c:cat>
          <c:val>
            <c:numRef>
              <c:f>'Q1,3,7,19 Graphs'!$C$82:$C$90</c:f>
              <c:numCache>
                <c:formatCode>General</c:formatCode>
                <c:ptCount val="9"/>
                <c:pt idx="0">
                  <c:v>54.1</c:v>
                </c:pt>
                <c:pt idx="1">
                  <c:v>43.6</c:v>
                </c:pt>
                <c:pt idx="2">
                  <c:v>86.7</c:v>
                </c:pt>
                <c:pt idx="3">
                  <c:v>34.799999999999997</c:v>
                </c:pt>
                <c:pt idx="4">
                  <c:v>73</c:v>
                </c:pt>
                <c:pt idx="5">
                  <c:v>57.1</c:v>
                </c:pt>
                <c:pt idx="6">
                  <c:v>26</c:v>
                </c:pt>
                <c:pt idx="7">
                  <c:v>31.6</c:v>
                </c:pt>
                <c:pt idx="8">
                  <c:v>9.9</c:v>
                </c:pt>
              </c:numCache>
            </c:numRef>
          </c:val>
          <c:extLst>
            <c:ext xmlns:c16="http://schemas.microsoft.com/office/drawing/2014/chart" uri="{C3380CC4-5D6E-409C-BE32-E72D297353CC}">
              <c16:uniqueId val="{00000000-E312-4805-9E3D-E7F7FEFC9564}"/>
            </c:ext>
          </c:extLst>
        </c:ser>
        <c:dLbls>
          <c:showLegendKey val="0"/>
          <c:showVal val="0"/>
          <c:showCatName val="0"/>
          <c:showSerName val="0"/>
          <c:showPercent val="0"/>
          <c:showBubbleSize val="0"/>
        </c:dLbls>
        <c:gapWidth val="100"/>
        <c:axId val="276522880"/>
        <c:axId val="276524416"/>
      </c:barChart>
      <c:catAx>
        <c:axId val="276522880"/>
        <c:scaling>
          <c:orientation val="minMax"/>
        </c:scaling>
        <c:delete val="0"/>
        <c:axPos val="b"/>
        <c:numFmt formatCode="General" sourceLinked="0"/>
        <c:majorTickMark val="out"/>
        <c:minorTickMark val="none"/>
        <c:tickLblPos val="nextTo"/>
        <c:crossAx val="276524416"/>
        <c:crosses val="autoZero"/>
        <c:auto val="1"/>
        <c:lblAlgn val="ctr"/>
        <c:lblOffset val="100"/>
        <c:noMultiLvlLbl val="0"/>
      </c:catAx>
      <c:valAx>
        <c:axId val="276524416"/>
        <c:scaling>
          <c:orientation val="minMax"/>
          <c:max val="90"/>
        </c:scaling>
        <c:delete val="0"/>
        <c:axPos val="l"/>
        <c:majorGridlines/>
        <c:title>
          <c:tx>
            <c:rich>
              <a:bodyPr rot="-5400000" vert="horz"/>
              <a:lstStyle/>
              <a:p>
                <a:pPr>
                  <a:defRPr/>
                </a:pPr>
                <a:r>
                  <a:rPr lang="en-US"/>
                  <a:t>% of H/holds with Device/Service</a:t>
                </a:r>
              </a:p>
            </c:rich>
          </c:tx>
          <c:overlay val="0"/>
        </c:title>
        <c:numFmt formatCode="General" sourceLinked="1"/>
        <c:majorTickMark val="out"/>
        <c:minorTickMark val="none"/>
        <c:tickLblPos val="nextTo"/>
        <c:crossAx val="276522880"/>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849518810148731E-2"/>
          <c:y val="7.6254300329247168E-2"/>
          <c:w val="0.87759492563429575"/>
          <c:h val="0.55588449254062222"/>
        </c:manualLayout>
      </c:layout>
      <c:barChart>
        <c:barDir val="col"/>
        <c:grouping val="clustered"/>
        <c:varyColors val="0"/>
        <c:ser>
          <c:idx val="0"/>
          <c:order val="0"/>
          <c:invertIfNegative val="0"/>
          <c:cat>
            <c:strRef>
              <c:f>'B2. Total count(485)'!$I$436:$I$444</c:f>
              <c:strCache>
                <c:ptCount val="9"/>
                <c:pt idx="0">
                  <c:v>Mobile Data</c:v>
                </c:pt>
                <c:pt idx="1">
                  <c:v>Home Internet</c:v>
                </c:pt>
                <c:pt idx="2">
                  <c:v>Work Internet</c:v>
                </c:pt>
                <c:pt idx="3">
                  <c:v>Education Institution</c:v>
                </c:pt>
                <c:pt idx="4">
                  <c:v>Friend/Family</c:v>
                </c:pt>
                <c:pt idx="5">
                  <c:v>Internet Café</c:v>
                </c:pt>
                <c:pt idx="6">
                  <c:v>Public Library</c:v>
                </c:pt>
                <c:pt idx="7">
                  <c:v>Govt Office</c:v>
                </c:pt>
                <c:pt idx="8">
                  <c:v>Public Wifi</c:v>
                </c:pt>
              </c:strCache>
            </c:strRef>
          </c:cat>
          <c:val>
            <c:numRef>
              <c:f>'B2. Total count(485)'!$H$436:$H$444</c:f>
              <c:numCache>
                <c:formatCode>0.0%</c:formatCode>
                <c:ptCount val="9"/>
                <c:pt idx="0">
                  <c:v>0.52577319587628868</c:v>
                </c:pt>
                <c:pt idx="1">
                  <c:v>0.78556701030927834</c:v>
                </c:pt>
                <c:pt idx="2">
                  <c:v>0.12989690721649486</c:v>
                </c:pt>
                <c:pt idx="3">
                  <c:v>7.8350515463917525E-2</c:v>
                </c:pt>
                <c:pt idx="4">
                  <c:v>0.15051546391752577</c:v>
                </c:pt>
                <c:pt idx="5">
                  <c:v>5.9793814432989693E-2</c:v>
                </c:pt>
                <c:pt idx="6">
                  <c:v>8.8659793814432994E-2</c:v>
                </c:pt>
                <c:pt idx="7">
                  <c:v>7.2164948453608241E-2</c:v>
                </c:pt>
                <c:pt idx="8">
                  <c:v>0.2536082474226804</c:v>
                </c:pt>
              </c:numCache>
            </c:numRef>
          </c:val>
          <c:extLst>
            <c:ext xmlns:c16="http://schemas.microsoft.com/office/drawing/2014/chart" uri="{C3380CC4-5D6E-409C-BE32-E72D297353CC}">
              <c16:uniqueId val="{00000000-76C4-4598-9028-CF7AA87C1DD3}"/>
            </c:ext>
          </c:extLst>
        </c:ser>
        <c:dLbls>
          <c:showLegendKey val="0"/>
          <c:showVal val="0"/>
          <c:showCatName val="0"/>
          <c:showSerName val="0"/>
          <c:showPercent val="0"/>
          <c:showBubbleSize val="0"/>
        </c:dLbls>
        <c:gapWidth val="100"/>
        <c:axId val="276770176"/>
        <c:axId val="276796928"/>
      </c:barChart>
      <c:catAx>
        <c:axId val="276770176"/>
        <c:scaling>
          <c:orientation val="minMax"/>
        </c:scaling>
        <c:delete val="0"/>
        <c:axPos val="b"/>
        <c:title>
          <c:tx>
            <c:rich>
              <a:bodyPr/>
              <a:lstStyle/>
              <a:p>
                <a:pPr>
                  <a:defRPr/>
                </a:pPr>
                <a:r>
                  <a:rPr lang="en-US"/>
                  <a:t>Top 3 Methods of Connection</a:t>
                </a:r>
              </a:p>
            </c:rich>
          </c:tx>
          <c:layout>
            <c:manualLayout>
              <c:xMode val="edge"/>
              <c:yMode val="edge"/>
              <c:x val="0.35154265091863518"/>
              <c:y val="0.90182852143482062"/>
            </c:manualLayout>
          </c:layout>
          <c:overlay val="0"/>
        </c:title>
        <c:numFmt formatCode="General" sourceLinked="0"/>
        <c:majorTickMark val="out"/>
        <c:minorTickMark val="none"/>
        <c:tickLblPos val="nextTo"/>
        <c:crossAx val="276796928"/>
        <c:crosses val="autoZero"/>
        <c:auto val="1"/>
        <c:lblAlgn val="ctr"/>
        <c:lblOffset val="100"/>
        <c:noMultiLvlLbl val="0"/>
      </c:catAx>
      <c:valAx>
        <c:axId val="276796928"/>
        <c:scaling>
          <c:orientation val="minMax"/>
        </c:scaling>
        <c:delete val="0"/>
        <c:axPos val="l"/>
        <c:majorGridlines>
          <c:spPr>
            <a:ln>
              <a:solidFill>
                <a:schemeClr val="accent1"/>
              </a:solidFill>
            </a:ln>
          </c:spPr>
        </c:majorGridlines>
        <c:numFmt formatCode="0%" sourceLinked="0"/>
        <c:majorTickMark val="out"/>
        <c:minorTickMark val="none"/>
        <c:tickLblPos val="nextTo"/>
        <c:crossAx val="276770176"/>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941907261592301"/>
          <c:y val="0.15218082114735657"/>
          <c:w val="0.82446981627296589"/>
          <c:h val="0.62402453599550056"/>
        </c:manualLayout>
      </c:layout>
      <c:barChart>
        <c:barDir val="col"/>
        <c:grouping val="clustered"/>
        <c:varyColors val="0"/>
        <c:ser>
          <c:idx val="0"/>
          <c:order val="0"/>
          <c:tx>
            <c:v>Whole Sample</c:v>
          </c:tx>
          <c:invertIfNegative val="0"/>
          <c:cat>
            <c:strRef>
              <c:f>'Custom Jukebox'!$A$172:$A$174</c:f>
              <c:strCache>
                <c:ptCount val="3"/>
                <c:pt idx="0">
                  <c:v>Work Calls/Messages</c:v>
                </c:pt>
                <c:pt idx="1">
                  <c:v>Doing Paid Work</c:v>
                </c:pt>
                <c:pt idx="2">
                  <c:v>Being Available</c:v>
                </c:pt>
              </c:strCache>
            </c:strRef>
          </c:cat>
          <c:val>
            <c:numRef>
              <c:f>'Custom Jukebox'!$B$172:$B$174</c:f>
              <c:numCache>
                <c:formatCode>###0.0</c:formatCode>
                <c:ptCount val="3"/>
                <c:pt idx="0">
                  <c:v>56.138956091760882</c:v>
                </c:pt>
                <c:pt idx="1">
                  <c:v>64.162139496439409</c:v>
                </c:pt>
                <c:pt idx="2">
                  <c:v>62.909326942256058</c:v>
                </c:pt>
              </c:numCache>
            </c:numRef>
          </c:val>
          <c:extLst>
            <c:ext xmlns:c16="http://schemas.microsoft.com/office/drawing/2014/chart" uri="{C3380CC4-5D6E-409C-BE32-E72D297353CC}">
              <c16:uniqueId val="{00000000-C78D-41D1-9537-7758445B5C96}"/>
            </c:ext>
          </c:extLst>
        </c:ser>
        <c:ser>
          <c:idx val="1"/>
          <c:order val="1"/>
          <c:tx>
            <c:v>Labour Force</c:v>
          </c:tx>
          <c:invertIfNegative val="0"/>
          <c:cat>
            <c:strRef>
              <c:f>'Custom Jukebox'!$A$172:$A$174</c:f>
              <c:strCache>
                <c:ptCount val="3"/>
                <c:pt idx="0">
                  <c:v>Work Calls/Messages</c:v>
                </c:pt>
                <c:pt idx="1">
                  <c:v>Doing Paid Work</c:v>
                </c:pt>
                <c:pt idx="2">
                  <c:v>Being Available</c:v>
                </c:pt>
              </c:strCache>
            </c:strRef>
          </c:cat>
          <c:val>
            <c:numRef>
              <c:f>'Custom Jukebox'!$C$172:$C$174</c:f>
              <c:numCache>
                <c:formatCode>###0.0</c:formatCode>
                <c:ptCount val="3"/>
                <c:pt idx="0">
                  <c:v>70.421408485210492</c:v>
                </c:pt>
                <c:pt idx="1">
                  <c:v>76.793978997485894</c:v>
                </c:pt>
                <c:pt idx="2">
                  <c:v>77.426823393090771</c:v>
                </c:pt>
              </c:numCache>
            </c:numRef>
          </c:val>
          <c:extLst>
            <c:ext xmlns:c16="http://schemas.microsoft.com/office/drawing/2014/chart" uri="{C3380CC4-5D6E-409C-BE32-E72D297353CC}">
              <c16:uniqueId val="{00000001-C78D-41D1-9537-7758445B5C96}"/>
            </c:ext>
          </c:extLst>
        </c:ser>
        <c:dLbls>
          <c:showLegendKey val="0"/>
          <c:showVal val="0"/>
          <c:showCatName val="0"/>
          <c:showSerName val="0"/>
          <c:showPercent val="0"/>
          <c:showBubbleSize val="0"/>
        </c:dLbls>
        <c:gapWidth val="150"/>
        <c:axId val="277612416"/>
        <c:axId val="277643264"/>
      </c:barChart>
      <c:catAx>
        <c:axId val="277612416"/>
        <c:scaling>
          <c:orientation val="minMax"/>
        </c:scaling>
        <c:delete val="0"/>
        <c:axPos val="b"/>
        <c:title>
          <c:tx>
            <c:rich>
              <a:bodyPr/>
              <a:lstStyle/>
              <a:p>
                <a:pPr>
                  <a:defRPr/>
                </a:pPr>
                <a:r>
                  <a:rPr lang="en-US"/>
                  <a:t>Activity Rated Somewhat to Very Important</a:t>
                </a:r>
              </a:p>
            </c:rich>
          </c:tx>
          <c:overlay val="0"/>
        </c:title>
        <c:numFmt formatCode="General" sourceLinked="0"/>
        <c:majorTickMark val="out"/>
        <c:minorTickMark val="none"/>
        <c:tickLblPos val="nextTo"/>
        <c:crossAx val="277643264"/>
        <c:crosses val="autoZero"/>
        <c:auto val="1"/>
        <c:lblAlgn val="ctr"/>
        <c:lblOffset val="100"/>
        <c:noMultiLvlLbl val="0"/>
      </c:catAx>
      <c:valAx>
        <c:axId val="277643264"/>
        <c:scaling>
          <c:orientation val="minMax"/>
        </c:scaling>
        <c:delete val="0"/>
        <c:axPos val="l"/>
        <c:majorGridlines/>
        <c:title>
          <c:tx>
            <c:rich>
              <a:bodyPr rot="-5400000" vert="horz"/>
              <a:lstStyle/>
              <a:p>
                <a:pPr>
                  <a:defRPr/>
                </a:pPr>
                <a:r>
                  <a:rPr lang="en-US"/>
                  <a:t>Percent of Respondents</a:t>
                </a:r>
              </a:p>
            </c:rich>
          </c:tx>
          <c:overlay val="0"/>
        </c:title>
        <c:numFmt formatCode="#,##0" sourceLinked="0"/>
        <c:majorTickMark val="out"/>
        <c:minorTickMark val="none"/>
        <c:tickLblPos val="nextTo"/>
        <c:crossAx val="277612416"/>
        <c:crosses val="autoZero"/>
        <c:crossBetween val="between"/>
      </c:valAx>
    </c:plotArea>
    <c:legend>
      <c:legendPos val="t"/>
      <c:layout>
        <c:manualLayout>
          <c:xMode val="edge"/>
          <c:yMode val="edge"/>
          <c:x val="0.28515042449816363"/>
          <c:y val="4.9689257592800892E-2"/>
          <c:w val="0.4914115437405186"/>
          <c:h val="8.3717191601049873E-2"/>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Expenses in Household Budget</a:t>
            </a:r>
          </a:p>
        </c:rich>
      </c:tx>
      <c:overlay val="0"/>
    </c:title>
    <c:autoTitleDeleted val="0"/>
    <c:plotArea>
      <c:layout>
        <c:manualLayout>
          <c:layoutTarget val="inner"/>
          <c:xMode val="edge"/>
          <c:yMode val="edge"/>
          <c:x val="0.11597968224327519"/>
          <c:y val="0.19782222137487052"/>
          <c:w val="0.8595758775895227"/>
          <c:h val="0.46303686615444256"/>
        </c:manualLayout>
      </c:layout>
      <c:barChart>
        <c:barDir val="col"/>
        <c:grouping val="clustered"/>
        <c:varyColors val="0"/>
        <c:ser>
          <c:idx val="0"/>
          <c:order val="0"/>
          <c:tx>
            <c:v>Waged Poor</c:v>
          </c:tx>
          <c:invertIfNegative val="0"/>
          <c:cat>
            <c:strRef>
              <c:f>'Q1,3,7,19 Graphs'!$B$4:$B$16</c:f>
              <c:strCache>
                <c:ptCount val="13"/>
                <c:pt idx="0">
                  <c:v>Groceries</c:v>
                </c:pt>
                <c:pt idx="1">
                  <c:v>Energy</c:v>
                </c:pt>
                <c:pt idx="2">
                  <c:v>Telecom</c:v>
                </c:pt>
                <c:pt idx="3">
                  <c:v>Housing</c:v>
                </c:pt>
                <c:pt idx="4">
                  <c:v>Transport</c:v>
                </c:pt>
                <c:pt idx="5">
                  <c:v>Water</c:v>
                </c:pt>
                <c:pt idx="6">
                  <c:v>Insurance</c:v>
                </c:pt>
                <c:pt idx="7">
                  <c:v>Medical</c:v>
                </c:pt>
                <c:pt idx="8">
                  <c:v>Personal Care</c:v>
                </c:pt>
                <c:pt idx="9">
                  <c:v>Education</c:v>
                </c:pt>
                <c:pt idx="10">
                  <c:v>In-house Entertainment</c:v>
                </c:pt>
                <c:pt idx="11">
                  <c:v>H/hold Items</c:v>
                </c:pt>
                <c:pt idx="12">
                  <c:v>Non-house recreation</c:v>
                </c:pt>
              </c:strCache>
            </c:strRef>
          </c:cat>
          <c:val>
            <c:numRef>
              <c:f>'Q1,3,7,19 Graphs'!$A$4:$A$16</c:f>
              <c:numCache>
                <c:formatCode>0.00</c:formatCode>
                <c:ptCount val="13"/>
                <c:pt idx="0">
                  <c:v>92.622950819672099</c:v>
                </c:pt>
                <c:pt idx="1">
                  <c:v>81.762295081967196</c:v>
                </c:pt>
                <c:pt idx="2">
                  <c:v>60.450819672131203</c:v>
                </c:pt>
                <c:pt idx="3">
                  <c:v>57.172131147541002</c:v>
                </c:pt>
                <c:pt idx="4">
                  <c:v>44.877049180327901</c:v>
                </c:pt>
                <c:pt idx="5">
                  <c:v>41.393442622950801</c:v>
                </c:pt>
                <c:pt idx="6">
                  <c:v>34.426229508196698</c:v>
                </c:pt>
                <c:pt idx="7">
                  <c:v>31.762295081967199</c:v>
                </c:pt>
                <c:pt idx="8">
                  <c:v>21.926229508196698</c:v>
                </c:pt>
                <c:pt idx="9">
                  <c:v>10.4508196721311</c:v>
                </c:pt>
                <c:pt idx="10">
                  <c:v>8.4016393442622892</c:v>
                </c:pt>
                <c:pt idx="11">
                  <c:v>8.1967213114754092</c:v>
                </c:pt>
                <c:pt idx="12">
                  <c:v>5.7377049180327901</c:v>
                </c:pt>
              </c:numCache>
            </c:numRef>
          </c:val>
          <c:extLst>
            <c:ext xmlns:c16="http://schemas.microsoft.com/office/drawing/2014/chart" uri="{C3380CC4-5D6E-409C-BE32-E72D297353CC}">
              <c16:uniqueId val="{00000000-12DA-4E8B-94D3-7E2CBFD12675}"/>
            </c:ext>
          </c:extLst>
        </c:ser>
        <c:ser>
          <c:idx val="1"/>
          <c:order val="1"/>
          <c:tx>
            <c:v>Waged Poor Renter</c:v>
          </c:tx>
          <c:invertIfNegative val="0"/>
          <c:val>
            <c:numRef>
              <c:f>'Q1,3,7,19 Graphs'!$C$4:$C$16</c:f>
              <c:numCache>
                <c:formatCode>General</c:formatCode>
                <c:ptCount val="13"/>
                <c:pt idx="0" formatCode="0">
                  <c:v>92.2</c:v>
                </c:pt>
                <c:pt idx="1">
                  <c:v>83.5</c:v>
                </c:pt>
                <c:pt idx="2">
                  <c:v>67</c:v>
                </c:pt>
                <c:pt idx="3">
                  <c:v>81.7</c:v>
                </c:pt>
                <c:pt idx="4">
                  <c:v>45.7</c:v>
                </c:pt>
                <c:pt idx="5">
                  <c:v>26.1</c:v>
                </c:pt>
                <c:pt idx="6">
                  <c:v>17.8</c:v>
                </c:pt>
                <c:pt idx="7">
                  <c:v>26.1</c:v>
                </c:pt>
                <c:pt idx="8">
                  <c:v>23.9</c:v>
                </c:pt>
                <c:pt idx="9">
                  <c:v>11.3</c:v>
                </c:pt>
                <c:pt idx="10">
                  <c:v>12.2</c:v>
                </c:pt>
                <c:pt idx="11">
                  <c:v>4.8</c:v>
                </c:pt>
                <c:pt idx="12">
                  <c:v>7</c:v>
                </c:pt>
              </c:numCache>
            </c:numRef>
          </c:val>
          <c:extLst>
            <c:ext xmlns:c16="http://schemas.microsoft.com/office/drawing/2014/chart" uri="{C3380CC4-5D6E-409C-BE32-E72D297353CC}">
              <c16:uniqueId val="{00000001-12DA-4E8B-94D3-7E2CBFD12675}"/>
            </c:ext>
          </c:extLst>
        </c:ser>
        <c:ser>
          <c:idx val="2"/>
          <c:order val="2"/>
          <c:tx>
            <c:v>2016 Survey - mainly Centrelink poor</c:v>
          </c:tx>
          <c:invertIfNegative val="0"/>
          <c:val>
            <c:numRef>
              <c:f>'Q1,3,7,19 Graphs'!$D$4:$D$16</c:f>
              <c:numCache>
                <c:formatCode>General</c:formatCode>
                <c:ptCount val="13"/>
                <c:pt idx="0">
                  <c:v>82</c:v>
                </c:pt>
                <c:pt idx="1">
                  <c:v>72</c:v>
                </c:pt>
                <c:pt idx="2">
                  <c:v>66</c:v>
                </c:pt>
                <c:pt idx="3">
                  <c:v>56</c:v>
                </c:pt>
                <c:pt idx="4">
                  <c:v>40</c:v>
                </c:pt>
                <c:pt idx="5">
                  <c:v>37</c:v>
                </c:pt>
                <c:pt idx="6">
                  <c:v>64</c:v>
                </c:pt>
                <c:pt idx="7">
                  <c:v>36</c:v>
                </c:pt>
                <c:pt idx="8">
                  <c:v>18</c:v>
                </c:pt>
                <c:pt idx="9">
                  <c:v>12</c:v>
                </c:pt>
                <c:pt idx="10">
                  <c:v>8</c:v>
                </c:pt>
                <c:pt idx="11">
                  <c:v>14</c:v>
                </c:pt>
                <c:pt idx="12">
                  <c:v>10</c:v>
                </c:pt>
              </c:numCache>
            </c:numRef>
          </c:val>
          <c:extLst>
            <c:ext xmlns:c16="http://schemas.microsoft.com/office/drawing/2014/chart" uri="{C3380CC4-5D6E-409C-BE32-E72D297353CC}">
              <c16:uniqueId val="{00000002-12DA-4E8B-94D3-7E2CBFD12675}"/>
            </c:ext>
          </c:extLst>
        </c:ser>
        <c:dLbls>
          <c:showLegendKey val="0"/>
          <c:showVal val="0"/>
          <c:showCatName val="0"/>
          <c:showSerName val="0"/>
          <c:showPercent val="0"/>
          <c:showBubbleSize val="0"/>
        </c:dLbls>
        <c:gapWidth val="100"/>
        <c:axId val="209900288"/>
        <c:axId val="209902976"/>
      </c:barChart>
      <c:catAx>
        <c:axId val="209900288"/>
        <c:scaling>
          <c:orientation val="minMax"/>
        </c:scaling>
        <c:delete val="0"/>
        <c:axPos val="b"/>
        <c:numFmt formatCode="General" sourceLinked="0"/>
        <c:majorTickMark val="out"/>
        <c:minorTickMark val="none"/>
        <c:tickLblPos val="nextTo"/>
        <c:crossAx val="209902976"/>
        <c:crosses val="autoZero"/>
        <c:auto val="1"/>
        <c:lblAlgn val="ctr"/>
        <c:lblOffset val="100"/>
        <c:noMultiLvlLbl val="0"/>
      </c:catAx>
      <c:valAx>
        <c:axId val="209902976"/>
        <c:scaling>
          <c:orientation val="minMax"/>
        </c:scaling>
        <c:delete val="0"/>
        <c:axPos val="l"/>
        <c:majorGridlines/>
        <c:title>
          <c:tx>
            <c:rich>
              <a:bodyPr rot="-5400000" vert="horz"/>
              <a:lstStyle/>
              <a:p>
                <a:pPr>
                  <a:defRPr/>
                </a:pPr>
                <a:r>
                  <a:rPr lang="en-US"/>
                  <a:t>% of respondents rating this in top 5 costs</a:t>
                </a:r>
              </a:p>
            </c:rich>
          </c:tx>
          <c:layout>
            <c:manualLayout>
              <c:xMode val="edge"/>
              <c:yMode val="edge"/>
              <c:x val="2.3350846468184472E-2"/>
              <c:y val="0.1456550359320101"/>
            </c:manualLayout>
          </c:layout>
          <c:overlay val="0"/>
        </c:title>
        <c:numFmt formatCode="#,##0" sourceLinked="0"/>
        <c:majorTickMark val="out"/>
        <c:minorTickMark val="none"/>
        <c:tickLblPos val="nextTo"/>
        <c:crossAx val="209900288"/>
        <c:crosses val="autoZero"/>
        <c:crossBetween val="between"/>
      </c:valAx>
    </c:plotArea>
    <c:legend>
      <c:legendPos val="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4"/>
          <c:order val="0"/>
          <c:tx>
            <c:strRef>
              <c:f>'B2. Total count(485)'!$K$366</c:f>
              <c:strCache>
                <c:ptCount val="1"/>
                <c:pt idx="0">
                  <c:v>Difficulty Paying</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'B2. Total count(485)'!$H$366</c:f>
              <c:numCache>
                <c:formatCode>###0.0</c:formatCode>
                <c:ptCount val="1"/>
                <c:pt idx="0">
                  <c:v>15.459932857380934</c:v>
                </c:pt>
              </c:numCache>
            </c:numRef>
          </c:val>
          <c:extLst>
            <c:ext xmlns:c16="http://schemas.microsoft.com/office/drawing/2014/chart" uri="{C3380CC4-5D6E-409C-BE32-E72D297353CC}">
              <c16:uniqueId val="{00000000-0379-4F8E-8CC9-B21A588E0907}"/>
            </c:ext>
          </c:extLst>
        </c:ser>
        <c:ser>
          <c:idx val="0"/>
          <c:order val="1"/>
          <c:tx>
            <c:strRef>
              <c:f>'B2. Total count(485)'!$K$367</c:f>
              <c:strCache>
                <c:ptCount val="1"/>
                <c:pt idx="0">
                  <c:v>Cut Back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'B2. Total count(485)'!$H$366</c:f>
              <c:numCache>
                <c:formatCode>###0.0</c:formatCode>
                <c:ptCount val="1"/>
                <c:pt idx="0">
                  <c:v>15.459932857380934</c:v>
                </c:pt>
              </c:numCache>
            </c:numRef>
          </c:cat>
          <c:val>
            <c:numRef>
              <c:f>'B2. Total count(485)'!$H$367</c:f>
              <c:numCache>
                <c:formatCode>###0.0</c:formatCode>
                <c:ptCount val="1"/>
                <c:pt idx="0">
                  <c:v>28.239605539324842</c:v>
                </c:pt>
              </c:numCache>
            </c:numRef>
          </c:val>
          <c:extLst>
            <c:ext xmlns:c16="http://schemas.microsoft.com/office/drawing/2014/chart" uri="{C3380CC4-5D6E-409C-BE32-E72D297353CC}">
              <c16:uniqueId val="{00000001-0379-4F8E-8CC9-B21A588E0907}"/>
            </c:ext>
          </c:extLst>
        </c:ser>
        <c:ser>
          <c:idx val="1"/>
          <c:order val="2"/>
          <c:tx>
            <c:strRef>
              <c:f>'B2. Total count(485)'!$K$368</c:f>
              <c:strCache>
                <c:ptCount val="1"/>
                <c:pt idx="0">
                  <c:v>Stopped Service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'B2. Total count(485)'!$H$366</c:f>
              <c:numCache>
                <c:formatCode>###0.0</c:formatCode>
                <c:ptCount val="1"/>
                <c:pt idx="0">
                  <c:v>15.459932857380934</c:v>
                </c:pt>
              </c:numCache>
            </c:numRef>
          </c:cat>
          <c:val>
            <c:numRef>
              <c:f>'B2. Total count(485)'!$H$368</c:f>
              <c:numCache>
                <c:formatCode>###0.0</c:formatCode>
                <c:ptCount val="1"/>
                <c:pt idx="0">
                  <c:v>2.5487526613539764</c:v>
                </c:pt>
              </c:numCache>
            </c:numRef>
          </c:val>
          <c:extLst>
            <c:ext xmlns:c16="http://schemas.microsoft.com/office/drawing/2014/chart" uri="{C3380CC4-5D6E-409C-BE32-E72D297353CC}">
              <c16:uniqueId val="{00000002-0379-4F8E-8CC9-B21A588E0907}"/>
            </c:ext>
          </c:extLst>
        </c:ser>
        <c:ser>
          <c:idx val="2"/>
          <c:order val="3"/>
          <c:tx>
            <c:strRef>
              <c:f>'B2. Total count(485)'!$K$369</c:f>
              <c:strCache>
                <c:ptCount val="1"/>
                <c:pt idx="0">
                  <c:v>Unsure</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'B2. Total count(485)'!$H$366</c:f>
              <c:numCache>
                <c:formatCode>###0.0</c:formatCode>
                <c:ptCount val="1"/>
                <c:pt idx="0">
                  <c:v>15.459932857380934</c:v>
                </c:pt>
              </c:numCache>
            </c:numRef>
          </c:cat>
          <c:val>
            <c:numRef>
              <c:f>'B2. Total count(485)'!$H$369</c:f>
              <c:numCache>
                <c:formatCode>###0.0</c:formatCode>
                <c:ptCount val="1"/>
                <c:pt idx="0">
                  <c:v>4.5534562591527923</c:v>
                </c:pt>
              </c:numCache>
            </c:numRef>
          </c:val>
          <c:extLst>
            <c:ext xmlns:c16="http://schemas.microsoft.com/office/drawing/2014/chart" uri="{C3380CC4-5D6E-409C-BE32-E72D297353CC}">
              <c16:uniqueId val="{00000003-0379-4F8E-8CC9-B21A588E0907}"/>
            </c:ext>
          </c:extLst>
        </c:ser>
        <c:ser>
          <c:idx val="3"/>
          <c:order val="4"/>
          <c:tx>
            <c:strRef>
              <c:f>'B2. Total count(485)'!$K$370</c:f>
              <c:strCache>
                <c:ptCount val="1"/>
                <c:pt idx="0">
                  <c:v>No Stress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'B2. Total count(485)'!$H$366</c:f>
              <c:numCache>
                <c:formatCode>###0.0</c:formatCode>
                <c:ptCount val="1"/>
                <c:pt idx="0">
                  <c:v>15.459932857380934</c:v>
                </c:pt>
              </c:numCache>
            </c:numRef>
          </c:cat>
          <c:val>
            <c:numRef>
              <c:f>'B2. Total count(485)'!$H$370</c:f>
              <c:numCache>
                <c:formatCode>###0.0</c:formatCode>
                <c:ptCount val="1"/>
                <c:pt idx="0">
                  <c:v>49.198252682787782</c:v>
                </c:pt>
              </c:numCache>
            </c:numRef>
          </c:val>
          <c:extLst>
            <c:ext xmlns:c16="http://schemas.microsoft.com/office/drawing/2014/chart" uri="{C3380CC4-5D6E-409C-BE32-E72D297353CC}">
              <c16:uniqueId val="{00000004-0379-4F8E-8CC9-B21A588E0907}"/>
            </c:ext>
          </c:extLst>
        </c:ser>
        <c:dLbls>
          <c:dLblPos val="ctr"/>
          <c:showLegendKey val="0"/>
          <c:showVal val="1"/>
          <c:showCatName val="0"/>
          <c:showSerName val="0"/>
          <c:showPercent val="0"/>
          <c:showBubbleSize val="0"/>
        </c:dLbls>
        <c:gapWidth val="150"/>
        <c:overlap val="100"/>
        <c:axId val="380416752"/>
        <c:axId val="380417736"/>
      </c:barChart>
      <c:catAx>
        <c:axId val="380416752"/>
        <c:scaling>
          <c:orientation val="minMax"/>
        </c:scaling>
        <c:delete val="1"/>
        <c:axPos val="l"/>
        <c:numFmt formatCode="###0.0" sourceLinked="1"/>
        <c:majorTickMark val="none"/>
        <c:minorTickMark val="none"/>
        <c:tickLblPos val="nextTo"/>
        <c:crossAx val="380417736"/>
        <c:crosses val="autoZero"/>
        <c:auto val="1"/>
        <c:lblAlgn val="ctr"/>
        <c:lblOffset val="100"/>
        <c:noMultiLvlLbl val="0"/>
      </c:catAx>
      <c:valAx>
        <c:axId val="3804177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4167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6350" cap="flat" cmpd="sng" algn="ctr">
      <a:solidFill>
        <a:srgbClr val="868686"/>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AU" sz="1100"/>
              <a:t>Current Expenditure</a:t>
            </a:r>
            <a:r>
              <a:rPr lang="en-AU" sz="1100" baseline="0"/>
              <a:t> by Comparison with 3 Years Ago</a:t>
            </a:r>
            <a:endParaRPr lang="en-AU" sz="1100"/>
          </a:p>
        </c:rich>
      </c:tx>
      <c:overlay val="0"/>
    </c:title>
    <c:autoTitleDeleted val="0"/>
    <c:plotArea>
      <c:layout/>
      <c:pieChart>
        <c:varyColors val="1"/>
        <c:ser>
          <c:idx val="0"/>
          <c:order val="0"/>
          <c:dPt>
            <c:idx val="0"/>
            <c:bubble3D val="0"/>
            <c:spPr>
              <a:solidFill>
                <a:schemeClr val="accent1"/>
              </a:solidFill>
            </c:spPr>
            <c:extLst>
              <c:ext xmlns:c16="http://schemas.microsoft.com/office/drawing/2014/chart" uri="{C3380CC4-5D6E-409C-BE32-E72D297353CC}">
                <c16:uniqueId val="{00000001-A3FF-4B26-9B0D-CDD3DA327983}"/>
              </c:ext>
            </c:extLst>
          </c:dPt>
          <c:dPt>
            <c:idx val="1"/>
            <c:bubble3D val="0"/>
            <c:spPr>
              <a:solidFill>
                <a:schemeClr val="accent1">
                  <a:alpha val="50000"/>
                </a:schemeClr>
              </a:solidFill>
            </c:spPr>
            <c:extLst>
              <c:ext xmlns:c16="http://schemas.microsoft.com/office/drawing/2014/chart" uri="{C3380CC4-5D6E-409C-BE32-E72D297353CC}">
                <c16:uniqueId val="{00000003-A3FF-4B26-9B0D-CDD3DA327983}"/>
              </c:ext>
            </c:extLst>
          </c:dPt>
          <c:dPt>
            <c:idx val="3"/>
            <c:bubble3D val="0"/>
            <c:spPr>
              <a:solidFill>
                <a:srgbClr val="FF0000">
                  <a:alpha val="50000"/>
                </a:srgbClr>
              </a:solidFill>
            </c:spPr>
            <c:extLst>
              <c:ext xmlns:c16="http://schemas.microsoft.com/office/drawing/2014/chart" uri="{C3380CC4-5D6E-409C-BE32-E72D297353CC}">
                <c16:uniqueId val="{00000005-A3FF-4B26-9B0D-CDD3DA327983}"/>
              </c:ext>
            </c:extLst>
          </c:dPt>
          <c:dPt>
            <c:idx val="4"/>
            <c:bubble3D val="0"/>
            <c:spPr>
              <a:solidFill>
                <a:srgbClr val="FF0000"/>
              </a:solidFill>
            </c:spPr>
            <c:extLst>
              <c:ext xmlns:c16="http://schemas.microsoft.com/office/drawing/2014/chart" uri="{C3380CC4-5D6E-409C-BE32-E72D297353CC}">
                <c16:uniqueId val="{00000007-A3FF-4B26-9B0D-CDD3DA327983}"/>
              </c:ext>
            </c:extLst>
          </c:dPt>
          <c:dPt>
            <c:idx val="5"/>
            <c:bubble3D val="0"/>
            <c:spPr>
              <a:solidFill>
                <a:schemeClr val="bg1">
                  <a:lumMod val="85000"/>
                </a:schemeClr>
              </a:solidFill>
            </c:spPr>
            <c:extLst>
              <c:ext xmlns:c16="http://schemas.microsoft.com/office/drawing/2014/chart" uri="{C3380CC4-5D6E-409C-BE32-E72D297353CC}">
                <c16:uniqueId val="{00000009-A3FF-4B26-9B0D-CDD3DA327983}"/>
              </c:ext>
            </c:extLst>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'B2. Total count(485)'!$K$1308:$K$1313</c:f>
              <c:strCache>
                <c:ptCount val="6"/>
                <c:pt idx="0">
                  <c:v>Much less now</c:v>
                </c:pt>
                <c:pt idx="1">
                  <c:v>Bit less now</c:v>
                </c:pt>
                <c:pt idx="2">
                  <c:v>Same</c:v>
                </c:pt>
                <c:pt idx="3">
                  <c:v>Bit more now</c:v>
                </c:pt>
                <c:pt idx="4">
                  <c:v>Much more now</c:v>
                </c:pt>
                <c:pt idx="5">
                  <c:v>Don't know</c:v>
                </c:pt>
              </c:strCache>
            </c:strRef>
          </c:cat>
          <c:val>
            <c:numRef>
              <c:f>'B2. Total count(485)'!$I$1308:$I$1313</c:f>
              <c:numCache>
                <c:formatCode>###0.0</c:formatCode>
                <c:ptCount val="6"/>
                <c:pt idx="0">
                  <c:v>15.067589744092096</c:v>
                </c:pt>
                <c:pt idx="1">
                  <c:v>18.510477996351668</c:v>
                </c:pt>
                <c:pt idx="2">
                  <c:v>37.869895168261458</c:v>
                </c:pt>
                <c:pt idx="3">
                  <c:v>13.914137942788077</c:v>
                </c:pt>
                <c:pt idx="4">
                  <c:v>7.3785770819578111</c:v>
                </c:pt>
                <c:pt idx="5">
                  <c:v>7.25932206654889</c:v>
                </c:pt>
              </c:numCache>
            </c:numRef>
          </c:val>
          <c:extLst>
            <c:ext xmlns:c16="http://schemas.microsoft.com/office/drawing/2014/chart" uri="{C3380CC4-5D6E-409C-BE32-E72D297353CC}">
              <c16:uniqueId val="{0000000A-A3FF-4B26-9B0D-CDD3DA327983}"/>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D4AA51-D5D9-4052-937D-99F1B661BD0D}"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AU"/>
        </a:p>
      </dgm:t>
    </dgm:pt>
    <dgm:pt modelId="{5E035578-9405-4DB1-AFC1-6074D1759D6B}">
      <dgm:prSet phldrT="[Text]" custT="1"/>
      <dgm:spPr>
        <a:xfrm>
          <a:off x="2254789" y="2795500"/>
          <a:ext cx="1236988" cy="123698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AU" sz="1800">
              <a:solidFill>
                <a:sysClr val="window" lastClr="FFFFFF"/>
              </a:solidFill>
              <a:latin typeface="Calibri"/>
              <a:ea typeface="+mn-ea"/>
              <a:cs typeface="+mn-cs"/>
            </a:rPr>
            <a:t>Limits on Capacity to Pay</a:t>
          </a:r>
        </a:p>
      </dgm:t>
    </dgm:pt>
    <dgm:pt modelId="{29F7A54C-A1FB-475C-9F87-DB706FA0285F}" type="parTrans" cxnId="{76706424-D280-4E79-A974-321085CB0790}">
      <dgm:prSet/>
      <dgm:spPr/>
      <dgm:t>
        <a:bodyPr/>
        <a:lstStyle/>
        <a:p>
          <a:endParaRPr lang="en-AU" sz="2400"/>
        </a:p>
      </dgm:t>
    </dgm:pt>
    <dgm:pt modelId="{4A974F2E-17DF-4E9F-AB8F-651A5A9A79A7}" type="sibTrans" cxnId="{76706424-D280-4E79-A974-321085CB0790}">
      <dgm:prSet/>
      <dgm:spPr/>
      <dgm:t>
        <a:bodyPr/>
        <a:lstStyle/>
        <a:p>
          <a:endParaRPr lang="en-AU" sz="2400"/>
        </a:p>
      </dgm:t>
    </dgm:pt>
    <dgm:pt modelId="{647E98A0-BA40-4210-99DF-88E6231F3E61}">
      <dgm:prSet phldrT="[Text]" custT="1"/>
      <dgm:spPr>
        <a:xfrm>
          <a:off x="-30386" y="2104879"/>
          <a:ext cx="1583282" cy="148639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AU" sz="900" b="1" u="sng">
              <a:solidFill>
                <a:sysClr val="window" lastClr="FFFFFF"/>
              </a:solidFill>
              <a:latin typeface="Calibri"/>
              <a:ea typeface="+mn-ea"/>
              <a:cs typeface="+mn-cs"/>
            </a:rPr>
            <a:t>Labour market issues</a:t>
          </a:r>
        </a:p>
        <a:p>
          <a:pPr>
            <a:buNone/>
          </a:pPr>
          <a:r>
            <a:rPr lang="en-AU" sz="900">
              <a:solidFill>
                <a:sysClr val="window" lastClr="FFFFFF"/>
              </a:solidFill>
              <a:latin typeface="Calibri"/>
              <a:ea typeface="+mn-ea"/>
              <a:cs typeface="+mn-cs"/>
            </a:rPr>
            <a:t>Irregular hours</a:t>
          </a:r>
        </a:p>
        <a:p>
          <a:pPr>
            <a:buNone/>
          </a:pPr>
          <a:r>
            <a:rPr lang="en-AU" sz="900">
              <a:solidFill>
                <a:sysClr val="window" lastClr="FFFFFF"/>
              </a:solidFill>
              <a:latin typeface="Calibri"/>
              <a:ea typeface="+mn-ea"/>
              <a:cs typeface="+mn-cs"/>
            </a:rPr>
            <a:t>Under-employment</a:t>
          </a:r>
        </a:p>
        <a:p>
          <a:pPr>
            <a:buNone/>
          </a:pPr>
          <a:r>
            <a:rPr lang="en-AU" sz="900">
              <a:solidFill>
                <a:sysClr val="window" lastClr="FFFFFF"/>
              </a:solidFill>
              <a:latin typeface="Calibri"/>
              <a:ea typeface="+mn-ea"/>
              <a:cs typeface="+mn-cs"/>
            </a:rPr>
            <a:t>Minimum wage with multiple dependants</a:t>
          </a:r>
        </a:p>
        <a:p>
          <a:pPr>
            <a:buNone/>
          </a:pPr>
          <a:r>
            <a:rPr lang="en-AU" sz="900">
              <a:solidFill>
                <a:sysClr val="window" lastClr="FFFFFF"/>
              </a:solidFill>
              <a:latin typeface="Calibri"/>
              <a:ea typeface="+mn-ea"/>
              <a:cs typeface="+mn-cs"/>
            </a:rPr>
            <a:t>Lack of workplace entitlements leading to low and/or irregular pay</a:t>
          </a:r>
        </a:p>
        <a:p>
          <a:pPr>
            <a:buNone/>
          </a:pPr>
          <a:endParaRPr lang="en-AU" sz="900">
            <a:solidFill>
              <a:sysClr val="window" lastClr="FFFFFF"/>
            </a:solidFill>
            <a:latin typeface="Calibri"/>
            <a:ea typeface="+mn-ea"/>
            <a:cs typeface="+mn-cs"/>
          </a:endParaRPr>
        </a:p>
      </dgm:t>
    </dgm:pt>
    <dgm:pt modelId="{A4A26B6F-3810-4AD2-9466-9164D9D16E0C}" type="parTrans" cxnId="{DB4CD5D6-79C1-4B27-9B67-5AA6A4801C6D}">
      <dgm:prSet/>
      <dgm:spPr>
        <a:xfrm rot="11700000">
          <a:off x="736009" y="2821149"/>
          <a:ext cx="1481797" cy="437374"/>
        </a:xfrm>
        <a:prstGeom prst="lef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AU" sz="2400"/>
        </a:p>
      </dgm:t>
    </dgm:pt>
    <dgm:pt modelId="{EDD63903-F320-4CC2-B153-230BEED0BD57}" type="sibTrans" cxnId="{DB4CD5D6-79C1-4B27-9B67-5AA6A4801C6D}">
      <dgm:prSet/>
      <dgm:spPr/>
      <dgm:t>
        <a:bodyPr/>
        <a:lstStyle/>
        <a:p>
          <a:endParaRPr lang="en-AU" sz="2400"/>
        </a:p>
      </dgm:t>
    </dgm:pt>
    <dgm:pt modelId="{062537F6-B7FB-480C-9C50-1C7D5F2EAD42}">
      <dgm:prSet phldrT="[Text]" custT="1"/>
      <dgm:spPr>
        <a:xfrm>
          <a:off x="1199131" y="766205"/>
          <a:ext cx="1500166" cy="133223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AU" sz="900" b="1" u="sng">
              <a:solidFill>
                <a:sysClr val="window" lastClr="FFFFFF"/>
              </a:solidFill>
              <a:latin typeface="Calibri"/>
              <a:ea typeface="+mn-ea"/>
              <a:cs typeface="+mn-cs"/>
            </a:rPr>
            <a:t>Other Income</a:t>
          </a:r>
        </a:p>
        <a:p>
          <a:pPr>
            <a:buNone/>
          </a:pPr>
          <a:r>
            <a:rPr lang="en-AU" sz="900">
              <a:solidFill>
                <a:sysClr val="window" lastClr="FFFFFF"/>
              </a:solidFill>
              <a:latin typeface="Calibri"/>
              <a:ea typeface="+mn-ea"/>
              <a:cs typeface="+mn-cs"/>
            </a:rPr>
            <a:t>Changing eligibility and circumstances → moving in and out of income support payments</a:t>
          </a:r>
        </a:p>
        <a:p>
          <a:pPr>
            <a:buNone/>
          </a:pPr>
          <a:r>
            <a:rPr lang="en-AU" sz="900">
              <a:solidFill>
                <a:sysClr val="window" lastClr="FFFFFF"/>
              </a:solidFill>
              <a:latin typeface="Calibri"/>
              <a:ea typeface="+mn-ea"/>
              <a:cs typeface="+mn-cs"/>
            </a:rPr>
            <a:t>Not accessing income support and energy concessions</a:t>
          </a:r>
        </a:p>
        <a:p>
          <a:pPr>
            <a:buNone/>
          </a:pPr>
          <a:endParaRPr lang="en-AU" sz="900">
            <a:solidFill>
              <a:sysClr val="window" lastClr="FFFFFF"/>
            </a:solidFill>
            <a:latin typeface="Calibri"/>
            <a:ea typeface="+mn-ea"/>
            <a:cs typeface="+mn-cs"/>
          </a:endParaRPr>
        </a:p>
      </dgm:t>
    </dgm:pt>
    <dgm:pt modelId="{37ABECB1-A1C6-459A-B5D8-C1D9A87AE0A9}" type="parTrans" cxnId="{3CD77AB3-E606-402D-BBD7-4D8434EBDBF1}">
      <dgm:prSet/>
      <dgm:spPr>
        <a:xfrm rot="14700000">
          <a:off x="1521433" y="1885116"/>
          <a:ext cx="1481797" cy="437374"/>
        </a:xfrm>
        <a:prstGeom prst="lef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AU" sz="2400"/>
        </a:p>
      </dgm:t>
    </dgm:pt>
    <dgm:pt modelId="{037E89B3-7673-406F-9F45-ED60D052DE36}" type="sibTrans" cxnId="{3CD77AB3-E606-402D-BBD7-4D8434EBDBF1}">
      <dgm:prSet/>
      <dgm:spPr/>
      <dgm:t>
        <a:bodyPr/>
        <a:lstStyle/>
        <a:p>
          <a:endParaRPr lang="en-AU" sz="2400"/>
        </a:p>
      </dgm:t>
    </dgm:pt>
    <dgm:pt modelId="{82E6193B-1E98-4995-ACBD-73A35F314E90}">
      <dgm:prSet phldrT="[Text]" custT="1"/>
      <dgm:spPr>
        <a:xfrm>
          <a:off x="4256355" y="2049589"/>
          <a:ext cx="1457916" cy="15969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AU" sz="1000" b="1" u="sng">
              <a:solidFill>
                <a:sysClr val="window" lastClr="FFFFFF"/>
              </a:solidFill>
              <a:latin typeface="Calibri"/>
              <a:ea typeface="+mn-ea"/>
              <a:cs typeface="+mn-cs"/>
            </a:rPr>
            <a:t>Constraints on maximising work/earnings</a:t>
          </a:r>
        </a:p>
        <a:p>
          <a:pPr>
            <a:buNone/>
          </a:pPr>
          <a:r>
            <a:rPr lang="en-AU" sz="1000">
              <a:solidFill>
                <a:sysClr val="window" lastClr="FFFFFF"/>
              </a:solidFill>
              <a:latin typeface="Calibri"/>
              <a:ea typeface="+mn-ea"/>
              <a:cs typeface="+mn-cs"/>
            </a:rPr>
            <a:t>Care responsibilities </a:t>
          </a:r>
        </a:p>
        <a:p>
          <a:pPr>
            <a:buNone/>
          </a:pPr>
          <a:r>
            <a:rPr lang="en-AU" sz="1000">
              <a:solidFill>
                <a:sysClr val="window" lastClr="FFFFFF"/>
              </a:solidFill>
              <a:latin typeface="Calibri"/>
              <a:ea typeface="+mn-ea"/>
              <a:cs typeface="+mn-cs"/>
            </a:rPr>
            <a:t>Mental and physical health issues requiring time off work</a:t>
          </a:r>
        </a:p>
        <a:p>
          <a:pPr>
            <a:buNone/>
          </a:pPr>
          <a:r>
            <a:rPr lang="en-AU" sz="1000">
              <a:solidFill>
                <a:sysClr val="window" lastClr="FFFFFF"/>
              </a:solidFill>
              <a:latin typeface="Calibri"/>
              <a:ea typeface="+mn-ea"/>
              <a:cs typeface="+mn-cs"/>
            </a:rPr>
            <a:t>Disability/high needs within family</a:t>
          </a:r>
        </a:p>
      </dgm:t>
    </dgm:pt>
    <dgm:pt modelId="{BE8B4B67-8134-4D60-AB10-3AAD68E5217E}" type="parTrans" cxnId="{ED3D8D65-287E-462F-A4B3-AF25B161FB34}">
      <dgm:prSet/>
      <dgm:spPr>
        <a:xfrm rot="20700000">
          <a:off x="3528761" y="2821149"/>
          <a:ext cx="1481797" cy="437374"/>
        </a:xfrm>
        <a:prstGeom prst="lef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AU" sz="2400"/>
        </a:p>
      </dgm:t>
    </dgm:pt>
    <dgm:pt modelId="{28F7978A-DE05-40B5-B097-144CD264E077}" type="sibTrans" cxnId="{ED3D8D65-287E-462F-A4B3-AF25B161FB34}">
      <dgm:prSet/>
      <dgm:spPr/>
      <dgm:t>
        <a:bodyPr/>
        <a:lstStyle/>
        <a:p>
          <a:endParaRPr lang="en-AU" sz="2400"/>
        </a:p>
      </dgm:t>
    </dgm:pt>
    <dgm:pt modelId="{B15917ED-35B7-4F7B-BF25-FDC8454E1A41}">
      <dgm:prSet custT="1"/>
      <dgm:spPr>
        <a:xfrm>
          <a:off x="3068394" y="849155"/>
          <a:ext cx="1457916" cy="11663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AU" sz="900" b="1" u="sng">
              <a:solidFill>
                <a:sysClr val="window" lastClr="FFFFFF"/>
              </a:solidFill>
              <a:latin typeface="Calibri"/>
              <a:ea typeface="+mn-ea"/>
              <a:cs typeface="+mn-cs"/>
            </a:rPr>
            <a:t>Household Demographics</a:t>
          </a:r>
        </a:p>
        <a:p>
          <a:pPr>
            <a:buNone/>
          </a:pPr>
          <a:r>
            <a:rPr lang="en-AU" sz="900">
              <a:solidFill>
                <a:sysClr val="window" lastClr="FFFFFF"/>
              </a:solidFill>
              <a:latin typeface="Calibri"/>
              <a:ea typeface="+mn-ea"/>
              <a:cs typeface="+mn-cs"/>
            </a:rPr>
            <a:t>Large households with mutiple children</a:t>
          </a:r>
        </a:p>
        <a:p>
          <a:pPr>
            <a:buNone/>
          </a:pPr>
          <a:r>
            <a:rPr lang="en-AU" sz="900">
              <a:solidFill>
                <a:sysClr val="window" lastClr="FFFFFF"/>
              </a:solidFill>
              <a:latin typeface="Calibri"/>
              <a:ea typeface="+mn-ea"/>
              <a:cs typeface="+mn-cs"/>
            </a:rPr>
            <a:t>Renting</a:t>
          </a:r>
        </a:p>
        <a:p>
          <a:pPr>
            <a:buNone/>
          </a:pPr>
          <a:r>
            <a:rPr lang="en-AU" sz="900">
              <a:solidFill>
                <a:sysClr val="window" lastClr="FFFFFF"/>
              </a:solidFill>
              <a:latin typeface="Calibri"/>
              <a:ea typeface="+mn-ea"/>
              <a:cs typeface="+mn-cs"/>
            </a:rPr>
            <a:t>High housing costs</a:t>
          </a:r>
        </a:p>
        <a:p>
          <a:pPr>
            <a:buNone/>
          </a:pPr>
          <a:endParaRPr lang="en-AU" sz="1200">
            <a:solidFill>
              <a:sysClr val="window" lastClr="FFFFFF"/>
            </a:solidFill>
            <a:latin typeface="Calibri"/>
            <a:ea typeface="+mn-ea"/>
            <a:cs typeface="+mn-cs"/>
          </a:endParaRPr>
        </a:p>
      </dgm:t>
    </dgm:pt>
    <dgm:pt modelId="{2FD30C6F-B66E-4977-804C-5B499B2761D8}" type="parTrans" cxnId="{E9FAFEB3-747B-43D8-AB4B-D1C42B0C883F}">
      <dgm:prSet/>
      <dgm:spPr>
        <a:xfrm rot="17700000">
          <a:off x="2743337" y="1885116"/>
          <a:ext cx="1481797" cy="437374"/>
        </a:xfrm>
        <a:prstGeom prst="lef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AU" sz="2400"/>
        </a:p>
      </dgm:t>
    </dgm:pt>
    <dgm:pt modelId="{ACB7259E-E794-4839-BFCC-1E15A4DFDF3A}" type="sibTrans" cxnId="{E9FAFEB3-747B-43D8-AB4B-D1C42B0C883F}">
      <dgm:prSet/>
      <dgm:spPr/>
      <dgm:t>
        <a:bodyPr/>
        <a:lstStyle/>
        <a:p>
          <a:endParaRPr lang="en-AU" sz="2400"/>
        </a:p>
      </dgm:t>
    </dgm:pt>
    <dgm:pt modelId="{C16BAE34-D586-44BE-AE05-DB92E2A5CDD7}" type="pres">
      <dgm:prSet presAssocID="{08D4AA51-D5D9-4052-937D-99F1B661BD0D}" presName="cycle" presStyleCnt="0">
        <dgm:presLayoutVars>
          <dgm:chMax val="1"/>
          <dgm:dir/>
          <dgm:animLvl val="ctr"/>
          <dgm:resizeHandles val="exact"/>
        </dgm:presLayoutVars>
      </dgm:prSet>
      <dgm:spPr/>
    </dgm:pt>
    <dgm:pt modelId="{FD949E1A-8C61-406C-8DB3-10D97B053040}" type="pres">
      <dgm:prSet presAssocID="{5E035578-9405-4DB1-AFC1-6074D1759D6B}" presName="centerShape" presStyleLbl="node0" presStyleIdx="0" presStyleCnt="1" custScaleX="80604" custScaleY="80604"/>
      <dgm:spPr/>
    </dgm:pt>
    <dgm:pt modelId="{3132E532-C8DA-4E19-89D3-F86B2E46557B}" type="pres">
      <dgm:prSet presAssocID="{A4A26B6F-3810-4AD2-9466-9164D9D16E0C}" presName="parTrans" presStyleLbl="bgSibTrans2D1" presStyleIdx="0" presStyleCnt="4"/>
      <dgm:spPr/>
    </dgm:pt>
    <dgm:pt modelId="{47F15B24-7E3F-437D-A062-D0128CCAA04E}" type="pres">
      <dgm:prSet presAssocID="{647E98A0-BA40-4210-99DF-88E6231F3E61}" presName="node" presStyleLbl="node1" presStyleIdx="0" presStyleCnt="4" custScaleX="108599" custScaleY="127442">
        <dgm:presLayoutVars>
          <dgm:bulletEnabled val="1"/>
        </dgm:presLayoutVars>
      </dgm:prSet>
      <dgm:spPr/>
    </dgm:pt>
    <dgm:pt modelId="{A0723E06-3C32-4099-B332-C7938C9901AE}" type="pres">
      <dgm:prSet presAssocID="{37ABECB1-A1C6-459A-B5D8-C1D9A87AE0A9}" presName="parTrans" presStyleLbl="bgSibTrans2D1" presStyleIdx="1" presStyleCnt="4"/>
      <dgm:spPr/>
    </dgm:pt>
    <dgm:pt modelId="{45F8E0D3-F0B5-4400-982C-B7A97529ADF2}" type="pres">
      <dgm:prSet presAssocID="{062537F6-B7FB-480C-9C50-1C7D5F2EAD42}" presName="node" presStyleLbl="node1" presStyleIdx="1" presStyleCnt="4" custScaleX="102898" custScaleY="114224">
        <dgm:presLayoutVars>
          <dgm:bulletEnabled val="1"/>
        </dgm:presLayoutVars>
      </dgm:prSet>
      <dgm:spPr/>
    </dgm:pt>
    <dgm:pt modelId="{9FC63220-DA6C-4AB4-B3A6-A20B556BC39F}" type="pres">
      <dgm:prSet presAssocID="{2FD30C6F-B66E-4977-804C-5B499B2761D8}" presName="parTrans" presStyleLbl="bgSibTrans2D1" presStyleIdx="2" presStyleCnt="4"/>
      <dgm:spPr/>
    </dgm:pt>
    <dgm:pt modelId="{EB59EA85-571B-41E2-8AA5-442D6FA2C43A}" type="pres">
      <dgm:prSet presAssocID="{B15917ED-35B7-4F7B-BF25-FDC8454E1A41}" presName="node" presStyleLbl="node1" presStyleIdx="2" presStyleCnt="4">
        <dgm:presLayoutVars>
          <dgm:bulletEnabled val="1"/>
        </dgm:presLayoutVars>
      </dgm:prSet>
      <dgm:spPr/>
    </dgm:pt>
    <dgm:pt modelId="{4142002A-04F0-4063-8F08-E438DCB5A6F5}" type="pres">
      <dgm:prSet presAssocID="{BE8B4B67-8134-4D60-AB10-3AAD68E5217E}" presName="parTrans" presStyleLbl="bgSibTrans2D1" presStyleIdx="3" presStyleCnt="4"/>
      <dgm:spPr/>
    </dgm:pt>
    <dgm:pt modelId="{3DA69017-EDA7-4CAC-A144-D185681A7443}" type="pres">
      <dgm:prSet presAssocID="{82E6193B-1E98-4995-ACBD-73A35F314E90}" presName="node" presStyleLbl="node1" presStyleIdx="3" presStyleCnt="4" custScaleY="136923">
        <dgm:presLayoutVars>
          <dgm:bulletEnabled val="1"/>
        </dgm:presLayoutVars>
      </dgm:prSet>
      <dgm:spPr/>
    </dgm:pt>
  </dgm:ptLst>
  <dgm:cxnLst>
    <dgm:cxn modelId="{76706424-D280-4E79-A974-321085CB0790}" srcId="{08D4AA51-D5D9-4052-937D-99F1B661BD0D}" destId="{5E035578-9405-4DB1-AFC1-6074D1759D6B}" srcOrd="0" destOrd="0" parTransId="{29F7A54C-A1FB-475C-9F87-DB706FA0285F}" sibTransId="{4A974F2E-17DF-4E9F-AB8F-651A5A9A79A7}"/>
    <dgm:cxn modelId="{82D8213C-193C-4BD0-97B8-A3003F0ADE92}" type="presOf" srcId="{82E6193B-1E98-4995-ACBD-73A35F314E90}" destId="{3DA69017-EDA7-4CAC-A144-D185681A7443}" srcOrd="0" destOrd="0" presId="urn:microsoft.com/office/officeart/2005/8/layout/radial4"/>
    <dgm:cxn modelId="{DB155040-996A-462C-86E8-ABDF08710068}" type="presOf" srcId="{062537F6-B7FB-480C-9C50-1C7D5F2EAD42}" destId="{45F8E0D3-F0B5-4400-982C-B7A97529ADF2}" srcOrd="0" destOrd="0" presId="urn:microsoft.com/office/officeart/2005/8/layout/radial4"/>
    <dgm:cxn modelId="{F11FFE63-BE19-4665-AA69-0203D82CA5CF}" type="presOf" srcId="{5E035578-9405-4DB1-AFC1-6074D1759D6B}" destId="{FD949E1A-8C61-406C-8DB3-10D97B053040}" srcOrd="0" destOrd="0" presId="urn:microsoft.com/office/officeart/2005/8/layout/radial4"/>
    <dgm:cxn modelId="{ED3D8D65-287E-462F-A4B3-AF25B161FB34}" srcId="{5E035578-9405-4DB1-AFC1-6074D1759D6B}" destId="{82E6193B-1E98-4995-ACBD-73A35F314E90}" srcOrd="3" destOrd="0" parTransId="{BE8B4B67-8134-4D60-AB10-3AAD68E5217E}" sibTransId="{28F7978A-DE05-40B5-B097-144CD264E077}"/>
    <dgm:cxn modelId="{2C427290-27E4-4C68-AC87-303A9E0CA168}" type="presOf" srcId="{08D4AA51-D5D9-4052-937D-99F1B661BD0D}" destId="{C16BAE34-D586-44BE-AE05-DB92E2A5CDD7}" srcOrd="0" destOrd="0" presId="urn:microsoft.com/office/officeart/2005/8/layout/radial4"/>
    <dgm:cxn modelId="{E08117AE-AFD3-4384-841E-EB385DF2A860}" type="presOf" srcId="{647E98A0-BA40-4210-99DF-88E6231F3E61}" destId="{47F15B24-7E3F-437D-A062-D0128CCAA04E}" srcOrd="0" destOrd="0" presId="urn:microsoft.com/office/officeart/2005/8/layout/radial4"/>
    <dgm:cxn modelId="{1F0836AE-B9B8-4A85-A556-B929CBE03190}" type="presOf" srcId="{B15917ED-35B7-4F7B-BF25-FDC8454E1A41}" destId="{EB59EA85-571B-41E2-8AA5-442D6FA2C43A}" srcOrd="0" destOrd="0" presId="urn:microsoft.com/office/officeart/2005/8/layout/radial4"/>
    <dgm:cxn modelId="{3CD77AB3-E606-402D-BBD7-4D8434EBDBF1}" srcId="{5E035578-9405-4DB1-AFC1-6074D1759D6B}" destId="{062537F6-B7FB-480C-9C50-1C7D5F2EAD42}" srcOrd="1" destOrd="0" parTransId="{37ABECB1-A1C6-459A-B5D8-C1D9A87AE0A9}" sibTransId="{037E89B3-7673-406F-9F45-ED60D052DE36}"/>
    <dgm:cxn modelId="{E9FAFEB3-747B-43D8-AB4B-D1C42B0C883F}" srcId="{5E035578-9405-4DB1-AFC1-6074D1759D6B}" destId="{B15917ED-35B7-4F7B-BF25-FDC8454E1A41}" srcOrd="2" destOrd="0" parTransId="{2FD30C6F-B66E-4977-804C-5B499B2761D8}" sibTransId="{ACB7259E-E794-4839-BFCC-1E15A4DFDF3A}"/>
    <dgm:cxn modelId="{FF2288D4-6016-4176-9B97-02C1AF43895C}" type="presOf" srcId="{BE8B4B67-8134-4D60-AB10-3AAD68E5217E}" destId="{4142002A-04F0-4063-8F08-E438DCB5A6F5}" srcOrd="0" destOrd="0" presId="urn:microsoft.com/office/officeart/2005/8/layout/radial4"/>
    <dgm:cxn modelId="{4D93E5D4-EDC8-45FE-9C3F-AAB7C53E657B}" type="presOf" srcId="{37ABECB1-A1C6-459A-B5D8-C1D9A87AE0A9}" destId="{A0723E06-3C32-4099-B332-C7938C9901AE}" srcOrd="0" destOrd="0" presId="urn:microsoft.com/office/officeart/2005/8/layout/radial4"/>
    <dgm:cxn modelId="{DB4CD5D6-79C1-4B27-9B67-5AA6A4801C6D}" srcId="{5E035578-9405-4DB1-AFC1-6074D1759D6B}" destId="{647E98A0-BA40-4210-99DF-88E6231F3E61}" srcOrd="0" destOrd="0" parTransId="{A4A26B6F-3810-4AD2-9466-9164D9D16E0C}" sibTransId="{EDD63903-F320-4CC2-B153-230BEED0BD57}"/>
    <dgm:cxn modelId="{267B2BE9-9AC0-4689-B93E-82E82A55EB0F}" type="presOf" srcId="{A4A26B6F-3810-4AD2-9466-9164D9D16E0C}" destId="{3132E532-C8DA-4E19-89D3-F86B2E46557B}" srcOrd="0" destOrd="0" presId="urn:microsoft.com/office/officeart/2005/8/layout/radial4"/>
    <dgm:cxn modelId="{33E94BF1-7CBB-4E23-869F-438267DE4845}" type="presOf" srcId="{2FD30C6F-B66E-4977-804C-5B499B2761D8}" destId="{9FC63220-DA6C-4AB4-B3A6-A20B556BC39F}" srcOrd="0" destOrd="0" presId="urn:microsoft.com/office/officeart/2005/8/layout/radial4"/>
    <dgm:cxn modelId="{216E70C7-5808-4FF9-ADCD-BC7A6B675058}" type="presParOf" srcId="{C16BAE34-D586-44BE-AE05-DB92E2A5CDD7}" destId="{FD949E1A-8C61-406C-8DB3-10D97B053040}" srcOrd="0" destOrd="0" presId="urn:microsoft.com/office/officeart/2005/8/layout/radial4"/>
    <dgm:cxn modelId="{8019FB72-1A4D-4123-B561-8E637BF6CB16}" type="presParOf" srcId="{C16BAE34-D586-44BE-AE05-DB92E2A5CDD7}" destId="{3132E532-C8DA-4E19-89D3-F86B2E46557B}" srcOrd="1" destOrd="0" presId="urn:microsoft.com/office/officeart/2005/8/layout/radial4"/>
    <dgm:cxn modelId="{A7A8F7CB-F7BC-46AC-B9D7-1CE372928445}" type="presParOf" srcId="{C16BAE34-D586-44BE-AE05-DB92E2A5CDD7}" destId="{47F15B24-7E3F-437D-A062-D0128CCAA04E}" srcOrd="2" destOrd="0" presId="urn:microsoft.com/office/officeart/2005/8/layout/radial4"/>
    <dgm:cxn modelId="{F0518148-9856-4CBA-A006-24005C7D3AE5}" type="presParOf" srcId="{C16BAE34-D586-44BE-AE05-DB92E2A5CDD7}" destId="{A0723E06-3C32-4099-B332-C7938C9901AE}" srcOrd="3" destOrd="0" presId="urn:microsoft.com/office/officeart/2005/8/layout/radial4"/>
    <dgm:cxn modelId="{8D5A0760-3178-4AC9-B237-4915C20A600A}" type="presParOf" srcId="{C16BAE34-D586-44BE-AE05-DB92E2A5CDD7}" destId="{45F8E0D3-F0B5-4400-982C-B7A97529ADF2}" srcOrd="4" destOrd="0" presId="urn:microsoft.com/office/officeart/2005/8/layout/radial4"/>
    <dgm:cxn modelId="{3B889432-84A4-4B50-8263-FE9A882A80B8}" type="presParOf" srcId="{C16BAE34-D586-44BE-AE05-DB92E2A5CDD7}" destId="{9FC63220-DA6C-4AB4-B3A6-A20B556BC39F}" srcOrd="5" destOrd="0" presId="urn:microsoft.com/office/officeart/2005/8/layout/radial4"/>
    <dgm:cxn modelId="{EB5C2921-AAF7-43B9-A9E9-9049143F3F5B}" type="presParOf" srcId="{C16BAE34-D586-44BE-AE05-DB92E2A5CDD7}" destId="{EB59EA85-571B-41E2-8AA5-442D6FA2C43A}" srcOrd="6" destOrd="0" presId="urn:microsoft.com/office/officeart/2005/8/layout/radial4"/>
    <dgm:cxn modelId="{75A6FA50-4F85-4D92-9390-BD53917E46C9}" type="presParOf" srcId="{C16BAE34-D586-44BE-AE05-DB92E2A5CDD7}" destId="{4142002A-04F0-4063-8F08-E438DCB5A6F5}" srcOrd="7" destOrd="0" presId="urn:microsoft.com/office/officeart/2005/8/layout/radial4"/>
    <dgm:cxn modelId="{41793767-DE3A-488D-B095-7F6CD00EABEA}" type="presParOf" srcId="{C16BAE34-D586-44BE-AE05-DB92E2A5CDD7}" destId="{3DA69017-EDA7-4CAC-A144-D185681A7443}" srcOrd="8" destOrd="0" presId="urn:microsoft.com/office/officeart/2005/8/layout/radial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949E1A-8C61-406C-8DB3-10D97B053040}">
      <dsp:nvSpPr>
        <dsp:cNvPr id="0" name=""/>
        <dsp:cNvSpPr/>
      </dsp:nvSpPr>
      <dsp:spPr>
        <a:xfrm>
          <a:off x="2253026" y="2796143"/>
          <a:ext cx="1236021" cy="123602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AU" sz="1800" kern="1200">
              <a:solidFill>
                <a:sysClr val="window" lastClr="FFFFFF"/>
              </a:solidFill>
              <a:latin typeface="Calibri"/>
              <a:ea typeface="+mn-ea"/>
              <a:cs typeface="+mn-cs"/>
            </a:rPr>
            <a:t>Limits on Capacity to Pay</a:t>
          </a:r>
        </a:p>
      </dsp:txBody>
      <dsp:txXfrm>
        <a:off x="2434037" y="2977154"/>
        <a:ext cx="873999" cy="873999"/>
      </dsp:txXfrm>
    </dsp:sp>
    <dsp:sp modelId="{3132E532-C8DA-4E19-89D3-F86B2E46557B}">
      <dsp:nvSpPr>
        <dsp:cNvPr id="0" name=""/>
        <dsp:cNvSpPr/>
      </dsp:nvSpPr>
      <dsp:spPr>
        <a:xfrm rot="11700000">
          <a:off x="735433" y="2821772"/>
          <a:ext cx="1480638" cy="437032"/>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7F15B24-7E3F-437D-A062-D0128CCAA04E}">
      <dsp:nvSpPr>
        <dsp:cNvPr id="0" name=""/>
        <dsp:cNvSpPr/>
      </dsp:nvSpPr>
      <dsp:spPr>
        <a:xfrm>
          <a:off x="-30363" y="2106061"/>
          <a:ext cx="1582044" cy="148523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AU" sz="900" b="1" u="sng" kern="1200">
              <a:solidFill>
                <a:sysClr val="window" lastClr="FFFFFF"/>
              </a:solidFill>
              <a:latin typeface="Calibri"/>
              <a:ea typeface="+mn-ea"/>
              <a:cs typeface="+mn-cs"/>
            </a:rPr>
            <a:t>Labour market issues</a:t>
          </a:r>
        </a:p>
        <a:p>
          <a:pPr marL="0" lvl="0" indent="0" algn="ctr" defTabSz="400050">
            <a:lnSpc>
              <a:spcPct val="90000"/>
            </a:lnSpc>
            <a:spcBef>
              <a:spcPct val="0"/>
            </a:spcBef>
            <a:spcAft>
              <a:spcPct val="35000"/>
            </a:spcAft>
            <a:buNone/>
          </a:pPr>
          <a:r>
            <a:rPr lang="en-AU" sz="900" kern="1200">
              <a:solidFill>
                <a:sysClr val="window" lastClr="FFFFFF"/>
              </a:solidFill>
              <a:latin typeface="Calibri"/>
              <a:ea typeface="+mn-ea"/>
              <a:cs typeface="+mn-cs"/>
            </a:rPr>
            <a:t>Irregular hours</a:t>
          </a:r>
        </a:p>
        <a:p>
          <a:pPr marL="0" lvl="0" indent="0" algn="ctr" defTabSz="400050">
            <a:lnSpc>
              <a:spcPct val="90000"/>
            </a:lnSpc>
            <a:spcBef>
              <a:spcPct val="0"/>
            </a:spcBef>
            <a:spcAft>
              <a:spcPct val="35000"/>
            </a:spcAft>
            <a:buNone/>
          </a:pPr>
          <a:r>
            <a:rPr lang="en-AU" sz="900" kern="1200">
              <a:solidFill>
                <a:sysClr val="window" lastClr="FFFFFF"/>
              </a:solidFill>
              <a:latin typeface="Calibri"/>
              <a:ea typeface="+mn-ea"/>
              <a:cs typeface="+mn-cs"/>
            </a:rPr>
            <a:t>Under-employment</a:t>
          </a:r>
        </a:p>
        <a:p>
          <a:pPr marL="0" lvl="0" indent="0" algn="ctr" defTabSz="400050">
            <a:lnSpc>
              <a:spcPct val="90000"/>
            </a:lnSpc>
            <a:spcBef>
              <a:spcPct val="0"/>
            </a:spcBef>
            <a:spcAft>
              <a:spcPct val="35000"/>
            </a:spcAft>
            <a:buNone/>
          </a:pPr>
          <a:r>
            <a:rPr lang="en-AU" sz="900" kern="1200">
              <a:solidFill>
                <a:sysClr val="window" lastClr="FFFFFF"/>
              </a:solidFill>
              <a:latin typeface="Calibri"/>
              <a:ea typeface="+mn-ea"/>
              <a:cs typeface="+mn-cs"/>
            </a:rPr>
            <a:t>Minimum wage with multiple dependants</a:t>
          </a:r>
        </a:p>
        <a:p>
          <a:pPr marL="0" lvl="0" indent="0" algn="ctr" defTabSz="400050">
            <a:lnSpc>
              <a:spcPct val="90000"/>
            </a:lnSpc>
            <a:spcBef>
              <a:spcPct val="0"/>
            </a:spcBef>
            <a:spcAft>
              <a:spcPct val="35000"/>
            </a:spcAft>
            <a:buNone/>
          </a:pPr>
          <a:r>
            <a:rPr lang="en-AU" sz="900" kern="1200">
              <a:solidFill>
                <a:sysClr val="window" lastClr="FFFFFF"/>
              </a:solidFill>
              <a:latin typeface="Calibri"/>
              <a:ea typeface="+mn-ea"/>
              <a:cs typeface="+mn-cs"/>
            </a:rPr>
            <a:t>Lack of workplace entitlements leading to low and/or irregular pay</a:t>
          </a:r>
        </a:p>
        <a:p>
          <a:pPr marL="0" lvl="0" indent="0" algn="ctr" defTabSz="400050">
            <a:lnSpc>
              <a:spcPct val="90000"/>
            </a:lnSpc>
            <a:spcBef>
              <a:spcPct val="0"/>
            </a:spcBef>
            <a:spcAft>
              <a:spcPct val="35000"/>
            </a:spcAft>
            <a:buNone/>
          </a:pPr>
          <a:endParaRPr lang="en-AU" sz="900" kern="1200">
            <a:solidFill>
              <a:sysClr val="window" lastClr="FFFFFF"/>
            </a:solidFill>
            <a:latin typeface="Calibri"/>
            <a:ea typeface="+mn-ea"/>
            <a:cs typeface="+mn-cs"/>
          </a:endParaRPr>
        </a:p>
      </dsp:txBody>
      <dsp:txXfrm>
        <a:off x="13138" y="2149562"/>
        <a:ext cx="1495042" cy="1398233"/>
      </dsp:txXfrm>
    </dsp:sp>
    <dsp:sp modelId="{A0723E06-3C32-4099-B332-C7938C9901AE}">
      <dsp:nvSpPr>
        <dsp:cNvPr id="0" name=""/>
        <dsp:cNvSpPr/>
      </dsp:nvSpPr>
      <dsp:spPr>
        <a:xfrm rot="14700000">
          <a:off x="1520243" y="1886471"/>
          <a:ext cx="1480638" cy="437032"/>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5F8E0D3-F0B5-4400-982C-B7A97529ADF2}">
      <dsp:nvSpPr>
        <dsp:cNvPr id="0" name=""/>
        <dsp:cNvSpPr/>
      </dsp:nvSpPr>
      <dsp:spPr>
        <a:xfrm>
          <a:off x="1198193" y="768435"/>
          <a:ext cx="1498993" cy="133119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AU" sz="900" b="1" u="sng" kern="1200">
              <a:solidFill>
                <a:sysClr val="window" lastClr="FFFFFF"/>
              </a:solidFill>
              <a:latin typeface="Calibri"/>
              <a:ea typeface="+mn-ea"/>
              <a:cs typeface="+mn-cs"/>
            </a:rPr>
            <a:t>Other Income</a:t>
          </a:r>
        </a:p>
        <a:p>
          <a:pPr marL="0" lvl="0" indent="0" algn="ctr" defTabSz="400050">
            <a:lnSpc>
              <a:spcPct val="90000"/>
            </a:lnSpc>
            <a:spcBef>
              <a:spcPct val="0"/>
            </a:spcBef>
            <a:spcAft>
              <a:spcPct val="35000"/>
            </a:spcAft>
            <a:buNone/>
          </a:pPr>
          <a:r>
            <a:rPr lang="en-AU" sz="900" kern="1200">
              <a:solidFill>
                <a:sysClr val="window" lastClr="FFFFFF"/>
              </a:solidFill>
              <a:latin typeface="Calibri"/>
              <a:ea typeface="+mn-ea"/>
              <a:cs typeface="+mn-cs"/>
            </a:rPr>
            <a:t>Changing eligibility and circumstances → moving in and out of income support payments</a:t>
          </a:r>
        </a:p>
        <a:p>
          <a:pPr marL="0" lvl="0" indent="0" algn="ctr" defTabSz="400050">
            <a:lnSpc>
              <a:spcPct val="90000"/>
            </a:lnSpc>
            <a:spcBef>
              <a:spcPct val="0"/>
            </a:spcBef>
            <a:spcAft>
              <a:spcPct val="35000"/>
            </a:spcAft>
            <a:buNone/>
          </a:pPr>
          <a:r>
            <a:rPr lang="en-AU" sz="900" kern="1200">
              <a:solidFill>
                <a:sysClr val="window" lastClr="FFFFFF"/>
              </a:solidFill>
              <a:latin typeface="Calibri"/>
              <a:ea typeface="+mn-ea"/>
              <a:cs typeface="+mn-cs"/>
            </a:rPr>
            <a:t>Not accessing income support and energy concessions</a:t>
          </a:r>
        </a:p>
        <a:p>
          <a:pPr marL="0" lvl="0" indent="0" algn="ctr" defTabSz="400050">
            <a:lnSpc>
              <a:spcPct val="90000"/>
            </a:lnSpc>
            <a:spcBef>
              <a:spcPct val="0"/>
            </a:spcBef>
            <a:spcAft>
              <a:spcPct val="35000"/>
            </a:spcAft>
            <a:buNone/>
          </a:pPr>
          <a:endParaRPr lang="en-AU" sz="900" kern="1200">
            <a:solidFill>
              <a:sysClr val="window" lastClr="FFFFFF"/>
            </a:solidFill>
            <a:latin typeface="Calibri"/>
            <a:ea typeface="+mn-ea"/>
            <a:cs typeface="+mn-cs"/>
          </a:endParaRPr>
        </a:p>
      </dsp:txBody>
      <dsp:txXfrm>
        <a:off x="1237182" y="807424"/>
        <a:ext cx="1421015" cy="1253212"/>
      </dsp:txXfrm>
    </dsp:sp>
    <dsp:sp modelId="{9FC63220-DA6C-4AB4-B3A6-A20B556BC39F}">
      <dsp:nvSpPr>
        <dsp:cNvPr id="0" name=""/>
        <dsp:cNvSpPr/>
      </dsp:nvSpPr>
      <dsp:spPr>
        <a:xfrm rot="17700000">
          <a:off x="2741191" y="1886471"/>
          <a:ext cx="1480638" cy="437032"/>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B59EA85-571B-41E2-8AA5-442D6FA2C43A}">
      <dsp:nvSpPr>
        <dsp:cNvPr id="0" name=""/>
        <dsp:cNvSpPr/>
      </dsp:nvSpPr>
      <dsp:spPr>
        <a:xfrm>
          <a:off x="3065995" y="851320"/>
          <a:ext cx="1456776" cy="116542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AU" sz="900" b="1" u="sng" kern="1200">
              <a:solidFill>
                <a:sysClr val="window" lastClr="FFFFFF"/>
              </a:solidFill>
              <a:latin typeface="Calibri"/>
              <a:ea typeface="+mn-ea"/>
              <a:cs typeface="+mn-cs"/>
            </a:rPr>
            <a:t>Household Demographics</a:t>
          </a:r>
        </a:p>
        <a:p>
          <a:pPr marL="0" lvl="0" indent="0" algn="ctr" defTabSz="400050">
            <a:lnSpc>
              <a:spcPct val="90000"/>
            </a:lnSpc>
            <a:spcBef>
              <a:spcPct val="0"/>
            </a:spcBef>
            <a:spcAft>
              <a:spcPct val="35000"/>
            </a:spcAft>
            <a:buNone/>
          </a:pPr>
          <a:r>
            <a:rPr lang="en-AU" sz="900" kern="1200">
              <a:solidFill>
                <a:sysClr val="window" lastClr="FFFFFF"/>
              </a:solidFill>
              <a:latin typeface="Calibri"/>
              <a:ea typeface="+mn-ea"/>
              <a:cs typeface="+mn-cs"/>
            </a:rPr>
            <a:t>Large households with mutiple children</a:t>
          </a:r>
        </a:p>
        <a:p>
          <a:pPr marL="0" lvl="0" indent="0" algn="ctr" defTabSz="400050">
            <a:lnSpc>
              <a:spcPct val="90000"/>
            </a:lnSpc>
            <a:spcBef>
              <a:spcPct val="0"/>
            </a:spcBef>
            <a:spcAft>
              <a:spcPct val="35000"/>
            </a:spcAft>
            <a:buNone/>
          </a:pPr>
          <a:r>
            <a:rPr lang="en-AU" sz="900" kern="1200">
              <a:solidFill>
                <a:sysClr val="window" lastClr="FFFFFF"/>
              </a:solidFill>
              <a:latin typeface="Calibri"/>
              <a:ea typeface="+mn-ea"/>
              <a:cs typeface="+mn-cs"/>
            </a:rPr>
            <a:t>Renting</a:t>
          </a:r>
        </a:p>
        <a:p>
          <a:pPr marL="0" lvl="0" indent="0" algn="ctr" defTabSz="400050">
            <a:lnSpc>
              <a:spcPct val="90000"/>
            </a:lnSpc>
            <a:spcBef>
              <a:spcPct val="0"/>
            </a:spcBef>
            <a:spcAft>
              <a:spcPct val="35000"/>
            </a:spcAft>
            <a:buNone/>
          </a:pPr>
          <a:r>
            <a:rPr lang="en-AU" sz="900" kern="1200">
              <a:solidFill>
                <a:sysClr val="window" lastClr="FFFFFF"/>
              </a:solidFill>
              <a:latin typeface="Calibri"/>
              <a:ea typeface="+mn-ea"/>
              <a:cs typeface="+mn-cs"/>
            </a:rPr>
            <a:t>High housing costs</a:t>
          </a:r>
        </a:p>
        <a:p>
          <a:pPr marL="0" lvl="0" indent="0" algn="ctr" defTabSz="400050">
            <a:lnSpc>
              <a:spcPct val="90000"/>
            </a:lnSpc>
            <a:spcBef>
              <a:spcPct val="0"/>
            </a:spcBef>
            <a:spcAft>
              <a:spcPct val="35000"/>
            </a:spcAft>
            <a:buNone/>
          </a:pPr>
          <a:endParaRPr lang="en-AU" sz="1200" kern="1200">
            <a:solidFill>
              <a:sysClr val="window" lastClr="FFFFFF"/>
            </a:solidFill>
            <a:latin typeface="Calibri"/>
            <a:ea typeface="+mn-ea"/>
            <a:cs typeface="+mn-cs"/>
          </a:endParaRPr>
        </a:p>
      </dsp:txBody>
      <dsp:txXfrm>
        <a:off x="3100129" y="885454"/>
        <a:ext cx="1388508" cy="1097153"/>
      </dsp:txXfrm>
    </dsp:sp>
    <dsp:sp modelId="{4142002A-04F0-4063-8F08-E438DCB5A6F5}">
      <dsp:nvSpPr>
        <dsp:cNvPr id="0" name=""/>
        <dsp:cNvSpPr/>
      </dsp:nvSpPr>
      <dsp:spPr>
        <a:xfrm rot="20700000">
          <a:off x="3526002" y="2821772"/>
          <a:ext cx="1480638" cy="437032"/>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DA69017-EDA7-4CAC-A144-D185681A7443}">
      <dsp:nvSpPr>
        <dsp:cNvPr id="0" name=""/>
        <dsp:cNvSpPr/>
      </dsp:nvSpPr>
      <dsp:spPr>
        <a:xfrm>
          <a:off x="4253026" y="2050815"/>
          <a:ext cx="1456776" cy="15957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AU" sz="1000" b="1" u="sng" kern="1200">
              <a:solidFill>
                <a:sysClr val="window" lastClr="FFFFFF"/>
              </a:solidFill>
              <a:latin typeface="Calibri"/>
              <a:ea typeface="+mn-ea"/>
              <a:cs typeface="+mn-cs"/>
            </a:rPr>
            <a:t>Constraints on maximising work/earnings</a:t>
          </a:r>
        </a:p>
        <a:p>
          <a:pPr marL="0" lvl="0" indent="0" algn="ctr" defTabSz="444500">
            <a:lnSpc>
              <a:spcPct val="90000"/>
            </a:lnSpc>
            <a:spcBef>
              <a:spcPct val="0"/>
            </a:spcBef>
            <a:spcAft>
              <a:spcPct val="35000"/>
            </a:spcAft>
            <a:buNone/>
          </a:pPr>
          <a:r>
            <a:rPr lang="en-AU" sz="1000" kern="1200">
              <a:solidFill>
                <a:sysClr val="window" lastClr="FFFFFF"/>
              </a:solidFill>
              <a:latin typeface="Calibri"/>
              <a:ea typeface="+mn-ea"/>
              <a:cs typeface="+mn-cs"/>
            </a:rPr>
            <a:t>Care responsibilities </a:t>
          </a:r>
        </a:p>
        <a:p>
          <a:pPr marL="0" lvl="0" indent="0" algn="ctr" defTabSz="444500">
            <a:lnSpc>
              <a:spcPct val="90000"/>
            </a:lnSpc>
            <a:spcBef>
              <a:spcPct val="0"/>
            </a:spcBef>
            <a:spcAft>
              <a:spcPct val="35000"/>
            </a:spcAft>
            <a:buNone/>
          </a:pPr>
          <a:r>
            <a:rPr lang="en-AU" sz="1000" kern="1200">
              <a:solidFill>
                <a:sysClr val="window" lastClr="FFFFFF"/>
              </a:solidFill>
              <a:latin typeface="Calibri"/>
              <a:ea typeface="+mn-ea"/>
              <a:cs typeface="+mn-cs"/>
            </a:rPr>
            <a:t>Mental and physical health issues requiring time off work</a:t>
          </a:r>
        </a:p>
        <a:p>
          <a:pPr marL="0" lvl="0" indent="0" algn="ctr" defTabSz="444500">
            <a:lnSpc>
              <a:spcPct val="90000"/>
            </a:lnSpc>
            <a:spcBef>
              <a:spcPct val="0"/>
            </a:spcBef>
            <a:spcAft>
              <a:spcPct val="35000"/>
            </a:spcAft>
            <a:buNone/>
          </a:pPr>
          <a:r>
            <a:rPr lang="en-AU" sz="1000" kern="1200">
              <a:solidFill>
                <a:sysClr val="window" lastClr="FFFFFF"/>
              </a:solidFill>
              <a:latin typeface="Calibri"/>
              <a:ea typeface="+mn-ea"/>
              <a:cs typeface="+mn-cs"/>
            </a:rPr>
            <a:t>Disability/high needs within family</a:t>
          </a:r>
        </a:p>
      </dsp:txBody>
      <dsp:txXfrm>
        <a:off x="4295694" y="2093483"/>
        <a:ext cx="1371440" cy="15103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CF26B36AEA041B8A1FA0631072C62" ma:contentTypeVersion="12" ma:contentTypeDescription="Create a new document." ma:contentTypeScope="" ma:versionID="60f0fe17f9bd9c80dcfd93ae32183a7f">
  <xsd:schema xmlns:xsd="http://www.w3.org/2001/XMLSchema" xmlns:xs="http://www.w3.org/2001/XMLSchema" xmlns:p="http://schemas.microsoft.com/office/2006/metadata/properties" xmlns:ns2="02a0ef37-651f-4350-9950-6fabaa0b9211" xmlns:ns3="c71a8b61-9b71-4a1f-a5f4-5507cc66d1c2" targetNamespace="http://schemas.microsoft.com/office/2006/metadata/properties" ma:root="true" ma:fieldsID="f11c740666666ec977ddcf52ea408987" ns2:_="" ns3:_="">
    <xsd:import namespace="02a0ef37-651f-4350-9950-6fabaa0b9211"/>
    <xsd:import namespace="c71a8b61-9b71-4a1f-a5f4-5507cc66d1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0ef37-651f-4350-9950-6fabaa0b9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a8b61-9b71-4a1f-a5f4-5507cc66d1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6A95C-4D20-4A0D-B789-28FCA2311873}">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c71a8b61-9b71-4a1f-a5f4-5507cc66d1c2"/>
    <ds:schemaRef ds:uri="02a0ef37-651f-4350-9950-6fabaa0b9211"/>
  </ds:schemaRefs>
</ds:datastoreItem>
</file>

<file path=customXml/itemProps2.xml><?xml version="1.0" encoding="utf-8"?>
<ds:datastoreItem xmlns:ds="http://schemas.openxmlformats.org/officeDocument/2006/customXml" ds:itemID="{7805A986-37D6-4757-AE04-CA4A2F795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0ef37-651f-4350-9950-6fabaa0b9211"/>
    <ds:schemaRef ds:uri="c71a8b61-9b71-4a1f-a5f4-5507cc66d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FC10F-0840-4F60-B7D4-D66EE75AA797}">
  <ds:schemaRefs>
    <ds:schemaRef ds:uri="http://schemas.microsoft.com/sharepoint/v3/contenttype/forms"/>
  </ds:schemaRefs>
</ds:datastoreItem>
</file>

<file path=customXml/itemProps4.xml><?xml version="1.0" encoding="utf-8"?>
<ds:datastoreItem xmlns:ds="http://schemas.openxmlformats.org/officeDocument/2006/customXml" ds:itemID="{B0E1C0D5-170E-498F-8073-E0EFB54F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ACCAN Grants Program report template</Template>
  <TotalTime>1</TotalTime>
  <Pages>69</Pages>
  <Words>31571</Words>
  <Characters>179960</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211109</CharactersWithSpaces>
  <SharedDoc>false</SharedDoc>
  <HLinks>
    <vt:vector size="24" baseType="variant">
      <vt:variant>
        <vt:i4>6488166</vt:i4>
      </vt:variant>
      <vt:variant>
        <vt:i4>9</vt:i4>
      </vt:variant>
      <vt:variant>
        <vt:i4>0</vt:i4>
      </vt:variant>
      <vt:variant>
        <vt:i4>5</vt:i4>
      </vt:variant>
      <vt:variant>
        <vt:lpwstr>http://creativecommons.org/licenses/by/4.0/</vt:lpwstr>
      </vt:variant>
      <vt:variant>
        <vt:lpwstr/>
      </vt:variant>
      <vt:variant>
        <vt:i4>7077985</vt:i4>
      </vt:variant>
      <vt:variant>
        <vt:i4>6</vt:i4>
      </vt:variant>
      <vt:variant>
        <vt:i4>0</vt:i4>
      </vt:variant>
      <vt:variant>
        <vt:i4>5</vt:i4>
      </vt:variant>
      <vt:variant>
        <vt:lpwstr>https://www.communications.gov.au/what-we-do/phone/services-people-disability/accesshub/national-relay-service/service-features/national-relay-service-call-numbers</vt:lpwstr>
      </vt:variant>
      <vt:variant>
        <vt:lpwstr/>
      </vt:variant>
      <vt:variant>
        <vt:i4>5570592</vt:i4>
      </vt:variant>
      <vt:variant>
        <vt:i4>3</vt:i4>
      </vt:variant>
      <vt:variant>
        <vt:i4>0</vt:i4>
      </vt:variant>
      <vt:variant>
        <vt:i4>5</vt:i4>
      </vt:variant>
      <vt:variant>
        <vt:lpwstr>mailto:grants@accan.org.au</vt:lpwstr>
      </vt:variant>
      <vt:variant>
        <vt:lpwstr/>
      </vt:variant>
      <vt:variant>
        <vt:i4>65621</vt:i4>
      </vt:variant>
      <vt:variant>
        <vt:i4>0</vt:i4>
      </vt:variant>
      <vt:variant>
        <vt:i4>0</vt:i4>
      </vt:variant>
      <vt:variant>
        <vt:i4>5</vt:i4>
      </vt:variant>
      <vt:variant>
        <vt:lpwstr>http://www.accan.org.au/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cnccorp</dc:creator>
  <cp:lastModifiedBy>Catherine Wyburn</cp:lastModifiedBy>
  <cp:revision>2</cp:revision>
  <cp:lastPrinted>2013-04-22T23:09:00Z</cp:lastPrinted>
  <dcterms:created xsi:type="dcterms:W3CDTF">2020-07-23T22:56:00Z</dcterms:created>
  <dcterms:modified xsi:type="dcterms:W3CDTF">2020-07-23T22:56:00Z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id="MQ2xRAX2"/&gt;&lt;style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y fmtid="{D5CDD505-2E9C-101B-9397-08002B2CF9AE}" pid="4" name="ContentTypeId">
    <vt:lpwstr>0x0101003B8CF26B36AEA041B8A1FA0631072C62</vt:lpwstr>
  </property>
</Properties>
</file>