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06356292"/>
        <w:docPartObj>
          <w:docPartGallery w:val="Cover Pages"/>
          <w:docPartUnique/>
        </w:docPartObj>
      </w:sdtPr>
      <w:sdtContent>
        <w:p w:rsidR="00885693" w:rsidRDefault="00885693">
          <w:r>
            <w:rPr>
              <w:noProof/>
              <w:lang w:val="en-IE" w:eastAsia="en-IE"/>
            </w:rPr>
            <mc:AlternateContent>
              <mc:Choice Requires="wpg">
                <w:drawing>
                  <wp:inline distT="0" distB="0" distL="0" distR="0">
                    <wp:extent cx="6852920" cy="9142730"/>
                    <wp:effectExtent l="0" t="0" r="5080" b="134620"/>
                    <wp:docPr id="119" name="Group 119" descr="&quot; &quot;"/>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descr="&quot; &quot;"/>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descr="Prepared by Kenneth Tsang, jxeeno pty ltd"/>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rsidR="006201EF" w:rsidRDefault="006201EF">
                                      <w:pPr>
                                        <w:pStyle w:val="NoSpacing"/>
                                        <w:rPr>
                                          <w:color w:val="FFFFFF" w:themeColor="background1"/>
                                          <w:sz w:val="32"/>
                                          <w:szCs w:val="32"/>
                                        </w:rPr>
                                      </w:pPr>
                                      <w:r>
                                        <w:rPr>
                                          <w:color w:val="FFFFFF" w:themeColor="background1"/>
                                          <w:sz w:val="32"/>
                                          <w:szCs w:val="32"/>
                                        </w:rPr>
                                        <w:t>Kenneth Tsang</w:t>
                                      </w:r>
                                    </w:p>
                                  </w:sdtContent>
                                </w:sdt>
                                <w:p w:rsidR="006201EF" w:rsidRDefault="006201EF">
                                  <w:pPr>
                                    <w:pStyle w:val="NoSpacing"/>
                                    <w:rPr>
                                      <w:caps/>
                                      <w:color w:val="FFFFFF" w:themeColor="background1"/>
                                    </w:rPr>
                                  </w:pPr>
                                  <w:sdt>
                                    <w:sdtPr>
                                      <w:alias w:val="Company"/>
                                      <w:tag w:val=""/>
                                      <w:id w:val="922067218"/>
                                      <w:dataBinding w:prefixMappings="xmlns:ns0='http://schemas.openxmlformats.org/officeDocument/2006/extended-properties' " w:xpath="/ns0:Properties[1]/ns0:Company[1]" w:storeItemID="{6668398D-A668-4E3E-A5EB-62B293D839F1}"/>
                                      <w:text/>
                                    </w:sdtPr>
                                    <w:sdtContent>
                                      <w:proofErr w:type="spellStart"/>
                                      <w:proofErr w:type="gramStart"/>
                                      <w:r w:rsidRPr="00740F06">
                                        <w:t>jxeeno</w:t>
                                      </w:r>
                                      <w:proofErr w:type="spellEnd"/>
                                      <w:proofErr w:type="gramEnd"/>
                                      <w:r w:rsidRPr="00740F06">
                                        <w:t xml:space="preserve"> </w:t>
                                      </w:r>
                                      <w:proofErr w:type="spellStart"/>
                                      <w:r w:rsidRPr="00740F06">
                                        <w:t>pty</w:t>
                                      </w:r>
                                      <w:proofErr w:type="spellEnd"/>
                                      <w:r w:rsidRPr="00740F06">
                                        <w:t xml:space="preserve"> ltd</w:t>
                                      </w:r>
                                    </w:sdtContent>
                                  </w:sdt>
                                  <w:r>
                                    <w:rPr>
                                      <w:caps/>
                                      <w:color w:val="FFFFFF" w:themeColor="background1"/>
                                    </w:rPr>
                                    <w:t xml:space="preserve">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descr="ADSL Availability Report"/>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01EF" w:rsidRPr="004057A3" w:rsidRDefault="006201EF">
                                  <w:pPr>
                                    <w:pStyle w:val="NoSpacing"/>
                                    <w:pBdr>
                                      <w:bottom w:val="single" w:sz="6" w:space="4" w:color="7F7F7F" w:themeColor="text1" w:themeTint="80"/>
                                    </w:pBdr>
                                    <w:rPr>
                                      <w:rFonts w:ascii="Open Sans" w:eastAsiaTheme="majorEastAsia" w:hAnsi="Open Sans"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ADSL Availability Report </w:t>
                                  </w:r>
                                </w:p>
                                <w:p w:rsidR="006201EF" w:rsidRPr="004057A3" w:rsidRDefault="006201EF">
                                  <w:pPr>
                                    <w:pStyle w:val="NoSpacing"/>
                                    <w:spacing w:before="240"/>
                                    <w:rPr>
                                      <w:rFonts w:ascii="Open Sans" w:hAnsi="Open Sans"/>
                                      <w:caps/>
                                      <w:color w:val="505046"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inline>
                </w:drawing>
              </mc:Choice>
              <mc:Fallback>
                <w:pict>
                  <v:group id="Group 119" o:spid="_x0000_s1026" alt="&quot; &quot;" style="width:539.6pt;height:719.9pt;mso-position-horizontal-relative:char;mso-position-vertical-relative:lin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">
                    <v:rect id="Rectangle 120" o:spid="_x0000_s1027" alt="&quot; &quot;"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e84c22 [3204]" stroked="f" strokeweight="1pt"/>
                    <v:rect id="Rectangle 121" o:spid="_x0000_s1028" alt="Prepared by Kenneth Tsang, jxeeno pty ltd"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ffbd47 [3205]"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rsidR="006201EF" w:rsidRDefault="006201EF">
                                <w:pPr>
                                  <w:pStyle w:val="NoSpacing"/>
                                  <w:rPr>
                                    <w:color w:val="FFFFFF" w:themeColor="background1"/>
                                    <w:sz w:val="32"/>
                                    <w:szCs w:val="32"/>
                                  </w:rPr>
                                </w:pPr>
                                <w:r>
                                  <w:rPr>
                                    <w:color w:val="FFFFFF" w:themeColor="background1"/>
                                    <w:sz w:val="32"/>
                                    <w:szCs w:val="32"/>
                                  </w:rPr>
                                  <w:t>Kenneth Tsang</w:t>
                                </w:r>
                              </w:p>
                            </w:sdtContent>
                          </w:sdt>
                          <w:p w:rsidR="006201EF" w:rsidRDefault="006201EF">
                            <w:pPr>
                              <w:pStyle w:val="NoSpacing"/>
                              <w:rPr>
                                <w:caps/>
                                <w:color w:val="FFFFFF" w:themeColor="background1"/>
                              </w:rPr>
                            </w:pPr>
                            <w:sdt>
                              <w:sdtPr>
                                <w:alias w:val="Company"/>
                                <w:tag w:val=""/>
                                <w:id w:val="922067218"/>
                                <w:dataBinding w:prefixMappings="xmlns:ns0='http://schemas.openxmlformats.org/officeDocument/2006/extended-properties' " w:xpath="/ns0:Properties[1]/ns0:Company[1]" w:storeItemID="{6668398D-A668-4E3E-A5EB-62B293D839F1}"/>
                                <w:text/>
                              </w:sdtPr>
                              <w:sdtContent>
                                <w:proofErr w:type="spellStart"/>
                                <w:proofErr w:type="gramStart"/>
                                <w:r w:rsidRPr="00740F06">
                                  <w:t>jxeeno</w:t>
                                </w:r>
                                <w:proofErr w:type="spellEnd"/>
                                <w:proofErr w:type="gramEnd"/>
                                <w:r w:rsidRPr="00740F06">
                                  <w:t xml:space="preserve"> </w:t>
                                </w:r>
                                <w:proofErr w:type="spellStart"/>
                                <w:r w:rsidRPr="00740F06">
                                  <w:t>pty</w:t>
                                </w:r>
                                <w:proofErr w:type="spellEnd"/>
                                <w:r w:rsidRPr="00740F06">
                                  <w:t xml:space="preserve"> ltd</w:t>
                                </w:r>
                              </w:sdtContent>
                            </w:sdt>
                            <w:r>
                              <w:rPr>
                                <w:caps/>
                                <w:color w:val="FFFFFF" w:themeColor="background1"/>
                              </w:rPr>
                              <w:t xml:space="preserve"> </w:t>
                            </w:r>
                          </w:p>
                        </w:txbxContent>
                      </v:textbox>
                    </v:rect>
                    <v:shapetype id="_x0000_t202" coordsize="21600,21600" o:spt="202" path="m,l,21600r21600,l21600,xe">
                      <v:stroke joinstyle="miter"/>
                      <v:path gradientshapeok="t" o:connecttype="rect"/>
                    </v:shapetype>
                    <v:shape id="Text Box 122" o:spid="_x0000_s1029" type="#_x0000_t202" alt="ADSL Availability Report"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6201EF" w:rsidRPr="004057A3" w:rsidRDefault="006201EF">
                            <w:pPr>
                              <w:pStyle w:val="NoSpacing"/>
                              <w:pBdr>
                                <w:bottom w:val="single" w:sz="6" w:space="4" w:color="7F7F7F" w:themeColor="text1" w:themeTint="80"/>
                              </w:pBdr>
                              <w:rPr>
                                <w:rFonts w:ascii="Open Sans" w:eastAsiaTheme="majorEastAsia" w:hAnsi="Open Sans"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ADSL Availability Report </w:t>
                            </w:r>
                          </w:p>
                          <w:p w:rsidR="006201EF" w:rsidRPr="004057A3" w:rsidRDefault="006201EF">
                            <w:pPr>
                              <w:pStyle w:val="NoSpacing"/>
                              <w:spacing w:before="240"/>
                              <w:rPr>
                                <w:rFonts w:ascii="Open Sans" w:hAnsi="Open Sans"/>
                                <w:caps/>
                                <w:color w:val="505046" w:themeColor="text2"/>
                                <w:sz w:val="36"/>
                                <w:szCs w:val="36"/>
                              </w:rPr>
                            </w:pPr>
                          </w:p>
                        </w:txbxContent>
                      </v:textbox>
                    </v:shape>
                    <w10:anchorlock/>
                  </v:group>
                </w:pict>
              </mc:Fallback>
            </mc:AlternateContent>
          </w:r>
        </w:p>
        <w:p w:rsidR="00885693" w:rsidRDefault="00885693">
          <w:pPr>
            <w:rPr>
              <w:rFonts w:eastAsiaTheme="majorEastAsia" w:cstheme="majorBidi"/>
              <w:b/>
              <w:bCs/>
              <w:color w:val="B43412" w:themeColor="accent1" w:themeShade="BF"/>
              <w:sz w:val="48"/>
              <w:szCs w:val="32"/>
            </w:rPr>
          </w:pPr>
          <w:r>
            <w:br w:type="page"/>
          </w:r>
        </w:p>
      </w:sdtContent>
    </w:sdt>
    <w:sdt>
      <w:sdtPr>
        <w:id w:val="2023272100"/>
        <w:docPartObj>
          <w:docPartGallery w:val="Table of Contents"/>
          <w:docPartUnique/>
        </w:docPartObj>
      </w:sdtPr>
      <w:sdtEndPr>
        <w:rPr>
          <w:rFonts w:ascii="Arial" w:eastAsiaTheme="minorHAnsi" w:hAnsi="Arial" w:cstheme="minorBidi"/>
          <w:noProof/>
          <w:color w:val="auto"/>
          <w:sz w:val="24"/>
          <w:szCs w:val="24"/>
          <w:lang w:val="en-AU" w:eastAsia="en-US"/>
        </w:rPr>
      </w:sdtEndPr>
      <w:sdtContent>
        <w:p w:rsidR="0099400B" w:rsidRDefault="0099400B">
          <w:pPr>
            <w:pStyle w:val="TOCHeading"/>
          </w:pPr>
          <w:r>
            <w:t>Content</w:t>
          </w:r>
          <w:bookmarkStart w:id="0" w:name="_GoBack"/>
          <w:bookmarkEnd w:id="0"/>
          <w:r>
            <w:t>s</w:t>
          </w:r>
        </w:p>
        <w:p w:rsidR="007013C8" w:rsidRDefault="0099400B">
          <w:pPr>
            <w:pStyle w:val="TOC1"/>
            <w:tabs>
              <w:tab w:val="right" w:leader="dot" w:pos="10450"/>
            </w:tabs>
            <w:rPr>
              <w:rFonts w:asciiTheme="minorHAnsi" w:eastAsiaTheme="minorEastAsia" w:hAnsiTheme="minorHAnsi"/>
              <w:noProof/>
              <w:sz w:val="22"/>
              <w:szCs w:val="22"/>
              <w:lang w:val="en-IE" w:eastAsia="en-IE"/>
            </w:rPr>
          </w:pPr>
          <w:r>
            <w:fldChar w:fldCharType="begin"/>
          </w:r>
          <w:r>
            <w:instrText xml:space="preserve"> TOC \o "1-3" \h \z \u </w:instrText>
          </w:r>
          <w:r>
            <w:fldChar w:fldCharType="separate"/>
          </w:r>
          <w:hyperlink w:anchor="_Toc461180937" w:history="1">
            <w:r w:rsidR="007013C8" w:rsidRPr="00F44642">
              <w:rPr>
                <w:rStyle w:val="Hyperlink"/>
                <w:noProof/>
              </w:rPr>
              <w:t>Background</w:t>
            </w:r>
            <w:r w:rsidR="007013C8">
              <w:rPr>
                <w:noProof/>
                <w:webHidden/>
              </w:rPr>
              <w:tab/>
            </w:r>
            <w:r w:rsidR="007013C8">
              <w:rPr>
                <w:noProof/>
                <w:webHidden/>
              </w:rPr>
              <w:fldChar w:fldCharType="begin"/>
            </w:r>
            <w:r w:rsidR="007013C8">
              <w:rPr>
                <w:noProof/>
                <w:webHidden/>
              </w:rPr>
              <w:instrText xml:space="preserve"> PAGEREF _Toc461180937 \h </w:instrText>
            </w:r>
            <w:r w:rsidR="007013C8">
              <w:rPr>
                <w:noProof/>
                <w:webHidden/>
              </w:rPr>
            </w:r>
            <w:r w:rsidR="007013C8">
              <w:rPr>
                <w:noProof/>
                <w:webHidden/>
              </w:rPr>
              <w:fldChar w:fldCharType="separate"/>
            </w:r>
            <w:r w:rsidR="007013C8">
              <w:rPr>
                <w:noProof/>
                <w:webHidden/>
              </w:rPr>
              <w:t>3</w:t>
            </w:r>
            <w:r w:rsidR="007013C8">
              <w:rPr>
                <w:noProof/>
                <w:webHidden/>
              </w:rPr>
              <w:fldChar w:fldCharType="end"/>
            </w:r>
          </w:hyperlink>
        </w:p>
        <w:p w:rsidR="007013C8" w:rsidRDefault="007013C8">
          <w:pPr>
            <w:pStyle w:val="TOC1"/>
            <w:tabs>
              <w:tab w:val="right" w:leader="dot" w:pos="10450"/>
            </w:tabs>
            <w:rPr>
              <w:rFonts w:asciiTheme="minorHAnsi" w:eastAsiaTheme="minorEastAsia" w:hAnsiTheme="minorHAnsi"/>
              <w:noProof/>
              <w:sz w:val="22"/>
              <w:szCs w:val="22"/>
              <w:lang w:val="en-IE" w:eastAsia="en-IE"/>
            </w:rPr>
          </w:pPr>
          <w:hyperlink w:anchor="_Toc461180938" w:history="1">
            <w:r w:rsidRPr="00F44642">
              <w:rPr>
                <w:rStyle w:val="Hyperlink"/>
                <w:noProof/>
              </w:rPr>
              <w:t>Methodology</w:t>
            </w:r>
            <w:r>
              <w:rPr>
                <w:noProof/>
                <w:webHidden/>
              </w:rPr>
              <w:tab/>
            </w:r>
            <w:r>
              <w:rPr>
                <w:noProof/>
                <w:webHidden/>
              </w:rPr>
              <w:fldChar w:fldCharType="begin"/>
            </w:r>
            <w:r>
              <w:rPr>
                <w:noProof/>
                <w:webHidden/>
              </w:rPr>
              <w:instrText xml:space="preserve"> PAGEREF _Toc461180938 \h </w:instrText>
            </w:r>
            <w:r>
              <w:rPr>
                <w:noProof/>
                <w:webHidden/>
              </w:rPr>
            </w:r>
            <w:r>
              <w:rPr>
                <w:noProof/>
                <w:webHidden/>
              </w:rPr>
              <w:fldChar w:fldCharType="separate"/>
            </w:r>
            <w:r>
              <w:rPr>
                <w:noProof/>
                <w:webHidden/>
              </w:rPr>
              <w:t>4</w:t>
            </w:r>
            <w:r>
              <w:rPr>
                <w:noProof/>
                <w:webHidden/>
              </w:rPr>
              <w:fldChar w:fldCharType="end"/>
            </w:r>
          </w:hyperlink>
        </w:p>
        <w:p w:rsidR="007013C8" w:rsidRDefault="007013C8">
          <w:pPr>
            <w:pStyle w:val="TOC2"/>
            <w:tabs>
              <w:tab w:val="right" w:leader="dot" w:pos="10450"/>
            </w:tabs>
            <w:rPr>
              <w:rFonts w:asciiTheme="minorHAnsi" w:eastAsiaTheme="minorEastAsia" w:hAnsiTheme="minorHAnsi"/>
              <w:noProof/>
              <w:sz w:val="22"/>
              <w:szCs w:val="22"/>
              <w:lang w:val="en-IE" w:eastAsia="en-IE"/>
            </w:rPr>
          </w:pPr>
          <w:hyperlink w:anchor="_Toc461180939" w:history="1">
            <w:r w:rsidRPr="00F44642">
              <w:rPr>
                <w:rStyle w:val="Hyperlink"/>
                <w:noProof/>
              </w:rPr>
              <w:t>The base unit: a neighbourhood</w:t>
            </w:r>
            <w:r>
              <w:rPr>
                <w:noProof/>
                <w:webHidden/>
              </w:rPr>
              <w:tab/>
            </w:r>
            <w:r>
              <w:rPr>
                <w:noProof/>
                <w:webHidden/>
              </w:rPr>
              <w:fldChar w:fldCharType="begin"/>
            </w:r>
            <w:r>
              <w:rPr>
                <w:noProof/>
                <w:webHidden/>
              </w:rPr>
              <w:instrText xml:space="preserve"> PAGEREF _Toc461180939 \h </w:instrText>
            </w:r>
            <w:r>
              <w:rPr>
                <w:noProof/>
                <w:webHidden/>
              </w:rPr>
            </w:r>
            <w:r>
              <w:rPr>
                <w:noProof/>
                <w:webHidden/>
              </w:rPr>
              <w:fldChar w:fldCharType="separate"/>
            </w:r>
            <w:r>
              <w:rPr>
                <w:noProof/>
                <w:webHidden/>
              </w:rPr>
              <w:t>4</w:t>
            </w:r>
            <w:r>
              <w:rPr>
                <w:noProof/>
                <w:webHidden/>
              </w:rPr>
              <w:fldChar w:fldCharType="end"/>
            </w:r>
          </w:hyperlink>
        </w:p>
        <w:p w:rsidR="007013C8" w:rsidRDefault="007013C8">
          <w:pPr>
            <w:pStyle w:val="TOC2"/>
            <w:tabs>
              <w:tab w:val="right" w:leader="dot" w:pos="10450"/>
            </w:tabs>
            <w:rPr>
              <w:rFonts w:asciiTheme="minorHAnsi" w:eastAsiaTheme="minorEastAsia" w:hAnsiTheme="minorHAnsi"/>
              <w:noProof/>
              <w:sz w:val="22"/>
              <w:szCs w:val="22"/>
              <w:lang w:val="en-IE" w:eastAsia="en-IE"/>
            </w:rPr>
          </w:pPr>
          <w:hyperlink w:anchor="_Toc461180940" w:history="1">
            <w:r w:rsidRPr="00F44642">
              <w:rPr>
                <w:rStyle w:val="Hyperlink"/>
                <w:noProof/>
              </w:rPr>
              <w:t>Approximate Premises Count</w:t>
            </w:r>
            <w:r>
              <w:rPr>
                <w:noProof/>
                <w:webHidden/>
              </w:rPr>
              <w:tab/>
            </w:r>
            <w:r>
              <w:rPr>
                <w:noProof/>
                <w:webHidden/>
              </w:rPr>
              <w:fldChar w:fldCharType="begin"/>
            </w:r>
            <w:r>
              <w:rPr>
                <w:noProof/>
                <w:webHidden/>
              </w:rPr>
              <w:instrText xml:space="preserve"> PAGEREF _Toc461180940 \h </w:instrText>
            </w:r>
            <w:r>
              <w:rPr>
                <w:noProof/>
                <w:webHidden/>
              </w:rPr>
            </w:r>
            <w:r>
              <w:rPr>
                <w:noProof/>
                <w:webHidden/>
              </w:rPr>
              <w:fldChar w:fldCharType="separate"/>
            </w:r>
            <w:r>
              <w:rPr>
                <w:noProof/>
                <w:webHidden/>
              </w:rPr>
              <w:t>4</w:t>
            </w:r>
            <w:r>
              <w:rPr>
                <w:noProof/>
                <w:webHidden/>
              </w:rPr>
              <w:fldChar w:fldCharType="end"/>
            </w:r>
          </w:hyperlink>
        </w:p>
        <w:p w:rsidR="007013C8" w:rsidRDefault="007013C8">
          <w:pPr>
            <w:pStyle w:val="TOC2"/>
            <w:tabs>
              <w:tab w:val="right" w:leader="dot" w:pos="10450"/>
            </w:tabs>
            <w:rPr>
              <w:rFonts w:asciiTheme="minorHAnsi" w:eastAsiaTheme="minorEastAsia" w:hAnsiTheme="minorHAnsi"/>
              <w:noProof/>
              <w:sz w:val="22"/>
              <w:szCs w:val="22"/>
              <w:lang w:val="en-IE" w:eastAsia="en-IE"/>
            </w:rPr>
          </w:pPr>
          <w:hyperlink w:anchor="_Toc461180941" w:history="1">
            <w:r w:rsidRPr="00F44642">
              <w:rPr>
                <w:rStyle w:val="Hyperlink"/>
                <w:noProof/>
              </w:rPr>
              <w:t>DSLAM Location</w:t>
            </w:r>
            <w:r>
              <w:rPr>
                <w:noProof/>
                <w:webHidden/>
              </w:rPr>
              <w:tab/>
            </w:r>
            <w:r>
              <w:rPr>
                <w:noProof/>
                <w:webHidden/>
              </w:rPr>
              <w:fldChar w:fldCharType="begin"/>
            </w:r>
            <w:r>
              <w:rPr>
                <w:noProof/>
                <w:webHidden/>
              </w:rPr>
              <w:instrText xml:space="preserve"> PAGEREF _Toc461180941 \h </w:instrText>
            </w:r>
            <w:r>
              <w:rPr>
                <w:noProof/>
                <w:webHidden/>
              </w:rPr>
            </w:r>
            <w:r>
              <w:rPr>
                <w:noProof/>
                <w:webHidden/>
              </w:rPr>
              <w:fldChar w:fldCharType="separate"/>
            </w:r>
            <w:r>
              <w:rPr>
                <w:noProof/>
                <w:webHidden/>
              </w:rPr>
              <w:t>4</w:t>
            </w:r>
            <w:r>
              <w:rPr>
                <w:noProof/>
                <w:webHidden/>
              </w:rPr>
              <w:fldChar w:fldCharType="end"/>
            </w:r>
          </w:hyperlink>
        </w:p>
        <w:p w:rsidR="007013C8" w:rsidRDefault="007013C8">
          <w:pPr>
            <w:pStyle w:val="TOC2"/>
            <w:tabs>
              <w:tab w:val="right" w:leader="dot" w:pos="10450"/>
            </w:tabs>
            <w:rPr>
              <w:rFonts w:asciiTheme="minorHAnsi" w:eastAsiaTheme="minorEastAsia" w:hAnsiTheme="minorHAnsi"/>
              <w:noProof/>
              <w:sz w:val="22"/>
              <w:szCs w:val="22"/>
              <w:lang w:val="en-IE" w:eastAsia="en-IE"/>
            </w:rPr>
          </w:pPr>
          <w:hyperlink w:anchor="_Toc461180942" w:history="1">
            <w:r w:rsidRPr="00F44642">
              <w:rPr>
                <w:rStyle w:val="Hyperlink"/>
                <w:noProof/>
              </w:rPr>
              <w:t>Under-served Definition</w:t>
            </w:r>
            <w:r>
              <w:rPr>
                <w:noProof/>
                <w:webHidden/>
              </w:rPr>
              <w:tab/>
            </w:r>
            <w:r>
              <w:rPr>
                <w:noProof/>
                <w:webHidden/>
              </w:rPr>
              <w:fldChar w:fldCharType="begin"/>
            </w:r>
            <w:r>
              <w:rPr>
                <w:noProof/>
                <w:webHidden/>
              </w:rPr>
              <w:instrText xml:space="preserve"> PAGEREF _Toc461180942 \h </w:instrText>
            </w:r>
            <w:r>
              <w:rPr>
                <w:noProof/>
                <w:webHidden/>
              </w:rPr>
            </w:r>
            <w:r>
              <w:rPr>
                <w:noProof/>
                <w:webHidden/>
              </w:rPr>
              <w:fldChar w:fldCharType="separate"/>
            </w:r>
            <w:r>
              <w:rPr>
                <w:noProof/>
                <w:webHidden/>
              </w:rPr>
              <w:t>5</w:t>
            </w:r>
            <w:r>
              <w:rPr>
                <w:noProof/>
                <w:webHidden/>
              </w:rPr>
              <w:fldChar w:fldCharType="end"/>
            </w:r>
          </w:hyperlink>
        </w:p>
        <w:p w:rsidR="007013C8" w:rsidRDefault="007013C8">
          <w:pPr>
            <w:pStyle w:val="TOC2"/>
            <w:tabs>
              <w:tab w:val="right" w:leader="dot" w:pos="10450"/>
            </w:tabs>
            <w:rPr>
              <w:rFonts w:asciiTheme="minorHAnsi" w:eastAsiaTheme="minorEastAsia" w:hAnsiTheme="minorHAnsi"/>
              <w:noProof/>
              <w:sz w:val="22"/>
              <w:szCs w:val="22"/>
              <w:lang w:val="en-IE" w:eastAsia="en-IE"/>
            </w:rPr>
          </w:pPr>
          <w:hyperlink w:anchor="_Toc461180943" w:history="1">
            <w:r w:rsidRPr="00F44642">
              <w:rPr>
                <w:rStyle w:val="Hyperlink"/>
                <w:noProof/>
              </w:rPr>
              <w:t>Telstra ADSL/ADSL2+ Port Data</w:t>
            </w:r>
            <w:r>
              <w:rPr>
                <w:noProof/>
                <w:webHidden/>
              </w:rPr>
              <w:tab/>
            </w:r>
            <w:r>
              <w:rPr>
                <w:noProof/>
                <w:webHidden/>
              </w:rPr>
              <w:fldChar w:fldCharType="begin"/>
            </w:r>
            <w:r>
              <w:rPr>
                <w:noProof/>
                <w:webHidden/>
              </w:rPr>
              <w:instrText xml:space="preserve"> PAGEREF _Toc461180943 \h </w:instrText>
            </w:r>
            <w:r>
              <w:rPr>
                <w:noProof/>
                <w:webHidden/>
              </w:rPr>
            </w:r>
            <w:r>
              <w:rPr>
                <w:noProof/>
                <w:webHidden/>
              </w:rPr>
              <w:fldChar w:fldCharType="separate"/>
            </w:r>
            <w:r>
              <w:rPr>
                <w:noProof/>
                <w:webHidden/>
              </w:rPr>
              <w:t>5</w:t>
            </w:r>
            <w:r>
              <w:rPr>
                <w:noProof/>
                <w:webHidden/>
              </w:rPr>
              <w:fldChar w:fldCharType="end"/>
            </w:r>
          </w:hyperlink>
        </w:p>
        <w:p w:rsidR="007013C8" w:rsidRDefault="007013C8">
          <w:pPr>
            <w:pStyle w:val="TOC2"/>
            <w:tabs>
              <w:tab w:val="right" w:leader="dot" w:pos="10450"/>
            </w:tabs>
            <w:rPr>
              <w:rFonts w:asciiTheme="minorHAnsi" w:eastAsiaTheme="minorEastAsia" w:hAnsiTheme="minorHAnsi"/>
              <w:noProof/>
              <w:sz w:val="22"/>
              <w:szCs w:val="22"/>
              <w:lang w:val="en-IE" w:eastAsia="en-IE"/>
            </w:rPr>
          </w:pPr>
          <w:hyperlink w:anchor="_Toc461180944" w:history="1">
            <w:r w:rsidRPr="00F44642">
              <w:rPr>
                <w:rStyle w:val="Hyperlink"/>
                <w:noProof/>
              </w:rPr>
              <w:t>NBN three-year construction schedule</w:t>
            </w:r>
            <w:r>
              <w:rPr>
                <w:noProof/>
                <w:webHidden/>
              </w:rPr>
              <w:tab/>
            </w:r>
            <w:r>
              <w:rPr>
                <w:noProof/>
                <w:webHidden/>
              </w:rPr>
              <w:fldChar w:fldCharType="begin"/>
            </w:r>
            <w:r>
              <w:rPr>
                <w:noProof/>
                <w:webHidden/>
              </w:rPr>
              <w:instrText xml:space="preserve"> PAGEREF _Toc461180944 \h </w:instrText>
            </w:r>
            <w:r>
              <w:rPr>
                <w:noProof/>
                <w:webHidden/>
              </w:rPr>
            </w:r>
            <w:r>
              <w:rPr>
                <w:noProof/>
                <w:webHidden/>
              </w:rPr>
              <w:fldChar w:fldCharType="separate"/>
            </w:r>
            <w:r>
              <w:rPr>
                <w:noProof/>
                <w:webHidden/>
              </w:rPr>
              <w:t>5</w:t>
            </w:r>
            <w:r>
              <w:rPr>
                <w:noProof/>
                <w:webHidden/>
              </w:rPr>
              <w:fldChar w:fldCharType="end"/>
            </w:r>
          </w:hyperlink>
        </w:p>
        <w:p w:rsidR="007013C8" w:rsidRDefault="007013C8">
          <w:pPr>
            <w:pStyle w:val="TOC2"/>
            <w:tabs>
              <w:tab w:val="right" w:leader="dot" w:pos="10450"/>
            </w:tabs>
            <w:rPr>
              <w:rFonts w:asciiTheme="minorHAnsi" w:eastAsiaTheme="minorEastAsia" w:hAnsiTheme="minorHAnsi"/>
              <w:noProof/>
              <w:sz w:val="22"/>
              <w:szCs w:val="22"/>
              <w:lang w:val="en-IE" w:eastAsia="en-IE"/>
            </w:rPr>
          </w:pPr>
          <w:hyperlink w:anchor="_Toc461180945" w:history="1">
            <w:r w:rsidRPr="00F44642">
              <w:rPr>
                <w:rStyle w:val="Hyperlink"/>
                <w:noProof/>
              </w:rPr>
              <w:t>Other considerations</w:t>
            </w:r>
            <w:r>
              <w:rPr>
                <w:noProof/>
                <w:webHidden/>
              </w:rPr>
              <w:tab/>
            </w:r>
            <w:r>
              <w:rPr>
                <w:noProof/>
                <w:webHidden/>
              </w:rPr>
              <w:fldChar w:fldCharType="begin"/>
            </w:r>
            <w:r>
              <w:rPr>
                <w:noProof/>
                <w:webHidden/>
              </w:rPr>
              <w:instrText xml:space="preserve"> PAGEREF _Toc461180945 \h </w:instrText>
            </w:r>
            <w:r>
              <w:rPr>
                <w:noProof/>
                <w:webHidden/>
              </w:rPr>
            </w:r>
            <w:r>
              <w:rPr>
                <w:noProof/>
                <w:webHidden/>
              </w:rPr>
              <w:fldChar w:fldCharType="separate"/>
            </w:r>
            <w:r>
              <w:rPr>
                <w:noProof/>
                <w:webHidden/>
              </w:rPr>
              <w:t>6</w:t>
            </w:r>
            <w:r>
              <w:rPr>
                <w:noProof/>
                <w:webHidden/>
              </w:rPr>
              <w:fldChar w:fldCharType="end"/>
            </w:r>
          </w:hyperlink>
        </w:p>
        <w:p w:rsidR="007013C8" w:rsidRDefault="007013C8">
          <w:pPr>
            <w:pStyle w:val="TOC3"/>
            <w:tabs>
              <w:tab w:val="right" w:leader="dot" w:pos="10450"/>
            </w:tabs>
            <w:rPr>
              <w:rFonts w:asciiTheme="minorHAnsi" w:eastAsiaTheme="minorEastAsia" w:hAnsiTheme="minorHAnsi"/>
              <w:noProof/>
              <w:sz w:val="22"/>
              <w:szCs w:val="22"/>
              <w:lang w:val="en-IE" w:eastAsia="en-IE"/>
            </w:rPr>
          </w:pPr>
          <w:hyperlink w:anchor="_Toc461180946" w:history="1">
            <w:r w:rsidRPr="00F44642">
              <w:rPr>
                <w:rStyle w:val="Hyperlink"/>
                <w:noProof/>
              </w:rPr>
              <w:t>Pair gain systems</w:t>
            </w:r>
            <w:r>
              <w:rPr>
                <w:noProof/>
                <w:webHidden/>
              </w:rPr>
              <w:tab/>
            </w:r>
            <w:r>
              <w:rPr>
                <w:noProof/>
                <w:webHidden/>
              </w:rPr>
              <w:fldChar w:fldCharType="begin"/>
            </w:r>
            <w:r>
              <w:rPr>
                <w:noProof/>
                <w:webHidden/>
              </w:rPr>
              <w:instrText xml:space="preserve"> PAGEREF _Toc461180946 \h </w:instrText>
            </w:r>
            <w:r>
              <w:rPr>
                <w:noProof/>
                <w:webHidden/>
              </w:rPr>
            </w:r>
            <w:r>
              <w:rPr>
                <w:noProof/>
                <w:webHidden/>
              </w:rPr>
              <w:fldChar w:fldCharType="separate"/>
            </w:r>
            <w:r>
              <w:rPr>
                <w:noProof/>
                <w:webHidden/>
              </w:rPr>
              <w:t>6</w:t>
            </w:r>
            <w:r>
              <w:rPr>
                <w:noProof/>
                <w:webHidden/>
              </w:rPr>
              <w:fldChar w:fldCharType="end"/>
            </w:r>
          </w:hyperlink>
        </w:p>
        <w:p w:rsidR="007013C8" w:rsidRDefault="007013C8">
          <w:pPr>
            <w:pStyle w:val="TOC1"/>
            <w:tabs>
              <w:tab w:val="right" w:leader="dot" w:pos="10450"/>
            </w:tabs>
            <w:rPr>
              <w:rFonts w:asciiTheme="minorHAnsi" w:eastAsiaTheme="minorEastAsia" w:hAnsiTheme="minorHAnsi"/>
              <w:noProof/>
              <w:sz w:val="22"/>
              <w:szCs w:val="22"/>
              <w:lang w:val="en-IE" w:eastAsia="en-IE"/>
            </w:rPr>
          </w:pPr>
          <w:hyperlink w:anchor="_Toc461180947" w:history="1">
            <w:r w:rsidRPr="00F44642">
              <w:rPr>
                <w:rStyle w:val="Hyperlink"/>
                <w:noProof/>
              </w:rPr>
              <w:t>Findings</w:t>
            </w:r>
            <w:r>
              <w:rPr>
                <w:noProof/>
                <w:webHidden/>
              </w:rPr>
              <w:tab/>
            </w:r>
            <w:r>
              <w:rPr>
                <w:noProof/>
                <w:webHidden/>
              </w:rPr>
              <w:fldChar w:fldCharType="begin"/>
            </w:r>
            <w:r>
              <w:rPr>
                <w:noProof/>
                <w:webHidden/>
              </w:rPr>
              <w:instrText xml:space="preserve"> PAGEREF _Toc461180947 \h </w:instrText>
            </w:r>
            <w:r>
              <w:rPr>
                <w:noProof/>
                <w:webHidden/>
              </w:rPr>
            </w:r>
            <w:r>
              <w:rPr>
                <w:noProof/>
                <w:webHidden/>
              </w:rPr>
              <w:fldChar w:fldCharType="separate"/>
            </w:r>
            <w:r>
              <w:rPr>
                <w:noProof/>
                <w:webHidden/>
              </w:rPr>
              <w:t>7</w:t>
            </w:r>
            <w:r>
              <w:rPr>
                <w:noProof/>
                <w:webHidden/>
              </w:rPr>
              <w:fldChar w:fldCharType="end"/>
            </w:r>
          </w:hyperlink>
        </w:p>
        <w:p w:rsidR="007013C8" w:rsidRDefault="007013C8">
          <w:pPr>
            <w:pStyle w:val="TOC2"/>
            <w:tabs>
              <w:tab w:val="right" w:leader="dot" w:pos="10450"/>
            </w:tabs>
            <w:rPr>
              <w:rFonts w:asciiTheme="minorHAnsi" w:eastAsiaTheme="minorEastAsia" w:hAnsiTheme="minorHAnsi"/>
              <w:noProof/>
              <w:sz w:val="22"/>
              <w:szCs w:val="22"/>
              <w:lang w:val="en-IE" w:eastAsia="en-IE"/>
            </w:rPr>
          </w:pPr>
          <w:hyperlink w:anchor="_Toc461180948" w:history="1">
            <w:r w:rsidRPr="00F44642">
              <w:rPr>
                <w:rStyle w:val="Hyperlink"/>
                <w:noProof/>
              </w:rPr>
              <w:t>Short Term Outlook</w:t>
            </w:r>
            <w:r>
              <w:rPr>
                <w:noProof/>
                <w:webHidden/>
              </w:rPr>
              <w:tab/>
            </w:r>
            <w:r>
              <w:rPr>
                <w:noProof/>
                <w:webHidden/>
              </w:rPr>
              <w:fldChar w:fldCharType="begin"/>
            </w:r>
            <w:r>
              <w:rPr>
                <w:noProof/>
                <w:webHidden/>
              </w:rPr>
              <w:instrText xml:space="preserve"> PAGEREF _Toc461180948 \h </w:instrText>
            </w:r>
            <w:r>
              <w:rPr>
                <w:noProof/>
                <w:webHidden/>
              </w:rPr>
            </w:r>
            <w:r>
              <w:rPr>
                <w:noProof/>
                <w:webHidden/>
              </w:rPr>
              <w:fldChar w:fldCharType="separate"/>
            </w:r>
            <w:r>
              <w:rPr>
                <w:noProof/>
                <w:webHidden/>
              </w:rPr>
              <w:t>9</w:t>
            </w:r>
            <w:r>
              <w:rPr>
                <w:noProof/>
                <w:webHidden/>
              </w:rPr>
              <w:fldChar w:fldCharType="end"/>
            </w:r>
          </w:hyperlink>
        </w:p>
        <w:p w:rsidR="007013C8" w:rsidRDefault="007013C8">
          <w:pPr>
            <w:pStyle w:val="TOC3"/>
            <w:tabs>
              <w:tab w:val="right" w:leader="dot" w:pos="10450"/>
            </w:tabs>
            <w:rPr>
              <w:rFonts w:asciiTheme="minorHAnsi" w:eastAsiaTheme="minorEastAsia" w:hAnsiTheme="minorHAnsi"/>
              <w:noProof/>
              <w:sz w:val="22"/>
              <w:szCs w:val="22"/>
              <w:lang w:val="en-IE" w:eastAsia="en-IE"/>
            </w:rPr>
          </w:pPr>
          <w:hyperlink w:anchor="_Toc461180949" w:history="1">
            <w:r w:rsidRPr="00F44642">
              <w:rPr>
                <w:rStyle w:val="Hyperlink"/>
                <w:noProof/>
              </w:rPr>
              <w:t>Too far from exchange</w:t>
            </w:r>
            <w:r>
              <w:rPr>
                <w:noProof/>
                <w:webHidden/>
              </w:rPr>
              <w:tab/>
            </w:r>
            <w:r>
              <w:rPr>
                <w:noProof/>
                <w:webHidden/>
              </w:rPr>
              <w:fldChar w:fldCharType="begin"/>
            </w:r>
            <w:r>
              <w:rPr>
                <w:noProof/>
                <w:webHidden/>
              </w:rPr>
              <w:instrText xml:space="preserve"> PAGEREF _Toc461180949 \h </w:instrText>
            </w:r>
            <w:r>
              <w:rPr>
                <w:noProof/>
                <w:webHidden/>
              </w:rPr>
            </w:r>
            <w:r>
              <w:rPr>
                <w:noProof/>
                <w:webHidden/>
              </w:rPr>
              <w:fldChar w:fldCharType="separate"/>
            </w:r>
            <w:r>
              <w:rPr>
                <w:noProof/>
                <w:webHidden/>
              </w:rPr>
              <w:t>9</w:t>
            </w:r>
            <w:r>
              <w:rPr>
                <w:noProof/>
                <w:webHidden/>
              </w:rPr>
              <w:fldChar w:fldCharType="end"/>
            </w:r>
          </w:hyperlink>
        </w:p>
        <w:p w:rsidR="007013C8" w:rsidRDefault="007013C8">
          <w:pPr>
            <w:pStyle w:val="TOC3"/>
            <w:tabs>
              <w:tab w:val="right" w:leader="dot" w:pos="10450"/>
            </w:tabs>
            <w:rPr>
              <w:rFonts w:asciiTheme="minorHAnsi" w:eastAsiaTheme="minorEastAsia" w:hAnsiTheme="minorHAnsi"/>
              <w:noProof/>
              <w:sz w:val="22"/>
              <w:szCs w:val="22"/>
              <w:lang w:val="en-IE" w:eastAsia="en-IE"/>
            </w:rPr>
          </w:pPr>
          <w:hyperlink w:anchor="_Toc461180950" w:history="1">
            <w:r w:rsidRPr="00F44642">
              <w:rPr>
                <w:rStyle w:val="Hyperlink"/>
                <w:noProof/>
              </w:rPr>
              <w:t>No/Low remaining ADSL/ADSL2+ ports</w:t>
            </w:r>
            <w:r>
              <w:rPr>
                <w:noProof/>
                <w:webHidden/>
              </w:rPr>
              <w:tab/>
            </w:r>
            <w:r>
              <w:rPr>
                <w:noProof/>
                <w:webHidden/>
              </w:rPr>
              <w:fldChar w:fldCharType="begin"/>
            </w:r>
            <w:r>
              <w:rPr>
                <w:noProof/>
                <w:webHidden/>
              </w:rPr>
              <w:instrText xml:space="preserve"> PAGEREF _Toc461180950 \h </w:instrText>
            </w:r>
            <w:r>
              <w:rPr>
                <w:noProof/>
                <w:webHidden/>
              </w:rPr>
            </w:r>
            <w:r>
              <w:rPr>
                <w:noProof/>
                <w:webHidden/>
              </w:rPr>
              <w:fldChar w:fldCharType="separate"/>
            </w:r>
            <w:r>
              <w:rPr>
                <w:noProof/>
                <w:webHidden/>
              </w:rPr>
              <w:t>9</w:t>
            </w:r>
            <w:r>
              <w:rPr>
                <w:noProof/>
                <w:webHidden/>
              </w:rPr>
              <w:fldChar w:fldCharType="end"/>
            </w:r>
          </w:hyperlink>
        </w:p>
        <w:p w:rsidR="007013C8" w:rsidRDefault="007013C8">
          <w:pPr>
            <w:pStyle w:val="TOC3"/>
            <w:tabs>
              <w:tab w:val="right" w:leader="dot" w:pos="10450"/>
            </w:tabs>
            <w:rPr>
              <w:rFonts w:asciiTheme="minorHAnsi" w:eastAsiaTheme="minorEastAsia" w:hAnsiTheme="minorHAnsi"/>
              <w:noProof/>
              <w:sz w:val="22"/>
              <w:szCs w:val="22"/>
              <w:lang w:val="en-IE" w:eastAsia="en-IE"/>
            </w:rPr>
          </w:pPr>
          <w:hyperlink w:anchor="_Toc461180951" w:history="1">
            <w:r w:rsidRPr="00F44642">
              <w:rPr>
                <w:rStyle w:val="Hyperlink"/>
                <w:noProof/>
              </w:rPr>
              <w:t>Exchange not ADSL enabled</w:t>
            </w:r>
            <w:r>
              <w:rPr>
                <w:noProof/>
                <w:webHidden/>
              </w:rPr>
              <w:tab/>
            </w:r>
            <w:r>
              <w:rPr>
                <w:noProof/>
                <w:webHidden/>
              </w:rPr>
              <w:fldChar w:fldCharType="begin"/>
            </w:r>
            <w:r>
              <w:rPr>
                <w:noProof/>
                <w:webHidden/>
              </w:rPr>
              <w:instrText xml:space="preserve"> PAGEREF _Toc461180951 \h </w:instrText>
            </w:r>
            <w:r>
              <w:rPr>
                <w:noProof/>
                <w:webHidden/>
              </w:rPr>
            </w:r>
            <w:r>
              <w:rPr>
                <w:noProof/>
                <w:webHidden/>
              </w:rPr>
              <w:fldChar w:fldCharType="separate"/>
            </w:r>
            <w:r>
              <w:rPr>
                <w:noProof/>
                <w:webHidden/>
              </w:rPr>
              <w:t>11</w:t>
            </w:r>
            <w:r>
              <w:rPr>
                <w:noProof/>
                <w:webHidden/>
              </w:rPr>
              <w:fldChar w:fldCharType="end"/>
            </w:r>
          </w:hyperlink>
        </w:p>
        <w:p w:rsidR="007013C8" w:rsidRDefault="007013C8">
          <w:pPr>
            <w:pStyle w:val="TOC2"/>
            <w:tabs>
              <w:tab w:val="right" w:leader="dot" w:pos="10450"/>
            </w:tabs>
            <w:rPr>
              <w:rFonts w:asciiTheme="minorHAnsi" w:eastAsiaTheme="minorEastAsia" w:hAnsiTheme="minorHAnsi"/>
              <w:noProof/>
              <w:sz w:val="22"/>
              <w:szCs w:val="22"/>
              <w:lang w:val="en-IE" w:eastAsia="en-IE"/>
            </w:rPr>
          </w:pPr>
          <w:hyperlink w:anchor="_Toc461180952" w:history="1">
            <w:r w:rsidRPr="00F44642">
              <w:rPr>
                <w:rStyle w:val="Hyperlink"/>
                <w:noProof/>
              </w:rPr>
              <w:t>Medium Term Outlook</w:t>
            </w:r>
            <w:r>
              <w:rPr>
                <w:noProof/>
                <w:webHidden/>
              </w:rPr>
              <w:tab/>
            </w:r>
            <w:r>
              <w:rPr>
                <w:noProof/>
                <w:webHidden/>
              </w:rPr>
              <w:fldChar w:fldCharType="begin"/>
            </w:r>
            <w:r>
              <w:rPr>
                <w:noProof/>
                <w:webHidden/>
              </w:rPr>
              <w:instrText xml:space="preserve"> PAGEREF _Toc461180952 \h </w:instrText>
            </w:r>
            <w:r>
              <w:rPr>
                <w:noProof/>
                <w:webHidden/>
              </w:rPr>
            </w:r>
            <w:r>
              <w:rPr>
                <w:noProof/>
                <w:webHidden/>
              </w:rPr>
              <w:fldChar w:fldCharType="separate"/>
            </w:r>
            <w:r>
              <w:rPr>
                <w:noProof/>
                <w:webHidden/>
              </w:rPr>
              <w:t>12</w:t>
            </w:r>
            <w:r>
              <w:rPr>
                <w:noProof/>
                <w:webHidden/>
              </w:rPr>
              <w:fldChar w:fldCharType="end"/>
            </w:r>
          </w:hyperlink>
        </w:p>
        <w:p w:rsidR="007013C8" w:rsidRDefault="007013C8">
          <w:pPr>
            <w:pStyle w:val="TOC3"/>
            <w:tabs>
              <w:tab w:val="right" w:leader="dot" w:pos="10450"/>
            </w:tabs>
            <w:rPr>
              <w:rFonts w:asciiTheme="minorHAnsi" w:eastAsiaTheme="minorEastAsia" w:hAnsiTheme="minorHAnsi"/>
              <w:noProof/>
              <w:sz w:val="22"/>
              <w:szCs w:val="22"/>
              <w:lang w:val="en-IE" w:eastAsia="en-IE"/>
            </w:rPr>
          </w:pPr>
          <w:hyperlink w:anchor="_Toc461180953" w:history="1">
            <w:r w:rsidRPr="00F44642">
              <w:rPr>
                <w:rStyle w:val="Hyperlink"/>
                <w:noProof/>
              </w:rPr>
              <w:t>Too far from exchange</w:t>
            </w:r>
            <w:r>
              <w:rPr>
                <w:noProof/>
                <w:webHidden/>
              </w:rPr>
              <w:tab/>
            </w:r>
            <w:r>
              <w:rPr>
                <w:noProof/>
                <w:webHidden/>
              </w:rPr>
              <w:fldChar w:fldCharType="begin"/>
            </w:r>
            <w:r>
              <w:rPr>
                <w:noProof/>
                <w:webHidden/>
              </w:rPr>
              <w:instrText xml:space="preserve"> PAGEREF _Toc461180953 \h </w:instrText>
            </w:r>
            <w:r>
              <w:rPr>
                <w:noProof/>
                <w:webHidden/>
              </w:rPr>
            </w:r>
            <w:r>
              <w:rPr>
                <w:noProof/>
                <w:webHidden/>
              </w:rPr>
              <w:fldChar w:fldCharType="separate"/>
            </w:r>
            <w:r>
              <w:rPr>
                <w:noProof/>
                <w:webHidden/>
              </w:rPr>
              <w:t>12</w:t>
            </w:r>
            <w:r>
              <w:rPr>
                <w:noProof/>
                <w:webHidden/>
              </w:rPr>
              <w:fldChar w:fldCharType="end"/>
            </w:r>
          </w:hyperlink>
        </w:p>
        <w:p w:rsidR="007013C8" w:rsidRDefault="007013C8">
          <w:pPr>
            <w:pStyle w:val="TOC3"/>
            <w:tabs>
              <w:tab w:val="right" w:leader="dot" w:pos="10450"/>
            </w:tabs>
            <w:rPr>
              <w:rFonts w:asciiTheme="minorHAnsi" w:eastAsiaTheme="minorEastAsia" w:hAnsiTheme="minorHAnsi"/>
              <w:noProof/>
              <w:sz w:val="22"/>
              <w:szCs w:val="22"/>
              <w:lang w:val="en-IE" w:eastAsia="en-IE"/>
            </w:rPr>
          </w:pPr>
          <w:hyperlink w:anchor="_Toc461180954" w:history="1">
            <w:r w:rsidRPr="00F44642">
              <w:rPr>
                <w:rStyle w:val="Hyperlink"/>
                <w:noProof/>
              </w:rPr>
              <w:t>No/Low remaining ADSL/ADSL2+ ports</w:t>
            </w:r>
            <w:r>
              <w:rPr>
                <w:noProof/>
                <w:webHidden/>
              </w:rPr>
              <w:tab/>
            </w:r>
            <w:r>
              <w:rPr>
                <w:noProof/>
                <w:webHidden/>
              </w:rPr>
              <w:fldChar w:fldCharType="begin"/>
            </w:r>
            <w:r>
              <w:rPr>
                <w:noProof/>
                <w:webHidden/>
              </w:rPr>
              <w:instrText xml:space="preserve"> PAGEREF _Toc461180954 \h </w:instrText>
            </w:r>
            <w:r>
              <w:rPr>
                <w:noProof/>
                <w:webHidden/>
              </w:rPr>
            </w:r>
            <w:r>
              <w:rPr>
                <w:noProof/>
                <w:webHidden/>
              </w:rPr>
              <w:fldChar w:fldCharType="separate"/>
            </w:r>
            <w:r>
              <w:rPr>
                <w:noProof/>
                <w:webHidden/>
              </w:rPr>
              <w:t>12</w:t>
            </w:r>
            <w:r>
              <w:rPr>
                <w:noProof/>
                <w:webHidden/>
              </w:rPr>
              <w:fldChar w:fldCharType="end"/>
            </w:r>
          </w:hyperlink>
        </w:p>
        <w:p w:rsidR="007013C8" w:rsidRDefault="007013C8">
          <w:pPr>
            <w:pStyle w:val="TOC2"/>
            <w:tabs>
              <w:tab w:val="right" w:leader="dot" w:pos="10450"/>
            </w:tabs>
            <w:rPr>
              <w:rFonts w:asciiTheme="minorHAnsi" w:eastAsiaTheme="minorEastAsia" w:hAnsiTheme="minorHAnsi"/>
              <w:noProof/>
              <w:sz w:val="22"/>
              <w:szCs w:val="22"/>
              <w:lang w:val="en-IE" w:eastAsia="en-IE"/>
            </w:rPr>
          </w:pPr>
          <w:hyperlink w:anchor="_Toc461180955" w:history="1">
            <w:r w:rsidRPr="00F44642">
              <w:rPr>
                <w:rStyle w:val="Hyperlink"/>
                <w:noProof/>
              </w:rPr>
              <w:t>Long Term Outlook</w:t>
            </w:r>
            <w:r>
              <w:rPr>
                <w:noProof/>
                <w:webHidden/>
              </w:rPr>
              <w:tab/>
            </w:r>
            <w:r>
              <w:rPr>
                <w:noProof/>
                <w:webHidden/>
              </w:rPr>
              <w:fldChar w:fldCharType="begin"/>
            </w:r>
            <w:r>
              <w:rPr>
                <w:noProof/>
                <w:webHidden/>
              </w:rPr>
              <w:instrText xml:space="preserve"> PAGEREF _Toc461180955 \h </w:instrText>
            </w:r>
            <w:r>
              <w:rPr>
                <w:noProof/>
                <w:webHidden/>
              </w:rPr>
            </w:r>
            <w:r>
              <w:rPr>
                <w:noProof/>
                <w:webHidden/>
              </w:rPr>
              <w:fldChar w:fldCharType="separate"/>
            </w:r>
            <w:r>
              <w:rPr>
                <w:noProof/>
                <w:webHidden/>
              </w:rPr>
              <w:t>12</w:t>
            </w:r>
            <w:r>
              <w:rPr>
                <w:noProof/>
                <w:webHidden/>
              </w:rPr>
              <w:fldChar w:fldCharType="end"/>
            </w:r>
          </w:hyperlink>
        </w:p>
        <w:p w:rsidR="007013C8" w:rsidRDefault="007013C8">
          <w:pPr>
            <w:pStyle w:val="TOC1"/>
            <w:tabs>
              <w:tab w:val="right" w:leader="dot" w:pos="10450"/>
            </w:tabs>
            <w:rPr>
              <w:rFonts w:asciiTheme="minorHAnsi" w:eastAsiaTheme="minorEastAsia" w:hAnsiTheme="minorHAnsi"/>
              <w:noProof/>
              <w:sz w:val="22"/>
              <w:szCs w:val="22"/>
              <w:lang w:val="en-IE" w:eastAsia="en-IE"/>
            </w:rPr>
          </w:pPr>
          <w:hyperlink w:anchor="_Toc461180956" w:history="1">
            <w:r w:rsidRPr="00F44642">
              <w:rPr>
                <w:rStyle w:val="Hyperlink"/>
                <w:noProof/>
              </w:rPr>
              <w:t>Conclusions and observations</w:t>
            </w:r>
            <w:r>
              <w:rPr>
                <w:noProof/>
                <w:webHidden/>
              </w:rPr>
              <w:tab/>
            </w:r>
            <w:r>
              <w:rPr>
                <w:noProof/>
                <w:webHidden/>
              </w:rPr>
              <w:fldChar w:fldCharType="begin"/>
            </w:r>
            <w:r>
              <w:rPr>
                <w:noProof/>
                <w:webHidden/>
              </w:rPr>
              <w:instrText xml:space="preserve"> PAGEREF _Toc461180956 \h </w:instrText>
            </w:r>
            <w:r>
              <w:rPr>
                <w:noProof/>
                <w:webHidden/>
              </w:rPr>
            </w:r>
            <w:r>
              <w:rPr>
                <w:noProof/>
                <w:webHidden/>
              </w:rPr>
              <w:fldChar w:fldCharType="separate"/>
            </w:r>
            <w:r>
              <w:rPr>
                <w:noProof/>
                <w:webHidden/>
              </w:rPr>
              <w:t>14</w:t>
            </w:r>
            <w:r>
              <w:rPr>
                <w:noProof/>
                <w:webHidden/>
              </w:rPr>
              <w:fldChar w:fldCharType="end"/>
            </w:r>
          </w:hyperlink>
        </w:p>
        <w:p w:rsidR="007013C8" w:rsidRDefault="007013C8">
          <w:pPr>
            <w:pStyle w:val="TOC2"/>
            <w:tabs>
              <w:tab w:val="right" w:leader="dot" w:pos="10450"/>
            </w:tabs>
            <w:rPr>
              <w:rFonts w:asciiTheme="minorHAnsi" w:eastAsiaTheme="minorEastAsia" w:hAnsiTheme="minorHAnsi"/>
              <w:noProof/>
              <w:sz w:val="22"/>
              <w:szCs w:val="22"/>
              <w:lang w:val="en-IE" w:eastAsia="en-IE"/>
            </w:rPr>
          </w:pPr>
          <w:hyperlink w:anchor="_Toc461180957" w:history="1">
            <w:r w:rsidRPr="00F44642">
              <w:rPr>
                <w:rStyle w:val="Hyperlink"/>
                <w:noProof/>
              </w:rPr>
              <w:t>ADSL availability</w:t>
            </w:r>
            <w:r>
              <w:rPr>
                <w:noProof/>
                <w:webHidden/>
              </w:rPr>
              <w:tab/>
            </w:r>
            <w:r>
              <w:rPr>
                <w:noProof/>
                <w:webHidden/>
              </w:rPr>
              <w:fldChar w:fldCharType="begin"/>
            </w:r>
            <w:r>
              <w:rPr>
                <w:noProof/>
                <w:webHidden/>
              </w:rPr>
              <w:instrText xml:space="preserve"> PAGEREF _Toc461180957 \h </w:instrText>
            </w:r>
            <w:r>
              <w:rPr>
                <w:noProof/>
                <w:webHidden/>
              </w:rPr>
            </w:r>
            <w:r>
              <w:rPr>
                <w:noProof/>
                <w:webHidden/>
              </w:rPr>
              <w:fldChar w:fldCharType="separate"/>
            </w:r>
            <w:r>
              <w:rPr>
                <w:noProof/>
                <w:webHidden/>
              </w:rPr>
              <w:t>14</w:t>
            </w:r>
            <w:r>
              <w:rPr>
                <w:noProof/>
                <w:webHidden/>
              </w:rPr>
              <w:fldChar w:fldCharType="end"/>
            </w:r>
          </w:hyperlink>
        </w:p>
        <w:p w:rsidR="007013C8" w:rsidRDefault="007013C8">
          <w:pPr>
            <w:pStyle w:val="TOC3"/>
            <w:tabs>
              <w:tab w:val="right" w:leader="dot" w:pos="10450"/>
            </w:tabs>
            <w:rPr>
              <w:rFonts w:asciiTheme="minorHAnsi" w:eastAsiaTheme="minorEastAsia" w:hAnsiTheme="minorHAnsi"/>
              <w:noProof/>
              <w:sz w:val="22"/>
              <w:szCs w:val="22"/>
              <w:lang w:val="en-IE" w:eastAsia="en-IE"/>
            </w:rPr>
          </w:pPr>
          <w:hyperlink w:anchor="_Toc461180958" w:history="1">
            <w:r w:rsidRPr="00F44642">
              <w:rPr>
                <w:rStyle w:val="Hyperlink"/>
                <w:noProof/>
              </w:rPr>
              <w:t>Addressing neighbourhoods too far from the exchange</w:t>
            </w:r>
            <w:r>
              <w:rPr>
                <w:noProof/>
                <w:webHidden/>
              </w:rPr>
              <w:tab/>
            </w:r>
            <w:r>
              <w:rPr>
                <w:noProof/>
                <w:webHidden/>
              </w:rPr>
              <w:fldChar w:fldCharType="begin"/>
            </w:r>
            <w:r>
              <w:rPr>
                <w:noProof/>
                <w:webHidden/>
              </w:rPr>
              <w:instrText xml:space="preserve"> PAGEREF _Toc461180958 \h </w:instrText>
            </w:r>
            <w:r>
              <w:rPr>
                <w:noProof/>
                <w:webHidden/>
              </w:rPr>
            </w:r>
            <w:r>
              <w:rPr>
                <w:noProof/>
                <w:webHidden/>
              </w:rPr>
              <w:fldChar w:fldCharType="separate"/>
            </w:r>
            <w:r>
              <w:rPr>
                <w:noProof/>
                <w:webHidden/>
              </w:rPr>
              <w:t>14</w:t>
            </w:r>
            <w:r>
              <w:rPr>
                <w:noProof/>
                <w:webHidden/>
              </w:rPr>
              <w:fldChar w:fldCharType="end"/>
            </w:r>
          </w:hyperlink>
        </w:p>
        <w:p w:rsidR="007013C8" w:rsidRDefault="007013C8">
          <w:pPr>
            <w:pStyle w:val="TOC3"/>
            <w:tabs>
              <w:tab w:val="right" w:leader="dot" w:pos="10450"/>
            </w:tabs>
            <w:rPr>
              <w:rFonts w:asciiTheme="minorHAnsi" w:eastAsiaTheme="minorEastAsia" w:hAnsiTheme="minorHAnsi"/>
              <w:noProof/>
              <w:sz w:val="22"/>
              <w:szCs w:val="22"/>
              <w:lang w:val="en-IE" w:eastAsia="en-IE"/>
            </w:rPr>
          </w:pPr>
          <w:hyperlink w:anchor="_Toc461180959" w:history="1">
            <w:r w:rsidRPr="00F44642">
              <w:rPr>
                <w:rStyle w:val="Hyperlink"/>
                <w:noProof/>
              </w:rPr>
              <w:t>Addressing neighbourhoods with low ports</w:t>
            </w:r>
            <w:r>
              <w:rPr>
                <w:noProof/>
                <w:webHidden/>
              </w:rPr>
              <w:tab/>
            </w:r>
            <w:r>
              <w:rPr>
                <w:noProof/>
                <w:webHidden/>
              </w:rPr>
              <w:fldChar w:fldCharType="begin"/>
            </w:r>
            <w:r>
              <w:rPr>
                <w:noProof/>
                <w:webHidden/>
              </w:rPr>
              <w:instrText xml:space="preserve"> PAGEREF _Toc461180959 \h </w:instrText>
            </w:r>
            <w:r>
              <w:rPr>
                <w:noProof/>
                <w:webHidden/>
              </w:rPr>
            </w:r>
            <w:r>
              <w:rPr>
                <w:noProof/>
                <w:webHidden/>
              </w:rPr>
              <w:fldChar w:fldCharType="separate"/>
            </w:r>
            <w:r>
              <w:rPr>
                <w:noProof/>
                <w:webHidden/>
              </w:rPr>
              <w:t>14</w:t>
            </w:r>
            <w:r>
              <w:rPr>
                <w:noProof/>
                <w:webHidden/>
              </w:rPr>
              <w:fldChar w:fldCharType="end"/>
            </w:r>
          </w:hyperlink>
        </w:p>
        <w:p w:rsidR="007013C8" w:rsidRDefault="007013C8">
          <w:pPr>
            <w:pStyle w:val="TOC2"/>
            <w:tabs>
              <w:tab w:val="right" w:leader="dot" w:pos="10450"/>
            </w:tabs>
            <w:rPr>
              <w:rFonts w:asciiTheme="minorHAnsi" w:eastAsiaTheme="minorEastAsia" w:hAnsiTheme="minorHAnsi"/>
              <w:noProof/>
              <w:sz w:val="22"/>
              <w:szCs w:val="22"/>
              <w:lang w:val="en-IE" w:eastAsia="en-IE"/>
            </w:rPr>
          </w:pPr>
          <w:hyperlink w:anchor="_Toc461180960" w:history="1">
            <w:r w:rsidRPr="00F44642">
              <w:rPr>
                <w:rStyle w:val="Hyperlink"/>
                <w:noProof/>
              </w:rPr>
              <w:t>Reporting of network availability</w:t>
            </w:r>
            <w:r>
              <w:rPr>
                <w:noProof/>
                <w:webHidden/>
              </w:rPr>
              <w:tab/>
            </w:r>
            <w:r>
              <w:rPr>
                <w:noProof/>
                <w:webHidden/>
              </w:rPr>
              <w:fldChar w:fldCharType="begin"/>
            </w:r>
            <w:r>
              <w:rPr>
                <w:noProof/>
                <w:webHidden/>
              </w:rPr>
              <w:instrText xml:space="preserve"> PAGEREF _Toc461180960 \h </w:instrText>
            </w:r>
            <w:r>
              <w:rPr>
                <w:noProof/>
                <w:webHidden/>
              </w:rPr>
            </w:r>
            <w:r>
              <w:rPr>
                <w:noProof/>
                <w:webHidden/>
              </w:rPr>
              <w:fldChar w:fldCharType="separate"/>
            </w:r>
            <w:r>
              <w:rPr>
                <w:noProof/>
                <w:webHidden/>
              </w:rPr>
              <w:t>15</w:t>
            </w:r>
            <w:r>
              <w:rPr>
                <w:noProof/>
                <w:webHidden/>
              </w:rPr>
              <w:fldChar w:fldCharType="end"/>
            </w:r>
          </w:hyperlink>
        </w:p>
        <w:p w:rsidR="007013C8" w:rsidRDefault="007013C8">
          <w:pPr>
            <w:pStyle w:val="TOC3"/>
            <w:tabs>
              <w:tab w:val="right" w:leader="dot" w:pos="10450"/>
            </w:tabs>
            <w:rPr>
              <w:rFonts w:asciiTheme="minorHAnsi" w:eastAsiaTheme="minorEastAsia" w:hAnsiTheme="minorHAnsi"/>
              <w:noProof/>
              <w:sz w:val="22"/>
              <w:szCs w:val="22"/>
              <w:lang w:val="en-IE" w:eastAsia="en-IE"/>
            </w:rPr>
          </w:pPr>
          <w:hyperlink w:anchor="_Toc461180961" w:history="1">
            <w:r w:rsidRPr="00F44642">
              <w:rPr>
                <w:rStyle w:val="Hyperlink"/>
                <w:noProof/>
              </w:rPr>
              <w:t>Telstra Wholesale ADSL</w:t>
            </w:r>
            <w:r>
              <w:rPr>
                <w:noProof/>
                <w:webHidden/>
              </w:rPr>
              <w:tab/>
            </w:r>
            <w:r>
              <w:rPr>
                <w:noProof/>
                <w:webHidden/>
              </w:rPr>
              <w:fldChar w:fldCharType="begin"/>
            </w:r>
            <w:r>
              <w:rPr>
                <w:noProof/>
                <w:webHidden/>
              </w:rPr>
              <w:instrText xml:space="preserve"> PAGEREF _Toc461180961 \h </w:instrText>
            </w:r>
            <w:r>
              <w:rPr>
                <w:noProof/>
                <w:webHidden/>
              </w:rPr>
            </w:r>
            <w:r>
              <w:rPr>
                <w:noProof/>
                <w:webHidden/>
              </w:rPr>
              <w:fldChar w:fldCharType="separate"/>
            </w:r>
            <w:r>
              <w:rPr>
                <w:noProof/>
                <w:webHidden/>
              </w:rPr>
              <w:t>15</w:t>
            </w:r>
            <w:r>
              <w:rPr>
                <w:noProof/>
                <w:webHidden/>
              </w:rPr>
              <w:fldChar w:fldCharType="end"/>
            </w:r>
          </w:hyperlink>
        </w:p>
        <w:p w:rsidR="007013C8" w:rsidRDefault="007013C8">
          <w:pPr>
            <w:pStyle w:val="TOC3"/>
            <w:tabs>
              <w:tab w:val="right" w:leader="dot" w:pos="10450"/>
            </w:tabs>
            <w:rPr>
              <w:rFonts w:asciiTheme="minorHAnsi" w:eastAsiaTheme="minorEastAsia" w:hAnsiTheme="minorHAnsi"/>
              <w:noProof/>
              <w:sz w:val="22"/>
              <w:szCs w:val="22"/>
              <w:lang w:val="en-IE" w:eastAsia="en-IE"/>
            </w:rPr>
          </w:pPr>
          <w:hyperlink w:anchor="_Toc461180962" w:history="1">
            <w:r w:rsidRPr="00F44642">
              <w:rPr>
                <w:rStyle w:val="Hyperlink"/>
                <w:noProof/>
              </w:rPr>
              <w:t>Other ADSL providers</w:t>
            </w:r>
            <w:r>
              <w:rPr>
                <w:noProof/>
                <w:webHidden/>
              </w:rPr>
              <w:tab/>
            </w:r>
            <w:r>
              <w:rPr>
                <w:noProof/>
                <w:webHidden/>
              </w:rPr>
              <w:fldChar w:fldCharType="begin"/>
            </w:r>
            <w:r>
              <w:rPr>
                <w:noProof/>
                <w:webHidden/>
              </w:rPr>
              <w:instrText xml:space="preserve"> PAGEREF _Toc461180962 \h </w:instrText>
            </w:r>
            <w:r>
              <w:rPr>
                <w:noProof/>
                <w:webHidden/>
              </w:rPr>
            </w:r>
            <w:r>
              <w:rPr>
                <w:noProof/>
                <w:webHidden/>
              </w:rPr>
              <w:fldChar w:fldCharType="separate"/>
            </w:r>
            <w:r>
              <w:rPr>
                <w:noProof/>
                <w:webHidden/>
              </w:rPr>
              <w:t>16</w:t>
            </w:r>
            <w:r>
              <w:rPr>
                <w:noProof/>
                <w:webHidden/>
              </w:rPr>
              <w:fldChar w:fldCharType="end"/>
            </w:r>
          </w:hyperlink>
        </w:p>
        <w:p w:rsidR="007013C8" w:rsidRDefault="007013C8">
          <w:pPr>
            <w:pStyle w:val="TOC3"/>
            <w:tabs>
              <w:tab w:val="right" w:leader="dot" w:pos="10450"/>
            </w:tabs>
            <w:rPr>
              <w:rFonts w:asciiTheme="minorHAnsi" w:eastAsiaTheme="minorEastAsia" w:hAnsiTheme="minorHAnsi"/>
              <w:noProof/>
              <w:sz w:val="22"/>
              <w:szCs w:val="22"/>
              <w:lang w:val="en-IE" w:eastAsia="en-IE"/>
            </w:rPr>
          </w:pPr>
          <w:hyperlink w:anchor="_Toc461180963" w:history="1">
            <w:r w:rsidRPr="00F44642">
              <w:rPr>
                <w:rStyle w:val="Hyperlink"/>
                <w:noProof/>
              </w:rPr>
              <w:t>National Broadband Network</w:t>
            </w:r>
            <w:r>
              <w:rPr>
                <w:noProof/>
                <w:webHidden/>
              </w:rPr>
              <w:tab/>
            </w:r>
            <w:r>
              <w:rPr>
                <w:noProof/>
                <w:webHidden/>
              </w:rPr>
              <w:fldChar w:fldCharType="begin"/>
            </w:r>
            <w:r>
              <w:rPr>
                <w:noProof/>
                <w:webHidden/>
              </w:rPr>
              <w:instrText xml:space="preserve"> PAGEREF _Toc461180963 \h </w:instrText>
            </w:r>
            <w:r>
              <w:rPr>
                <w:noProof/>
                <w:webHidden/>
              </w:rPr>
            </w:r>
            <w:r>
              <w:rPr>
                <w:noProof/>
                <w:webHidden/>
              </w:rPr>
              <w:fldChar w:fldCharType="separate"/>
            </w:r>
            <w:r>
              <w:rPr>
                <w:noProof/>
                <w:webHidden/>
              </w:rPr>
              <w:t>16</w:t>
            </w:r>
            <w:r>
              <w:rPr>
                <w:noProof/>
                <w:webHidden/>
              </w:rPr>
              <w:fldChar w:fldCharType="end"/>
            </w:r>
          </w:hyperlink>
        </w:p>
        <w:p w:rsidR="007013C8" w:rsidRDefault="007013C8">
          <w:pPr>
            <w:pStyle w:val="TOC3"/>
            <w:tabs>
              <w:tab w:val="right" w:leader="dot" w:pos="10450"/>
            </w:tabs>
            <w:rPr>
              <w:rFonts w:asciiTheme="minorHAnsi" w:eastAsiaTheme="minorEastAsia" w:hAnsiTheme="minorHAnsi"/>
              <w:noProof/>
              <w:sz w:val="22"/>
              <w:szCs w:val="22"/>
              <w:lang w:val="en-IE" w:eastAsia="en-IE"/>
            </w:rPr>
          </w:pPr>
          <w:hyperlink w:anchor="_Toc461180964" w:history="1">
            <w:r w:rsidRPr="00F44642">
              <w:rPr>
                <w:rStyle w:val="Hyperlink"/>
                <w:noProof/>
              </w:rPr>
              <w:t>Other networks</w:t>
            </w:r>
            <w:r>
              <w:rPr>
                <w:noProof/>
                <w:webHidden/>
              </w:rPr>
              <w:tab/>
            </w:r>
            <w:r>
              <w:rPr>
                <w:noProof/>
                <w:webHidden/>
              </w:rPr>
              <w:fldChar w:fldCharType="begin"/>
            </w:r>
            <w:r>
              <w:rPr>
                <w:noProof/>
                <w:webHidden/>
              </w:rPr>
              <w:instrText xml:space="preserve"> PAGEREF _Toc461180964 \h </w:instrText>
            </w:r>
            <w:r>
              <w:rPr>
                <w:noProof/>
                <w:webHidden/>
              </w:rPr>
            </w:r>
            <w:r>
              <w:rPr>
                <w:noProof/>
                <w:webHidden/>
              </w:rPr>
              <w:fldChar w:fldCharType="separate"/>
            </w:r>
            <w:r>
              <w:rPr>
                <w:noProof/>
                <w:webHidden/>
              </w:rPr>
              <w:t>16</w:t>
            </w:r>
            <w:r>
              <w:rPr>
                <w:noProof/>
                <w:webHidden/>
              </w:rPr>
              <w:fldChar w:fldCharType="end"/>
            </w:r>
          </w:hyperlink>
        </w:p>
        <w:p w:rsidR="007013C8" w:rsidRDefault="007013C8">
          <w:pPr>
            <w:pStyle w:val="TOC1"/>
            <w:tabs>
              <w:tab w:val="right" w:leader="dot" w:pos="10450"/>
            </w:tabs>
            <w:rPr>
              <w:rFonts w:asciiTheme="minorHAnsi" w:eastAsiaTheme="minorEastAsia" w:hAnsiTheme="minorHAnsi"/>
              <w:noProof/>
              <w:sz w:val="22"/>
              <w:szCs w:val="22"/>
              <w:lang w:val="en-IE" w:eastAsia="en-IE"/>
            </w:rPr>
          </w:pPr>
          <w:hyperlink w:anchor="_Toc461180965" w:history="1">
            <w:r w:rsidRPr="00F44642">
              <w:rPr>
                <w:rStyle w:val="Hyperlink"/>
                <w:noProof/>
              </w:rPr>
              <w:t>Appendix</w:t>
            </w:r>
            <w:r>
              <w:rPr>
                <w:noProof/>
                <w:webHidden/>
              </w:rPr>
              <w:tab/>
            </w:r>
            <w:r>
              <w:rPr>
                <w:noProof/>
                <w:webHidden/>
              </w:rPr>
              <w:fldChar w:fldCharType="begin"/>
            </w:r>
            <w:r>
              <w:rPr>
                <w:noProof/>
                <w:webHidden/>
              </w:rPr>
              <w:instrText xml:space="preserve"> PAGEREF _Toc461180965 \h </w:instrText>
            </w:r>
            <w:r>
              <w:rPr>
                <w:noProof/>
                <w:webHidden/>
              </w:rPr>
            </w:r>
            <w:r>
              <w:rPr>
                <w:noProof/>
                <w:webHidden/>
              </w:rPr>
              <w:fldChar w:fldCharType="separate"/>
            </w:r>
            <w:r>
              <w:rPr>
                <w:noProof/>
                <w:webHidden/>
              </w:rPr>
              <w:t>17</w:t>
            </w:r>
            <w:r>
              <w:rPr>
                <w:noProof/>
                <w:webHidden/>
              </w:rPr>
              <w:fldChar w:fldCharType="end"/>
            </w:r>
          </w:hyperlink>
        </w:p>
        <w:p w:rsidR="007013C8" w:rsidRDefault="007013C8">
          <w:pPr>
            <w:pStyle w:val="TOC2"/>
            <w:tabs>
              <w:tab w:val="right" w:leader="dot" w:pos="10450"/>
            </w:tabs>
            <w:rPr>
              <w:rFonts w:asciiTheme="minorHAnsi" w:eastAsiaTheme="minorEastAsia" w:hAnsiTheme="minorHAnsi"/>
              <w:noProof/>
              <w:sz w:val="22"/>
              <w:szCs w:val="22"/>
              <w:lang w:val="en-IE" w:eastAsia="en-IE"/>
            </w:rPr>
          </w:pPr>
          <w:hyperlink w:anchor="_Toc461180966" w:history="1">
            <w:r w:rsidRPr="00F44642">
              <w:rPr>
                <w:rStyle w:val="Hyperlink"/>
                <w:noProof/>
              </w:rPr>
              <w:t>Appendix A: Tables</w:t>
            </w:r>
            <w:r>
              <w:rPr>
                <w:noProof/>
                <w:webHidden/>
              </w:rPr>
              <w:tab/>
            </w:r>
            <w:r>
              <w:rPr>
                <w:noProof/>
                <w:webHidden/>
              </w:rPr>
              <w:fldChar w:fldCharType="begin"/>
            </w:r>
            <w:r>
              <w:rPr>
                <w:noProof/>
                <w:webHidden/>
              </w:rPr>
              <w:instrText xml:space="preserve"> PAGEREF _Toc461180966 \h </w:instrText>
            </w:r>
            <w:r>
              <w:rPr>
                <w:noProof/>
                <w:webHidden/>
              </w:rPr>
            </w:r>
            <w:r>
              <w:rPr>
                <w:noProof/>
                <w:webHidden/>
              </w:rPr>
              <w:fldChar w:fldCharType="separate"/>
            </w:r>
            <w:r>
              <w:rPr>
                <w:noProof/>
                <w:webHidden/>
              </w:rPr>
              <w:t>17</w:t>
            </w:r>
            <w:r>
              <w:rPr>
                <w:noProof/>
                <w:webHidden/>
              </w:rPr>
              <w:fldChar w:fldCharType="end"/>
            </w:r>
          </w:hyperlink>
        </w:p>
        <w:p w:rsidR="007013C8" w:rsidRDefault="007013C8">
          <w:pPr>
            <w:pStyle w:val="TOC3"/>
            <w:tabs>
              <w:tab w:val="right" w:leader="dot" w:pos="10450"/>
            </w:tabs>
            <w:rPr>
              <w:rFonts w:asciiTheme="minorHAnsi" w:eastAsiaTheme="minorEastAsia" w:hAnsiTheme="minorHAnsi"/>
              <w:noProof/>
              <w:sz w:val="22"/>
              <w:szCs w:val="22"/>
              <w:lang w:val="en-IE" w:eastAsia="en-IE"/>
            </w:rPr>
          </w:pPr>
          <w:hyperlink w:anchor="_Toc461180967" w:history="1">
            <w:r w:rsidRPr="00F44642">
              <w:rPr>
                <w:rStyle w:val="Hyperlink"/>
                <w:noProof/>
              </w:rPr>
              <w:t>Short Term Outlook: Port shortage</w:t>
            </w:r>
            <w:r>
              <w:rPr>
                <w:noProof/>
                <w:webHidden/>
              </w:rPr>
              <w:tab/>
            </w:r>
            <w:r>
              <w:rPr>
                <w:noProof/>
                <w:webHidden/>
              </w:rPr>
              <w:fldChar w:fldCharType="begin"/>
            </w:r>
            <w:r>
              <w:rPr>
                <w:noProof/>
                <w:webHidden/>
              </w:rPr>
              <w:instrText xml:space="preserve"> PAGEREF _Toc461180967 \h </w:instrText>
            </w:r>
            <w:r>
              <w:rPr>
                <w:noProof/>
                <w:webHidden/>
              </w:rPr>
            </w:r>
            <w:r>
              <w:rPr>
                <w:noProof/>
                <w:webHidden/>
              </w:rPr>
              <w:fldChar w:fldCharType="separate"/>
            </w:r>
            <w:r>
              <w:rPr>
                <w:noProof/>
                <w:webHidden/>
              </w:rPr>
              <w:t>17</w:t>
            </w:r>
            <w:r>
              <w:rPr>
                <w:noProof/>
                <w:webHidden/>
              </w:rPr>
              <w:fldChar w:fldCharType="end"/>
            </w:r>
          </w:hyperlink>
        </w:p>
        <w:p w:rsidR="007013C8" w:rsidRDefault="007013C8">
          <w:pPr>
            <w:pStyle w:val="TOC2"/>
            <w:tabs>
              <w:tab w:val="right" w:leader="dot" w:pos="10450"/>
            </w:tabs>
            <w:rPr>
              <w:rFonts w:asciiTheme="minorHAnsi" w:eastAsiaTheme="minorEastAsia" w:hAnsiTheme="minorHAnsi"/>
              <w:noProof/>
              <w:sz w:val="22"/>
              <w:szCs w:val="22"/>
              <w:lang w:val="en-IE" w:eastAsia="en-IE"/>
            </w:rPr>
          </w:pPr>
          <w:hyperlink w:anchor="_Toc461180968" w:history="1">
            <w:r w:rsidRPr="00F44642">
              <w:rPr>
                <w:rStyle w:val="Hyperlink"/>
                <w:noProof/>
              </w:rPr>
              <w:t>Appendix B: Datasets used</w:t>
            </w:r>
            <w:r>
              <w:rPr>
                <w:noProof/>
                <w:webHidden/>
              </w:rPr>
              <w:tab/>
            </w:r>
            <w:r>
              <w:rPr>
                <w:noProof/>
                <w:webHidden/>
              </w:rPr>
              <w:fldChar w:fldCharType="begin"/>
            </w:r>
            <w:r>
              <w:rPr>
                <w:noProof/>
                <w:webHidden/>
              </w:rPr>
              <w:instrText xml:space="preserve"> PAGEREF _Toc461180968 \h </w:instrText>
            </w:r>
            <w:r>
              <w:rPr>
                <w:noProof/>
                <w:webHidden/>
              </w:rPr>
            </w:r>
            <w:r>
              <w:rPr>
                <w:noProof/>
                <w:webHidden/>
              </w:rPr>
              <w:fldChar w:fldCharType="separate"/>
            </w:r>
            <w:r>
              <w:rPr>
                <w:noProof/>
                <w:webHidden/>
              </w:rPr>
              <w:t>19</w:t>
            </w:r>
            <w:r>
              <w:rPr>
                <w:noProof/>
                <w:webHidden/>
              </w:rPr>
              <w:fldChar w:fldCharType="end"/>
            </w:r>
          </w:hyperlink>
        </w:p>
        <w:p w:rsidR="007013C8" w:rsidRDefault="007013C8">
          <w:pPr>
            <w:pStyle w:val="TOC1"/>
            <w:tabs>
              <w:tab w:val="right" w:leader="dot" w:pos="10450"/>
            </w:tabs>
            <w:rPr>
              <w:rFonts w:asciiTheme="minorHAnsi" w:eastAsiaTheme="minorEastAsia" w:hAnsiTheme="minorHAnsi"/>
              <w:noProof/>
              <w:sz w:val="22"/>
              <w:szCs w:val="22"/>
              <w:lang w:val="en-IE" w:eastAsia="en-IE"/>
            </w:rPr>
          </w:pPr>
          <w:hyperlink w:anchor="_Toc461180969" w:history="1">
            <w:r w:rsidRPr="00F44642">
              <w:rPr>
                <w:rStyle w:val="Hyperlink"/>
                <w:noProof/>
              </w:rPr>
              <w:t>References</w:t>
            </w:r>
            <w:r>
              <w:rPr>
                <w:noProof/>
                <w:webHidden/>
              </w:rPr>
              <w:tab/>
            </w:r>
            <w:r>
              <w:rPr>
                <w:noProof/>
                <w:webHidden/>
              </w:rPr>
              <w:fldChar w:fldCharType="begin"/>
            </w:r>
            <w:r>
              <w:rPr>
                <w:noProof/>
                <w:webHidden/>
              </w:rPr>
              <w:instrText xml:space="preserve"> PAGEREF _Toc461180969 \h </w:instrText>
            </w:r>
            <w:r>
              <w:rPr>
                <w:noProof/>
                <w:webHidden/>
              </w:rPr>
            </w:r>
            <w:r>
              <w:rPr>
                <w:noProof/>
                <w:webHidden/>
              </w:rPr>
              <w:fldChar w:fldCharType="separate"/>
            </w:r>
            <w:r>
              <w:rPr>
                <w:noProof/>
                <w:webHidden/>
              </w:rPr>
              <w:t>20</w:t>
            </w:r>
            <w:r>
              <w:rPr>
                <w:noProof/>
                <w:webHidden/>
              </w:rPr>
              <w:fldChar w:fldCharType="end"/>
            </w:r>
          </w:hyperlink>
        </w:p>
        <w:p w:rsidR="0099400B" w:rsidRDefault="0099400B">
          <w:r>
            <w:rPr>
              <w:b/>
              <w:bCs/>
              <w:noProof/>
            </w:rPr>
            <w:fldChar w:fldCharType="end"/>
          </w:r>
        </w:p>
      </w:sdtContent>
    </w:sdt>
    <w:p w:rsidR="00740F06" w:rsidRDefault="00740F06">
      <w:pPr>
        <w:rPr>
          <w:rFonts w:eastAsiaTheme="majorEastAsia" w:cstheme="majorBidi"/>
          <w:b/>
          <w:bCs/>
          <w:color w:val="B43412" w:themeColor="accent1" w:themeShade="BF"/>
          <w:sz w:val="48"/>
          <w:szCs w:val="32"/>
        </w:rPr>
      </w:pPr>
      <w:r>
        <w:br w:type="page"/>
      </w:r>
    </w:p>
    <w:p w:rsidR="00240212" w:rsidRPr="004B6DCA" w:rsidRDefault="00073C0E" w:rsidP="0099400B">
      <w:pPr>
        <w:pStyle w:val="Heading1"/>
      </w:pPr>
      <w:bookmarkStart w:id="1" w:name="_Toc461180937"/>
      <w:r w:rsidRPr="004B6DCA">
        <w:lastRenderedPageBreak/>
        <w:t>Background</w:t>
      </w:r>
      <w:bookmarkEnd w:id="1"/>
    </w:p>
    <w:p w:rsidR="00073C0E" w:rsidRPr="004B6DCA" w:rsidRDefault="00073C0E" w:rsidP="003920CA">
      <w:pPr>
        <w:spacing w:before="240"/>
      </w:pPr>
      <w:r w:rsidRPr="004B6DCA">
        <w:t>In 2016, the majority of broadband services in Australia are available through ADSL technology delivered over the copper network by Telstra and other telecommunications providers.  Consumers are often unaware of the complex service qualification factors such as port availability and line distance from exchange that go on behind the scene when a service is ordered.  When a consumer is told their premises cannot be served, it is not always clear what steps they might be able to take to remedy the situation.</w:t>
      </w:r>
    </w:p>
    <w:p w:rsidR="00073C0E" w:rsidRPr="004B6DCA" w:rsidRDefault="00073C0E" w:rsidP="003920CA">
      <w:pPr>
        <w:spacing w:before="240"/>
      </w:pPr>
      <w:r w:rsidRPr="004B6DCA">
        <w:t>The Telecommunications Industry Ombudsman (TIO</w:t>
      </w:r>
      <w:r w:rsidR="008B2163">
        <w:t xml:space="preserve"> 2015</w:t>
      </w:r>
      <w:r w:rsidRPr="004B6DCA">
        <w:t>) recognised in its Regional Telecommunications Review submission that it receives a higher number of enquiries about the unavailability or performance limitations of landline and internet services due to a lack of infrastructure.  This is particularly so for consumers living outside of urban areas, with around 40% of enquiries logged by regional and remote consumers related to a lack of infrastructure.</w:t>
      </w:r>
    </w:p>
    <w:p w:rsidR="00073C0E" w:rsidRPr="004B6DCA" w:rsidRDefault="00073C0E" w:rsidP="003920CA">
      <w:pPr>
        <w:spacing w:before="240"/>
      </w:pPr>
      <w:r w:rsidRPr="004B6DCA">
        <w:t>The National Broadband Network (NBN) is set to fill these infrastructure gaps.  It is designed to be a wholesale network, eventually reaching 100% of Australian premises at the completion of the rollout expected in 2020.  The NBN will bring broadband to all Australians using a mix of access technologies, including satellite, fixed wireless and fixed-line technologies.  However, at the time of writing, the NBN is still being rolled out with only around 25% complete.</w:t>
      </w:r>
    </w:p>
    <w:p w:rsidR="0011377B" w:rsidRDefault="0011377B" w:rsidP="003920CA">
      <w:pPr>
        <w:spacing w:before="240"/>
      </w:pPr>
      <w:r w:rsidRPr="004B6DCA">
        <w:t xml:space="preserve">This analysis, the </w:t>
      </w:r>
      <w:r w:rsidR="006B2D93">
        <w:rPr>
          <w:i/>
          <w:iCs/>
        </w:rPr>
        <w:t>ADSL Availability Report</w:t>
      </w:r>
      <w:r w:rsidRPr="004B6DCA">
        <w:rPr>
          <w:i/>
          <w:iCs/>
        </w:rPr>
        <w:t xml:space="preserve"> (</w:t>
      </w:r>
      <w:r w:rsidR="006B2D93">
        <w:rPr>
          <w:i/>
          <w:iCs/>
        </w:rPr>
        <w:t>AAR</w:t>
      </w:r>
      <w:r w:rsidRPr="004B6DCA">
        <w:rPr>
          <w:i/>
          <w:iCs/>
        </w:rPr>
        <w:t>)</w:t>
      </w:r>
      <w:r w:rsidRPr="004B6DCA">
        <w:t>, identifies areas which are currently under-served and uses the NBN 3 year construction plan to model how these under-served areas change over time. The aim of this study is to highlight areas where infrastructure supply may not be meeting consumer demand. It is hoped that this data will be used to encourage the development of alternative interim services and improve consumer information around the availability, or lack thereof, of services.</w:t>
      </w:r>
    </w:p>
    <w:p w:rsidR="009C57EF" w:rsidRPr="004B6DCA" w:rsidRDefault="009C57EF" w:rsidP="003920CA">
      <w:pPr>
        <w:spacing w:before="240"/>
      </w:pPr>
      <w:r>
        <w:t>This analysis examines the availability of fixed line ADSL</w:t>
      </w:r>
      <w:r w:rsidR="001336B4">
        <w:t xml:space="preserve">. </w:t>
      </w:r>
      <w:r>
        <w:t xml:space="preserve"> </w:t>
      </w:r>
      <w:r w:rsidR="0024574A">
        <w:t xml:space="preserve">Telstra </w:t>
      </w:r>
      <w:r>
        <w:t>HFC</w:t>
      </w:r>
      <w:r w:rsidR="0024574A">
        <w:t xml:space="preserve"> and</w:t>
      </w:r>
      <w:r>
        <w:t xml:space="preserve"> mobile broadband coverage</w:t>
      </w:r>
      <w:r w:rsidR="0024574A">
        <w:t xml:space="preserve"> </w:t>
      </w:r>
      <w:r>
        <w:t>are not examined in determining if an area is served.</w:t>
      </w:r>
      <w:r w:rsidR="0024574A">
        <w:t xml:space="preserve"> Other providers may also serve areas with their own technology </w:t>
      </w:r>
      <w:r w:rsidR="004327C9">
        <w:t xml:space="preserve">which </w:t>
      </w:r>
      <w:r w:rsidR="0024574A">
        <w:t>is not included in this analysis.</w:t>
      </w:r>
      <w:r>
        <w:t xml:space="preserve"> </w:t>
      </w:r>
    </w:p>
    <w:p w:rsidR="0011377B" w:rsidRPr="004B6DCA" w:rsidRDefault="0011377B">
      <w:r w:rsidRPr="004B6DCA">
        <w:br w:type="page"/>
      </w:r>
    </w:p>
    <w:p w:rsidR="00073C0E" w:rsidRPr="004B6DCA" w:rsidRDefault="00073C0E" w:rsidP="00603D04">
      <w:pPr>
        <w:pStyle w:val="Heading1"/>
        <w:spacing w:after="240"/>
      </w:pPr>
      <w:bookmarkStart w:id="2" w:name="_Toc461180938"/>
      <w:r w:rsidRPr="004B6DCA">
        <w:lastRenderedPageBreak/>
        <w:t>Methodology</w:t>
      </w:r>
      <w:bookmarkEnd w:id="2"/>
    </w:p>
    <w:p w:rsidR="00073C0E" w:rsidRPr="004B6DCA" w:rsidRDefault="00760EA1" w:rsidP="00603D04">
      <w:pPr>
        <w:pStyle w:val="Heading2"/>
        <w:spacing w:after="240"/>
      </w:pPr>
      <w:bookmarkStart w:id="3" w:name="_Toc461180939"/>
      <w:r w:rsidRPr="004B6DCA">
        <w:t>The base unit: a neighbourhood</w:t>
      </w:r>
      <w:bookmarkEnd w:id="3"/>
    </w:p>
    <w:p w:rsidR="00073C0E" w:rsidRPr="004B6DCA" w:rsidRDefault="00073C0E" w:rsidP="00603D04">
      <w:pPr>
        <w:spacing w:after="240"/>
      </w:pPr>
      <w:r w:rsidRPr="004B6DCA">
        <w:t>Since the majority of Australia currently access broadband through the Telstra copper network, the analysis is conducted at a Telstra Distribution Area (DA) level</w:t>
      </w:r>
      <w:r w:rsidR="0011377B" w:rsidRPr="004B6DCA">
        <w:t xml:space="preserve">.  Typically, a Telstra Distribution Area represents the </w:t>
      </w:r>
      <w:r w:rsidRPr="004B6DCA">
        <w:t>group of premises serviced by a common Telstra neighbourhood pillar.</w:t>
      </w:r>
    </w:p>
    <w:p w:rsidR="003920CA" w:rsidRDefault="00073C0E" w:rsidP="00603D04">
      <w:pPr>
        <w:spacing w:before="240" w:after="240"/>
      </w:pPr>
      <w:r w:rsidRPr="004B6DCA">
        <w:t>On average, a single pillar services a cluster of around 150 premises.  However, this is only an indicative average.  There are instances where Telstra Distribution Areas have several thousand premises.  There are also some smaller, regional exchanges which do not have any distribution areas.</w:t>
      </w:r>
    </w:p>
    <w:p w:rsidR="00073C0E" w:rsidRPr="004B6DCA" w:rsidRDefault="00073C0E" w:rsidP="00603D04">
      <w:pPr>
        <w:spacing w:before="240" w:after="240"/>
      </w:pPr>
      <w:r w:rsidRPr="004B6DCA">
        <w:t>To help break down some of these areas into a more granular level, some Telstra Distribution Areas have been split into smaller areas based on the work done by the Department of Communications (</w:t>
      </w:r>
      <w:r w:rsidR="008B2163">
        <w:t>Department of Communications 2013</w:t>
      </w:r>
      <w:r w:rsidRPr="004B6DCA">
        <w:t>).</w:t>
      </w:r>
    </w:p>
    <w:p w:rsidR="00073C0E" w:rsidRPr="004B6DCA" w:rsidRDefault="00073C0E" w:rsidP="00603D04">
      <w:pPr>
        <w:spacing w:before="240" w:after="240"/>
      </w:pPr>
      <w:r w:rsidRPr="004B6DCA">
        <w:t>For the purposes of this analysis, this base unit</w:t>
      </w:r>
      <w:r w:rsidR="00760EA1" w:rsidRPr="004B6DCA">
        <w:t xml:space="preserve"> </w:t>
      </w:r>
      <w:r w:rsidRPr="004B6DCA">
        <w:t>is called a “</w:t>
      </w:r>
      <w:r w:rsidRPr="004B6DCA">
        <w:rPr>
          <w:i/>
        </w:rPr>
        <w:t>neighbourhood</w:t>
      </w:r>
      <w:r w:rsidRPr="004B6DCA">
        <w:t>”.</w:t>
      </w:r>
    </w:p>
    <w:p w:rsidR="00760EA1" w:rsidRPr="004B6DCA" w:rsidRDefault="00760EA1" w:rsidP="00603D04">
      <w:pPr>
        <w:pStyle w:val="Heading2"/>
        <w:spacing w:after="240"/>
      </w:pPr>
      <w:bookmarkStart w:id="4" w:name="_Toc461180940"/>
      <w:r w:rsidRPr="004B6DCA">
        <w:t>Approximate Premises Count</w:t>
      </w:r>
      <w:bookmarkEnd w:id="4"/>
    </w:p>
    <w:p w:rsidR="00760EA1" w:rsidRPr="004B6DCA" w:rsidRDefault="00760EA1" w:rsidP="00603D04">
      <w:pPr>
        <w:spacing w:after="240"/>
      </w:pPr>
      <w:r w:rsidRPr="004B6DCA">
        <w:t xml:space="preserve">An approximate number of premises in each </w:t>
      </w:r>
      <w:r w:rsidRPr="004B6DCA">
        <w:rPr>
          <w:i/>
        </w:rPr>
        <w:t>neighbourhood</w:t>
      </w:r>
      <w:r w:rsidRPr="004B6DCA">
        <w:t xml:space="preserve"> </w:t>
      </w:r>
      <w:proofErr w:type="gramStart"/>
      <w:r w:rsidRPr="004B6DCA">
        <w:t>was</w:t>
      </w:r>
      <w:proofErr w:type="gramEnd"/>
      <w:r w:rsidRPr="004B6DCA">
        <w:t xml:space="preserve"> derived by overlaying the February 2016 release of the PSMA Geocoded National Address File (G-NAF) database</w:t>
      </w:r>
      <w:r w:rsidR="008B2163">
        <w:t xml:space="preserve"> (DPMC 2015)</w:t>
      </w:r>
      <w:r w:rsidRPr="004B6DCA">
        <w:t>.</w:t>
      </w:r>
    </w:p>
    <w:p w:rsidR="00760EA1" w:rsidRDefault="0011377B" w:rsidP="00603D04">
      <w:pPr>
        <w:spacing w:before="240" w:after="240"/>
      </w:pPr>
      <w:r w:rsidRPr="004B6DCA">
        <w:t xml:space="preserve">The approximate premises count is omitted from parts of this report, particularly in cases where including the number will cause confusion.  For example, if an exchange has no remaining ADSL ports, only new connections are affected by this limitation.  Premises which are already connected to ADSL are not affected.  It would not be appropriate to describe all premises within that exchange </w:t>
      </w:r>
      <w:r w:rsidR="009C57EF">
        <w:t xml:space="preserve">as </w:t>
      </w:r>
      <w:r w:rsidRPr="004B6DCA">
        <w:t>under-served.</w:t>
      </w:r>
    </w:p>
    <w:p w:rsidR="0011377B" w:rsidRPr="004B6DCA" w:rsidRDefault="00B24CF2" w:rsidP="00603D04">
      <w:pPr>
        <w:spacing w:before="240" w:after="240"/>
      </w:pPr>
      <w:r>
        <w:t>For the purpose of this analysis, neighbourhoods with less than 5 premises were excluded in this final report.</w:t>
      </w:r>
    </w:p>
    <w:p w:rsidR="003920CA" w:rsidRDefault="004B6DCA" w:rsidP="00603D04">
      <w:pPr>
        <w:pStyle w:val="Heading2"/>
        <w:spacing w:after="240"/>
      </w:pPr>
      <w:bookmarkStart w:id="5" w:name="_Toc461180941"/>
      <w:r w:rsidRPr="004B6DCA">
        <w:t>DSLAM Location</w:t>
      </w:r>
      <w:bookmarkEnd w:id="5"/>
    </w:p>
    <w:p w:rsidR="004B6DCA" w:rsidRPr="004B6DCA" w:rsidRDefault="004B6DCA" w:rsidP="00603D04">
      <w:pPr>
        <w:spacing w:after="240"/>
      </w:pPr>
      <w:r w:rsidRPr="004B6DCA">
        <w:t>DSLAM, or Digital Subscriber Line Access Multiplexer, is equipment used to transmit and receive ADSL/ADSL2+ signals along the copper pairs.</w:t>
      </w:r>
    </w:p>
    <w:p w:rsidR="004B6DCA" w:rsidRPr="004B6DCA" w:rsidRDefault="004B6DCA" w:rsidP="00603D04">
      <w:pPr>
        <w:spacing w:before="240" w:after="240"/>
      </w:pPr>
      <w:r w:rsidRPr="004B6DCA">
        <w:t>DSLAM equipment is typically located at Telstra exchanges and should be capable of delivering ADSL/ADSL2+ services to any premises within the exchange area (provided they pass the service qualification checks).</w:t>
      </w:r>
    </w:p>
    <w:p w:rsidR="004B6DCA" w:rsidRDefault="004B6DCA" w:rsidP="00603D04">
      <w:pPr>
        <w:spacing w:after="240"/>
      </w:pPr>
      <w:r w:rsidRPr="004B6DCA">
        <w:t xml:space="preserve">However, </w:t>
      </w:r>
      <w:r w:rsidR="00A24076">
        <w:t xml:space="preserve">at the time of writing, </w:t>
      </w:r>
      <w:r w:rsidRPr="004B6DCA">
        <w:t xml:space="preserve">Telstra also operates DSLAMs at 5,408 CAN sites (Copper Access Network sites) </w:t>
      </w:r>
      <w:r w:rsidRPr="00A24076">
        <w:t>in the field</w:t>
      </w:r>
      <w:r w:rsidR="00F05577">
        <w:t xml:space="preserve"> in addition to the DSLAM equipment housed in 2,962 exchanges around Australia</w:t>
      </w:r>
      <w:r w:rsidRPr="004B6DCA">
        <w:t xml:space="preserve">.  These </w:t>
      </w:r>
      <w:r w:rsidR="00F05577">
        <w:t xml:space="preserve">CAN site </w:t>
      </w:r>
      <w:r w:rsidRPr="004B6DCA">
        <w:t>DSLAMs are installed in cabinets near neighbourhood pillars and can only service specific neighbourhoods.</w:t>
      </w:r>
    </w:p>
    <w:p w:rsidR="004B6DCA" w:rsidRDefault="004B6DCA" w:rsidP="00603D04">
      <w:pPr>
        <w:spacing w:before="240" w:after="240"/>
      </w:pPr>
      <w:r>
        <w:t>Telstra Wholesale publishes a list of Telstra Distribution Areas (</w:t>
      </w:r>
      <w:r>
        <w:rPr>
          <w:i/>
        </w:rPr>
        <w:t>neighbourhoods</w:t>
      </w:r>
      <w:r>
        <w:t>, for the purpose of this analysis) associated with each CAN site</w:t>
      </w:r>
      <w:r w:rsidR="008B2163">
        <w:t xml:space="preserve"> (Telstra 2016a)</w:t>
      </w:r>
      <w:r>
        <w:t>.</w:t>
      </w:r>
    </w:p>
    <w:p w:rsidR="00EC521D" w:rsidRDefault="004B6DCA" w:rsidP="00603D04">
      <w:pPr>
        <w:spacing w:before="240" w:after="240"/>
      </w:pPr>
      <w:r>
        <w:lastRenderedPageBreak/>
        <w:t>When examining port capacity for each neighbourhood, this analysis takes into account the ADSL port capacity at the exchange and at any CAN sites which are connected to the neighbourhood.</w:t>
      </w:r>
    </w:p>
    <w:p w:rsidR="004B6DCA" w:rsidRDefault="004B6DCA" w:rsidP="00603D04">
      <w:pPr>
        <w:pStyle w:val="Heading2"/>
        <w:spacing w:after="240"/>
      </w:pPr>
      <w:bookmarkStart w:id="6" w:name="_Toc461180942"/>
      <w:r>
        <w:t>Under-served Definition</w:t>
      </w:r>
      <w:bookmarkEnd w:id="6"/>
    </w:p>
    <w:p w:rsidR="004B6DCA" w:rsidRDefault="004B6DCA" w:rsidP="00603D04">
      <w:pPr>
        <w:spacing w:before="240" w:after="240"/>
      </w:pPr>
      <w:r>
        <w:t>For the purposes of this analysis, an area is considered under-served if any of the following conditions are met:</w:t>
      </w:r>
    </w:p>
    <w:p w:rsidR="00603D04" w:rsidRDefault="004B6DCA" w:rsidP="00603D04">
      <w:pPr>
        <w:pStyle w:val="ListParagraph"/>
        <w:numPr>
          <w:ilvl w:val="0"/>
          <w:numId w:val="1"/>
        </w:numPr>
        <w:spacing w:before="240" w:after="240"/>
        <w:rPr>
          <w:lang w:val="en-US"/>
        </w:rPr>
      </w:pPr>
      <w:r w:rsidRPr="00603D04">
        <w:rPr>
          <w:lang w:val="en-US"/>
        </w:rPr>
        <w:t>the Telstra DA is not connected to an ADSL-enabled exchange or CAN site</w:t>
      </w:r>
      <w:r w:rsidR="008B2163">
        <w:rPr>
          <w:lang w:val="en-US"/>
        </w:rPr>
        <w:t xml:space="preserve"> (Telstra 2016b)</w:t>
      </w:r>
    </w:p>
    <w:p w:rsidR="00603D04" w:rsidRDefault="004B6DCA" w:rsidP="00603D04">
      <w:pPr>
        <w:pStyle w:val="ListParagraph"/>
        <w:numPr>
          <w:ilvl w:val="0"/>
          <w:numId w:val="1"/>
        </w:numPr>
        <w:spacing w:before="240" w:after="240"/>
        <w:rPr>
          <w:lang w:val="en-US"/>
        </w:rPr>
      </w:pPr>
      <w:r w:rsidRPr="00603D04">
        <w:rPr>
          <w:lang w:val="en-US"/>
        </w:rPr>
        <w:t>the Telstra DA is connected to an ADSL-enabled exchange or CAN with no or less than 5 ADSL/ADSL2+ ports remaining</w:t>
      </w:r>
    </w:p>
    <w:p w:rsidR="00603D04" w:rsidRPr="00603D04" w:rsidRDefault="004B6DCA" w:rsidP="00603D04">
      <w:pPr>
        <w:pStyle w:val="ListParagraph"/>
        <w:numPr>
          <w:ilvl w:val="0"/>
          <w:numId w:val="1"/>
        </w:numPr>
        <w:spacing w:before="240" w:after="240"/>
        <w:rPr>
          <w:lang w:val="en-US"/>
        </w:rPr>
      </w:pPr>
      <w:proofErr w:type="gramStart"/>
      <w:r w:rsidRPr="00603D04">
        <w:rPr>
          <w:lang w:val="en-US"/>
        </w:rPr>
        <w:t>the</w:t>
      </w:r>
      <w:proofErr w:type="gramEnd"/>
      <w:r w:rsidRPr="00603D04">
        <w:rPr>
          <w:lang w:val="en-US"/>
        </w:rPr>
        <w:t xml:space="preserve"> Telstra DA is too far from the exchange to order an ADSL/ADSL2+ service above 4 Mbps.</w:t>
      </w:r>
      <w:r w:rsidR="003B50B3" w:rsidRPr="003B50B3">
        <w:t xml:space="preserve"> </w:t>
      </w:r>
      <w:r w:rsidR="003B50B3">
        <w:t>This was calculated</w:t>
      </w:r>
      <w:r w:rsidR="003B50B3" w:rsidRPr="003B50B3">
        <w:t xml:space="preserve"> by matching the Telstra distribution area data from Pitney Bowes with the </w:t>
      </w:r>
      <w:r w:rsidR="003B50B3" w:rsidRPr="00603D04">
        <w:rPr>
          <w:i/>
          <w:iCs/>
        </w:rPr>
        <w:t>median speed</w:t>
      </w:r>
      <w:r w:rsidR="003B50B3" w:rsidRPr="003B50B3">
        <w:t xml:space="preserve"> data for each distribution area from the </w:t>
      </w:r>
      <w:proofErr w:type="spellStart"/>
      <w:r w:rsidR="003B50B3" w:rsidRPr="003B50B3">
        <w:t>MyBroadband</w:t>
      </w:r>
      <w:proofErr w:type="spellEnd"/>
      <w:r w:rsidR="003B50B3" w:rsidRPr="003B50B3">
        <w:t xml:space="preserve"> "data cube" spreadsheet on the Department's website.  </w:t>
      </w:r>
      <w:r w:rsidR="0024574A">
        <w:t>T</w:t>
      </w:r>
      <w:r w:rsidR="003B50B3" w:rsidRPr="003B50B3">
        <w:t xml:space="preserve">he 4 Mbps filter </w:t>
      </w:r>
      <w:r w:rsidR="0024574A">
        <w:t xml:space="preserve">was then applied </w:t>
      </w:r>
      <w:r w:rsidR="003B50B3" w:rsidRPr="003B50B3">
        <w:t>onto it to exclude areas we considered to be "too far from the exchange".</w:t>
      </w:r>
    </w:p>
    <w:p w:rsidR="00403B53" w:rsidRPr="007511B4" w:rsidRDefault="00403B53" w:rsidP="00603D04">
      <w:pPr>
        <w:spacing w:before="240" w:after="240"/>
        <w:rPr>
          <w:lang w:val="en-US"/>
        </w:rPr>
      </w:pPr>
      <w:r w:rsidRPr="00403B53">
        <w:rPr>
          <w:lang w:val="en-US"/>
        </w:rPr>
        <w:t xml:space="preserve">The minimum 4 Mbps figure was arrived at by considering the Telstra service quality check, the minimum quality the line must meet for Telstra to offer service to a household, where </w:t>
      </w:r>
      <w:r w:rsidR="007511B4">
        <w:rPr>
          <w:lang w:val="en-US"/>
        </w:rPr>
        <w:t>a</w:t>
      </w:r>
      <w:r w:rsidRPr="00403B53">
        <w:rPr>
          <w:lang w:val="en-US"/>
        </w:rPr>
        <w:t>ttenuation on the line must be less than 56dB</w:t>
      </w:r>
      <w:r w:rsidR="008B2163">
        <w:rPr>
          <w:lang w:val="en-US"/>
        </w:rPr>
        <w:t xml:space="preserve"> (Telstra 2015)</w:t>
      </w:r>
      <w:r w:rsidRPr="00403B53">
        <w:rPr>
          <w:lang w:val="en-US"/>
        </w:rPr>
        <w:t xml:space="preserve">.  On a typical copper line, a line with 56dB loss can attain a line rate of around 4 Mbps on </w:t>
      </w:r>
      <w:proofErr w:type="gramStart"/>
      <w:r w:rsidRPr="00403B53">
        <w:rPr>
          <w:lang w:val="en-US"/>
        </w:rPr>
        <w:t>both ADSL</w:t>
      </w:r>
      <w:proofErr w:type="gramEnd"/>
      <w:r w:rsidRPr="00403B53">
        <w:rPr>
          <w:lang w:val="en-US"/>
        </w:rPr>
        <w:t xml:space="preserve"> and ADSL2+</w:t>
      </w:r>
      <w:r w:rsidR="008B2163">
        <w:rPr>
          <w:lang w:val="en-US"/>
        </w:rPr>
        <w:t xml:space="preserve"> (Internode 2007)</w:t>
      </w:r>
      <w:r w:rsidRPr="00403B53">
        <w:rPr>
          <w:lang w:val="en-US"/>
        </w:rPr>
        <w:t>.</w:t>
      </w:r>
    </w:p>
    <w:p w:rsidR="00403B53" w:rsidRDefault="00403B53" w:rsidP="00603D04">
      <w:pPr>
        <w:pStyle w:val="Heading2"/>
        <w:spacing w:after="240"/>
      </w:pPr>
      <w:bookmarkStart w:id="7" w:name="_Toc461180943"/>
      <w:r>
        <w:t>Telstra ADSL/ADSL2+ Port Data</w:t>
      </w:r>
      <w:bookmarkEnd w:id="7"/>
    </w:p>
    <w:p w:rsidR="00403B53" w:rsidRDefault="00403B53" w:rsidP="00603D04">
      <w:pPr>
        <w:spacing w:after="240"/>
      </w:pPr>
      <w:r w:rsidRPr="00403B53">
        <w:t>The analysis considers the availability of ADSL/ADSL2+ ports in each exchange or CAN site.  This information is published by Telstra and is available on the Telstra Wholesale website.</w:t>
      </w:r>
      <w:r>
        <w:t xml:space="preserve">  However, this data only shows the number of ports remaining and does not indicate how many ports in total are at the exchange or a CAN site.</w:t>
      </w:r>
    </w:p>
    <w:p w:rsidR="00403B53" w:rsidRDefault="00403B53" w:rsidP="00603D04">
      <w:pPr>
        <w:spacing w:before="240" w:after="240"/>
      </w:pPr>
      <w:r>
        <w:t xml:space="preserve">It should also be noted that port availability data can change over time as </w:t>
      </w:r>
      <w:proofErr w:type="gramStart"/>
      <w:r>
        <w:t>customers</w:t>
      </w:r>
      <w:proofErr w:type="gramEnd"/>
      <w:r>
        <w:t xml:space="preserve"> take-up services, cancel services or if Telstra increases port capacity.</w:t>
      </w:r>
    </w:p>
    <w:p w:rsidR="00403B53" w:rsidRDefault="00403B53" w:rsidP="00603D04">
      <w:pPr>
        <w:spacing w:after="240"/>
      </w:pPr>
      <w:r>
        <w:t xml:space="preserve">The </w:t>
      </w:r>
      <w:r w:rsidR="00F50073">
        <w:t>analysis</w:t>
      </w:r>
      <w:r>
        <w:t xml:space="preserve"> uses port data </w:t>
      </w:r>
      <w:r w:rsidR="00230550">
        <w:t>as at 21</w:t>
      </w:r>
      <w:r w:rsidR="00230550" w:rsidRPr="00230550">
        <w:rPr>
          <w:vertAlign w:val="superscript"/>
        </w:rPr>
        <w:t>st</w:t>
      </w:r>
      <w:r w:rsidR="00230550">
        <w:t xml:space="preserve"> June 2016, published </w:t>
      </w:r>
      <w:r w:rsidR="00F50073">
        <w:t>24</w:t>
      </w:r>
      <w:r w:rsidR="00230550" w:rsidRPr="00230550">
        <w:rPr>
          <w:vertAlign w:val="superscript"/>
        </w:rPr>
        <w:t>th</w:t>
      </w:r>
      <w:r w:rsidR="00230550">
        <w:t xml:space="preserve"> June 2016</w:t>
      </w:r>
      <w:r>
        <w:t>.</w:t>
      </w:r>
    </w:p>
    <w:p w:rsidR="00403B53" w:rsidRDefault="00403B53" w:rsidP="00603D04">
      <w:pPr>
        <w:spacing w:before="240" w:after="240"/>
      </w:pPr>
      <w:r w:rsidRPr="00403B53">
        <w:t xml:space="preserve">The data excludes port availability information on non-Telstra DSLAMs such as those installed by Optus and TPG in certain exchanges. </w:t>
      </w:r>
      <w:proofErr w:type="gramStart"/>
      <w:r w:rsidRPr="00403B53">
        <w:t>Although, in regional, rural and remote areas Telstra is virtually the only provider of DSLAM coverage</w:t>
      </w:r>
      <w:r w:rsidR="008B2163">
        <w:t xml:space="preserve"> (ACCC 2015)</w:t>
      </w:r>
      <w:r w:rsidRPr="00403B53">
        <w:t>.</w:t>
      </w:r>
      <w:proofErr w:type="gramEnd"/>
    </w:p>
    <w:p w:rsidR="00403B53" w:rsidRDefault="00403B53" w:rsidP="00603D04">
      <w:pPr>
        <w:pStyle w:val="Heading2"/>
        <w:spacing w:after="240"/>
      </w:pPr>
      <w:bookmarkStart w:id="8" w:name="_Toc461180944"/>
      <w:r>
        <w:t>NBN three-year construction schedule</w:t>
      </w:r>
      <w:bookmarkEnd w:id="8"/>
    </w:p>
    <w:p w:rsidR="00403B53" w:rsidRDefault="00403B53" w:rsidP="00603D04">
      <w:pPr>
        <w:spacing w:after="240"/>
      </w:pPr>
      <w:r>
        <w:t>This analysis takes into account the effect of the NBN rollout on the under-served classification.</w:t>
      </w:r>
    </w:p>
    <w:p w:rsidR="00403B53" w:rsidRDefault="00403B53" w:rsidP="00603D04">
      <w:pPr>
        <w:spacing w:before="240" w:after="240"/>
      </w:pPr>
      <w:r>
        <w:t>The three-year schedule, found on the NBN Co website, lists indicative suburbs as well as an estimate</w:t>
      </w:r>
      <w:r w:rsidR="003B50B3">
        <w:t>d</w:t>
      </w:r>
      <w:r>
        <w:t xml:space="preserve"> start date</w:t>
      </w:r>
      <w:r w:rsidR="008B2163">
        <w:t xml:space="preserve"> (nbn 2015</w:t>
      </w:r>
      <w:r w:rsidR="006C5E82">
        <w:t>b</w:t>
      </w:r>
      <w:r w:rsidR="008B2163">
        <w:t>)</w:t>
      </w:r>
      <w:r>
        <w:t>.  An approximate network footprint can be derived from this.  The under-served status of each Telstra DA is then calculated for every half-year by including the estimated start date and assuming an average build time of 12 months rounded to the nearest half year.</w:t>
      </w:r>
    </w:p>
    <w:p w:rsidR="00403B53" w:rsidRDefault="00403B53" w:rsidP="00603D04">
      <w:pPr>
        <w:spacing w:after="240"/>
      </w:pPr>
      <w:r>
        <w:t xml:space="preserve">There are limitations to the accuracy of this information.  The footprint of the rollout is only approximate, based on the indicative list of suburbs provided by NBN Co.  The footprint is conformed to broadly align with existing Telstra exchange service areas and is further refined in outer-metropolitan fringes </w:t>
      </w:r>
      <w:r w:rsidR="000450EB">
        <w:t xml:space="preserve">by considering the </w:t>
      </w:r>
      <w:r>
        <w:t>land use classification from 2011 ABS Mesh Blocks</w:t>
      </w:r>
      <w:r w:rsidR="000A0D57">
        <w:t xml:space="preserve"> (ABS 2011)</w:t>
      </w:r>
      <w:r>
        <w:t>.</w:t>
      </w:r>
    </w:p>
    <w:p w:rsidR="00403B53" w:rsidRDefault="00403B53" w:rsidP="00603D04">
      <w:pPr>
        <w:spacing w:before="240" w:after="240"/>
      </w:pPr>
      <w:r>
        <w:lastRenderedPageBreak/>
        <w:t>The analysis also assumes the entire Fixed-line s</w:t>
      </w:r>
      <w:r w:rsidR="000450EB">
        <w:t>ervice area listed on the three-</w:t>
      </w:r>
      <w:r>
        <w:t>year construction plan is completed within 12 months</w:t>
      </w:r>
      <w:r w:rsidR="007511B4">
        <w:t xml:space="preserve"> based on the NBN average build time</w:t>
      </w:r>
      <w:r w:rsidR="000A0D57">
        <w:t xml:space="preserve"> (nbn 2014)</w:t>
      </w:r>
      <w:r w:rsidR="007511B4">
        <w:t>. H</w:t>
      </w:r>
      <w:r>
        <w:t>owever, NBN Co may separate the rollout into several blocks based on technology.</w:t>
      </w:r>
    </w:p>
    <w:p w:rsidR="00CB0ECD" w:rsidRDefault="00637890" w:rsidP="00603D04">
      <w:pPr>
        <w:spacing w:after="240"/>
      </w:pPr>
      <w:r>
        <w:t xml:space="preserve">NBN’s Long Term Satellite </w:t>
      </w:r>
      <w:r w:rsidR="00CB0ECD">
        <w:t xml:space="preserve">(LTS) was also made available consumers in April 2016.  Since NBN has not released a detailed satellite footprint, these neighbourhoods are flagged as partially served if at least one </w:t>
      </w:r>
      <w:proofErr w:type="gramStart"/>
      <w:r w:rsidR="00CB0ECD">
        <w:t>premises</w:t>
      </w:r>
      <w:proofErr w:type="gramEnd"/>
      <w:r w:rsidR="00CB0ECD">
        <w:t xml:space="preserve"> in the neighbourhood is eligible for the satellite service.</w:t>
      </w:r>
    </w:p>
    <w:p w:rsidR="004B6DCA" w:rsidRDefault="007511B4" w:rsidP="00603D04">
      <w:pPr>
        <w:pStyle w:val="Heading2"/>
        <w:spacing w:after="240"/>
      </w:pPr>
      <w:bookmarkStart w:id="9" w:name="_Toc461180945"/>
      <w:r>
        <w:t>Other considerations</w:t>
      </w:r>
      <w:bookmarkEnd w:id="9"/>
    </w:p>
    <w:p w:rsidR="007511B4" w:rsidRPr="007511B4" w:rsidRDefault="007511B4" w:rsidP="00603D04">
      <w:pPr>
        <w:pStyle w:val="Heading3"/>
        <w:spacing w:after="240"/>
      </w:pPr>
      <w:bookmarkStart w:id="10" w:name="_Toc461180946"/>
      <w:r>
        <w:t>Pair gain systems</w:t>
      </w:r>
      <w:bookmarkEnd w:id="10"/>
    </w:p>
    <w:p w:rsidR="004B6DCA" w:rsidRDefault="004B6DCA" w:rsidP="00603D04">
      <w:pPr>
        <w:spacing w:after="240"/>
      </w:pPr>
      <w:r>
        <w:t>This analysis does not consider the impact of small/medium pair gain devices in the copper network since the location of these pair gain systems are not publicly available.  Pair gain systems is a way of carrying (multiplexing) multiple phone lines over a single copper wire.  These systems will ensure that phone services can be delivered to new developments, however, may prevent ADSL/ADSL2+ broadband services from being delivered.</w:t>
      </w:r>
    </w:p>
    <w:p w:rsidR="00A24076" w:rsidRDefault="004B6DCA" w:rsidP="00603D04">
      <w:pPr>
        <w:spacing w:after="240"/>
      </w:pPr>
      <w:r>
        <w:t>Larger and more modern pair gain systems with in-built ADSL/ADSL2+ functionality such as a Remote Integrated Multiplexer (RIM) or a Customer Multiplexer (CMUX) are considered as part of the CAN site analysis input described in section 1.3 (DSLAM Location).</w:t>
      </w:r>
      <w:r w:rsidR="00A24076">
        <w:br w:type="page"/>
      </w:r>
    </w:p>
    <w:p w:rsidR="00A24076" w:rsidRDefault="00A24076" w:rsidP="00603D04">
      <w:pPr>
        <w:pStyle w:val="Heading1"/>
        <w:spacing w:after="240"/>
      </w:pPr>
      <w:bookmarkStart w:id="11" w:name="_Toc461180947"/>
      <w:r>
        <w:lastRenderedPageBreak/>
        <w:t>Findings</w:t>
      </w:r>
      <w:bookmarkEnd w:id="11"/>
    </w:p>
    <w:p w:rsidR="00B37F46" w:rsidRDefault="002A01C5" w:rsidP="00603D04">
      <w:pPr>
        <w:spacing w:after="240"/>
      </w:pPr>
      <w:r>
        <w:t xml:space="preserve">The findings section is broken into three outlook sections: </w:t>
      </w:r>
    </w:p>
    <w:p w:rsidR="00B37F46" w:rsidRDefault="00B37F46" w:rsidP="00603D04">
      <w:pPr>
        <w:pStyle w:val="ListParagraph"/>
        <w:numPr>
          <w:ilvl w:val="0"/>
          <w:numId w:val="7"/>
        </w:numPr>
        <w:spacing w:after="240"/>
      </w:pPr>
      <w:r>
        <w:t>short term (to June 2017),</w:t>
      </w:r>
    </w:p>
    <w:p w:rsidR="00B37F46" w:rsidRDefault="002A01C5" w:rsidP="00603D04">
      <w:pPr>
        <w:pStyle w:val="ListParagraph"/>
        <w:numPr>
          <w:ilvl w:val="0"/>
          <w:numId w:val="7"/>
        </w:numPr>
        <w:spacing w:after="240"/>
      </w:pPr>
      <w:r>
        <w:t>medium</w:t>
      </w:r>
      <w:r w:rsidR="00CB0ECD">
        <w:t xml:space="preserve"> </w:t>
      </w:r>
      <w:r w:rsidR="00B37F46">
        <w:t>term (to December 2018), and</w:t>
      </w:r>
    </w:p>
    <w:p w:rsidR="002A01C5" w:rsidRDefault="002A01C5" w:rsidP="00603D04">
      <w:pPr>
        <w:pStyle w:val="ListParagraph"/>
        <w:numPr>
          <w:ilvl w:val="0"/>
          <w:numId w:val="7"/>
        </w:numPr>
        <w:spacing w:after="240"/>
      </w:pPr>
      <w:proofErr w:type="gramStart"/>
      <w:r>
        <w:t>long</w:t>
      </w:r>
      <w:proofErr w:type="gramEnd"/>
      <w:r>
        <w:t xml:space="preserve"> term</w:t>
      </w:r>
      <w:r w:rsidR="00B37F46">
        <w:t xml:space="preserve"> (to June 2020).</w:t>
      </w:r>
    </w:p>
    <w:p w:rsidR="00EC2F23" w:rsidRDefault="00F5197E" w:rsidP="00603D04">
      <w:pPr>
        <w:spacing w:before="240" w:after="240"/>
      </w:pPr>
      <w:r>
        <w:t>Over time, the number of under-served or partially under-served neighbourhoods is expected to decline as the</w:t>
      </w:r>
      <w:r w:rsidR="004969F2">
        <w:t xml:space="preserve"> rollout of the NBN continues</w:t>
      </w:r>
      <w:r w:rsidR="00EC2F23">
        <w:t>.</w:t>
      </w:r>
    </w:p>
    <w:p w:rsidR="00020136" w:rsidRPr="00B44599" w:rsidRDefault="00020136" w:rsidP="00020136">
      <w:pPr>
        <w:pStyle w:val="Caption"/>
        <w:rPr>
          <w:rFonts w:ascii="Open Sans" w:hAnsi="Open Sans"/>
          <w:noProof/>
          <w:sz w:val="24"/>
          <w:szCs w:val="24"/>
        </w:rPr>
      </w:pPr>
      <w:r>
        <w:t xml:space="preserve">Figure </w:t>
      </w:r>
      <w:r>
        <w:fldChar w:fldCharType="begin"/>
      </w:r>
      <w:r>
        <w:instrText xml:space="preserve"> SEQ Figure \* ARABIC </w:instrText>
      </w:r>
      <w:r>
        <w:fldChar w:fldCharType="separate"/>
      </w:r>
      <w:r w:rsidR="00B00EAE">
        <w:rPr>
          <w:noProof/>
        </w:rPr>
        <w:t>1</w:t>
      </w:r>
      <w:r>
        <w:fldChar w:fldCharType="end"/>
      </w:r>
      <w:r>
        <w:t>:</w:t>
      </w:r>
      <w:r w:rsidRPr="00020136">
        <w:t xml:space="preserve"> </w:t>
      </w:r>
      <w:r>
        <w:t>Graph of satellite footprint overlap with exchange areas</w:t>
      </w:r>
    </w:p>
    <w:p w:rsidR="00020136" w:rsidRDefault="00020136" w:rsidP="00603D04">
      <w:pPr>
        <w:spacing w:after="240"/>
      </w:pPr>
      <w:r>
        <w:rPr>
          <w:noProof/>
          <w:lang w:val="en-IE" w:eastAsia="en-IE"/>
        </w:rPr>
        <w:drawing>
          <wp:inline distT="0" distB="0" distL="0" distR="0" wp14:anchorId="3E26B00C" wp14:editId="6D3C8051">
            <wp:extent cx="3124200" cy="3648075"/>
            <wp:effectExtent l="0" t="0" r="0" b="9525"/>
            <wp:docPr id="9" name="Picture 9" descr="Image of exchange areas with mixed satellite and fixed wireless and fixed line footprint which over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3648075"/>
                    </a:xfrm>
                    <a:prstGeom prst="rect">
                      <a:avLst/>
                    </a:prstGeom>
                    <a:noFill/>
                    <a:ln>
                      <a:noFill/>
                    </a:ln>
                  </pic:spPr>
                </pic:pic>
              </a:graphicData>
            </a:graphic>
          </wp:inline>
        </w:drawing>
      </w:r>
    </w:p>
    <w:p w:rsidR="008451DC" w:rsidRDefault="008451DC" w:rsidP="00603D04">
      <w:pPr>
        <w:spacing w:before="240" w:after="240"/>
      </w:pPr>
      <w:r>
        <w:t xml:space="preserve">Due to the lack of a published NBN satellite footprint, neighbourhoods with at least one </w:t>
      </w:r>
      <w:proofErr w:type="gramStart"/>
      <w:r>
        <w:t>premises</w:t>
      </w:r>
      <w:proofErr w:type="gramEnd"/>
      <w:r>
        <w:t xml:space="preserve"> eligible for NBN’s long term satellite (LTS) are flagged and accounted separately in the Short Term.</w:t>
      </w:r>
    </w:p>
    <w:p w:rsidR="0039477A" w:rsidRDefault="004969F2" w:rsidP="00603D04">
      <w:pPr>
        <w:spacing w:after="240"/>
      </w:pPr>
      <w:r>
        <w:t>These partially served areas may contain premises which are ineligible for the LTS service because they are planned to be in an NBN Fixed Wireless and Fixed-line footprint.</w:t>
      </w:r>
      <w:r w:rsidR="00EC2F23">
        <w:t xml:space="preserve">  </w:t>
      </w:r>
      <w:r w:rsidR="00673552">
        <w:t xml:space="preserve">Typically, these are located at the outskirts of towns or suburbs in outer-metropolitan or </w:t>
      </w:r>
      <w:r w:rsidR="00673552" w:rsidRPr="00673552">
        <w:t>regional</w:t>
      </w:r>
      <w:r w:rsidR="00673552">
        <w:t xml:space="preserve"> areas.</w:t>
      </w:r>
      <w:r w:rsidR="0039477A">
        <w:t xml:space="preserve">  The</w:t>
      </w:r>
      <w:r w:rsidR="00673552">
        <w:t xml:space="preserve"> </w:t>
      </w:r>
      <w:r w:rsidR="0039477A">
        <w:t>map on the right shows an example of this partially served classification</w:t>
      </w:r>
      <w:r w:rsidR="00EC2F23">
        <w:t>.</w:t>
      </w:r>
    </w:p>
    <w:p w:rsidR="00614182" w:rsidRDefault="00673552" w:rsidP="00603D04">
      <w:pPr>
        <w:spacing w:before="240" w:after="240"/>
      </w:pPr>
      <w:r>
        <w:t xml:space="preserve">The neighbourhoods shown are considered partially served by satellite. The red shaded area indicates the expected future NBN Fixed Wireless or Fixed-line footprint.  Premises </w:t>
      </w:r>
      <w:r w:rsidR="0039477A">
        <w:t>outside of the red shaded</w:t>
      </w:r>
      <w:r>
        <w:t xml:space="preserve"> footprint are currently eligible for the NBN LTS service, whereas premises within the shaded red area are currently ineligible for an NBN LTS service</w:t>
      </w:r>
      <w:r w:rsidR="0039477A">
        <w:t xml:space="preserve"> since they are expected to be served by another NBN technology in the future</w:t>
      </w:r>
      <w:r>
        <w:t>.</w:t>
      </w:r>
    </w:p>
    <w:p w:rsidR="004969F2" w:rsidRDefault="004969F2" w:rsidP="00603D04">
      <w:pPr>
        <w:spacing w:before="240" w:after="240"/>
      </w:pPr>
      <w:r>
        <w:t>Over the medium</w:t>
      </w:r>
      <w:r w:rsidR="00673552">
        <w:t xml:space="preserve"> term</w:t>
      </w:r>
      <w:r>
        <w:t xml:space="preserve">, </w:t>
      </w:r>
      <w:r w:rsidR="006C5E49">
        <w:t>the NBN Fixed Wireless network is scheduled for completion</w:t>
      </w:r>
      <w:r w:rsidR="000A0D57">
        <w:t xml:space="preserve"> (nbn 2015a)</w:t>
      </w:r>
      <w:r w:rsidR="006C5E49">
        <w:t xml:space="preserve"> </w:t>
      </w:r>
      <w:proofErr w:type="gramStart"/>
      <w:r w:rsidR="003B50B3">
        <w:t>T</w:t>
      </w:r>
      <w:r w:rsidR="006C5E49">
        <w:t>he</w:t>
      </w:r>
      <w:proofErr w:type="gramEnd"/>
      <w:r w:rsidR="006C5E49">
        <w:t xml:space="preserve"> remaining </w:t>
      </w:r>
      <w:r w:rsidR="00345669">
        <w:t xml:space="preserve">fixed-line </w:t>
      </w:r>
      <w:r w:rsidR="006C5E49">
        <w:t xml:space="preserve">3 year construction plan </w:t>
      </w:r>
      <w:r w:rsidR="00345669">
        <w:t xml:space="preserve">is accounted for in the model.  As a result, it is assumed from December 2018 onwards, </w:t>
      </w:r>
      <w:r>
        <w:t xml:space="preserve">all </w:t>
      </w:r>
      <w:r w:rsidR="00345669">
        <w:t>premises in neighbourhoods</w:t>
      </w:r>
      <w:r>
        <w:t xml:space="preserve"> </w:t>
      </w:r>
      <w:r w:rsidR="00345669">
        <w:t xml:space="preserve">previously classified as “partially served by satellite” are </w:t>
      </w:r>
      <w:r>
        <w:t xml:space="preserve">served by at least one form of NBN access </w:t>
      </w:r>
      <w:r w:rsidR="00345669">
        <w:t>technology or are considered as part of the construction plan.</w:t>
      </w:r>
    </w:p>
    <w:p w:rsidR="0099400B" w:rsidRDefault="0099400B" w:rsidP="00603D04">
      <w:pPr>
        <w:pStyle w:val="Caption"/>
        <w:keepNext/>
        <w:spacing w:after="240"/>
        <w:jc w:val="center"/>
      </w:pPr>
      <w:r>
        <w:lastRenderedPageBreak/>
        <w:t xml:space="preserve">Figure </w:t>
      </w:r>
      <w:r>
        <w:fldChar w:fldCharType="begin"/>
      </w:r>
      <w:r>
        <w:instrText xml:space="preserve"> SEQ Figure \* ARABIC </w:instrText>
      </w:r>
      <w:r>
        <w:fldChar w:fldCharType="separate"/>
      </w:r>
      <w:r w:rsidR="00B00EAE">
        <w:rPr>
          <w:noProof/>
        </w:rPr>
        <w:t>2</w:t>
      </w:r>
      <w:r>
        <w:fldChar w:fldCharType="end"/>
      </w:r>
      <w:r>
        <w:t>: Number of neighbourhoods by reason and time period</w:t>
      </w:r>
    </w:p>
    <w:p w:rsidR="00637890" w:rsidRDefault="00637890" w:rsidP="00603D04">
      <w:pPr>
        <w:spacing w:after="240"/>
        <w:jc w:val="center"/>
      </w:pPr>
      <w:r>
        <w:rPr>
          <w:noProof/>
          <w:lang w:val="en-IE" w:eastAsia="en-IE"/>
        </w:rPr>
        <w:drawing>
          <wp:inline distT="0" distB="0" distL="0" distR="0" wp14:anchorId="451399F6" wp14:editId="1C0659D8">
            <wp:extent cx="6583680" cy="3413760"/>
            <wp:effectExtent l="0" t="0" r="26670" b="15240"/>
            <wp:docPr id="5" name="Chart 5" descr="reason that areas are underserved in the short. medium and long term"/>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261C" w:rsidRDefault="00345669" w:rsidP="00603D04">
      <w:pPr>
        <w:spacing w:after="240"/>
      </w:pPr>
      <w:r w:rsidRPr="006B740A">
        <w:rPr>
          <w:color w:val="808080" w:themeColor="background1" w:themeShade="80"/>
          <w:sz w:val="18"/>
        </w:rPr>
        <w:t>^ Some premises within these “Partially served by NBN satellite” neighbourhoods are ineligible for NBN’s satellite service because they are planned for NBN’s fixed-line or fixed-wireless network in the future.</w:t>
      </w:r>
    </w:p>
    <w:p w:rsidR="006B2D93" w:rsidRDefault="006B2D93" w:rsidP="00603D04">
      <w:pPr>
        <w:spacing w:after="240"/>
        <w:sectPr w:rsidR="006B2D93" w:rsidSect="00885693">
          <w:footerReference w:type="default" r:id="rId11"/>
          <w:pgSz w:w="11900" w:h="16840"/>
          <w:pgMar w:top="720" w:right="720" w:bottom="720" w:left="720" w:header="708" w:footer="708" w:gutter="0"/>
          <w:cols w:space="708"/>
          <w:titlePg/>
          <w:docGrid w:linePitch="360"/>
        </w:sectPr>
      </w:pPr>
    </w:p>
    <w:p w:rsidR="00F4298A" w:rsidRDefault="00F4298A" w:rsidP="00603D04">
      <w:pPr>
        <w:pStyle w:val="Heading2"/>
        <w:spacing w:after="240"/>
      </w:pPr>
      <w:bookmarkStart w:id="12" w:name="_Toc461180948"/>
      <w:r>
        <w:lastRenderedPageBreak/>
        <w:t>Short Term Outlook</w:t>
      </w:r>
      <w:bookmarkEnd w:id="12"/>
    </w:p>
    <w:p w:rsidR="00D83DB5" w:rsidRDefault="00F4298A" w:rsidP="00603D04">
      <w:pPr>
        <w:spacing w:before="240" w:after="240"/>
      </w:pPr>
      <w:r w:rsidRPr="00F4298A">
        <w:t xml:space="preserve">The analysis has identified approximately </w:t>
      </w:r>
      <w:r w:rsidR="00C7310B" w:rsidRPr="00C7310B">
        <w:t>4</w:t>
      </w:r>
      <w:r w:rsidR="00C7310B">
        <w:t>,</w:t>
      </w:r>
      <w:r w:rsidR="00C7310B" w:rsidRPr="00C7310B">
        <w:t xml:space="preserve">662 </w:t>
      </w:r>
      <w:r>
        <w:t>neighbourhoods</w:t>
      </w:r>
      <w:r w:rsidRPr="00F4298A">
        <w:t xml:space="preserve"> in Australia as under-serve</w:t>
      </w:r>
      <w:r w:rsidR="00F70644">
        <w:t>d at</w:t>
      </w:r>
      <w:r w:rsidRPr="00F4298A">
        <w:t xml:space="preserve"> the end of June 2017 (H1-2017)</w:t>
      </w:r>
      <w:r w:rsidR="00C7310B">
        <w:t>.</w:t>
      </w:r>
    </w:p>
    <w:p w:rsidR="00CB0ECD" w:rsidRDefault="00D83DB5" w:rsidP="00603D04">
      <w:pPr>
        <w:spacing w:before="240" w:after="240"/>
      </w:pPr>
      <w:r>
        <w:t xml:space="preserve">An additional </w:t>
      </w:r>
      <w:r w:rsidR="00C7310B" w:rsidRPr="00C7310B">
        <w:t>4</w:t>
      </w:r>
      <w:r w:rsidR="00C7310B">
        <w:t>,</w:t>
      </w:r>
      <w:r w:rsidR="00C7310B" w:rsidRPr="00C7310B">
        <w:t>542</w:t>
      </w:r>
      <w:r>
        <w:t xml:space="preserve"> neighbourhoods are partially serviced by the NBN Long Term Satellite</w:t>
      </w:r>
      <w:r w:rsidR="00C7310B">
        <w:t xml:space="preserve"> (LTS)</w:t>
      </w:r>
      <w:r>
        <w:t xml:space="preserve"> service</w:t>
      </w:r>
      <w:r w:rsidR="00563DCB">
        <w:t xml:space="preserve">, as some premises in the area are ineligible for the satellite service and </w:t>
      </w:r>
      <w:r w:rsidR="00CA4DD4">
        <w:t xml:space="preserve">would </w:t>
      </w:r>
      <w:r w:rsidR="00D57F5F">
        <w:t>therefore</w:t>
      </w:r>
      <w:r w:rsidR="00563DCB">
        <w:t xml:space="preserve"> </w:t>
      </w:r>
      <w:r w:rsidR="00CA4DD4">
        <w:t xml:space="preserve">be </w:t>
      </w:r>
      <w:r w:rsidR="00563DCB">
        <w:t>considered under-served</w:t>
      </w:r>
      <w:r>
        <w:t>.</w:t>
      </w:r>
    </w:p>
    <w:p w:rsidR="00F4298A" w:rsidRDefault="00CB0ECD" w:rsidP="00603D04">
      <w:pPr>
        <w:spacing w:before="240" w:after="240"/>
      </w:pPr>
      <w:r>
        <w:t xml:space="preserve">Within these </w:t>
      </w:r>
      <w:r w:rsidR="00C7310B" w:rsidRPr="00C7310B">
        <w:t>4</w:t>
      </w:r>
      <w:r w:rsidR="00C7310B">
        <w:t>,</w:t>
      </w:r>
      <w:r w:rsidR="00C7310B" w:rsidRPr="00C7310B">
        <w:t>542</w:t>
      </w:r>
      <w:r>
        <w:t xml:space="preserve"> neighbourhoods, there may be premises which are currently ineligible for NBN’s satellite service as they are planned for NBN’s fixed-line or fixed-wireless network.</w:t>
      </w:r>
      <w:r w:rsidR="006675C3">
        <w:t xml:space="preserve">  These planned premises </w:t>
      </w:r>
      <w:r w:rsidR="00F10B3F">
        <w:t>are unable to obtain either an ADSL or NBN service and are therefore considered under-served.</w:t>
      </w:r>
    </w:p>
    <w:p w:rsidR="007E3FDA" w:rsidRDefault="007E3FDA" w:rsidP="00603D04">
      <w:pPr>
        <w:pStyle w:val="Caption"/>
        <w:keepNext/>
        <w:spacing w:before="240" w:after="240"/>
      </w:pPr>
      <w:r>
        <w:t xml:space="preserve">Figure </w:t>
      </w:r>
      <w:r>
        <w:fldChar w:fldCharType="begin"/>
      </w:r>
      <w:r>
        <w:instrText xml:space="preserve"> SEQ Figure \* ARABIC </w:instrText>
      </w:r>
      <w:r>
        <w:fldChar w:fldCharType="separate"/>
      </w:r>
      <w:r w:rsidR="00B00EAE">
        <w:rPr>
          <w:noProof/>
        </w:rPr>
        <w:t>3</w:t>
      </w:r>
      <w:r>
        <w:fldChar w:fldCharType="end"/>
      </w:r>
      <w:r>
        <w:t>: Short term findings</w:t>
      </w:r>
    </w:p>
    <w:tbl>
      <w:tblPr>
        <w:tblStyle w:val="GridTable4-Accent61"/>
        <w:tblW w:w="0" w:type="auto"/>
        <w:tblLook w:val="04A0" w:firstRow="1" w:lastRow="0" w:firstColumn="1" w:lastColumn="0" w:noHBand="0" w:noVBand="1"/>
        <w:tblDescription w:val="Table with short term findings of neighbourhoods and reasons for being underserved"/>
      </w:tblPr>
      <w:tblGrid>
        <w:gridCol w:w="3459"/>
        <w:gridCol w:w="2319"/>
        <w:gridCol w:w="2411"/>
        <w:gridCol w:w="2487"/>
      </w:tblGrid>
      <w:tr w:rsidR="00D143FA" w:rsidRPr="00D143FA" w:rsidTr="00D143F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459" w:type="dxa"/>
            <w:noWrap/>
            <w:hideMark/>
          </w:tcPr>
          <w:p w:rsidR="00D143FA" w:rsidRPr="00D143FA" w:rsidRDefault="00D143FA">
            <w:r w:rsidRPr="00D143FA">
              <w:t xml:space="preserve">Reason for being considered Under-served </w:t>
            </w:r>
          </w:p>
        </w:tc>
        <w:tc>
          <w:tcPr>
            <w:tcW w:w="2319" w:type="dxa"/>
            <w:noWrap/>
            <w:hideMark/>
          </w:tcPr>
          <w:p w:rsidR="00D143FA" w:rsidRPr="00D143FA" w:rsidRDefault="00D143FA" w:rsidP="00D143FA">
            <w:pPr>
              <w:cnfStyle w:val="100000000000" w:firstRow="1" w:lastRow="0" w:firstColumn="0" w:lastColumn="0" w:oddVBand="0" w:evenVBand="0" w:oddHBand="0" w:evenHBand="0" w:firstRowFirstColumn="0" w:firstRowLastColumn="0" w:lastRowFirstColumn="0" w:lastRowLastColumn="0"/>
            </w:pPr>
            <w:r>
              <w:t>Total n</w:t>
            </w:r>
            <w:r w:rsidRPr="00D143FA">
              <w:t xml:space="preserve">umber of </w:t>
            </w:r>
            <w:proofErr w:type="spellStart"/>
            <w:r w:rsidRPr="00D143FA">
              <w:t>neightbourhoods</w:t>
            </w:r>
            <w:proofErr w:type="spellEnd"/>
          </w:p>
        </w:tc>
        <w:tc>
          <w:tcPr>
            <w:tcW w:w="2411" w:type="dxa"/>
            <w:noWrap/>
            <w:hideMark/>
          </w:tcPr>
          <w:p w:rsidR="00D143FA" w:rsidRPr="00D143FA" w:rsidRDefault="00D143FA">
            <w:pPr>
              <w:cnfStyle w:val="100000000000" w:firstRow="1" w:lastRow="0" w:firstColumn="0" w:lastColumn="0" w:oddVBand="0" w:evenVBand="0" w:oddHBand="0" w:evenHBand="0" w:firstRowFirstColumn="0" w:firstRowLastColumn="0" w:lastRowFirstColumn="0" w:lastRowLastColumn="0"/>
              <w:rPr>
                <w:i/>
                <w:sz w:val="20"/>
                <w:szCs w:val="20"/>
              </w:rPr>
            </w:pPr>
            <w:r w:rsidRPr="00D143FA">
              <w:rPr>
                <w:i/>
                <w:sz w:val="20"/>
                <w:szCs w:val="20"/>
              </w:rPr>
              <w:t>Of which partially served by NBN satellite</w:t>
            </w:r>
          </w:p>
        </w:tc>
        <w:tc>
          <w:tcPr>
            <w:tcW w:w="2487" w:type="dxa"/>
            <w:noWrap/>
            <w:hideMark/>
          </w:tcPr>
          <w:p w:rsidR="00D143FA" w:rsidRPr="00D143FA" w:rsidRDefault="00D143FA">
            <w:pPr>
              <w:cnfStyle w:val="100000000000" w:firstRow="1" w:lastRow="0" w:firstColumn="0" w:lastColumn="0" w:oddVBand="0" w:evenVBand="0" w:oddHBand="0" w:evenHBand="0" w:firstRowFirstColumn="0" w:firstRowLastColumn="0" w:lastRowFirstColumn="0" w:lastRowLastColumn="0"/>
              <w:rPr>
                <w:i/>
                <w:sz w:val="20"/>
                <w:szCs w:val="20"/>
              </w:rPr>
            </w:pPr>
            <w:r w:rsidRPr="00D143FA">
              <w:rPr>
                <w:i/>
                <w:sz w:val="20"/>
                <w:szCs w:val="20"/>
              </w:rPr>
              <w:t>Of which will be served by future NBN Fixed-line or fixed wireless services</w:t>
            </w:r>
          </w:p>
        </w:tc>
      </w:tr>
      <w:tr w:rsidR="00D143FA" w:rsidRPr="00D143FA" w:rsidTr="00D143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59" w:type="dxa"/>
            <w:noWrap/>
            <w:hideMark/>
          </w:tcPr>
          <w:p w:rsidR="00D143FA" w:rsidRPr="00D143FA" w:rsidRDefault="00D143FA">
            <w:r w:rsidRPr="00D143FA">
              <w:t>Too far from exchange</w:t>
            </w:r>
          </w:p>
        </w:tc>
        <w:tc>
          <w:tcPr>
            <w:tcW w:w="2319" w:type="dxa"/>
            <w:noWrap/>
            <w:hideMark/>
          </w:tcPr>
          <w:p w:rsidR="00D143FA" w:rsidRPr="00D143FA" w:rsidRDefault="00D143FA" w:rsidP="00D143FA">
            <w:pPr>
              <w:jc w:val="center"/>
              <w:cnfStyle w:val="000000100000" w:firstRow="0" w:lastRow="0" w:firstColumn="0" w:lastColumn="0" w:oddVBand="0" w:evenVBand="0" w:oddHBand="1" w:evenHBand="0" w:firstRowFirstColumn="0" w:firstRowLastColumn="0" w:lastRowFirstColumn="0" w:lastRowLastColumn="0"/>
            </w:pPr>
            <w:r w:rsidRPr="00D143FA">
              <w:t>4516</w:t>
            </w:r>
          </w:p>
        </w:tc>
        <w:tc>
          <w:tcPr>
            <w:tcW w:w="2411" w:type="dxa"/>
            <w:noWrap/>
            <w:hideMark/>
          </w:tcPr>
          <w:p w:rsidR="00D143FA" w:rsidRPr="00D143FA" w:rsidRDefault="00D143FA" w:rsidP="00D143FA">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D143FA">
              <w:rPr>
                <w:i/>
                <w:sz w:val="20"/>
                <w:szCs w:val="20"/>
              </w:rPr>
              <w:t>1629</w:t>
            </w:r>
          </w:p>
        </w:tc>
        <w:tc>
          <w:tcPr>
            <w:tcW w:w="2487" w:type="dxa"/>
            <w:noWrap/>
            <w:hideMark/>
          </w:tcPr>
          <w:p w:rsidR="00D143FA" w:rsidRPr="00D143FA" w:rsidRDefault="00D143FA" w:rsidP="00D143FA">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D143FA">
              <w:rPr>
                <w:i/>
                <w:sz w:val="20"/>
                <w:szCs w:val="20"/>
              </w:rPr>
              <w:t>2887</w:t>
            </w:r>
          </w:p>
        </w:tc>
      </w:tr>
      <w:tr w:rsidR="00D143FA" w:rsidRPr="00D143FA" w:rsidTr="00D143FA">
        <w:trPr>
          <w:trHeight w:val="300"/>
        </w:trPr>
        <w:tc>
          <w:tcPr>
            <w:cnfStyle w:val="001000000000" w:firstRow="0" w:lastRow="0" w:firstColumn="1" w:lastColumn="0" w:oddVBand="0" w:evenVBand="0" w:oddHBand="0" w:evenHBand="0" w:firstRowFirstColumn="0" w:firstRowLastColumn="0" w:lastRowFirstColumn="0" w:lastRowLastColumn="0"/>
            <w:tcW w:w="3459" w:type="dxa"/>
            <w:noWrap/>
            <w:hideMark/>
          </w:tcPr>
          <w:p w:rsidR="00D143FA" w:rsidRPr="00D143FA" w:rsidRDefault="00D143FA">
            <w:r w:rsidRPr="00D143FA">
              <w:t>Exchange not ADSL enabled</w:t>
            </w:r>
          </w:p>
        </w:tc>
        <w:tc>
          <w:tcPr>
            <w:tcW w:w="2319" w:type="dxa"/>
            <w:noWrap/>
            <w:hideMark/>
          </w:tcPr>
          <w:p w:rsidR="00D143FA" w:rsidRPr="00D143FA" w:rsidRDefault="00D143FA" w:rsidP="00D143FA">
            <w:pPr>
              <w:jc w:val="center"/>
              <w:cnfStyle w:val="000000000000" w:firstRow="0" w:lastRow="0" w:firstColumn="0" w:lastColumn="0" w:oddVBand="0" w:evenVBand="0" w:oddHBand="0" w:evenHBand="0" w:firstRowFirstColumn="0" w:firstRowLastColumn="0" w:lastRowFirstColumn="0" w:lastRowLastColumn="0"/>
            </w:pPr>
            <w:r w:rsidRPr="00D143FA">
              <w:t>2576</w:t>
            </w:r>
          </w:p>
        </w:tc>
        <w:tc>
          <w:tcPr>
            <w:tcW w:w="2411" w:type="dxa"/>
            <w:noWrap/>
            <w:hideMark/>
          </w:tcPr>
          <w:p w:rsidR="00D143FA" w:rsidRPr="00D143FA" w:rsidRDefault="00D143FA" w:rsidP="00D143FA">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D143FA">
              <w:rPr>
                <w:i/>
                <w:sz w:val="20"/>
                <w:szCs w:val="20"/>
              </w:rPr>
              <w:t>2544</w:t>
            </w:r>
          </w:p>
        </w:tc>
        <w:tc>
          <w:tcPr>
            <w:tcW w:w="2487" w:type="dxa"/>
            <w:noWrap/>
            <w:hideMark/>
          </w:tcPr>
          <w:p w:rsidR="00D143FA" w:rsidRPr="00D143FA" w:rsidRDefault="00D143FA" w:rsidP="00D143FA">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D143FA">
              <w:rPr>
                <w:i/>
                <w:sz w:val="20"/>
                <w:szCs w:val="20"/>
              </w:rPr>
              <w:t>32</w:t>
            </w:r>
          </w:p>
        </w:tc>
      </w:tr>
      <w:tr w:rsidR="00D143FA" w:rsidRPr="00D143FA" w:rsidTr="00D143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59" w:type="dxa"/>
            <w:noWrap/>
            <w:hideMark/>
          </w:tcPr>
          <w:p w:rsidR="00D143FA" w:rsidRPr="00D143FA" w:rsidRDefault="00D143FA">
            <w:r w:rsidRPr="00D143FA">
              <w:t>No/Low ADSL/ADSL2+ ports</w:t>
            </w:r>
          </w:p>
        </w:tc>
        <w:tc>
          <w:tcPr>
            <w:tcW w:w="2319" w:type="dxa"/>
            <w:noWrap/>
            <w:hideMark/>
          </w:tcPr>
          <w:p w:rsidR="00D143FA" w:rsidRPr="00D143FA" w:rsidRDefault="00D143FA" w:rsidP="00D143FA">
            <w:pPr>
              <w:jc w:val="center"/>
              <w:cnfStyle w:val="000000100000" w:firstRow="0" w:lastRow="0" w:firstColumn="0" w:lastColumn="0" w:oddVBand="0" w:evenVBand="0" w:oddHBand="1" w:evenHBand="0" w:firstRowFirstColumn="0" w:firstRowLastColumn="0" w:lastRowFirstColumn="0" w:lastRowLastColumn="0"/>
            </w:pPr>
            <w:r w:rsidRPr="00D143FA">
              <w:t>2112</w:t>
            </w:r>
          </w:p>
        </w:tc>
        <w:tc>
          <w:tcPr>
            <w:tcW w:w="2411" w:type="dxa"/>
            <w:noWrap/>
            <w:hideMark/>
          </w:tcPr>
          <w:p w:rsidR="00D143FA" w:rsidRPr="00D143FA" w:rsidRDefault="00D143FA" w:rsidP="00D143FA">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D143FA">
              <w:rPr>
                <w:i/>
                <w:sz w:val="20"/>
                <w:szCs w:val="20"/>
              </w:rPr>
              <w:t>369</w:t>
            </w:r>
          </w:p>
        </w:tc>
        <w:tc>
          <w:tcPr>
            <w:tcW w:w="2487" w:type="dxa"/>
            <w:noWrap/>
            <w:hideMark/>
          </w:tcPr>
          <w:p w:rsidR="00D143FA" w:rsidRPr="00D143FA" w:rsidRDefault="00D143FA" w:rsidP="00D143FA">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D143FA">
              <w:rPr>
                <w:i/>
                <w:sz w:val="20"/>
                <w:szCs w:val="20"/>
              </w:rPr>
              <w:t>1743</w:t>
            </w:r>
          </w:p>
        </w:tc>
      </w:tr>
      <w:tr w:rsidR="00D143FA" w:rsidRPr="00D143FA" w:rsidTr="00D143FA">
        <w:trPr>
          <w:trHeight w:val="300"/>
        </w:trPr>
        <w:tc>
          <w:tcPr>
            <w:cnfStyle w:val="001000000000" w:firstRow="0" w:lastRow="0" w:firstColumn="1" w:lastColumn="0" w:oddVBand="0" w:evenVBand="0" w:oddHBand="0" w:evenHBand="0" w:firstRowFirstColumn="0" w:firstRowLastColumn="0" w:lastRowFirstColumn="0" w:lastRowLastColumn="0"/>
            <w:tcW w:w="3459" w:type="dxa"/>
            <w:noWrap/>
            <w:hideMark/>
          </w:tcPr>
          <w:p w:rsidR="00D143FA" w:rsidRPr="00D143FA" w:rsidRDefault="00D143FA" w:rsidP="00CE3032">
            <w:pPr>
              <w:jc w:val="right"/>
            </w:pPr>
            <w:r w:rsidRPr="00D143FA">
              <w:t>Total</w:t>
            </w:r>
          </w:p>
        </w:tc>
        <w:tc>
          <w:tcPr>
            <w:tcW w:w="2319" w:type="dxa"/>
            <w:noWrap/>
            <w:hideMark/>
          </w:tcPr>
          <w:p w:rsidR="00D143FA" w:rsidRPr="00CE3032" w:rsidRDefault="00D143FA" w:rsidP="00CE3032">
            <w:pPr>
              <w:jc w:val="center"/>
              <w:cnfStyle w:val="000000000000" w:firstRow="0" w:lastRow="0" w:firstColumn="0" w:lastColumn="0" w:oddVBand="0" w:evenVBand="0" w:oddHBand="0" w:evenHBand="0" w:firstRowFirstColumn="0" w:firstRowLastColumn="0" w:lastRowFirstColumn="0" w:lastRowLastColumn="0"/>
              <w:rPr>
                <w:b/>
              </w:rPr>
            </w:pPr>
            <w:r w:rsidRPr="00CE3032">
              <w:rPr>
                <w:b/>
              </w:rPr>
              <w:t>9204</w:t>
            </w:r>
          </w:p>
        </w:tc>
        <w:tc>
          <w:tcPr>
            <w:tcW w:w="2411" w:type="dxa"/>
            <w:noWrap/>
            <w:hideMark/>
          </w:tcPr>
          <w:p w:rsidR="00D143FA" w:rsidRPr="00CE3032" w:rsidRDefault="00D143FA" w:rsidP="00CE3032">
            <w:pPr>
              <w:jc w:val="center"/>
              <w:cnfStyle w:val="000000000000" w:firstRow="0" w:lastRow="0" w:firstColumn="0" w:lastColumn="0" w:oddVBand="0" w:evenVBand="0" w:oddHBand="0" w:evenHBand="0" w:firstRowFirstColumn="0" w:firstRowLastColumn="0" w:lastRowFirstColumn="0" w:lastRowLastColumn="0"/>
              <w:rPr>
                <w:b/>
                <w:i/>
                <w:sz w:val="20"/>
                <w:szCs w:val="20"/>
              </w:rPr>
            </w:pPr>
            <w:r w:rsidRPr="00CE3032">
              <w:rPr>
                <w:b/>
                <w:i/>
                <w:sz w:val="20"/>
                <w:szCs w:val="20"/>
              </w:rPr>
              <w:t>4542</w:t>
            </w:r>
          </w:p>
        </w:tc>
        <w:tc>
          <w:tcPr>
            <w:tcW w:w="2487" w:type="dxa"/>
            <w:noWrap/>
            <w:hideMark/>
          </w:tcPr>
          <w:p w:rsidR="00D143FA" w:rsidRPr="00CE3032" w:rsidRDefault="00D143FA" w:rsidP="00CE3032">
            <w:pPr>
              <w:jc w:val="center"/>
              <w:cnfStyle w:val="000000000000" w:firstRow="0" w:lastRow="0" w:firstColumn="0" w:lastColumn="0" w:oddVBand="0" w:evenVBand="0" w:oddHBand="0" w:evenHBand="0" w:firstRowFirstColumn="0" w:firstRowLastColumn="0" w:lastRowFirstColumn="0" w:lastRowLastColumn="0"/>
              <w:rPr>
                <w:b/>
                <w:i/>
                <w:sz w:val="20"/>
                <w:szCs w:val="20"/>
              </w:rPr>
            </w:pPr>
            <w:r w:rsidRPr="00CE3032">
              <w:rPr>
                <w:b/>
                <w:i/>
                <w:sz w:val="20"/>
                <w:szCs w:val="20"/>
              </w:rPr>
              <w:t>4662</w:t>
            </w:r>
          </w:p>
        </w:tc>
      </w:tr>
    </w:tbl>
    <w:p w:rsidR="00D143FA" w:rsidRDefault="00D143FA" w:rsidP="00D143FA"/>
    <w:p w:rsidR="009857AA" w:rsidRDefault="009857AA" w:rsidP="00603D04">
      <w:pPr>
        <w:pStyle w:val="Heading3"/>
        <w:spacing w:after="240"/>
      </w:pPr>
      <w:bookmarkStart w:id="13" w:name="_Toc461180949"/>
      <w:r>
        <w:t>Too far from exchange</w:t>
      </w:r>
      <w:bookmarkEnd w:id="13"/>
    </w:p>
    <w:p w:rsidR="00C70AD5" w:rsidRDefault="00A142F3" w:rsidP="00603D04">
      <w:pPr>
        <w:spacing w:after="240"/>
      </w:pPr>
      <w:r>
        <w:t>The majority of neighbourhoods are classed as under-served due to their distance from the exchange.  This is particularly prevalent in outer metropolitan and rural areas due to the lower population density.</w:t>
      </w:r>
    </w:p>
    <w:p w:rsidR="00C26734" w:rsidRDefault="00C26734" w:rsidP="00603D04">
      <w:pPr>
        <w:spacing w:before="240" w:after="240"/>
      </w:pPr>
      <w:r>
        <w:t xml:space="preserve">While these neighbourhoods await the rollout of the NBN, Telstra </w:t>
      </w:r>
      <w:r w:rsidR="00F10B3F">
        <w:t>continually</w:t>
      </w:r>
      <w:r>
        <w:t xml:space="preserve"> augment</w:t>
      </w:r>
      <w:r w:rsidR="00F10B3F">
        <w:t xml:space="preserve">s </w:t>
      </w:r>
      <w:r>
        <w:t>its ADSL network by servicing neighbourhoods further away from the exchange with DSLAMs at</w:t>
      </w:r>
      <w:r w:rsidR="00F10B3F">
        <w:t xml:space="preserve"> newly established</w:t>
      </w:r>
      <w:r>
        <w:t xml:space="preserve"> CAN sites.  </w:t>
      </w:r>
      <w:r w:rsidR="00F05577">
        <w:t xml:space="preserve">At the time of writing, Telstra Wholesale has listed 193 proposed CAN sites serving 287 neighbourhoods in its </w:t>
      </w:r>
      <w:r w:rsidR="00F05577">
        <w:rPr>
          <w:i/>
        </w:rPr>
        <w:t>Proposed ADSL Enabled – CAN</w:t>
      </w:r>
      <w:r w:rsidR="00F05577">
        <w:t xml:space="preserve"> spreadsheet (21</w:t>
      </w:r>
      <w:r w:rsidR="00F05577" w:rsidRPr="00ED65F1">
        <w:rPr>
          <w:vertAlign w:val="superscript"/>
        </w:rPr>
        <w:t>st</w:t>
      </w:r>
      <w:r w:rsidR="00F05577">
        <w:t xml:space="preserve"> June 2016).  These are expected to become active between July 2016 and January 2017.  </w:t>
      </w:r>
      <w:r>
        <w:t>Such an upgrade would see the DSLAM equipment moved closer to the neighbourhood, hence, increasing the attainable line speed.</w:t>
      </w:r>
    </w:p>
    <w:p w:rsidR="009857AA" w:rsidRDefault="009857AA" w:rsidP="00603D04">
      <w:pPr>
        <w:pStyle w:val="Heading3"/>
        <w:spacing w:after="240"/>
      </w:pPr>
      <w:bookmarkStart w:id="14" w:name="_Toc461180950"/>
      <w:r>
        <w:t>No/Low remaining ADSL/ADSL2+ ports</w:t>
      </w:r>
      <w:bookmarkEnd w:id="14"/>
    </w:p>
    <w:p w:rsidR="009857AA" w:rsidRDefault="00C70AD5" w:rsidP="00603D04">
      <w:pPr>
        <w:spacing w:after="240"/>
      </w:pPr>
      <w:r>
        <w:t>Neighbourhoods which are serviced by exchanges with less than 5 ADSL/ADSL2+ ports remaining</w:t>
      </w:r>
      <w:r w:rsidR="009857AA">
        <w:t xml:space="preserve"> are classified as under-served, however, o</w:t>
      </w:r>
      <w:r w:rsidR="009857AA" w:rsidRPr="00F4298A">
        <w:t>nly those currently without a service who wish to take one up will be impacted by this shortfall</w:t>
      </w:r>
      <w:r w:rsidR="009857AA">
        <w:t>.</w:t>
      </w:r>
    </w:p>
    <w:p w:rsidR="00710427" w:rsidRDefault="001F09B5" w:rsidP="00603D04">
      <w:pPr>
        <w:spacing w:after="240"/>
      </w:pPr>
      <w:r>
        <w:t>The</w:t>
      </w:r>
      <w:r w:rsidR="00237B86">
        <w:t xml:space="preserve"> analysis has identified</w:t>
      </w:r>
      <w:r>
        <w:t xml:space="preserve"> a total of </w:t>
      </w:r>
      <w:r w:rsidRPr="001F09B5">
        <w:t>2</w:t>
      </w:r>
      <w:r>
        <w:t>,</w:t>
      </w:r>
      <w:r w:rsidRPr="001F09B5">
        <w:t>112</w:t>
      </w:r>
      <w:r>
        <w:t xml:space="preserve"> neighbourhoods spread out across 169 exchange areas as having a </w:t>
      </w:r>
      <w:r w:rsidR="00710427">
        <w:t>low number of remaining ports.</w:t>
      </w:r>
    </w:p>
    <w:p w:rsidR="00666352" w:rsidRDefault="00710427" w:rsidP="00603D04">
      <w:pPr>
        <w:spacing w:after="240"/>
      </w:pPr>
      <w:r>
        <w:lastRenderedPageBreak/>
        <w:t xml:space="preserve">Comparing this against Telstra Wholesale’s </w:t>
      </w:r>
      <w:r>
        <w:rPr>
          <w:i/>
        </w:rPr>
        <w:t>Planned ADSL Capacity Increases – Exchanges</w:t>
      </w:r>
      <w:r>
        <w:t xml:space="preserve"> </w:t>
      </w:r>
      <w:r w:rsidR="00666352">
        <w:t xml:space="preserve">and </w:t>
      </w:r>
      <w:r w:rsidR="00666352">
        <w:rPr>
          <w:i/>
        </w:rPr>
        <w:t xml:space="preserve">Planned ADSL Capacity Increases – CAN </w:t>
      </w:r>
      <w:r>
        <w:t>spreadsheet</w:t>
      </w:r>
      <w:r w:rsidR="00666352">
        <w:t>s</w:t>
      </w:r>
      <w:r>
        <w:t xml:space="preserve"> (21</w:t>
      </w:r>
      <w:r w:rsidRPr="00ED463B">
        <w:rPr>
          <w:vertAlign w:val="superscript"/>
        </w:rPr>
        <w:t>st</w:t>
      </w:r>
      <w:r>
        <w:t xml:space="preserve"> June 2016), there are planned port capacity increases for 149 exchanges</w:t>
      </w:r>
      <w:r w:rsidR="00666352">
        <w:t xml:space="preserve"> and 217 CAN sites</w:t>
      </w:r>
      <w:r>
        <w:t xml:space="preserve"> between July 2016 and July 2017.</w:t>
      </w:r>
    </w:p>
    <w:p w:rsidR="007D62D1" w:rsidRDefault="007D62D1" w:rsidP="00603D04">
      <w:pPr>
        <w:spacing w:before="240" w:after="240"/>
      </w:pPr>
      <w:r>
        <w:t>While increasing capacity at a particular CAN site does not directly increase port capacity at an exchange level, it can be expected that customers currently connected to the exchange DSLAM can be moved to the DSLAM at the CAN site – thus augmenting the number of ports available to the broader exchange area.</w:t>
      </w:r>
    </w:p>
    <w:p w:rsidR="001F09B5" w:rsidRDefault="007D62D1" w:rsidP="00603D04">
      <w:pPr>
        <w:spacing w:before="240" w:after="240"/>
      </w:pPr>
      <w:r>
        <w:t>Taking this into account, the s</w:t>
      </w:r>
      <w:r w:rsidRPr="007D62D1">
        <w:t xml:space="preserve">cheduled </w:t>
      </w:r>
      <w:r>
        <w:t>port capacity r</w:t>
      </w:r>
      <w:r w:rsidRPr="007D62D1">
        <w:t xml:space="preserve">elief </w:t>
      </w:r>
      <w:r>
        <w:t xml:space="preserve">at 149 exchanges and 217 CAN sites is expected to increase port capacity at </w:t>
      </w:r>
      <w:r w:rsidR="00666352">
        <w:t xml:space="preserve">873 of the 2,112 </w:t>
      </w:r>
      <w:r>
        <w:t xml:space="preserve">identified </w:t>
      </w:r>
      <w:r w:rsidR="00666352">
        <w:t>neighbourhood</w:t>
      </w:r>
      <w:r>
        <w:t>s</w:t>
      </w:r>
      <w:r w:rsidR="00710427">
        <w:t xml:space="preserve"> </w:t>
      </w:r>
      <w:r>
        <w:t xml:space="preserve">(41%) </w:t>
      </w:r>
      <w:r w:rsidR="00666352">
        <w:t>by June 2017</w:t>
      </w:r>
      <w:r w:rsidR="00710427">
        <w:t>.</w:t>
      </w:r>
      <w:r w:rsidR="00666352">
        <w:t xml:space="preserve"> </w:t>
      </w:r>
    </w:p>
    <w:p w:rsidR="008451DC" w:rsidRDefault="008451DC" w:rsidP="00603D04">
      <w:pPr>
        <w:spacing w:before="240" w:after="240"/>
      </w:pPr>
      <w:r>
        <w:t>A table of exchanges scheduled to be relieved can be found in the table section (4.1) at the end of the report.</w:t>
      </w:r>
    </w:p>
    <w:p w:rsidR="00B00EAE" w:rsidRDefault="00B00EAE" w:rsidP="00B00EAE">
      <w:pPr>
        <w:pStyle w:val="Heading4"/>
        <w:spacing w:after="240"/>
      </w:pPr>
      <w:r>
        <w:t>Example: Seaham, NSW</w:t>
      </w:r>
    </w:p>
    <w:p w:rsidR="00B00EAE" w:rsidRDefault="00B00EAE" w:rsidP="00B00EAE">
      <w:pPr>
        <w:pStyle w:val="Caption"/>
        <w:keepNext/>
      </w:pPr>
      <w:r>
        <w:t xml:space="preserve">Figure </w:t>
      </w:r>
      <w:r>
        <w:fldChar w:fldCharType="begin"/>
      </w:r>
      <w:r>
        <w:instrText xml:space="preserve"> SEQ Figure \* ARABIC </w:instrText>
      </w:r>
      <w:r>
        <w:fldChar w:fldCharType="separate"/>
      </w:r>
      <w:r>
        <w:rPr>
          <w:noProof/>
        </w:rPr>
        <w:t>4</w:t>
      </w:r>
      <w:r>
        <w:fldChar w:fldCharType="end"/>
      </w:r>
      <w:r>
        <w:t>:</w:t>
      </w:r>
      <w:r w:rsidRPr="00B00EAE">
        <w:t xml:space="preserve"> </w:t>
      </w:r>
      <w:r>
        <w:t>Example map of Seaham, NSW</w:t>
      </w:r>
    </w:p>
    <w:p w:rsidR="00B00EAE" w:rsidRDefault="00B00EAE" w:rsidP="00603D04">
      <w:pPr>
        <w:spacing w:before="240" w:after="240"/>
      </w:pPr>
      <w:r>
        <w:rPr>
          <w:noProof/>
          <w:lang w:val="en-IE" w:eastAsia="en-IE"/>
        </w:rPr>
        <w:drawing>
          <wp:inline distT="0" distB="0" distL="0" distR="0" wp14:anchorId="79983758" wp14:editId="5F902D31">
            <wp:extent cx="2952750" cy="4019550"/>
            <wp:effectExtent l="0" t="0" r="0" b="0"/>
            <wp:docPr id="10" name="Picture 10" descr="Image of Seaham area which has a number of exchange, which have a mixture of served and underserved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4019550"/>
                    </a:xfrm>
                    <a:prstGeom prst="rect">
                      <a:avLst/>
                    </a:prstGeom>
                    <a:noFill/>
                    <a:ln>
                      <a:noFill/>
                    </a:ln>
                  </pic:spPr>
                </pic:pic>
              </a:graphicData>
            </a:graphic>
          </wp:inline>
        </w:drawing>
      </w:r>
    </w:p>
    <w:p w:rsidR="003468C1" w:rsidRDefault="008168E8" w:rsidP="00603D04">
      <w:pPr>
        <w:spacing w:after="240"/>
      </w:pPr>
      <w:r>
        <w:t>The Seaham exchange is an example of an outer metropolitan area which affected by both low port availability and having neighbourhoods too far from the exchange to receive an ADSL/ADSL2+ service.</w:t>
      </w:r>
    </w:p>
    <w:p w:rsidR="003468C1" w:rsidRDefault="003468C1" w:rsidP="00603D04">
      <w:pPr>
        <w:spacing w:before="240" w:after="240"/>
      </w:pPr>
      <w:r>
        <w:t xml:space="preserve">Seaham </w:t>
      </w:r>
      <w:r w:rsidR="009857AA">
        <w:t>has 0 ports remaining at the exchange</w:t>
      </w:r>
      <w:r>
        <w:t xml:space="preserve">.  </w:t>
      </w:r>
      <w:r w:rsidR="008C6F00">
        <w:t>The three central neighbourhoods serviced by the exchange DSLAMs are considered underserved with no/low ports.</w:t>
      </w:r>
    </w:p>
    <w:p w:rsidR="003468C1" w:rsidRDefault="008C6F00" w:rsidP="00603D04">
      <w:pPr>
        <w:spacing w:before="240" w:after="240"/>
      </w:pPr>
      <w:r>
        <w:t>However, t</w:t>
      </w:r>
      <w:r w:rsidR="003468C1">
        <w:t>he neighbourhood covering East Seaham and the two western neighbourhoods of Seaham are served by a CAN site</w:t>
      </w:r>
      <w:r>
        <w:t xml:space="preserve"> with </w:t>
      </w:r>
      <w:r w:rsidR="009857AA">
        <w:t xml:space="preserve">5 or </w:t>
      </w:r>
      <w:r>
        <w:t>more ports remaining in each.  They are therefore considered served.</w:t>
      </w:r>
    </w:p>
    <w:p w:rsidR="009F5F0C" w:rsidRDefault="008C6F00" w:rsidP="00603D04">
      <w:pPr>
        <w:spacing w:before="240" w:after="240"/>
      </w:pPr>
      <w:r>
        <w:t>The remaining neighbourhoods in the northern and southern ends of Seaham are considered underserved as they are too far from the exchange to receive an ADSL service, as explained in section 1.4.</w:t>
      </w:r>
    </w:p>
    <w:p w:rsidR="00CE1E73" w:rsidRDefault="00CE1E73" w:rsidP="00603D04">
      <w:pPr>
        <w:pStyle w:val="Heading3"/>
        <w:spacing w:after="240"/>
      </w:pPr>
      <w:bookmarkStart w:id="15" w:name="_Toc461180951"/>
      <w:r>
        <w:lastRenderedPageBreak/>
        <w:t>Exchange not ADSL enabled</w:t>
      </w:r>
      <w:bookmarkEnd w:id="15"/>
    </w:p>
    <w:p w:rsidR="00A04C75" w:rsidRDefault="00ED463B" w:rsidP="00603D04">
      <w:pPr>
        <w:spacing w:after="240"/>
      </w:pPr>
      <w:r>
        <w:t>The analysis has found that t</w:t>
      </w:r>
      <w:r w:rsidR="00CE1E73">
        <w:t>he majority of neighbourhoods</w:t>
      </w:r>
      <w:r>
        <w:t xml:space="preserve"> which are not currently ADSL enabled will</w:t>
      </w:r>
      <w:r w:rsidR="00CE1E73">
        <w:t xml:space="preserve"> now</w:t>
      </w:r>
      <w:r w:rsidR="00306DB1">
        <w:t xml:space="preserve"> be</w:t>
      </w:r>
      <w:r w:rsidR="00CE1E73">
        <w:t xml:space="preserve"> </w:t>
      </w:r>
      <w:r w:rsidR="007A5DA4">
        <w:t xml:space="preserve">partially </w:t>
      </w:r>
      <w:r w:rsidR="00CE1E73">
        <w:t>serviced by the NBN Long Term Satellite</w:t>
      </w:r>
      <w:r w:rsidR="008168E8">
        <w:t xml:space="preserve"> (LTS)</w:t>
      </w:r>
      <w:r w:rsidR="00CE1E73">
        <w:t>.</w:t>
      </w:r>
      <w:r w:rsidR="007A5DA4">
        <w:t xml:space="preserve">  </w:t>
      </w:r>
      <w:r w:rsidR="00672A22">
        <w:t xml:space="preserve">As explained previously, some premises within these neighbourhoods </w:t>
      </w:r>
      <w:r w:rsidR="008168E8">
        <w:t>may be ineligible for the satellite service as they are planned for a fixed-line or fixed wireless NBN connection.</w:t>
      </w:r>
      <w:r w:rsidR="00A04C75">
        <w:t xml:space="preserve">  In the short term, this infrastructure shortfall will likely not be remedied.</w:t>
      </w:r>
    </w:p>
    <w:p w:rsidR="008168E8" w:rsidRDefault="008168E8" w:rsidP="00603D04">
      <w:pPr>
        <w:spacing w:before="240" w:after="240"/>
      </w:pPr>
      <w:r>
        <w:t xml:space="preserve">Telstra does not intend to expand its ADSL network significantly in the near future.  </w:t>
      </w:r>
      <w:r w:rsidR="00ED463B">
        <w:t xml:space="preserve">According to Telstra Wholesale’s </w:t>
      </w:r>
      <w:r w:rsidR="00ED463B">
        <w:rPr>
          <w:i/>
        </w:rPr>
        <w:t>Proposed ADSL Exchange Service Areas</w:t>
      </w:r>
      <w:r w:rsidR="00ED463B">
        <w:t xml:space="preserve"> spreadsheet (20</w:t>
      </w:r>
      <w:r w:rsidR="00ED463B" w:rsidRPr="00ED463B">
        <w:rPr>
          <w:vertAlign w:val="superscript"/>
        </w:rPr>
        <w:t>th</w:t>
      </w:r>
      <w:r w:rsidR="00ED463B">
        <w:t xml:space="preserve"> June 2016), there are only two exchanges in the forward plan for receiving</w:t>
      </w:r>
      <w:r>
        <w:t xml:space="preserve"> new ADSL services.</w:t>
      </w:r>
    </w:p>
    <w:p w:rsidR="00ED463B" w:rsidRDefault="00ED463B" w:rsidP="00603D04">
      <w:pPr>
        <w:spacing w:after="240"/>
      </w:pPr>
      <w:r>
        <w:t xml:space="preserve">These are in the exchange areas of Haddon and Georgina (Southern Queensland) with expected completion dates of December 2016 and June 2017 </w:t>
      </w:r>
      <w:r w:rsidR="008168E8">
        <w:t>respectively</w:t>
      </w:r>
      <w:r>
        <w:t>.</w:t>
      </w:r>
      <w:r w:rsidR="008168E8">
        <w:t xml:space="preserve">  Both of these exchange areas also currently appear to be eligible for the NBN LTS service.</w:t>
      </w:r>
    </w:p>
    <w:p w:rsidR="0084530D" w:rsidRDefault="00BF3D07" w:rsidP="00603D04">
      <w:pPr>
        <w:spacing w:before="240" w:after="240"/>
      </w:pPr>
      <w:r>
        <w:t xml:space="preserve">Based on current modelling, the remaining 32 neighbourhoods which are not partially serviced by satellite </w:t>
      </w:r>
      <w:r w:rsidR="0084530D">
        <w:t>will likely be serviced by NBN’s fixed wireless network in the future.</w:t>
      </w:r>
    </w:p>
    <w:p w:rsidR="000A6C05" w:rsidRDefault="000A6C05" w:rsidP="00603D04">
      <w:pPr>
        <w:spacing w:after="240"/>
      </w:pPr>
      <w:r>
        <w:br w:type="page"/>
      </w:r>
    </w:p>
    <w:p w:rsidR="000A6C05" w:rsidRDefault="006B740A" w:rsidP="00603D04">
      <w:pPr>
        <w:pStyle w:val="Heading2"/>
        <w:spacing w:after="240"/>
      </w:pPr>
      <w:bookmarkStart w:id="16" w:name="_Toc461180952"/>
      <w:r>
        <w:lastRenderedPageBreak/>
        <w:t>Medium Term Outlook</w:t>
      </w:r>
      <w:bookmarkEnd w:id="16"/>
    </w:p>
    <w:p w:rsidR="00BF3D07" w:rsidRDefault="00BF3D07" w:rsidP="00603D04">
      <w:pPr>
        <w:spacing w:before="240" w:after="240"/>
      </w:pPr>
      <w:r>
        <w:t xml:space="preserve">The </w:t>
      </w:r>
      <w:r w:rsidR="00F70644">
        <w:t xml:space="preserve">analysis has found that the </w:t>
      </w:r>
      <w:r>
        <w:t>number of neighbourhoods under-served in medium term outlook</w:t>
      </w:r>
      <w:r w:rsidR="00F70644">
        <w:t xml:space="preserve"> </w:t>
      </w:r>
      <w:r>
        <w:t xml:space="preserve">falls significantly from 4,662 in H1-2017 </w:t>
      </w:r>
      <w:r w:rsidR="00F70644">
        <w:t>to 1,816</w:t>
      </w:r>
      <w:r>
        <w:t xml:space="preserve"> </w:t>
      </w:r>
      <w:r w:rsidR="00F70644">
        <w:t>at</w:t>
      </w:r>
      <w:r w:rsidR="00F70644" w:rsidRPr="00F4298A">
        <w:t xml:space="preserve"> the end of </w:t>
      </w:r>
      <w:r w:rsidR="00F70644">
        <w:t>December 2018</w:t>
      </w:r>
      <w:r>
        <w:t>.</w:t>
      </w:r>
    </w:p>
    <w:p w:rsidR="00BF3D07" w:rsidRDefault="00BF3D07" w:rsidP="00603D04">
      <w:pPr>
        <w:spacing w:before="240" w:after="240"/>
      </w:pPr>
      <w:r>
        <w:t>This is due in part to the completion of the NBN Fixed Wireless network at the end of 2018</w:t>
      </w:r>
      <w:r w:rsidR="006201EF">
        <w:t xml:space="preserve"> (nbn 2015a)</w:t>
      </w:r>
      <w:r>
        <w:t>.  Given the remaining fixed-line rollout is accounted for in the analysis model, the neighbourhoods originally considered “Partially served by NBN satellite” in the Short Term Outlook are now considered served.</w:t>
      </w:r>
      <w:r w:rsidR="006201EF">
        <w:t xml:space="preserve"> Likewise, the remaining 32 neighbourhoods considered under-served due to the exchange not being ADSL enabled from H1-2017 are assumed to be serviced by NBN’s fixed-wireless network</w:t>
      </w:r>
    </w:p>
    <w:p w:rsidR="007E3FDA" w:rsidRDefault="007E3FDA" w:rsidP="00603D04">
      <w:pPr>
        <w:pStyle w:val="Caption"/>
        <w:keepNext/>
        <w:spacing w:after="240"/>
      </w:pPr>
      <w:r>
        <w:t xml:space="preserve">Figure </w:t>
      </w:r>
      <w:r>
        <w:fldChar w:fldCharType="begin"/>
      </w:r>
      <w:r>
        <w:instrText xml:space="preserve"> SEQ Figure \* ARABIC </w:instrText>
      </w:r>
      <w:r>
        <w:fldChar w:fldCharType="separate"/>
      </w:r>
      <w:r w:rsidR="00B00EAE">
        <w:rPr>
          <w:noProof/>
        </w:rPr>
        <w:t>6</w:t>
      </w:r>
      <w:r>
        <w:fldChar w:fldCharType="end"/>
      </w:r>
      <w:r>
        <w:t>: Medium term findings</w:t>
      </w:r>
    </w:p>
    <w:tbl>
      <w:tblPr>
        <w:tblStyle w:val="GridTable4-Accent61"/>
        <w:tblW w:w="4949" w:type="pct"/>
        <w:tblCellMar>
          <w:top w:w="113" w:type="dxa"/>
          <w:bottom w:w="113" w:type="dxa"/>
        </w:tblCellMar>
        <w:tblLook w:val="04E0" w:firstRow="1" w:lastRow="1" w:firstColumn="1" w:lastColumn="0" w:noHBand="0" w:noVBand="1"/>
        <w:tblDescription w:val="underserved areas by reason in the medium term"/>
      </w:tblPr>
      <w:tblGrid>
        <w:gridCol w:w="4134"/>
        <w:gridCol w:w="6433"/>
      </w:tblGrid>
      <w:tr w:rsidR="000A6C05" w:rsidTr="00D87C53">
        <w:trPr>
          <w:cnfStyle w:val="100000000000" w:firstRow="1" w:lastRow="0" w:firstColumn="0" w:lastColumn="0" w:oddVBand="0" w:evenVBand="0" w:oddHBand="0" w:evenHBand="0" w:firstRowFirstColumn="0" w:firstRowLastColumn="0" w:lastRowFirstColumn="0" w:lastRowLastColumn="0"/>
          <w:trHeight w:val="808"/>
          <w:tblHeader/>
        </w:trPr>
        <w:tc>
          <w:tcPr>
            <w:cnfStyle w:val="001000000000" w:firstRow="0" w:lastRow="0" w:firstColumn="1" w:lastColumn="0" w:oddVBand="0" w:evenVBand="0" w:oddHBand="0" w:evenHBand="0" w:firstRowFirstColumn="0" w:firstRowLastColumn="0" w:lastRowFirstColumn="0" w:lastRowLastColumn="0"/>
            <w:tcW w:w="1956" w:type="pct"/>
          </w:tcPr>
          <w:p w:rsidR="000A6C05" w:rsidRDefault="000A6C05" w:rsidP="001C6736">
            <w:r>
              <w:t>Under-served Reason</w:t>
            </w:r>
          </w:p>
          <w:p w:rsidR="000A6C05" w:rsidRDefault="000A6C05" w:rsidP="001C6736">
            <w:r>
              <w:t>(H2-2018)</w:t>
            </w:r>
          </w:p>
        </w:tc>
        <w:tc>
          <w:tcPr>
            <w:tcW w:w="3044" w:type="pct"/>
          </w:tcPr>
          <w:p w:rsidR="000A6C05" w:rsidRPr="000A6C05" w:rsidRDefault="000A6C05" w:rsidP="001C6736">
            <w:pPr>
              <w:cnfStyle w:val="100000000000" w:firstRow="1" w:lastRow="0" w:firstColumn="0" w:lastColumn="0" w:oddVBand="0" w:evenVBand="0" w:oddHBand="0" w:evenHBand="0" w:firstRowFirstColumn="0" w:firstRowLastColumn="0" w:lastRowFirstColumn="0" w:lastRowLastColumn="0"/>
              <w:rPr>
                <w:b w:val="0"/>
                <w:bCs w:val="0"/>
              </w:rPr>
            </w:pPr>
            <w:r>
              <w:t>Number of neighbourhoods affected</w:t>
            </w:r>
          </w:p>
        </w:tc>
      </w:tr>
      <w:tr w:rsidR="00405AE1" w:rsidTr="00405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pct"/>
          </w:tcPr>
          <w:p w:rsidR="00405AE1" w:rsidRDefault="00405AE1" w:rsidP="001C6736">
            <w:r>
              <w:t>Too far from exchange</w:t>
            </w:r>
          </w:p>
        </w:tc>
        <w:tc>
          <w:tcPr>
            <w:tcW w:w="3044" w:type="pct"/>
          </w:tcPr>
          <w:p w:rsidR="00405AE1" w:rsidRDefault="00405AE1" w:rsidP="001C6736">
            <w:pPr>
              <w:jc w:val="center"/>
              <w:cnfStyle w:val="000000100000" w:firstRow="0" w:lastRow="0" w:firstColumn="0" w:lastColumn="0" w:oddVBand="0" w:evenVBand="0" w:oddHBand="1" w:evenHBand="0" w:firstRowFirstColumn="0" w:firstRowLastColumn="0" w:lastRowFirstColumn="0" w:lastRowLastColumn="0"/>
            </w:pPr>
            <w:r>
              <w:t>1,142</w:t>
            </w:r>
          </w:p>
        </w:tc>
      </w:tr>
      <w:tr w:rsidR="00405AE1" w:rsidTr="00405AE1">
        <w:tc>
          <w:tcPr>
            <w:cnfStyle w:val="001000000000" w:firstRow="0" w:lastRow="0" w:firstColumn="1" w:lastColumn="0" w:oddVBand="0" w:evenVBand="0" w:oddHBand="0" w:evenHBand="0" w:firstRowFirstColumn="0" w:firstRowLastColumn="0" w:lastRowFirstColumn="0" w:lastRowLastColumn="0"/>
            <w:tcW w:w="1956" w:type="pct"/>
          </w:tcPr>
          <w:p w:rsidR="00405AE1" w:rsidRDefault="00405AE1" w:rsidP="001C6736">
            <w:r>
              <w:t>Exchange not ADSL enabled</w:t>
            </w:r>
          </w:p>
        </w:tc>
        <w:tc>
          <w:tcPr>
            <w:tcW w:w="3044" w:type="pct"/>
          </w:tcPr>
          <w:p w:rsidR="00405AE1" w:rsidRDefault="000A6C05" w:rsidP="006201EF">
            <w:pPr>
              <w:jc w:val="center"/>
              <w:cnfStyle w:val="000000000000" w:firstRow="0" w:lastRow="0" w:firstColumn="0" w:lastColumn="0" w:oddVBand="0" w:evenVBand="0" w:oddHBand="0" w:evenHBand="0" w:firstRowFirstColumn="0" w:firstRowLastColumn="0" w:lastRowFirstColumn="0" w:lastRowLastColumn="0"/>
            </w:pPr>
            <w:r>
              <w:t>0</w:t>
            </w:r>
          </w:p>
        </w:tc>
      </w:tr>
      <w:tr w:rsidR="00405AE1" w:rsidTr="00405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pct"/>
          </w:tcPr>
          <w:p w:rsidR="00405AE1" w:rsidRDefault="00405AE1" w:rsidP="001C6736">
            <w:r>
              <w:t>No/Low ADSL/ADSL2+ ports</w:t>
            </w:r>
          </w:p>
        </w:tc>
        <w:tc>
          <w:tcPr>
            <w:tcW w:w="3044" w:type="pct"/>
          </w:tcPr>
          <w:p w:rsidR="00405AE1" w:rsidRDefault="005F4CAF" w:rsidP="001C6736">
            <w:pPr>
              <w:jc w:val="center"/>
              <w:cnfStyle w:val="000000100000" w:firstRow="0" w:lastRow="0" w:firstColumn="0" w:lastColumn="0" w:oddVBand="0" w:evenVBand="0" w:oddHBand="1" w:evenHBand="0" w:firstRowFirstColumn="0" w:firstRowLastColumn="0" w:lastRowFirstColumn="0" w:lastRowLastColumn="0"/>
            </w:pPr>
            <w:r>
              <w:t>674</w:t>
            </w:r>
          </w:p>
        </w:tc>
      </w:tr>
      <w:tr w:rsidR="00405AE1" w:rsidTr="00405AE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pct"/>
          </w:tcPr>
          <w:p w:rsidR="00405AE1" w:rsidRDefault="00405AE1" w:rsidP="001C6736">
            <w:r>
              <w:t>Total (under-served)</w:t>
            </w:r>
          </w:p>
        </w:tc>
        <w:tc>
          <w:tcPr>
            <w:tcW w:w="3044" w:type="pct"/>
          </w:tcPr>
          <w:p w:rsidR="00405AE1" w:rsidRPr="00F4298A" w:rsidRDefault="000A6C05" w:rsidP="001C6736">
            <w:pPr>
              <w:jc w:val="center"/>
              <w:cnfStyle w:val="010000000000" w:firstRow="0" w:lastRow="1" w:firstColumn="0" w:lastColumn="0" w:oddVBand="0" w:evenVBand="0" w:oddHBand="0" w:evenHBand="0" w:firstRowFirstColumn="0" w:firstRowLastColumn="0" w:lastRowFirstColumn="0" w:lastRowLastColumn="0"/>
            </w:pPr>
            <w:r w:rsidRPr="000A6C05">
              <w:t>1</w:t>
            </w:r>
            <w:r>
              <w:t>,</w:t>
            </w:r>
            <w:r w:rsidRPr="000A6C05">
              <w:t>8</w:t>
            </w:r>
            <w:r w:rsidR="00F70644">
              <w:t>16</w:t>
            </w:r>
          </w:p>
        </w:tc>
      </w:tr>
    </w:tbl>
    <w:p w:rsidR="00F70644" w:rsidRDefault="00BF3D07" w:rsidP="00603D04">
      <w:pPr>
        <w:pStyle w:val="Heading3"/>
        <w:spacing w:after="240"/>
      </w:pPr>
      <w:bookmarkStart w:id="17" w:name="_Toc461180953"/>
      <w:r>
        <w:t>Too far from exchange</w:t>
      </w:r>
      <w:bookmarkEnd w:id="17"/>
    </w:p>
    <w:p w:rsidR="00BF3D07" w:rsidRPr="00BF3D07" w:rsidRDefault="00BF3D07" w:rsidP="00603D04">
      <w:pPr>
        <w:spacing w:after="240"/>
      </w:pPr>
      <w:r>
        <w:t>The number of neighbourhoods under-served for being too far from the exchange drops from 2,887 in H1-2017 to 1,142 in H2-2018.</w:t>
      </w:r>
      <w:r w:rsidR="00F70644">
        <w:t xml:space="preserve">  </w:t>
      </w:r>
      <w:r>
        <w:t xml:space="preserve">This is attributable to the </w:t>
      </w:r>
      <w:r w:rsidR="00F70644">
        <w:t>extended reach</w:t>
      </w:r>
      <w:r>
        <w:t xml:space="preserve"> of the </w:t>
      </w:r>
      <w:r w:rsidR="00F70644">
        <w:t>National Broadband Network as the rollout progresses.</w:t>
      </w:r>
    </w:p>
    <w:p w:rsidR="00BF3D07" w:rsidRDefault="00BF3D07" w:rsidP="00603D04">
      <w:pPr>
        <w:pStyle w:val="Heading3"/>
        <w:spacing w:after="240"/>
      </w:pPr>
      <w:bookmarkStart w:id="18" w:name="_Toc461180954"/>
      <w:r>
        <w:t>No/Low remaining ADSL/ADSL2+ ports</w:t>
      </w:r>
      <w:bookmarkEnd w:id="18"/>
    </w:p>
    <w:p w:rsidR="000A6C05" w:rsidRDefault="000A6C05" w:rsidP="00603D04">
      <w:pPr>
        <w:spacing w:after="240"/>
      </w:pPr>
      <w:r>
        <w:t xml:space="preserve">The drop in the number of low remaining ADSL ports is attributed to the ramp up of the NBN rollout and the planned port capacity increases from Telstra.  However, </w:t>
      </w:r>
      <w:r w:rsidR="00BF3D07">
        <w:t>this is based on current port availability data and does not take into account ADSL take up in the medium term.  The actual figure is dependent on Telstra’s ability to keep up with ADSL demand.</w:t>
      </w:r>
    </w:p>
    <w:p w:rsidR="00405AE1" w:rsidRDefault="00BF3D07" w:rsidP="00603D04">
      <w:pPr>
        <w:spacing w:before="240" w:after="240"/>
      </w:pPr>
      <w:r>
        <w:t>If Telstra remains proactive in increasing port capacity at exchanges, the number of neighbourhoods affected may be stable or fall over time.  If in the contrary, Telstra neglects to keep up with port demand, the number of neighbourhoods affected will likely increase.</w:t>
      </w:r>
    </w:p>
    <w:p w:rsidR="007A5DA4" w:rsidRDefault="007A5DA4" w:rsidP="00603D04">
      <w:pPr>
        <w:pStyle w:val="Heading2"/>
        <w:spacing w:after="240"/>
      </w:pPr>
      <w:bookmarkStart w:id="19" w:name="_Toc461180955"/>
      <w:r>
        <w:t>Long Term Outlook</w:t>
      </w:r>
      <w:bookmarkEnd w:id="19"/>
    </w:p>
    <w:p w:rsidR="007E3FDA" w:rsidRDefault="007E3FDA" w:rsidP="00603D04">
      <w:pPr>
        <w:pStyle w:val="Caption"/>
        <w:keepNext/>
        <w:spacing w:before="240" w:after="240"/>
      </w:pPr>
      <w:r>
        <w:t xml:space="preserve">Figure </w:t>
      </w:r>
      <w:r>
        <w:fldChar w:fldCharType="begin"/>
      </w:r>
      <w:r>
        <w:instrText xml:space="preserve"> SEQ Figure \* ARABIC </w:instrText>
      </w:r>
      <w:r>
        <w:fldChar w:fldCharType="separate"/>
      </w:r>
      <w:r w:rsidR="00B00EAE">
        <w:rPr>
          <w:noProof/>
        </w:rPr>
        <w:t>7</w:t>
      </w:r>
      <w:r>
        <w:fldChar w:fldCharType="end"/>
      </w:r>
      <w:r>
        <w:t>: Long term findings</w:t>
      </w:r>
    </w:p>
    <w:tbl>
      <w:tblPr>
        <w:tblStyle w:val="GridTable4-Accent61"/>
        <w:tblW w:w="4949" w:type="pct"/>
        <w:tblCellMar>
          <w:top w:w="113" w:type="dxa"/>
          <w:bottom w:w="113" w:type="dxa"/>
        </w:tblCellMar>
        <w:tblLook w:val="04E0" w:firstRow="1" w:lastRow="1" w:firstColumn="1" w:lastColumn="0" w:noHBand="0" w:noVBand="1"/>
        <w:tblDescription w:val="Underserved areas by reason in the long term"/>
      </w:tblPr>
      <w:tblGrid>
        <w:gridCol w:w="4134"/>
        <w:gridCol w:w="6433"/>
      </w:tblGrid>
      <w:tr w:rsidR="00F70644" w:rsidTr="00D87C53">
        <w:trPr>
          <w:cnfStyle w:val="100000000000" w:firstRow="1" w:lastRow="0" w:firstColumn="0" w:lastColumn="0" w:oddVBand="0" w:evenVBand="0" w:oddHBand="0" w:evenHBand="0" w:firstRowFirstColumn="0" w:firstRowLastColumn="0" w:lastRowFirstColumn="0" w:lastRowLastColumn="0"/>
          <w:trHeight w:val="808"/>
          <w:tblHeader/>
        </w:trPr>
        <w:tc>
          <w:tcPr>
            <w:cnfStyle w:val="001000000000" w:firstRow="0" w:lastRow="0" w:firstColumn="1" w:lastColumn="0" w:oddVBand="0" w:evenVBand="0" w:oddHBand="0" w:evenHBand="0" w:firstRowFirstColumn="0" w:firstRowLastColumn="0" w:lastRowFirstColumn="0" w:lastRowLastColumn="0"/>
            <w:tcW w:w="1956" w:type="pct"/>
          </w:tcPr>
          <w:p w:rsidR="00F70644" w:rsidRDefault="00F70644" w:rsidP="001C6736">
            <w:r>
              <w:t>Under-served Reason</w:t>
            </w:r>
          </w:p>
          <w:p w:rsidR="00F70644" w:rsidRDefault="00F70644" w:rsidP="001C6736">
            <w:r>
              <w:t>(H1-2020)</w:t>
            </w:r>
          </w:p>
        </w:tc>
        <w:tc>
          <w:tcPr>
            <w:tcW w:w="3044" w:type="pct"/>
          </w:tcPr>
          <w:p w:rsidR="00F70644" w:rsidRPr="000A6C05" w:rsidRDefault="00F70644" w:rsidP="001C6736">
            <w:pPr>
              <w:cnfStyle w:val="100000000000" w:firstRow="1" w:lastRow="0" w:firstColumn="0" w:lastColumn="0" w:oddVBand="0" w:evenVBand="0" w:oddHBand="0" w:evenHBand="0" w:firstRowFirstColumn="0" w:firstRowLastColumn="0" w:lastRowFirstColumn="0" w:lastRowLastColumn="0"/>
              <w:rPr>
                <w:b w:val="0"/>
                <w:bCs w:val="0"/>
              </w:rPr>
            </w:pPr>
            <w:r>
              <w:t>Number of neighbourhoods affected</w:t>
            </w:r>
          </w:p>
        </w:tc>
      </w:tr>
      <w:tr w:rsidR="00F70644" w:rsidTr="009C5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pct"/>
          </w:tcPr>
          <w:p w:rsidR="00F70644" w:rsidRDefault="00F70644" w:rsidP="001C6736">
            <w:r>
              <w:t>Too far from exchange</w:t>
            </w:r>
          </w:p>
        </w:tc>
        <w:tc>
          <w:tcPr>
            <w:tcW w:w="3044" w:type="pct"/>
          </w:tcPr>
          <w:p w:rsidR="00F70644" w:rsidRDefault="00AE5BDC" w:rsidP="001C6736">
            <w:pPr>
              <w:jc w:val="center"/>
              <w:cnfStyle w:val="000000100000" w:firstRow="0" w:lastRow="0" w:firstColumn="0" w:lastColumn="0" w:oddVBand="0" w:evenVBand="0" w:oddHBand="1" w:evenHBand="0" w:firstRowFirstColumn="0" w:firstRowLastColumn="0" w:lastRowFirstColumn="0" w:lastRowLastColumn="0"/>
            </w:pPr>
            <w:r>
              <w:t>42</w:t>
            </w:r>
            <w:r w:rsidR="00F70644">
              <w:t>0</w:t>
            </w:r>
          </w:p>
        </w:tc>
      </w:tr>
      <w:tr w:rsidR="00F70644" w:rsidTr="009C57EF">
        <w:tc>
          <w:tcPr>
            <w:cnfStyle w:val="001000000000" w:firstRow="0" w:lastRow="0" w:firstColumn="1" w:lastColumn="0" w:oddVBand="0" w:evenVBand="0" w:oddHBand="0" w:evenHBand="0" w:firstRowFirstColumn="0" w:firstRowLastColumn="0" w:lastRowFirstColumn="0" w:lastRowLastColumn="0"/>
            <w:tcW w:w="1956" w:type="pct"/>
          </w:tcPr>
          <w:p w:rsidR="00F70644" w:rsidRDefault="00F70644" w:rsidP="001C6736">
            <w:r>
              <w:lastRenderedPageBreak/>
              <w:t>Exchange not ADSL enabled</w:t>
            </w:r>
          </w:p>
        </w:tc>
        <w:tc>
          <w:tcPr>
            <w:tcW w:w="3044" w:type="pct"/>
          </w:tcPr>
          <w:p w:rsidR="00F70644" w:rsidRDefault="00F70644" w:rsidP="006201EF">
            <w:pPr>
              <w:jc w:val="center"/>
              <w:cnfStyle w:val="000000000000" w:firstRow="0" w:lastRow="0" w:firstColumn="0" w:lastColumn="0" w:oddVBand="0" w:evenVBand="0" w:oddHBand="0" w:evenHBand="0" w:firstRowFirstColumn="0" w:firstRowLastColumn="0" w:lastRowFirstColumn="0" w:lastRowLastColumn="0"/>
            </w:pPr>
            <w:r>
              <w:t>0</w:t>
            </w:r>
          </w:p>
        </w:tc>
      </w:tr>
      <w:tr w:rsidR="00F70644" w:rsidTr="009C5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pct"/>
          </w:tcPr>
          <w:p w:rsidR="00F70644" w:rsidRDefault="00F70644" w:rsidP="001C6736">
            <w:r>
              <w:t>No/Low ADSL/ADSL2+ ports</w:t>
            </w:r>
          </w:p>
        </w:tc>
        <w:tc>
          <w:tcPr>
            <w:tcW w:w="3044" w:type="pct"/>
          </w:tcPr>
          <w:p w:rsidR="00F70644" w:rsidRDefault="00F70644" w:rsidP="001C6736">
            <w:pPr>
              <w:jc w:val="center"/>
              <w:cnfStyle w:val="000000100000" w:firstRow="0" w:lastRow="0" w:firstColumn="0" w:lastColumn="0" w:oddVBand="0" w:evenVBand="0" w:oddHBand="1" w:evenHBand="0" w:firstRowFirstColumn="0" w:firstRowLastColumn="0" w:lastRowFirstColumn="0" w:lastRowLastColumn="0"/>
            </w:pPr>
            <w:r>
              <w:t>207</w:t>
            </w:r>
          </w:p>
        </w:tc>
      </w:tr>
      <w:tr w:rsidR="00F70644" w:rsidTr="009C57E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pct"/>
          </w:tcPr>
          <w:p w:rsidR="00F70644" w:rsidRDefault="00F70644" w:rsidP="001C6736">
            <w:r>
              <w:t>Total (under-served)</w:t>
            </w:r>
          </w:p>
        </w:tc>
        <w:tc>
          <w:tcPr>
            <w:tcW w:w="3044" w:type="pct"/>
          </w:tcPr>
          <w:p w:rsidR="00F70644" w:rsidRPr="00F4298A" w:rsidRDefault="00711114" w:rsidP="001C6736">
            <w:pPr>
              <w:jc w:val="center"/>
              <w:cnfStyle w:val="010000000000" w:firstRow="0" w:lastRow="1" w:firstColumn="0" w:lastColumn="0" w:oddVBand="0" w:evenVBand="0" w:oddHBand="0" w:evenHBand="0" w:firstRowFirstColumn="0" w:firstRowLastColumn="0" w:lastRowFirstColumn="0" w:lastRowLastColumn="0"/>
            </w:pPr>
            <w:r>
              <w:t>62</w:t>
            </w:r>
            <w:r w:rsidR="00F70644">
              <w:t>7</w:t>
            </w:r>
          </w:p>
        </w:tc>
      </w:tr>
    </w:tbl>
    <w:p w:rsidR="00F70644" w:rsidRDefault="00466EED" w:rsidP="00603D04">
      <w:pPr>
        <w:spacing w:before="240" w:after="240"/>
      </w:pPr>
      <w:r>
        <w:t xml:space="preserve">By June 2020, the </w:t>
      </w:r>
      <w:r w:rsidR="00C27A18">
        <w:t xml:space="preserve">rollout of the National Broadband Network </w:t>
      </w:r>
      <w:r>
        <w:t>is expected to near its completion.  The analysis finds</w:t>
      </w:r>
      <w:r w:rsidR="00C27A18">
        <w:t xml:space="preserve"> the number of under-served </w:t>
      </w:r>
      <w:r>
        <w:t>neighbourhoods</w:t>
      </w:r>
      <w:r w:rsidR="00C27A18">
        <w:t xml:space="preserve"> </w:t>
      </w:r>
      <w:r>
        <w:t>will fall</w:t>
      </w:r>
      <w:r w:rsidR="00C27A18">
        <w:t xml:space="preserve"> </w:t>
      </w:r>
      <w:r>
        <w:t xml:space="preserve">from 1,816 in December 2018 to </w:t>
      </w:r>
      <w:r w:rsidR="003F79F4">
        <w:t>62</w:t>
      </w:r>
      <w:r w:rsidR="00C27A18">
        <w:t>7</w:t>
      </w:r>
      <w:r>
        <w:t xml:space="preserve"> in June 2020</w:t>
      </w:r>
      <w:r w:rsidR="00C27A18">
        <w:t>.</w:t>
      </w:r>
    </w:p>
    <w:p w:rsidR="00C27A18" w:rsidRDefault="00466EED" w:rsidP="00603D04">
      <w:pPr>
        <w:spacing w:before="240" w:after="240"/>
      </w:pPr>
      <w:r>
        <w:t xml:space="preserve">The remaining areas are </w:t>
      </w:r>
      <w:r w:rsidR="00C628E2">
        <w:t>in exchange areas where NBN has scheduled rollout completion to be between June 2020 and December 2020.</w:t>
      </w:r>
    </w:p>
    <w:p w:rsidR="007E3FDA" w:rsidRDefault="007E3FDA" w:rsidP="00603D04">
      <w:pPr>
        <w:pStyle w:val="Caption"/>
        <w:keepNext/>
        <w:spacing w:after="240"/>
        <w:jc w:val="center"/>
      </w:pPr>
      <w:r>
        <w:t xml:space="preserve">Figure </w:t>
      </w:r>
      <w:r>
        <w:fldChar w:fldCharType="begin"/>
      </w:r>
      <w:r>
        <w:instrText xml:space="preserve"> SEQ Figure \* ARABIC </w:instrText>
      </w:r>
      <w:r>
        <w:fldChar w:fldCharType="separate"/>
      </w:r>
      <w:r w:rsidR="00B00EAE">
        <w:rPr>
          <w:noProof/>
        </w:rPr>
        <w:t>8</w:t>
      </w:r>
      <w:r>
        <w:fldChar w:fldCharType="end"/>
      </w:r>
      <w:r>
        <w:t>: Exchanges in NBN rollout in 2020</w:t>
      </w:r>
    </w:p>
    <w:tbl>
      <w:tblPr>
        <w:tblStyle w:val="GridTable4-Accent61"/>
        <w:tblW w:w="0" w:type="auto"/>
        <w:jc w:val="center"/>
        <w:tblCellMar>
          <w:top w:w="57" w:type="dxa"/>
          <w:left w:w="57" w:type="dxa"/>
          <w:bottom w:w="57" w:type="dxa"/>
          <w:right w:w="57" w:type="dxa"/>
        </w:tblCellMar>
        <w:tblLook w:val="04A0" w:firstRow="1" w:lastRow="0" w:firstColumn="1" w:lastColumn="0" w:noHBand="0" w:noVBand="1"/>
        <w:tblDescription w:val="list of exchanges scheduled for nbn in 2020"/>
      </w:tblPr>
      <w:tblGrid>
        <w:gridCol w:w="3539"/>
        <w:gridCol w:w="851"/>
      </w:tblGrid>
      <w:tr w:rsidR="00466EED" w:rsidRPr="00957923" w:rsidTr="00D87C5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539" w:type="dxa"/>
            <w:vAlign w:val="bottom"/>
          </w:tcPr>
          <w:p w:rsidR="00466EED" w:rsidRPr="007D62D1" w:rsidRDefault="00466EED" w:rsidP="001C6736">
            <w:pPr>
              <w:rPr>
                <w:sz w:val="18"/>
                <w:szCs w:val="18"/>
              </w:rPr>
            </w:pPr>
            <w:r w:rsidRPr="007D62D1">
              <w:rPr>
                <w:rFonts w:eastAsia="Times New Roman"/>
                <w:sz w:val="18"/>
                <w:szCs w:val="18"/>
              </w:rPr>
              <w:t xml:space="preserve">Exchange </w:t>
            </w:r>
            <w:r>
              <w:rPr>
                <w:rFonts w:eastAsia="Times New Roman"/>
                <w:sz w:val="18"/>
                <w:szCs w:val="18"/>
              </w:rPr>
              <w:t>Name</w:t>
            </w:r>
          </w:p>
        </w:tc>
        <w:tc>
          <w:tcPr>
            <w:tcW w:w="851" w:type="dxa"/>
            <w:vAlign w:val="bottom"/>
          </w:tcPr>
          <w:p w:rsidR="00466EED" w:rsidRPr="007D62D1" w:rsidRDefault="00466EED" w:rsidP="001C6736">
            <w:pPr>
              <w:cnfStyle w:val="100000000000" w:firstRow="1" w:lastRow="0" w:firstColumn="0" w:lastColumn="0" w:oddVBand="0" w:evenVBand="0" w:oddHBand="0" w:evenHBand="0" w:firstRowFirstColumn="0" w:firstRowLastColumn="0" w:lastRowFirstColumn="0" w:lastRowLastColumn="0"/>
              <w:rPr>
                <w:sz w:val="18"/>
                <w:szCs w:val="18"/>
              </w:rPr>
            </w:pPr>
            <w:r w:rsidRPr="007D62D1">
              <w:rPr>
                <w:rFonts w:eastAsia="Times New Roman"/>
                <w:sz w:val="18"/>
                <w:szCs w:val="18"/>
              </w:rPr>
              <w:t>State</w:t>
            </w:r>
          </w:p>
        </w:tc>
      </w:tr>
      <w:tr w:rsidR="00466EED" w:rsidRPr="00957923" w:rsidTr="007E3F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Pr>
          <w:p w:rsidR="00466EED" w:rsidRPr="007D62D1" w:rsidRDefault="00466EED" w:rsidP="001C6736">
            <w:pPr>
              <w:rPr>
                <w:sz w:val="18"/>
                <w:szCs w:val="18"/>
              </w:rPr>
            </w:pPr>
            <w:r>
              <w:rPr>
                <w:sz w:val="18"/>
                <w:szCs w:val="18"/>
              </w:rPr>
              <w:t>Mount Hawt</w:t>
            </w:r>
            <w:r w:rsidR="00ED65F1">
              <w:rPr>
                <w:sz w:val="18"/>
                <w:szCs w:val="18"/>
              </w:rPr>
              <w:t>h</w:t>
            </w:r>
            <w:r>
              <w:rPr>
                <w:sz w:val="18"/>
                <w:szCs w:val="18"/>
              </w:rPr>
              <w:t>orn</w:t>
            </w:r>
          </w:p>
        </w:tc>
        <w:tc>
          <w:tcPr>
            <w:tcW w:w="851" w:type="dxa"/>
          </w:tcPr>
          <w:p w:rsidR="00466EED" w:rsidRPr="007D62D1" w:rsidRDefault="00466EED" w:rsidP="001C6736">
            <w:pPr>
              <w:cnfStyle w:val="000000100000" w:firstRow="0" w:lastRow="0" w:firstColumn="0" w:lastColumn="0" w:oddVBand="0" w:evenVBand="0" w:oddHBand="1" w:evenHBand="0" w:firstRowFirstColumn="0" w:firstRowLastColumn="0" w:lastRowFirstColumn="0" w:lastRowLastColumn="0"/>
              <w:rPr>
                <w:sz w:val="18"/>
                <w:szCs w:val="18"/>
              </w:rPr>
            </w:pPr>
            <w:r w:rsidRPr="007D62D1">
              <w:rPr>
                <w:sz w:val="18"/>
                <w:szCs w:val="18"/>
              </w:rPr>
              <w:t>WA</w:t>
            </w:r>
          </w:p>
        </w:tc>
      </w:tr>
      <w:tr w:rsidR="00466EED" w:rsidRPr="00957923" w:rsidTr="007E3FDA">
        <w:trPr>
          <w:jc w:val="center"/>
        </w:trPr>
        <w:tc>
          <w:tcPr>
            <w:cnfStyle w:val="001000000000" w:firstRow="0" w:lastRow="0" w:firstColumn="1" w:lastColumn="0" w:oddVBand="0" w:evenVBand="0" w:oddHBand="0" w:evenHBand="0" w:firstRowFirstColumn="0" w:firstRowLastColumn="0" w:lastRowFirstColumn="0" w:lastRowLastColumn="0"/>
            <w:tcW w:w="3539" w:type="dxa"/>
          </w:tcPr>
          <w:p w:rsidR="00466EED" w:rsidRPr="007D62D1" w:rsidRDefault="00466EED" w:rsidP="001C6736">
            <w:pPr>
              <w:rPr>
                <w:sz w:val="18"/>
                <w:szCs w:val="18"/>
              </w:rPr>
            </w:pPr>
            <w:r>
              <w:rPr>
                <w:sz w:val="18"/>
                <w:szCs w:val="18"/>
              </w:rPr>
              <w:t>Monash</w:t>
            </w:r>
          </w:p>
        </w:tc>
        <w:tc>
          <w:tcPr>
            <w:tcW w:w="851" w:type="dxa"/>
          </w:tcPr>
          <w:p w:rsidR="00466EED" w:rsidRPr="007D62D1" w:rsidRDefault="00466EED" w:rsidP="001C673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ACT</w:t>
            </w:r>
          </w:p>
        </w:tc>
      </w:tr>
      <w:tr w:rsidR="00466EED" w:rsidRPr="00957923" w:rsidTr="007E3F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Pr>
          <w:p w:rsidR="00466EED" w:rsidRPr="007D62D1" w:rsidRDefault="00466EED" w:rsidP="001C6736">
            <w:pPr>
              <w:rPr>
                <w:sz w:val="18"/>
                <w:szCs w:val="18"/>
              </w:rPr>
            </w:pPr>
            <w:proofErr w:type="spellStart"/>
            <w:r>
              <w:rPr>
                <w:sz w:val="18"/>
                <w:szCs w:val="18"/>
              </w:rPr>
              <w:t>Crace</w:t>
            </w:r>
            <w:proofErr w:type="spellEnd"/>
            <w:r>
              <w:rPr>
                <w:sz w:val="18"/>
                <w:szCs w:val="18"/>
              </w:rPr>
              <w:t xml:space="preserve"> (Giralang area)</w:t>
            </w:r>
          </w:p>
        </w:tc>
        <w:tc>
          <w:tcPr>
            <w:tcW w:w="851" w:type="dxa"/>
          </w:tcPr>
          <w:p w:rsidR="00466EED" w:rsidRPr="007D62D1" w:rsidRDefault="00466EED" w:rsidP="001C673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ACT</w:t>
            </w:r>
          </w:p>
        </w:tc>
      </w:tr>
      <w:tr w:rsidR="00466EED" w:rsidRPr="00957923" w:rsidTr="007E3FDA">
        <w:trPr>
          <w:jc w:val="center"/>
        </w:trPr>
        <w:tc>
          <w:tcPr>
            <w:cnfStyle w:val="001000000000" w:firstRow="0" w:lastRow="0" w:firstColumn="1" w:lastColumn="0" w:oddVBand="0" w:evenVBand="0" w:oddHBand="0" w:evenHBand="0" w:firstRowFirstColumn="0" w:firstRowLastColumn="0" w:lastRowFirstColumn="0" w:lastRowLastColumn="0"/>
            <w:tcW w:w="3539" w:type="dxa"/>
          </w:tcPr>
          <w:p w:rsidR="00466EED" w:rsidRPr="007D62D1" w:rsidRDefault="00466EED" w:rsidP="001C6736">
            <w:pPr>
              <w:rPr>
                <w:sz w:val="18"/>
                <w:szCs w:val="18"/>
              </w:rPr>
            </w:pPr>
            <w:r>
              <w:rPr>
                <w:sz w:val="18"/>
                <w:szCs w:val="18"/>
              </w:rPr>
              <w:t>Maylands</w:t>
            </w:r>
          </w:p>
        </w:tc>
        <w:tc>
          <w:tcPr>
            <w:tcW w:w="851" w:type="dxa"/>
          </w:tcPr>
          <w:p w:rsidR="00466EED" w:rsidRPr="007D62D1" w:rsidRDefault="00466EED" w:rsidP="001C673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WA</w:t>
            </w:r>
          </w:p>
        </w:tc>
      </w:tr>
      <w:tr w:rsidR="00466EED" w:rsidRPr="00957923" w:rsidTr="007E3F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Pr>
          <w:p w:rsidR="00466EED" w:rsidRDefault="00466EED" w:rsidP="001C6736">
            <w:pPr>
              <w:rPr>
                <w:sz w:val="18"/>
                <w:szCs w:val="18"/>
              </w:rPr>
            </w:pPr>
            <w:r>
              <w:rPr>
                <w:sz w:val="18"/>
                <w:szCs w:val="18"/>
              </w:rPr>
              <w:t>Morley (Dianella, Noranda)</w:t>
            </w:r>
          </w:p>
        </w:tc>
        <w:tc>
          <w:tcPr>
            <w:tcW w:w="851" w:type="dxa"/>
          </w:tcPr>
          <w:p w:rsidR="00466EED" w:rsidRDefault="00466EED" w:rsidP="001C673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WA</w:t>
            </w:r>
          </w:p>
        </w:tc>
      </w:tr>
    </w:tbl>
    <w:p w:rsidR="00466EED" w:rsidRDefault="00466EED" w:rsidP="00603D04">
      <w:pPr>
        <w:spacing w:before="240" w:after="240"/>
      </w:pPr>
      <w:r>
        <w:t>There are also some areas where rollout plans are currently unknown.  For example, the town centre of Vacy (NSW) is currently ineligible for NBN’s Long Term Satellite service and appears to be a likely candidate for NBN’s Fixed Wireless network.  However, it was not listed in the NBN three-year construction plan.</w:t>
      </w:r>
    </w:p>
    <w:p w:rsidR="00466EED" w:rsidRDefault="001D6A41" w:rsidP="00603D04">
      <w:pPr>
        <w:spacing w:before="240" w:after="240"/>
      </w:pPr>
      <w:r>
        <w:t>Due to the limitation of data availability</w:t>
      </w:r>
      <w:r w:rsidR="00466EED">
        <w:t xml:space="preserve">, areas such as Vacy are considered under-served in H1-2020.  However, it is </w:t>
      </w:r>
      <w:r>
        <w:t>expected that the next release of the NBN three-year construction plan will include an expected build commencement date throughout Australia.</w:t>
      </w:r>
    </w:p>
    <w:p w:rsidR="00700A9E" w:rsidRDefault="00700A9E" w:rsidP="00603D04">
      <w:pPr>
        <w:spacing w:after="240"/>
      </w:pPr>
      <w:r>
        <w:br w:type="page"/>
      </w:r>
    </w:p>
    <w:p w:rsidR="00700A9E" w:rsidRDefault="004327C9" w:rsidP="00603D04">
      <w:pPr>
        <w:pStyle w:val="Heading1"/>
        <w:spacing w:after="240"/>
      </w:pPr>
      <w:bookmarkStart w:id="20" w:name="_Toc461180956"/>
      <w:r>
        <w:lastRenderedPageBreak/>
        <w:t>Conclusions</w:t>
      </w:r>
      <w:r w:rsidR="00ED65F1">
        <w:t xml:space="preserve"> and observations</w:t>
      </w:r>
      <w:bookmarkEnd w:id="20"/>
    </w:p>
    <w:p w:rsidR="00700A9E" w:rsidRDefault="00EF3621" w:rsidP="00603D04">
      <w:pPr>
        <w:pStyle w:val="Heading2"/>
        <w:spacing w:after="240"/>
      </w:pPr>
      <w:bookmarkStart w:id="21" w:name="_Toc461180957"/>
      <w:r>
        <w:t>ADSL availability</w:t>
      </w:r>
      <w:bookmarkEnd w:id="21"/>
    </w:p>
    <w:p w:rsidR="00E70633" w:rsidRDefault="0036573B" w:rsidP="00603D04">
      <w:pPr>
        <w:spacing w:after="240"/>
      </w:pPr>
      <w:r>
        <w:t xml:space="preserve">The analysis has identified areas which will remain under-served for an extended duration of time due to the </w:t>
      </w:r>
      <w:r w:rsidR="00306DB1">
        <w:t xml:space="preserve">lack of available fixed line </w:t>
      </w:r>
      <w:r w:rsidR="0075537D">
        <w:t>services</w:t>
      </w:r>
      <w:r>
        <w:t xml:space="preserve">.  Neighbourhoods not currently in the NBN rollout plan or three-year construction schedule would benefit from </w:t>
      </w:r>
      <w:r w:rsidR="00E70633">
        <w:t>alternative network infrastructure</w:t>
      </w:r>
      <w:r w:rsidR="00DC3F31">
        <w:t xml:space="preserve"> being made available in the medium to long term</w:t>
      </w:r>
      <w:r w:rsidR="00E70633">
        <w:t>.</w:t>
      </w:r>
    </w:p>
    <w:p w:rsidR="00C017CA" w:rsidRDefault="00C017CA" w:rsidP="00603D04">
      <w:pPr>
        <w:pStyle w:val="Heading3"/>
        <w:spacing w:after="240"/>
      </w:pPr>
      <w:bookmarkStart w:id="22" w:name="_Toc461180958"/>
      <w:r>
        <w:t>Addressing neighbourhoods too far from the exchange</w:t>
      </w:r>
      <w:bookmarkEnd w:id="22"/>
    </w:p>
    <w:p w:rsidR="00C017CA" w:rsidRDefault="00EB007C" w:rsidP="00603D04">
      <w:pPr>
        <w:spacing w:after="240"/>
      </w:pPr>
      <w:r>
        <w:t>T</w:t>
      </w:r>
      <w:r w:rsidR="00E70633" w:rsidRPr="00E70633">
        <w:t xml:space="preserve">elecommunications companies could increase the provisioning of mobile broadband </w:t>
      </w:r>
      <w:r>
        <w:t xml:space="preserve">or fixed wireless </w:t>
      </w:r>
      <w:r w:rsidR="00E70633" w:rsidRPr="00E70633">
        <w:t>technologies in these areas</w:t>
      </w:r>
      <w:r>
        <w:t xml:space="preserve"> to complement the availability of fixe</w:t>
      </w:r>
      <w:r w:rsidR="00C017CA">
        <w:t>d-line services in the future.</w:t>
      </w:r>
    </w:p>
    <w:p w:rsidR="0036573B" w:rsidRDefault="00E70633" w:rsidP="00603D04">
      <w:pPr>
        <w:spacing w:before="240" w:after="240"/>
      </w:pPr>
      <w:r w:rsidRPr="00E70633">
        <w:t xml:space="preserve">For example, Vivid Wireless (an Optus subsidiary) is offering “unlimited 4G” plans selected metropolitan areas using its 2300 MHz LTE network.  Technology used by Lightning Broadband and </w:t>
      </w:r>
      <w:proofErr w:type="spellStart"/>
      <w:r w:rsidRPr="00E70633">
        <w:t>Uniti</w:t>
      </w:r>
      <w:proofErr w:type="spellEnd"/>
      <w:r w:rsidRPr="00E70633">
        <w:t xml:space="preserve"> Wireless can also deliver fixed-wireless style services through the open Wi-Fi spectrum.</w:t>
      </w:r>
    </w:p>
    <w:p w:rsidR="00C017CA" w:rsidRDefault="00C017CA" w:rsidP="00603D04">
      <w:pPr>
        <w:pStyle w:val="Heading3"/>
        <w:spacing w:after="240"/>
      </w:pPr>
      <w:bookmarkStart w:id="23" w:name="_Toc461180959"/>
      <w:r>
        <w:t>Addressing neighbourhoods with low ports</w:t>
      </w:r>
      <w:bookmarkEnd w:id="23"/>
    </w:p>
    <w:p w:rsidR="00C017CA" w:rsidRDefault="00C017CA" w:rsidP="00603D04">
      <w:pPr>
        <w:spacing w:before="240" w:after="240"/>
      </w:pPr>
      <w:r>
        <w:t>With the progressive rollout of the National Broadband Network, DSLAM equipment is expected to be freed as the existing ADSL network is decommissioned in exchange areas where NBN has been switched on.</w:t>
      </w:r>
    </w:p>
    <w:p w:rsidR="00C017CA" w:rsidRPr="00C017CA" w:rsidRDefault="00C017CA" w:rsidP="00603D04">
      <w:pPr>
        <w:spacing w:before="240" w:after="240"/>
      </w:pPr>
      <w:r>
        <w:t>Telstra and other service providers could investigate repurposing this decommissioned DSLAM equipment in neighbourhoods with low port to meet the demands in other areas.</w:t>
      </w:r>
    </w:p>
    <w:p w:rsidR="00957923" w:rsidRDefault="00957923" w:rsidP="00603D04">
      <w:pPr>
        <w:spacing w:after="240"/>
      </w:pPr>
      <w:r>
        <w:br w:type="page"/>
      </w:r>
    </w:p>
    <w:p w:rsidR="0079420C" w:rsidRDefault="00F05577" w:rsidP="00603D04">
      <w:pPr>
        <w:pStyle w:val="Heading2"/>
        <w:spacing w:after="240"/>
      </w:pPr>
      <w:bookmarkStart w:id="24" w:name="_Toc461180960"/>
      <w:r>
        <w:lastRenderedPageBreak/>
        <w:t>R</w:t>
      </w:r>
      <w:r w:rsidR="0079420C">
        <w:t>eporting of network availability</w:t>
      </w:r>
      <w:bookmarkEnd w:id="24"/>
    </w:p>
    <w:p w:rsidR="0036573B" w:rsidRDefault="0036573B" w:rsidP="00603D04">
      <w:pPr>
        <w:spacing w:before="240" w:after="240"/>
      </w:pPr>
      <w:r>
        <w:t>One of the challenges of this analysis is identifying what network providers and technologies are available in each area.</w:t>
      </w:r>
    </w:p>
    <w:p w:rsidR="0036573B" w:rsidRDefault="006279BB" w:rsidP="00603D04">
      <w:pPr>
        <w:pStyle w:val="Heading3"/>
        <w:spacing w:after="240"/>
      </w:pPr>
      <w:bookmarkStart w:id="25" w:name="_Toc461180961"/>
      <w:r>
        <w:t xml:space="preserve">Telstra Wholesale </w:t>
      </w:r>
      <w:r w:rsidR="0036573B">
        <w:t>ADSL</w:t>
      </w:r>
      <w:bookmarkEnd w:id="25"/>
    </w:p>
    <w:p w:rsidR="006279BB" w:rsidRDefault="00DE2137" w:rsidP="00603D04">
      <w:pPr>
        <w:spacing w:before="240" w:after="240"/>
      </w:pPr>
      <w:r>
        <w:t xml:space="preserve">Telstra Wholesale </w:t>
      </w:r>
      <w:r w:rsidR="00C87EF0">
        <w:t>regularly updates</w:t>
      </w:r>
      <w:r>
        <w:t xml:space="preserve"> detailed information on its ADSL services to the public on its website.</w:t>
      </w:r>
      <w:r w:rsidR="006279BB">
        <w:t xml:space="preserve"> </w:t>
      </w:r>
      <w:r w:rsidR="00C87EF0">
        <w:t xml:space="preserve"> Amongst many other things, t</w:t>
      </w:r>
      <w:r w:rsidR="006279BB">
        <w:t xml:space="preserve">he company publishes </w:t>
      </w:r>
      <w:r w:rsidR="00680731">
        <w:t>a list of ADSL enabled exchanges, the number of ports at each exchange or CAN site, a list of proposed exchange upgrades and capacity increases.</w:t>
      </w:r>
    </w:p>
    <w:p w:rsidR="00680731" w:rsidRDefault="00680731" w:rsidP="00603D04">
      <w:pPr>
        <w:spacing w:before="240" w:after="240"/>
      </w:pPr>
      <w:r>
        <w:t xml:space="preserve">However, the analysis has also found that some port capacity increases are not reported in Telstra’s </w:t>
      </w:r>
      <w:r>
        <w:rPr>
          <w:i/>
        </w:rPr>
        <w:t>Planned ADSL Capacity Increases – Exchanges</w:t>
      </w:r>
      <w:r>
        <w:t xml:space="preserve"> spreadsheet.</w:t>
      </w:r>
    </w:p>
    <w:p w:rsidR="00680731" w:rsidRDefault="00680731" w:rsidP="00603D04">
      <w:pPr>
        <w:spacing w:after="240"/>
      </w:pPr>
      <w:r>
        <w:t xml:space="preserve">For example, exchanges such as </w:t>
      </w:r>
      <w:r w:rsidRPr="00680731">
        <w:t>E</w:t>
      </w:r>
      <w:r w:rsidR="00D02441">
        <w:t>ngadine</w:t>
      </w:r>
      <w:r>
        <w:t xml:space="preserve"> (NSW), </w:t>
      </w:r>
      <w:r w:rsidRPr="00680731">
        <w:t>C</w:t>
      </w:r>
      <w:r w:rsidR="00D02441">
        <w:t>oogee</w:t>
      </w:r>
      <w:r>
        <w:t xml:space="preserve"> (NSW), </w:t>
      </w:r>
      <w:r w:rsidR="00D02441">
        <w:t>Ryde</w:t>
      </w:r>
      <w:r>
        <w:t xml:space="preserve"> (NSW), </w:t>
      </w:r>
      <w:r w:rsidRPr="00680731">
        <w:t>W</w:t>
      </w:r>
      <w:r w:rsidR="00D02441">
        <w:t>embley</w:t>
      </w:r>
      <w:r>
        <w:t xml:space="preserve"> (WA), </w:t>
      </w:r>
      <w:r w:rsidR="00D02441">
        <w:t>Miller</w:t>
      </w:r>
      <w:r>
        <w:t xml:space="preserve"> (NSW) and </w:t>
      </w:r>
      <w:r w:rsidR="00D02441">
        <w:t>Newtown</w:t>
      </w:r>
      <w:r>
        <w:t xml:space="preserve"> (NSW) all recently saw increases of over 1,000 in port availability </w:t>
      </w:r>
      <w:proofErr w:type="gramStart"/>
      <w:r>
        <w:t>between 10</w:t>
      </w:r>
      <w:r w:rsidRPr="00680731">
        <w:rPr>
          <w:vertAlign w:val="superscript"/>
        </w:rPr>
        <w:t>th</w:t>
      </w:r>
      <w:r>
        <w:t xml:space="preserve"> May 2016 to 21</w:t>
      </w:r>
      <w:r w:rsidRPr="00680731">
        <w:rPr>
          <w:vertAlign w:val="superscript"/>
        </w:rPr>
        <w:t>st</w:t>
      </w:r>
      <w:r>
        <w:t xml:space="preserve"> June 2016</w:t>
      </w:r>
      <w:proofErr w:type="gramEnd"/>
      <w:r>
        <w:t>.</w:t>
      </w:r>
      <w:r w:rsidR="00957923">
        <w:t xml:space="preserve">  However, none of the exchanges are listed in the capacity increases spreadsheet.</w:t>
      </w:r>
    </w:p>
    <w:p w:rsidR="007E3FDA" w:rsidRDefault="007E3FDA" w:rsidP="00603D04">
      <w:pPr>
        <w:pStyle w:val="Caption"/>
        <w:keepNext/>
        <w:spacing w:after="240"/>
      </w:pPr>
      <w:r>
        <w:t xml:space="preserve">Figure </w:t>
      </w:r>
      <w:r>
        <w:fldChar w:fldCharType="begin"/>
      </w:r>
      <w:r>
        <w:instrText xml:space="preserve"> SEQ Figure \* ARABIC </w:instrText>
      </w:r>
      <w:r>
        <w:fldChar w:fldCharType="separate"/>
      </w:r>
      <w:r w:rsidR="00B00EAE">
        <w:rPr>
          <w:noProof/>
        </w:rPr>
        <w:t>9</w:t>
      </w:r>
      <w:r>
        <w:fldChar w:fldCharType="end"/>
      </w:r>
      <w:r>
        <w:t>: Telstra Wholesale ADSL capacity increases</w:t>
      </w:r>
    </w:p>
    <w:tbl>
      <w:tblPr>
        <w:tblStyle w:val="GridTable4-Accent61"/>
        <w:tblW w:w="0" w:type="auto"/>
        <w:tblCellMar>
          <w:top w:w="113" w:type="dxa"/>
          <w:bottom w:w="113" w:type="dxa"/>
        </w:tblCellMar>
        <w:tblLook w:val="04A0" w:firstRow="1" w:lastRow="0" w:firstColumn="1" w:lastColumn="0" w:noHBand="0" w:noVBand="1"/>
        <w:tblDescription w:val="list of ADSL exchanges due for an increas in ports"/>
      </w:tblPr>
      <w:tblGrid>
        <w:gridCol w:w="988"/>
        <w:gridCol w:w="2919"/>
        <w:gridCol w:w="2181"/>
        <w:gridCol w:w="2181"/>
        <w:gridCol w:w="2181"/>
      </w:tblGrid>
      <w:tr w:rsidR="00957923" w:rsidRPr="00957923" w:rsidTr="00D87C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vAlign w:val="bottom"/>
          </w:tcPr>
          <w:p w:rsidR="00957923" w:rsidRPr="00957923" w:rsidRDefault="00957923" w:rsidP="001C6736">
            <w:pPr>
              <w:rPr>
                <w:sz w:val="18"/>
              </w:rPr>
            </w:pPr>
            <w:r w:rsidRPr="00957923">
              <w:rPr>
                <w:rFonts w:eastAsia="Times New Roman"/>
                <w:sz w:val="18"/>
              </w:rPr>
              <w:t>State</w:t>
            </w:r>
          </w:p>
        </w:tc>
        <w:tc>
          <w:tcPr>
            <w:tcW w:w="2919" w:type="dxa"/>
            <w:vAlign w:val="bottom"/>
          </w:tcPr>
          <w:p w:rsidR="00957923" w:rsidRPr="00957923" w:rsidRDefault="00957923" w:rsidP="001C6736">
            <w:pPr>
              <w:cnfStyle w:val="100000000000" w:firstRow="1" w:lastRow="0" w:firstColumn="0" w:lastColumn="0" w:oddVBand="0" w:evenVBand="0" w:oddHBand="0" w:evenHBand="0" w:firstRowFirstColumn="0" w:firstRowLastColumn="0" w:lastRowFirstColumn="0" w:lastRowLastColumn="0"/>
              <w:rPr>
                <w:sz w:val="18"/>
              </w:rPr>
            </w:pPr>
            <w:r w:rsidRPr="00957923">
              <w:rPr>
                <w:rFonts w:eastAsia="Times New Roman"/>
                <w:sz w:val="18"/>
              </w:rPr>
              <w:t>Exchange Name</w:t>
            </w:r>
          </w:p>
        </w:tc>
        <w:tc>
          <w:tcPr>
            <w:tcW w:w="2181" w:type="dxa"/>
            <w:vAlign w:val="bottom"/>
          </w:tcPr>
          <w:p w:rsidR="00957923" w:rsidRPr="00957923" w:rsidRDefault="00957923" w:rsidP="001C6736">
            <w:pPr>
              <w:jc w:val="center"/>
              <w:cnfStyle w:val="100000000000" w:firstRow="1" w:lastRow="0" w:firstColumn="0" w:lastColumn="0" w:oddVBand="0" w:evenVBand="0" w:oddHBand="0" w:evenHBand="0" w:firstRowFirstColumn="0" w:firstRowLastColumn="0" w:lastRowFirstColumn="0" w:lastRowLastColumn="0"/>
              <w:rPr>
                <w:sz w:val="18"/>
              </w:rPr>
            </w:pPr>
            <w:r w:rsidRPr="00957923">
              <w:rPr>
                <w:rFonts w:eastAsia="Times New Roman"/>
                <w:sz w:val="18"/>
              </w:rPr>
              <w:t>Number of free ports (</w:t>
            </w:r>
            <w:r>
              <w:rPr>
                <w:rFonts w:eastAsia="Times New Roman"/>
                <w:sz w:val="18"/>
              </w:rPr>
              <w:t xml:space="preserve">as at </w:t>
            </w:r>
            <w:r w:rsidRPr="00957923">
              <w:rPr>
                <w:rFonts w:eastAsia="Times New Roman"/>
                <w:sz w:val="18"/>
              </w:rPr>
              <w:t>10th May 2016)</w:t>
            </w:r>
          </w:p>
        </w:tc>
        <w:tc>
          <w:tcPr>
            <w:tcW w:w="2181" w:type="dxa"/>
            <w:vAlign w:val="bottom"/>
          </w:tcPr>
          <w:p w:rsidR="00957923" w:rsidRPr="00957923" w:rsidRDefault="00957923" w:rsidP="001C6736">
            <w:pPr>
              <w:jc w:val="center"/>
              <w:cnfStyle w:val="100000000000" w:firstRow="1" w:lastRow="0" w:firstColumn="0" w:lastColumn="0" w:oddVBand="0" w:evenVBand="0" w:oddHBand="0" w:evenHBand="0" w:firstRowFirstColumn="0" w:firstRowLastColumn="0" w:lastRowFirstColumn="0" w:lastRowLastColumn="0"/>
              <w:rPr>
                <w:sz w:val="18"/>
              </w:rPr>
            </w:pPr>
            <w:r w:rsidRPr="00957923">
              <w:rPr>
                <w:rFonts w:eastAsia="Times New Roman"/>
                <w:sz w:val="18"/>
              </w:rPr>
              <w:t>Number of free ports (</w:t>
            </w:r>
            <w:r>
              <w:rPr>
                <w:rFonts w:eastAsia="Times New Roman"/>
                <w:sz w:val="18"/>
              </w:rPr>
              <w:t xml:space="preserve">as at </w:t>
            </w:r>
            <w:r w:rsidRPr="00957923">
              <w:rPr>
                <w:rFonts w:eastAsia="Times New Roman"/>
                <w:sz w:val="18"/>
              </w:rPr>
              <w:t>21st June 2016)</w:t>
            </w:r>
          </w:p>
        </w:tc>
        <w:tc>
          <w:tcPr>
            <w:tcW w:w="2181" w:type="dxa"/>
            <w:vAlign w:val="bottom"/>
          </w:tcPr>
          <w:p w:rsidR="00957923" w:rsidRPr="00957923" w:rsidRDefault="00DE2137" w:rsidP="001C6736">
            <w:pPr>
              <w:jc w:val="center"/>
              <w:cnfStyle w:val="100000000000" w:firstRow="1" w:lastRow="0" w:firstColumn="0" w:lastColumn="0" w:oddVBand="0" w:evenVBand="0" w:oddHBand="0" w:evenHBand="0" w:firstRowFirstColumn="0" w:firstRowLastColumn="0" w:lastRowFirstColumn="0" w:lastRowLastColumn="0"/>
              <w:rPr>
                <w:sz w:val="18"/>
              </w:rPr>
            </w:pPr>
            <w:r>
              <w:rPr>
                <w:rFonts w:eastAsia="Times New Roman"/>
                <w:sz w:val="18"/>
              </w:rPr>
              <w:t>Net i</w:t>
            </w:r>
            <w:r w:rsidR="00957923" w:rsidRPr="00957923">
              <w:rPr>
                <w:rFonts w:eastAsia="Times New Roman"/>
                <w:sz w:val="18"/>
              </w:rPr>
              <w:t>ncrease in</w:t>
            </w:r>
            <w:r>
              <w:rPr>
                <w:rFonts w:eastAsia="Times New Roman"/>
                <w:sz w:val="18"/>
              </w:rPr>
              <w:t xml:space="preserve"> ADSL/ADSL2+</w:t>
            </w:r>
            <w:r w:rsidR="00957923" w:rsidRPr="00957923">
              <w:rPr>
                <w:rFonts w:eastAsia="Times New Roman"/>
                <w:sz w:val="18"/>
              </w:rPr>
              <w:t xml:space="preserve"> ports</w:t>
            </w:r>
          </w:p>
        </w:tc>
      </w:tr>
      <w:tr w:rsidR="00957923" w:rsidRPr="00957923" w:rsidTr="00957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bottom"/>
          </w:tcPr>
          <w:p w:rsidR="00957923" w:rsidRPr="00957923" w:rsidRDefault="00957923" w:rsidP="001C6736">
            <w:pPr>
              <w:rPr>
                <w:sz w:val="20"/>
                <w:szCs w:val="20"/>
              </w:rPr>
            </w:pPr>
            <w:r w:rsidRPr="00957923">
              <w:rPr>
                <w:rFonts w:eastAsia="Times New Roman" w:cs="Arial"/>
                <w:color w:val="000000"/>
                <w:sz w:val="20"/>
                <w:szCs w:val="20"/>
              </w:rPr>
              <w:t>NSW</w:t>
            </w:r>
          </w:p>
        </w:tc>
        <w:tc>
          <w:tcPr>
            <w:tcW w:w="2919" w:type="dxa"/>
            <w:vAlign w:val="bottom"/>
          </w:tcPr>
          <w:p w:rsidR="00957923" w:rsidRPr="00957923" w:rsidRDefault="00957923" w:rsidP="001C6736">
            <w:pPr>
              <w:cnfStyle w:val="000000100000" w:firstRow="0" w:lastRow="0" w:firstColumn="0" w:lastColumn="0" w:oddVBand="0" w:evenVBand="0" w:oddHBand="1" w:evenHBand="0" w:firstRowFirstColumn="0" w:firstRowLastColumn="0" w:lastRowFirstColumn="0" w:lastRowLastColumn="0"/>
              <w:rPr>
                <w:sz w:val="20"/>
                <w:szCs w:val="20"/>
              </w:rPr>
            </w:pPr>
            <w:r w:rsidRPr="00957923">
              <w:rPr>
                <w:rFonts w:eastAsia="Times New Roman" w:cs="Arial"/>
                <w:color w:val="000000"/>
                <w:sz w:val="20"/>
                <w:szCs w:val="20"/>
              </w:rPr>
              <w:t>ENGADINE</w:t>
            </w:r>
          </w:p>
        </w:tc>
        <w:tc>
          <w:tcPr>
            <w:tcW w:w="2181" w:type="dxa"/>
            <w:vAlign w:val="bottom"/>
          </w:tcPr>
          <w:p w:rsidR="00957923" w:rsidRPr="00957923" w:rsidRDefault="00957923" w:rsidP="001C6736">
            <w:pPr>
              <w:jc w:val="center"/>
              <w:cnfStyle w:val="000000100000" w:firstRow="0" w:lastRow="0" w:firstColumn="0" w:lastColumn="0" w:oddVBand="0" w:evenVBand="0" w:oddHBand="1" w:evenHBand="0" w:firstRowFirstColumn="0" w:firstRowLastColumn="0" w:lastRowFirstColumn="0" w:lastRowLastColumn="0"/>
              <w:rPr>
                <w:sz w:val="20"/>
                <w:szCs w:val="20"/>
              </w:rPr>
            </w:pPr>
            <w:r w:rsidRPr="00957923">
              <w:rPr>
                <w:rFonts w:eastAsia="Times New Roman"/>
                <w:color w:val="000000"/>
                <w:sz w:val="20"/>
                <w:szCs w:val="20"/>
              </w:rPr>
              <w:t>1</w:t>
            </w:r>
          </w:p>
        </w:tc>
        <w:tc>
          <w:tcPr>
            <w:tcW w:w="2181" w:type="dxa"/>
            <w:vAlign w:val="bottom"/>
          </w:tcPr>
          <w:p w:rsidR="00957923" w:rsidRPr="00957923" w:rsidRDefault="00957923" w:rsidP="001C6736">
            <w:pPr>
              <w:jc w:val="center"/>
              <w:cnfStyle w:val="000000100000" w:firstRow="0" w:lastRow="0" w:firstColumn="0" w:lastColumn="0" w:oddVBand="0" w:evenVBand="0" w:oddHBand="1" w:evenHBand="0" w:firstRowFirstColumn="0" w:firstRowLastColumn="0" w:lastRowFirstColumn="0" w:lastRowLastColumn="0"/>
              <w:rPr>
                <w:sz w:val="20"/>
                <w:szCs w:val="20"/>
              </w:rPr>
            </w:pPr>
            <w:r w:rsidRPr="00957923">
              <w:rPr>
                <w:rFonts w:eastAsia="Times New Roman"/>
                <w:color w:val="000000"/>
                <w:sz w:val="20"/>
                <w:szCs w:val="20"/>
              </w:rPr>
              <w:t>3</w:t>
            </w:r>
            <w:r w:rsidR="00DE2137">
              <w:rPr>
                <w:rFonts w:eastAsia="Times New Roman"/>
                <w:color w:val="000000"/>
                <w:sz w:val="20"/>
                <w:szCs w:val="20"/>
              </w:rPr>
              <w:t>,</w:t>
            </w:r>
            <w:r w:rsidRPr="00957923">
              <w:rPr>
                <w:rFonts w:eastAsia="Times New Roman"/>
                <w:color w:val="000000"/>
                <w:sz w:val="20"/>
                <w:szCs w:val="20"/>
              </w:rPr>
              <w:t>223</w:t>
            </w:r>
          </w:p>
        </w:tc>
        <w:tc>
          <w:tcPr>
            <w:tcW w:w="2181" w:type="dxa"/>
            <w:vAlign w:val="bottom"/>
          </w:tcPr>
          <w:p w:rsidR="00957923" w:rsidRPr="00957923" w:rsidRDefault="00957923" w:rsidP="001C6736">
            <w:pPr>
              <w:jc w:val="center"/>
              <w:cnfStyle w:val="000000100000" w:firstRow="0" w:lastRow="0" w:firstColumn="0" w:lastColumn="0" w:oddVBand="0" w:evenVBand="0" w:oddHBand="1" w:evenHBand="0" w:firstRowFirstColumn="0" w:firstRowLastColumn="0" w:lastRowFirstColumn="0" w:lastRowLastColumn="0"/>
              <w:rPr>
                <w:sz w:val="20"/>
                <w:szCs w:val="20"/>
              </w:rPr>
            </w:pPr>
            <w:r w:rsidRPr="00957923">
              <w:rPr>
                <w:rFonts w:eastAsia="Times New Roman"/>
                <w:color w:val="000000"/>
                <w:sz w:val="20"/>
                <w:szCs w:val="20"/>
              </w:rPr>
              <w:t>3</w:t>
            </w:r>
            <w:r w:rsidR="00DE2137">
              <w:rPr>
                <w:rFonts w:eastAsia="Times New Roman"/>
                <w:color w:val="000000"/>
                <w:sz w:val="20"/>
                <w:szCs w:val="20"/>
              </w:rPr>
              <w:t>,</w:t>
            </w:r>
            <w:r w:rsidRPr="00957923">
              <w:rPr>
                <w:rFonts w:eastAsia="Times New Roman"/>
                <w:color w:val="000000"/>
                <w:sz w:val="20"/>
                <w:szCs w:val="20"/>
              </w:rPr>
              <w:t>222</w:t>
            </w:r>
          </w:p>
        </w:tc>
      </w:tr>
      <w:tr w:rsidR="00957923" w:rsidRPr="00957923" w:rsidTr="00957923">
        <w:tc>
          <w:tcPr>
            <w:cnfStyle w:val="001000000000" w:firstRow="0" w:lastRow="0" w:firstColumn="1" w:lastColumn="0" w:oddVBand="0" w:evenVBand="0" w:oddHBand="0" w:evenHBand="0" w:firstRowFirstColumn="0" w:firstRowLastColumn="0" w:lastRowFirstColumn="0" w:lastRowLastColumn="0"/>
            <w:tcW w:w="988" w:type="dxa"/>
            <w:vAlign w:val="bottom"/>
          </w:tcPr>
          <w:p w:rsidR="00957923" w:rsidRPr="00957923" w:rsidRDefault="00957923" w:rsidP="001C6736">
            <w:pPr>
              <w:rPr>
                <w:sz w:val="20"/>
                <w:szCs w:val="20"/>
              </w:rPr>
            </w:pPr>
            <w:r w:rsidRPr="00957923">
              <w:rPr>
                <w:rFonts w:eastAsia="Times New Roman" w:cs="Arial"/>
                <w:color w:val="000000"/>
                <w:sz w:val="20"/>
                <w:szCs w:val="20"/>
              </w:rPr>
              <w:t>NSW</w:t>
            </w:r>
          </w:p>
        </w:tc>
        <w:tc>
          <w:tcPr>
            <w:tcW w:w="2919" w:type="dxa"/>
            <w:vAlign w:val="bottom"/>
          </w:tcPr>
          <w:p w:rsidR="00957923" w:rsidRPr="00957923" w:rsidRDefault="00957923" w:rsidP="001C6736">
            <w:pPr>
              <w:cnfStyle w:val="000000000000" w:firstRow="0" w:lastRow="0" w:firstColumn="0" w:lastColumn="0" w:oddVBand="0" w:evenVBand="0" w:oddHBand="0" w:evenHBand="0" w:firstRowFirstColumn="0" w:firstRowLastColumn="0" w:lastRowFirstColumn="0" w:lastRowLastColumn="0"/>
              <w:rPr>
                <w:sz w:val="20"/>
                <w:szCs w:val="20"/>
              </w:rPr>
            </w:pPr>
            <w:r w:rsidRPr="00957923">
              <w:rPr>
                <w:rFonts w:eastAsia="Times New Roman" w:cs="Arial"/>
                <w:color w:val="000000"/>
                <w:sz w:val="20"/>
                <w:szCs w:val="20"/>
              </w:rPr>
              <w:t>COOGEE</w:t>
            </w:r>
          </w:p>
        </w:tc>
        <w:tc>
          <w:tcPr>
            <w:tcW w:w="2181" w:type="dxa"/>
            <w:vAlign w:val="bottom"/>
          </w:tcPr>
          <w:p w:rsidR="00957923" w:rsidRPr="00957923" w:rsidRDefault="00957923" w:rsidP="001C6736">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7923">
              <w:rPr>
                <w:rFonts w:eastAsia="Times New Roman"/>
                <w:color w:val="000000"/>
                <w:sz w:val="20"/>
                <w:szCs w:val="20"/>
              </w:rPr>
              <w:t>44</w:t>
            </w:r>
          </w:p>
        </w:tc>
        <w:tc>
          <w:tcPr>
            <w:tcW w:w="2181" w:type="dxa"/>
            <w:vAlign w:val="bottom"/>
          </w:tcPr>
          <w:p w:rsidR="00957923" w:rsidRPr="00957923" w:rsidRDefault="00957923" w:rsidP="001C6736">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7923">
              <w:rPr>
                <w:rFonts w:eastAsia="Times New Roman"/>
                <w:color w:val="000000"/>
                <w:sz w:val="20"/>
                <w:szCs w:val="20"/>
              </w:rPr>
              <w:t>2</w:t>
            </w:r>
            <w:r w:rsidR="00DE2137">
              <w:rPr>
                <w:rFonts w:eastAsia="Times New Roman"/>
                <w:color w:val="000000"/>
                <w:sz w:val="20"/>
                <w:szCs w:val="20"/>
              </w:rPr>
              <w:t>,</w:t>
            </w:r>
            <w:r w:rsidRPr="00957923">
              <w:rPr>
                <w:rFonts w:eastAsia="Times New Roman"/>
                <w:color w:val="000000"/>
                <w:sz w:val="20"/>
                <w:szCs w:val="20"/>
              </w:rPr>
              <w:t>220</w:t>
            </w:r>
          </w:p>
        </w:tc>
        <w:tc>
          <w:tcPr>
            <w:tcW w:w="2181" w:type="dxa"/>
            <w:vAlign w:val="bottom"/>
          </w:tcPr>
          <w:p w:rsidR="00957923" w:rsidRPr="00957923" w:rsidRDefault="00957923" w:rsidP="001C6736">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7923">
              <w:rPr>
                <w:rFonts w:eastAsia="Times New Roman"/>
                <w:color w:val="000000"/>
                <w:sz w:val="20"/>
                <w:szCs w:val="20"/>
              </w:rPr>
              <w:t>2</w:t>
            </w:r>
            <w:r w:rsidR="00DE2137">
              <w:rPr>
                <w:rFonts w:eastAsia="Times New Roman"/>
                <w:color w:val="000000"/>
                <w:sz w:val="20"/>
                <w:szCs w:val="20"/>
              </w:rPr>
              <w:t>,</w:t>
            </w:r>
            <w:r w:rsidRPr="00957923">
              <w:rPr>
                <w:rFonts w:eastAsia="Times New Roman"/>
                <w:color w:val="000000"/>
                <w:sz w:val="20"/>
                <w:szCs w:val="20"/>
              </w:rPr>
              <w:t>176</w:t>
            </w:r>
          </w:p>
        </w:tc>
      </w:tr>
      <w:tr w:rsidR="00957923" w:rsidRPr="00957923" w:rsidTr="00957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bottom"/>
          </w:tcPr>
          <w:p w:rsidR="00957923" w:rsidRPr="00957923" w:rsidRDefault="00957923" w:rsidP="001C6736">
            <w:pPr>
              <w:rPr>
                <w:sz w:val="20"/>
                <w:szCs w:val="20"/>
              </w:rPr>
            </w:pPr>
            <w:r w:rsidRPr="00957923">
              <w:rPr>
                <w:rFonts w:eastAsia="Times New Roman" w:cs="Arial"/>
                <w:color w:val="000000"/>
                <w:sz w:val="20"/>
                <w:szCs w:val="20"/>
              </w:rPr>
              <w:t>NSW</w:t>
            </w:r>
          </w:p>
        </w:tc>
        <w:tc>
          <w:tcPr>
            <w:tcW w:w="2919" w:type="dxa"/>
            <w:vAlign w:val="bottom"/>
          </w:tcPr>
          <w:p w:rsidR="00957923" w:rsidRPr="00957923" w:rsidRDefault="00957923" w:rsidP="001C6736">
            <w:pPr>
              <w:cnfStyle w:val="000000100000" w:firstRow="0" w:lastRow="0" w:firstColumn="0" w:lastColumn="0" w:oddVBand="0" w:evenVBand="0" w:oddHBand="1" w:evenHBand="0" w:firstRowFirstColumn="0" w:firstRowLastColumn="0" w:lastRowFirstColumn="0" w:lastRowLastColumn="0"/>
              <w:rPr>
                <w:sz w:val="20"/>
                <w:szCs w:val="20"/>
              </w:rPr>
            </w:pPr>
            <w:r w:rsidRPr="00957923">
              <w:rPr>
                <w:rFonts w:eastAsia="Times New Roman" w:cs="Arial"/>
                <w:color w:val="000000"/>
                <w:sz w:val="20"/>
                <w:szCs w:val="20"/>
              </w:rPr>
              <w:t>RYDE</w:t>
            </w:r>
          </w:p>
        </w:tc>
        <w:tc>
          <w:tcPr>
            <w:tcW w:w="2181" w:type="dxa"/>
            <w:vAlign w:val="bottom"/>
          </w:tcPr>
          <w:p w:rsidR="00957923" w:rsidRPr="00957923" w:rsidRDefault="00957923" w:rsidP="001C6736">
            <w:pPr>
              <w:jc w:val="center"/>
              <w:cnfStyle w:val="000000100000" w:firstRow="0" w:lastRow="0" w:firstColumn="0" w:lastColumn="0" w:oddVBand="0" w:evenVBand="0" w:oddHBand="1" w:evenHBand="0" w:firstRowFirstColumn="0" w:firstRowLastColumn="0" w:lastRowFirstColumn="0" w:lastRowLastColumn="0"/>
              <w:rPr>
                <w:sz w:val="20"/>
                <w:szCs w:val="20"/>
              </w:rPr>
            </w:pPr>
            <w:r w:rsidRPr="00957923">
              <w:rPr>
                <w:rFonts w:eastAsia="Times New Roman"/>
                <w:color w:val="000000"/>
                <w:sz w:val="20"/>
                <w:szCs w:val="20"/>
              </w:rPr>
              <w:t>85</w:t>
            </w:r>
          </w:p>
        </w:tc>
        <w:tc>
          <w:tcPr>
            <w:tcW w:w="2181" w:type="dxa"/>
            <w:vAlign w:val="bottom"/>
          </w:tcPr>
          <w:p w:rsidR="00957923" w:rsidRPr="00957923" w:rsidRDefault="00957923" w:rsidP="001C6736">
            <w:pPr>
              <w:jc w:val="center"/>
              <w:cnfStyle w:val="000000100000" w:firstRow="0" w:lastRow="0" w:firstColumn="0" w:lastColumn="0" w:oddVBand="0" w:evenVBand="0" w:oddHBand="1" w:evenHBand="0" w:firstRowFirstColumn="0" w:firstRowLastColumn="0" w:lastRowFirstColumn="0" w:lastRowLastColumn="0"/>
              <w:rPr>
                <w:sz w:val="20"/>
                <w:szCs w:val="20"/>
              </w:rPr>
            </w:pPr>
            <w:r w:rsidRPr="00957923">
              <w:rPr>
                <w:rFonts w:eastAsia="Times New Roman"/>
                <w:color w:val="000000"/>
                <w:sz w:val="20"/>
                <w:szCs w:val="20"/>
              </w:rPr>
              <w:t>2</w:t>
            </w:r>
            <w:r w:rsidR="00DE2137">
              <w:rPr>
                <w:rFonts w:eastAsia="Times New Roman"/>
                <w:color w:val="000000"/>
                <w:sz w:val="20"/>
                <w:szCs w:val="20"/>
              </w:rPr>
              <w:t>,</w:t>
            </w:r>
            <w:r w:rsidRPr="00957923">
              <w:rPr>
                <w:rFonts w:eastAsia="Times New Roman"/>
                <w:color w:val="000000"/>
                <w:sz w:val="20"/>
                <w:szCs w:val="20"/>
              </w:rPr>
              <w:t>239</w:t>
            </w:r>
          </w:p>
        </w:tc>
        <w:tc>
          <w:tcPr>
            <w:tcW w:w="2181" w:type="dxa"/>
            <w:vAlign w:val="bottom"/>
          </w:tcPr>
          <w:p w:rsidR="00957923" w:rsidRPr="00957923" w:rsidRDefault="00957923" w:rsidP="001C6736">
            <w:pPr>
              <w:jc w:val="center"/>
              <w:cnfStyle w:val="000000100000" w:firstRow="0" w:lastRow="0" w:firstColumn="0" w:lastColumn="0" w:oddVBand="0" w:evenVBand="0" w:oddHBand="1" w:evenHBand="0" w:firstRowFirstColumn="0" w:firstRowLastColumn="0" w:lastRowFirstColumn="0" w:lastRowLastColumn="0"/>
              <w:rPr>
                <w:sz w:val="20"/>
                <w:szCs w:val="20"/>
              </w:rPr>
            </w:pPr>
            <w:r w:rsidRPr="00957923">
              <w:rPr>
                <w:rFonts w:eastAsia="Times New Roman"/>
                <w:color w:val="000000"/>
                <w:sz w:val="20"/>
                <w:szCs w:val="20"/>
              </w:rPr>
              <w:t>2</w:t>
            </w:r>
            <w:r w:rsidR="00DE2137">
              <w:rPr>
                <w:rFonts w:eastAsia="Times New Roman"/>
                <w:color w:val="000000"/>
                <w:sz w:val="20"/>
                <w:szCs w:val="20"/>
              </w:rPr>
              <w:t>,</w:t>
            </w:r>
            <w:r w:rsidRPr="00957923">
              <w:rPr>
                <w:rFonts w:eastAsia="Times New Roman"/>
                <w:color w:val="000000"/>
                <w:sz w:val="20"/>
                <w:szCs w:val="20"/>
              </w:rPr>
              <w:t>154</w:t>
            </w:r>
          </w:p>
        </w:tc>
      </w:tr>
      <w:tr w:rsidR="00957923" w:rsidRPr="00957923" w:rsidTr="00957923">
        <w:tc>
          <w:tcPr>
            <w:cnfStyle w:val="001000000000" w:firstRow="0" w:lastRow="0" w:firstColumn="1" w:lastColumn="0" w:oddVBand="0" w:evenVBand="0" w:oddHBand="0" w:evenHBand="0" w:firstRowFirstColumn="0" w:firstRowLastColumn="0" w:lastRowFirstColumn="0" w:lastRowLastColumn="0"/>
            <w:tcW w:w="988" w:type="dxa"/>
            <w:vAlign w:val="bottom"/>
          </w:tcPr>
          <w:p w:rsidR="00957923" w:rsidRPr="00957923" w:rsidRDefault="00957923" w:rsidP="001C6736">
            <w:pPr>
              <w:rPr>
                <w:sz w:val="20"/>
                <w:szCs w:val="20"/>
              </w:rPr>
            </w:pPr>
            <w:r w:rsidRPr="00957923">
              <w:rPr>
                <w:rFonts w:eastAsia="Times New Roman" w:cs="Arial"/>
                <w:color w:val="000000"/>
                <w:sz w:val="20"/>
                <w:szCs w:val="20"/>
              </w:rPr>
              <w:t>WA</w:t>
            </w:r>
          </w:p>
        </w:tc>
        <w:tc>
          <w:tcPr>
            <w:tcW w:w="2919" w:type="dxa"/>
            <w:vAlign w:val="bottom"/>
          </w:tcPr>
          <w:p w:rsidR="00957923" w:rsidRPr="00957923" w:rsidRDefault="00957923" w:rsidP="001C6736">
            <w:pPr>
              <w:cnfStyle w:val="000000000000" w:firstRow="0" w:lastRow="0" w:firstColumn="0" w:lastColumn="0" w:oddVBand="0" w:evenVBand="0" w:oddHBand="0" w:evenHBand="0" w:firstRowFirstColumn="0" w:firstRowLastColumn="0" w:lastRowFirstColumn="0" w:lastRowLastColumn="0"/>
              <w:rPr>
                <w:sz w:val="20"/>
                <w:szCs w:val="20"/>
              </w:rPr>
            </w:pPr>
            <w:r w:rsidRPr="00957923">
              <w:rPr>
                <w:rFonts w:eastAsia="Times New Roman" w:cs="Arial"/>
                <w:color w:val="000000"/>
                <w:sz w:val="20"/>
                <w:szCs w:val="20"/>
              </w:rPr>
              <w:t>WEMBLEY</w:t>
            </w:r>
          </w:p>
        </w:tc>
        <w:tc>
          <w:tcPr>
            <w:tcW w:w="2181" w:type="dxa"/>
            <w:vAlign w:val="bottom"/>
          </w:tcPr>
          <w:p w:rsidR="00957923" w:rsidRPr="00957923" w:rsidRDefault="00957923" w:rsidP="001C6736">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7923">
              <w:rPr>
                <w:rFonts w:eastAsia="Times New Roman"/>
                <w:color w:val="000000"/>
                <w:sz w:val="20"/>
                <w:szCs w:val="20"/>
              </w:rPr>
              <w:t>4</w:t>
            </w:r>
          </w:p>
        </w:tc>
        <w:tc>
          <w:tcPr>
            <w:tcW w:w="2181" w:type="dxa"/>
            <w:vAlign w:val="bottom"/>
          </w:tcPr>
          <w:p w:rsidR="00957923" w:rsidRPr="00957923" w:rsidRDefault="00957923" w:rsidP="001C6736">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7923">
              <w:rPr>
                <w:rFonts w:eastAsia="Times New Roman"/>
                <w:color w:val="000000"/>
                <w:sz w:val="20"/>
                <w:szCs w:val="20"/>
              </w:rPr>
              <w:t>1</w:t>
            </w:r>
            <w:r w:rsidR="00DE2137">
              <w:rPr>
                <w:rFonts w:eastAsia="Times New Roman"/>
                <w:color w:val="000000"/>
                <w:sz w:val="20"/>
                <w:szCs w:val="20"/>
              </w:rPr>
              <w:t>,</w:t>
            </w:r>
            <w:r w:rsidRPr="00957923">
              <w:rPr>
                <w:rFonts w:eastAsia="Times New Roman"/>
                <w:color w:val="000000"/>
                <w:sz w:val="20"/>
                <w:szCs w:val="20"/>
              </w:rPr>
              <w:t>985</w:t>
            </w:r>
          </w:p>
        </w:tc>
        <w:tc>
          <w:tcPr>
            <w:tcW w:w="2181" w:type="dxa"/>
            <w:vAlign w:val="bottom"/>
          </w:tcPr>
          <w:p w:rsidR="00957923" w:rsidRPr="00957923" w:rsidRDefault="00957923" w:rsidP="001C6736">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7923">
              <w:rPr>
                <w:rFonts w:eastAsia="Times New Roman"/>
                <w:color w:val="000000"/>
                <w:sz w:val="20"/>
                <w:szCs w:val="20"/>
              </w:rPr>
              <w:t>1</w:t>
            </w:r>
            <w:r w:rsidR="00DE2137">
              <w:rPr>
                <w:rFonts w:eastAsia="Times New Roman"/>
                <w:color w:val="000000"/>
                <w:sz w:val="20"/>
                <w:szCs w:val="20"/>
              </w:rPr>
              <w:t>,</w:t>
            </w:r>
            <w:r w:rsidRPr="00957923">
              <w:rPr>
                <w:rFonts w:eastAsia="Times New Roman"/>
                <w:color w:val="000000"/>
                <w:sz w:val="20"/>
                <w:szCs w:val="20"/>
              </w:rPr>
              <w:t>981</w:t>
            </w:r>
          </w:p>
        </w:tc>
      </w:tr>
      <w:tr w:rsidR="00957923" w:rsidRPr="00957923" w:rsidTr="00957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bottom"/>
          </w:tcPr>
          <w:p w:rsidR="00957923" w:rsidRPr="00957923" w:rsidRDefault="00957923" w:rsidP="001C6736">
            <w:pPr>
              <w:rPr>
                <w:sz w:val="20"/>
                <w:szCs w:val="20"/>
              </w:rPr>
            </w:pPr>
            <w:r w:rsidRPr="00957923">
              <w:rPr>
                <w:rFonts w:eastAsia="Times New Roman" w:cs="Arial"/>
                <w:color w:val="000000"/>
                <w:sz w:val="20"/>
                <w:szCs w:val="20"/>
              </w:rPr>
              <w:t>NSW</w:t>
            </w:r>
          </w:p>
        </w:tc>
        <w:tc>
          <w:tcPr>
            <w:tcW w:w="2919" w:type="dxa"/>
            <w:vAlign w:val="bottom"/>
          </w:tcPr>
          <w:p w:rsidR="00957923" w:rsidRPr="00957923" w:rsidRDefault="00957923" w:rsidP="001C6736">
            <w:pPr>
              <w:cnfStyle w:val="000000100000" w:firstRow="0" w:lastRow="0" w:firstColumn="0" w:lastColumn="0" w:oddVBand="0" w:evenVBand="0" w:oddHBand="1" w:evenHBand="0" w:firstRowFirstColumn="0" w:firstRowLastColumn="0" w:lastRowFirstColumn="0" w:lastRowLastColumn="0"/>
              <w:rPr>
                <w:sz w:val="20"/>
                <w:szCs w:val="20"/>
              </w:rPr>
            </w:pPr>
            <w:r w:rsidRPr="00957923">
              <w:rPr>
                <w:rFonts w:eastAsia="Times New Roman" w:cs="Arial"/>
                <w:color w:val="000000"/>
                <w:sz w:val="20"/>
                <w:szCs w:val="20"/>
              </w:rPr>
              <w:t>MILLER</w:t>
            </w:r>
          </w:p>
        </w:tc>
        <w:tc>
          <w:tcPr>
            <w:tcW w:w="2181" w:type="dxa"/>
            <w:vAlign w:val="bottom"/>
          </w:tcPr>
          <w:p w:rsidR="00957923" w:rsidRPr="00957923" w:rsidRDefault="00957923" w:rsidP="001C6736">
            <w:pPr>
              <w:jc w:val="center"/>
              <w:cnfStyle w:val="000000100000" w:firstRow="0" w:lastRow="0" w:firstColumn="0" w:lastColumn="0" w:oddVBand="0" w:evenVBand="0" w:oddHBand="1" w:evenHBand="0" w:firstRowFirstColumn="0" w:firstRowLastColumn="0" w:lastRowFirstColumn="0" w:lastRowLastColumn="0"/>
              <w:rPr>
                <w:sz w:val="20"/>
                <w:szCs w:val="20"/>
              </w:rPr>
            </w:pPr>
            <w:r w:rsidRPr="00957923">
              <w:rPr>
                <w:rFonts w:eastAsia="Times New Roman"/>
                <w:color w:val="000000"/>
                <w:sz w:val="20"/>
                <w:szCs w:val="20"/>
              </w:rPr>
              <w:t>231</w:t>
            </w:r>
          </w:p>
        </w:tc>
        <w:tc>
          <w:tcPr>
            <w:tcW w:w="2181" w:type="dxa"/>
            <w:vAlign w:val="bottom"/>
          </w:tcPr>
          <w:p w:rsidR="00957923" w:rsidRPr="00957923" w:rsidRDefault="00957923" w:rsidP="001C6736">
            <w:pPr>
              <w:jc w:val="center"/>
              <w:cnfStyle w:val="000000100000" w:firstRow="0" w:lastRow="0" w:firstColumn="0" w:lastColumn="0" w:oddVBand="0" w:evenVBand="0" w:oddHBand="1" w:evenHBand="0" w:firstRowFirstColumn="0" w:firstRowLastColumn="0" w:lastRowFirstColumn="0" w:lastRowLastColumn="0"/>
              <w:rPr>
                <w:sz w:val="20"/>
                <w:szCs w:val="20"/>
              </w:rPr>
            </w:pPr>
            <w:r w:rsidRPr="00957923">
              <w:rPr>
                <w:rFonts w:eastAsia="Times New Roman"/>
                <w:color w:val="000000"/>
                <w:sz w:val="20"/>
                <w:szCs w:val="20"/>
              </w:rPr>
              <w:t>2</w:t>
            </w:r>
            <w:r w:rsidR="00DE2137">
              <w:rPr>
                <w:rFonts w:eastAsia="Times New Roman"/>
                <w:color w:val="000000"/>
                <w:sz w:val="20"/>
                <w:szCs w:val="20"/>
              </w:rPr>
              <w:t>,</w:t>
            </w:r>
            <w:r w:rsidRPr="00957923">
              <w:rPr>
                <w:rFonts w:eastAsia="Times New Roman"/>
                <w:color w:val="000000"/>
                <w:sz w:val="20"/>
                <w:szCs w:val="20"/>
              </w:rPr>
              <w:t>046</w:t>
            </w:r>
          </w:p>
        </w:tc>
        <w:tc>
          <w:tcPr>
            <w:tcW w:w="2181" w:type="dxa"/>
            <w:vAlign w:val="bottom"/>
          </w:tcPr>
          <w:p w:rsidR="00957923" w:rsidRPr="00957923" w:rsidRDefault="00957923" w:rsidP="001C6736">
            <w:pPr>
              <w:jc w:val="center"/>
              <w:cnfStyle w:val="000000100000" w:firstRow="0" w:lastRow="0" w:firstColumn="0" w:lastColumn="0" w:oddVBand="0" w:evenVBand="0" w:oddHBand="1" w:evenHBand="0" w:firstRowFirstColumn="0" w:firstRowLastColumn="0" w:lastRowFirstColumn="0" w:lastRowLastColumn="0"/>
              <w:rPr>
                <w:sz w:val="20"/>
                <w:szCs w:val="20"/>
              </w:rPr>
            </w:pPr>
            <w:r w:rsidRPr="00957923">
              <w:rPr>
                <w:rFonts w:eastAsia="Times New Roman"/>
                <w:color w:val="000000"/>
                <w:sz w:val="20"/>
                <w:szCs w:val="20"/>
              </w:rPr>
              <w:t>1</w:t>
            </w:r>
            <w:r w:rsidR="00DE2137">
              <w:rPr>
                <w:rFonts w:eastAsia="Times New Roman"/>
                <w:color w:val="000000"/>
                <w:sz w:val="20"/>
                <w:szCs w:val="20"/>
              </w:rPr>
              <w:t>,</w:t>
            </w:r>
            <w:r w:rsidRPr="00957923">
              <w:rPr>
                <w:rFonts w:eastAsia="Times New Roman"/>
                <w:color w:val="000000"/>
                <w:sz w:val="20"/>
                <w:szCs w:val="20"/>
              </w:rPr>
              <w:t>815</w:t>
            </w:r>
          </w:p>
        </w:tc>
      </w:tr>
      <w:tr w:rsidR="00957923" w:rsidRPr="00957923" w:rsidTr="00957923">
        <w:tc>
          <w:tcPr>
            <w:cnfStyle w:val="001000000000" w:firstRow="0" w:lastRow="0" w:firstColumn="1" w:lastColumn="0" w:oddVBand="0" w:evenVBand="0" w:oddHBand="0" w:evenHBand="0" w:firstRowFirstColumn="0" w:firstRowLastColumn="0" w:lastRowFirstColumn="0" w:lastRowLastColumn="0"/>
            <w:tcW w:w="988" w:type="dxa"/>
            <w:vAlign w:val="bottom"/>
          </w:tcPr>
          <w:p w:rsidR="00957923" w:rsidRPr="00957923" w:rsidRDefault="00957923" w:rsidP="001C6736">
            <w:pPr>
              <w:rPr>
                <w:sz w:val="20"/>
                <w:szCs w:val="20"/>
              </w:rPr>
            </w:pPr>
            <w:r w:rsidRPr="00957923">
              <w:rPr>
                <w:rFonts w:eastAsia="Times New Roman" w:cs="Arial"/>
                <w:color w:val="000000"/>
                <w:sz w:val="20"/>
                <w:szCs w:val="20"/>
              </w:rPr>
              <w:t>NSW</w:t>
            </w:r>
          </w:p>
        </w:tc>
        <w:tc>
          <w:tcPr>
            <w:tcW w:w="2919" w:type="dxa"/>
            <w:vAlign w:val="bottom"/>
          </w:tcPr>
          <w:p w:rsidR="00957923" w:rsidRPr="00957923" w:rsidRDefault="00957923" w:rsidP="001C6736">
            <w:pPr>
              <w:cnfStyle w:val="000000000000" w:firstRow="0" w:lastRow="0" w:firstColumn="0" w:lastColumn="0" w:oddVBand="0" w:evenVBand="0" w:oddHBand="0" w:evenHBand="0" w:firstRowFirstColumn="0" w:firstRowLastColumn="0" w:lastRowFirstColumn="0" w:lastRowLastColumn="0"/>
              <w:rPr>
                <w:sz w:val="20"/>
                <w:szCs w:val="20"/>
              </w:rPr>
            </w:pPr>
            <w:r w:rsidRPr="00957923">
              <w:rPr>
                <w:rFonts w:eastAsia="Times New Roman" w:cs="Arial"/>
                <w:color w:val="000000"/>
                <w:sz w:val="20"/>
                <w:szCs w:val="20"/>
              </w:rPr>
              <w:t>NEWTOWN</w:t>
            </w:r>
          </w:p>
        </w:tc>
        <w:tc>
          <w:tcPr>
            <w:tcW w:w="2181" w:type="dxa"/>
            <w:vAlign w:val="bottom"/>
          </w:tcPr>
          <w:p w:rsidR="00957923" w:rsidRPr="00957923" w:rsidRDefault="00957923" w:rsidP="001C6736">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7923">
              <w:rPr>
                <w:rFonts w:eastAsia="Times New Roman"/>
                <w:color w:val="000000"/>
                <w:sz w:val="20"/>
                <w:szCs w:val="20"/>
              </w:rPr>
              <w:t>175</w:t>
            </w:r>
          </w:p>
        </w:tc>
        <w:tc>
          <w:tcPr>
            <w:tcW w:w="2181" w:type="dxa"/>
            <w:vAlign w:val="bottom"/>
          </w:tcPr>
          <w:p w:rsidR="00957923" w:rsidRPr="00957923" w:rsidRDefault="00957923" w:rsidP="001C6736">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7923">
              <w:rPr>
                <w:rFonts w:eastAsia="Times New Roman"/>
                <w:color w:val="000000"/>
                <w:sz w:val="20"/>
                <w:szCs w:val="20"/>
              </w:rPr>
              <w:t>1</w:t>
            </w:r>
            <w:r w:rsidR="00DE2137">
              <w:rPr>
                <w:rFonts w:eastAsia="Times New Roman"/>
                <w:color w:val="000000"/>
                <w:sz w:val="20"/>
                <w:szCs w:val="20"/>
              </w:rPr>
              <w:t>,</w:t>
            </w:r>
            <w:r w:rsidRPr="00957923">
              <w:rPr>
                <w:rFonts w:eastAsia="Times New Roman"/>
                <w:color w:val="000000"/>
                <w:sz w:val="20"/>
                <w:szCs w:val="20"/>
              </w:rPr>
              <w:t>710</w:t>
            </w:r>
          </w:p>
        </w:tc>
        <w:tc>
          <w:tcPr>
            <w:tcW w:w="2181" w:type="dxa"/>
            <w:vAlign w:val="bottom"/>
          </w:tcPr>
          <w:p w:rsidR="00957923" w:rsidRPr="00957923" w:rsidRDefault="00957923" w:rsidP="001C6736">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7923">
              <w:rPr>
                <w:rFonts w:eastAsia="Times New Roman"/>
                <w:color w:val="000000"/>
                <w:sz w:val="20"/>
                <w:szCs w:val="20"/>
              </w:rPr>
              <w:t>1</w:t>
            </w:r>
            <w:r w:rsidR="00DE2137">
              <w:rPr>
                <w:rFonts w:eastAsia="Times New Roman"/>
                <w:color w:val="000000"/>
                <w:sz w:val="20"/>
                <w:szCs w:val="20"/>
              </w:rPr>
              <w:t>,</w:t>
            </w:r>
            <w:r w:rsidRPr="00957923">
              <w:rPr>
                <w:rFonts w:eastAsia="Times New Roman"/>
                <w:color w:val="000000"/>
                <w:sz w:val="20"/>
                <w:szCs w:val="20"/>
              </w:rPr>
              <w:t>535</w:t>
            </w:r>
          </w:p>
        </w:tc>
      </w:tr>
    </w:tbl>
    <w:p w:rsidR="00C87EF0" w:rsidRDefault="00C87EF0" w:rsidP="00603D04">
      <w:pPr>
        <w:spacing w:before="240" w:after="240"/>
      </w:pPr>
      <w:r>
        <w:t>The relieving of port availability in areas especially in Engadine, Coogee, Ryde and Wembley indicates that Telstra is still committed to addressing ADSL/ADSL2+ port shortages in areas where NBN is not expected to rollout in the near future.</w:t>
      </w:r>
    </w:p>
    <w:p w:rsidR="0026312F" w:rsidRDefault="0026312F" w:rsidP="00603D04">
      <w:pPr>
        <w:spacing w:after="240"/>
      </w:pPr>
      <w:r>
        <w:br w:type="page"/>
      </w:r>
    </w:p>
    <w:p w:rsidR="006279BB" w:rsidRDefault="006279BB" w:rsidP="00603D04">
      <w:pPr>
        <w:pStyle w:val="Heading3"/>
        <w:spacing w:after="240"/>
      </w:pPr>
      <w:bookmarkStart w:id="26" w:name="_Toc461180962"/>
      <w:r>
        <w:lastRenderedPageBreak/>
        <w:t>Other ADSL providers</w:t>
      </w:r>
      <w:bookmarkEnd w:id="26"/>
    </w:p>
    <w:p w:rsidR="00D70DA5" w:rsidRDefault="00672A22" w:rsidP="00603D04">
      <w:pPr>
        <w:spacing w:after="240"/>
      </w:pPr>
      <w:r>
        <w:t xml:space="preserve">Public visibility </w:t>
      </w:r>
      <w:r w:rsidR="0036573B">
        <w:t xml:space="preserve">of </w:t>
      </w:r>
      <w:r w:rsidR="00680731">
        <w:t>other ADSL providers with</w:t>
      </w:r>
      <w:r w:rsidR="0036573B">
        <w:t xml:space="preserve"> own DSLAM equipment in exchanges </w:t>
      </w:r>
      <w:r>
        <w:t xml:space="preserve">including Optus, TPG Group and M2 Group </w:t>
      </w:r>
      <w:r w:rsidR="0036573B">
        <w:t>could be improved.</w:t>
      </w:r>
    </w:p>
    <w:p w:rsidR="00C87EF0" w:rsidRDefault="00A85D1E" w:rsidP="00603D04">
      <w:pPr>
        <w:spacing w:before="240" w:after="240"/>
      </w:pPr>
      <w:r>
        <w:t xml:space="preserve">ADSL2Exchanges.com.au does provide a </w:t>
      </w:r>
      <w:proofErr w:type="spellStart"/>
      <w:r>
        <w:t>crowdsourced</w:t>
      </w:r>
      <w:proofErr w:type="spellEnd"/>
      <w:r>
        <w:t xml:space="preserve"> list of </w:t>
      </w:r>
      <w:proofErr w:type="gramStart"/>
      <w:r>
        <w:t>providers,</w:t>
      </w:r>
      <w:proofErr w:type="gramEnd"/>
      <w:r>
        <w:t xml:space="preserve"> however, the information does not appear to be updated frequently.</w:t>
      </w:r>
    </w:p>
    <w:p w:rsidR="00672A22" w:rsidRDefault="00E70633" w:rsidP="00603D04">
      <w:pPr>
        <w:spacing w:after="240"/>
      </w:pPr>
      <w:r>
        <w:t xml:space="preserve">Consumers would benefit from </w:t>
      </w:r>
      <w:r w:rsidR="00672A22">
        <w:t>knowing which network providers have a presence in each exchange and whether there are ports are remaining.  This could be published in spreadsheet format similar to that of Telstra Wholesale.</w:t>
      </w:r>
    </w:p>
    <w:p w:rsidR="00E70633" w:rsidRDefault="00672A22" w:rsidP="00603D04">
      <w:pPr>
        <w:spacing w:after="240"/>
      </w:pPr>
      <w:r>
        <w:t xml:space="preserve">Noting that there may be commercial sensitivities, </w:t>
      </w:r>
      <w:r w:rsidR="00E70633">
        <w:t xml:space="preserve">having a centralised search tool </w:t>
      </w:r>
      <w:r>
        <w:t xml:space="preserve">for consumers to </w:t>
      </w:r>
      <w:r w:rsidR="00E70633">
        <w:t xml:space="preserve">determine which providers </w:t>
      </w:r>
      <w:r>
        <w:t>have excess ADSL services capacity with timely updates would assist consumers in choosing broadband providers and plans.  This could come as a form of a third-party data aggregator, provided that other ADSL providers will publicly publish this availability information.</w:t>
      </w:r>
    </w:p>
    <w:p w:rsidR="00672A22" w:rsidRDefault="00672A22" w:rsidP="00603D04">
      <w:pPr>
        <w:spacing w:after="240"/>
      </w:pPr>
      <w:r>
        <w:t>However, the need for such a tool is expected to diminish over the next 4-5 years as the NBN is expected to supersede the ADSL network by the end of 2020.</w:t>
      </w:r>
    </w:p>
    <w:p w:rsidR="0036573B" w:rsidRPr="00E70633" w:rsidRDefault="006279BB" w:rsidP="00603D04">
      <w:pPr>
        <w:pStyle w:val="Heading3"/>
        <w:spacing w:after="240"/>
      </w:pPr>
      <w:bookmarkStart w:id="27" w:name="_Toc461180963"/>
      <w:r>
        <w:t>National Broadband Network</w:t>
      </w:r>
      <w:bookmarkEnd w:id="27"/>
    </w:p>
    <w:p w:rsidR="00E70633" w:rsidRDefault="0036573B" w:rsidP="00603D04">
      <w:pPr>
        <w:spacing w:after="240"/>
      </w:pPr>
      <w:proofErr w:type="gramStart"/>
      <w:r>
        <w:t>nbn</w:t>
      </w:r>
      <w:proofErr w:type="gramEnd"/>
      <w:r>
        <w:t xml:space="preserve"> publishes information about its current network footprint </w:t>
      </w:r>
      <w:r w:rsidR="00E70633">
        <w:t xml:space="preserve">and areas that are currently under construction on its interactive rollout map.   It also publishes </w:t>
      </w:r>
      <w:r w:rsidR="00A85D1E">
        <w:t>a list of indicative suburbs or localities covered under its three-year construction schedule.</w:t>
      </w:r>
    </w:p>
    <w:p w:rsidR="002B13D7" w:rsidRDefault="00C87EF0" w:rsidP="00603D04">
      <w:pPr>
        <w:spacing w:before="240" w:after="240"/>
      </w:pPr>
      <w:proofErr w:type="gramStart"/>
      <w:r>
        <w:t xml:space="preserve">While all of </w:t>
      </w:r>
      <w:r w:rsidR="00672A22">
        <w:t>the NBN</w:t>
      </w:r>
      <w:r>
        <w:t xml:space="preserve"> access technologies are considered served as part of this analysis, the variability in “</w:t>
      </w:r>
      <w:r w:rsidR="002B13D7">
        <w:t>u</w:t>
      </w:r>
      <w:r>
        <w:t xml:space="preserve">p to” speeds being delivered </w:t>
      </w:r>
      <w:r w:rsidR="002B13D7">
        <w:t>over</w:t>
      </w:r>
      <w:r>
        <w:t xml:space="preserve"> Fibre to the Node, Fibre to the Basement and Fixed Wireless access technologies means that </w:t>
      </w:r>
      <w:r w:rsidR="0079420C">
        <w:t xml:space="preserve">consumers </w:t>
      </w:r>
      <w:r>
        <w:t xml:space="preserve">will </w:t>
      </w:r>
      <w:r w:rsidR="0079420C">
        <w:t xml:space="preserve">benefit from </w:t>
      </w:r>
      <w:r w:rsidR="002B13D7">
        <w:t>getting a speed estimate on its interactive rollout map</w:t>
      </w:r>
      <w:r w:rsidR="0079420C">
        <w:t>.</w:t>
      </w:r>
      <w:proofErr w:type="gramEnd"/>
    </w:p>
    <w:p w:rsidR="0079420C" w:rsidRDefault="002B13D7" w:rsidP="00603D04">
      <w:pPr>
        <w:spacing w:after="240"/>
      </w:pPr>
      <w:r>
        <w:t>This will allow consumers to make more informed decisions when deciding on an internet plan and may also assist consumers to make better rental or property purchase decisions based on broadband availability.</w:t>
      </w:r>
    </w:p>
    <w:p w:rsidR="00E70633" w:rsidRDefault="00C87EF0" w:rsidP="00603D04">
      <w:pPr>
        <w:spacing w:before="240" w:after="240"/>
      </w:pPr>
      <w:r>
        <w:t xml:space="preserve">Consumers who live in areas where </w:t>
      </w:r>
      <w:r w:rsidR="002B13D7">
        <w:t xml:space="preserve">NBN </w:t>
      </w:r>
      <w:r>
        <w:t xml:space="preserve">construction is underway would also benefit from knowing </w:t>
      </w:r>
      <w:r w:rsidR="002B13D7">
        <w:t>an estimated rollout completion date for their area.</w:t>
      </w:r>
      <w:r w:rsidR="00E70633">
        <w:t xml:space="preserve">  </w:t>
      </w:r>
    </w:p>
    <w:p w:rsidR="00E70633" w:rsidRDefault="006279BB" w:rsidP="00603D04">
      <w:pPr>
        <w:pStyle w:val="Heading3"/>
        <w:spacing w:after="240"/>
      </w:pPr>
      <w:bookmarkStart w:id="28" w:name="_Toc461180964"/>
      <w:r>
        <w:t>O</w:t>
      </w:r>
      <w:r w:rsidR="00E70633">
        <w:t>ther networks</w:t>
      </w:r>
      <w:bookmarkEnd w:id="28"/>
    </w:p>
    <w:p w:rsidR="000F54CE" w:rsidRDefault="00E70633" w:rsidP="00603D04">
      <w:pPr>
        <w:spacing w:after="240"/>
      </w:pPr>
      <w:r>
        <w:t xml:space="preserve">Visibility of the availability of other infrastructure providers independent of Telstra’s </w:t>
      </w:r>
      <w:r w:rsidR="00680731">
        <w:t>copper network</w:t>
      </w:r>
      <w:r>
        <w:t xml:space="preserve"> </w:t>
      </w:r>
      <w:r w:rsidR="000F54CE">
        <w:t>is poor.  This makes it difficult for consumers to make rental or property purchase decisions based on broadband availability</w:t>
      </w:r>
      <w:r w:rsidR="006279BB">
        <w:t>.</w:t>
      </w:r>
    </w:p>
    <w:p w:rsidR="00E70633" w:rsidRDefault="00E70633" w:rsidP="00603D04">
      <w:pPr>
        <w:spacing w:before="240" w:after="240"/>
      </w:pPr>
      <w:r>
        <w:t xml:space="preserve">For example, it is difficult to ascertain which buildings are in the network footprint of TPG’s Fibre to the Basement network without </w:t>
      </w:r>
      <w:r w:rsidR="000F54CE">
        <w:t>performing a service qualification for each building on TPG’s website.</w:t>
      </w:r>
    </w:p>
    <w:p w:rsidR="00666352" w:rsidRDefault="002B13D7" w:rsidP="00603D04">
      <w:pPr>
        <w:spacing w:after="240"/>
      </w:pPr>
      <w:r>
        <w:t>Similarly,</w:t>
      </w:r>
      <w:r w:rsidR="006279BB">
        <w:t xml:space="preserve"> </w:t>
      </w:r>
      <w:r>
        <w:t xml:space="preserve">information on the footprint of </w:t>
      </w:r>
      <w:r w:rsidR="006279BB">
        <w:t>Telstra and Optus’ HFC networks</w:t>
      </w:r>
      <w:r>
        <w:t xml:space="preserve"> is severely limited.  However, as the NBN subsumes most of these networks as the HFC rollout progresses, the problem </w:t>
      </w:r>
      <w:r w:rsidR="00AF2FDF">
        <w:t>will be alleviated.</w:t>
      </w:r>
      <w:r w:rsidR="00666352">
        <w:br w:type="page"/>
      </w:r>
    </w:p>
    <w:p w:rsidR="008B2163" w:rsidRDefault="008B2163" w:rsidP="00603D04">
      <w:pPr>
        <w:pStyle w:val="Heading1"/>
        <w:spacing w:after="240"/>
      </w:pPr>
      <w:bookmarkStart w:id="29" w:name="_Toc461180965"/>
      <w:r>
        <w:lastRenderedPageBreak/>
        <w:t>Appendix</w:t>
      </w:r>
      <w:bookmarkEnd w:id="29"/>
    </w:p>
    <w:p w:rsidR="00666352" w:rsidRDefault="008B2163" w:rsidP="008B2163">
      <w:pPr>
        <w:pStyle w:val="Heading2"/>
      </w:pPr>
      <w:bookmarkStart w:id="30" w:name="_Toc461180966"/>
      <w:r>
        <w:t xml:space="preserve">Appendix A: </w:t>
      </w:r>
      <w:r w:rsidR="00666352">
        <w:t>Tables</w:t>
      </w:r>
      <w:bookmarkEnd w:id="30"/>
    </w:p>
    <w:p w:rsidR="00666352" w:rsidRDefault="00666352" w:rsidP="008B2163">
      <w:pPr>
        <w:pStyle w:val="Heading3"/>
      </w:pPr>
      <w:bookmarkStart w:id="31" w:name="_Toc461180967"/>
      <w:r>
        <w:t xml:space="preserve">Short Term Outlook: </w:t>
      </w:r>
      <w:r w:rsidR="007D62D1">
        <w:t>Port shortage</w:t>
      </w:r>
      <w:bookmarkEnd w:id="31"/>
    </w:p>
    <w:p w:rsidR="007D62D1" w:rsidRPr="007D62D1" w:rsidRDefault="007D62D1" w:rsidP="008B2163">
      <w:pPr>
        <w:pStyle w:val="Heading4"/>
      </w:pPr>
      <w:r>
        <w:t>Planned port capacity increases – exchange level</w:t>
      </w:r>
    </w:p>
    <w:p w:rsidR="007D62D1" w:rsidRDefault="007D62D1" w:rsidP="00603D04">
      <w:pPr>
        <w:spacing w:after="240"/>
      </w:pPr>
      <w:r>
        <w:t>The following table lists the exchanges with neighbourhoods identified to be in shortage of ADSL/ADSL2+ ports and are planned for exchange-level port capacity increases</w:t>
      </w:r>
      <w:r w:rsidR="006201EF">
        <w:t xml:space="preserve"> (Telstra 2016c)</w:t>
      </w:r>
      <w:r>
        <w:t>.</w:t>
      </w:r>
    </w:p>
    <w:p w:rsidR="007E3FDA" w:rsidRDefault="007E3FDA" w:rsidP="00603D04">
      <w:pPr>
        <w:pStyle w:val="Caption"/>
        <w:keepNext/>
        <w:spacing w:before="240" w:after="240"/>
      </w:pPr>
      <w:r>
        <w:t xml:space="preserve">Figure </w:t>
      </w:r>
      <w:r>
        <w:fldChar w:fldCharType="begin"/>
      </w:r>
      <w:r>
        <w:instrText xml:space="preserve"> SEQ Figure \* ARABIC </w:instrText>
      </w:r>
      <w:r>
        <w:fldChar w:fldCharType="separate"/>
      </w:r>
      <w:r w:rsidR="00B00EAE">
        <w:rPr>
          <w:noProof/>
        </w:rPr>
        <w:t>10</w:t>
      </w:r>
      <w:r>
        <w:fldChar w:fldCharType="end"/>
      </w:r>
      <w:r>
        <w:t>: Low port exchanges with planned increases</w:t>
      </w:r>
    </w:p>
    <w:tbl>
      <w:tblPr>
        <w:tblStyle w:val="GridTable4-Accent61"/>
        <w:tblpPr w:leftFromText="180" w:rightFromText="180" w:vertAnchor="text" w:tblpY="1"/>
        <w:tblOverlap w:val="never"/>
        <w:tblW w:w="0" w:type="auto"/>
        <w:tblCellMar>
          <w:top w:w="57" w:type="dxa"/>
          <w:left w:w="57" w:type="dxa"/>
          <w:bottom w:w="57" w:type="dxa"/>
          <w:right w:w="57" w:type="dxa"/>
        </w:tblCellMar>
        <w:tblLook w:val="04A0" w:firstRow="1" w:lastRow="0" w:firstColumn="1" w:lastColumn="0" w:noHBand="0" w:noVBand="1"/>
        <w:tblDescription w:val="List of exchanges with planned upgrades"/>
      </w:tblPr>
      <w:tblGrid>
        <w:gridCol w:w="3539"/>
        <w:gridCol w:w="851"/>
        <w:gridCol w:w="2268"/>
      </w:tblGrid>
      <w:tr w:rsidR="00666352" w:rsidRPr="00957923" w:rsidTr="00603D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9" w:type="dxa"/>
            <w:vAlign w:val="bottom"/>
          </w:tcPr>
          <w:p w:rsidR="00666352" w:rsidRPr="007D62D1" w:rsidRDefault="00666352" w:rsidP="001C6736">
            <w:pPr>
              <w:rPr>
                <w:sz w:val="18"/>
                <w:szCs w:val="18"/>
              </w:rPr>
            </w:pPr>
            <w:r w:rsidRPr="007D62D1">
              <w:rPr>
                <w:rFonts w:eastAsia="Times New Roman"/>
                <w:sz w:val="18"/>
                <w:szCs w:val="18"/>
              </w:rPr>
              <w:t>Exchange Name</w:t>
            </w:r>
          </w:p>
        </w:tc>
        <w:tc>
          <w:tcPr>
            <w:tcW w:w="851" w:type="dxa"/>
            <w:vAlign w:val="bottom"/>
          </w:tcPr>
          <w:p w:rsidR="00666352" w:rsidRPr="007D62D1" w:rsidRDefault="00666352" w:rsidP="001C6736">
            <w:pPr>
              <w:cnfStyle w:val="100000000000" w:firstRow="1" w:lastRow="0" w:firstColumn="0" w:lastColumn="0" w:oddVBand="0" w:evenVBand="0" w:oddHBand="0" w:evenHBand="0" w:firstRowFirstColumn="0" w:firstRowLastColumn="0" w:lastRowFirstColumn="0" w:lastRowLastColumn="0"/>
              <w:rPr>
                <w:sz w:val="18"/>
                <w:szCs w:val="18"/>
              </w:rPr>
            </w:pPr>
            <w:r w:rsidRPr="007D62D1">
              <w:rPr>
                <w:rFonts w:eastAsia="Times New Roman"/>
                <w:sz w:val="18"/>
                <w:szCs w:val="18"/>
              </w:rPr>
              <w:t>State</w:t>
            </w:r>
          </w:p>
        </w:tc>
        <w:tc>
          <w:tcPr>
            <w:tcW w:w="2268" w:type="dxa"/>
          </w:tcPr>
          <w:p w:rsidR="00666352" w:rsidRPr="007D62D1" w:rsidRDefault="00666352" w:rsidP="006201EF">
            <w:pPr>
              <w:cnfStyle w:val="100000000000" w:firstRow="1" w:lastRow="0" w:firstColumn="0" w:lastColumn="0" w:oddVBand="0" w:evenVBand="0" w:oddHBand="0" w:evenHBand="0" w:firstRowFirstColumn="0" w:firstRowLastColumn="0" w:lastRowFirstColumn="0" w:lastRowLastColumn="0"/>
              <w:rPr>
                <w:rFonts w:eastAsia="Times New Roman"/>
                <w:sz w:val="18"/>
                <w:szCs w:val="18"/>
              </w:rPr>
            </w:pPr>
            <w:r w:rsidRPr="007D62D1">
              <w:rPr>
                <w:rFonts w:eastAsia="Times New Roman"/>
                <w:sz w:val="18"/>
                <w:szCs w:val="18"/>
              </w:rPr>
              <w:t>Planned upgrade date</w:t>
            </w:r>
          </w:p>
        </w:tc>
      </w:tr>
      <w:tr w:rsidR="00666352" w:rsidRPr="00957923" w:rsidTr="00603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666352" w:rsidRPr="007D62D1" w:rsidRDefault="00666352" w:rsidP="001C6736">
            <w:pPr>
              <w:rPr>
                <w:sz w:val="18"/>
                <w:szCs w:val="18"/>
              </w:rPr>
            </w:pPr>
            <w:r w:rsidRPr="007D62D1">
              <w:rPr>
                <w:sz w:val="18"/>
                <w:szCs w:val="18"/>
              </w:rPr>
              <w:t>ALBANY</w:t>
            </w:r>
          </w:p>
        </w:tc>
        <w:tc>
          <w:tcPr>
            <w:tcW w:w="851" w:type="dxa"/>
          </w:tcPr>
          <w:p w:rsidR="00666352" w:rsidRPr="007D62D1" w:rsidRDefault="00666352" w:rsidP="001C6736">
            <w:pPr>
              <w:cnfStyle w:val="000000100000" w:firstRow="0" w:lastRow="0" w:firstColumn="0" w:lastColumn="0" w:oddVBand="0" w:evenVBand="0" w:oddHBand="1" w:evenHBand="0" w:firstRowFirstColumn="0" w:firstRowLastColumn="0" w:lastRowFirstColumn="0" w:lastRowLastColumn="0"/>
              <w:rPr>
                <w:sz w:val="18"/>
                <w:szCs w:val="18"/>
              </w:rPr>
            </w:pPr>
            <w:r w:rsidRPr="007D62D1">
              <w:rPr>
                <w:sz w:val="18"/>
                <w:szCs w:val="18"/>
              </w:rPr>
              <w:t>WA</w:t>
            </w:r>
          </w:p>
        </w:tc>
        <w:tc>
          <w:tcPr>
            <w:tcW w:w="2268" w:type="dxa"/>
            <w:vAlign w:val="bottom"/>
          </w:tcPr>
          <w:p w:rsidR="00666352" w:rsidRPr="007D62D1" w:rsidRDefault="00666352" w:rsidP="001C6736">
            <w:pPr>
              <w:cnfStyle w:val="000000100000" w:firstRow="0" w:lastRow="0" w:firstColumn="0" w:lastColumn="0" w:oddVBand="0" w:evenVBand="0" w:oddHBand="1" w:evenHBand="0" w:firstRowFirstColumn="0" w:firstRowLastColumn="0" w:lastRowFirstColumn="0" w:lastRowLastColumn="0"/>
              <w:rPr>
                <w:sz w:val="18"/>
                <w:szCs w:val="18"/>
              </w:rPr>
            </w:pPr>
            <w:r w:rsidRPr="007D62D1">
              <w:rPr>
                <w:rFonts w:eastAsia="Times New Roman"/>
                <w:color w:val="000000"/>
                <w:sz w:val="18"/>
                <w:szCs w:val="18"/>
              </w:rPr>
              <w:t>Sep 2016</w:t>
            </w:r>
          </w:p>
        </w:tc>
      </w:tr>
      <w:tr w:rsidR="00666352" w:rsidRPr="00957923" w:rsidTr="00603D04">
        <w:tc>
          <w:tcPr>
            <w:cnfStyle w:val="001000000000" w:firstRow="0" w:lastRow="0" w:firstColumn="1" w:lastColumn="0" w:oddVBand="0" w:evenVBand="0" w:oddHBand="0" w:evenHBand="0" w:firstRowFirstColumn="0" w:firstRowLastColumn="0" w:lastRowFirstColumn="0" w:lastRowLastColumn="0"/>
            <w:tcW w:w="3539" w:type="dxa"/>
          </w:tcPr>
          <w:p w:rsidR="00666352" w:rsidRPr="007D62D1" w:rsidRDefault="00666352" w:rsidP="001C6736">
            <w:pPr>
              <w:rPr>
                <w:sz w:val="18"/>
                <w:szCs w:val="18"/>
              </w:rPr>
            </w:pPr>
            <w:r w:rsidRPr="007D62D1">
              <w:rPr>
                <w:sz w:val="18"/>
                <w:szCs w:val="18"/>
              </w:rPr>
              <w:t>BIRREGURRA</w:t>
            </w:r>
          </w:p>
        </w:tc>
        <w:tc>
          <w:tcPr>
            <w:tcW w:w="851" w:type="dxa"/>
          </w:tcPr>
          <w:p w:rsidR="00666352" w:rsidRPr="007D62D1" w:rsidRDefault="00666352" w:rsidP="001C6736">
            <w:pPr>
              <w:cnfStyle w:val="000000000000" w:firstRow="0" w:lastRow="0" w:firstColumn="0" w:lastColumn="0" w:oddVBand="0" w:evenVBand="0" w:oddHBand="0" w:evenHBand="0" w:firstRowFirstColumn="0" w:firstRowLastColumn="0" w:lastRowFirstColumn="0" w:lastRowLastColumn="0"/>
              <w:rPr>
                <w:sz w:val="18"/>
                <w:szCs w:val="18"/>
              </w:rPr>
            </w:pPr>
            <w:r w:rsidRPr="007D62D1">
              <w:rPr>
                <w:sz w:val="18"/>
                <w:szCs w:val="18"/>
              </w:rPr>
              <w:t>VIC</w:t>
            </w:r>
          </w:p>
        </w:tc>
        <w:tc>
          <w:tcPr>
            <w:tcW w:w="2268" w:type="dxa"/>
            <w:vAlign w:val="bottom"/>
          </w:tcPr>
          <w:p w:rsidR="00666352" w:rsidRPr="007D62D1" w:rsidRDefault="00666352" w:rsidP="001C6736">
            <w:pPr>
              <w:cnfStyle w:val="000000000000" w:firstRow="0" w:lastRow="0" w:firstColumn="0" w:lastColumn="0" w:oddVBand="0" w:evenVBand="0" w:oddHBand="0" w:evenHBand="0" w:firstRowFirstColumn="0" w:firstRowLastColumn="0" w:lastRowFirstColumn="0" w:lastRowLastColumn="0"/>
              <w:rPr>
                <w:sz w:val="18"/>
                <w:szCs w:val="18"/>
              </w:rPr>
            </w:pPr>
            <w:r w:rsidRPr="007D62D1">
              <w:rPr>
                <w:rFonts w:eastAsia="Times New Roman"/>
                <w:color w:val="000000"/>
                <w:sz w:val="18"/>
                <w:szCs w:val="18"/>
              </w:rPr>
              <w:t>Sep 2016</w:t>
            </w:r>
          </w:p>
        </w:tc>
      </w:tr>
      <w:tr w:rsidR="00666352" w:rsidRPr="00957923" w:rsidTr="00603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666352" w:rsidRPr="007D62D1" w:rsidRDefault="00666352" w:rsidP="001C6736">
            <w:pPr>
              <w:rPr>
                <w:sz w:val="18"/>
                <w:szCs w:val="18"/>
              </w:rPr>
            </w:pPr>
            <w:r w:rsidRPr="007D62D1">
              <w:rPr>
                <w:sz w:val="18"/>
                <w:szCs w:val="18"/>
              </w:rPr>
              <w:t>COLLARENEBRI</w:t>
            </w:r>
          </w:p>
        </w:tc>
        <w:tc>
          <w:tcPr>
            <w:tcW w:w="851" w:type="dxa"/>
          </w:tcPr>
          <w:p w:rsidR="00666352" w:rsidRPr="007D62D1" w:rsidRDefault="00666352" w:rsidP="001C6736">
            <w:pPr>
              <w:cnfStyle w:val="000000100000" w:firstRow="0" w:lastRow="0" w:firstColumn="0" w:lastColumn="0" w:oddVBand="0" w:evenVBand="0" w:oddHBand="1" w:evenHBand="0" w:firstRowFirstColumn="0" w:firstRowLastColumn="0" w:lastRowFirstColumn="0" w:lastRowLastColumn="0"/>
              <w:rPr>
                <w:sz w:val="18"/>
                <w:szCs w:val="18"/>
              </w:rPr>
            </w:pPr>
            <w:r w:rsidRPr="007D62D1">
              <w:rPr>
                <w:sz w:val="18"/>
                <w:szCs w:val="18"/>
              </w:rPr>
              <w:t>NSW</w:t>
            </w:r>
          </w:p>
        </w:tc>
        <w:tc>
          <w:tcPr>
            <w:tcW w:w="2268" w:type="dxa"/>
            <w:vAlign w:val="bottom"/>
          </w:tcPr>
          <w:p w:rsidR="00666352" w:rsidRPr="007D62D1" w:rsidRDefault="00666352" w:rsidP="001C6736">
            <w:pPr>
              <w:cnfStyle w:val="000000100000" w:firstRow="0" w:lastRow="0" w:firstColumn="0" w:lastColumn="0" w:oddVBand="0" w:evenVBand="0" w:oddHBand="1" w:evenHBand="0" w:firstRowFirstColumn="0" w:firstRowLastColumn="0" w:lastRowFirstColumn="0" w:lastRowLastColumn="0"/>
              <w:rPr>
                <w:sz w:val="18"/>
                <w:szCs w:val="18"/>
              </w:rPr>
            </w:pPr>
            <w:r w:rsidRPr="007D62D1">
              <w:rPr>
                <w:rFonts w:eastAsia="Times New Roman"/>
                <w:color w:val="000000"/>
                <w:sz w:val="18"/>
                <w:szCs w:val="18"/>
              </w:rPr>
              <w:t>Sep 2016</w:t>
            </w:r>
          </w:p>
        </w:tc>
      </w:tr>
      <w:tr w:rsidR="00666352" w:rsidRPr="00957923" w:rsidTr="00603D04">
        <w:tc>
          <w:tcPr>
            <w:cnfStyle w:val="001000000000" w:firstRow="0" w:lastRow="0" w:firstColumn="1" w:lastColumn="0" w:oddVBand="0" w:evenVBand="0" w:oddHBand="0" w:evenHBand="0" w:firstRowFirstColumn="0" w:firstRowLastColumn="0" w:lastRowFirstColumn="0" w:lastRowLastColumn="0"/>
            <w:tcW w:w="3539" w:type="dxa"/>
          </w:tcPr>
          <w:p w:rsidR="00666352" w:rsidRPr="007D62D1" w:rsidRDefault="00666352" w:rsidP="001C6736">
            <w:pPr>
              <w:rPr>
                <w:sz w:val="18"/>
                <w:szCs w:val="18"/>
              </w:rPr>
            </w:pPr>
            <w:r w:rsidRPr="007D62D1">
              <w:rPr>
                <w:sz w:val="18"/>
                <w:szCs w:val="18"/>
              </w:rPr>
              <w:t>DEEPWATER</w:t>
            </w:r>
          </w:p>
        </w:tc>
        <w:tc>
          <w:tcPr>
            <w:tcW w:w="851" w:type="dxa"/>
          </w:tcPr>
          <w:p w:rsidR="00666352" w:rsidRPr="007D62D1" w:rsidRDefault="00666352" w:rsidP="001C6736">
            <w:pPr>
              <w:cnfStyle w:val="000000000000" w:firstRow="0" w:lastRow="0" w:firstColumn="0" w:lastColumn="0" w:oddVBand="0" w:evenVBand="0" w:oddHBand="0" w:evenHBand="0" w:firstRowFirstColumn="0" w:firstRowLastColumn="0" w:lastRowFirstColumn="0" w:lastRowLastColumn="0"/>
              <w:rPr>
                <w:sz w:val="18"/>
                <w:szCs w:val="18"/>
              </w:rPr>
            </w:pPr>
            <w:r w:rsidRPr="007D62D1">
              <w:rPr>
                <w:sz w:val="18"/>
                <w:szCs w:val="18"/>
              </w:rPr>
              <w:t>NSW</w:t>
            </w:r>
          </w:p>
        </w:tc>
        <w:tc>
          <w:tcPr>
            <w:tcW w:w="2268" w:type="dxa"/>
            <w:vAlign w:val="bottom"/>
          </w:tcPr>
          <w:p w:rsidR="00666352" w:rsidRPr="007D62D1" w:rsidRDefault="00666352" w:rsidP="001C6736">
            <w:pPr>
              <w:cnfStyle w:val="000000000000" w:firstRow="0" w:lastRow="0" w:firstColumn="0" w:lastColumn="0" w:oddVBand="0" w:evenVBand="0" w:oddHBand="0" w:evenHBand="0" w:firstRowFirstColumn="0" w:firstRowLastColumn="0" w:lastRowFirstColumn="0" w:lastRowLastColumn="0"/>
              <w:rPr>
                <w:sz w:val="18"/>
                <w:szCs w:val="18"/>
              </w:rPr>
            </w:pPr>
            <w:r w:rsidRPr="007D62D1">
              <w:rPr>
                <w:rFonts w:eastAsia="Times New Roman"/>
                <w:color w:val="000000"/>
                <w:sz w:val="18"/>
                <w:szCs w:val="18"/>
              </w:rPr>
              <w:t>Oct 2016</w:t>
            </w:r>
          </w:p>
        </w:tc>
      </w:tr>
      <w:tr w:rsidR="00666352" w:rsidRPr="00957923" w:rsidTr="00603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666352" w:rsidRPr="007D62D1" w:rsidRDefault="00666352" w:rsidP="001C6736">
            <w:pPr>
              <w:rPr>
                <w:sz w:val="18"/>
                <w:szCs w:val="18"/>
              </w:rPr>
            </w:pPr>
            <w:r w:rsidRPr="007D62D1">
              <w:rPr>
                <w:sz w:val="18"/>
                <w:szCs w:val="18"/>
              </w:rPr>
              <w:t>ECHUCA</w:t>
            </w:r>
          </w:p>
        </w:tc>
        <w:tc>
          <w:tcPr>
            <w:tcW w:w="851" w:type="dxa"/>
          </w:tcPr>
          <w:p w:rsidR="00666352" w:rsidRPr="007D62D1" w:rsidRDefault="00666352" w:rsidP="001C6736">
            <w:pPr>
              <w:cnfStyle w:val="000000100000" w:firstRow="0" w:lastRow="0" w:firstColumn="0" w:lastColumn="0" w:oddVBand="0" w:evenVBand="0" w:oddHBand="1" w:evenHBand="0" w:firstRowFirstColumn="0" w:firstRowLastColumn="0" w:lastRowFirstColumn="0" w:lastRowLastColumn="0"/>
              <w:rPr>
                <w:sz w:val="18"/>
                <w:szCs w:val="18"/>
              </w:rPr>
            </w:pPr>
            <w:r w:rsidRPr="007D62D1">
              <w:rPr>
                <w:sz w:val="18"/>
                <w:szCs w:val="18"/>
              </w:rPr>
              <w:t>VIC</w:t>
            </w:r>
          </w:p>
        </w:tc>
        <w:tc>
          <w:tcPr>
            <w:tcW w:w="2268" w:type="dxa"/>
            <w:vAlign w:val="bottom"/>
          </w:tcPr>
          <w:p w:rsidR="00666352" w:rsidRPr="007D62D1" w:rsidRDefault="00666352" w:rsidP="001C6736">
            <w:pPr>
              <w:cnfStyle w:val="000000100000" w:firstRow="0" w:lastRow="0" w:firstColumn="0" w:lastColumn="0" w:oddVBand="0" w:evenVBand="0" w:oddHBand="1" w:evenHBand="0" w:firstRowFirstColumn="0" w:firstRowLastColumn="0" w:lastRowFirstColumn="0" w:lastRowLastColumn="0"/>
              <w:rPr>
                <w:sz w:val="18"/>
                <w:szCs w:val="18"/>
              </w:rPr>
            </w:pPr>
            <w:r w:rsidRPr="007D62D1">
              <w:rPr>
                <w:rFonts w:eastAsia="Times New Roman"/>
                <w:color w:val="000000"/>
                <w:sz w:val="18"/>
                <w:szCs w:val="18"/>
              </w:rPr>
              <w:t>Oct 2016</w:t>
            </w:r>
          </w:p>
        </w:tc>
      </w:tr>
      <w:tr w:rsidR="00666352" w:rsidRPr="00957923" w:rsidTr="00603D04">
        <w:tc>
          <w:tcPr>
            <w:cnfStyle w:val="001000000000" w:firstRow="0" w:lastRow="0" w:firstColumn="1" w:lastColumn="0" w:oddVBand="0" w:evenVBand="0" w:oddHBand="0" w:evenHBand="0" w:firstRowFirstColumn="0" w:firstRowLastColumn="0" w:lastRowFirstColumn="0" w:lastRowLastColumn="0"/>
            <w:tcW w:w="3539" w:type="dxa"/>
          </w:tcPr>
          <w:p w:rsidR="00666352" w:rsidRPr="007D62D1" w:rsidRDefault="00666352" w:rsidP="001C6736">
            <w:pPr>
              <w:rPr>
                <w:sz w:val="18"/>
                <w:szCs w:val="18"/>
              </w:rPr>
            </w:pPr>
            <w:r w:rsidRPr="007D62D1">
              <w:rPr>
                <w:sz w:val="18"/>
                <w:szCs w:val="18"/>
              </w:rPr>
              <w:t>FORRESTDALE</w:t>
            </w:r>
          </w:p>
        </w:tc>
        <w:tc>
          <w:tcPr>
            <w:tcW w:w="851" w:type="dxa"/>
          </w:tcPr>
          <w:p w:rsidR="00666352" w:rsidRPr="007D62D1" w:rsidRDefault="00666352" w:rsidP="001C6736">
            <w:pPr>
              <w:cnfStyle w:val="000000000000" w:firstRow="0" w:lastRow="0" w:firstColumn="0" w:lastColumn="0" w:oddVBand="0" w:evenVBand="0" w:oddHBand="0" w:evenHBand="0" w:firstRowFirstColumn="0" w:firstRowLastColumn="0" w:lastRowFirstColumn="0" w:lastRowLastColumn="0"/>
              <w:rPr>
                <w:sz w:val="18"/>
                <w:szCs w:val="18"/>
              </w:rPr>
            </w:pPr>
            <w:r w:rsidRPr="007D62D1">
              <w:rPr>
                <w:sz w:val="18"/>
                <w:szCs w:val="18"/>
              </w:rPr>
              <w:t>WA</w:t>
            </w:r>
          </w:p>
        </w:tc>
        <w:tc>
          <w:tcPr>
            <w:tcW w:w="2268" w:type="dxa"/>
            <w:vAlign w:val="bottom"/>
          </w:tcPr>
          <w:p w:rsidR="00666352" w:rsidRPr="007D62D1" w:rsidRDefault="00666352" w:rsidP="001C6736">
            <w:pPr>
              <w:cnfStyle w:val="000000000000" w:firstRow="0" w:lastRow="0" w:firstColumn="0" w:lastColumn="0" w:oddVBand="0" w:evenVBand="0" w:oddHBand="0" w:evenHBand="0" w:firstRowFirstColumn="0" w:firstRowLastColumn="0" w:lastRowFirstColumn="0" w:lastRowLastColumn="0"/>
              <w:rPr>
                <w:sz w:val="18"/>
                <w:szCs w:val="18"/>
              </w:rPr>
            </w:pPr>
            <w:r w:rsidRPr="007D62D1">
              <w:rPr>
                <w:rFonts w:eastAsia="Times New Roman"/>
                <w:color w:val="000000"/>
                <w:sz w:val="18"/>
                <w:szCs w:val="18"/>
              </w:rPr>
              <w:t>Oct 2016</w:t>
            </w:r>
          </w:p>
        </w:tc>
      </w:tr>
      <w:tr w:rsidR="00666352" w:rsidRPr="00957923" w:rsidTr="00603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666352" w:rsidRPr="007D62D1" w:rsidRDefault="00666352" w:rsidP="001C6736">
            <w:pPr>
              <w:rPr>
                <w:rFonts w:eastAsia="Times New Roman" w:cs="Arial"/>
                <w:color w:val="000000"/>
                <w:sz w:val="18"/>
                <w:szCs w:val="18"/>
              </w:rPr>
            </w:pPr>
            <w:r w:rsidRPr="007D62D1">
              <w:rPr>
                <w:sz w:val="18"/>
                <w:szCs w:val="18"/>
              </w:rPr>
              <w:t>HENLEY BEACH</w:t>
            </w:r>
          </w:p>
        </w:tc>
        <w:tc>
          <w:tcPr>
            <w:tcW w:w="851" w:type="dxa"/>
          </w:tcPr>
          <w:p w:rsidR="00666352" w:rsidRPr="007D62D1" w:rsidRDefault="00666352" w:rsidP="001C673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7D62D1">
              <w:rPr>
                <w:sz w:val="18"/>
                <w:szCs w:val="18"/>
              </w:rPr>
              <w:t>SA</w:t>
            </w:r>
          </w:p>
        </w:tc>
        <w:tc>
          <w:tcPr>
            <w:tcW w:w="2268" w:type="dxa"/>
            <w:vAlign w:val="bottom"/>
          </w:tcPr>
          <w:p w:rsidR="00666352" w:rsidRPr="007D62D1" w:rsidRDefault="00666352" w:rsidP="001C6736">
            <w:pPr>
              <w:cnfStyle w:val="000000100000" w:firstRow="0" w:lastRow="0" w:firstColumn="0" w:lastColumn="0" w:oddVBand="0" w:evenVBand="0" w:oddHBand="1" w:evenHBand="0" w:firstRowFirstColumn="0" w:firstRowLastColumn="0" w:lastRowFirstColumn="0" w:lastRowLastColumn="0"/>
              <w:rPr>
                <w:sz w:val="18"/>
                <w:szCs w:val="18"/>
              </w:rPr>
            </w:pPr>
            <w:r w:rsidRPr="007D62D1">
              <w:rPr>
                <w:rFonts w:eastAsia="Times New Roman"/>
                <w:color w:val="000000"/>
                <w:sz w:val="18"/>
                <w:szCs w:val="18"/>
              </w:rPr>
              <w:t>Sep 2016</w:t>
            </w:r>
          </w:p>
        </w:tc>
      </w:tr>
      <w:tr w:rsidR="00666352" w:rsidRPr="00957923" w:rsidTr="00603D04">
        <w:tc>
          <w:tcPr>
            <w:cnfStyle w:val="001000000000" w:firstRow="0" w:lastRow="0" w:firstColumn="1" w:lastColumn="0" w:oddVBand="0" w:evenVBand="0" w:oddHBand="0" w:evenHBand="0" w:firstRowFirstColumn="0" w:firstRowLastColumn="0" w:lastRowFirstColumn="0" w:lastRowLastColumn="0"/>
            <w:tcW w:w="3539" w:type="dxa"/>
          </w:tcPr>
          <w:p w:rsidR="00666352" w:rsidRPr="007D62D1" w:rsidRDefault="00666352" w:rsidP="001C6736">
            <w:pPr>
              <w:rPr>
                <w:rFonts w:eastAsia="Times New Roman" w:cs="Arial"/>
                <w:color w:val="000000"/>
                <w:sz w:val="18"/>
                <w:szCs w:val="18"/>
              </w:rPr>
            </w:pPr>
            <w:r w:rsidRPr="007D62D1">
              <w:rPr>
                <w:sz w:val="18"/>
                <w:szCs w:val="18"/>
              </w:rPr>
              <w:t>HAZELBROOK</w:t>
            </w:r>
          </w:p>
        </w:tc>
        <w:tc>
          <w:tcPr>
            <w:tcW w:w="851" w:type="dxa"/>
          </w:tcPr>
          <w:p w:rsidR="00666352" w:rsidRPr="007D62D1" w:rsidRDefault="00666352" w:rsidP="001C673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7D62D1">
              <w:rPr>
                <w:sz w:val="18"/>
                <w:szCs w:val="18"/>
              </w:rPr>
              <w:t>NSW</w:t>
            </w:r>
          </w:p>
        </w:tc>
        <w:tc>
          <w:tcPr>
            <w:tcW w:w="2268" w:type="dxa"/>
            <w:vAlign w:val="bottom"/>
          </w:tcPr>
          <w:p w:rsidR="00666352" w:rsidRPr="007D62D1" w:rsidRDefault="00666352" w:rsidP="001C6736">
            <w:pPr>
              <w:cnfStyle w:val="000000000000" w:firstRow="0" w:lastRow="0" w:firstColumn="0" w:lastColumn="0" w:oddVBand="0" w:evenVBand="0" w:oddHBand="0" w:evenHBand="0" w:firstRowFirstColumn="0" w:firstRowLastColumn="0" w:lastRowFirstColumn="0" w:lastRowLastColumn="0"/>
              <w:rPr>
                <w:sz w:val="18"/>
                <w:szCs w:val="18"/>
              </w:rPr>
            </w:pPr>
            <w:r w:rsidRPr="007D62D1">
              <w:rPr>
                <w:rFonts w:eastAsia="Times New Roman"/>
                <w:color w:val="000000"/>
                <w:sz w:val="18"/>
                <w:szCs w:val="18"/>
              </w:rPr>
              <w:t>Jan 2017</w:t>
            </w:r>
          </w:p>
        </w:tc>
      </w:tr>
      <w:tr w:rsidR="00666352" w:rsidRPr="00957923" w:rsidTr="00603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666352" w:rsidRPr="007D62D1" w:rsidRDefault="00666352" w:rsidP="001C6736">
            <w:pPr>
              <w:rPr>
                <w:rFonts w:eastAsia="Times New Roman" w:cs="Arial"/>
                <w:color w:val="000000"/>
                <w:sz w:val="18"/>
                <w:szCs w:val="18"/>
              </w:rPr>
            </w:pPr>
            <w:r w:rsidRPr="007D62D1">
              <w:rPr>
                <w:sz w:val="18"/>
                <w:szCs w:val="18"/>
              </w:rPr>
              <w:t>JUNDAH</w:t>
            </w:r>
          </w:p>
        </w:tc>
        <w:tc>
          <w:tcPr>
            <w:tcW w:w="851" w:type="dxa"/>
          </w:tcPr>
          <w:p w:rsidR="00666352" w:rsidRPr="007D62D1" w:rsidRDefault="00666352" w:rsidP="001C673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7D62D1">
              <w:rPr>
                <w:sz w:val="18"/>
                <w:szCs w:val="18"/>
              </w:rPr>
              <w:t>QLD</w:t>
            </w:r>
          </w:p>
        </w:tc>
        <w:tc>
          <w:tcPr>
            <w:tcW w:w="2268" w:type="dxa"/>
            <w:vAlign w:val="bottom"/>
          </w:tcPr>
          <w:p w:rsidR="00666352" w:rsidRPr="007D62D1" w:rsidRDefault="00666352" w:rsidP="001C6736">
            <w:pPr>
              <w:cnfStyle w:val="000000100000" w:firstRow="0" w:lastRow="0" w:firstColumn="0" w:lastColumn="0" w:oddVBand="0" w:evenVBand="0" w:oddHBand="1" w:evenHBand="0" w:firstRowFirstColumn="0" w:firstRowLastColumn="0" w:lastRowFirstColumn="0" w:lastRowLastColumn="0"/>
              <w:rPr>
                <w:sz w:val="18"/>
                <w:szCs w:val="18"/>
              </w:rPr>
            </w:pPr>
            <w:r w:rsidRPr="007D62D1">
              <w:rPr>
                <w:rFonts w:eastAsia="Times New Roman"/>
                <w:color w:val="000000"/>
                <w:sz w:val="18"/>
                <w:szCs w:val="18"/>
              </w:rPr>
              <w:t>Sep 2016</w:t>
            </w:r>
          </w:p>
        </w:tc>
      </w:tr>
      <w:tr w:rsidR="00666352" w:rsidRPr="00957923" w:rsidTr="00603D04">
        <w:tc>
          <w:tcPr>
            <w:cnfStyle w:val="001000000000" w:firstRow="0" w:lastRow="0" w:firstColumn="1" w:lastColumn="0" w:oddVBand="0" w:evenVBand="0" w:oddHBand="0" w:evenHBand="0" w:firstRowFirstColumn="0" w:firstRowLastColumn="0" w:lastRowFirstColumn="0" w:lastRowLastColumn="0"/>
            <w:tcW w:w="3539" w:type="dxa"/>
          </w:tcPr>
          <w:p w:rsidR="00666352" w:rsidRPr="007D62D1" w:rsidRDefault="00666352" w:rsidP="001C6736">
            <w:pPr>
              <w:rPr>
                <w:rFonts w:eastAsia="Times New Roman" w:cs="Arial"/>
                <w:color w:val="000000"/>
                <w:sz w:val="18"/>
                <w:szCs w:val="18"/>
              </w:rPr>
            </w:pPr>
            <w:r w:rsidRPr="007D62D1">
              <w:rPr>
                <w:sz w:val="18"/>
                <w:szCs w:val="18"/>
              </w:rPr>
              <w:t>KANIVA</w:t>
            </w:r>
          </w:p>
        </w:tc>
        <w:tc>
          <w:tcPr>
            <w:tcW w:w="851" w:type="dxa"/>
          </w:tcPr>
          <w:p w:rsidR="00666352" w:rsidRPr="007D62D1" w:rsidRDefault="00666352" w:rsidP="001C673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7D62D1">
              <w:rPr>
                <w:sz w:val="18"/>
                <w:szCs w:val="18"/>
              </w:rPr>
              <w:t>VIC</w:t>
            </w:r>
          </w:p>
        </w:tc>
        <w:tc>
          <w:tcPr>
            <w:tcW w:w="2268" w:type="dxa"/>
            <w:vAlign w:val="bottom"/>
          </w:tcPr>
          <w:p w:rsidR="00666352" w:rsidRPr="007D62D1" w:rsidRDefault="00666352" w:rsidP="001C6736">
            <w:pPr>
              <w:cnfStyle w:val="000000000000" w:firstRow="0" w:lastRow="0" w:firstColumn="0" w:lastColumn="0" w:oddVBand="0" w:evenVBand="0" w:oddHBand="0" w:evenHBand="0" w:firstRowFirstColumn="0" w:firstRowLastColumn="0" w:lastRowFirstColumn="0" w:lastRowLastColumn="0"/>
              <w:rPr>
                <w:sz w:val="18"/>
                <w:szCs w:val="18"/>
              </w:rPr>
            </w:pPr>
            <w:r w:rsidRPr="007D62D1">
              <w:rPr>
                <w:rFonts w:eastAsia="Times New Roman"/>
                <w:color w:val="000000"/>
                <w:sz w:val="18"/>
                <w:szCs w:val="18"/>
              </w:rPr>
              <w:t>Oct 2016</w:t>
            </w:r>
          </w:p>
        </w:tc>
      </w:tr>
      <w:tr w:rsidR="00666352" w:rsidRPr="00957923" w:rsidTr="00603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666352" w:rsidRPr="007D62D1" w:rsidRDefault="00666352" w:rsidP="001C6736">
            <w:pPr>
              <w:rPr>
                <w:rFonts w:eastAsia="Times New Roman" w:cs="Arial"/>
                <w:color w:val="000000"/>
                <w:sz w:val="18"/>
                <w:szCs w:val="18"/>
              </w:rPr>
            </w:pPr>
            <w:r w:rsidRPr="007D62D1">
              <w:rPr>
                <w:sz w:val="18"/>
                <w:szCs w:val="18"/>
              </w:rPr>
              <w:t>KEPPEL SANDS</w:t>
            </w:r>
          </w:p>
        </w:tc>
        <w:tc>
          <w:tcPr>
            <w:tcW w:w="851" w:type="dxa"/>
          </w:tcPr>
          <w:p w:rsidR="00666352" w:rsidRPr="007D62D1" w:rsidRDefault="00666352" w:rsidP="001C673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7D62D1">
              <w:rPr>
                <w:sz w:val="18"/>
                <w:szCs w:val="18"/>
              </w:rPr>
              <w:t>QLD</w:t>
            </w:r>
          </w:p>
        </w:tc>
        <w:tc>
          <w:tcPr>
            <w:tcW w:w="2268" w:type="dxa"/>
            <w:vAlign w:val="bottom"/>
          </w:tcPr>
          <w:p w:rsidR="00666352" w:rsidRPr="007D62D1" w:rsidRDefault="00666352" w:rsidP="001C6736">
            <w:pPr>
              <w:cnfStyle w:val="000000100000" w:firstRow="0" w:lastRow="0" w:firstColumn="0" w:lastColumn="0" w:oddVBand="0" w:evenVBand="0" w:oddHBand="1" w:evenHBand="0" w:firstRowFirstColumn="0" w:firstRowLastColumn="0" w:lastRowFirstColumn="0" w:lastRowLastColumn="0"/>
              <w:rPr>
                <w:sz w:val="18"/>
                <w:szCs w:val="18"/>
              </w:rPr>
            </w:pPr>
            <w:r w:rsidRPr="007D62D1">
              <w:rPr>
                <w:rFonts w:eastAsia="Times New Roman"/>
                <w:color w:val="000000"/>
                <w:sz w:val="18"/>
                <w:szCs w:val="18"/>
              </w:rPr>
              <w:t>Nov 2016</w:t>
            </w:r>
          </w:p>
        </w:tc>
      </w:tr>
      <w:tr w:rsidR="00666352" w:rsidRPr="00957923" w:rsidTr="00603D04">
        <w:tc>
          <w:tcPr>
            <w:cnfStyle w:val="001000000000" w:firstRow="0" w:lastRow="0" w:firstColumn="1" w:lastColumn="0" w:oddVBand="0" w:evenVBand="0" w:oddHBand="0" w:evenHBand="0" w:firstRowFirstColumn="0" w:firstRowLastColumn="0" w:lastRowFirstColumn="0" w:lastRowLastColumn="0"/>
            <w:tcW w:w="3539" w:type="dxa"/>
          </w:tcPr>
          <w:p w:rsidR="00666352" w:rsidRPr="007D62D1" w:rsidRDefault="00666352" w:rsidP="001C6736">
            <w:pPr>
              <w:rPr>
                <w:sz w:val="18"/>
                <w:szCs w:val="18"/>
              </w:rPr>
            </w:pPr>
            <w:r w:rsidRPr="007D62D1">
              <w:rPr>
                <w:sz w:val="18"/>
                <w:szCs w:val="18"/>
              </w:rPr>
              <w:t>KULIN</w:t>
            </w:r>
          </w:p>
        </w:tc>
        <w:tc>
          <w:tcPr>
            <w:tcW w:w="851" w:type="dxa"/>
          </w:tcPr>
          <w:p w:rsidR="00666352" w:rsidRPr="007D62D1" w:rsidRDefault="00666352" w:rsidP="001C6736">
            <w:pPr>
              <w:cnfStyle w:val="000000000000" w:firstRow="0" w:lastRow="0" w:firstColumn="0" w:lastColumn="0" w:oddVBand="0" w:evenVBand="0" w:oddHBand="0" w:evenHBand="0" w:firstRowFirstColumn="0" w:firstRowLastColumn="0" w:lastRowFirstColumn="0" w:lastRowLastColumn="0"/>
              <w:rPr>
                <w:sz w:val="18"/>
                <w:szCs w:val="18"/>
              </w:rPr>
            </w:pPr>
            <w:r w:rsidRPr="007D62D1">
              <w:rPr>
                <w:sz w:val="18"/>
                <w:szCs w:val="18"/>
              </w:rPr>
              <w:t>WA</w:t>
            </w:r>
          </w:p>
        </w:tc>
        <w:tc>
          <w:tcPr>
            <w:tcW w:w="2268" w:type="dxa"/>
            <w:vAlign w:val="bottom"/>
          </w:tcPr>
          <w:p w:rsidR="00666352" w:rsidRPr="007D62D1" w:rsidRDefault="00666352" w:rsidP="001C6736">
            <w:pPr>
              <w:cnfStyle w:val="000000000000" w:firstRow="0" w:lastRow="0" w:firstColumn="0" w:lastColumn="0" w:oddVBand="0" w:evenVBand="0" w:oddHBand="0" w:evenHBand="0" w:firstRowFirstColumn="0" w:firstRowLastColumn="0" w:lastRowFirstColumn="0" w:lastRowLastColumn="0"/>
              <w:rPr>
                <w:sz w:val="18"/>
                <w:szCs w:val="18"/>
              </w:rPr>
            </w:pPr>
            <w:r w:rsidRPr="007D62D1">
              <w:rPr>
                <w:rFonts w:eastAsia="Times New Roman"/>
                <w:color w:val="000000"/>
                <w:sz w:val="18"/>
                <w:szCs w:val="18"/>
              </w:rPr>
              <w:t>Nov 2016</w:t>
            </w:r>
          </w:p>
        </w:tc>
      </w:tr>
      <w:tr w:rsidR="00666352" w:rsidRPr="00957923" w:rsidTr="00603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666352" w:rsidRPr="007D62D1" w:rsidRDefault="00666352" w:rsidP="001C6736">
            <w:pPr>
              <w:rPr>
                <w:sz w:val="18"/>
                <w:szCs w:val="18"/>
              </w:rPr>
            </w:pPr>
            <w:r w:rsidRPr="007D62D1">
              <w:rPr>
                <w:sz w:val="18"/>
                <w:szCs w:val="18"/>
              </w:rPr>
              <w:t>LETHBRIDGE</w:t>
            </w:r>
          </w:p>
        </w:tc>
        <w:tc>
          <w:tcPr>
            <w:tcW w:w="851" w:type="dxa"/>
          </w:tcPr>
          <w:p w:rsidR="00666352" w:rsidRPr="007D62D1" w:rsidRDefault="00666352" w:rsidP="001C6736">
            <w:pPr>
              <w:cnfStyle w:val="000000100000" w:firstRow="0" w:lastRow="0" w:firstColumn="0" w:lastColumn="0" w:oddVBand="0" w:evenVBand="0" w:oddHBand="1" w:evenHBand="0" w:firstRowFirstColumn="0" w:firstRowLastColumn="0" w:lastRowFirstColumn="0" w:lastRowLastColumn="0"/>
              <w:rPr>
                <w:sz w:val="18"/>
                <w:szCs w:val="18"/>
              </w:rPr>
            </w:pPr>
            <w:r w:rsidRPr="007D62D1">
              <w:rPr>
                <w:sz w:val="18"/>
                <w:szCs w:val="18"/>
              </w:rPr>
              <w:t>VIC</w:t>
            </w:r>
          </w:p>
        </w:tc>
        <w:tc>
          <w:tcPr>
            <w:tcW w:w="2268" w:type="dxa"/>
            <w:vAlign w:val="bottom"/>
          </w:tcPr>
          <w:p w:rsidR="00666352" w:rsidRPr="007D62D1" w:rsidRDefault="00666352" w:rsidP="001C6736">
            <w:pPr>
              <w:cnfStyle w:val="000000100000" w:firstRow="0" w:lastRow="0" w:firstColumn="0" w:lastColumn="0" w:oddVBand="0" w:evenVBand="0" w:oddHBand="1" w:evenHBand="0" w:firstRowFirstColumn="0" w:firstRowLastColumn="0" w:lastRowFirstColumn="0" w:lastRowLastColumn="0"/>
              <w:rPr>
                <w:sz w:val="18"/>
                <w:szCs w:val="18"/>
              </w:rPr>
            </w:pPr>
            <w:r w:rsidRPr="007D62D1">
              <w:rPr>
                <w:rFonts w:eastAsia="Times New Roman"/>
                <w:color w:val="000000"/>
                <w:sz w:val="18"/>
                <w:szCs w:val="18"/>
              </w:rPr>
              <w:t>Oct 2016</w:t>
            </w:r>
          </w:p>
        </w:tc>
      </w:tr>
      <w:tr w:rsidR="00666352" w:rsidRPr="00957923" w:rsidTr="00603D04">
        <w:tc>
          <w:tcPr>
            <w:cnfStyle w:val="001000000000" w:firstRow="0" w:lastRow="0" w:firstColumn="1" w:lastColumn="0" w:oddVBand="0" w:evenVBand="0" w:oddHBand="0" w:evenHBand="0" w:firstRowFirstColumn="0" w:firstRowLastColumn="0" w:lastRowFirstColumn="0" w:lastRowLastColumn="0"/>
            <w:tcW w:w="3539" w:type="dxa"/>
          </w:tcPr>
          <w:p w:rsidR="00666352" w:rsidRPr="007D62D1" w:rsidRDefault="00666352" w:rsidP="001C6736">
            <w:pPr>
              <w:rPr>
                <w:sz w:val="18"/>
                <w:szCs w:val="18"/>
              </w:rPr>
            </w:pPr>
            <w:r w:rsidRPr="007D62D1">
              <w:rPr>
                <w:sz w:val="18"/>
                <w:szCs w:val="18"/>
              </w:rPr>
              <w:t>LAKE CATHIE</w:t>
            </w:r>
          </w:p>
        </w:tc>
        <w:tc>
          <w:tcPr>
            <w:tcW w:w="851" w:type="dxa"/>
          </w:tcPr>
          <w:p w:rsidR="00666352" w:rsidRPr="007D62D1" w:rsidRDefault="00666352" w:rsidP="001C6736">
            <w:pPr>
              <w:cnfStyle w:val="000000000000" w:firstRow="0" w:lastRow="0" w:firstColumn="0" w:lastColumn="0" w:oddVBand="0" w:evenVBand="0" w:oddHBand="0" w:evenHBand="0" w:firstRowFirstColumn="0" w:firstRowLastColumn="0" w:lastRowFirstColumn="0" w:lastRowLastColumn="0"/>
              <w:rPr>
                <w:sz w:val="18"/>
                <w:szCs w:val="18"/>
              </w:rPr>
            </w:pPr>
            <w:r w:rsidRPr="007D62D1">
              <w:rPr>
                <w:sz w:val="18"/>
                <w:szCs w:val="18"/>
              </w:rPr>
              <w:t>NSW</w:t>
            </w:r>
          </w:p>
        </w:tc>
        <w:tc>
          <w:tcPr>
            <w:tcW w:w="2268" w:type="dxa"/>
            <w:vAlign w:val="bottom"/>
          </w:tcPr>
          <w:p w:rsidR="00666352" w:rsidRPr="007D62D1" w:rsidRDefault="00666352" w:rsidP="001C6736">
            <w:pPr>
              <w:cnfStyle w:val="000000000000" w:firstRow="0" w:lastRow="0" w:firstColumn="0" w:lastColumn="0" w:oddVBand="0" w:evenVBand="0" w:oddHBand="0" w:evenHBand="0" w:firstRowFirstColumn="0" w:firstRowLastColumn="0" w:lastRowFirstColumn="0" w:lastRowLastColumn="0"/>
              <w:rPr>
                <w:sz w:val="18"/>
                <w:szCs w:val="18"/>
              </w:rPr>
            </w:pPr>
            <w:r w:rsidRPr="007D62D1">
              <w:rPr>
                <w:rFonts w:eastAsia="Times New Roman"/>
                <w:color w:val="000000"/>
                <w:sz w:val="18"/>
                <w:szCs w:val="18"/>
              </w:rPr>
              <w:t>Oct 2016</w:t>
            </w:r>
          </w:p>
        </w:tc>
      </w:tr>
      <w:tr w:rsidR="00666352" w:rsidRPr="00957923" w:rsidTr="00603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666352" w:rsidRPr="007D62D1" w:rsidRDefault="00666352" w:rsidP="001C6736">
            <w:pPr>
              <w:rPr>
                <w:sz w:val="18"/>
                <w:szCs w:val="18"/>
              </w:rPr>
            </w:pPr>
            <w:r w:rsidRPr="007D62D1">
              <w:rPr>
                <w:sz w:val="18"/>
                <w:szCs w:val="18"/>
              </w:rPr>
              <w:t>MUNDIJONG</w:t>
            </w:r>
          </w:p>
        </w:tc>
        <w:tc>
          <w:tcPr>
            <w:tcW w:w="851" w:type="dxa"/>
          </w:tcPr>
          <w:p w:rsidR="00666352" w:rsidRPr="007D62D1" w:rsidRDefault="00666352" w:rsidP="001C6736">
            <w:pPr>
              <w:cnfStyle w:val="000000100000" w:firstRow="0" w:lastRow="0" w:firstColumn="0" w:lastColumn="0" w:oddVBand="0" w:evenVBand="0" w:oddHBand="1" w:evenHBand="0" w:firstRowFirstColumn="0" w:firstRowLastColumn="0" w:lastRowFirstColumn="0" w:lastRowLastColumn="0"/>
              <w:rPr>
                <w:sz w:val="18"/>
                <w:szCs w:val="18"/>
              </w:rPr>
            </w:pPr>
            <w:r w:rsidRPr="007D62D1">
              <w:rPr>
                <w:sz w:val="18"/>
                <w:szCs w:val="18"/>
              </w:rPr>
              <w:t>WA</w:t>
            </w:r>
          </w:p>
        </w:tc>
        <w:tc>
          <w:tcPr>
            <w:tcW w:w="2268" w:type="dxa"/>
            <w:vAlign w:val="bottom"/>
          </w:tcPr>
          <w:p w:rsidR="00666352" w:rsidRPr="007D62D1" w:rsidRDefault="00666352" w:rsidP="001C6736">
            <w:pPr>
              <w:cnfStyle w:val="000000100000" w:firstRow="0" w:lastRow="0" w:firstColumn="0" w:lastColumn="0" w:oddVBand="0" w:evenVBand="0" w:oddHBand="1" w:evenHBand="0" w:firstRowFirstColumn="0" w:firstRowLastColumn="0" w:lastRowFirstColumn="0" w:lastRowLastColumn="0"/>
              <w:rPr>
                <w:sz w:val="18"/>
                <w:szCs w:val="18"/>
              </w:rPr>
            </w:pPr>
            <w:r w:rsidRPr="007D62D1">
              <w:rPr>
                <w:rFonts w:eastAsia="Times New Roman"/>
                <w:color w:val="000000"/>
                <w:sz w:val="18"/>
                <w:szCs w:val="18"/>
              </w:rPr>
              <w:t>Oct 2016</w:t>
            </w:r>
          </w:p>
        </w:tc>
      </w:tr>
      <w:tr w:rsidR="00666352" w:rsidRPr="00957923" w:rsidTr="00603D04">
        <w:tc>
          <w:tcPr>
            <w:cnfStyle w:val="001000000000" w:firstRow="0" w:lastRow="0" w:firstColumn="1" w:lastColumn="0" w:oddVBand="0" w:evenVBand="0" w:oddHBand="0" w:evenHBand="0" w:firstRowFirstColumn="0" w:firstRowLastColumn="0" w:lastRowFirstColumn="0" w:lastRowLastColumn="0"/>
            <w:tcW w:w="3539" w:type="dxa"/>
          </w:tcPr>
          <w:p w:rsidR="00666352" w:rsidRPr="007D62D1" w:rsidRDefault="00666352" w:rsidP="001C6736">
            <w:pPr>
              <w:rPr>
                <w:sz w:val="18"/>
                <w:szCs w:val="18"/>
              </w:rPr>
            </w:pPr>
            <w:r w:rsidRPr="007D62D1">
              <w:rPr>
                <w:sz w:val="18"/>
                <w:szCs w:val="18"/>
              </w:rPr>
              <w:t>MOUNT WILSON</w:t>
            </w:r>
          </w:p>
        </w:tc>
        <w:tc>
          <w:tcPr>
            <w:tcW w:w="851" w:type="dxa"/>
          </w:tcPr>
          <w:p w:rsidR="00666352" w:rsidRPr="007D62D1" w:rsidRDefault="00666352" w:rsidP="001C6736">
            <w:pPr>
              <w:cnfStyle w:val="000000000000" w:firstRow="0" w:lastRow="0" w:firstColumn="0" w:lastColumn="0" w:oddVBand="0" w:evenVBand="0" w:oddHBand="0" w:evenHBand="0" w:firstRowFirstColumn="0" w:firstRowLastColumn="0" w:lastRowFirstColumn="0" w:lastRowLastColumn="0"/>
              <w:rPr>
                <w:sz w:val="18"/>
                <w:szCs w:val="18"/>
              </w:rPr>
            </w:pPr>
            <w:r w:rsidRPr="007D62D1">
              <w:rPr>
                <w:sz w:val="18"/>
                <w:szCs w:val="18"/>
              </w:rPr>
              <w:t>NSW</w:t>
            </w:r>
          </w:p>
        </w:tc>
        <w:tc>
          <w:tcPr>
            <w:tcW w:w="2268" w:type="dxa"/>
            <w:vAlign w:val="bottom"/>
          </w:tcPr>
          <w:p w:rsidR="00666352" w:rsidRPr="007D62D1" w:rsidRDefault="00666352" w:rsidP="001C6736">
            <w:pPr>
              <w:cnfStyle w:val="000000000000" w:firstRow="0" w:lastRow="0" w:firstColumn="0" w:lastColumn="0" w:oddVBand="0" w:evenVBand="0" w:oddHBand="0" w:evenHBand="0" w:firstRowFirstColumn="0" w:firstRowLastColumn="0" w:lastRowFirstColumn="0" w:lastRowLastColumn="0"/>
              <w:rPr>
                <w:sz w:val="18"/>
                <w:szCs w:val="18"/>
              </w:rPr>
            </w:pPr>
            <w:r w:rsidRPr="007D62D1">
              <w:rPr>
                <w:rFonts w:eastAsia="Times New Roman"/>
                <w:color w:val="000000"/>
                <w:sz w:val="18"/>
                <w:szCs w:val="18"/>
              </w:rPr>
              <w:t>Aug 2016</w:t>
            </w:r>
          </w:p>
        </w:tc>
      </w:tr>
      <w:tr w:rsidR="00666352" w:rsidRPr="00957923" w:rsidTr="00603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666352" w:rsidRPr="007D62D1" w:rsidRDefault="00666352" w:rsidP="001C6736">
            <w:pPr>
              <w:rPr>
                <w:sz w:val="18"/>
                <w:szCs w:val="18"/>
              </w:rPr>
            </w:pPr>
            <w:r w:rsidRPr="007D62D1">
              <w:rPr>
                <w:sz w:val="18"/>
                <w:szCs w:val="18"/>
              </w:rPr>
              <w:t>MOUNT WHITE</w:t>
            </w:r>
          </w:p>
        </w:tc>
        <w:tc>
          <w:tcPr>
            <w:tcW w:w="851" w:type="dxa"/>
          </w:tcPr>
          <w:p w:rsidR="00666352" w:rsidRPr="007D62D1" w:rsidRDefault="00666352" w:rsidP="001C6736">
            <w:pPr>
              <w:cnfStyle w:val="000000100000" w:firstRow="0" w:lastRow="0" w:firstColumn="0" w:lastColumn="0" w:oddVBand="0" w:evenVBand="0" w:oddHBand="1" w:evenHBand="0" w:firstRowFirstColumn="0" w:firstRowLastColumn="0" w:lastRowFirstColumn="0" w:lastRowLastColumn="0"/>
              <w:rPr>
                <w:sz w:val="18"/>
                <w:szCs w:val="18"/>
              </w:rPr>
            </w:pPr>
            <w:r w:rsidRPr="007D62D1">
              <w:rPr>
                <w:sz w:val="18"/>
                <w:szCs w:val="18"/>
              </w:rPr>
              <w:t>NSW</w:t>
            </w:r>
          </w:p>
        </w:tc>
        <w:tc>
          <w:tcPr>
            <w:tcW w:w="2268" w:type="dxa"/>
            <w:vAlign w:val="bottom"/>
          </w:tcPr>
          <w:p w:rsidR="00666352" w:rsidRPr="007D62D1" w:rsidRDefault="00666352" w:rsidP="001C6736">
            <w:pPr>
              <w:cnfStyle w:val="000000100000" w:firstRow="0" w:lastRow="0" w:firstColumn="0" w:lastColumn="0" w:oddVBand="0" w:evenVBand="0" w:oddHBand="1" w:evenHBand="0" w:firstRowFirstColumn="0" w:firstRowLastColumn="0" w:lastRowFirstColumn="0" w:lastRowLastColumn="0"/>
              <w:rPr>
                <w:sz w:val="18"/>
                <w:szCs w:val="18"/>
              </w:rPr>
            </w:pPr>
            <w:r w:rsidRPr="007D62D1">
              <w:rPr>
                <w:rFonts w:eastAsia="Times New Roman"/>
                <w:color w:val="000000"/>
                <w:sz w:val="18"/>
                <w:szCs w:val="18"/>
              </w:rPr>
              <w:t>Dec 2016</w:t>
            </w:r>
          </w:p>
        </w:tc>
      </w:tr>
      <w:tr w:rsidR="00666352" w:rsidRPr="00957923" w:rsidTr="00603D04">
        <w:tc>
          <w:tcPr>
            <w:cnfStyle w:val="001000000000" w:firstRow="0" w:lastRow="0" w:firstColumn="1" w:lastColumn="0" w:oddVBand="0" w:evenVBand="0" w:oddHBand="0" w:evenHBand="0" w:firstRowFirstColumn="0" w:firstRowLastColumn="0" w:lastRowFirstColumn="0" w:lastRowLastColumn="0"/>
            <w:tcW w:w="3539" w:type="dxa"/>
          </w:tcPr>
          <w:p w:rsidR="00666352" w:rsidRPr="007D62D1" w:rsidRDefault="00666352" w:rsidP="001C6736">
            <w:pPr>
              <w:rPr>
                <w:sz w:val="18"/>
                <w:szCs w:val="18"/>
              </w:rPr>
            </w:pPr>
            <w:r w:rsidRPr="007D62D1">
              <w:rPr>
                <w:sz w:val="18"/>
                <w:szCs w:val="18"/>
              </w:rPr>
              <w:t>PAYNESVILLE</w:t>
            </w:r>
          </w:p>
        </w:tc>
        <w:tc>
          <w:tcPr>
            <w:tcW w:w="851" w:type="dxa"/>
          </w:tcPr>
          <w:p w:rsidR="00666352" w:rsidRPr="007D62D1" w:rsidRDefault="00666352" w:rsidP="001C6736">
            <w:pPr>
              <w:cnfStyle w:val="000000000000" w:firstRow="0" w:lastRow="0" w:firstColumn="0" w:lastColumn="0" w:oddVBand="0" w:evenVBand="0" w:oddHBand="0" w:evenHBand="0" w:firstRowFirstColumn="0" w:firstRowLastColumn="0" w:lastRowFirstColumn="0" w:lastRowLastColumn="0"/>
              <w:rPr>
                <w:sz w:val="18"/>
                <w:szCs w:val="18"/>
              </w:rPr>
            </w:pPr>
            <w:r w:rsidRPr="007D62D1">
              <w:rPr>
                <w:sz w:val="18"/>
                <w:szCs w:val="18"/>
              </w:rPr>
              <w:t>VIC</w:t>
            </w:r>
          </w:p>
        </w:tc>
        <w:tc>
          <w:tcPr>
            <w:tcW w:w="2268" w:type="dxa"/>
            <w:vAlign w:val="bottom"/>
          </w:tcPr>
          <w:p w:rsidR="00666352" w:rsidRPr="007D62D1" w:rsidRDefault="00666352" w:rsidP="001C6736">
            <w:pPr>
              <w:cnfStyle w:val="000000000000" w:firstRow="0" w:lastRow="0" w:firstColumn="0" w:lastColumn="0" w:oddVBand="0" w:evenVBand="0" w:oddHBand="0" w:evenHBand="0" w:firstRowFirstColumn="0" w:firstRowLastColumn="0" w:lastRowFirstColumn="0" w:lastRowLastColumn="0"/>
              <w:rPr>
                <w:sz w:val="18"/>
                <w:szCs w:val="18"/>
              </w:rPr>
            </w:pPr>
            <w:r w:rsidRPr="007D62D1">
              <w:rPr>
                <w:rFonts w:eastAsia="Times New Roman"/>
                <w:color w:val="000000"/>
                <w:sz w:val="18"/>
                <w:szCs w:val="18"/>
              </w:rPr>
              <w:t>Oct 2016</w:t>
            </w:r>
          </w:p>
        </w:tc>
      </w:tr>
      <w:tr w:rsidR="00666352" w:rsidRPr="00957923" w:rsidTr="00603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666352" w:rsidRPr="007D62D1" w:rsidRDefault="00666352" w:rsidP="001C6736">
            <w:pPr>
              <w:rPr>
                <w:sz w:val="18"/>
                <w:szCs w:val="18"/>
              </w:rPr>
            </w:pPr>
            <w:r w:rsidRPr="007D62D1">
              <w:rPr>
                <w:sz w:val="18"/>
                <w:szCs w:val="18"/>
              </w:rPr>
              <w:t>PERTH</w:t>
            </w:r>
          </w:p>
        </w:tc>
        <w:tc>
          <w:tcPr>
            <w:tcW w:w="851" w:type="dxa"/>
          </w:tcPr>
          <w:p w:rsidR="00666352" w:rsidRPr="007D62D1" w:rsidRDefault="00666352" w:rsidP="001C6736">
            <w:pPr>
              <w:cnfStyle w:val="000000100000" w:firstRow="0" w:lastRow="0" w:firstColumn="0" w:lastColumn="0" w:oddVBand="0" w:evenVBand="0" w:oddHBand="1" w:evenHBand="0" w:firstRowFirstColumn="0" w:firstRowLastColumn="0" w:lastRowFirstColumn="0" w:lastRowLastColumn="0"/>
              <w:rPr>
                <w:sz w:val="18"/>
                <w:szCs w:val="18"/>
              </w:rPr>
            </w:pPr>
            <w:r w:rsidRPr="007D62D1">
              <w:rPr>
                <w:sz w:val="18"/>
                <w:szCs w:val="18"/>
              </w:rPr>
              <w:t>TAS</w:t>
            </w:r>
          </w:p>
        </w:tc>
        <w:tc>
          <w:tcPr>
            <w:tcW w:w="2268" w:type="dxa"/>
            <w:vAlign w:val="bottom"/>
          </w:tcPr>
          <w:p w:rsidR="00666352" w:rsidRPr="007D62D1" w:rsidRDefault="00666352" w:rsidP="001C6736">
            <w:pPr>
              <w:cnfStyle w:val="000000100000" w:firstRow="0" w:lastRow="0" w:firstColumn="0" w:lastColumn="0" w:oddVBand="0" w:evenVBand="0" w:oddHBand="1" w:evenHBand="0" w:firstRowFirstColumn="0" w:firstRowLastColumn="0" w:lastRowFirstColumn="0" w:lastRowLastColumn="0"/>
              <w:rPr>
                <w:sz w:val="18"/>
                <w:szCs w:val="18"/>
              </w:rPr>
            </w:pPr>
            <w:r w:rsidRPr="007D62D1">
              <w:rPr>
                <w:rFonts w:eastAsia="Times New Roman"/>
                <w:color w:val="000000"/>
                <w:sz w:val="18"/>
                <w:szCs w:val="18"/>
              </w:rPr>
              <w:t>Oct 2016</w:t>
            </w:r>
          </w:p>
        </w:tc>
      </w:tr>
      <w:tr w:rsidR="00666352" w:rsidRPr="00957923" w:rsidTr="00603D04">
        <w:tc>
          <w:tcPr>
            <w:cnfStyle w:val="001000000000" w:firstRow="0" w:lastRow="0" w:firstColumn="1" w:lastColumn="0" w:oddVBand="0" w:evenVBand="0" w:oddHBand="0" w:evenHBand="0" w:firstRowFirstColumn="0" w:firstRowLastColumn="0" w:lastRowFirstColumn="0" w:lastRowLastColumn="0"/>
            <w:tcW w:w="3539" w:type="dxa"/>
          </w:tcPr>
          <w:p w:rsidR="00666352" w:rsidRPr="007D62D1" w:rsidRDefault="00666352" w:rsidP="001C6736">
            <w:pPr>
              <w:rPr>
                <w:sz w:val="18"/>
                <w:szCs w:val="18"/>
              </w:rPr>
            </w:pPr>
            <w:r w:rsidRPr="007D62D1">
              <w:rPr>
                <w:sz w:val="18"/>
                <w:szCs w:val="18"/>
              </w:rPr>
              <w:t>RICHMOND</w:t>
            </w:r>
          </w:p>
        </w:tc>
        <w:tc>
          <w:tcPr>
            <w:tcW w:w="851" w:type="dxa"/>
          </w:tcPr>
          <w:p w:rsidR="00666352" w:rsidRPr="007D62D1" w:rsidRDefault="00666352" w:rsidP="001C6736">
            <w:pPr>
              <w:cnfStyle w:val="000000000000" w:firstRow="0" w:lastRow="0" w:firstColumn="0" w:lastColumn="0" w:oddVBand="0" w:evenVBand="0" w:oddHBand="0" w:evenHBand="0" w:firstRowFirstColumn="0" w:firstRowLastColumn="0" w:lastRowFirstColumn="0" w:lastRowLastColumn="0"/>
              <w:rPr>
                <w:sz w:val="18"/>
                <w:szCs w:val="18"/>
              </w:rPr>
            </w:pPr>
            <w:r w:rsidRPr="007D62D1">
              <w:rPr>
                <w:sz w:val="18"/>
                <w:szCs w:val="18"/>
              </w:rPr>
              <w:t>VIC</w:t>
            </w:r>
          </w:p>
        </w:tc>
        <w:tc>
          <w:tcPr>
            <w:tcW w:w="2268" w:type="dxa"/>
            <w:vAlign w:val="bottom"/>
          </w:tcPr>
          <w:p w:rsidR="00666352" w:rsidRPr="007D62D1" w:rsidRDefault="00666352" w:rsidP="001C6736">
            <w:pPr>
              <w:cnfStyle w:val="000000000000" w:firstRow="0" w:lastRow="0" w:firstColumn="0" w:lastColumn="0" w:oddVBand="0" w:evenVBand="0" w:oddHBand="0" w:evenHBand="0" w:firstRowFirstColumn="0" w:firstRowLastColumn="0" w:lastRowFirstColumn="0" w:lastRowLastColumn="0"/>
              <w:rPr>
                <w:sz w:val="18"/>
                <w:szCs w:val="18"/>
              </w:rPr>
            </w:pPr>
            <w:r w:rsidRPr="007D62D1">
              <w:rPr>
                <w:rFonts w:eastAsia="Times New Roman"/>
                <w:color w:val="000000"/>
                <w:sz w:val="18"/>
                <w:szCs w:val="18"/>
              </w:rPr>
              <w:t>Dec 2016</w:t>
            </w:r>
          </w:p>
        </w:tc>
      </w:tr>
      <w:tr w:rsidR="00666352" w:rsidRPr="00957923" w:rsidTr="00603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666352" w:rsidRPr="007D62D1" w:rsidRDefault="00666352" w:rsidP="001C6736">
            <w:pPr>
              <w:rPr>
                <w:sz w:val="18"/>
                <w:szCs w:val="18"/>
              </w:rPr>
            </w:pPr>
            <w:r w:rsidRPr="007D62D1">
              <w:rPr>
                <w:sz w:val="18"/>
                <w:szCs w:val="18"/>
              </w:rPr>
              <w:t>ROSEBUD</w:t>
            </w:r>
          </w:p>
        </w:tc>
        <w:tc>
          <w:tcPr>
            <w:tcW w:w="851" w:type="dxa"/>
          </w:tcPr>
          <w:p w:rsidR="00666352" w:rsidRPr="007D62D1" w:rsidRDefault="00666352" w:rsidP="001C6736">
            <w:pPr>
              <w:cnfStyle w:val="000000100000" w:firstRow="0" w:lastRow="0" w:firstColumn="0" w:lastColumn="0" w:oddVBand="0" w:evenVBand="0" w:oddHBand="1" w:evenHBand="0" w:firstRowFirstColumn="0" w:firstRowLastColumn="0" w:lastRowFirstColumn="0" w:lastRowLastColumn="0"/>
              <w:rPr>
                <w:sz w:val="18"/>
                <w:szCs w:val="18"/>
              </w:rPr>
            </w:pPr>
            <w:r w:rsidRPr="007D62D1">
              <w:rPr>
                <w:sz w:val="18"/>
                <w:szCs w:val="18"/>
              </w:rPr>
              <w:t>VIC</w:t>
            </w:r>
          </w:p>
        </w:tc>
        <w:tc>
          <w:tcPr>
            <w:tcW w:w="2268" w:type="dxa"/>
            <w:vAlign w:val="bottom"/>
          </w:tcPr>
          <w:p w:rsidR="00666352" w:rsidRPr="007D62D1" w:rsidRDefault="00666352" w:rsidP="001C6736">
            <w:pPr>
              <w:cnfStyle w:val="000000100000" w:firstRow="0" w:lastRow="0" w:firstColumn="0" w:lastColumn="0" w:oddVBand="0" w:evenVBand="0" w:oddHBand="1" w:evenHBand="0" w:firstRowFirstColumn="0" w:firstRowLastColumn="0" w:lastRowFirstColumn="0" w:lastRowLastColumn="0"/>
              <w:rPr>
                <w:sz w:val="18"/>
                <w:szCs w:val="18"/>
              </w:rPr>
            </w:pPr>
            <w:r w:rsidRPr="007D62D1">
              <w:rPr>
                <w:rFonts w:eastAsia="Times New Roman"/>
                <w:color w:val="000000"/>
                <w:sz w:val="18"/>
                <w:szCs w:val="18"/>
              </w:rPr>
              <w:t>Sep 2016</w:t>
            </w:r>
          </w:p>
        </w:tc>
      </w:tr>
      <w:tr w:rsidR="00666352" w:rsidRPr="00957923" w:rsidTr="00603D04">
        <w:tc>
          <w:tcPr>
            <w:cnfStyle w:val="001000000000" w:firstRow="0" w:lastRow="0" w:firstColumn="1" w:lastColumn="0" w:oddVBand="0" w:evenVBand="0" w:oddHBand="0" w:evenHBand="0" w:firstRowFirstColumn="0" w:firstRowLastColumn="0" w:lastRowFirstColumn="0" w:lastRowLastColumn="0"/>
            <w:tcW w:w="3539" w:type="dxa"/>
          </w:tcPr>
          <w:p w:rsidR="00666352" w:rsidRPr="007D62D1" w:rsidRDefault="00666352" w:rsidP="001C6736">
            <w:pPr>
              <w:rPr>
                <w:sz w:val="18"/>
                <w:szCs w:val="18"/>
              </w:rPr>
            </w:pPr>
            <w:r w:rsidRPr="007D62D1">
              <w:rPr>
                <w:sz w:val="18"/>
                <w:szCs w:val="18"/>
              </w:rPr>
              <w:t>SPRINGWOOD</w:t>
            </w:r>
          </w:p>
        </w:tc>
        <w:tc>
          <w:tcPr>
            <w:tcW w:w="851" w:type="dxa"/>
          </w:tcPr>
          <w:p w:rsidR="00666352" w:rsidRPr="007D62D1" w:rsidRDefault="00666352" w:rsidP="001C6736">
            <w:pPr>
              <w:cnfStyle w:val="000000000000" w:firstRow="0" w:lastRow="0" w:firstColumn="0" w:lastColumn="0" w:oddVBand="0" w:evenVBand="0" w:oddHBand="0" w:evenHBand="0" w:firstRowFirstColumn="0" w:firstRowLastColumn="0" w:lastRowFirstColumn="0" w:lastRowLastColumn="0"/>
              <w:rPr>
                <w:sz w:val="18"/>
                <w:szCs w:val="18"/>
              </w:rPr>
            </w:pPr>
            <w:r w:rsidRPr="007D62D1">
              <w:rPr>
                <w:sz w:val="18"/>
                <w:szCs w:val="18"/>
              </w:rPr>
              <w:t>NSW</w:t>
            </w:r>
          </w:p>
        </w:tc>
        <w:tc>
          <w:tcPr>
            <w:tcW w:w="2268" w:type="dxa"/>
            <w:vAlign w:val="bottom"/>
          </w:tcPr>
          <w:p w:rsidR="00666352" w:rsidRPr="007D62D1" w:rsidRDefault="00666352" w:rsidP="001C6736">
            <w:pPr>
              <w:cnfStyle w:val="000000000000" w:firstRow="0" w:lastRow="0" w:firstColumn="0" w:lastColumn="0" w:oddVBand="0" w:evenVBand="0" w:oddHBand="0" w:evenHBand="0" w:firstRowFirstColumn="0" w:firstRowLastColumn="0" w:lastRowFirstColumn="0" w:lastRowLastColumn="0"/>
              <w:rPr>
                <w:sz w:val="18"/>
                <w:szCs w:val="18"/>
              </w:rPr>
            </w:pPr>
            <w:r w:rsidRPr="007D62D1">
              <w:rPr>
                <w:rFonts w:eastAsia="Times New Roman"/>
                <w:color w:val="000000"/>
                <w:sz w:val="18"/>
                <w:szCs w:val="18"/>
              </w:rPr>
              <w:t>Oct 2016</w:t>
            </w:r>
          </w:p>
        </w:tc>
      </w:tr>
      <w:tr w:rsidR="00666352" w:rsidRPr="00957923" w:rsidTr="00603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666352" w:rsidRPr="007D62D1" w:rsidRDefault="00666352" w:rsidP="001C6736">
            <w:pPr>
              <w:rPr>
                <w:sz w:val="18"/>
                <w:szCs w:val="18"/>
              </w:rPr>
            </w:pPr>
            <w:r w:rsidRPr="007D62D1">
              <w:rPr>
                <w:sz w:val="18"/>
                <w:szCs w:val="18"/>
              </w:rPr>
              <w:t>TWEED HEADS</w:t>
            </w:r>
          </w:p>
        </w:tc>
        <w:tc>
          <w:tcPr>
            <w:tcW w:w="851" w:type="dxa"/>
          </w:tcPr>
          <w:p w:rsidR="00666352" w:rsidRPr="007D62D1" w:rsidRDefault="00666352" w:rsidP="001C6736">
            <w:pPr>
              <w:cnfStyle w:val="000000100000" w:firstRow="0" w:lastRow="0" w:firstColumn="0" w:lastColumn="0" w:oddVBand="0" w:evenVBand="0" w:oddHBand="1" w:evenHBand="0" w:firstRowFirstColumn="0" w:firstRowLastColumn="0" w:lastRowFirstColumn="0" w:lastRowLastColumn="0"/>
              <w:rPr>
                <w:sz w:val="18"/>
                <w:szCs w:val="18"/>
              </w:rPr>
            </w:pPr>
            <w:r w:rsidRPr="007D62D1">
              <w:rPr>
                <w:sz w:val="18"/>
                <w:szCs w:val="18"/>
              </w:rPr>
              <w:t>NSW</w:t>
            </w:r>
          </w:p>
        </w:tc>
        <w:tc>
          <w:tcPr>
            <w:tcW w:w="2268" w:type="dxa"/>
            <w:vAlign w:val="bottom"/>
          </w:tcPr>
          <w:p w:rsidR="00666352" w:rsidRPr="007D62D1" w:rsidRDefault="00666352" w:rsidP="001C6736">
            <w:pPr>
              <w:cnfStyle w:val="000000100000" w:firstRow="0" w:lastRow="0" w:firstColumn="0" w:lastColumn="0" w:oddVBand="0" w:evenVBand="0" w:oddHBand="1" w:evenHBand="0" w:firstRowFirstColumn="0" w:firstRowLastColumn="0" w:lastRowFirstColumn="0" w:lastRowLastColumn="0"/>
              <w:rPr>
                <w:sz w:val="18"/>
                <w:szCs w:val="18"/>
              </w:rPr>
            </w:pPr>
            <w:r w:rsidRPr="007D62D1">
              <w:rPr>
                <w:rFonts w:eastAsia="Times New Roman"/>
                <w:color w:val="000000"/>
                <w:sz w:val="18"/>
                <w:szCs w:val="18"/>
              </w:rPr>
              <w:t>Oct 2016</w:t>
            </w:r>
          </w:p>
        </w:tc>
      </w:tr>
      <w:tr w:rsidR="00666352" w:rsidRPr="00957923" w:rsidTr="00603D04">
        <w:tc>
          <w:tcPr>
            <w:cnfStyle w:val="001000000000" w:firstRow="0" w:lastRow="0" w:firstColumn="1" w:lastColumn="0" w:oddVBand="0" w:evenVBand="0" w:oddHBand="0" w:evenHBand="0" w:firstRowFirstColumn="0" w:firstRowLastColumn="0" w:lastRowFirstColumn="0" w:lastRowLastColumn="0"/>
            <w:tcW w:w="3539" w:type="dxa"/>
          </w:tcPr>
          <w:p w:rsidR="00666352" w:rsidRPr="007D62D1" w:rsidRDefault="00666352" w:rsidP="001C6736">
            <w:pPr>
              <w:rPr>
                <w:sz w:val="18"/>
                <w:szCs w:val="18"/>
              </w:rPr>
            </w:pPr>
            <w:r w:rsidRPr="007D62D1">
              <w:rPr>
                <w:sz w:val="18"/>
                <w:szCs w:val="18"/>
              </w:rPr>
              <w:t>TRUNDLE</w:t>
            </w:r>
          </w:p>
        </w:tc>
        <w:tc>
          <w:tcPr>
            <w:tcW w:w="851" w:type="dxa"/>
          </w:tcPr>
          <w:p w:rsidR="00666352" w:rsidRPr="007D62D1" w:rsidRDefault="00666352" w:rsidP="001C6736">
            <w:pPr>
              <w:cnfStyle w:val="000000000000" w:firstRow="0" w:lastRow="0" w:firstColumn="0" w:lastColumn="0" w:oddVBand="0" w:evenVBand="0" w:oddHBand="0" w:evenHBand="0" w:firstRowFirstColumn="0" w:firstRowLastColumn="0" w:lastRowFirstColumn="0" w:lastRowLastColumn="0"/>
              <w:rPr>
                <w:sz w:val="18"/>
                <w:szCs w:val="18"/>
              </w:rPr>
            </w:pPr>
            <w:r w:rsidRPr="007D62D1">
              <w:rPr>
                <w:sz w:val="18"/>
                <w:szCs w:val="18"/>
              </w:rPr>
              <w:t>NSW</w:t>
            </w:r>
          </w:p>
        </w:tc>
        <w:tc>
          <w:tcPr>
            <w:tcW w:w="2268" w:type="dxa"/>
            <w:vAlign w:val="bottom"/>
          </w:tcPr>
          <w:p w:rsidR="00666352" w:rsidRPr="007D62D1" w:rsidRDefault="00666352" w:rsidP="001C6736">
            <w:pPr>
              <w:cnfStyle w:val="000000000000" w:firstRow="0" w:lastRow="0" w:firstColumn="0" w:lastColumn="0" w:oddVBand="0" w:evenVBand="0" w:oddHBand="0" w:evenHBand="0" w:firstRowFirstColumn="0" w:firstRowLastColumn="0" w:lastRowFirstColumn="0" w:lastRowLastColumn="0"/>
              <w:rPr>
                <w:sz w:val="18"/>
                <w:szCs w:val="18"/>
              </w:rPr>
            </w:pPr>
            <w:r w:rsidRPr="007D62D1">
              <w:rPr>
                <w:rFonts w:eastAsia="Times New Roman"/>
                <w:color w:val="000000"/>
                <w:sz w:val="18"/>
                <w:szCs w:val="18"/>
              </w:rPr>
              <w:t>Nov 2016</w:t>
            </w:r>
          </w:p>
        </w:tc>
      </w:tr>
      <w:tr w:rsidR="00666352" w:rsidRPr="00957923" w:rsidTr="00603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666352" w:rsidRPr="007D62D1" w:rsidRDefault="00666352" w:rsidP="001C6736">
            <w:pPr>
              <w:rPr>
                <w:sz w:val="18"/>
                <w:szCs w:val="18"/>
              </w:rPr>
            </w:pPr>
            <w:r w:rsidRPr="007D62D1">
              <w:rPr>
                <w:sz w:val="18"/>
                <w:szCs w:val="18"/>
              </w:rPr>
              <w:t>TRENTHAM</w:t>
            </w:r>
          </w:p>
        </w:tc>
        <w:tc>
          <w:tcPr>
            <w:tcW w:w="851" w:type="dxa"/>
          </w:tcPr>
          <w:p w:rsidR="00666352" w:rsidRPr="007D62D1" w:rsidRDefault="00666352" w:rsidP="001C6736">
            <w:pPr>
              <w:cnfStyle w:val="000000100000" w:firstRow="0" w:lastRow="0" w:firstColumn="0" w:lastColumn="0" w:oddVBand="0" w:evenVBand="0" w:oddHBand="1" w:evenHBand="0" w:firstRowFirstColumn="0" w:firstRowLastColumn="0" w:lastRowFirstColumn="0" w:lastRowLastColumn="0"/>
              <w:rPr>
                <w:sz w:val="18"/>
                <w:szCs w:val="18"/>
              </w:rPr>
            </w:pPr>
            <w:r w:rsidRPr="007D62D1">
              <w:rPr>
                <w:sz w:val="18"/>
                <w:szCs w:val="18"/>
              </w:rPr>
              <w:t>VIC</w:t>
            </w:r>
          </w:p>
        </w:tc>
        <w:tc>
          <w:tcPr>
            <w:tcW w:w="2268" w:type="dxa"/>
            <w:vAlign w:val="bottom"/>
          </w:tcPr>
          <w:p w:rsidR="00666352" w:rsidRPr="007D62D1" w:rsidRDefault="00666352" w:rsidP="001C6736">
            <w:pPr>
              <w:cnfStyle w:val="000000100000" w:firstRow="0" w:lastRow="0" w:firstColumn="0" w:lastColumn="0" w:oddVBand="0" w:evenVBand="0" w:oddHBand="1" w:evenHBand="0" w:firstRowFirstColumn="0" w:firstRowLastColumn="0" w:lastRowFirstColumn="0" w:lastRowLastColumn="0"/>
              <w:rPr>
                <w:sz w:val="18"/>
                <w:szCs w:val="18"/>
              </w:rPr>
            </w:pPr>
            <w:r w:rsidRPr="007D62D1">
              <w:rPr>
                <w:rFonts w:eastAsia="Times New Roman"/>
                <w:color w:val="000000"/>
                <w:sz w:val="18"/>
                <w:szCs w:val="18"/>
              </w:rPr>
              <w:t>Sep 2016</w:t>
            </w:r>
          </w:p>
        </w:tc>
      </w:tr>
    </w:tbl>
    <w:p w:rsidR="007D62D1" w:rsidRPr="007D62D1" w:rsidRDefault="00603D04" w:rsidP="008B2163">
      <w:pPr>
        <w:pStyle w:val="Heading4"/>
      </w:pPr>
      <w:r>
        <w:br w:type="textWrapping" w:clear="all"/>
      </w:r>
      <w:r w:rsidR="007D62D1">
        <w:t>Planned port capacity increases – CAN site level</w:t>
      </w:r>
    </w:p>
    <w:p w:rsidR="007D62D1" w:rsidRDefault="007D62D1" w:rsidP="00603D04">
      <w:pPr>
        <w:spacing w:before="240" w:after="240"/>
      </w:pPr>
      <w:r>
        <w:t>The following table lists the exchanges with neighbourhoods identified to be in shortage of ADSL/ADSL2+ ports and are planned for CAN site-level port capacity increases.</w:t>
      </w:r>
    </w:p>
    <w:p w:rsidR="007D62D1" w:rsidRDefault="007D62D1" w:rsidP="00603D04">
      <w:pPr>
        <w:spacing w:after="240"/>
      </w:pPr>
      <w:r>
        <w:t>This is expected to increase the number of ports available at the exchange as customers are migrated to the DSLAM at the CAN site</w:t>
      </w:r>
      <w:r w:rsidR="006201EF">
        <w:t xml:space="preserve"> (Telstra 2016d)</w:t>
      </w:r>
      <w:r>
        <w:t>.</w:t>
      </w:r>
    </w:p>
    <w:p w:rsidR="007E3FDA" w:rsidRDefault="007E3FDA" w:rsidP="00603D04">
      <w:pPr>
        <w:pStyle w:val="Caption"/>
        <w:keepNext/>
        <w:spacing w:before="240" w:after="240"/>
      </w:pPr>
      <w:r>
        <w:lastRenderedPageBreak/>
        <w:t xml:space="preserve">Figure </w:t>
      </w:r>
      <w:r>
        <w:fldChar w:fldCharType="begin"/>
      </w:r>
      <w:r>
        <w:instrText xml:space="preserve"> SEQ Figure \* ARABIC </w:instrText>
      </w:r>
      <w:r>
        <w:fldChar w:fldCharType="separate"/>
      </w:r>
      <w:r w:rsidR="00B00EAE">
        <w:rPr>
          <w:noProof/>
        </w:rPr>
        <w:t>11</w:t>
      </w:r>
      <w:r>
        <w:fldChar w:fldCharType="end"/>
      </w:r>
      <w:r>
        <w:t>: Low port exchanges with planned CAN increases</w:t>
      </w:r>
    </w:p>
    <w:tbl>
      <w:tblPr>
        <w:tblStyle w:val="GridTable4-Accent61"/>
        <w:tblW w:w="0" w:type="auto"/>
        <w:tblCellMar>
          <w:top w:w="57" w:type="dxa"/>
          <w:left w:w="57" w:type="dxa"/>
          <w:bottom w:w="57" w:type="dxa"/>
          <w:right w:w="57" w:type="dxa"/>
        </w:tblCellMar>
        <w:tblLook w:val="04A0" w:firstRow="1" w:lastRow="0" w:firstColumn="1" w:lastColumn="0" w:noHBand="0" w:noVBand="1"/>
        <w:tblDescription w:val="list of CANs with planned upgrades"/>
      </w:tblPr>
      <w:tblGrid>
        <w:gridCol w:w="3539"/>
        <w:gridCol w:w="851"/>
        <w:gridCol w:w="2268"/>
      </w:tblGrid>
      <w:tr w:rsidR="002C539F" w:rsidRPr="008168E8" w:rsidTr="00D87C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9" w:type="dxa"/>
            <w:vAlign w:val="bottom"/>
          </w:tcPr>
          <w:p w:rsidR="002C539F" w:rsidRPr="008168E8" w:rsidRDefault="002C539F" w:rsidP="001C6736">
            <w:pPr>
              <w:rPr>
                <w:sz w:val="18"/>
                <w:szCs w:val="18"/>
              </w:rPr>
            </w:pPr>
            <w:r w:rsidRPr="008168E8">
              <w:rPr>
                <w:rFonts w:eastAsia="Times New Roman"/>
                <w:sz w:val="18"/>
                <w:szCs w:val="18"/>
              </w:rPr>
              <w:t>Exchange Name</w:t>
            </w:r>
          </w:p>
        </w:tc>
        <w:tc>
          <w:tcPr>
            <w:tcW w:w="851" w:type="dxa"/>
            <w:vAlign w:val="bottom"/>
          </w:tcPr>
          <w:p w:rsidR="002C539F" w:rsidRPr="008168E8" w:rsidRDefault="002C539F" w:rsidP="001C6736">
            <w:pPr>
              <w:cnfStyle w:val="100000000000" w:firstRow="1" w:lastRow="0" w:firstColumn="0" w:lastColumn="0" w:oddVBand="0" w:evenVBand="0" w:oddHBand="0" w:evenHBand="0" w:firstRowFirstColumn="0" w:firstRowLastColumn="0" w:lastRowFirstColumn="0" w:lastRowLastColumn="0"/>
              <w:rPr>
                <w:sz w:val="18"/>
                <w:szCs w:val="18"/>
              </w:rPr>
            </w:pPr>
            <w:r w:rsidRPr="008168E8">
              <w:rPr>
                <w:rFonts w:eastAsia="Times New Roman"/>
                <w:sz w:val="18"/>
                <w:szCs w:val="18"/>
              </w:rPr>
              <w:t>State</w:t>
            </w:r>
          </w:p>
        </w:tc>
        <w:tc>
          <w:tcPr>
            <w:tcW w:w="2268" w:type="dxa"/>
          </w:tcPr>
          <w:p w:rsidR="002C539F" w:rsidRPr="008168E8" w:rsidRDefault="002C539F" w:rsidP="006201EF">
            <w:pPr>
              <w:cnfStyle w:val="100000000000" w:firstRow="1" w:lastRow="0" w:firstColumn="0" w:lastColumn="0" w:oddVBand="0" w:evenVBand="0" w:oddHBand="0" w:evenHBand="0" w:firstRowFirstColumn="0" w:firstRowLastColumn="0" w:lastRowFirstColumn="0" w:lastRowLastColumn="0"/>
              <w:rPr>
                <w:rFonts w:eastAsia="Times New Roman"/>
                <w:sz w:val="18"/>
                <w:szCs w:val="18"/>
              </w:rPr>
            </w:pPr>
            <w:r w:rsidRPr="008168E8">
              <w:rPr>
                <w:rFonts w:eastAsia="Times New Roman"/>
                <w:sz w:val="18"/>
                <w:szCs w:val="18"/>
              </w:rPr>
              <w:t>Planned upgrade date</w:t>
            </w:r>
          </w:p>
        </w:tc>
      </w:tr>
      <w:tr w:rsidR="008168E8" w:rsidRPr="008168E8" w:rsidTr="009C5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8168E8" w:rsidRPr="008168E8" w:rsidRDefault="008168E8" w:rsidP="001C6736">
            <w:pPr>
              <w:rPr>
                <w:sz w:val="18"/>
                <w:szCs w:val="18"/>
              </w:rPr>
            </w:pPr>
            <w:r w:rsidRPr="008168E8">
              <w:rPr>
                <w:sz w:val="18"/>
                <w:szCs w:val="18"/>
              </w:rPr>
              <w:t>BEECHBORO</w:t>
            </w:r>
          </w:p>
        </w:tc>
        <w:tc>
          <w:tcPr>
            <w:tcW w:w="851" w:type="dxa"/>
          </w:tcPr>
          <w:p w:rsidR="008168E8" w:rsidRPr="008168E8" w:rsidRDefault="008168E8" w:rsidP="001C6736">
            <w:pPr>
              <w:cnfStyle w:val="000000100000" w:firstRow="0" w:lastRow="0" w:firstColumn="0" w:lastColumn="0" w:oddVBand="0" w:evenVBand="0" w:oddHBand="1" w:evenHBand="0" w:firstRowFirstColumn="0" w:firstRowLastColumn="0" w:lastRowFirstColumn="0" w:lastRowLastColumn="0"/>
              <w:rPr>
                <w:sz w:val="18"/>
                <w:szCs w:val="18"/>
              </w:rPr>
            </w:pPr>
            <w:r w:rsidRPr="008168E8">
              <w:rPr>
                <w:sz w:val="18"/>
                <w:szCs w:val="18"/>
              </w:rPr>
              <w:t>WA</w:t>
            </w:r>
          </w:p>
        </w:tc>
        <w:tc>
          <w:tcPr>
            <w:tcW w:w="2268" w:type="dxa"/>
          </w:tcPr>
          <w:p w:rsidR="008168E8" w:rsidRPr="008168E8" w:rsidRDefault="008168E8" w:rsidP="001C6736">
            <w:pPr>
              <w:cnfStyle w:val="000000100000" w:firstRow="0" w:lastRow="0" w:firstColumn="0" w:lastColumn="0" w:oddVBand="0" w:evenVBand="0" w:oddHBand="1" w:evenHBand="0" w:firstRowFirstColumn="0" w:firstRowLastColumn="0" w:lastRowFirstColumn="0" w:lastRowLastColumn="0"/>
              <w:rPr>
                <w:sz w:val="18"/>
                <w:szCs w:val="18"/>
              </w:rPr>
            </w:pPr>
            <w:r w:rsidRPr="008168E8">
              <w:rPr>
                <w:sz w:val="18"/>
                <w:szCs w:val="18"/>
              </w:rPr>
              <w:t>Oct 2016</w:t>
            </w:r>
          </w:p>
        </w:tc>
      </w:tr>
      <w:tr w:rsidR="008168E8" w:rsidRPr="008168E8" w:rsidTr="009C57EF">
        <w:tc>
          <w:tcPr>
            <w:cnfStyle w:val="001000000000" w:firstRow="0" w:lastRow="0" w:firstColumn="1" w:lastColumn="0" w:oddVBand="0" w:evenVBand="0" w:oddHBand="0" w:evenHBand="0" w:firstRowFirstColumn="0" w:firstRowLastColumn="0" w:lastRowFirstColumn="0" w:lastRowLastColumn="0"/>
            <w:tcW w:w="3539" w:type="dxa"/>
          </w:tcPr>
          <w:p w:rsidR="008168E8" w:rsidRPr="008168E8" w:rsidRDefault="008168E8" w:rsidP="001C6736">
            <w:pPr>
              <w:rPr>
                <w:sz w:val="18"/>
                <w:szCs w:val="18"/>
              </w:rPr>
            </w:pPr>
            <w:r w:rsidRPr="008168E8">
              <w:rPr>
                <w:sz w:val="18"/>
                <w:szCs w:val="18"/>
              </w:rPr>
              <w:t>BANORA POINT</w:t>
            </w:r>
          </w:p>
        </w:tc>
        <w:tc>
          <w:tcPr>
            <w:tcW w:w="851" w:type="dxa"/>
          </w:tcPr>
          <w:p w:rsidR="008168E8" w:rsidRPr="008168E8" w:rsidRDefault="008168E8" w:rsidP="001C6736">
            <w:pPr>
              <w:cnfStyle w:val="000000000000" w:firstRow="0" w:lastRow="0" w:firstColumn="0" w:lastColumn="0" w:oddVBand="0" w:evenVBand="0" w:oddHBand="0" w:evenHBand="0" w:firstRowFirstColumn="0" w:firstRowLastColumn="0" w:lastRowFirstColumn="0" w:lastRowLastColumn="0"/>
              <w:rPr>
                <w:sz w:val="18"/>
                <w:szCs w:val="18"/>
              </w:rPr>
            </w:pPr>
            <w:r w:rsidRPr="008168E8">
              <w:rPr>
                <w:sz w:val="18"/>
                <w:szCs w:val="18"/>
              </w:rPr>
              <w:t>NSW</w:t>
            </w:r>
          </w:p>
        </w:tc>
        <w:tc>
          <w:tcPr>
            <w:tcW w:w="2268" w:type="dxa"/>
          </w:tcPr>
          <w:p w:rsidR="008168E8" w:rsidRPr="008168E8" w:rsidRDefault="008168E8" w:rsidP="001C6736">
            <w:pPr>
              <w:cnfStyle w:val="000000000000" w:firstRow="0" w:lastRow="0" w:firstColumn="0" w:lastColumn="0" w:oddVBand="0" w:evenVBand="0" w:oddHBand="0" w:evenHBand="0" w:firstRowFirstColumn="0" w:firstRowLastColumn="0" w:lastRowFirstColumn="0" w:lastRowLastColumn="0"/>
              <w:rPr>
                <w:sz w:val="18"/>
                <w:szCs w:val="18"/>
              </w:rPr>
            </w:pPr>
            <w:r w:rsidRPr="008168E8">
              <w:rPr>
                <w:sz w:val="18"/>
                <w:szCs w:val="18"/>
              </w:rPr>
              <w:t>Sep 2016</w:t>
            </w:r>
          </w:p>
        </w:tc>
      </w:tr>
      <w:tr w:rsidR="008168E8" w:rsidRPr="008168E8" w:rsidTr="009C5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8168E8" w:rsidRPr="008168E8" w:rsidRDefault="008168E8" w:rsidP="001C6736">
            <w:pPr>
              <w:rPr>
                <w:sz w:val="18"/>
                <w:szCs w:val="18"/>
              </w:rPr>
            </w:pPr>
            <w:r w:rsidRPr="008168E8">
              <w:rPr>
                <w:sz w:val="18"/>
                <w:szCs w:val="18"/>
              </w:rPr>
              <w:t>CESSNOCK</w:t>
            </w:r>
          </w:p>
        </w:tc>
        <w:tc>
          <w:tcPr>
            <w:tcW w:w="851" w:type="dxa"/>
          </w:tcPr>
          <w:p w:rsidR="008168E8" w:rsidRPr="008168E8" w:rsidRDefault="008168E8" w:rsidP="001C6736">
            <w:pPr>
              <w:cnfStyle w:val="000000100000" w:firstRow="0" w:lastRow="0" w:firstColumn="0" w:lastColumn="0" w:oddVBand="0" w:evenVBand="0" w:oddHBand="1" w:evenHBand="0" w:firstRowFirstColumn="0" w:firstRowLastColumn="0" w:lastRowFirstColumn="0" w:lastRowLastColumn="0"/>
              <w:rPr>
                <w:sz w:val="18"/>
                <w:szCs w:val="18"/>
              </w:rPr>
            </w:pPr>
            <w:r w:rsidRPr="008168E8">
              <w:rPr>
                <w:sz w:val="18"/>
                <w:szCs w:val="18"/>
              </w:rPr>
              <w:t>NSW</w:t>
            </w:r>
          </w:p>
        </w:tc>
        <w:tc>
          <w:tcPr>
            <w:tcW w:w="2268" w:type="dxa"/>
          </w:tcPr>
          <w:p w:rsidR="008168E8" w:rsidRPr="008168E8" w:rsidRDefault="008168E8" w:rsidP="001C6736">
            <w:pPr>
              <w:cnfStyle w:val="000000100000" w:firstRow="0" w:lastRow="0" w:firstColumn="0" w:lastColumn="0" w:oddVBand="0" w:evenVBand="0" w:oddHBand="1" w:evenHBand="0" w:firstRowFirstColumn="0" w:firstRowLastColumn="0" w:lastRowFirstColumn="0" w:lastRowLastColumn="0"/>
              <w:rPr>
                <w:sz w:val="18"/>
                <w:szCs w:val="18"/>
              </w:rPr>
            </w:pPr>
            <w:r w:rsidRPr="008168E8">
              <w:rPr>
                <w:sz w:val="18"/>
                <w:szCs w:val="18"/>
              </w:rPr>
              <w:t>Dec 2016</w:t>
            </w:r>
          </w:p>
        </w:tc>
      </w:tr>
      <w:tr w:rsidR="008168E8" w:rsidRPr="008168E8" w:rsidTr="009C57EF">
        <w:tc>
          <w:tcPr>
            <w:cnfStyle w:val="001000000000" w:firstRow="0" w:lastRow="0" w:firstColumn="1" w:lastColumn="0" w:oddVBand="0" w:evenVBand="0" w:oddHBand="0" w:evenHBand="0" w:firstRowFirstColumn="0" w:firstRowLastColumn="0" w:lastRowFirstColumn="0" w:lastRowLastColumn="0"/>
            <w:tcW w:w="3539" w:type="dxa"/>
          </w:tcPr>
          <w:p w:rsidR="008168E8" w:rsidRPr="008168E8" w:rsidRDefault="008168E8" w:rsidP="001C6736">
            <w:pPr>
              <w:rPr>
                <w:sz w:val="18"/>
                <w:szCs w:val="18"/>
              </w:rPr>
            </w:pPr>
            <w:r w:rsidRPr="008168E8">
              <w:rPr>
                <w:sz w:val="18"/>
                <w:szCs w:val="18"/>
              </w:rPr>
              <w:t>HEIDELBERG</w:t>
            </w:r>
          </w:p>
        </w:tc>
        <w:tc>
          <w:tcPr>
            <w:tcW w:w="851" w:type="dxa"/>
          </w:tcPr>
          <w:p w:rsidR="008168E8" w:rsidRPr="008168E8" w:rsidRDefault="008168E8" w:rsidP="001C6736">
            <w:pPr>
              <w:cnfStyle w:val="000000000000" w:firstRow="0" w:lastRow="0" w:firstColumn="0" w:lastColumn="0" w:oddVBand="0" w:evenVBand="0" w:oddHBand="0" w:evenHBand="0" w:firstRowFirstColumn="0" w:firstRowLastColumn="0" w:lastRowFirstColumn="0" w:lastRowLastColumn="0"/>
              <w:rPr>
                <w:sz w:val="18"/>
                <w:szCs w:val="18"/>
              </w:rPr>
            </w:pPr>
            <w:r w:rsidRPr="008168E8">
              <w:rPr>
                <w:sz w:val="18"/>
                <w:szCs w:val="18"/>
              </w:rPr>
              <w:t>VIC</w:t>
            </w:r>
          </w:p>
        </w:tc>
        <w:tc>
          <w:tcPr>
            <w:tcW w:w="2268" w:type="dxa"/>
          </w:tcPr>
          <w:p w:rsidR="008168E8" w:rsidRPr="008168E8" w:rsidRDefault="008168E8" w:rsidP="001C6736">
            <w:pPr>
              <w:cnfStyle w:val="000000000000" w:firstRow="0" w:lastRow="0" w:firstColumn="0" w:lastColumn="0" w:oddVBand="0" w:evenVBand="0" w:oddHBand="0" w:evenHBand="0" w:firstRowFirstColumn="0" w:firstRowLastColumn="0" w:lastRowFirstColumn="0" w:lastRowLastColumn="0"/>
              <w:rPr>
                <w:sz w:val="18"/>
                <w:szCs w:val="18"/>
              </w:rPr>
            </w:pPr>
            <w:r w:rsidRPr="008168E8">
              <w:rPr>
                <w:sz w:val="18"/>
                <w:szCs w:val="18"/>
              </w:rPr>
              <w:t>Sep 2016</w:t>
            </w:r>
          </w:p>
        </w:tc>
      </w:tr>
      <w:tr w:rsidR="008168E8" w:rsidRPr="008168E8" w:rsidTr="009C5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8168E8" w:rsidRPr="008168E8" w:rsidRDefault="008168E8" w:rsidP="001C6736">
            <w:pPr>
              <w:rPr>
                <w:sz w:val="18"/>
                <w:szCs w:val="18"/>
              </w:rPr>
            </w:pPr>
            <w:r w:rsidRPr="008168E8">
              <w:rPr>
                <w:sz w:val="18"/>
                <w:szCs w:val="18"/>
              </w:rPr>
              <w:t>HENLEY BEACH</w:t>
            </w:r>
          </w:p>
        </w:tc>
        <w:tc>
          <w:tcPr>
            <w:tcW w:w="851" w:type="dxa"/>
          </w:tcPr>
          <w:p w:rsidR="008168E8" w:rsidRPr="008168E8" w:rsidRDefault="008168E8" w:rsidP="001C6736">
            <w:pPr>
              <w:cnfStyle w:val="000000100000" w:firstRow="0" w:lastRow="0" w:firstColumn="0" w:lastColumn="0" w:oddVBand="0" w:evenVBand="0" w:oddHBand="1" w:evenHBand="0" w:firstRowFirstColumn="0" w:firstRowLastColumn="0" w:lastRowFirstColumn="0" w:lastRowLastColumn="0"/>
              <w:rPr>
                <w:sz w:val="18"/>
                <w:szCs w:val="18"/>
              </w:rPr>
            </w:pPr>
            <w:r w:rsidRPr="008168E8">
              <w:rPr>
                <w:sz w:val="18"/>
                <w:szCs w:val="18"/>
              </w:rPr>
              <w:t>SA</w:t>
            </w:r>
          </w:p>
        </w:tc>
        <w:tc>
          <w:tcPr>
            <w:tcW w:w="2268" w:type="dxa"/>
          </w:tcPr>
          <w:p w:rsidR="008168E8" w:rsidRPr="008168E8" w:rsidRDefault="008168E8" w:rsidP="001C6736">
            <w:pPr>
              <w:cnfStyle w:val="000000100000" w:firstRow="0" w:lastRow="0" w:firstColumn="0" w:lastColumn="0" w:oddVBand="0" w:evenVBand="0" w:oddHBand="1" w:evenHBand="0" w:firstRowFirstColumn="0" w:firstRowLastColumn="0" w:lastRowFirstColumn="0" w:lastRowLastColumn="0"/>
              <w:rPr>
                <w:sz w:val="18"/>
                <w:szCs w:val="18"/>
              </w:rPr>
            </w:pPr>
            <w:r w:rsidRPr="008168E8">
              <w:rPr>
                <w:sz w:val="18"/>
                <w:szCs w:val="18"/>
              </w:rPr>
              <w:t>Oct 2016</w:t>
            </w:r>
          </w:p>
        </w:tc>
      </w:tr>
      <w:tr w:rsidR="008168E8" w:rsidRPr="008168E8" w:rsidTr="009C57EF">
        <w:tc>
          <w:tcPr>
            <w:cnfStyle w:val="001000000000" w:firstRow="0" w:lastRow="0" w:firstColumn="1" w:lastColumn="0" w:oddVBand="0" w:evenVBand="0" w:oddHBand="0" w:evenHBand="0" w:firstRowFirstColumn="0" w:firstRowLastColumn="0" w:lastRowFirstColumn="0" w:lastRowLastColumn="0"/>
            <w:tcW w:w="3539" w:type="dxa"/>
          </w:tcPr>
          <w:p w:rsidR="008168E8" w:rsidRPr="008168E8" w:rsidRDefault="008168E8" w:rsidP="001C6736">
            <w:pPr>
              <w:rPr>
                <w:sz w:val="18"/>
                <w:szCs w:val="18"/>
              </w:rPr>
            </w:pPr>
            <w:r w:rsidRPr="008168E8">
              <w:rPr>
                <w:sz w:val="18"/>
                <w:szCs w:val="18"/>
              </w:rPr>
              <w:t>INGLESIDE</w:t>
            </w:r>
          </w:p>
        </w:tc>
        <w:tc>
          <w:tcPr>
            <w:tcW w:w="851" w:type="dxa"/>
          </w:tcPr>
          <w:p w:rsidR="008168E8" w:rsidRPr="008168E8" w:rsidRDefault="008168E8" w:rsidP="001C6736">
            <w:pPr>
              <w:cnfStyle w:val="000000000000" w:firstRow="0" w:lastRow="0" w:firstColumn="0" w:lastColumn="0" w:oddVBand="0" w:evenVBand="0" w:oddHBand="0" w:evenHBand="0" w:firstRowFirstColumn="0" w:firstRowLastColumn="0" w:lastRowFirstColumn="0" w:lastRowLastColumn="0"/>
              <w:rPr>
                <w:sz w:val="18"/>
                <w:szCs w:val="18"/>
              </w:rPr>
            </w:pPr>
            <w:r w:rsidRPr="008168E8">
              <w:rPr>
                <w:sz w:val="18"/>
                <w:szCs w:val="18"/>
              </w:rPr>
              <w:t>QLD</w:t>
            </w:r>
          </w:p>
        </w:tc>
        <w:tc>
          <w:tcPr>
            <w:tcW w:w="2268" w:type="dxa"/>
          </w:tcPr>
          <w:p w:rsidR="008168E8" w:rsidRPr="008168E8" w:rsidRDefault="008168E8" w:rsidP="001C6736">
            <w:pPr>
              <w:cnfStyle w:val="000000000000" w:firstRow="0" w:lastRow="0" w:firstColumn="0" w:lastColumn="0" w:oddVBand="0" w:evenVBand="0" w:oddHBand="0" w:evenHBand="0" w:firstRowFirstColumn="0" w:firstRowLastColumn="0" w:lastRowFirstColumn="0" w:lastRowLastColumn="0"/>
              <w:rPr>
                <w:sz w:val="18"/>
                <w:szCs w:val="18"/>
              </w:rPr>
            </w:pPr>
            <w:r w:rsidRPr="008168E8">
              <w:rPr>
                <w:sz w:val="18"/>
                <w:szCs w:val="18"/>
              </w:rPr>
              <w:t>Dec 2016</w:t>
            </w:r>
          </w:p>
        </w:tc>
      </w:tr>
      <w:tr w:rsidR="008168E8" w:rsidRPr="008168E8" w:rsidTr="009C5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8168E8" w:rsidRPr="008168E8" w:rsidRDefault="008168E8" w:rsidP="001C6736">
            <w:pPr>
              <w:rPr>
                <w:rFonts w:eastAsia="Times New Roman" w:cs="Arial"/>
                <w:color w:val="000000"/>
                <w:sz w:val="18"/>
                <w:szCs w:val="18"/>
              </w:rPr>
            </w:pPr>
            <w:r w:rsidRPr="008168E8">
              <w:rPr>
                <w:sz w:val="18"/>
                <w:szCs w:val="18"/>
              </w:rPr>
              <w:t>LAKE CATHIE</w:t>
            </w:r>
          </w:p>
        </w:tc>
        <w:tc>
          <w:tcPr>
            <w:tcW w:w="851" w:type="dxa"/>
          </w:tcPr>
          <w:p w:rsidR="008168E8" w:rsidRPr="008168E8" w:rsidRDefault="008168E8" w:rsidP="001C673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8168E8">
              <w:rPr>
                <w:sz w:val="18"/>
                <w:szCs w:val="18"/>
              </w:rPr>
              <w:t>NSW</w:t>
            </w:r>
          </w:p>
        </w:tc>
        <w:tc>
          <w:tcPr>
            <w:tcW w:w="2268" w:type="dxa"/>
          </w:tcPr>
          <w:p w:rsidR="008168E8" w:rsidRPr="008168E8" w:rsidRDefault="008168E8" w:rsidP="001C6736">
            <w:pPr>
              <w:cnfStyle w:val="000000100000" w:firstRow="0" w:lastRow="0" w:firstColumn="0" w:lastColumn="0" w:oddVBand="0" w:evenVBand="0" w:oddHBand="1" w:evenHBand="0" w:firstRowFirstColumn="0" w:firstRowLastColumn="0" w:lastRowFirstColumn="0" w:lastRowLastColumn="0"/>
              <w:rPr>
                <w:sz w:val="18"/>
                <w:szCs w:val="18"/>
              </w:rPr>
            </w:pPr>
            <w:r w:rsidRPr="008168E8">
              <w:rPr>
                <w:sz w:val="18"/>
                <w:szCs w:val="18"/>
              </w:rPr>
              <w:t>Dec 2016</w:t>
            </w:r>
          </w:p>
        </w:tc>
      </w:tr>
      <w:tr w:rsidR="008168E8" w:rsidRPr="008168E8" w:rsidTr="009C57EF">
        <w:tc>
          <w:tcPr>
            <w:cnfStyle w:val="001000000000" w:firstRow="0" w:lastRow="0" w:firstColumn="1" w:lastColumn="0" w:oddVBand="0" w:evenVBand="0" w:oddHBand="0" w:evenHBand="0" w:firstRowFirstColumn="0" w:firstRowLastColumn="0" w:lastRowFirstColumn="0" w:lastRowLastColumn="0"/>
            <w:tcW w:w="3539" w:type="dxa"/>
          </w:tcPr>
          <w:p w:rsidR="008168E8" w:rsidRPr="008168E8" w:rsidRDefault="008168E8" w:rsidP="001C6736">
            <w:pPr>
              <w:rPr>
                <w:rFonts w:eastAsia="Times New Roman" w:cs="Arial"/>
                <w:color w:val="000000"/>
                <w:sz w:val="18"/>
                <w:szCs w:val="18"/>
              </w:rPr>
            </w:pPr>
            <w:r w:rsidRPr="008168E8">
              <w:rPr>
                <w:sz w:val="18"/>
                <w:szCs w:val="18"/>
              </w:rPr>
              <w:t>LOWOOD</w:t>
            </w:r>
          </w:p>
        </w:tc>
        <w:tc>
          <w:tcPr>
            <w:tcW w:w="851" w:type="dxa"/>
          </w:tcPr>
          <w:p w:rsidR="008168E8" w:rsidRPr="008168E8" w:rsidRDefault="008168E8" w:rsidP="001C673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8168E8">
              <w:rPr>
                <w:sz w:val="18"/>
                <w:szCs w:val="18"/>
              </w:rPr>
              <w:t>QLD</w:t>
            </w:r>
          </w:p>
        </w:tc>
        <w:tc>
          <w:tcPr>
            <w:tcW w:w="2268" w:type="dxa"/>
          </w:tcPr>
          <w:p w:rsidR="008168E8" w:rsidRPr="008168E8" w:rsidRDefault="008168E8" w:rsidP="001C6736">
            <w:pPr>
              <w:cnfStyle w:val="000000000000" w:firstRow="0" w:lastRow="0" w:firstColumn="0" w:lastColumn="0" w:oddVBand="0" w:evenVBand="0" w:oddHBand="0" w:evenHBand="0" w:firstRowFirstColumn="0" w:firstRowLastColumn="0" w:lastRowFirstColumn="0" w:lastRowLastColumn="0"/>
              <w:rPr>
                <w:sz w:val="18"/>
                <w:szCs w:val="18"/>
              </w:rPr>
            </w:pPr>
            <w:r w:rsidRPr="008168E8">
              <w:rPr>
                <w:sz w:val="18"/>
                <w:szCs w:val="18"/>
              </w:rPr>
              <w:t>Oct 2016</w:t>
            </w:r>
          </w:p>
        </w:tc>
      </w:tr>
      <w:tr w:rsidR="008168E8" w:rsidRPr="008168E8" w:rsidTr="009C5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8168E8" w:rsidRPr="008168E8" w:rsidRDefault="008168E8" w:rsidP="001C6736">
            <w:pPr>
              <w:rPr>
                <w:rFonts w:eastAsia="Times New Roman" w:cs="Arial"/>
                <w:color w:val="000000"/>
                <w:sz w:val="18"/>
                <w:szCs w:val="18"/>
              </w:rPr>
            </w:pPr>
            <w:r w:rsidRPr="008168E8">
              <w:rPr>
                <w:sz w:val="18"/>
                <w:szCs w:val="18"/>
              </w:rPr>
              <w:t>LITTLE GROVE</w:t>
            </w:r>
          </w:p>
        </w:tc>
        <w:tc>
          <w:tcPr>
            <w:tcW w:w="851" w:type="dxa"/>
          </w:tcPr>
          <w:p w:rsidR="008168E8" w:rsidRPr="008168E8" w:rsidRDefault="008168E8" w:rsidP="001C673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8168E8">
              <w:rPr>
                <w:sz w:val="18"/>
                <w:szCs w:val="18"/>
              </w:rPr>
              <w:t>WA</w:t>
            </w:r>
          </w:p>
        </w:tc>
        <w:tc>
          <w:tcPr>
            <w:tcW w:w="2268" w:type="dxa"/>
          </w:tcPr>
          <w:p w:rsidR="008168E8" w:rsidRPr="008168E8" w:rsidRDefault="008168E8" w:rsidP="001C6736">
            <w:pPr>
              <w:cnfStyle w:val="000000100000" w:firstRow="0" w:lastRow="0" w:firstColumn="0" w:lastColumn="0" w:oddVBand="0" w:evenVBand="0" w:oddHBand="1" w:evenHBand="0" w:firstRowFirstColumn="0" w:firstRowLastColumn="0" w:lastRowFirstColumn="0" w:lastRowLastColumn="0"/>
              <w:rPr>
                <w:sz w:val="18"/>
                <w:szCs w:val="18"/>
              </w:rPr>
            </w:pPr>
            <w:r w:rsidRPr="008168E8">
              <w:rPr>
                <w:sz w:val="18"/>
                <w:szCs w:val="18"/>
              </w:rPr>
              <w:t>Dec 2016</w:t>
            </w:r>
          </w:p>
        </w:tc>
      </w:tr>
      <w:tr w:rsidR="008168E8" w:rsidRPr="008168E8" w:rsidTr="009C57EF">
        <w:tc>
          <w:tcPr>
            <w:cnfStyle w:val="001000000000" w:firstRow="0" w:lastRow="0" w:firstColumn="1" w:lastColumn="0" w:oddVBand="0" w:evenVBand="0" w:oddHBand="0" w:evenHBand="0" w:firstRowFirstColumn="0" w:firstRowLastColumn="0" w:lastRowFirstColumn="0" w:lastRowLastColumn="0"/>
            <w:tcW w:w="3539" w:type="dxa"/>
          </w:tcPr>
          <w:p w:rsidR="008168E8" w:rsidRPr="008168E8" w:rsidRDefault="008168E8" w:rsidP="001C6736">
            <w:pPr>
              <w:rPr>
                <w:rFonts w:eastAsia="Times New Roman" w:cs="Arial"/>
                <w:color w:val="000000"/>
                <w:sz w:val="18"/>
                <w:szCs w:val="18"/>
              </w:rPr>
            </w:pPr>
            <w:r w:rsidRPr="008168E8">
              <w:rPr>
                <w:sz w:val="18"/>
                <w:szCs w:val="18"/>
              </w:rPr>
              <w:t>MUNDIJONG</w:t>
            </w:r>
          </w:p>
        </w:tc>
        <w:tc>
          <w:tcPr>
            <w:tcW w:w="851" w:type="dxa"/>
          </w:tcPr>
          <w:p w:rsidR="008168E8" w:rsidRPr="008168E8" w:rsidRDefault="008168E8" w:rsidP="001C6736">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rPr>
            </w:pPr>
            <w:r w:rsidRPr="008168E8">
              <w:rPr>
                <w:sz w:val="18"/>
                <w:szCs w:val="18"/>
              </w:rPr>
              <w:t>WA</w:t>
            </w:r>
          </w:p>
        </w:tc>
        <w:tc>
          <w:tcPr>
            <w:tcW w:w="2268" w:type="dxa"/>
          </w:tcPr>
          <w:p w:rsidR="008168E8" w:rsidRPr="008168E8" w:rsidRDefault="008168E8" w:rsidP="001C6736">
            <w:pPr>
              <w:cnfStyle w:val="000000000000" w:firstRow="0" w:lastRow="0" w:firstColumn="0" w:lastColumn="0" w:oddVBand="0" w:evenVBand="0" w:oddHBand="0" w:evenHBand="0" w:firstRowFirstColumn="0" w:firstRowLastColumn="0" w:lastRowFirstColumn="0" w:lastRowLastColumn="0"/>
              <w:rPr>
                <w:sz w:val="18"/>
                <w:szCs w:val="18"/>
              </w:rPr>
            </w:pPr>
            <w:r w:rsidRPr="008168E8">
              <w:rPr>
                <w:sz w:val="18"/>
                <w:szCs w:val="18"/>
              </w:rPr>
              <w:t>Aug 2016</w:t>
            </w:r>
          </w:p>
        </w:tc>
      </w:tr>
      <w:tr w:rsidR="008168E8" w:rsidRPr="008168E8" w:rsidTr="009C5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8168E8" w:rsidRPr="008168E8" w:rsidRDefault="008168E8" w:rsidP="001C6736">
            <w:pPr>
              <w:rPr>
                <w:rFonts w:eastAsia="Times New Roman" w:cs="Arial"/>
                <w:color w:val="000000"/>
                <w:sz w:val="18"/>
                <w:szCs w:val="18"/>
              </w:rPr>
            </w:pPr>
            <w:r w:rsidRPr="008168E8">
              <w:rPr>
                <w:sz w:val="18"/>
                <w:szCs w:val="18"/>
              </w:rPr>
              <w:t>ROSEBUD</w:t>
            </w:r>
          </w:p>
        </w:tc>
        <w:tc>
          <w:tcPr>
            <w:tcW w:w="851" w:type="dxa"/>
          </w:tcPr>
          <w:p w:rsidR="008168E8" w:rsidRPr="008168E8" w:rsidRDefault="008168E8" w:rsidP="001C6736">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8168E8">
              <w:rPr>
                <w:sz w:val="18"/>
                <w:szCs w:val="18"/>
              </w:rPr>
              <w:t>VIC</w:t>
            </w:r>
          </w:p>
        </w:tc>
        <w:tc>
          <w:tcPr>
            <w:tcW w:w="2268" w:type="dxa"/>
          </w:tcPr>
          <w:p w:rsidR="008168E8" w:rsidRPr="008168E8" w:rsidRDefault="008168E8" w:rsidP="001C6736">
            <w:pPr>
              <w:cnfStyle w:val="000000100000" w:firstRow="0" w:lastRow="0" w:firstColumn="0" w:lastColumn="0" w:oddVBand="0" w:evenVBand="0" w:oddHBand="1" w:evenHBand="0" w:firstRowFirstColumn="0" w:firstRowLastColumn="0" w:lastRowFirstColumn="0" w:lastRowLastColumn="0"/>
              <w:rPr>
                <w:sz w:val="18"/>
                <w:szCs w:val="18"/>
              </w:rPr>
            </w:pPr>
            <w:r w:rsidRPr="008168E8">
              <w:rPr>
                <w:sz w:val="18"/>
                <w:szCs w:val="18"/>
              </w:rPr>
              <w:t>Nov 2016</w:t>
            </w:r>
          </w:p>
        </w:tc>
      </w:tr>
      <w:tr w:rsidR="008168E8" w:rsidRPr="008168E8" w:rsidTr="009C57EF">
        <w:tc>
          <w:tcPr>
            <w:cnfStyle w:val="001000000000" w:firstRow="0" w:lastRow="0" w:firstColumn="1" w:lastColumn="0" w:oddVBand="0" w:evenVBand="0" w:oddHBand="0" w:evenHBand="0" w:firstRowFirstColumn="0" w:firstRowLastColumn="0" w:lastRowFirstColumn="0" w:lastRowLastColumn="0"/>
            <w:tcW w:w="3539" w:type="dxa"/>
          </w:tcPr>
          <w:p w:rsidR="008168E8" w:rsidRPr="008168E8" w:rsidRDefault="008168E8" w:rsidP="001C6736">
            <w:pPr>
              <w:rPr>
                <w:sz w:val="18"/>
                <w:szCs w:val="18"/>
              </w:rPr>
            </w:pPr>
            <w:r w:rsidRPr="008168E8">
              <w:rPr>
                <w:sz w:val="18"/>
                <w:szCs w:val="18"/>
              </w:rPr>
              <w:t>TAMBORINE MOUNTAIN</w:t>
            </w:r>
          </w:p>
        </w:tc>
        <w:tc>
          <w:tcPr>
            <w:tcW w:w="851" w:type="dxa"/>
          </w:tcPr>
          <w:p w:rsidR="008168E8" w:rsidRPr="008168E8" w:rsidRDefault="008168E8" w:rsidP="001C6736">
            <w:pPr>
              <w:cnfStyle w:val="000000000000" w:firstRow="0" w:lastRow="0" w:firstColumn="0" w:lastColumn="0" w:oddVBand="0" w:evenVBand="0" w:oddHBand="0" w:evenHBand="0" w:firstRowFirstColumn="0" w:firstRowLastColumn="0" w:lastRowFirstColumn="0" w:lastRowLastColumn="0"/>
              <w:rPr>
                <w:sz w:val="18"/>
                <w:szCs w:val="18"/>
              </w:rPr>
            </w:pPr>
            <w:r w:rsidRPr="008168E8">
              <w:rPr>
                <w:sz w:val="18"/>
                <w:szCs w:val="18"/>
              </w:rPr>
              <w:t>QLD</w:t>
            </w:r>
          </w:p>
        </w:tc>
        <w:tc>
          <w:tcPr>
            <w:tcW w:w="2268" w:type="dxa"/>
          </w:tcPr>
          <w:p w:rsidR="008168E8" w:rsidRPr="008168E8" w:rsidRDefault="008168E8" w:rsidP="001C6736">
            <w:pPr>
              <w:cnfStyle w:val="000000000000" w:firstRow="0" w:lastRow="0" w:firstColumn="0" w:lastColumn="0" w:oddVBand="0" w:evenVBand="0" w:oddHBand="0" w:evenHBand="0" w:firstRowFirstColumn="0" w:firstRowLastColumn="0" w:lastRowFirstColumn="0" w:lastRowLastColumn="0"/>
              <w:rPr>
                <w:sz w:val="18"/>
                <w:szCs w:val="18"/>
              </w:rPr>
            </w:pPr>
            <w:r w:rsidRPr="008168E8">
              <w:rPr>
                <w:sz w:val="18"/>
                <w:szCs w:val="18"/>
              </w:rPr>
              <w:t>Sep 2016</w:t>
            </w:r>
          </w:p>
        </w:tc>
      </w:tr>
    </w:tbl>
    <w:p w:rsidR="006329C0" w:rsidRDefault="006329C0" w:rsidP="00603D04">
      <w:pPr>
        <w:spacing w:after="240"/>
      </w:pPr>
      <w:r>
        <w:br w:type="page"/>
      </w:r>
    </w:p>
    <w:p w:rsidR="00666352" w:rsidRDefault="008B2163" w:rsidP="008B2163">
      <w:pPr>
        <w:pStyle w:val="Heading2"/>
      </w:pPr>
      <w:bookmarkStart w:id="32" w:name="_Toc461180968"/>
      <w:r>
        <w:lastRenderedPageBreak/>
        <w:t xml:space="preserve">Appendix B: </w:t>
      </w:r>
      <w:r w:rsidR="006329C0">
        <w:t>Datasets used</w:t>
      </w:r>
      <w:bookmarkEnd w:id="32"/>
    </w:p>
    <w:p w:rsidR="007E3FDA" w:rsidRDefault="007E3FDA" w:rsidP="00603D04">
      <w:pPr>
        <w:pStyle w:val="Caption"/>
        <w:keepNext/>
        <w:spacing w:before="240" w:after="240"/>
      </w:pPr>
      <w:r>
        <w:t xml:space="preserve">Figure </w:t>
      </w:r>
      <w:r>
        <w:fldChar w:fldCharType="begin"/>
      </w:r>
      <w:r>
        <w:instrText xml:space="preserve"> SEQ Figure \* ARABIC </w:instrText>
      </w:r>
      <w:r>
        <w:fldChar w:fldCharType="separate"/>
      </w:r>
      <w:r w:rsidR="00B00EAE">
        <w:rPr>
          <w:noProof/>
        </w:rPr>
        <w:t>12</w:t>
      </w:r>
      <w:r>
        <w:fldChar w:fldCharType="end"/>
      </w:r>
      <w:r>
        <w:t>: Data sets used in Analysis</w:t>
      </w:r>
    </w:p>
    <w:tbl>
      <w:tblPr>
        <w:tblStyle w:val="GridTable4-Accent61"/>
        <w:tblW w:w="5000" w:type="pct"/>
        <w:tblCellMar>
          <w:top w:w="57" w:type="dxa"/>
          <w:left w:w="57" w:type="dxa"/>
          <w:bottom w:w="57" w:type="dxa"/>
          <w:right w:w="57" w:type="dxa"/>
        </w:tblCellMar>
        <w:tblLook w:val="04A0" w:firstRow="1" w:lastRow="0" w:firstColumn="1" w:lastColumn="0" w:noHBand="0" w:noVBand="1"/>
        <w:tblDescription w:val="list of data sets used in this anaylsis"/>
      </w:tblPr>
      <w:tblGrid>
        <w:gridCol w:w="6879"/>
        <w:gridCol w:w="3695"/>
      </w:tblGrid>
      <w:tr w:rsidR="009A078C" w:rsidRPr="000168D5" w:rsidTr="00D87C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3" w:type="pct"/>
            <w:vAlign w:val="bottom"/>
          </w:tcPr>
          <w:p w:rsidR="006329C0" w:rsidRPr="000168D5" w:rsidRDefault="006329C0" w:rsidP="001C6736">
            <w:pPr>
              <w:rPr>
                <w:sz w:val="21"/>
                <w:szCs w:val="18"/>
              </w:rPr>
            </w:pPr>
            <w:r w:rsidRPr="000168D5">
              <w:rPr>
                <w:rFonts w:eastAsia="Times New Roman"/>
                <w:sz w:val="21"/>
                <w:szCs w:val="18"/>
              </w:rPr>
              <w:t>Dataset</w:t>
            </w:r>
          </w:p>
        </w:tc>
        <w:tc>
          <w:tcPr>
            <w:tcW w:w="1747" w:type="pct"/>
          </w:tcPr>
          <w:p w:rsidR="006329C0" w:rsidRPr="000168D5" w:rsidRDefault="006329C0" w:rsidP="001C6736">
            <w:pPr>
              <w:cnfStyle w:val="100000000000" w:firstRow="1" w:lastRow="0" w:firstColumn="0" w:lastColumn="0" w:oddVBand="0" w:evenVBand="0" w:oddHBand="0" w:evenHBand="0" w:firstRowFirstColumn="0" w:firstRowLastColumn="0" w:lastRowFirstColumn="0" w:lastRowLastColumn="0"/>
              <w:rPr>
                <w:rFonts w:eastAsia="Times New Roman"/>
                <w:sz w:val="21"/>
                <w:szCs w:val="18"/>
              </w:rPr>
            </w:pPr>
            <w:r w:rsidRPr="000168D5">
              <w:rPr>
                <w:rFonts w:eastAsia="Times New Roman"/>
                <w:sz w:val="21"/>
                <w:szCs w:val="18"/>
              </w:rPr>
              <w:t>Last updated by dataset provider</w:t>
            </w:r>
          </w:p>
        </w:tc>
      </w:tr>
      <w:tr w:rsidR="009A078C" w:rsidRPr="000168D5" w:rsidTr="009A0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3" w:type="pct"/>
          </w:tcPr>
          <w:p w:rsidR="006329C0" w:rsidRPr="000168D5" w:rsidRDefault="006329C0" w:rsidP="001C6736">
            <w:pPr>
              <w:rPr>
                <w:sz w:val="21"/>
                <w:szCs w:val="18"/>
              </w:rPr>
            </w:pPr>
            <w:proofErr w:type="spellStart"/>
            <w:r w:rsidRPr="000168D5">
              <w:rPr>
                <w:sz w:val="21"/>
                <w:szCs w:val="18"/>
              </w:rPr>
              <w:t>ExchangeInfo</w:t>
            </w:r>
            <w:proofErr w:type="spellEnd"/>
            <w:r w:rsidRPr="000168D5">
              <w:rPr>
                <w:sz w:val="21"/>
                <w:szCs w:val="18"/>
              </w:rPr>
              <w:t xml:space="preserve"> dataset</w:t>
            </w:r>
          </w:p>
        </w:tc>
        <w:tc>
          <w:tcPr>
            <w:tcW w:w="1747" w:type="pct"/>
          </w:tcPr>
          <w:p w:rsidR="006329C0" w:rsidRPr="000168D5" w:rsidRDefault="006329C0" w:rsidP="001C6736">
            <w:pPr>
              <w:jc w:val="center"/>
              <w:cnfStyle w:val="000000100000" w:firstRow="0" w:lastRow="0" w:firstColumn="0" w:lastColumn="0" w:oddVBand="0" w:evenVBand="0" w:oddHBand="1" w:evenHBand="0" w:firstRowFirstColumn="0" w:firstRowLastColumn="0" w:lastRowFirstColumn="0" w:lastRowLastColumn="0"/>
              <w:rPr>
                <w:sz w:val="21"/>
                <w:szCs w:val="18"/>
              </w:rPr>
            </w:pPr>
            <w:r w:rsidRPr="000168D5">
              <w:rPr>
                <w:sz w:val="21"/>
                <w:szCs w:val="18"/>
              </w:rPr>
              <w:t>Feb 2016</w:t>
            </w:r>
          </w:p>
        </w:tc>
      </w:tr>
      <w:tr w:rsidR="009A078C" w:rsidRPr="000168D5" w:rsidTr="009A078C">
        <w:tc>
          <w:tcPr>
            <w:cnfStyle w:val="001000000000" w:firstRow="0" w:lastRow="0" w:firstColumn="1" w:lastColumn="0" w:oddVBand="0" w:evenVBand="0" w:oddHBand="0" w:evenHBand="0" w:firstRowFirstColumn="0" w:firstRowLastColumn="0" w:lastRowFirstColumn="0" w:lastRowLastColumn="0"/>
            <w:tcW w:w="3253" w:type="pct"/>
          </w:tcPr>
          <w:p w:rsidR="006329C0" w:rsidRPr="000168D5" w:rsidRDefault="000168D5" w:rsidP="001C6736">
            <w:pPr>
              <w:rPr>
                <w:sz w:val="21"/>
                <w:szCs w:val="18"/>
              </w:rPr>
            </w:pPr>
            <w:r w:rsidRPr="000168D5">
              <w:rPr>
                <w:sz w:val="21"/>
                <w:szCs w:val="18"/>
              </w:rPr>
              <w:t>Geocoded National Address File (G-NAF)</w:t>
            </w:r>
          </w:p>
        </w:tc>
        <w:tc>
          <w:tcPr>
            <w:tcW w:w="1747" w:type="pct"/>
          </w:tcPr>
          <w:p w:rsidR="006329C0" w:rsidRPr="000168D5" w:rsidRDefault="000168D5" w:rsidP="001C6736">
            <w:pPr>
              <w:jc w:val="center"/>
              <w:cnfStyle w:val="000000000000" w:firstRow="0" w:lastRow="0" w:firstColumn="0" w:lastColumn="0" w:oddVBand="0" w:evenVBand="0" w:oddHBand="0" w:evenHBand="0" w:firstRowFirstColumn="0" w:firstRowLastColumn="0" w:lastRowFirstColumn="0" w:lastRowLastColumn="0"/>
              <w:rPr>
                <w:sz w:val="21"/>
                <w:szCs w:val="18"/>
              </w:rPr>
            </w:pPr>
            <w:r w:rsidRPr="000168D5">
              <w:rPr>
                <w:sz w:val="21"/>
                <w:szCs w:val="18"/>
              </w:rPr>
              <w:t>Feb 2016</w:t>
            </w:r>
          </w:p>
        </w:tc>
      </w:tr>
      <w:tr w:rsidR="009A078C" w:rsidRPr="000168D5" w:rsidTr="009A0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3" w:type="pct"/>
          </w:tcPr>
          <w:p w:rsidR="000168D5" w:rsidRPr="000168D5" w:rsidRDefault="000168D5" w:rsidP="001C6736">
            <w:pPr>
              <w:rPr>
                <w:sz w:val="21"/>
                <w:szCs w:val="18"/>
              </w:rPr>
            </w:pPr>
            <w:r w:rsidRPr="000168D5">
              <w:rPr>
                <w:sz w:val="21"/>
                <w:szCs w:val="18"/>
              </w:rPr>
              <w:t>Telstra Wholesale ADSL Reports</w:t>
            </w:r>
          </w:p>
          <w:p w:rsidR="000168D5" w:rsidRPr="000168D5" w:rsidRDefault="000168D5" w:rsidP="001C6736">
            <w:pPr>
              <w:pStyle w:val="ListParagraph"/>
              <w:numPr>
                <w:ilvl w:val="0"/>
                <w:numId w:val="5"/>
              </w:numPr>
              <w:rPr>
                <w:b w:val="0"/>
                <w:sz w:val="21"/>
                <w:szCs w:val="18"/>
              </w:rPr>
            </w:pPr>
            <w:r w:rsidRPr="000168D5">
              <w:rPr>
                <w:b w:val="0"/>
                <w:sz w:val="21"/>
                <w:szCs w:val="18"/>
              </w:rPr>
              <w:t>ADSL Enabled ESA's</w:t>
            </w:r>
          </w:p>
          <w:p w:rsidR="000168D5" w:rsidRPr="000168D5" w:rsidRDefault="000168D5" w:rsidP="001C6736">
            <w:pPr>
              <w:pStyle w:val="ListParagraph"/>
              <w:numPr>
                <w:ilvl w:val="0"/>
                <w:numId w:val="5"/>
              </w:numPr>
              <w:rPr>
                <w:b w:val="0"/>
                <w:sz w:val="21"/>
                <w:szCs w:val="18"/>
              </w:rPr>
            </w:pPr>
            <w:r w:rsidRPr="000168D5">
              <w:rPr>
                <w:b w:val="0"/>
                <w:sz w:val="21"/>
                <w:szCs w:val="18"/>
              </w:rPr>
              <w:t>Available ADSL Capacity – Exchanges</w:t>
            </w:r>
          </w:p>
          <w:p w:rsidR="000168D5" w:rsidRPr="000168D5" w:rsidRDefault="000168D5" w:rsidP="001C6736">
            <w:pPr>
              <w:pStyle w:val="ListParagraph"/>
              <w:numPr>
                <w:ilvl w:val="0"/>
                <w:numId w:val="5"/>
              </w:numPr>
              <w:rPr>
                <w:b w:val="0"/>
                <w:sz w:val="21"/>
                <w:szCs w:val="18"/>
              </w:rPr>
            </w:pPr>
            <w:r w:rsidRPr="000168D5">
              <w:rPr>
                <w:b w:val="0"/>
                <w:sz w:val="21"/>
                <w:szCs w:val="18"/>
              </w:rPr>
              <w:t>Available ADSL Capacity – CAN</w:t>
            </w:r>
          </w:p>
          <w:p w:rsidR="000168D5" w:rsidRPr="000168D5" w:rsidRDefault="000168D5" w:rsidP="001C6736">
            <w:pPr>
              <w:pStyle w:val="ListParagraph"/>
              <w:numPr>
                <w:ilvl w:val="0"/>
                <w:numId w:val="5"/>
              </w:numPr>
              <w:rPr>
                <w:b w:val="0"/>
                <w:sz w:val="21"/>
                <w:szCs w:val="18"/>
              </w:rPr>
            </w:pPr>
            <w:r w:rsidRPr="000168D5">
              <w:rPr>
                <w:b w:val="0"/>
                <w:sz w:val="21"/>
                <w:szCs w:val="18"/>
              </w:rPr>
              <w:t>Proposed ADSL Enabled Exchanges</w:t>
            </w:r>
          </w:p>
          <w:p w:rsidR="000168D5" w:rsidRPr="000168D5" w:rsidRDefault="000168D5" w:rsidP="001C6736">
            <w:pPr>
              <w:pStyle w:val="ListParagraph"/>
              <w:numPr>
                <w:ilvl w:val="0"/>
                <w:numId w:val="5"/>
              </w:numPr>
              <w:rPr>
                <w:b w:val="0"/>
                <w:sz w:val="21"/>
                <w:szCs w:val="18"/>
              </w:rPr>
            </w:pPr>
            <w:r w:rsidRPr="000168D5">
              <w:rPr>
                <w:b w:val="0"/>
                <w:sz w:val="21"/>
                <w:szCs w:val="18"/>
              </w:rPr>
              <w:t>Planned ADSL Capacity Increases - CAN</w:t>
            </w:r>
          </w:p>
          <w:p w:rsidR="000168D5" w:rsidRPr="000168D5" w:rsidRDefault="000168D5" w:rsidP="001C6736">
            <w:pPr>
              <w:pStyle w:val="ListParagraph"/>
              <w:numPr>
                <w:ilvl w:val="0"/>
                <w:numId w:val="5"/>
              </w:numPr>
              <w:rPr>
                <w:sz w:val="21"/>
                <w:szCs w:val="18"/>
              </w:rPr>
            </w:pPr>
            <w:r w:rsidRPr="000168D5">
              <w:rPr>
                <w:b w:val="0"/>
                <w:sz w:val="21"/>
                <w:szCs w:val="18"/>
              </w:rPr>
              <w:t>Planned ADSL Capacity Increases - Exchanges</w:t>
            </w:r>
          </w:p>
        </w:tc>
        <w:tc>
          <w:tcPr>
            <w:tcW w:w="1747" w:type="pct"/>
          </w:tcPr>
          <w:p w:rsidR="006329C0" w:rsidRPr="000168D5" w:rsidRDefault="000168D5" w:rsidP="001C6736">
            <w:pPr>
              <w:jc w:val="center"/>
              <w:cnfStyle w:val="000000100000" w:firstRow="0" w:lastRow="0" w:firstColumn="0" w:lastColumn="0" w:oddVBand="0" w:evenVBand="0" w:oddHBand="1" w:evenHBand="0" w:firstRowFirstColumn="0" w:firstRowLastColumn="0" w:lastRowFirstColumn="0" w:lastRowLastColumn="0"/>
              <w:rPr>
                <w:sz w:val="21"/>
                <w:szCs w:val="18"/>
              </w:rPr>
            </w:pPr>
            <w:r w:rsidRPr="000168D5">
              <w:rPr>
                <w:sz w:val="21"/>
                <w:szCs w:val="18"/>
              </w:rPr>
              <w:t>June 2016</w:t>
            </w:r>
          </w:p>
        </w:tc>
      </w:tr>
      <w:tr w:rsidR="009A078C" w:rsidRPr="000168D5" w:rsidTr="009A078C">
        <w:tc>
          <w:tcPr>
            <w:cnfStyle w:val="001000000000" w:firstRow="0" w:lastRow="0" w:firstColumn="1" w:lastColumn="0" w:oddVBand="0" w:evenVBand="0" w:oddHBand="0" w:evenHBand="0" w:firstRowFirstColumn="0" w:firstRowLastColumn="0" w:lastRowFirstColumn="0" w:lastRowLastColumn="0"/>
            <w:tcW w:w="3253" w:type="pct"/>
          </w:tcPr>
          <w:p w:rsidR="006329C0" w:rsidRPr="000168D5" w:rsidRDefault="000168D5" w:rsidP="001C6736">
            <w:pPr>
              <w:rPr>
                <w:sz w:val="21"/>
                <w:szCs w:val="18"/>
              </w:rPr>
            </w:pPr>
            <w:proofErr w:type="spellStart"/>
            <w:r w:rsidRPr="000168D5">
              <w:rPr>
                <w:sz w:val="21"/>
                <w:szCs w:val="18"/>
              </w:rPr>
              <w:t>MyBroadband</w:t>
            </w:r>
            <w:proofErr w:type="spellEnd"/>
            <w:r w:rsidRPr="000168D5">
              <w:rPr>
                <w:sz w:val="21"/>
                <w:szCs w:val="18"/>
              </w:rPr>
              <w:t xml:space="preserve"> Analysis</w:t>
            </w:r>
          </w:p>
        </w:tc>
        <w:tc>
          <w:tcPr>
            <w:tcW w:w="1747" w:type="pct"/>
          </w:tcPr>
          <w:p w:rsidR="006329C0" w:rsidRPr="000168D5" w:rsidRDefault="000168D5" w:rsidP="001C6736">
            <w:pPr>
              <w:jc w:val="center"/>
              <w:cnfStyle w:val="000000000000" w:firstRow="0" w:lastRow="0" w:firstColumn="0" w:lastColumn="0" w:oddVBand="0" w:evenVBand="0" w:oddHBand="0" w:evenHBand="0" w:firstRowFirstColumn="0" w:firstRowLastColumn="0" w:lastRowFirstColumn="0" w:lastRowLastColumn="0"/>
              <w:rPr>
                <w:sz w:val="21"/>
                <w:szCs w:val="18"/>
              </w:rPr>
            </w:pPr>
            <w:r w:rsidRPr="000168D5">
              <w:rPr>
                <w:sz w:val="21"/>
                <w:szCs w:val="18"/>
              </w:rPr>
              <w:t>December 2013</w:t>
            </w:r>
          </w:p>
        </w:tc>
      </w:tr>
      <w:tr w:rsidR="009A078C" w:rsidRPr="000168D5" w:rsidTr="009A0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3" w:type="pct"/>
          </w:tcPr>
          <w:p w:rsidR="009A078C" w:rsidRPr="000168D5" w:rsidRDefault="009A078C" w:rsidP="001C6736">
            <w:pPr>
              <w:rPr>
                <w:sz w:val="21"/>
                <w:szCs w:val="18"/>
              </w:rPr>
            </w:pPr>
            <w:r>
              <w:rPr>
                <w:sz w:val="21"/>
                <w:szCs w:val="18"/>
              </w:rPr>
              <w:t>NBN 3 year construction plan</w:t>
            </w:r>
          </w:p>
        </w:tc>
        <w:tc>
          <w:tcPr>
            <w:tcW w:w="1747" w:type="pct"/>
          </w:tcPr>
          <w:p w:rsidR="009A078C" w:rsidRPr="000168D5" w:rsidRDefault="009A078C" w:rsidP="001C6736">
            <w:pPr>
              <w:jc w:val="center"/>
              <w:cnfStyle w:val="000000100000" w:firstRow="0" w:lastRow="0" w:firstColumn="0" w:lastColumn="0" w:oddVBand="0" w:evenVBand="0" w:oddHBand="1" w:evenHBand="0" w:firstRowFirstColumn="0" w:firstRowLastColumn="0" w:lastRowFirstColumn="0" w:lastRowLastColumn="0"/>
              <w:rPr>
                <w:sz w:val="21"/>
                <w:szCs w:val="18"/>
              </w:rPr>
            </w:pPr>
            <w:r>
              <w:rPr>
                <w:sz w:val="21"/>
                <w:szCs w:val="18"/>
              </w:rPr>
              <w:t>October 2015</w:t>
            </w:r>
          </w:p>
        </w:tc>
      </w:tr>
      <w:tr w:rsidR="009A078C" w:rsidRPr="000168D5" w:rsidTr="009A078C">
        <w:tc>
          <w:tcPr>
            <w:cnfStyle w:val="001000000000" w:firstRow="0" w:lastRow="0" w:firstColumn="1" w:lastColumn="0" w:oddVBand="0" w:evenVBand="0" w:oddHBand="0" w:evenHBand="0" w:firstRowFirstColumn="0" w:firstRowLastColumn="0" w:lastRowFirstColumn="0" w:lastRowLastColumn="0"/>
            <w:tcW w:w="3253" w:type="pct"/>
          </w:tcPr>
          <w:p w:rsidR="009A078C" w:rsidRDefault="009A078C" w:rsidP="001C6736">
            <w:pPr>
              <w:rPr>
                <w:sz w:val="21"/>
                <w:szCs w:val="18"/>
              </w:rPr>
            </w:pPr>
            <w:r>
              <w:rPr>
                <w:sz w:val="21"/>
                <w:szCs w:val="18"/>
              </w:rPr>
              <w:t>NBN rollout plan (in build / active)</w:t>
            </w:r>
          </w:p>
        </w:tc>
        <w:tc>
          <w:tcPr>
            <w:tcW w:w="1747" w:type="pct"/>
          </w:tcPr>
          <w:p w:rsidR="009A078C" w:rsidRDefault="009A078C" w:rsidP="001C6736">
            <w:pPr>
              <w:jc w:val="center"/>
              <w:cnfStyle w:val="000000000000" w:firstRow="0" w:lastRow="0" w:firstColumn="0" w:lastColumn="0" w:oddVBand="0" w:evenVBand="0" w:oddHBand="0" w:evenHBand="0" w:firstRowFirstColumn="0" w:firstRowLastColumn="0" w:lastRowFirstColumn="0" w:lastRowLastColumn="0"/>
              <w:rPr>
                <w:sz w:val="21"/>
                <w:szCs w:val="18"/>
              </w:rPr>
            </w:pPr>
            <w:r>
              <w:rPr>
                <w:sz w:val="21"/>
                <w:szCs w:val="18"/>
              </w:rPr>
              <w:t>June 201</w:t>
            </w:r>
            <w:r w:rsidR="00CB6E2C">
              <w:rPr>
                <w:sz w:val="21"/>
                <w:szCs w:val="18"/>
              </w:rPr>
              <w:t>6</w:t>
            </w:r>
          </w:p>
        </w:tc>
      </w:tr>
      <w:tr w:rsidR="00095228" w:rsidRPr="000168D5" w:rsidTr="009A0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3" w:type="pct"/>
          </w:tcPr>
          <w:p w:rsidR="00095228" w:rsidRPr="000168D5" w:rsidRDefault="00095228" w:rsidP="001C6736">
            <w:pPr>
              <w:rPr>
                <w:sz w:val="21"/>
                <w:szCs w:val="18"/>
              </w:rPr>
            </w:pPr>
            <w:r>
              <w:rPr>
                <w:sz w:val="21"/>
                <w:szCs w:val="18"/>
              </w:rPr>
              <w:t>ABS 2011 Mesh Blocks</w:t>
            </w:r>
          </w:p>
        </w:tc>
        <w:tc>
          <w:tcPr>
            <w:tcW w:w="1747" w:type="pct"/>
          </w:tcPr>
          <w:p w:rsidR="00095228" w:rsidRPr="000168D5" w:rsidRDefault="00095228" w:rsidP="001C6736">
            <w:pPr>
              <w:jc w:val="center"/>
              <w:cnfStyle w:val="000000100000" w:firstRow="0" w:lastRow="0" w:firstColumn="0" w:lastColumn="0" w:oddVBand="0" w:evenVBand="0" w:oddHBand="1" w:evenHBand="0" w:firstRowFirstColumn="0" w:firstRowLastColumn="0" w:lastRowFirstColumn="0" w:lastRowLastColumn="0"/>
              <w:rPr>
                <w:sz w:val="21"/>
                <w:szCs w:val="18"/>
              </w:rPr>
            </w:pPr>
            <w:r>
              <w:rPr>
                <w:sz w:val="21"/>
                <w:szCs w:val="18"/>
              </w:rPr>
              <w:t>July 2011</w:t>
            </w:r>
          </w:p>
        </w:tc>
      </w:tr>
    </w:tbl>
    <w:p w:rsidR="008B2163" w:rsidRDefault="008B2163" w:rsidP="00603D04">
      <w:pPr>
        <w:spacing w:after="240"/>
      </w:pPr>
    </w:p>
    <w:p w:rsidR="008B2163" w:rsidRDefault="008B2163">
      <w:r>
        <w:br w:type="page"/>
      </w:r>
    </w:p>
    <w:p w:rsidR="006329C0" w:rsidRDefault="008B2163" w:rsidP="008B2163">
      <w:pPr>
        <w:pStyle w:val="Heading1"/>
      </w:pPr>
      <w:bookmarkStart w:id="33" w:name="_Toc461180969"/>
      <w:r>
        <w:lastRenderedPageBreak/>
        <w:t>References</w:t>
      </w:r>
      <w:bookmarkEnd w:id="33"/>
    </w:p>
    <w:p w:rsidR="008B2163" w:rsidRDefault="008B2163" w:rsidP="008B2163"/>
    <w:p w:rsidR="000A0D57" w:rsidRDefault="004523BD" w:rsidP="008B2163">
      <w:pPr>
        <w:spacing w:after="240"/>
      </w:pPr>
      <w:proofErr w:type="gramStart"/>
      <w:r>
        <w:t>Australian Bureau of Statistics</w:t>
      </w:r>
      <w:r w:rsidR="000A0D57">
        <w:t xml:space="preserve"> </w:t>
      </w:r>
      <w:r>
        <w:t>(</w:t>
      </w:r>
      <w:r w:rsidR="000A0D57">
        <w:t>2011</w:t>
      </w:r>
      <w:r>
        <w:t>)</w:t>
      </w:r>
      <w:r w:rsidR="000A0D57">
        <w:t xml:space="preserve"> </w:t>
      </w:r>
      <w:r>
        <w:t>Australian Statistical Geography Standard.</w:t>
      </w:r>
      <w:proofErr w:type="gramEnd"/>
      <w:r>
        <w:t xml:space="preserve"> </w:t>
      </w:r>
      <w:proofErr w:type="gramStart"/>
      <w:r w:rsidR="000A0D57">
        <w:t xml:space="preserve">‘ABS Mesh Blocks’, </w:t>
      </w:r>
      <w:hyperlink r:id="rId13" w:history="1">
        <w:r>
          <w:rPr>
            <w:rStyle w:val="Hyperlink"/>
          </w:rPr>
          <w:t>ABS Mesh Blocks</w:t>
        </w:r>
      </w:hyperlink>
      <w:r>
        <w:t>.</w:t>
      </w:r>
      <w:proofErr w:type="gramEnd"/>
      <w:r w:rsidR="000A0D57">
        <w:t xml:space="preserve"> </w:t>
      </w:r>
    </w:p>
    <w:p w:rsidR="008B2163" w:rsidRDefault="008B2163" w:rsidP="008B2163">
      <w:pPr>
        <w:spacing w:after="240"/>
      </w:pPr>
      <w:r w:rsidRPr="00A24076">
        <w:t xml:space="preserve">ACCC </w:t>
      </w:r>
      <w:r w:rsidR="004523BD">
        <w:t>(</w:t>
      </w:r>
      <w:r w:rsidRPr="00A24076">
        <w:t>2015</w:t>
      </w:r>
      <w:r w:rsidR="004523BD">
        <w:t>)</w:t>
      </w:r>
      <w:r w:rsidRPr="00A24076">
        <w:t xml:space="preserve"> ‘ACCC telecommunications reports 2013-14’, p.21</w:t>
      </w:r>
    </w:p>
    <w:p w:rsidR="004523BD" w:rsidRDefault="004523BD" w:rsidP="004523BD">
      <w:pPr>
        <w:spacing w:before="240"/>
      </w:pPr>
      <w:r>
        <w:t xml:space="preserve">Department of Communications </w:t>
      </w:r>
      <w:r>
        <w:t xml:space="preserve">and </w:t>
      </w:r>
      <w:proofErr w:type="gramStart"/>
      <w:r>
        <w:t>Arts</w:t>
      </w:r>
      <w:r>
        <w:t>(</w:t>
      </w:r>
      <w:proofErr w:type="gramEnd"/>
      <w:r>
        <w:t>2013)</w:t>
      </w:r>
      <w:r w:rsidR="00CB1A21">
        <w:t xml:space="preserve"> </w:t>
      </w:r>
      <w:hyperlink r:id="rId14" w:history="1">
        <w:proofErr w:type="spellStart"/>
        <w:r>
          <w:rPr>
            <w:rStyle w:val="Hyperlink"/>
          </w:rPr>
          <w:t>Mybroadband</w:t>
        </w:r>
        <w:proofErr w:type="spellEnd"/>
        <w:r>
          <w:rPr>
            <w:rStyle w:val="Hyperlink"/>
          </w:rPr>
          <w:t xml:space="preserve"> data</w:t>
        </w:r>
      </w:hyperlink>
      <w:r w:rsidR="00CB1A21">
        <w:t xml:space="preserve"> set.</w:t>
      </w:r>
      <w:r>
        <w:t xml:space="preserve"> </w:t>
      </w:r>
    </w:p>
    <w:p w:rsidR="008B2163" w:rsidRDefault="004523BD" w:rsidP="008B2163">
      <w:pPr>
        <w:spacing w:before="240"/>
        <w:rPr>
          <w:rStyle w:val="Hyperlink"/>
        </w:rPr>
      </w:pPr>
      <w:proofErr w:type="gramStart"/>
      <w:r>
        <w:t>Department of Prime Minister and Cabinet (</w:t>
      </w:r>
      <w:r w:rsidR="008B2163">
        <w:t>2015</w:t>
      </w:r>
      <w:r>
        <w:t>)</w:t>
      </w:r>
      <w:r w:rsidR="008B2163">
        <w:t xml:space="preserve"> ‘PSMA Geocoded National Add</w:t>
      </w:r>
      <w:r>
        <w:t xml:space="preserve">ress File (G-NAF)’, </w:t>
      </w:r>
      <w:hyperlink r:id="rId15" w:history="1">
        <w:r>
          <w:rPr>
            <w:rStyle w:val="Hyperlink"/>
          </w:rPr>
          <w:t>GNAF data</w:t>
        </w:r>
      </w:hyperlink>
      <w:r>
        <w:t>.</w:t>
      </w:r>
      <w:proofErr w:type="gramEnd"/>
      <w:r w:rsidR="008B2163">
        <w:t xml:space="preserve"> </w:t>
      </w:r>
    </w:p>
    <w:p w:rsidR="006C5E82" w:rsidRDefault="006C5E82" w:rsidP="006C5E82">
      <w:pPr>
        <w:spacing w:before="240"/>
        <w:rPr>
          <w:lang w:val="en-US"/>
        </w:rPr>
      </w:pPr>
      <w:proofErr w:type="gramStart"/>
      <w:r>
        <w:t>Internode</w:t>
      </w:r>
      <w:r w:rsidRPr="00A24076">
        <w:t xml:space="preserve"> </w:t>
      </w:r>
      <w:r>
        <w:t>(</w:t>
      </w:r>
      <w:r w:rsidRPr="00A24076">
        <w:t>2007</w:t>
      </w:r>
      <w:r>
        <w:t>)</w:t>
      </w:r>
      <w:r w:rsidRPr="00A24076">
        <w:t xml:space="preserve"> ‘</w:t>
      </w:r>
      <w:hyperlink r:id="rId16" w:history="1">
        <w:r w:rsidRPr="006C5E82">
          <w:rPr>
            <w:rStyle w:val="Hyperlink"/>
          </w:rPr>
          <w:t>Easy Broadband ADSL2+</w:t>
        </w:r>
      </w:hyperlink>
      <w:r>
        <w:t>.</w:t>
      </w:r>
      <w:proofErr w:type="gramEnd"/>
      <w:r w:rsidRPr="00A24076">
        <w:t xml:space="preserve"> </w:t>
      </w:r>
    </w:p>
    <w:p w:rsidR="000A0D57" w:rsidRDefault="006C5E82" w:rsidP="008B2163">
      <w:pPr>
        <w:spacing w:before="240"/>
      </w:pPr>
      <w:proofErr w:type="gramStart"/>
      <w:r>
        <w:t>nbn</w:t>
      </w:r>
      <w:proofErr w:type="gramEnd"/>
      <w:r>
        <w:t xml:space="preserve"> co ltd</w:t>
      </w:r>
      <w:r w:rsidR="000A0D57">
        <w:t xml:space="preserve"> </w:t>
      </w:r>
      <w:r>
        <w:t>(</w:t>
      </w:r>
      <w:r w:rsidR="000A0D57">
        <w:t>2015a</w:t>
      </w:r>
      <w:r>
        <w:t>)</w:t>
      </w:r>
      <w:r w:rsidR="000A0D57">
        <w:t xml:space="preserve"> ‘nbn Corporate Plan 2016’, p16</w:t>
      </w:r>
    </w:p>
    <w:p w:rsidR="00CB1A21" w:rsidRDefault="00CB1A21" w:rsidP="00CB1A21">
      <w:pPr>
        <w:spacing w:before="240"/>
      </w:pPr>
      <w:proofErr w:type="gramStart"/>
      <w:r>
        <w:t>nbn</w:t>
      </w:r>
      <w:proofErr w:type="gramEnd"/>
      <w:r>
        <w:t xml:space="preserve"> co ltd (2015b) ‘</w:t>
      </w:r>
      <w:hyperlink r:id="rId17" w:history="1">
        <w:r w:rsidRPr="00CB1A21">
          <w:rPr>
            <w:rStyle w:val="Hyperlink"/>
          </w:rPr>
          <w:t>Three-year construction plan’</w:t>
        </w:r>
      </w:hyperlink>
      <w:r>
        <w:t>.</w:t>
      </w:r>
    </w:p>
    <w:p w:rsidR="000A0D57" w:rsidRDefault="006C5E82" w:rsidP="008B2163">
      <w:pPr>
        <w:spacing w:before="240"/>
      </w:pPr>
      <w:r>
        <w:t>Nbn co ltd (2014</w:t>
      </w:r>
      <w:proofErr w:type="gramStart"/>
      <w:r>
        <w:t xml:space="preserve">) </w:t>
      </w:r>
      <w:r w:rsidR="006201EF">
        <w:t xml:space="preserve"> </w:t>
      </w:r>
      <w:proofErr w:type="gramEnd"/>
      <w:r>
        <w:fldChar w:fldCharType="begin"/>
      </w:r>
      <w:r>
        <w:instrText xml:space="preserve"> HYPERLINK "http://www.nbnco.com.au/corporate-information/media-centre/media-releases/new-technology-speeds-up-nbn-rollout.html" </w:instrText>
      </w:r>
      <w:r>
        <w:fldChar w:fldCharType="separate"/>
      </w:r>
      <w:r w:rsidR="000A0D57" w:rsidRPr="006C5E82">
        <w:rPr>
          <w:rStyle w:val="Hyperlink"/>
        </w:rPr>
        <w:t>New technology speeds up NBN rollout</w:t>
      </w:r>
      <w:r w:rsidRPr="006C5E82">
        <w:rPr>
          <w:rStyle w:val="Hyperlink"/>
        </w:rPr>
        <w:t xml:space="preserve"> media release</w:t>
      </w:r>
      <w:r>
        <w:fldChar w:fldCharType="end"/>
      </w:r>
      <w:r>
        <w:t xml:space="preserve">. </w:t>
      </w:r>
    </w:p>
    <w:p w:rsidR="008B2163" w:rsidRDefault="008B2163" w:rsidP="008B2163">
      <w:pPr>
        <w:spacing w:before="240"/>
      </w:pPr>
      <w:proofErr w:type="gramStart"/>
      <w:r w:rsidRPr="00A24076">
        <w:rPr>
          <w:lang w:val="en-US"/>
        </w:rPr>
        <w:t xml:space="preserve">Telstra Wholesale </w:t>
      </w:r>
      <w:r w:rsidR="006C5E82">
        <w:rPr>
          <w:lang w:val="en-US"/>
        </w:rPr>
        <w:t>(</w:t>
      </w:r>
      <w:r w:rsidRPr="00A24076">
        <w:rPr>
          <w:lang w:val="en-US"/>
        </w:rPr>
        <w:t>2015</w:t>
      </w:r>
      <w:r w:rsidR="006C5E82">
        <w:rPr>
          <w:lang w:val="en-US"/>
        </w:rPr>
        <w:t>)</w:t>
      </w:r>
      <w:r w:rsidRPr="00A24076">
        <w:rPr>
          <w:lang w:val="en-US"/>
        </w:rPr>
        <w:t xml:space="preserve"> ‘</w:t>
      </w:r>
      <w:hyperlink r:id="rId18" w:history="1">
        <w:r w:rsidRPr="006C5E82">
          <w:rPr>
            <w:rStyle w:val="Hyperlink"/>
            <w:lang w:val="en-US"/>
          </w:rPr>
          <w:t>Service qualification’</w:t>
        </w:r>
      </w:hyperlink>
      <w:r w:rsidR="006C5E82">
        <w:rPr>
          <w:lang w:val="en-US"/>
        </w:rPr>
        <w:t>.</w:t>
      </w:r>
      <w:proofErr w:type="gramEnd"/>
    </w:p>
    <w:p w:rsidR="008B2163" w:rsidRDefault="006C5E82" w:rsidP="008B2163">
      <w:pPr>
        <w:spacing w:before="240"/>
        <w:rPr>
          <w:rStyle w:val="Hyperlink"/>
        </w:rPr>
      </w:pPr>
      <w:r>
        <w:t>Telstra Wholesale</w:t>
      </w:r>
      <w:r w:rsidR="008B2163">
        <w:t xml:space="preserve"> </w:t>
      </w:r>
      <w:r>
        <w:t>(</w:t>
      </w:r>
      <w:r w:rsidR="008B2163">
        <w:t>2016a</w:t>
      </w:r>
      <w:r>
        <w:t>)</w:t>
      </w:r>
      <w:r w:rsidR="008B2163">
        <w:t xml:space="preserve"> ‘</w:t>
      </w:r>
      <w:hyperlink r:id="rId19" w:history="1">
        <w:r w:rsidR="008B2163" w:rsidRPr="006C5E82">
          <w:rPr>
            <w:rStyle w:val="Hyperlink"/>
          </w:rPr>
          <w:t>Available ADSL Capacity – CAN’</w:t>
        </w:r>
      </w:hyperlink>
      <w:r>
        <w:t>.</w:t>
      </w:r>
    </w:p>
    <w:p w:rsidR="008B2163" w:rsidRDefault="006C5E82" w:rsidP="008B2163">
      <w:pPr>
        <w:spacing w:before="240"/>
        <w:rPr>
          <w:rStyle w:val="Hyperlink"/>
        </w:rPr>
      </w:pPr>
      <w:r>
        <w:t>Telstra Wholesale (2016</w:t>
      </w:r>
      <w:r w:rsidR="008B2163">
        <w:t>b</w:t>
      </w:r>
      <w:r>
        <w:t>)</w:t>
      </w:r>
      <w:r w:rsidR="008B2163">
        <w:t xml:space="preserve"> ‘</w:t>
      </w:r>
      <w:hyperlink r:id="rId20" w:history="1">
        <w:r w:rsidR="008B2163" w:rsidRPr="006C5E82">
          <w:rPr>
            <w:rStyle w:val="Hyperlink"/>
          </w:rPr>
          <w:t>ADSL Enabled ESA's</w:t>
        </w:r>
      </w:hyperlink>
      <w:r w:rsidR="008B2163">
        <w:t xml:space="preserve">’, available at: </w:t>
      </w:r>
    </w:p>
    <w:p w:rsidR="006201EF" w:rsidRDefault="006C5E82" w:rsidP="008B2163">
      <w:pPr>
        <w:spacing w:before="240"/>
      </w:pPr>
      <w:r>
        <w:t>Telstra Wholesale (</w:t>
      </w:r>
      <w:r w:rsidR="006201EF">
        <w:t>2016c</w:t>
      </w:r>
      <w:r>
        <w:t>)</w:t>
      </w:r>
      <w:r w:rsidR="006201EF">
        <w:t xml:space="preserve"> ‘Planned ADSL Capacity Increases – Exchanges (21</w:t>
      </w:r>
      <w:r w:rsidR="006201EF" w:rsidRPr="00710427">
        <w:rPr>
          <w:vertAlign w:val="superscript"/>
        </w:rPr>
        <w:t>st</w:t>
      </w:r>
      <w:r w:rsidR="006201EF">
        <w:t xml:space="preserve"> June 2016)’</w:t>
      </w:r>
    </w:p>
    <w:p w:rsidR="006201EF" w:rsidRDefault="006C5E82" w:rsidP="008B2163">
      <w:pPr>
        <w:spacing w:before="240"/>
      </w:pPr>
      <w:r>
        <w:t>Telstra Wholesale</w:t>
      </w:r>
      <w:r w:rsidR="006201EF">
        <w:t xml:space="preserve"> </w:t>
      </w:r>
      <w:r>
        <w:t>(</w:t>
      </w:r>
      <w:r w:rsidR="006201EF">
        <w:t>2016d</w:t>
      </w:r>
      <w:r>
        <w:t>)</w:t>
      </w:r>
      <w:r w:rsidR="006201EF">
        <w:t xml:space="preserve"> ‘Planned ADSL Capacity Increases – CAN (21</w:t>
      </w:r>
      <w:r w:rsidR="006201EF" w:rsidRPr="00710427">
        <w:rPr>
          <w:vertAlign w:val="superscript"/>
        </w:rPr>
        <w:t>st</w:t>
      </w:r>
      <w:r w:rsidR="006201EF">
        <w:t xml:space="preserve"> June 2016)’</w:t>
      </w:r>
    </w:p>
    <w:p w:rsidR="006C5E82" w:rsidRDefault="006C5E82" w:rsidP="006C5E82">
      <w:pPr>
        <w:spacing w:before="240"/>
        <w:rPr>
          <w:rStyle w:val="Hyperlink"/>
        </w:rPr>
      </w:pPr>
      <w:proofErr w:type="gramStart"/>
      <w:r w:rsidRPr="000450EB">
        <w:t>T</w:t>
      </w:r>
      <w:r>
        <w:t xml:space="preserve">elecommunications </w:t>
      </w:r>
      <w:r w:rsidRPr="000450EB">
        <w:t>I</w:t>
      </w:r>
      <w:r>
        <w:t xml:space="preserve">ndustry </w:t>
      </w:r>
      <w:r w:rsidRPr="000450EB">
        <w:t>O</w:t>
      </w:r>
      <w:r>
        <w:t>mbudsman</w:t>
      </w:r>
      <w:r w:rsidRPr="000450EB">
        <w:t xml:space="preserve"> </w:t>
      </w:r>
      <w:r>
        <w:t>(</w:t>
      </w:r>
      <w:r w:rsidRPr="000450EB">
        <w:t>2015</w:t>
      </w:r>
      <w:r>
        <w:t xml:space="preserve">) Submission to the </w:t>
      </w:r>
      <w:r w:rsidRPr="000450EB">
        <w:t>2015 Reg</w:t>
      </w:r>
      <w:r>
        <w:t>ional Telecommunications Review</w:t>
      </w:r>
      <w:r w:rsidRPr="000450EB">
        <w:t xml:space="preserve">, </w:t>
      </w:r>
      <w:hyperlink r:id="rId21" w:history="1">
        <w:r>
          <w:rPr>
            <w:rStyle w:val="Hyperlink"/>
          </w:rPr>
          <w:t>TIO submission</w:t>
        </w:r>
      </w:hyperlink>
      <w:r>
        <w:t>.</w:t>
      </w:r>
      <w:proofErr w:type="gramEnd"/>
      <w:r w:rsidRPr="000450EB">
        <w:t xml:space="preserve"> </w:t>
      </w:r>
    </w:p>
    <w:p w:rsidR="006C5E82" w:rsidRPr="008B2163" w:rsidRDefault="006C5E82" w:rsidP="008B2163">
      <w:pPr>
        <w:spacing w:before="240"/>
      </w:pPr>
    </w:p>
    <w:sectPr w:rsidR="006C5E82" w:rsidRPr="008B2163" w:rsidSect="00885693">
      <w:pgSz w:w="11900" w:h="16840"/>
      <w:pgMar w:top="720" w:right="720" w:bottom="720" w:left="720"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7A18B9" w15:done="0"/>
  <w15:commentEx w15:paraId="22137276" w15:paraIdParent="777A18B9" w15:done="0"/>
  <w15:commentEx w15:paraId="5F1AD914" w15:done="0"/>
  <w15:commentEx w15:paraId="2406C7A8" w15:paraIdParent="5F1AD914" w15:done="0"/>
  <w15:commentEx w15:paraId="33264762" w15:done="0"/>
  <w15:commentEx w15:paraId="5E8D3BCA" w15:paraIdParent="33264762" w15:done="0"/>
  <w15:commentEx w15:paraId="6B3B8F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EF" w:rsidRDefault="006201EF" w:rsidP="007B5D33">
      <w:r>
        <w:separator/>
      </w:r>
    </w:p>
    <w:p w:rsidR="006201EF" w:rsidRDefault="006201EF"/>
  </w:endnote>
  <w:endnote w:type="continuationSeparator" w:id="0">
    <w:p w:rsidR="006201EF" w:rsidRDefault="006201EF" w:rsidP="007B5D33">
      <w:r>
        <w:continuationSeparator/>
      </w:r>
    </w:p>
    <w:p w:rsidR="006201EF" w:rsidRDefault="00620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altName w:val="Microsoft JhengHei Light"/>
    <w:charset w:val="00"/>
    <w:family w:val="auto"/>
    <w:pitch w:val="variable"/>
    <w:sig w:usb0="00000001" w:usb1="4000205B" w:usb2="00000028" w:usb3="00000000" w:csb0="0000019F" w:csb1="00000000"/>
  </w:font>
  <w:font w:name="Open Sans">
    <w:altName w:val="Tahoma"/>
    <w:charset w:val="00"/>
    <w:family w:val="auto"/>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51530"/>
      <w:docPartObj>
        <w:docPartGallery w:val="Page Numbers (Bottom of Page)"/>
        <w:docPartUnique/>
      </w:docPartObj>
    </w:sdtPr>
    <w:sdtEndPr>
      <w:rPr>
        <w:noProof/>
      </w:rPr>
    </w:sdtEndPr>
    <w:sdtContent>
      <w:p w:rsidR="006201EF" w:rsidRDefault="006201EF" w:rsidP="008B2163">
        <w:pPr>
          <w:pStyle w:val="Footer"/>
          <w:jc w:val="right"/>
        </w:pPr>
        <w:r>
          <w:fldChar w:fldCharType="begin"/>
        </w:r>
        <w:r>
          <w:instrText xml:space="preserve"> PAGE   \* MERGEFORMAT </w:instrText>
        </w:r>
        <w:r>
          <w:fldChar w:fldCharType="separate"/>
        </w:r>
        <w:r w:rsidR="007013C8">
          <w:rPr>
            <w:noProof/>
          </w:rPr>
          <w:t>11</w:t>
        </w:r>
        <w:r>
          <w:rPr>
            <w:noProof/>
          </w:rPr>
          <w:fldChar w:fldCharType="end"/>
        </w:r>
      </w:p>
    </w:sdtContent>
  </w:sdt>
  <w:p w:rsidR="006201EF" w:rsidRPr="00983146" w:rsidRDefault="006201EF" w:rsidP="00EE7A8F">
    <w:pPr>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EF" w:rsidRDefault="006201EF" w:rsidP="007B5D33">
      <w:r>
        <w:separator/>
      </w:r>
    </w:p>
    <w:p w:rsidR="006201EF" w:rsidRDefault="006201EF"/>
  </w:footnote>
  <w:footnote w:type="continuationSeparator" w:id="0">
    <w:p w:rsidR="006201EF" w:rsidRDefault="006201EF" w:rsidP="007B5D33">
      <w:r>
        <w:continuationSeparator/>
      </w:r>
    </w:p>
    <w:p w:rsidR="006201EF" w:rsidRDefault="006201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F3A64"/>
    <w:multiLevelType w:val="hybridMultilevel"/>
    <w:tmpl w:val="92D8E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8810C89"/>
    <w:multiLevelType w:val="hybridMultilevel"/>
    <w:tmpl w:val="2FD0B0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64612178"/>
    <w:multiLevelType w:val="hybridMultilevel"/>
    <w:tmpl w:val="85DE08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69355ABA"/>
    <w:multiLevelType w:val="hybridMultilevel"/>
    <w:tmpl w:val="925A2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995365E"/>
    <w:multiLevelType w:val="multilevel"/>
    <w:tmpl w:val="D466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30783"/>
    <w:multiLevelType w:val="hybridMultilevel"/>
    <w:tmpl w:val="B39E5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8E25054"/>
    <w:multiLevelType w:val="hybridMultilevel"/>
    <w:tmpl w:val="FCDE6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neth Tsang">
    <w15:presenceInfo w15:providerId="None" w15:userId="Kenneth Ts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33"/>
    <w:rsid w:val="000168D5"/>
    <w:rsid w:val="00020136"/>
    <w:rsid w:val="0002361B"/>
    <w:rsid w:val="00041FFC"/>
    <w:rsid w:val="000450EB"/>
    <w:rsid w:val="00073C0E"/>
    <w:rsid w:val="00095228"/>
    <w:rsid w:val="000A01FC"/>
    <w:rsid w:val="000A0D57"/>
    <w:rsid w:val="000A6C05"/>
    <w:rsid w:val="000C4918"/>
    <w:rsid w:val="000D7171"/>
    <w:rsid w:val="000E7390"/>
    <w:rsid w:val="000F54CE"/>
    <w:rsid w:val="0011377B"/>
    <w:rsid w:val="001336B4"/>
    <w:rsid w:val="00141023"/>
    <w:rsid w:val="00172F6D"/>
    <w:rsid w:val="00175012"/>
    <w:rsid w:val="001851E4"/>
    <w:rsid w:val="001B6FC8"/>
    <w:rsid w:val="001C6736"/>
    <w:rsid w:val="001D6A41"/>
    <w:rsid w:val="001F09B5"/>
    <w:rsid w:val="00230550"/>
    <w:rsid w:val="00237B86"/>
    <w:rsid w:val="00240212"/>
    <w:rsid w:val="0024574A"/>
    <w:rsid w:val="00260908"/>
    <w:rsid w:val="0026312F"/>
    <w:rsid w:val="0027317F"/>
    <w:rsid w:val="0027536B"/>
    <w:rsid w:val="00287F76"/>
    <w:rsid w:val="002A01C5"/>
    <w:rsid w:val="002A6B90"/>
    <w:rsid w:val="002B13D7"/>
    <w:rsid w:val="002C539F"/>
    <w:rsid w:val="002C6C84"/>
    <w:rsid w:val="002F0D73"/>
    <w:rsid w:val="00306DB1"/>
    <w:rsid w:val="003214CC"/>
    <w:rsid w:val="00322E07"/>
    <w:rsid w:val="00345669"/>
    <w:rsid w:val="003468C1"/>
    <w:rsid w:val="0036573B"/>
    <w:rsid w:val="003872F1"/>
    <w:rsid w:val="003920CA"/>
    <w:rsid w:val="0039477A"/>
    <w:rsid w:val="003A682E"/>
    <w:rsid w:val="003B47B4"/>
    <w:rsid w:val="003B50B3"/>
    <w:rsid w:val="003F79F4"/>
    <w:rsid w:val="00403B53"/>
    <w:rsid w:val="004057A3"/>
    <w:rsid w:val="00405AE1"/>
    <w:rsid w:val="00426E29"/>
    <w:rsid w:val="00431184"/>
    <w:rsid w:val="004327C9"/>
    <w:rsid w:val="004523BD"/>
    <w:rsid w:val="00466EED"/>
    <w:rsid w:val="00467B8F"/>
    <w:rsid w:val="004969F2"/>
    <w:rsid w:val="004B3975"/>
    <w:rsid w:val="004B6DCA"/>
    <w:rsid w:val="005039A0"/>
    <w:rsid w:val="00504698"/>
    <w:rsid w:val="00563DCB"/>
    <w:rsid w:val="00583D9B"/>
    <w:rsid w:val="005C5BB2"/>
    <w:rsid w:val="005E26DB"/>
    <w:rsid w:val="005F4070"/>
    <w:rsid w:val="005F4CAF"/>
    <w:rsid w:val="00603D04"/>
    <w:rsid w:val="00614182"/>
    <w:rsid w:val="0061776D"/>
    <w:rsid w:val="006201EF"/>
    <w:rsid w:val="0062261C"/>
    <w:rsid w:val="006279BB"/>
    <w:rsid w:val="006329C0"/>
    <w:rsid w:val="006329C4"/>
    <w:rsid w:val="00637890"/>
    <w:rsid w:val="006512A4"/>
    <w:rsid w:val="00652B7C"/>
    <w:rsid w:val="00666352"/>
    <w:rsid w:val="006675C3"/>
    <w:rsid w:val="00672A22"/>
    <w:rsid w:val="00673552"/>
    <w:rsid w:val="006761EA"/>
    <w:rsid w:val="0067687B"/>
    <w:rsid w:val="00680731"/>
    <w:rsid w:val="006B0482"/>
    <w:rsid w:val="006B2D93"/>
    <w:rsid w:val="006B740A"/>
    <w:rsid w:val="006C5E49"/>
    <w:rsid w:val="006C5E82"/>
    <w:rsid w:val="006C626A"/>
    <w:rsid w:val="006E79C0"/>
    <w:rsid w:val="006F25B2"/>
    <w:rsid w:val="00700A9E"/>
    <w:rsid w:val="007013C8"/>
    <w:rsid w:val="00710427"/>
    <w:rsid w:val="00711114"/>
    <w:rsid w:val="00720A5D"/>
    <w:rsid w:val="00740F06"/>
    <w:rsid w:val="007511B4"/>
    <w:rsid w:val="0075537D"/>
    <w:rsid w:val="00757E2F"/>
    <w:rsid w:val="00760EA1"/>
    <w:rsid w:val="007911EF"/>
    <w:rsid w:val="0079420C"/>
    <w:rsid w:val="007A5DA4"/>
    <w:rsid w:val="007B5D33"/>
    <w:rsid w:val="007D62D1"/>
    <w:rsid w:val="007E3468"/>
    <w:rsid w:val="007E3FDA"/>
    <w:rsid w:val="007E58BD"/>
    <w:rsid w:val="008005DF"/>
    <w:rsid w:val="008168E8"/>
    <w:rsid w:val="00835BB1"/>
    <w:rsid w:val="008451DC"/>
    <w:rsid w:val="0084530D"/>
    <w:rsid w:val="00882680"/>
    <w:rsid w:val="00885693"/>
    <w:rsid w:val="008904C3"/>
    <w:rsid w:val="008B2163"/>
    <w:rsid w:val="008C24F2"/>
    <w:rsid w:val="008C6F00"/>
    <w:rsid w:val="008D3720"/>
    <w:rsid w:val="008E07C1"/>
    <w:rsid w:val="008F4406"/>
    <w:rsid w:val="009127DA"/>
    <w:rsid w:val="00920BD4"/>
    <w:rsid w:val="00930994"/>
    <w:rsid w:val="00936A93"/>
    <w:rsid w:val="00957923"/>
    <w:rsid w:val="0096281C"/>
    <w:rsid w:val="00983146"/>
    <w:rsid w:val="009857AA"/>
    <w:rsid w:val="0099400B"/>
    <w:rsid w:val="009A078C"/>
    <w:rsid w:val="009A1D20"/>
    <w:rsid w:val="009C57EF"/>
    <w:rsid w:val="009D7921"/>
    <w:rsid w:val="009E091B"/>
    <w:rsid w:val="009E0B0C"/>
    <w:rsid w:val="009F5F0C"/>
    <w:rsid w:val="00A04C75"/>
    <w:rsid w:val="00A07A7A"/>
    <w:rsid w:val="00A142F3"/>
    <w:rsid w:val="00A16B47"/>
    <w:rsid w:val="00A24076"/>
    <w:rsid w:val="00A85D1E"/>
    <w:rsid w:val="00AE5BDC"/>
    <w:rsid w:val="00AF01DB"/>
    <w:rsid w:val="00AF2FDF"/>
    <w:rsid w:val="00B00EAE"/>
    <w:rsid w:val="00B202F2"/>
    <w:rsid w:val="00B24CF2"/>
    <w:rsid w:val="00B37F46"/>
    <w:rsid w:val="00B93CA2"/>
    <w:rsid w:val="00BA6F77"/>
    <w:rsid w:val="00BF3D07"/>
    <w:rsid w:val="00C017CA"/>
    <w:rsid w:val="00C26734"/>
    <w:rsid w:val="00C27A18"/>
    <w:rsid w:val="00C628E2"/>
    <w:rsid w:val="00C70AD5"/>
    <w:rsid w:val="00C7310B"/>
    <w:rsid w:val="00C83378"/>
    <w:rsid w:val="00C87EF0"/>
    <w:rsid w:val="00CA4DD4"/>
    <w:rsid w:val="00CB0ECD"/>
    <w:rsid w:val="00CB1A21"/>
    <w:rsid w:val="00CB2628"/>
    <w:rsid w:val="00CB6E2C"/>
    <w:rsid w:val="00CC7738"/>
    <w:rsid w:val="00CE1E73"/>
    <w:rsid w:val="00CE3032"/>
    <w:rsid w:val="00CF0857"/>
    <w:rsid w:val="00CF4513"/>
    <w:rsid w:val="00CF4B37"/>
    <w:rsid w:val="00D02441"/>
    <w:rsid w:val="00D143FA"/>
    <w:rsid w:val="00D57F5F"/>
    <w:rsid w:val="00D70DA5"/>
    <w:rsid w:val="00D83DB5"/>
    <w:rsid w:val="00D87C53"/>
    <w:rsid w:val="00DA28DD"/>
    <w:rsid w:val="00DC3F31"/>
    <w:rsid w:val="00DE2137"/>
    <w:rsid w:val="00E41741"/>
    <w:rsid w:val="00E5503F"/>
    <w:rsid w:val="00E70633"/>
    <w:rsid w:val="00E85993"/>
    <w:rsid w:val="00E9448D"/>
    <w:rsid w:val="00EB007C"/>
    <w:rsid w:val="00EC2F23"/>
    <w:rsid w:val="00EC4535"/>
    <w:rsid w:val="00EC521D"/>
    <w:rsid w:val="00ED463B"/>
    <w:rsid w:val="00ED65F1"/>
    <w:rsid w:val="00EE7A8F"/>
    <w:rsid w:val="00EF3621"/>
    <w:rsid w:val="00F05577"/>
    <w:rsid w:val="00F10B3F"/>
    <w:rsid w:val="00F4298A"/>
    <w:rsid w:val="00F4551F"/>
    <w:rsid w:val="00F50073"/>
    <w:rsid w:val="00F5197E"/>
    <w:rsid w:val="00F62F0B"/>
    <w:rsid w:val="00F70644"/>
    <w:rsid w:val="00F946FB"/>
    <w:rsid w:val="00FB54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F06"/>
    <w:rPr>
      <w:rFonts w:ascii="Arial" w:hAnsi="Arial"/>
    </w:rPr>
  </w:style>
  <w:style w:type="paragraph" w:styleId="Heading1">
    <w:name w:val="heading 1"/>
    <w:basedOn w:val="Normal"/>
    <w:next w:val="Normal"/>
    <w:link w:val="Heading1Char"/>
    <w:uiPriority w:val="9"/>
    <w:qFormat/>
    <w:rsid w:val="00983146"/>
    <w:pPr>
      <w:keepNext/>
      <w:keepLines/>
      <w:spacing w:before="240"/>
      <w:outlineLvl w:val="0"/>
    </w:pPr>
    <w:rPr>
      <w:rFonts w:eastAsiaTheme="majorEastAsia" w:cstheme="majorBidi"/>
      <w:b/>
      <w:bCs/>
      <w:color w:val="B43412" w:themeColor="accent1" w:themeShade="BF"/>
      <w:sz w:val="48"/>
      <w:szCs w:val="32"/>
    </w:rPr>
  </w:style>
  <w:style w:type="paragraph" w:styleId="Heading2">
    <w:name w:val="heading 2"/>
    <w:basedOn w:val="Normal"/>
    <w:next w:val="Normal"/>
    <w:link w:val="Heading2Char"/>
    <w:uiPriority w:val="9"/>
    <w:unhideWhenUsed/>
    <w:qFormat/>
    <w:rsid w:val="00983146"/>
    <w:pPr>
      <w:keepNext/>
      <w:keepLines/>
      <w:spacing w:before="40"/>
      <w:outlineLvl w:val="1"/>
    </w:pPr>
    <w:rPr>
      <w:rFonts w:ascii="Open Sans Light" w:eastAsiaTheme="majorEastAsia" w:hAnsi="Open Sans Light" w:cstheme="majorBidi"/>
      <w:color w:val="B43412" w:themeColor="accent1" w:themeShade="BF"/>
      <w:sz w:val="32"/>
      <w:szCs w:val="26"/>
    </w:rPr>
  </w:style>
  <w:style w:type="paragraph" w:styleId="Heading3">
    <w:name w:val="heading 3"/>
    <w:basedOn w:val="Normal"/>
    <w:next w:val="Normal"/>
    <w:link w:val="Heading3Char"/>
    <w:uiPriority w:val="9"/>
    <w:unhideWhenUsed/>
    <w:qFormat/>
    <w:rsid w:val="00983146"/>
    <w:pPr>
      <w:keepNext/>
      <w:keepLines/>
      <w:spacing w:before="40"/>
      <w:outlineLvl w:val="2"/>
    </w:pPr>
    <w:rPr>
      <w:rFonts w:ascii="Open Sans Light" w:eastAsiaTheme="majorEastAsia" w:hAnsi="Open Sans Light" w:cstheme="majorBidi"/>
      <w:color w:val="77230C" w:themeColor="accent1" w:themeShade="7F"/>
    </w:rPr>
  </w:style>
  <w:style w:type="paragraph" w:styleId="Heading4">
    <w:name w:val="heading 4"/>
    <w:basedOn w:val="Normal"/>
    <w:next w:val="Normal"/>
    <w:link w:val="Heading4Char"/>
    <w:uiPriority w:val="9"/>
    <w:unhideWhenUsed/>
    <w:qFormat/>
    <w:rsid w:val="00983146"/>
    <w:pPr>
      <w:keepNext/>
      <w:keepLines/>
      <w:spacing w:before="40"/>
      <w:outlineLvl w:val="3"/>
    </w:pPr>
    <w:rPr>
      <w:rFonts w:ascii="Open Sans Light" w:eastAsiaTheme="majorEastAsia" w:hAnsi="Open Sans Light" w:cstheme="majorBidi"/>
      <w:i/>
      <w:iCs/>
      <w:color w:val="B43412"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A8F"/>
    <w:pPr>
      <w:tabs>
        <w:tab w:val="center" w:pos="4513"/>
        <w:tab w:val="right" w:pos="9026"/>
      </w:tabs>
    </w:pPr>
    <w:rPr>
      <w:rFonts w:ascii="Open Sans Light" w:hAnsi="Open Sans Light"/>
      <w:sz w:val="21"/>
    </w:rPr>
  </w:style>
  <w:style w:type="character" w:customStyle="1" w:styleId="HeaderChar">
    <w:name w:val="Header Char"/>
    <w:basedOn w:val="DefaultParagraphFont"/>
    <w:link w:val="Header"/>
    <w:uiPriority w:val="99"/>
    <w:rsid w:val="00EE7A8F"/>
    <w:rPr>
      <w:rFonts w:ascii="Open Sans Light" w:hAnsi="Open Sans Light"/>
      <w:sz w:val="21"/>
    </w:rPr>
  </w:style>
  <w:style w:type="paragraph" w:styleId="Footer">
    <w:name w:val="footer"/>
    <w:basedOn w:val="Normal"/>
    <w:link w:val="FooterChar"/>
    <w:uiPriority w:val="99"/>
    <w:unhideWhenUsed/>
    <w:rsid w:val="00EE7A8F"/>
    <w:pPr>
      <w:tabs>
        <w:tab w:val="center" w:pos="4513"/>
        <w:tab w:val="right" w:pos="9026"/>
      </w:tabs>
    </w:pPr>
    <w:rPr>
      <w:rFonts w:ascii="Open Sans Light" w:hAnsi="Open Sans Light"/>
      <w:sz w:val="21"/>
    </w:rPr>
  </w:style>
  <w:style w:type="character" w:customStyle="1" w:styleId="FooterChar">
    <w:name w:val="Footer Char"/>
    <w:basedOn w:val="DefaultParagraphFont"/>
    <w:link w:val="Footer"/>
    <w:uiPriority w:val="99"/>
    <w:rsid w:val="00EE7A8F"/>
    <w:rPr>
      <w:rFonts w:ascii="Open Sans Light" w:hAnsi="Open Sans Light"/>
      <w:sz w:val="21"/>
    </w:rPr>
  </w:style>
  <w:style w:type="table" w:styleId="TableGrid">
    <w:name w:val="Table Grid"/>
    <w:basedOn w:val="TableNormal"/>
    <w:uiPriority w:val="39"/>
    <w:rsid w:val="007B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3146"/>
    <w:rPr>
      <w:rFonts w:ascii="Open Sans" w:eastAsiaTheme="majorEastAsia" w:hAnsi="Open Sans" w:cstheme="majorBidi"/>
      <w:b/>
      <w:bCs/>
      <w:color w:val="B43412" w:themeColor="accent1" w:themeShade="BF"/>
      <w:sz w:val="48"/>
      <w:szCs w:val="32"/>
    </w:rPr>
  </w:style>
  <w:style w:type="character" w:customStyle="1" w:styleId="Heading2Char">
    <w:name w:val="Heading 2 Char"/>
    <w:basedOn w:val="DefaultParagraphFont"/>
    <w:link w:val="Heading2"/>
    <w:uiPriority w:val="9"/>
    <w:rsid w:val="00983146"/>
    <w:rPr>
      <w:rFonts w:ascii="Open Sans Light" w:eastAsiaTheme="majorEastAsia" w:hAnsi="Open Sans Light" w:cstheme="majorBidi"/>
      <w:color w:val="B43412" w:themeColor="accent1" w:themeShade="BF"/>
      <w:sz w:val="32"/>
      <w:szCs w:val="26"/>
    </w:rPr>
  </w:style>
  <w:style w:type="character" w:customStyle="1" w:styleId="Heading3Char">
    <w:name w:val="Heading 3 Char"/>
    <w:basedOn w:val="DefaultParagraphFont"/>
    <w:link w:val="Heading3"/>
    <w:uiPriority w:val="9"/>
    <w:rsid w:val="00983146"/>
    <w:rPr>
      <w:rFonts w:ascii="Open Sans Light" w:eastAsiaTheme="majorEastAsia" w:hAnsi="Open Sans Light" w:cstheme="majorBidi"/>
      <w:color w:val="77230C" w:themeColor="accent1" w:themeShade="7F"/>
    </w:rPr>
  </w:style>
  <w:style w:type="character" w:customStyle="1" w:styleId="Heading4Char">
    <w:name w:val="Heading 4 Char"/>
    <w:basedOn w:val="DefaultParagraphFont"/>
    <w:link w:val="Heading4"/>
    <w:uiPriority w:val="9"/>
    <w:rsid w:val="00983146"/>
    <w:rPr>
      <w:rFonts w:ascii="Open Sans Light" w:eastAsiaTheme="majorEastAsia" w:hAnsi="Open Sans Light" w:cstheme="majorBidi"/>
      <w:i/>
      <w:iCs/>
      <w:color w:val="B43412" w:themeColor="accent1" w:themeShade="BF"/>
    </w:rPr>
  </w:style>
  <w:style w:type="paragraph" w:styleId="Title">
    <w:name w:val="Title"/>
    <w:basedOn w:val="Normal"/>
    <w:next w:val="Normal"/>
    <w:link w:val="TitleChar"/>
    <w:uiPriority w:val="10"/>
    <w:qFormat/>
    <w:rsid w:val="00983146"/>
    <w:pPr>
      <w:contextualSpacing/>
    </w:pPr>
    <w:rPr>
      <w:rFonts w:ascii="Open Sans Light" w:eastAsiaTheme="majorEastAsia" w:hAnsi="Open Sans Light" w:cstheme="majorBidi"/>
      <w:spacing w:val="-10"/>
      <w:kern w:val="28"/>
      <w:sz w:val="72"/>
      <w:szCs w:val="56"/>
    </w:rPr>
  </w:style>
  <w:style w:type="character" w:customStyle="1" w:styleId="TitleChar">
    <w:name w:val="Title Char"/>
    <w:basedOn w:val="DefaultParagraphFont"/>
    <w:link w:val="Title"/>
    <w:uiPriority w:val="10"/>
    <w:rsid w:val="00983146"/>
    <w:rPr>
      <w:rFonts w:ascii="Open Sans Light" w:eastAsiaTheme="majorEastAsia" w:hAnsi="Open Sans Light" w:cstheme="majorBidi"/>
      <w:spacing w:val="-10"/>
      <w:kern w:val="28"/>
      <w:sz w:val="72"/>
      <w:szCs w:val="56"/>
    </w:rPr>
  </w:style>
  <w:style w:type="paragraph" w:styleId="Subtitle">
    <w:name w:val="Subtitle"/>
    <w:basedOn w:val="Normal"/>
    <w:next w:val="Normal"/>
    <w:link w:val="SubtitleChar"/>
    <w:uiPriority w:val="11"/>
    <w:qFormat/>
    <w:rsid w:val="0098314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83146"/>
    <w:rPr>
      <w:rFonts w:ascii="Open Sans" w:eastAsiaTheme="minorEastAsia" w:hAnsi="Open Sans"/>
      <w:color w:val="5A5A5A" w:themeColor="text1" w:themeTint="A5"/>
      <w:spacing w:val="15"/>
      <w:sz w:val="22"/>
      <w:szCs w:val="22"/>
    </w:rPr>
  </w:style>
  <w:style w:type="character" w:styleId="SubtleEmphasis">
    <w:name w:val="Subtle Emphasis"/>
    <w:basedOn w:val="DefaultParagraphFont"/>
    <w:uiPriority w:val="19"/>
    <w:qFormat/>
    <w:rsid w:val="00983146"/>
    <w:rPr>
      <w:rFonts w:ascii="Open Sans" w:hAnsi="Open Sans"/>
      <w:b w:val="0"/>
      <w:bCs w:val="0"/>
      <w:i/>
      <w:iCs/>
      <w:color w:val="404040" w:themeColor="text1" w:themeTint="BF"/>
    </w:rPr>
  </w:style>
  <w:style w:type="paragraph" w:styleId="DocumentMap">
    <w:name w:val="Document Map"/>
    <w:basedOn w:val="Normal"/>
    <w:link w:val="DocumentMapChar"/>
    <w:uiPriority w:val="99"/>
    <w:semiHidden/>
    <w:unhideWhenUsed/>
    <w:rsid w:val="0011377B"/>
    <w:rPr>
      <w:rFonts w:ascii="Times New Roman" w:hAnsi="Times New Roman" w:cs="Times New Roman"/>
    </w:rPr>
  </w:style>
  <w:style w:type="character" w:customStyle="1" w:styleId="DocumentMapChar">
    <w:name w:val="Document Map Char"/>
    <w:basedOn w:val="DefaultParagraphFont"/>
    <w:link w:val="DocumentMap"/>
    <w:uiPriority w:val="99"/>
    <w:semiHidden/>
    <w:rsid w:val="0011377B"/>
    <w:rPr>
      <w:rFonts w:ascii="Times New Roman" w:hAnsi="Times New Roman" w:cs="Times New Roman"/>
    </w:rPr>
  </w:style>
  <w:style w:type="paragraph" w:styleId="EndnoteText">
    <w:name w:val="endnote text"/>
    <w:basedOn w:val="Normal"/>
    <w:link w:val="EndnoteTextChar"/>
    <w:uiPriority w:val="99"/>
    <w:unhideWhenUsed/>
    <w:rsid w:val="000450EB"/>
  </w:style>
  <w:style w:type="character" w:customStyle="1" w:styleId="EndnoteTextChar">
    <w:name w:val="Endnote Text Char"/>
    <w:basedOn w:val="DefaultParagraphFont"/>
    <w:link w:val="EndnoteText"/>
    <w:uiPriority w:val="99"/>
    <w:rsid w:val="000450EB"/>
    <w:rPr>
      <w:rFonts w:ascii="Open Sans" w:hAnsi="Open Sans"/>
    </w:rPr>
  </w:style>
  <w:style w:type="character" w:styleId="EndnoteReference">
    <w:name w:val="endnote reference"/>
    <w:basedOn w:val="DefaultParagraphFont"/>
    <w:uiPriority w:val="99"/>
    <w:unhideWhenUsed/>
    <w:rsid w:val="000450EB"/>
    <w:rPr>
      <w:vertAlign w:val="superscript"/>
    </w:rPr>
  </w:style>
  <w:style w:type="paragraph" w:styleId="FootnoteText">
    <w:name w:val="footnote text"/>
    <w:basedOn w:val="Normal"/>
    <w:link w:val="FootnoteTextChar"/>
    <w:uiPriority w:val="99"/>
    <w:unhideWhenUsed/>
    <w:rsid w:val="000450EB"/>
  </w:style>
  <w:style w:type="character" w:customStyle="1" w:styleId="FootnoteTextChar">
    <w:name w:val="Footnote Text Char"/>
    <w:basedOn w:val="DefaultParagraphFont"/>
    <w:link w:val="FootnoteText"/>
    <w:uiPriority w:val="99"/>
    <w:rsid w:val="000450EB"/>
    <w:rPr>
      <w:rFonts w:ascii="Open Sans" w:hAnsi="Open Sans"/>
    </w:rPr>
  </w:style>
  <w:style w:type="character" w:styleId="FootnoteReference">
    <w:name w:val="footnote reference"/>
    <w:basedOn w:val="DefaultParagraphFont"/>
    <w:uiPriority w:val="99"/>
    <w:unhideWhenUsed/>
    <w:rsid w:val="000450EB"/>
    <w:rPr>
      <w:vertAlign w:val="superscript"/>
    </w:rPr>
  </w:style>
  <w:style w:type="character" w:styleId="Hyperlink">
    <w:name w:val="Hyperlink"/>
    <w:basedOn w:val="DefaultParagraphFont"/>
    <w:uiPriority w:val="99"/>
    <w:unhideWhenUsed/>
    <w:rsid w:val="000450EB"/>
    <w:rPr>
      <w:color w:val="CC9900" w:themeColor="hyperlink"/>
      <w:u w:val="single"/>
    </w:rPr>
  </w:style>
  <w:style w:type="character" w:styleId="FollowedHyperlink">
    <w:name w:val="FollowedHyperlink"/>
    <w:basedOn w:val="DefaultParagraphFont"/>
    <w:uiPriority w:val="99"/>
    <w:semiHidden/>
    <w:unhideWhenUsed/>
    <w:rsid w:val="000450EB"/>
    <w:rPr>
      <w:color w:val="666699" w:themeColor="followedHyperlink"/>
      <w:u w:val="single"/>
    </w:rPr>
  </w:style>
  <w:style w:type="table" w:customStyle="1" w:styleId="GridTable4-Accent61">
    <w:name w:val="Grid Table 4 - Accent 61"/>
    <w:basedOn w:val="TableNormal"/>
    <w:uiPriority w:val="49"/>
    <w:rsid w:val="00A24076"/>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color w:val="FFFFFF" w:themeColor="background1"/>
      </w:rPr>
      <w:tblPr/>
      <w:tcPr>
        <w:tcBorders>
          <w:top w:val="single" w:sz="4" w:space="0" w:color="B22600" w:themeColor="accent6"/>
          <w:left w:val="single" w:sz="4" w:space="0" w:color="B22600" w:themeColor="accent6"/>
          <w:bottom w:val="single" w:sz="4" w:space="0" w:color="B22600" w:themeColor="accent6"/>
          <w:right w:val="single" w:sz="4" w:space="0" w:color="B22600" w:themeColor="accent6"/>
          <w:insideH w:val="nil"/>
          <w:insideV w:val="nil"/>
        </w:tcBorders>
        <w:shd w:val="clear" w:color="auto" w:fill="B22600" w:themeFill="accent6"/>
      </w:tcPr>
    </w:tblStylePr>
    <w:tblStylePr w:type="lastRow">
      <w:rPr>
        <w:b/>
        <w:bCs/>
      </w:rPr>
      <w:tblPr/>
      <w:tcPr>
        <w:tcBorders>
          <w:top w:val="double" w:sz="4" w:space="0" w:color="B22600" w:themeColor="accent6"/>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paragraph" w:styleId="NoSpacing">
    <w:name w:val="No Spacing"/>
    <w:link w:val="NoSpacingChar"/>
    <w:uiPriority w:val="1"/>
    <w:qFormat/>
    <w:rsid w:val="00885693"/>
    <w:rPr>
      <w:rFonts w:eastAsiaTheme="minorEastAsia"/>
      <w:sz w:val="22"/>
      <w:szCs w:val="22"/>
      <w:lang w:val="en-US" w:eastAsia="zh-CN"/>
    </w:rPr>
  </w:style>
  <w:style w:type="character" w:customStyle="1" w:styleId="NoSpacingChar">
    <w:name w:val="No Spacing Char"/>
    <w:basedOn w:val="DefaultParagraphFont"/>
    <w:link w:val="NoSpacing"/>
    <w:uiPriority w:val="1"/>
    <w:rsid w:val="00885693"/>
    <w:rPr>
      <w:rFonts w:eastAsiaTheme="minorEastAsia"/>
      <w:sz w:val="22"/>
      <w:szCs w:val="22"/>
      <w:lang w:val="en-US" w:eastAsia="zh-CN"/>
    </w:rPr>
  </w:style>
  <w:style w:type="paragraph" w:styleId="ListParagraph">
    <w:name w:val="List Paragraph"/>
    <w:basedOn w:val="Normal"/>
    <w:uiPriority w:val="34"/>
    <w:qFormat/>
    <w:rsid w:val="00F946FB"/>
    <w:pPr>
      <w:ind w:left="720"/>
      <w:contextualSpacing/>
    </w:pPr>
  </w:style>
  <w:style w:type="paragraph" w:styleId="BalloonText">
    <w:name w:val="Balloon Text"/>
    <w:basedOn w:val="Normal"/>
    <w:link w:val="BalloonTextChar"/>
    <w:uiPriority w:val="99"/>
    <w:semiHidden/>
    <w:unhideWhenUsed/>
    <w:rsid w:val="002631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312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41741"/>
    <w:rPr>
      <w:sz w:val="16"/>
      <w:szCs w:val="16"/>
    </w:rPr>
  </w:style>
  <w:style w:type="paragraph" w:styleId="CommentText">
    <w:name w:val="annotation text"/>
    <w:basedOn w:val="Normal"/>
    <w:link w:val="CommentTextChar"/>
    <w:uiPriority w:val="99"/>
    <w:semiHidden/>
    <w:unhideWhenUsed/>
    <w:rsid w:val="00E41741"/>
    <w:rPr>
      <w:sz w:val="20"/>
      <w:szCs w:val="20"/>
    </w:rPr>
  </w:style>
  <w:style w:type="character" w:customStyle="1" w:styleId="CommentTextChar">
    <w:name w:val="Comment Text Char"/>
    <w:basedOn w:val="DefaultParagraphFont"/>
    <w:link w:val="CommentText"/>
    <w:uiPriority w:val="99"/>
    <w:semiHidden/>
    <w:rsid w:val="00E41741"/>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E41741"/>
    <w:rPr>
      <w:b/>
      <w:bCs/>
    </w:rPr>
  </w:style>
  <w:style w:type="character" w:customStyle="1" w:styleId="CommentSubjectChar">
    <w:name w:val="Comment Subject Char"/>
    <w:basedOn w:val="CommentTextChar"/>
    <w:link w:val="CommentSubject"/>
    <w:uiPriority w:val="99"/>
    <w:semiHidden/>
    <w:rsid w:val="00E41741"/>
    <w:rPr>
      <w:rFonts w:ascii="Open Sans" w:hAnsi="Open Sans"/>
      <w:b/>
      <w:bCs/>
      <w:sz w:val="20"/>
      <w:szCs w:val="20"/>
    </w:rPr>
  </w:style>
  <w:style w:type="paragraph" w:styleId="Revision">
    <w:name w:val="Revision"/>
    <w:hidden/>
    <w:uiPriority w:val="99"/>
    <w:semiHidden/>
    <w:rsid w:val="0099400B"/>
    <w:rPr>
      <w:rFonts w:ascii="Open Sans" w:hAnsi="Open Sans"/>
    </w:rPr>
  </w:style>
  <w:style w:type="paragraph" w:styleId="TOCHeading">
    <w:name w:val="TOC Heading"/>
    <w:basedOn w:val="Heading1"/>
    <w:next w:val="Normal"/>
    <w:uiPriority w:val="39"/>
    <w:semiHidden/>
    <w:unhideWhenUsed/>
    <w:qFormat/>
    <w:rsid w:val="0099400B"/>
    <w:pPr>
      <w:spacing w:before="480" w:line="276" w:lineRule="auto"/>
      <w:outlineLvl w:val="9"/>
    </w:pPr>
    <w:rPr>
      <w:rFonts w:asciiTheme="majorHAnsi" w:hAnsiTheme="majorHAnsi"/>
      <w:sz w:val="28"/>
      <w:szCs w:val="28"/>
      <w:lang w:val="en-US" w:eastAsia="ja-JP"/>
    </w:rPr>
  </w:style>
  <w:style w:type="paragraph" w:styleId="TOC1">
    <w:name w:val="toc 1"/>
    <w:basedOn w:val="Normal"/>
    <w:next w:val="Normal"/>
    <w:autoRedefine/>
    <w:uiPriority w:val="39"/>
    <w:unhideWhenUsed/>
    <w:rsid w:val="0099400B"/>
    <w:pPr>
      <w:spacing w:after="100"/>
    </w:pPr>
  </w:style>
  <w:style w:type="paragraph" w:styleId="TOC2">
    <w:name w:val="toc 2"/>
    <w:basedOn w:val="Normal"/>
    <w:next w:val="Normal"/>
    <w:autoRedefine/>
    <w:uiPriority w:val="39"/>
    <w:unhideWhenUsed/>
    <w:rsid w:val="0099400B"/>
    <w:pPr>
      <w:spacing w:after="100"/>
      <w:ind w:left="240"/>
    </w:pPr>
  </w:style>
  <w:style w:type="paragraph" w:styleId="TOC3">
    <w:name w:val="toc 3"/>
    <w:basedOn w:val="Normal"/>
    <w:next w:val="Normal"/>
    <w:autoRedefine/>
    <w:uiPriority w:val="39"/>
    <w:unhideWhenUsed/>
    <w:rsid w:val="0099400B"/>
    <w:pPr>
      <w:spacing w:after="100"/>
      <w:ind w:left="480"/>
    </w:pPr>
  </w:style>
  <w:style w:type="paragraph" w:styleId="Caption">
    <w:name w:val="caption"/>
    <w:basedOn w:val="Normal"/>
    <w:next w:val="Normal"/>
    <w:uiPriority w:val="35"/>
    <w:unhideWhenUsed/>
    <w:qFormat/>
    <w:rsid w:val="0099400B"/>
    <w:pPr>
      <w:spacing w:after="200"/>
    </w:pPr>
    <w:rPr>
      <w:b/>
      <w:bCs/>
      <w:color w:val="E84C22"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F06"/>
    <w:rPr>
      <w:rFonts w:ascii="Arial" w:hAnsi="Arial"/>
    </w:rPr>
  </w:style>
  <w:style w:type="paragraph" w:styleId="Heading1">
    <w:name w:val="heading 1"/>
    <w:basedOn w:val="Normal"/>
    <w:next w:val="Normal"/>
    <w:link w:val="Heading1Char"/>
    <w:uiPriority w:val="9"/>
    <w:qFormat/>
    <w:rsid w:val="00983146"/>
    <w:pPr>
      <w:keepNext/>
      <w:keepLines/>
      <w:spacing w:before="240"/>
      <w:outlineLvl w:val="0"/>
    </w:pPr>
    <w:rPr>
      <w:rFonts w:eastAsiaTheme="majorEastAsia" w:cstheme="majorBidi"/>
      <w:b/>
      <w:bCs/>
      <w:color w:val="B43412" w:themeColor="accent1" w:themeShade="BF"/>
      <w:sz w:val="48"/>
      <w:szCs w:val="32"/>
    </w:rPr>
  </w:style>
  <w:style w:type="paragraph" w:styleId="Heading2">
    <w:name w:val="heading 2"/>
    <w:basedOn w:val="Normal"/>
    <w:next w:val="Normal"/>
    <w:link w:val="Heading2Char"/>
    <w:uiPriority w:val="9"/>
    <w:unhideWhenUsed/>
    <w:qFormat/>
    <w:rsid w:val="00983146"/>
    <w:pPr>
      <w:keepNext/>
      <w:keepLines/>
      <w:spacing w:before="40"/>
      <w:outlineLvl w:val="1"/>
    </w:pPr>
    <w:rPr>
      <w:rFonts w:ascii="Open Sans Light" w:eastAsiaTheme="majorEastAsia" w:hAnsi="Open Sans Light" w:cstheme="majorBidi"/>
      <w:color w:val="B43412" w:themeColor="accent1" w:themeShade="BF"/>
      <w:sz w:val="32"/>
      <w:szCs w:val="26"/>
    </w:rPr>
  </w:style>
  <w:style w:type="paragraph" w:styleId="Heading3">
    <w:name w:val="heading 3"/>
    <w:basedOn w:val="Normal"/>
    <w:next w:val="Normal"/>
    <w:link w:val="Heading3Char"/>
    <w:uiPriority w:val="9"/>
    <w:unhideWhenUsed/>
    <w:qFormat/>
    <w:rsid w:val="00983146"/>
    <w:pPr>
      <w:keepNext/>
      <w:keepLines/>
      <w:spacing w:before="40"/>
      <w:outlineLvl w:val="2"/>
    </w:pPr>
    <w:rPr>
      <w:rFonts w:ascii="Open Sans Light" w:eastAsiaTheme="majorEastAsia" w:hAnsi="Open Sans Light" w:cstheme="majorBidi"/>
      <w:color w:val="77230C" w:themeColor="accent1" w:themeShade="7F"/>
    </w:rPr>
  </w:style>
  <w:style w:type="paragraph" w:styleId="Heading4">
    <w:name w:val="heading 4"/>
    <w:basedOn w:val="Normal"/>
    <w:next w:val="Normal"/>
    <w:link w:val="Heading4Char"/>
    <w:uiPriority w:val="9"/>
    <w:unhideWhenUsed/>
    <w:qFormat/>
    <w:rsid w:val="00983146"/>
    <w:pPr>
      <w:keepNext/>
      <w:keepLines/>
      <w:spacing w:before="40"/>
      <w:outlineLvl w:val="3"/>
    </w:pPr>
    <w:rPr>
      <w:rFonts w:ascii="Open Sans Light" w:eastAsiaTheme="majorEastAsia" w:hAnsi="Open Sans Light" w:cstheme="majorBidi"/>
      <w:i/>
      <w:iCs/>
      <w:color w:val="B43412"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A8F"/>
    <w:pPr>
      <w:tabs>
        <w:tab w:val="center" w:pos="4513"/>
        <w:tab w:val="right" w:pos="9026"/>
      </w:tabs>
    </w:pPr>
    <w:rPr>
      <w:rFonts w:ascii="Open Sans Light" w:hAnsi="Open Sans Light"/>
      <w:sz w:val="21"/>
    </w:rPr>
  </w:style>
  <w:style w:type="character" w:customStyle="1" w:styleId="HeaderChar">
    <w:name w:val="Header Char"/>
    <w:basedOn w:val="DefaultParagraphFont"/>
    <w:link w:val="Header"/>
    <w:uiPriority w:val="99"/>
    <w:rsid w:val="00EE7A8F"/>
    <w:rPr>
      <w:rFonts w:ascii="Open Sans Light" w:hAnsi="Open Sans Light"/>
      <w:sz w:val="21"/>
    </w:rPr>
  </w:style>
  <w:style w:type="paragraph" w:styleId="Footer">
    <w:name w:val="footer"/>
    <w:basedOn w:val="Normal"/>
    <w:link w:val="FooterChar"/>
    <w:uiPriority w:val="99"/>
    <w:unhideWhenUsed/>
    <w:rsid w:val="00EE7A8F"/>
    <w:pPr>
      <w:tabs>
        <w:tab w:val="center" w:pos="4513"/>
        <w:tab w:val="right" w:pos="9026"/>
      </w:tabs>
    </w:pPr>
    <w:rPr>
      <w:rFonts w:ascii="Open Sans Light" w:hAnsi="Open Sans Light"/>
      <w:sz w:val="21"/>
    </w:rPr>
  </w:style>
  <w:style w:type="character" w:customStyle="1" w:styleId="FooterChar">
    <w:name w:val="Footer Char"/>
    <w:basedOn w:val="DefaultParagraphFont"/>
    <w:link w:val="Footer"/>
    <w:uiPriority w:val="99"/>
    <w:rsid w:val="00EE7A8F"/>
    <w:rPr>
      <w:rFonts w:ascii="Open Sans Light" w:hAnsi="Open Sans Light"/>
      <w:sz w:val="21"/>
    </w:rPr>
  </w:style>
  <w:style w:type="table" w:styleId="TableGrid">
    <w:name w:val="Table Grid"/>
    <w:basedOn w:val="TableNormal"/>
    <w:uiPriority w:val="39"/>
    <w:rsid w:val="007B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3146"/>
    <w:rPr>
      <w:rFonts w:ascii="Open Sans" w:eastAsiaTheme="majorEastAsia" w:hAnsi="Open Sans" w:cstheme="majorBidi"/>
      <w:b/>
      <w:bCs/>
      <w:color w:val="B43412" w:themeColor="accent1" w:themeShade="BF"/>
      <w:sz w:val="48"/>
      <w:szCs w:val="32"/>
    </w:rPr>
  </w:style>
  <w:style w:type="character" w:customStyle="1" w:styleId="Heading2Char">
    <w:name w:val="Heading 2 Char"/>
    <w:basedOn w:val="DefaultParagraphFont"/>
    <w:link w:val="Heading2"/>
    <w:uiPriority w:val="9"/>
    <w:rsid w:val="00983146"/>
    <w:rPr>
      <w:rFonts w:ascii="Open Sans Light" w:eastAsiaTheme="majorEastAsia" w:hAnsi="Open Sans Light" w:cstheme="majorBidi"/>
      <w:color w:val="B43412" w:themeColor="accent1" w:themeShade="BF"/>
      <w:sz w:val="32"/>
      <w:szCs w:val="26"/>
    </w:rPr>
  </w:style>
  <w:style w:type="character" w:customStyle="1" w:styleId="Heading3Char">
    <w:name w:val="Heading 3 Char"/>
    <w:basedOn w:val="DefaultParagraphFont"/>
    <w:link w:val="Heading3"/>
    <w:uiPriority w:val="9"/>
    <w:rsid w:val="00983146"/>
    <w:rPr>
      <w:rFonts w:ascii="Open Sans Light" w:eastAsiaTheme="majorEastAsia" w:hAnsi="Open Sans Light" w:cstheme="majorBidi"/>
      <w:color w:val="77230C" w:themeColor="accent1" w:themeShade="7F"/>
    </w:rPr>
  </w:style>
  <w:style w:type="character" w:customStyle="1" w:styleId="Heading4Char">
    <w:name w:val="Heading 4 Char"/>
    <w:basedOn w:val="DefaultParagraphFont"/>
    <w:link w:val="Heading4"/>
    <w:uiPriority w:val="9"/>
    <w:rsid w:val="00983146"/>
    <w:rPr>
      <w:rFonts w:ascii="Open Sans Light" w:eastAsiaTheme="majorEastAsia" w:hAnsi="Open Sans Light" w:cstheme="majorBidi"/>
      <w:i/>
      <w:iCs/>
      <w:color w:val="B43412" w:themeColor="accent1" w:themeShade="BF"/>
    </w:rPr>
  </w:style>
  <w:style w:type="paragraph" w:styleId="Title">
    <w:name w:val="Title"/>
    <w:basedOn w:val="Normal"/>
    <w:next w:val="Normal"/>
    <w:link w:val="TitleChar"/>
    <w:uiPriority w:val="10"/>
    <w:qFormat/>
    <w:rsid w:val="00983146"/>
    <w:pPr>
      <w:contextualSpacing/>
    </w:pPr>
    <w:rPr>
      <w:rFonts w:ascii="Open Sans Light" w:eastAsiaTheme="majorEastAsia" w:hAnsi="Open Sans Light" w:cstheme="majorBidi"/>
      <w:spacing w:val="-10"/>
      <w:kern w:val="28"/>
      <w:sz w:val="72"/>
      <w:szCs w:val="56"/>
    </w:rPr>
  </w:style>
  <w:style w:type="character" w:customStyle="1" w:styleId="TitleChar">
    <w:name w:val="Title Char"/>
    <w:basedOn w:val="DefaultParagraphFont"/>
    <w:link w:val="Title"/>
    <w:uiPriority w:val="10"/>
    <w:rsid w:val="00983146"/>
    <w:rPr>
      <w:rFonts w:ascii="Open Sans Light" w:eastAsiaTheme="majorEastAsia" w:hAnsi="Open Sans Light" w:cstheme="majorBidi"/>
      <w:spacing w:val="-10"/>
      <w:kern w:val="28"/>
      <w:sz w:val="72"/>
      <w:szCs w:val="56"/>
    </w:rPr>
  </w:style>
  <w:style w:type="paragraph" w:styleId="Subtitle">
    <w:name w:val="Subtitle"/>
    <w:basedOn w:val="Normal"/>
    <w:next w:val="Normal"/>
    <w:link w:val="SubtitleChar"/>
    <w:uiPriority w:val="11"/>
    <w:qFormat/>
    <w:rsid w:val="0098314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83146"/>
    <w:rPr>
      <w:rFonts w:ascii="Open Sans" w:eastAsiaTheme="minorEastAsia" w:hAnsi="Open Sans"/>
      <w:color w:val="5A5A5A" w:themeColor="text1" w:themeTint="A5"/>
      <w:spacing w:val="15"/>
      <w:sz w:val="22"/>
      <w:szCs w:val="22"/>
    </w:rPr>
  </w:style>
  <w:style w:type="character" w:styleId="SubtleEmphasis">
    <w:name w:val="Subtle Emphasis"/>
    <w:basedOn w:val="DefaultParagraphFont"/>
    <w:uiPriority w:val="19"/>
    <w:qFormat/>
    <w:rsid w:val="00983146"/>
    <w:rPr>
      <w:rFonts w:ascii="Open Sans" w:hAnsi="Open Sans"/>
      <w:b w:val="0"/>
      <w:bCs w:val="0"/>
      <w:i/>
      <w:iCs/>
      <w:color w:val="404040" w:themeColor="text1" w:themeTint="BF"/>
    </w:rPr>
  </w:style>
  <w:style w:type="paragraph" w:styleId="DocumentMap">
    <w:name w:val="Document Map"/>
    <w:basedOn w:val="Normal"/>
    <w:link w:val="DocumentMapChar"/>
    <w:uiPriority w:val="99"/>
    <w:semiHidden/>
    <w:unhideWhenUsed/>
    <w:rsid w:val="0011377B"/>
    <w:rPr>
      <w:rFonts w:ascii="Times New Roman" w:hAnsi="Times New Roman" w:cs="Times New Roman"/>
    </w:rPr>
  </w:style>
  <w:style w:type="character" w:customStyle="1" w:styleId="DocumentMapChar">
    <w:name w:val="Document Map Char"/>
    <w:basedOn w:val="DefaultParagraphFont"/>
    <w:link w:val="DocumentMap"/>
    <w:uiPriority w:val="99"/>
    <w:semiHidden/>
    <w:rsid w:val="0011377B"/>
    <w:rPr>
      <w:rFonts w:ascii="Times New Roman" w:hAnsi="Times New Roman" w:cs="Times New Roman"/>
    </w:rPr>
  </w:style>
  <w:style w:type="paragraph" w:styleId="EndnoteText">
    <w:name w:val="endnote text"/>
    <w:basedOn w:val="Normal"/>
    <w:link w:val="EndnoteTextChar"/>
    <w:uiPriority w:val="99"/>
    <w:unhideWhenUsed/>
    <w:rsid w:val="000450EB"/>
  </w:style>
  <w:style w:type="character" w:customStyle="1" w:styleId="EndnoteTextChar">
    <w:name w:val="Endnote Text Char"/>
    <w:basedOn w:val="DefaultParagraphFont"/>
    <w:link w:val="EndnoteText"/>
    <w:uiPriority w:val="99"/>
    <w:rsid w:val="000450EB"/>
    <w:rPr>
      <w:rFonts w:ascii="Open Sans" w:hAnsi="Open Sans"/>
    </w:rPr>
  </w:style>
  <w:style w:type="character" w:styleId="EndnoteReference">
    <w:name w:val="endnote reference"/>
    <w:basedOn w:val="DefaultParagraphFont"/>
    <w:uiPriority w:val="99"/>
    <w:unhideWhenUsed/>
    <w:rsid w:val="000450EB"/>
    <w:rPr>
      <w:vertAlign w:val="superscript"/>
    </w:rPr>
  </w:style>
  <w:style w:type="paragraph" w:styleId="FootnoteText">
    <w:name w:val="footnote text"/>
    <w:basedOn w:val="Normal"/>
    <w:link w:val="FootnoteTextChar"/>
    <w:uiPriority w:val="99"/>
    <w:unhideWhenUsed/>
    <w:rsid w:val="000450EB"/>
  </w:style>
  <w:style w:type="character" w:customStyle="1" w:styleId="FootnoteTextChar">
    <w:name w:val="Footnote Text Char"/>
    <w:basedOn w:val="DefaultParagraphFont"/>
    <w:link w:val="FootnoteText"/>
    <w:uiPriority w:val="99"/>
    <w:rsid w:val="000450EB"/>
    <w:rPr>
      <w:rFonts w:ascii="Open Sans" w:hAnsi="Open Sans"/>
    </w:rPr>
  </w:style>
  <w:style w:type="character" w:styleId="FootnoteReference">
    <w:name w:val="footnote reference"/>
    <w:basedOn w:val="DefaultParagraphFont"/>
    <w:uiPriority w:val="99"/>
    <w:unhideWhenUsed/>
    <w:rsid w:val="000450EB"/>
    <w:rPr>
      <w:vertAlign w:val="superscript"/>
    </w:rPr>
  </w:style>
  <w:style w:type="character" w:styleId="Hyperlink">
    <w:name w:val="Hyperlink"/>
    <w:basedOn w:val="DefaultParagraphFont"/>
    <w:uiPriority w:val="99"/>
    <w:unhideWhenUsed/>
    <w:rsid w:val="000450EB"/>
    <w:rPr>
      <w:color w:val="CC9900" w:themeColor="hyperlink"/>
      <w:u w:val="single"/>
    </w:rPr>
  </w:style>
  <w:style w:type="character" w:styleId="FollowedHyperlink">
    <w:name w:val="FollowedHyperlink"/>
    <w:basedOn w:val="DefaultParagraphFont"/>
    <w:uiPriority w:val="99"/>
    <w:semiHidden/>
    <w:unhideWhenUsed/>
    <w:rsid w:val="000450EB"/>
    <w:rPr>
      <w:color w:val="666699" w:themeColor="followedHyperlink"/>
      <w:u w:val="single"/>
    </w:rPr>
  </w:style>
  <w:style w:type="table" w:customStyle="1" w:styleId="GridTable4-Accent61">
    <w:name w:val="Grid Table 4 - Accent 61"/>
    <w:basedOn w:val="TableNormal"/>
    <w:uiPriority w:val="49"/>
    <w:rsid w:val="00A24076"/>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color w:val="FFFFFF" w:themeColor="background1"/>
      </w:rPr>
      <w:tblPr/>
      <w:tcPr>
        <w:tcBorders>
          <w:top w:val="single" w:sz="4" w:space="0" w:color="B22600" w:themeColor="accent6"/>
          <w:left w:val="single" w:sz="4" w:space="0" w:color="B22600" w:themeColor="accent6"/>
          <w:bottom w:val="single" w:sz="4" w:space="0" w:color="B22600" w:themeColor="accent6"/>
          <w:right w:val="single" w:sz="4" w:space="0" w:color="B22600" w:themeColor="accent6"/>
          <w:insideH w:val="nil"/>
          <w:insideV w:val="nil"/>
        </w:tcBorders>
        <w:shd w:val="clear" w:color="auto" w:fill="B22600" w:themeFill="accent6"/>
      </w:tcPr>
    </w:tblStylePr>
    <w:tblStylePr w:type="lastRow">
      <w:rPr>
        <w:b/>
        <w:bCs/>
      </w:rPr>
      <w:tblPr/>
      <w:tcPr>
        <w:tcBorders>
          <w:top w:val="double" w:sz="4" w:space="0" w:color="B22600" w:themeColor="accent6"/>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paragraph" w:styleId="NoSpacing">
    <w:name w:val="No Spacing"/>
    <w:link w:val="NoSpacingChar"/>
    <w:uiPriority w:val="1"/>
    <w:qFormat/>
    <w:rsid w:val="00885693"/>
    <w:rPr>
      <w:rFonts w:eastAsiaTheme="minorEastAsia"/>
      <w:sz w:val="22"/>
      <w:szCs w:val="22"/>
      <w:lang w:val="en-US" w:eastAsia="zh-CN"/>
    </w:rPr>
  </w:style>
  <w:style w:type="character" w:customStyle="1" w:styleId="NoSpacingChar">
    <w:name w:val="No Spacing Char"/>
    <w:basedOn w:val="DefaultParagraphFont"/>
    <w:link w:val="NoSpacing"/>
    <w:uiPriority w:val="1"/>
    <w:rsid w:val="00885693"/>
    <w:rPr>
      <w:rFonts w:eastAsiaTheme="minorEastAsia"/>
      <w:sz w:val="22"/>
      <w:szCs w:val="22"/>
      <w:lang w:val="en-US" w:eastAsia="zh-CN"/>
    </w:rPr>
  </w:style>
  <w:style w:type="paragraph" w:styleId="ListParagraph">
    <w:name w:val="List Paragraph"/>
    <w:basedOn w:val="Normal"/>
    <w:uiPriority w:val="34"/>
    <w:qFormat/>
    <w:rsid w:val="00F946FB"/>
    <w:pPr>
      <w:ind w:left="720"/>
      <w:contextualSpacing/>
    </w:pPr>
  </w:style>
  <w:style w:type="paragraph" w:styleId="BalloonText">
    <w:name w:val="Balloon Text"/>
    <w:basedOn w:val="Normal"/>
    <w:link w:val="BalloonTextChar"/>
    <w:uiPriority w:val="99"/>
    <w:semiHidden/>
    <w:unhideWhenUsed/>
    <w:rsid w:val="002631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312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41741"/>
    <w:rPr>
      <w:sz w:val="16"/>
      <w:szCs w:val="16"/>
    </w:rPr>
  </w:style>
  <w:style w:type="paragraph" w:styleId="CommentText">
    <w:name w:val="annotation text"/>
    <w:basedOn w:val="Normal"/>
    <w:link w:val="CommentTextChar"/>
    <w:uiPriority w:val="99"/>
    <w:semiHidden/>
    <w:unhideWhenUsed/>
    <w:rsid w:val="00E41741"/>
    <w:rPr>
      <w:sz w:val="20"/>
      <w:szCs w:val="20"/>
    </w:rPr>
  </w:style>
  <w:style w:type="character" w:customStyle="1" w:styleId="CommentTextChar">
    <w:name w:val="Comment Text Char"/>
    <w:basedOn w:val="DefaultParagraphFont"/>
    <w:link w:val="CommentText"/>
    <w:uiPriority w:val="99"/>
    <w:semiHidden/>
    <w:rsid w:val="00E41741"/>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E41741"/>
    <w:rPr>
      <w:b/>
      <w:bCs/>
    </w:rPr>
  </w:style>
  <w:style w:type="character" w:customStyle="1" w:styleId="CommentSubjectChar">
    <w:name w:val="Comment Subject Char"/>
    <w:basedOn w:val="CommentTextChar"/>
    <w:link w:val="CommentSubject"/>
    <w:uiPriority w:val="99"/>
    <w:semiHidden/>
    <w:rsid w:val="00E41741"/>
    <w:rPr>
      <w:rFonts w:ascii="Open Sans" w:hAnsi="Open Sans"/>
      <w:b/>
      <w:bCs/>
      <w:sz w:val="20"/>
      <w:szCs w:val="20"/>
    </w:rPr>
  </w:style>
  <w:style w:type="paragraph" w:styleId="Revision">
    <w:name w:val="Revision"/>
    <w:hidden/>
    <w:uiPriority w:val="99"/>
    <w:semiHidden/>
    <w:rsid w:val="0099400B"/>
    <w:rPr>
      <w:rFonts w:ascii="Open Sans" w:hAnsi="Open Sans"/>
    </w:rPr>
  </w:style>
  <w:style w:type="paragraph" w:styleId="TOCHeading">
    <w:name w:val="TOC Heading"/>
    <w:basedOn w:val="Heading1"/>
    <w:next w:val="Normal"/>
    <w:uiPriority w:val="39"/>
    <w:semiHidden/>
    <w:unhideWhenUsed/>
    <w:qFormat/>
    <w:rsid w:val="0099400B"/>
    <w:pPr>
      <w:spacing w:before="480" w:line="276" w:lineRule="auto"/>
      <w:outlineLvl w:val="9"/>
    </w:pPr>
    <w:rPr>
      <w:rFonts w:asciiTheme="majorHAnsi" w:hAnsiTheme="majorHAnsi"/>
      <w:sz w:val="28"/>
      <w:szCs w:val="28"/>
      <w:lang w:val="en-US" w:eastAsia="ja-JP"/>
    </w:rPr>
  </w:style>
  <w:style w:type="paragraph" w:styleId="TOC1">
    <w:name w:val="toc 1"/>
    <w:basedOn w:val="Normal"/>
    <w:next w:val="Normal"/>
    <w:autoRedefine/>
    <w:uiPriority w:val="39"/>
    <w:unhideWhenUsed/>
    <w:rsid w:val="0099400B"/>
    <w:pPr>
      <w:spacing w:after="100"/>
    </w:pPr>
  </w:style>
  <w:style w:type="paragraph" w:styleId="TOC2">
    <w:name w:val="toc 2"/>
    <w:basedOn w:val="Normal"/>
    <w:next w:val="Normal"/>
    <w:autoRedefine/>
    <w:uiPriority w:val="39"/>
    <w:unhideWhenUsed/>
    <w:rsid w:val="0099400B"/>
    <w:pPr>
      <w:spacing w:after="100"/>
      <w:ind w:left="240"/>
    </w:pPr>
  </w:style>
  <w:style w:type="paragraph" w:styleId="TOC3">
    <w:name w:val="toc 3"/>
    <w:basedOn w:val="Normal"/>
    <w:next w:val="Normal"/>
    <w:autoRedefine/>
    <w:uiPriority w:val="39"/>
    <w:unhideWhenUsed/>
    <w:rsid w:val="0099400B"/>
    <w:pPr>
      <w:spacing w:after="100"/>
      <w:ind w:left="480"/>
    </w:pPr>
  </w:style>
  <w:style w:type="paragraph" w:styleId="Caption">
    <w:name w:val="caption"/>
    <w:basedOn w:val="Normal"/>
    <w:next w:val="Normal"/>
    <w:uiPriority w:val="35"/>
    <w:unhideWhenUsed/>
    <w:qFormat/>
    <w:rsid w:val="0099400B"/>
    <w:pPr>
      <w:spacing w:after="200"/>
    </w:pPr>
    <w:rPr>
      <w:b/>
      <w:bCs/>
      <w:color w:val="E84C22"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082">
      <w:bodyDiv w:val="1"/>
      <w:marLeft w:val="0"/>
      <w:marRight w:val="0"/>
      <w:marTop w:val="0"/>
      <w:marBottom w:val="0"/>
      <w:divBdr>
        <w:top w:val="none" w:sz="0" w:space="0" w:color="auto"/>
        <w:left w:val="none" w:sz="0" w:space="0" w:color="auto"/>
        <w:bottom w:val="none" w:sz="0" w:space="0" w:color="auto"/>
        <w:right w:val="none" w:sz="0" w:space="0" w:color="auto"/>
      </w:divBdr>
    </w:div>
    <w:div w:id="115563312">
      <w:bodyDiv w:val="1"/>
      <w:marLeft w:val="0"/>
      <w:marRight w:val="0"/>
      <w:marTop w:val="0"/>
      <w:marBottom w:val="0"/>
      <w:divBdr>
        <w:top w:val="none" w:sz="0" w:space="0" w:color="auto"/>
        <w:left w:val="none" w:sz="0" w:space="0" w:color="auto"/>
        <w:bottom w:val="none" w:sz="0" w:space="0" w:color="auto"/>
        <w:right w:val="none" w:sz="0" w:space="0" w:color="auto"/>
      </w:divBdr>
    </w:div>
    <w:div w:id="187179374">
      <w:bodyDiv w:val="1"/>
      <w:marLeft w:val="0"/>
      <w:marRight w:val="0"/>
      <w:marTop w:val="0"/>
      <w:marBottom w:val="0"/>
      <w:divBdr>
        <w:top w:val="none" w:sz="0" w:space="0" w:color="auto"/>
        <w:left w:val="none" w:sz="0" w:space="0" w:color="auto"/>
        <w:bottom w:val="none" w:sz="0" w:space="0" w:color="auto"/>
        <w:right w:val="none" w:sz="0" w:space="0" w:color="auto"/>
      </w:divBdr>
    </w:div>
    <w:div w:id="325523170">
      <w:bodyDiv w:val="1"/>
      <w:marLeft w:val="0"/>
      <w:marRight w:val="0"/>
      <w:marTop w:val="0"/>
      <w:marBottom w:val="0"/>
      <w:divBdr>
        <w:top w:val="none" w:sz="0" w:space="0" w:color="auto"/>
        <w:left w:val="none" w:sz="0" w:space="0" w:color="auto"/>
        <w:bottom w:val="none" w:sz="0" w:space="0" w:color="auto"/>
        <w:right w:val="none" w:sz="0" w:space="0" w:color="auto"/>
      </w:divBdr>
    </w:div>
    <w:div w:id="437021493">
      <w:bodyDiv w:val="1"/>
      <w:marLeft w:val="0"/>
      <w:marRight w:val="0"/>
      <w:marTop w:val="0"/>
      <w:marBottom w:val="0"/>
      <w:divBdr>
        <w:top w:val="none" w:sz="0" w:space="0" w:color="auto"/>
        <w:left w:val="none" w:sz="0" w:space="0" w:color="auto"/>
        <w:bottom w:val="none" w:sz="0" w:space="0" w:color="auto"/>
        <w:right w:val="none" w:sz="0" w:space="0" w:color="auto"/>
      </w:divBdr>
    </w:div>
    <w:div w:id="497961424">
      <w:bodyDiv w:val="1"/>
      <w:marLeft w:val="0"/>
      <w:marRight w:val="0"/>
      <w:marTop w:val="0"/>
      <w:marBottom w:val="0"/>
      <w:divBdr>
        <w:top w:val="none" w:sz="0" w:space="0" w:color="auto"/>
        <w:left w:val="none" w:sz="0" w:space="0" w:color="auto"/>
        <w:bottom w:val="none" w:sz="0" w:space="0" w:color="auto"/>
        <w:right w:val="none" w:sz="0" w:space="0" w:color="auto"/>
      </w:divBdr>
    </w:div>
    <w:div w:id="502017601">
      <w:bodyDiv w:val="1"/>
      <w:marLeft w:val="0"/>
      <w:marRight w:val="0"/>
      <w:marTop w:val="0"/>
      <w:marBottom w:val="0"/>
      <w:divBdr>
        <w:top w:val="none" w:sz="0" w:space="0" w:color="auto"/>
        <w:left w:val="none" w:sz="0" w:space="0" w:color="auto"/>
        <w:bottom w:val="none" w:sz="0" w:space="0" w:color="auto"/>
        <w:right w:val="none" w:sz="0" w:space="0" w:color="auto"/>
      </w:divBdr>
    </w:div>
    <w:div w:id="668212800">
      <w:bodyDiv w:val="1"/>
      <w:marLeft w:val="0"/>
      <w:marRight w:val="0"/>
      <w:marTop w:val="0"/>
      <w:marBottom w:val="0"/>
      <w:divBdr>
        <w:top w:val="none" w:sz="0" w:space="0" w:color="auto"/>
        <w:left w:val="none" w:sz="0" w:space="0" w:color="auto"/>
        <w:bottom w:val="none" w:sz="0" w:space="0" w:color="auto"/>
        <w:right w:val="none" w:sz="0" w:space="0" w:color="auto"/>
      </w:divBdr>
    </w:div>
    <w:div w:id="840900440">
      <w:bodyDiv w:val="1"/>
      <w:marLeft w:val="0"/>
      <w:marRight w:val="0"/>
      <w:marTop w:val="0"/>
      <w:marBottom w:val="0"/>
      <w:divBdr>
        <w:top w:val="none" w:sz="0" w:space="0" w:color="auto"/>
        <w:left w:val="none" w:sz="0" w:space="0" w:color="auto"/>
        <w:bottom w:val="none" w:sz="0" w:space="0" w:color="auto"/>
        <w:right w:val="none" w:sz="0" w:space="0" w:color="auto"/>
      </w:divBdr>
    </w:div>
    <w:div w:id="862933971">
      <w:bodyDiv w:val="1"/>
      <w:marLeft w:val="0"/>
      <w:marRight w:val="0"/>
      <w:marTop w:val="0"/>
      <w:marBottom w:val="0"/>
      <w:divBdr>
        <w:top w:val="none" w:sz="0" w:space="0" w:color="auto"/>
        <w:left w:val="none" w:sz="0" w:space="0" w:color="auto"/>
        <w:bottom w:val="none" w:sz="0" w:space="0" w:color="auto"/>
        <w:right w:val="none" w:sz="0" w:space="0" w:color="auto"/>
      </w:divBdr>
    </w:div>
    <w:div w:id="888422106">
      <w:bodyDiv w:val="1"/>
      <w:marLeft w:val="0"/>
      <w:marRight w:val="0"/>
      <w:marTop w:val="0"/>
      <w:marBottom w:val="0"/>
      <w:divBdr>
        <w:top w:val="none" w:sz="0" w:space="0" w:color="auto"/>
        <w:left w:val="none" w:sz="0" w:space="0" w:color="auto"/>
        <w:bottom w:val="none" w:sz="0" w:space="0" w:color="auto"/>
        <w:right w:val="none" w:sz="0" w:space="0" w:color="auto"/>
      </w:divBdr>
    </w:div>
    <w:div w:id="949631051">
      <w:bodyDiv w:val="1"/>
      <w:marLeft w:val="0"/>
      <w:marRight w:val="0"/>
      <w:marTop w:val="0"/>
      <w:marBottom w:val="0"/>
      <w:divBdr>
        <w:top w:val="none" w:sz="0" w:space="0" w:color="auto"/>
        <w:left w:val="none" w:sz="0" w:space="0" w:color="auto"/>
        <w:bottom w:val="none" w:sz="0" w:space="0" w:color="auto"/>
        <w:right w:val="none" w:sz="0" w:space="0" w:color="auto"/>
      </w:divBdr>
    </w:div>
    <w:div w:id="1010453670">
      <w:bodyDiv w:val="1"/>
      <w:marLeft w:val="0"/>
      <w:marRight w:val="0"/>
      <w:marTop w:val="0"/>
      <w:marBottom w:val="0"/>
      <w:divBdr>
        <w:top w:val="none" w:sz="0" w:space="0" w:color="auto"/>
        <w:left w:val="none" w:sz="0" w:space="0" w:color="auto"/>
        <w:bottom w:val="none" w:sz="0" w:space="0" w:color="auto"/>
        <w:right w:val="none" w:sz="0" w:space="0" w:color="auto"/>
      </w:divBdr>
    </w:div>
    <w:div w:id="1044132788">
      <w:bodyDiv w:val="1"/>
      <w:marLeft w:val="0"/>
      <w:marRight w:val="0"/>
      <w:marTop w:val="0"/>
      <w:marBottom w:val="0"/>
      <w:divBdr>
        <w:top w:val="none" w:sz="0" w:space="0" w:color="auto"/>
        <w:left w:val="none" w:sz="0" w:space="0" w:color="auto"/>
        <w:bottom w:val="none" w:sz="0" w:space="0" w:color="auto"/>
        <w:right w:val="none" w:sz="0" w:space="0" w:color="auto"/>
      </w:divBdr>
    </w:div>
    <w:div w:id="1148521618">
      <w:bodyDiv w:val="1"/>
      <w:marLeft w:val="0"/>
      <w:marRight w:val="0"/>
      <w:marTop w:val="0"/>
      <w:marBottom w:val="0"/>
      <w:divBdr>
        <w:top w:val="none" w:sz="0" w:space="0" w:color="auto"/>
        <w:left w:val="none" w:sz="0" w:space="0" w:color="auto"/>
        <w:bottom w:val="none" w:sz="0" w:space="0" w:color="auto"/>
        <w:right w:val="none" w:sz="0" w:space="0" w:color="auto"/>
      </w:divBdr>
    </w:div>
    <w:div w:id="1149251931">
      <w:bodyDiv w:val="1"/>
      <w:marLeft w:val="0"/>
      <w:marRight w:val="0"/>
      <w:marTop w:val="0"/>
      <w:marBottom w:val="0"/>
      <w:divBdr>
        <w:top w:val="none" w:sz="0" w:space="0" w:color="auto"/>
        <w:left w:val="none" w:sz="0" w:space="0" w:color="auto"/>
        <w:bottom w:val="none" w:sz="0" w:space="0" w:color="auto"/>
        <w:right w:val="none" w:sz="0" w:space="0" w:color="auto"/>
      </w:divBdr>
    </w:div>
    <w:div w:id="1165589022">
      <w:bodyDiv w:val="1"/>
      <w:marLeft w:val="0"/>
      <w:marRight w:val="0"/>
      <w:marTop w:val="0"/>
      <w:marBottom w:val="0"/>
      <w:divBdr>
        <w:top w:val="none" w:sz="0" w:space="0" w:color="auto"/>
        <w:left w:val="none" w:sz="0" w:space="0" w:color="auto"/>
        <w:bottom w:val="none" w:sz="0" w:space="0" w:color="auto"/>
        <w:right w:val="none" w:sz="0" w:space="0" w:color="auto"/>
      </w:divBdr>
    </w:div>
    <w:div w:id="1226339154">
      <w:bodyDiv w:val="1"/>
      <w:marLeft w:val="0"/>
      <w:marRight w:val="0"/>
      <w:marTop w:val="0"/>
      <w:marBottom w:val="0"/>
      <w:divBdr>
        <w:top w:val="none" w:sz="0" w:space="0" w:color="auto"/>
        <w:left w:val="none" w:sz="0" w:space="0" w:color="auto"/>
        <w:bottom w:val="none" w:sz="0" w:space="0" w:color="auto"/>
        <w:right w:val="none" w:sz="0" w:space="0" w:color="auto"/>
      </w:divBdr>
    </w:div>
    <w:div w:id="1292370686">
      <w:bodyDiv w:val="1"/>
      <w:marLeft w:val="0"/>
      <w:marRight w:val="0"/>
      <w:marTop w:val="0"/>
      <w:marBottom w:val="0"/>
      <w:divBdr>
        <w:top w:val="none" w:sz="0" w:space="0" w:color="auto"/>
        <w:left w:val="none" w:sz="0" w:space="0" w:color="auto"/>
        <w:bottom w:val="none" w:sz="0" w:space="0" w:color="auto"/>
        <w:right w:val="none" w:sz="0" w:space="0" w:color="auto"/>
      </w:divBdr>
    </w:div>
    <w:div w:id="1334258878">
      <w:bodyDiv w:val="1"/>
      <w:marLeft w:val="0"/>
      <w:marRight w:val="0"/>
      <w:marTop w:val="0"/>
      <w:marBottom w:val="0"/>
      <w:divBdr>
        <w:top w:val="none" w:sz="0" w:space="0" w:color="auto"/>
        <w:left w:val="none" w:sz="0" w:space="0" w:color="auto"/>
        <w:bottom w:val="none" w:sz="0" w:space="0" w:color="auto"/>
        <w:right w:val="none" w:sz="0" w:space="0" w:color="auto"/>
      </w:divBdr>
    </w:div>
    <w:div w:id="1512573323">
      <w:bodyDiv w:val="1"/>
      <w:marLeft w:val="0"/>
      <w:marRight w:val="0"/>
      <w:marTop w:val="0"/>
      <w:marBottom w:val="0"/>
      <w:divBdr>
        <w:top w:val="none" w:sz="0" w:space="0" w:color="auto"/>
        <w:left w:val="none" w:sz="0" w:space="0" w:color="auto"/>
        <w:bottom w:val="none" w:sz="0" w:space="0" w:color="auto"/>
        <w:right w:val="none" w:sz="0" w:space="0" w:color="auto"/>
      </w:divBdr>
    </w:div>
    <w:div w:id="1514106799">
      <w:bodyDiv w:val="1"/>
      <w:marLeft w:val="0"/>
      <w:marRight w:val="0"/>
      <w:marTop w:val="0"/>
      <w:marBottom w:val="0"/>
      <w:divBdr>
        <w:top w:val="none" w:sz="0" w:space="0" w:color="auto"/>
        <w:left w:val="none" w:sz="0" w:space="0" w:color="auto"/>
        <w:bottom w:val="none" w:sz="0" w:space="0" w:color="auto"/>
        <w:right w:val="none" w:sz="0" w:space="0" w:color="auto"/>
      </w:divBdr>
    </w:div>
    <w:div w:id="1525367191">
      <w:bodyDiv w:val="1"/>
      <w:marLeft w:val="0"/>
      <w:marRight w:val="0"/>
      <w:marTop w:val="0"/>
      <w:marBottom w:val="0"/>
      <w:divBdr>
        <w:top w:val="none" w:sz="0" w:space="0" w:color="auto"/>
        <w:left w:val="none" w:sz="0" w:space="0" w:color="auto"/>
        <w:bottom w:val="none" w:sz="0" w:space="0" w:color="auto"/>
        <w:right w:val="none" w:sz="0" w:space="0" w:color="auto"/>
      </w:divBdr>
    </w:div>
    <w:div w:id="1545411840">
      <w:bodyDiv w:val="1"/>
      <w:marLeft w:val="0"/>
      <w:marRight w:val="0"/>
      <w:marTop w:val="0"/>
      <w:marBottom w:val="0"/>
      <w:divBdr>
        <w:top w:val="none" w:sz="0" w:space="0" w:color="auto"/>
        <w:left w:val="none" w:sz="0" w:space="0" w:color="auto"/>
        <w:bottom w:val="none" w:sz="0" w:space="0" w:color="auto"/>
        <w:right w:val="none" w:sz="0" w:space="0" w:color="auto"/>
      </w:divBdr>
    </w:div>
    <w:div w:id="1565601002">
      <w:bodyDiv w:val="1"/>
      <w:marLeft w:val="0"/>
      <w:marRight w:val="0"/>
      <w:marTop w:val="0"/>
      <w:marBottom w:val="0"/>
      <w:divBdr>
        <w:top w:val="none" w:sz="0" w:space="0" w:color="auto"/>
        <w:left w:val="none" w:sz="0" w:space="0" w:color="auto"/>
        <w:bottom w:val="none" w:sz="0" w:space="0" w:color="auto"/>
        <w:right w:val="none" w:sz="0" w:space="0" w:color="auto"/>
      </w:divBdr>
    </w:div>
    <w:div w:id="1575162705">
      <w:bodyDiv w:val="1"/>
      <w:marLeft w:val="0"/>
      <w:marRight w:val="0"/>
      <w:marTop w:val="0"/>
      <w:marBottom w:val="0"/>
      <w:divBdr>
        <w:top w:val="none" w:sz="0" w:space="0" w:color="auto"/>
        <w:left w:val="none" w:sz="0" w:space="0" w:color="auto"/>
        <w:bottom w:val="none" w:sz="0" w:space="0" w:color="auto"/>
        <w:right w:val="none" w:sz="0" w:space="0" w:color="auto"/>
      </w:divBdr>
    </w:div>
    <w:div w:id="1585870518">
      <w:bodyDiv w:val="1"/>
      <w:marLeft w:val="0"/>
      <w:marRight w:val="0"/>
      <w:marTop w:val="0"/>
      <w:marBottom w:val="0"/>
      <w:divBdr>
        <w:top w:val="none" w:sz="0" w:space="0" w:color="auto"/>
        <w:left w:val="none" w:sz="0" w:space="0" w:color="auto"/>
        <w:bottom w:val="none" w:sz="0" w:space="0" w:color="auto"/>
        <w:right w:val="none" w:sz="0" w:space="0" w:color="auto"/>
      </w:divBdr>
    </w:div>
    <w:div w:id="1623999122">
      <w:bodyDiv w:val="1"/>
      <w:marLeft w:val="0"/>
      <w:marRight w:val="0"/>
      <w:marTop w:val="0"/>
      <w:marBottom w:val="0"/>
      <w:divBdr>
        <w:top w:val="none" w:sz="0" w:space="0" w:color="auto"/>
        <w:left w:val="none" w:sz="0" w:space="0" w:color="auto"/>
        <w:bottom w:val="none" w:sz="0" w:space="0" w:color="auto"/>
        <w:right w:val="none" w:sz="0" w:space="0" w:color="auto"/>
      </w:divBdr>
    </w:div>
    <w:div w:id="1715544261">
      <w:bodyDiv w:val="1"/>
      <w:marLeft w:val="0"/>
      <w:marRight w:val="0"/>
      <w:marTop w:val="0"/>
      <w:marBottom w:val="0"/>
      <w:divBdr>
        <w:top w:val="none" w:sz="0" w:space="0" w:color="auto"/>
        <w:left w:val="none" w:sz="0" w:space="0" w:color="auto"/>
        <w:bottom w:val="none" w:sz="0" w:space="0" w:color="auto"/>
        <w:right w:val="none" w:sz="0" w:space="0" w:color="auto"/>
      </w:divBdr>
    </w:div>
    <w:div w:id="1739133861">
      <w:bodyDiv w:val="1"/>
      <w:marLeft w:val="0"/>
      <w:marRight w:val="0"/>
      <w:marTop w:val="0"/>
      <w:marBottom w:val="0"/>
      <w:divBdr>
        <w:top w:val="none" w:sz="0" w:space="0" w:color="auto"/>
        <w:left w:val="none" w:sz="0" w:space="0" w:color="auto"/>
        <w:bottom w:val="none" w:sz="0" w:space="0" w:color="auto"/>
        <w:right w:val="none" w:sz="0" w:space="0" w:color="auto"/>
      </w:divBdr>
    </w:div>
    <w:div w:id="1867910372">
      <w:bodyDiv w:val="1"/>
      <w:marLeft w:val="0"/>
      <w:marRight w:val="0"/>
      <w:marTop w:val="0"/>
      <w:marBottom w:val="0"/>
      <w:divBdr>
        <w:top w:val="none" w:sz="0" w:space="0" w:color="auto"/>
        <w:left w:val="none" w:sz="0" w:space="0" w:color="auto"/>
        <w:bottom w:val="none" w:sz="0" w:space="0" w:color="auto"/>
        <w:right w:val="none" w:sz="0" w:space="0" w:color="auto"/>
      </w:divBdr>
    </w:div>
    <w:div w:id="1910726063">
      <w:bodyDiv w:val="1"/>
      <w:marLeft w:val="0"/>
      <w:marRight w:val="0"/>
      <w:marTop w:val="0"/>
      <w:marBottom w:val="0"/>
      <w:divBdr>
        <w:top w:val="none" w:sz="0" w:space="0" w:color="auto"/>
        <w:left w:val="none" w:sz="0" w:space="0" w:color="auto"/>
        <w:bottom w:val="none" w:sz="0" w:space="0" w:color="auto"/>
        <w:right w:val="none" w:sz="0" w:space="0" w:color="auto"/>
      </w:divBdr>
    </w:div>
    <w:div w:id="1950426071">
      <w:bodyDiv w:val="1"/>
      <w:marLeft w:val="0"/>
      <w:marRight w:val="0"/>
      <w:marTop w:val="0"/>
      <w:marBottom w:val="0"/>
      <w:divBdr>
        <w:top w:val="none" w:sz="0" w:space="0" w:color="auto"/>
        <w:left w:val="none" w:sz="0" w:space="0" w:color="auto"/>
        <w:bottom w:val="none" w:sz="0" w:space="0" w:color="auto"/>
        <w:right w:val="none" w:sz="0" w:space="0" w:color="auto"/>
      </w:divBdr>
    </w:div>
    <w:div w:id="1987393148">
      <w:bodyDiv w:val="1"/>
      <w:marLeft w:val="0"/>
      <w:marRight w:val="0"/>
      <w:marTop w:val="0"/>
      <w:marBottom w:val="0"/>
      <w:divBdr>
        <w:top w:val="none" w:sz="0" w:space="0" w:color="auto"/>
        <w:left w:val="none" w:sz="0" w:space="0" w:color="auto"/>
        <w:bottom w:val="none" w:sz="0" w:space="0" w:color="auto"/>
        <w:right w:val="none" w:sz="0" w:space="0" w:color="auto"/>
      </w:divBdr>
    </w:div>
    <w:div w:id="2055348433">
      <w:bodyDiv w:val="1"/>
      <w:marLeft w:val="0"/>
      <w:marRight w:val="0"/>
      <w:marTop w:val="0"/>
      <w:marBottom w:val="0"/>
      <w:divBdr>
        <w:top w:val="none" w:sz="0" w:space="0" w:color="auto"/>
        <w:left w:val="none" w:sz="0" w:space="0" w:color="auto"/>
        <w:bottom w:val="none" w:sz="0" w:space="0" w:color="auto"/>
        <w:right w:val="none" w:sz="0" w:space="0" w:color="auto"/>
      </w:divBdr>
    </w:div>
    <w:div w:id="2084983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s.gov.au/ausstats/abs@.nsf/0/A53A152BBF2992EBCA257801000C64BE" TargetMode="External"/><Relationship Id="rId18" Type="http://schemas.openxmlformats.org/officeDocument/2006/relationships/hyperlink" Target="http://www.telstrawholesale.com.au/download/document/bigpond-service-qualification.pdf" TargetMode="External"/><Relationship Id="rId3" Type="http://schemas.openxmlformats.org/officeDocument/2006/relationships/styles" Target="styles.xml"/><Relationship Id="rId21" Type="http://schemas.openxmlformats.org/officeDocument/2006/relationships/hyperlink" Target="https://www.communications.gov.au/sites/g/files/net301/f/TIO%20submission%20-%202015%20Regional%20Telecommunications%20Review%20-%20Final.pdf"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nbnco.com.au/learn-about-the-nbn/three-year-construction-plan.htm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internode.on.net/residential/broadband/adsl/easy_broadband/performance/" TargetMode="External"/><Relationship Id="rId20" Type="http://schemas.openxmlformats.org/officeDocument/2006/relationships/hyperlink" Target="http://www.telstrawholesale.com.au/products/broadband/adsl/adsl-reports-plan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data.gov.au/dataset/geocoded-national-address-file-g-naf"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www.telstrawholesale.com.au/products/broadband/adsl/adsl-reports-plan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ata.gov.au/dataset?q=mybroadband&amp;sort=extras_harvest_portal+asc%2C+score+desc"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Open Sans" charset="0"/>
                <a:ea typeface="Open Sans" charset="0"/>
                <a:cs typeface="Open Sans" charset="0"/>
              </a:defRPr>
            </a:pPr>
            <a:r>
              <a:rPr lang="en-US" sz="1200"/>
              <a:t>Number of under-served neighbourhoods</a:t>
            </a:r>
            <a:r>
              <a:rPr lang="en-US" sz="1200" baseline="0"/>
              <a:t> </a:t>
            </a:r>
            <a:r>
              <a:rPr lang="en-US" sz="1200"/>
              <a:t>over time</a:t>
            </a:r>
            <a:br>
              <a:rPr lang="en-US" sz="1200"/>
            </a:br>
            <a:r>
              <a:rPr lang="en-US" sz="1200"/>
              <a:t>by under-served classification reason</a:t>
            </a:r>
          </a:p>
        </c:rich>
      </c:tx>
      <c:layout/>
      <c:overlay val="0"/>
      <c:spPr>
        <a:noFill/>
        <a:ln>
          <a:noFill/>
        </a:ln>
        <a:effectLst/>
      </c:spPr>
    </c:title>
    <c:autoTitleDeleted val="0"/>
    <c:plotArea>
      <c:layout/>
      <c:barChart>
        <c:barDir val="col"/>
        <c:grouping val="stacked"/>
        <c:varyColors val="0"/>
        <c:ser>
          <c:idx val="0"/>
          <c:order val="0"/>
          <c:tx>
            <c:strRef>
              <c:f>Sheet1!$B$1</c:f>
              <c:strCache>
                <c:ptCount val="1"/>
                <c:pt idx="0">
                  <c:v>Partially served by satellite^</c:v>
                </c:pt>
              </c:strCache>
            </c:strRef>
          </c:tx>
          <c:spPr>
            <a:solidFill>
              <a:schemeClr val="accent1"/>
            </a:solidFill>
            <a:ln>
              <a:noFill/>
            </a:ln>
            <a:effectLst/>
          </c:spPr>
          <c:invertIfNegative val="0"/>
          <c:cat>
            <c:strRef>
              <c:f>Sheet1!$A$2:$A$4</c:f>
              <c:strCache>
                <c:ptCount val="3"/>
                <c:pt idx="0">
                  <c:v>Short Term_x000d_(June 2017)</c:v>
                </c:pt>
                <c:pt idx="1">
                  <c:v>Medium Term_x000d_(Dec 2018)</c:v>
                </c:pt>
                <c:pt idx="2">
                  <c:v>Long Term_x000d_(June 2020)</c:v>
                </c:pt>
              </c:strCache>
            </c:strRef>
          </c:cat>
          <c:val>
            <c:numRef>
              <c:f>Sheet1!$B$2:$B$4</c:f>
              <c:numCache>
                <c:formatCode>General</c:formatCode>
                <c:ptCount val="3"/>
                <c:pt idx="0" formatCode="#,##0">
                  <c:v>4542</c:v>
                </c:pt>
              </c:numCache>
            </c:numRef>
          </c:val>
        </c:ser>
        <c:ser>
          <c:idx val="1"/>
          <c:order val="1"/>
          <c:tx>
            <c:strRef>
              <c:f>Sheet1!$C$1</c:f>
              <c:strCache>
                <c:ptCount val="1"/>
                <c:pt idx="0">
                  <c:v>Exchange not ADSL-enabled</c:v>
                </c:pt>
              </c:strCache>
            </c:strRef>
          </c:tx>
          <c:spPr>
            <a:solidFill>
              <a:schemeClr val="accent2"/>
            </a:solidFill>
            <a:ln>
              <a:noFill/>
            </a:ln>
            <a:effectLst/>
          </c:spPr>
          <c:invertIfNegative val="0"/>
          <c:cat>
            <c:strRef>
              <c:f>Sheet1!$A$2:$A$4</c:f>
              <c:strCache>
                <c:ptCount val="3"/>
                <c:pt idx="0">
                  <c:v>Short Term_x000d_(June 2017)</c:v>
                </c:pt>
                <c:pt idx="1">
                  <c:v>Medium Term_x000d_(Dec 2018)</c:v>
                </c:pt>
                <c:pt idx="2">
                  <c:v>Long Term_x000d_(June 2020)</c:v>
                </c:pt>
              </c:strCache>
            </c:strRef>
          </c:cat>
          <c:val>
            <c:numRef>
              <c:f>Sheet1!$C$2:$C$4</c:f>
              <c:numCache>
                <c:formatCode>General</c:formatCode>
                <c:ptCount val="3"/>
                <c:pt idx="0" formatCode="#,##0">
                  <c:v>32</c:v>
                </c:pt>
              </c:numCache>
            </c:numRef>
          </c:val>
        </c:ser>
        <c:ser>
          <c:idx val="2"/>
          <c:order val="2"/>
          <c:tx>
            <c:strRef>
              <c:f>Sheet1!$D$1</c:f>
              <c:strCache>
                <c:ptCount val="1"/>
                <c:pt idx="0">
                  <c:v>No/low ADSL/ADSL2+ ports</c:v>
                </c:pt>
              </c:strCache>
            </c:strRef>
          </c:tx>
          <c:spPr>
            <a:solidFill>
              <a:schemeClr val="accent3"/>
            </a:solidFill>
            <a:ln>
              <a:noFill/>
            </a:ln>
            <a:effectLst/>
          </c:spPr>
          <c:invertIfNegative val="0"/>
          <c:cat>
            <c:strRef>
              <c:f>Sheet1!$A$2:$A$4</c:f>
              <c:strCache>
                <c:ptCount val="3"/>
                <c:pt idx="0">
                  <c:v>Short Term_x000d_(June 2017)</c:v>
                </c:pt>
                <c:pt idx="1">
                  <c:v>Medium Term_x000d_(Dec 2018)</c:v>
                </c:pt>
                <c:pt idx="2">
                  <c:v>Long Term_x000d_(June 2020)</c:v>
                </c:pt>
              </c:strCache>
            </c:strRef>
          </c:cat>
          <c:val>
            <c:numRef>
              <c:f>Sheet1!$D$2:$D$4</c:f>
              <c:numCache>
                <c:formatCode>General</c:formatCode>
                <c:ptCount val="3"/>
                <c:pt idx="0" formatCode="#,##0">
                  <c:v>1743</c:v>
                </c:pt>
                <c:pt idx="1">
                  <c:v>674</c:v>
                </c:pt>
                <c:pt idx="2" formatCode="#,##0">
                  <c:v>207</c:v>
                </c:pt>
              </c:numCache>
            </c:numRef>
          </c:val>
        </c:ser>
        <c:ser>
          <c:idx val="3"/>
          <c:order val="3"/>
          <c:tx>
            <c:strRef>
              <c:f>Sheet1!$E$1</c:f>
              <c:strCache>
                <c:ptCount val="1"/>
                <c:pt idx="0">
                  <c:v>Too far from exchange</c:v>
                </c:pt>
              </c:strCache>
            </c:strRef>
          </c:tx>
          <c:spPr>
            <a:solidFill>
              <a:schemeClr val="accent4"/>
            </a:solidFill>
            <a:ln>
              <a:noFill/>
            </a:ln>
            <a:effectLst/>
          </c:spPr>
          <c:invertIfNegative val="0"/>
          <c:cat>
            <c:strRef>
              <c:f>Sheet1!$A$2:$A$4</c:f>
              <c:strCache>
                <c:ptCount val="3"/>
                <c:pt idx="0">
                  <c:v>Short Term_x000d_(June 2017)</c:v>
                </c:pt>
                <c:pt idx="1">
                  <c:v>Medium Term_x000d_(Dec 2018)</c:v>
                </c:pt>
                <c:pt idx="2">
                  <c:v>Long Term_x000d_(June 2020)</c:v>
                </c:pt>
              </c:strCache>
            </c:strRef>
          </c:cat>
          <c:val>
            <c:numRef>
              <c:f>Sheet1!$E$2:$E$4</c:f>
              <c:numCache>
                <c:formatCode>#,##0</c:formatCode>
                <c:ptCount val="3"/>
                <c:pt idx="0">
                  <c:v>2887</c:v>
                </c:pt>
                <c:pt idx="1">
                  <c:v>1142</c:v>
                </c:pt>
                <c:pt idx="2" formatCode="General">
                  <c:v>420</c:v>
                </c:pt>
              </c:numCache>
            </c:numRef>
          </c:val>
        </c:ser>
        <c:dLbls>
          <c:showLegendKey val="0"/>
          <c:showVal val="0"/>
          <c:showCatName val="0"/>
          <c:showSerName val="0"/>
          <c:showPercent val="0"/>
          <c:showBubbleSize val="0"/>
        </c:dLbls>
        <c:gapWidth val="150"/>
        <c:overlap val="100"/>
        <c:axId val="78760192"/>
        <c:axId val="86792064"/>
      </c:barChart>
      <c:catAx>
        <c:axId val="7876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charset="0"/>
                <a:ea typeface="Open Sans" charset="0"/>
                <a:cs typeface="Open Sans" charset="0"/>
              </a:defRPr>
            </a:pPr>
            <a:endParaRPr lang="en-US"/>
          </a:p>
        </c:txPr>
        <c:crossAx val="86792064"/>
        <c:crosses val="autoZero"/>
        <c:auto val="1"/>
        <c:lblAlgn val="ctr"/>
        <c:lblOffset val="100"/>
        <c:noMultiLvlLbl val="0"/>
      </c:catAx>
      <c:valAx>
        <c:axId val="86792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charset="0"/>
                <a:ea typeface="Open Sans" charset="0"/>
                <a:cs typeface="Open Sans" charset="0"/>
              </a:defRPr>
            </a:pPr>
            <a:endParaRPr lang="en-US"/>
          </a:p>
        </c:txPr>
        <c:crossAx val="78760192"/>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Open Sans" charset="0"/>
                    <a:ea typeface="Open Sans" charset="0"/>
                    <a:cs typeface="Open Sans" charset="0"/>
                  </a:defRPr>
                </a:pPr>
                <a:endParaRPr lang="en-US"/>
              </a:p>
            </c:txPr>
          </c:dispUnitsLbl>
        </c:dispUnits>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Open Sans" charset="0"/>
                <a:ea typeface="Open Sans" charset="0"/>
                <a:cs typeface="Open Sans" charset="0"/>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Open Sans" charset="0"/>
          <a:ea typeface="Open Sans" charset="0"/>
          <a:cs typeface="Open Sans"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D86513-209A-4AB6-9B20-1E7ABCBE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20</Pages>
  <Words>4876</Words>
  <Characters>27798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jxeeno pty ltd</Company>
  <LinksUpToDate>false</LinksUpToDate>
  <CharactersWithSpaces>32609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Tsang</dc:creator>
  <cp:lastModifiedBy>Rachel Thomas</cp:lastModifiedBy>
  <cp:revision>17</cp:revision>
  <cp:lastPrinted>2016-09-07T03:30:00Z</cp:lastPrinted>
  <dcterms:created xsi:type="dcterms:W3CDTF">2016-09-08T04:36:00Z</dcterms:created>
  <dcterms:modified xsi:type="dcterms:W3CDTF">2016-09-09T00:50:00Z</dcterms:modified>
</cp:coreProperties>
</file>