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3F" w:rsidRPr="006A72D5" w:rsidRDefault="00B31A3F" w:rsidP="00B31A3F">
      <w:pPr>
        <w:pStyle w:val="ReportHeading1"/>
      </w:pPr>
      <w:r>
        <w:t xml:space="preserve">Quarter </w:t>
      </w:r>
      <w:r w:rsidR="00D62B7C">
        <w:t>2, FY14-15</w:t>
      </w:r>
      <w:bookmarkStart w:id="0" w:name="_GoBack"/>
      <w:bookmarkEnd w:id="0"/>
    </w:p>
    <w:p w:rsidR="00F0135C" w:rsidRPr="0081027D" w:rsidRDefault="00132FE9" w:rsidP="00B31A3F">
      <w:proofErr w:type="gramStart"/>
      <w:r>
        <w:t>Summary of</w:t>
      </w:r>
      <w:r w:rsidR="00F0135C">
        <w:t xml:space="preserve"> ACCAN’s activities from 1 September to 30 November 2014.</w:t>
      </w:r>
      <w:proofErr w:type="gramEnd"/>
    </w:p>
    <w:p w:rsidR="00B31A3F" w:rsidRPr="0081027D" w:rsidRDefault="00B31A3F" w:rsidP="0081027D">
      <w:pPr>
        <w:pStyle w:val="Heading1"/>
        <w:spacing w:before="0"/>
        <w:rPr>
          <w:rFonts w:asciiTheme="minorHAnsi" w:hAnsiTheme="minorHAnsi" w:cstheme="minorHAnsi"/>
          <w:b w:val="0"/>
          <w:szCs w:val="24"/>
        </w:rPr>
      </w:pPr>
      <w:r w:rsidRPr="0081027D">
        <w:rPr>
          <w:rFonts w:asciiTheme="minorHAnsi" w:hAnsiTheme="minorHAnsi" w:cstheme="minorHAnsi"/>
          <w:sz w:val="22"/>
          <w:szCs w:val="24"/>
        </w:rPr>
        <w:t>ACCAN Conference</w:t>
      </w:r>
    </w:p>
    <w:p w:rsidR="00B31A3F" w:rsidRPr="00E13D98" w:rsidRDefault="00B31A3F" w:rsidP="00B31A3F">
      <w:r>
        <w:t xml:space="preserve">A major focus of our work </w:t>
      </w:r>
      <w:r w:rsidR="00692CF0">
        <w:t>in quarter 4</w:t>
      </w:r>
      <w:r>
        <w:t xml:space="preserve"> was the </w:t>
      </w:r>
      <w:r w:rsidR="00692CF0">
        <w:t>well-attended</w:t>
      </w:r>
      <w:r>
        <w:t xml:space="preserve"> ACCAN conference, </w:t>
      </w:r>
      <w:hyperlink r:id="rId5" w:history="1">
        <w:r w:rsidRPr="00692CF0">
          <w:rPr>
            <w:rStyle w:val="Hyperlink"/>
            <w:rFonts w:cs="Calibri"/>
            <w:i/>
          </w:rPr>
          <w:t>Connecting Today’s Consumer</w:t>
        </w:r>
      </w:hyperlink>
      <w:r>
        <w:rPr>
          <w:rFonts w:cs="Calibri"/>
          <w:i/>
        </w:rPr>
        <w:t>.</w:t>
      </w:r>
      <w:r w:rsidRPr="00C252CD">
        <w:rPr>
          <w:rFonts w:cs="Calibri"/>
        </w:rPr>
        <w:t xml:space="preserve"> </w:t>
      </w:r>
      <w:r>
        <w:rPr>
          <w:rFonts w:cs="Calibri"/>
        </w:rPr>
        <w:t>The conference</w:t>
      </w:r>
      <w:r w:rsidRPr="00C252CD">
        <w:rPr>
          <w:rFonts w:cs="Calibri"/>
        </w:rPr>
        <w:t xml:space="preserve"> emphasised the issues for mainstream consumers such as coverage, contracts, small business and privacy</w:t>
      </w:r>
      <w:r>
        <w:rPr>
          <w:rFonts w:cs="Calibri"/>
        </w:rPr>
        <w:t>.</w:t>
      </w:r>
      <w:r>
        <w:t xml:space="preserve"> We were also excited to launch the </w:t>
      </w:r>
      <w:hyperlink r:id="rId6" w:history="1">
        <w:r w:rsidRPr="00692CF0">
          <w:rPr>
            <w:rStyle w:val="Hyperlink"/>
            <w:i/>
          </w:rPr>
          <w:t>Digital Ready</w:t>
        </w:r>
      </w:hyperlink>
      <w:r>
        <w:t xml:space="preserve"> digital business kit, and to announce the winners of the first </w:t>
      </w:r>
      <w:hyperlink r:id="rId7" w:history="1">
        <w:r w:rsidRPr="00692CF0">
          <w:rPr>
            <w:rStyle w:val="Hyperlink"/>
          </w:rPr>
          <w:t xml:space="preserve">Apps </w:t>
        </w:r>
        <w:r w:rsidR="00692CF0" w:rsidRPr="00692CF0">
          <w:rPr>
            <w:rStyle w:val="Hyperlink"/>
          </w:rPr>
          <w:t>For All Challenge</w:t>
        </w:r>
      </w:hyperlink>
      <w:r>
        <w:t xml:space="preserve">. </w:t>
      </w:r>
      <w:r w:rsidR="00692CF0">
        <w:t xml:space="preserve">More than </w:t>
      </w:r>
      <w:r>
        <w:t>200 attendees from over 50 organisations were present, and for the first time all three major telecommunications service providers sponsored the conference.</w:t>
      </w:r>
    </w:p>
    <w:p w:rsidR="00B31A3F" w:rsidRPr="0081027D" w:rsidRDefault="00B31A3F" w:rsidP="0081027D">
      <w:pPr>
        <w:pStyle w:val="Heading1"/>
        <w:spacing w:before="0"/>
        <w:rPr>
          <w:rFonts w:asciiTheme="minorHAnsi" w:hAnsiTheme="minorHAnsi" w:cstheme="minorHAnsi"/>
          <w:b w:val="0"/>
          <w:szCs w:val="24"/>
        </w:rPr>
      </w:pPr>
      <w:r w:rsidRPr="0081027D">
        <w:rPr>
          <w:rFonts w:asciiTheme="minorHAnsi" w:hAnsiTheme="minorHAnsi" w:cstheme="minorHAnsi"/>
          <w:sz w:val="22"/>
          <w:szCs w:val="24"/>
        </w:rPr>
        <w:t xml:space="preserve">Consumer </w:t>
      </w:r>
      <w:r w:rsidR="00B949C9">
        <w:rPr>
          <w:rFonts w:asciiTheme="minorHAnsi" w:hAnsiTheme="minorHAnsi" w:cstheme="minorHAnsi"/>
          <w:sz w:val="22"/>
          <w:szCs w:val="24"/>
        </w:rPr>
        <w:t>r</w:t>
      </w:r>
      <w:r w:rsidRPr="0081027D">
        <w:rPr>
          <w:rFonts w:asciiTheme="minorHAnsi" w:hAnsiTheme="minorHAnsi" w:cstheme="minorHAnsi"/>
          <w:sz w:val="22"/>
          <w:szCs w:val="24"/>
        </w:rPr>
        <w:t xml:space="preserve">epresentation and </w:t>
      </w:r>
      <w:r w:rsidR="00B949C9">
        <w:rPr>
          <w:rFonts w:asciiTheme="minorHAnsi" w:hAnsiTheme="minorHAnsi" w:cstheme="minorHAnsi"/>
          <w:sz w:val="22"/>
          <w:szCs w:val="24"/>
        </w:rPr>
        <w:t>r</w:t>
      </w:r>
      <w:r w:rsidRPr="0081027D">
        <w:rPr>
          <w:rFonts w:asciiTheme="minorHAnsi" w:hAnsiTheme="minorHAnsi" w:cstheme="minorHAnsi"/>
          <w:sz w:val="22"/>
          <w:szCs w:val="24"/>
        </w:rPr>
        <w:t>esearch</w:t>
      </w:r>
    </w:p>
    <w:p w:rsidR="00B31A3F" w:rsidRPr="00E1215C" w:rsidRDefault="00B31A3F" w:rsidP="00B31A3F">
      <w:r w:rsidRPr="00E1215C">
        <w:t>During the quarter ACCAN submitted eight formal submissions to government and industry consultations. These submissions focus</w:t>
      </w:r>
      <w:r w:rsidR="00692CF0">
        <w:t>ed</w:t>
      </w:r>
      <w:r w:rsidRPr="00E1215C">
        <w:t xml:space="preserve"> on issues such as competition, the Telecommunications Consumer Protections (TCP) Code, copyright and the Internet Industry Spam Code.</w:t>
      </w:r>
    </w:p>
    <w:p w:rsidR="00B31A3F" w:rsidRPr="00E1215C" w:rsidRDefault="00B31A3F" w:rsidP="00B31A3F">
      <w:r w:rsidRPr="00E1215C">
        <w:t xml:space="preserve">The ACCAN </w:t>
      </w:r>
      <w:hyperlink r:id="rId8" w:history="1">
        <w:r w:rsidRPr="0081027D">
          <w:rPr>
            <w:rStyle w:val="Hyperlink"/>
          </w:rPr>
          <w:t>National Survey results</w:t>
        </w:r>
      </w:hyperlink>
      <w:r w:rsidRPr="00E1215C">
        <w:t xml:space="preserve"> and our </w:t>
      </w:r>
      <w:hyperlink r:id="rId9" w:history="1">
        <w:r w:rsidRPr="0081027D">
          <w:rPr>
            <w:rStyle w:val="Hyperlink"/>
          </w:rPr>
          <w:t>Mobile Apps Consumer Attitudes and Experiences research</w:t>
        </w:r>
      </w:hyperlink>
      <w:r w:rsidRPr="00E1215C">
        <w:t xml:space="preserve"> were both launched during the quarter. A major research project with Deakin University to investigate how well consumers understand information they are given by </w:t>
      </w:r>
      <w:r>
        <w:t>telecommunications providers</w:t>
      </w:r>
      <w:r w:rsidRPr="00E1215C">
        <w:t xml:space="preserve"> is in development.</w:t>
      </w:r>
    </w:p>
    <w:p w:rsidR="00B31A3F" w:rsidRPr="0081027D" w:rsidRDefault="00B949C9" w:rsidP="0081027D">
      <w:pPr>
        <w:pStyle w:val="Heading1"/>
        <w:spacing w:before="0"/>
        <w:rPr>
          <w:rFonts w:asciiTheme="minorHAnsi" w:hAnsiTheme="minorHAnsi" w:cstheme="minorHAnsi"/>
          <w:b w:val="0"/>
          <w:szCs w:val="24"/>
        </w:rPr>
      </w:pPr>
      <w:r>
        <w:rPr>
          <w:rFonts w:asciiTheme="minorHAnsi" w:hAnsiTheme="minorHAnsi" w:cstheme="minorHAnsi"/>
          <w:sz w:val="22"/>
          <w:szCs w:val="24"/>
        </w:rPr>
        <w:t>ACCAN</w:t>
      </w:r>
      <w:r w:rsidRPr="0081027D">
        <w:rPr>
          <w:rFonts w:asciiTheme="minorHAnsi" w:hAnsiTheme="minorHAnsi" w:cstheme="minorHAnsi"/>
          <w:sz w:val="22"/>
          <w:szCs w:val="24"/>
        </w:rPr>
        <w:t xml:space="preserve"> </w:t>
      </w:r>
      <w:r w:rsidR="00B31A3F" w:rsidRPr="0081027D">
        <w:rPr>
          <w:rFonts w:asciiTheme="minorHAnsi" w:hAnsiTheme="minorHAnsi" w:cstheme="minorHAnsi"/>
          <w:sz w:val="22"/>
          <w:szCs w:val="24"/>
        </w:rPr>
        <w:t xml:space="preserve">Grants </w:t>
      </w:r>
      <w:r>
        <w:rPr>
          <w:rFonts w:asciiTheme="minorHAnsi" w:hAnsiTheme="minorHAnsi" w:cstheme="minorHAnsi"/>
          <w:sz w:val="22"/>
          <w:szCs w:val="24"/>
        </w:rPr>
        <w:t>Scheme</w:t>
      </w:r>
    </w:p>
    <w:p w:rsidR="00B31A3F" w:rsidRDefault="00692CF0" w:rsidP="00B31A3F">
      <w:pPr>
        <w:rPr>
          <w:iCs/>
        </w:rPr>
      </w:pPr>
      <w:r>
        <w:rPr>
          <w:iCs/>
        </w:rPr>
        <w:t>Q</w:t>
      </w:r>
      <w:r w:rsidR="00B31A3F" w:rsidRPr="006E3F7E">
        <w:rPr>
          <w:iCs/>
        </w:rPr>
        <w:t>uarter</w:t>
      </w:r>
      <w:r>
        <w:rPr>
          <w:iCs/>
        </w:rPr>
        <w:t xml:space="preserve"> 4</w:t>
      </w:r>
      <w:r w:rsidR="00B31A3F" w:rsidRPr="006E3F7E">
        <w:rPr>
          <w:iCs/>
        </w:rPr>
        <w:t xml:space="preserve"> saw the acquittal of two projects from the previous </w:t>
      </w:r>
      <w:r w:rsidR="00B31A3F">
        <w:rPr>
          <w:iCs/>
        </w:rPr>
        <w:t>R</w:t>
      </w:r>
      <w:r w:rsidR="00B31A3F" w:rsidRPr="006E3F7E">
        <w:rPr>
          <w:iCs/>
        </w:rPr>
        <w:t>ound, and one project submitting a significant report in the creation of standards for website translations in Auslan. This work represents a shift in the benchmarks for translation and represents a major piece of work in the sector.</w:t>
      </w:r>
      <w:r w:rsidR="00B31A3F">
        <w:rPr>
          <w:iCs/>
        </w:rPr>
        <w:t xml:space="preserve"> The scheme’s Guidelines have been reviewed and approved ready for the 2015 Round.</w:t>
      </w:r>
    </w:p>
    <w:p w:rsidR="00B31A3F" w:rsidRPr="00E1215C" w:rsidRDefault="00B31A3F" w:rsidP="00B31A3F">
      <w:r>
        <w:t>T</w:t>
      </w:r>
      <w:r w:rsidRPr="001B3AF1">
        <w:t xml:space="preserve">wo projects from the 2013 </w:t>
      </w:r>
      <w:r>
        <w:t>R</w:t>
      </w:r>
      <w:r w:rsidRPr="001B3AF1">
        <w:t>ound –</w:t>
      </w:r>
      <w:r w:rsidR="00B00417">
        <w:t xml:space="preserve"> </w:t>
      </w:r>
      <w:hyperlink r:id="rId10" w:history="1">
        <w:r w:rsidRPr="00F25B1A">
          <w:rPr>
            <w:rStyle w:val="Hyperlink"/>
            <w:i/>
          </w:rPr>
          <w:t>Homeless and Connected</w:t>
        </w:r>
      </w:hyperlink>
      <w:r w:rsidRPr="001B3AF1">
        <w:t xml:space="preserve"> and </w:t>
      </w:r>
      <w:hyperlink r:id="rId11" w:history="1">
        <w:proofErr w:type="gramStart"/>
        <w:r w:rsidRPr="00F25B1A">
          <w:rPr>
            <w:rStyle w:val="Hyperlink"/>
            <w:i/>
          </w:rPr>
          <w:t>What’s</w:t>
        </w:r>
        <w:proofErr w:type="gramEnd"/>
        <w:r w:rsidRPr="00F25B1A">
          <w:rPr>
            <w:rStyle w:val="Hyperlink"/>
            <w:i/>
          </w:rPr>
          <w:t xml:space="preserve"> ya Story</w:t>
        </w:r>
      </w:hyperlink>
      <w:r w:rsidRPr="001B3AF1">
        <w:t xml:space="preserve"> – have been acquitted in full.</w:t>
      </w:r>
      <w:r>
        <w:t xml:space="preserve"> </w:t>
      </w:r>
      <w:r w:rsidRPr="001B3AF1">
        <w:t xml:space="preserve">The </w:t>
      </w:r>
      <w:r w:rsidRPr="001B3AF1">
        <w:rPr>
          <w:i/>
        </w:rPr>
        <w:t xml:space="preserve">Homeless and </w:t>
      </w:r>
      <w:r w:rsidRPr="00DA2B48">
        <w:rPr>
          <w:i/>
        </w:rPr>
        <w:t>Connected</w:t>
      </w:r>
      <w:r w:rsidRPr="001B3AF1">
        <w:t xml:space="preserve"> research </w:t>
      </w:r>
      <w:r>
        <w:t xml:space="preserve">has also been presented </w:t>
      </w:r>
      <w:r w:rsidRPr="001B3AF1">
        <w:t xml:space="preserve">at various </w:t>
      </w:r>
      <w:r>
        <w:t>academic</w:t>
      </w:r>
      <w:r w:rsidRPr="001B3AF1">
        <w:t xml:space="preserve"> and communications industry conferences, with more conference presentations confirmed for 2015, including one in Montreal, Canada.</w:t>
      </w:r>
    </w:p>
    <w:p w:rsidR="00B31A3F" w:rsidRPr="0081027D" w:rsidRDefault="00B31A3F" w:rsidP="0081027D">
      <w:pPr>
        <w:pStyle w:val="Heading1"/>
        <w:spacing w:before="0"/>
        <w:rPr>
          <w:rFonts w:asciiTheme="minorHAnsi" w:hAnsiTheme="minorHAnsi" w:cstheme="minorHAnsi"/>
          <w:b w:val="0"/>
          <w:szCs w:val="24"/>
        </w:rPr>
      </w:pPr>
      <w:r w:rsidRPr="0081027D">
        <w:rPr>
          <w:rFonts w:asciiTheme="minorHAnsi" w:hAnsiTheme="minorHAnsi" w:cstheme="minorHAnsi"/>
          <w:sz w:val="22"/>
          <w:szCs w:val="24"/>
        </w:rPr>
        <w:t xml:space="preserve">Consumer </w:t>
      </w:r>
      <w:r w:rsidR="00B949C9">
        <w:rPr>
          <w:rFonts w:asciiTheme="minorHAnsi" w:hAnsiTheme="minorHAnsi" w:cstheme="minorHAnsi"/>
          <w:sz w:val="22"/>
          <w:szCs w:val="24"/>
        </w:rPr>
        <w:t>e</w:t>
      </w:r>
      <w:r w:rsidRPr="0081027D">
        <w:rPr>
          <w:rFonts w:asciiTheme="minorHAnsi" w:hAnsiTheme="minorHAnsi" w:cstheme="minorHAnsi"/>
          <w:sz w:val="22"/>
          <w:szCs w:val="24"/>
        </w:rPr>
        <w:t>ducation</w:t>
      </w:r>
    </w:p>
    <w:p w:rsidR="0081027D" w:rsidRPr="0081027D" w:rsidRDefault="00B31A3F" w:rsidP="0081027D">
      <w:r w:rsidRPr="00EC44A8">
        <w:t>Throughout the quarter, ACCAN worked to educate consumers on telecommunications issues that affect them by providing tips and advice on a range of matters. Strong relationships with industry, regulatory bodies, consumer organisations and media ha</w:t>
      </w:r>
      <w:r w:rsidR="00F25B1A">
        <w:t>s</w:t>
      </w:r>
      <w:r w:rsidRPr="00EC44A8">
        <w:t xml:space="preserve"> helped ACCAN promote key messages </w:t>
      </w:r>
      <w:r w:rsidRPr="0081027D">
        <w:t>about mobile phone plans, mobile data sharing, small business and excess data charges.</w:t>
      </w:r>
    </w:p>
    <w:p w:rsidR="0081027D" w:rsidRPr="0081027D" w:rsidRDefault="00B31A3F" w:rsidP="0081027D">
      <w:r w:rsidRPr="0081027D">
        <w:rPr>
          <w:bCs/>
        </w:rPr>
        <w:t xml:space="preserve">During the quarter ACCAN published seven news stories and sent five targeted </w:t>
      </w:r>
      <w:r w:rsidR="00F25B1A" w:rsidRPr="0081027D">
        <w:rPr>
          <w:bCs/>
        </w:rPr>
        <w:t xml:space="preserve">member </w:t>
      </w:r>
      <w:r w:rsidRPr="0081027D">
        <w:rPr>
          <w:bCs/>
        </w:rPr>
        <w:t xml:space="preserve">emails. Our news stories </w:t>
      </w:r>
      <w:r w:rsidR="00F25B1A" w:rsidRPr="0081027D">
        <w:rPr>
          <w:bCs/>
        </w:rPr>
        <w:t>are</w:t>
      </w:r>
      <w:r w:rsidRPr="0081027D">
        <w:rPr>
          <w:bCs/>
        </w:rPr>
        <w:t xml:space="preserve"> promoted in our far reaching newsletter, WebNews and through our 2,500+ followers on Twitter. </w:t>
      </w:r>
    </w:p>
    <w:p w:rsidR="00B31A3F" w:rsidRPr="0081027D" w:rsidRDefault="00B31A3F" w:rsidP="0081027D">
      <w:pPr>
        <w:pStyle w:val="Heading1"/>
        <w:spacing w:before="0"/>
        <w:rPr>
          <w:rFonts w:asciiTheme="minorHAnsi" w:hAnsiTheme="minorHAnsi" w:cstheme="minorHAnsi"/>
          <w:b w:val="0"/>
          <w:szCs w:val="24"/>
        </w:rPr>
      </w:pPr>
      <w:r w:rsidRPr="0081027D">
        <w:rPr>
          <w:rFonts w:asciiTheme="minorHAnsi" w:hAnsiTheme="minorHAnsi" w:cstheme="minorHAnsi"/>
          <w:sz w:val="22"/>
          <w:szCs w:val="24"/>
        </w:rPr>
        <w:t xml:space="preserve">Stakeholder </w:t>
      </w:r>
      <w:r w:rsidR="00B949C9">
        <w:rPr>
          <w:rFonts w:asciiTheme="minorHAnsi" w:hAnsiTheme="minorHAnsi" w:cstheme="minorHAnsi"/>
          <w:sz w:val="22"/>
          <w:szCs w:val="24"/>
        </w:rPr>
        <w:t>e</w:t>
      </w:r>
      <w:r w:rsidRPr="0081027D">
        <w:rPr>
          <w:rFonts w:asciiTheme="minorHAnsi" w:hAnsiTheme="minorHAnsi" w:cstheme="minorHAnsi"/>
          <w:sz w:val="22"/>
          <w:szCs w:val="24"/>
        </w:rPr>
        <w:t>ngagement</w:t>
      </w:r>
    </w:p>
    <w:p w:rsidR="00B31A3F" w:rsidRPr="00CA08EC" w:rsidRDefault="00B31A3F" w:rsidP="00B31A3F">
      <w:r w:rsidRPr="00CA08EC">
        <w:t xml:space="preserve">ACCAN has finalised a review of its Consultation Framework which will ensure a much broader and more flexible approach </w:t>
      </w:r>
      <w:r w:rsidR="0049171B">
        <w:t>to stakeholder engagement</w:t>
      </w:r>
      <w:r w:rsidRPr="00CA08EC">
        <w:t xml:space="preserve">. A new Members Advisory Forum, Disability </w:t>
      </w:r>
      <w:r w:rsidR="0081027D" w:rsidRPr="00CA08EC">
        <w:lastRenderedPageBreak/>
        <w:t>Advisory</w:t>
      </w:r>
      <w:r w:rsidR="0081027D">
        <w:t xml:space="preserve"> Forum</w:t>
      </w:r>
      <w:r w:rsidRPr="00CA08EC">
        <w:t xml:space="preserve">, Indigenous Advisory </w:t>
      </w:r>
      <w:r w:rsidR="00232A5B">
        <w:t>Forum</w:t>
      </w:r>
      <w:r w:rsidRPr="00CA08EC">
        <w:t xml:space="preserve"> and Small Business Advisory </w:t>
      </w:r>
      <w:r w:rsidR="00232A5B">
        <w:t>Forum</w:t>
      </w:r>
      <w:r w:rsidRPr="00CA08EC">
        <w:t xml:space="preserve"> will replace the SACCA and the SACDI. Our Expert Advisory Committee on Deregulation will continue to support our work on this area.</w:t>
      </w:r>
    </w:p>
    <w:p w:rsidR="00B31A3F" w:rsidRPr="00EC44A8" w:rsidRDefault="00B31A3F" w:rsidP="00B31A3F">
      <w:pPr>
        <w:rPr>
          <w:iCs/>
        </w:rPr>
      </w:pPr>
      <w:r>
        <w:rPr>
          <w:iCs/>
        </w:rPr>
        <w:t xml:space="preserve">ACCAN staff continue to build relationships with stakeholders through consultations and relevant industry events. We have regular liaison with representatives from Telstra, NBN Co, Optus, Vodafone, Communications Alliance and other relevant stakeholder. </w:t>
      </w:r>
      <w:r w:rsidRPr="00EC44A8">
        <w:rPr>
          <w:iCs/>
        </w:rPr>
        <w:t xml:space="preserve">ACCAN’s Deputy CEO </w:t>
      </w:r>
      <w:r>
        <w:rPr>
          <w:iCs/>
        </w:rPr>
        <w:t>participated in an international panel presenting the consumer perspective of the Internet of Things at the Internet Governance Forum in Istanbul, Turkey.</w:t>
      </w:r>
    </w:p>
    <w:p w:rsidR="00B31A3F" w:rsidRPr="0081027D" w:rsidRDefault="00B31A3F" w:rsidP="0081027D">
      <w:pPr>
        <w:pStyle w:val="Heading1"/>
        <w:spacing w:before="0"/>
        <w:rPr>
          <w:rFonts w:asciiTheme="minorHAnsi" w:hAnsiTheme="minorHAnsi" w:cstheme="minorHAnsi"/>
          <w:b w:val="0"/>
          <w:szCs w:val="24"/>
        </w:rPr>
      </w:pPr>
      <w:r w:rsidRPr="0081027D">
        <w:rPr>
          <w:rFonts w:asciiTheme="minorHAnsi" w:hAnsiTheme="minorHAnsi" w:cstheme="minorHAnsi"/>
          <w:sz w:val="22"/>
          <w:szCs w:val="24"/>
        </w:rPr>
        <w:t xml:space="preserve">Governance and </w:t>
      </w:r>
      <w:r w:rsidR="00B949C9">
        <w:rPr>
          <w:rFonts w:asciiTheme="minorHAnsi" w:hAnsiTheme="minorHAnsi" w:cstheme="minorHAnsi"/>
          <w:sz w:val="22"/>
          <w:szCs w:val="24"/>
        </w:rPr>
        <w:t>o</w:t>
      </w:r>
      <w:r w:rsidRPr="0081027D">
        <w:rPr>
          <w:rFonts w:asciiTheme="minorHAnsi" w:hAnsiTheme="minorHAnsi" w:cstheme="minorHAnsi"/>
          <w:sz w:val="22"/>
          <w:szCs w:val="24"/>
        </w:rPr>
        <w:t>perations</w:t>
      </w:r>
    </w:p>
    <w:p w:rsidR="00B31A3F" w:rsidRPr="00E1215C" w:rsidRDefault="00B31A3F" w:rsidP="00B31A3F">
      <w:r w:rsidRPr="00E1215C">
        <w:t>The ACCAN Board met in November</w:t>
      </w:r>
      <w:r w:rsidR="0049171B">
        <w:t xml:space="preserve"> 2014</w:t>
      </w:r>
      <w:r w:rsidRPr="00E1215C">
        <w:t>. At the meeting Johanna Plante and Holly Raiche were re-elected as Chairperson and Deputy Chairperson respectively. The Board’s four standing committees were reconstituted and the Finance &amp; Audit committee reviewed the delegation schedule. The Board also participated in a training day and an Indigenous cultural awareness activity.</w:t>
      </w:r>
    </w:p>
    <w:p w:rsidR="00B31A3F" w:rsidRPr="003A5861" w:rsidRDefault="00B31A3F" w:rsidP="00B31A3F">
      <w:r w:rsidRPr="00E1215C">
        <w:t xml:space="preserve">The ACCAN Annual General Meeting (AGM) was held on 17 September and a new auditor was appointed. </w:t>
      </w:r>
      <w:r>
        <w:t>A ballot was held after three Board vacancies were advertised. Johanna Plante and Nigel Waters were both re-elected as directors and Victoria Rubensohn joined the ACCAN Board for a first term. Marcus Wigan concluded his term on the Board.</w:t>
      </w:r>
    </w:p>
    <w:p w:rsidR="00B31A3F" w:rsidRPr="0081027D" w:rsidRDefault="00B31A3F" w:rsidP="0081027D">
      <w:pPr>
        <w:pStyle w:val="Heading1"/>
        <w:spacing w:before="0"/>
        <w:rPr>
          <w:rFonts w:asciiTheme="minorHAnsi" w:hAnsiTheme="minorHAnsi" w:cstheme="minorHAnsi"/>
          <w:b w:val="0"/>
          <w:szCs w:val="24"/>
        </w:rPr>
      </w:pPr>
      <w:r w:rsidRPr="0081027D">
        <w:rPr>
          <w:rFonts w:asciiTheme="minorHAnsi" w:hAnsiTheme="minorHAnsi" w:cstheme="minorHAnsi"/>
          <w:sz w:val="22"/>
          <w:szCs w:val="24"/>
        </w:rPr>
        <w:t>Media</w:t>
      </w:r>
    </w:p>
    <w:p w:rsidR="00B31A3F" w:rsidRPr="00EC44A8" w:rsidRDefault="00B31A3F" w:rsidP="00B31A3F">
      <w:r w:rsidRPr="00EC44A8">
        <w:t>ACCAN generated 296 media mentions</w:t>
      </w:r>
      <w:r>
        <w:t xml:space="preserve"> during the quarter across online, print, TV and radio</w:t>
      </w:r>
      <w:r w:rsidRPr="00EC44A8">
        <w:t>. Th</w:t>
      </w:r>
      <w:r w:rsidR="0049171B">
        <w:t>is</w:t>
      </w:r>
      <w:r w:rsidRPr="00EC44A8">
        <w:t xml:space="preserve"> was a significant increase on last quarter’s 134 mentions and is well above </w:t>
      </w:r>
      <w:r w:rsidR="0049171B">
        <w:t xml:space="preserve">our </w:t>
      </w:r>
      <w:r w:rsidRPr="00EC44A8">
        <w:t xml:space="preserve">monthly </w:t>
      </w:r>
      <w:r w:rsidR="0049171B">
        <w:t>target</w:t>
      </w:r>
      <w:r w:rsidRPr="00EC44A8">
        <w:t>.</w:t>
      </w:r>
    </w:p>
    <w:p w:rsidR="00733533" w:rsidRDefault="00B31A3F">
      <w:r w:rsidRPr="00EC44A8">
        <w:t>Nine media releases were issued during the quarter. ACCAN provided comments on</w:t>
      </w:r>
      <w:r>
        <w:t xml:space="preserve"> issues such as</w:t>
      </w:r>
      <w:r w:rsidRPr="00EC44A8">
        <w:t xml:space="preserve"> excess data complaints, the launch of the iPhone 6, calls to 1800 numbers from mobile phones, data retention and real-time data usage alerts.</w:t>
      </w:r>
    </w:p>
    <w:sectPr w:rsidR="00733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3F"/>
    <w:rsid w:val="00132FE9"/>
    <w:rsid w:val="00232A5B"/>
    <w:rsid w:val="0049171B"/>
    <w:rsid w:val="00692CF0"/>
    <w:rsid w:val="00733533"/>
    <w:rsid w:val="0081027D"/>
    <w:rsid w:val="00B00417"/>
    <w:rsid w:val="00B31A3F"/>
    <w:rsid w:val="00B949C9"/>
    <w:rsid w:val="00D62B7C"/>
    <w:rsid w:val="00F0135C"/>
    <w:rsid w:val="00F25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3F"/>
    <w:rPr>
      <w:rFonts w:ascii="Calibri" w:eastAsia="Calibri" w:hAnsi="Calibri" w:cs="Times New Roman"/>
    </w:rPr>
  </w:style>
  <w:style w:type="paragraph" w:styleId="Heading1">
    <w:name w:val="heading 1"/>
    <w:basedOn w:val="Normal"/>
    <w:next w:val="Normal"/>
    <w:link w:val="Heading1Char"/>
    <w:uiPriority w:val="9"/>
    <w:qFormat/>
    <w:rsid w:val="00F01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Heading 1"/>
    <w:basedOn w:val="Title"/>
    <w:link w:val="ReportHeading1Char"/>
    <w:qFormat/>
    <w:rsid w:val="00B31A3F"/>
    <w:pPr>
      <w:pBdr>
        <w:bottom w:val="single" w:sz="4" w:space="4" w:color="44C8F5"/>
      </w:pBdr>
    </w:pPr>
    <w:rPr>
      <w:rFonts w:ascii="Cambria" w:eastAsia="Times New Roman" w:hAnsi="Cambria" w:cs="Times New Roman"/>
      <w:color w:val="auto"/>
    </w:rPr>
  </w:style>
  <w:style w:type="character" w:customStyle="1" w:styleId="ReportHeading1Char">
    <w:name w:val="Report Heading 1 Char"/>
    <w:link w:val="ReportHeading1"/>
    <w:rsid w:val="00B31A3F"/>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B31A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1A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92CF0"/>
    <w:rPr>
      <w:color w:val="0000FF" w:themeColor="hyperlink"/>
      <w:u w:val="single"/>
    </w:rPr>
  </w:style>
  <w:style w:type="paragraph" w:styleId="BalloonText">
    <w:name w:val="Balloon Text"/>
    <w:basedOn w:val="Normal"/>
    <w:link w:val="BalloonTextChar"/>
    <w:uiPriority w:val="99"/>
    <w:semiHidden/>
    <w:unhideWhenUsed/>
    <w:rsid w:val="0069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F0"/>
    <w:rPr>
      <w:rFonts w:ascii="Tahoma" w:eastAsia="Calibri" w:hAnsi="Tahoma" w:cs="Tahoma"/>
      <w:sz w:val="16"/>
      <w:szCs w:val="16"/>
    </w:rPr>
  </w:style>
  <w:style w:type="character" w:styleId="CommentReference">
    <w:name w:val="annotation reference"/>
    <w:basedOn w:val="DefaultParagraphFont"/>
    <w:uiPriority w:val="99"/>
    <w:semiHidden/>
    <w:unhideWhenUsed/>
    <w:rsid w:val="0049171B"/>
    <w:rPr>
      <w:sz w:val="16"/>
      <w:szCs w:val="16"/>
    </w:rPr>
  </w:style>
  <w:style w:type="paragraph" w:styleId="CommentText">
    <w:name w:val="annotation text"/>
    <w:basedOn w:val="Normal"/>
    <w:link w:val="CommentTextChar"/>
    <w:uiPriority w:val="99"/>
    <w:semiHidden/>
    <w:unhideWhenUsed/>
    <w:rsid w:val="0049171B"/>
    <w:pPr>
      <w:spacing w:line="240" w:lineRule="auto"/>
    </w:pPr>
    <w:rPr>
      <w:sz w:val="20"/>
      <w:szCs w:val="20"/>
    </w:rPr>
  </w:style>
  <w:style w:type="character" w:customStyle="1" w:styleId="CommentTextChar">
    <w:name w:val="Comment Text Char"/>
    <w:basedOn w:val="DefaultParagraphFont"/>
    <w:link w:val="CommentText"/>
    <w:uiPriority w:val="99"/>
    <w:semiHidden/>
    <w:rsid w:val="004917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71B"/>
    <w:rPr>
      <w:b/>
      <w:bCs/>
    </w:rPr>
  </w:style>
  <w:style w:type="character" w:customStyle="1" w:styleId="CommentSubjectChar">
    <w:name w:val="Comment Subject Char"/>
    <w:basedOn w:val="CommentTextChar"/>
    <w:link w:val="CommentSubject"/>
    <w:uiPriority w:val="99"/>
    <w:semiHidden/>
    <w:rsid w:val="0049171B"/>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013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3F"/>
    <w:rPr>
      <w:rFonts w:ascii="Calibri" w:eastAsia="Calibri" w:hAnsi="Calibri" w:cs="Times New Roman"/>
    </w:rPr>
  </w:style>
  <w:style w:type="paragraph" w:styleId="Heading1">
    <w:name w:val="heading 1"/>
    <w:basedOn w:val="Normal"/>
    <w:next w:val="Normal"/>
    <w:link w:val="Heading1Char"/>
    <w:uiPriority w:val="9"/>
    <w:qFormat/>
    <w:rsid w:val="00F01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Heading 1"/>
    <w:basedOn w:val="Title"/>
    <w:link w:val="ReportHeading1Char"/>
    <w:qFormat/>
    <w:rsid w:val="00B31A3F"/>
    <w:pPr>
      <w:pBdr>
        <w:bottom w:val="single" w:sz="4" w:space="4" w:color="44C8F5"/>
      </w:pBdr>
    </w:pPr>
    <w:rPr>
      <w:rFonts w:ascii="Cambria" w:eastAsia="Times New Roman" w:hAnsi="Cambria" w:cs="Times New Roman"/>
      <w:color w:val="auto"/>
    </w:rPr>
  </w:style>
  <w:style w:type="character" w:customStyle="1" w:styleId="ReportHeading1Char">
    <w:name w:val="Report Heading 1 Char"/>
    <w:link w:val="ReportHeading1"/>
    <w:rsid w:val="00B31A3F"/>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B31A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1A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92CF0"/>
    <w:rPr>
      <w:color w:val="0000FF" w:themeColor="hyperlink"/>
      <w:u w:val="single"/>
    </w:rPr>
  </w:style>
  <w:style w:type="paragraph" w:styleId="BalloonText">
    <w:name w:val="Balloon Text"/>
    <w:basedOn w:val="Normal"/>
    <w:link w:val="BalloonTextChar"/>
    <w:uiPriority w:val="99"/>
    <w:semiHidden/>
    <w:unhideWhenUsed/>
    <w:rsid w:val="0069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F0"/>
    <w:rPr>
      <w:rFonts w:ascii="Tahoma" w:eastAsia="Calibri" w:hAnsi="Tahoma" w:cs="Tahoma"/>
      <w:sz w:val="16"/>
      <w:szCs w:val="16"/>
    </w:rPr>
  </w:style>
  <w:style w:type="character" w:styleId="CommentReference">
    <w:name w:val="annotation reference"/>
    <w:basedOn w:val="DefaultParagraphFont"/>
    <w:uiPriority w:val="99"/>
    <w:semiHidden/>
    <w:unhideWhenUsed/>
    <w:rsid w:val="0049171B"/>
    <w:rPr>
      <w:sz w:val="16"/>
      <w:szCs w:val="16"/>
    </w:rPr>
  </w:style>
  <w:style w:type="paragraph" w:styleId="CommentText">
    <w:name w:val="annotation text"/>
    <w:basedOn w:val="Normal"/>
    <w:link w:val="CommentTextChar"/>
    <w:uiPriority w:val="99"/>
    <w:semiHidden/>
    <w:unhideWhenUsed/>
    <w:rsid w:val="0049171B"/>
    <w:pPr>
      <w:spacing w:line="240" w:lineRule="auto"/>
    </w:pPr>
    <w:rPr>
      <w:sz w:val="20"/>
      <w:szCs w:val="20"/>
    </w:rPr>
  </w:style>
  <w:style w:type="character" w:customStyle="1" w:styleId="CommentTextChar">
    <w:name w:val="Comment Text Char"/>
    <w:basedOn w:val="DefaultParagraphFont"/>
    <w:link w:val="CommentText"/>
    <w:uiPriority w:val="99"/>
    <w:semiHidden/>
    <w:rsid w:val="004917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71B"/>
    <w:rPr>
      <w:b/>
      <w:bCs/>
    </w:rPr>
  </w:style>
  <w:style w:type="character" w:customStyle="1" w:styleId="CommentSubjectChar">
    <w:name w:val="Comment Subject Char"/>
    <w:basedOn w:val="CommentTextChar"/>
    <w:link w:val="CommentSubject"/>
    <w:uiPriority w:val="99"/>
    <w:semiHidden/>
    <w:rsid w:val="0049171B"/>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013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an.org.au/news-items/media-releases/954-accan-announces-national-survey-resul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an.org.au/our-work/ap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gitalready.org.au/home" TargetMode="External"/><Relationship Id="rId11" Type="http://schemas.openxmlformats.org/officeDocument/2006/relationships/hyperlink" Target="http://www.accan.org.au/grants/completed-grants/620-aboriginal-young-people-in-regional-victoria-and-digital-storytelling-supporting-digital-literacy-through-a-local-community-approach" TargetMode="External"/><Relationship Id="rId5" Type="http://schemas.openxmlformats.org/officeDocument/2006/relationships/hyperlink" Target="http://www.accan.org.au/accanevents/926-connecting-today-s-consumer" TargetMode="External"/><Relationship Id="rId10" Type="http://schemas.openxmlformats.org/officeDocument/2006/relationships/hyperlink" Target="http://www.accan.org.au/grants/completed-grants/619-homeless-and-connected" TargetMode="External"/><Relationship Id="rId4" Type="http://schemas.openxmlformats.org/officeDocument/2006/relationships/webSettings" Target="webSettings.xml"/><Relationship Id="rId9" Type="http://schemas.openxmlformats.org/officeDocument/2006/relationships/hyperlink" Target="http://www.accan.org.au/news-items/media-releases/955-accan-launches-research-into-australians-use-of-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10</cp:revision>
  <cp:lastPrinted>2015-05-07T06:49:00Z</cp:lastPrinted>
  <dcterms:created xsi:type="dcterms:W3CDTF">2015-04-29T00:16:00Z</dcterms:created>
  <dcterms:modified xsi:type="dcterms:W3CDTF">2015-08-28T06:39:00Z</dcterms:modified>
</cp:coreProperties>
</file>