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11" w:rsidRPr="00C75517" w:rsidRDefault="00775FDB" w:rsidP="00A13311">
      <w:pPr>
        <w:pStyle w:val="Title"/>
        <w:jc w:val="center"/>
        <w:rPr>
          <w:color w:val="auto"/>
        </w:rPr>
      </w:pPr>
      <w:r>
        <w:rPr>
          <w:color w:val="auto"/>
        </w:rPr>
        <w:t>2019</w:t>
      </w:r>
      <w:r w:rsidR="00A13311" w:rsidRPr="00C75517">
        <w:rPr>
          <w:color w:val="auto"/>
        </w:rPr>
        <w:t xml:space="preserve"> </w:t>
      </w:r>
      <w:r w:rsidR="00A13311">
        <w:rPr>
          <w:color w:val="auto"/>
        </w:rPr>
        <w:t>Members</w:t>
      </w:r>
      <w:r w:rsidR="00A13311" w:rsidRPr="00C75517">
        <w:rPr>
          <w:color w:val="auto"/>
        </w:rPr>
        <w:t xml:space="preserve"> Advisory Forum (</w:t>
      </w:r>
      <w:r w:rsidR="00A13311">
        <w:rPr>
          <w:color w:val="auto"/>
        </w:rPr>
        <w:t>M</w:t>
      </w:r>
      <w:r w:rsidR="00A13311" w:rsidRPr="00C75517">
        <w:rPr>
          <w:color w:val="auto"/>
        </w:rPr>
        <w:t>AF) Meeting Report</w:t>
      </w:r>
    </w:p>
    <w:p w:rsidR="00A13311" w:rsidRPr="00C75517" w:rsidRDefault="00A13311" w:rsidP="002E5306">
      <w:pPr>
        <w:autoSpaceDE w:val="0"/>
        <w:autoSpaceDN w:val="0"/>
        <w:adjustRightInd w:val="0"/>
        <w:ind w:right="-992"/>
        <w:jc w:val="center"/>
        <w:rPr>
          <w:rFonts w:cstheme="minorHAnsi"/>
          <w:b/>
          <w:bCs/>
          <w:sz w:val="36"/>
          <w:szCs w:val="36"/>
        </w:rPr>
      </w:pPr>
      <w:r w:rsidRPr="00C75517">
        <w:rPr>
          <w:rFonts w:cstheme="minorHAnsi"/>
          <w:b/>
          <w:bCs/>
          <w:sz w:val="36"/>
          <w:szCs w:val="36"/>
        </w:rPr>
        <w:t>Australian Communications Consumer Action Network</w:t>
      </w:r>
    </w:p>
    <w:p w:rsidR="00895771" w:rsidRPr="00A13311" w:rsidRDefault="00C8654A" w:rsidP="002E5306">
      <w:pPr>
        <w:autoSpaceDE w:val="0"/>
        <w:autoSpaceDN w:val="0"/>
        <w:adjustRightInd w:val="0"/>
        <w:ind w:right="-992"/>
        <w:jc w:val="center"/>
        <w:rPr>
          <w:rFonts w:cstheme="minorHAnsi"/>
          <w:b/>
        </w:rPr>
      </w:pPr>
      <w:r w:rsidRPr="00A13311">
        <w:rPr>
          <w:rFonts w:cstheme="minorHAnsi"/>
          <w:b/>
        </w:rPr>
        <w:t>T</w:t>
      </w:r>
      <w:r w:rsidR="00C21229" w:rsidRPr="00A13311">
        <w:rPr>
          <w:rFonts w:cstheme="minorHAnsi"/>
          <w:b/>
        </w:rPr>
        <w:t>ues</w:t>
      </w:r>
      <w:r w:rsidRPr="00A13311">
        <w:rPr>
          <w:rFonts w:cstheme="minorHAnsi"/>
          <w:b/>
        </w:rPr>
        <w:t>day</w:t>
      </w:r>
      <w:r w:rsidR="004366A9" w:rsidRPr="00A13311">
        <w:rPr>
          <w:rFonts w:cstheme="minorHAnsi"/>
          <w:b/>
        </w:rPr>
        <w:t>,</w:t>
      </w:r>
      <w:r w:rsidR="00335E28" w:rsidRPr="00A13311">
        <w:rPr>
          <w:rFonts w:cstheme="minorHAnsi"/>
          <w:b/>
        </w:rPr>
        <w:t xml:space="preserve"> </w:t>
      </w:r>
      <w:r w:rsidR="00775FDB">
        <w:rPr>
          <w:rFonts w:cstheme="minorHAnsi"/>
          <w:b/>
        </w:rPr>
        <w:t>3</w:t>
      </w:r>
      <w:r w:rsidR="00C21229" w:rsidRPr="00A13311">
        <w:rPr>
          <w:rFonts w:cstheme="minorHAnsi"/>
          <w:b/>
        </w:rPr>
        <w:t xml:space="preserve"> </w:t>
      </w:r>
      <w:r w:rsidR="00775FDB">
        <w:rPr>
          <w:rFonts w:cstheme="minorHAnsi"/>
          <w:b/>
        </w:rPr>
        <w:t>April</w:t>
      </w:r>
      <w:r w:rsidRPr="00A13311">
        <w:rPr>
          <w:rFonts w:cstheme="minorHAnsi"/>
          <w:b/>
        </w:rPr>
        <w:t xml:space="preserve"> 201</w:t>
      </w:r>
      <w:r w:rsidR="00775FDB">
        <w:rPr>
          <w:rFonts w:cstheme="minorHAnsi"/>
          <w:b/>
        </w:rPr>
        <w:t>9</w:t>
      </w:r>
      <w:r w:rsidRPr="00A13311">
        <w:rPr>
          <w:rFonts w:cstheme="minorHAnsi"/>
          <w:b/>
        </w:rPr>
        <w:t>,</w:t>
      </w:r>
      <w:r w:rsidR="00335E28" w:rsidRPr="00A13311">
        <w:rPr>
          <w:rFonts w:cstheme="minorHAnsi"/>
          <w:b/>
        </w:rPr>
        <w:t xml:space="preserve"> 11.00am – 3</w:t>
      </w:r>
      <w:r w:rsidR="00B833E3" w:rsidRPr="00A13311">
        <w:rPr>
          <w:rFonts w:cstheme="minorHAnsi"/>
          <w:b/>
        </w:rPr>
        <w:t>.00pm</w:t>
      </w:r>
    </w:p>
    <w:p w:rsidR="00732C72" w:rsidRPr="00732C72" w:rsidRDefault="00732C72" w:rsidP="00732C72"/>
    <w:p w:rsidR="00775FDB" w:rsidRPr="00F610D3" w:rsidRDefault="00775FDB" w:rsidP="00775FDB">
      <w:pPr>
        <w:spacing w:before="240" w:after="0"/>
        <w:rPr>
          <w:u w:val="single"/>
        </w:rPr>
      </w:pPr>
      <w:r w:rsidRPr="00F610D3">
        <w:rPr>
          <w:u w:val="single"/>
        </w:rPr>
        <w:t xml:space="preserve">Attendees: </w:t>
      </w:r>
    </w:p>
    <w:p w:rsidR="00775FDB" w:rsidRPr="00F610D3" w:rsidRDefault="00775FDB" w:rsidP="00775FDB">
      <w:pPr>
        <w:spacing w:after="0"/>
      </w:pPr>
      <w:r w:rsidRPr="00F610D3">
        <w:t>Wendy Hick</w:t>
      </w:r>
      <w:r w:rsidRPr="00F610D3">
        <w:tab/>
      </w:r>
      <w:r w:rsidRPr="00F610D3">
        <w:tab/>
        <w:t>Isolated Children’s Parents’ Association (via teleconf</w:t>
      </w:r>
      <w:r w:rsidR="00920686">
        <w:t>erence</w:t>
      </w:r>
      <w:r w:rsidRPr="00F610D3">
        <w:t>)</w:t>
      </w:r>
    </w:p>
    <w:p w:rsidR="00775FDB" w:rsidRPr="00F84C68" w:rsidRDefault="00775FDB" w:rsidP="00775FDB">
      <w:pPr>
        <w:spacing w:after="0"/>
      </w:pPr>
      <w:r w:rsidRPr="00F610D3">
        <w:t>Annie Kiefer</w:t>
      </w:r>
      <w:r w:rsidRPr="00F610D3">
        <w:tab/>
      </w:r>
      <w:r w:rsidRPr="00F610D3">
        <w:tab/>
        <w:t>National Council of Women of Australia</w:t>
      </w:r>
    </w:p>
    <w:p w:rsidR="00775FDB" w:rsidRPr="00F610D3" w:rsidRDefault="00775FDB" w:rsidP="00775FDB">
      <w:pPr>
        <w:spacing w:after="0"/>
      </w:pPr>
      <w:r w:rsidRPr="00F84C68">
        <w:t>Tanya Cameron</w:t>
      </w:r>
      <w:r w:rsidRPr="00F84C68">
        <w:tab/>
      </w:r>
      <w:r w:rsidRPr="00F84C68">
        <w:tab/>
        <w:t xml:space="preserve">Country Women’s Association of Australia </w:t>
      </w:r>
    </w:p>
    <w:p w:rsidR="00775FDB" w:rsidRPr="00F610D3" w:rsidRDefault="00775FDB" w:rsidP="00775FDB">
      <w:pPr>
        <w:spacing w:after="0"/>
      </w:pPr>
      <w:r w:rsidRPr="00F610D3">
        <w:t>Jane Hutchinson</w:t>
      </w:r>
      <w:r w:rsidRPr="00F610D3">
        <w:tab/>
        <w:t xml:space="preserve">Hobart Legal Centre </w:t>
      </w:r>
    </w:p>
    <w:p w:rsidR="00775FDB" w:rsidRDefault="00775FDB" w:rsidP="00775FDB">
      <w:pPr>
        <w:spacing w:after="0"/>
      </w:pPr>
      <w:r w:rsidRPr="00F610D3">
        <w:t xml:space="preserve">Joel Pringle </w:t>
      </w:r>
      <w:r w:rsidRPr="00F610D3">
        <w:tab/>
      </w:r>
      <w:r w:rsidRPr="00F610D3">
        <w:tab/>
        <w:t xml:space="preserve">Benevolent Society </w:t>
      </w:r>
    </w:p>
    <w:p w:rsidR="00775FDB" w:rsidRDefault="00775FDB" w:rsidP="00775FDB">
      <w:pPr>
        <w:spacing w:after="0"/>
      </w:pPr>
      <w:r>
        <w:t>Tess Matthews</w:t>
      </w:r>
      <w:r>
        <w:tab/>
      </w:r>
      <w:r>
        <w:tab/>
      </w:r>
      <w:proofErr w:type="spellStart"/>
      <w:r>
        <w:t>WEstjustice</w:t>
      </w:r>
      <w:proofErr w:type="spellEnd"/>
      <w:r w:rsidR="00920686">
        <w:t xml:space="preserve"> (by teleconference)</w:t>
      </w:r>
    </w:p>
    <w:p w:rsidR="00775FDB" w:rsidRDefault="00775FDB" w:rsidP="00775FDB">
      <w:pPr>
        <w:spacing w:after="0"/>
      </w:pPr>
      <w:r>
        <w:t>Carly Hyde</w:t>
      </w:r>
      <w:r>
        <w:tab/>
      </w:r>
      <w:r>
        <w:tab/>
        <w:t>QCOSS</w:t>
      </w:r>
      <w:r w:rsidR="00920686">
        <w:t xml:space="preserve"> (by teleconference)</w:t>
      </w:r>
    </w:p>
    <w:p w:rsidR="00775FDB" w:rsidRPr="00F610D3" w:rsidRDefault="00775FDB" w:rsidP="00775FDB">
      <w:pPr>
        <w:spacing w:after="0"/>
      </w:pPr>
      <w:r>
        <w:t>Bev Jowle</w:t>
      </w:r>
      <w:r>
        <w:tab/>
      </w:r>
      <w:r>
        <w:tab/>
        <w:t>Financial Counsellors Association of Western Australia</w:t>
      </w:r>
    </w:p>
    <w:p w:rsidR="00775FDB" w:rsidRPr="00C133F9" w:rsidRDefault="00775FDB" w:rsidP="00775FDB">
      <w:pPr>
        <w:spacing w:after="0"/>
        <w:rPr>
          <w:color w:val="FF0000"/>
        </w:rPr>
      </w:pPr>
    </w:p>
    <w:p w:rsidR="00775FDB" w:rsidRPr="00F610D3" w:rsidRDefault="00775FDB" w:rsidP="00775FDB">
      <w:pPr>
        <w:spacing w:after="0"/>
        <w:rPr>
          <w:u w:val="single"/>
        </w:rPr>
      </w:pPr>
      <w:r w:rsidRPr="00F610D3">
        <w:rPr>
          <w:u w:val="single"/>
        </w:rPr>
        <w:t>Apologies:</w:t>
      </w:r>
    </w:p>
    <w:p w:rsidR="00775FDB" w:rsidRPr="00F610D3" w:rsidRDefault="00775FDB" w:rsidP="00775FDB">
      <w:pPr>
        <w:spacing w:after="0"/>
      </w:pPr>
      <w:r w:rsidRPr="00F610D3">
        <w:t xml:space="preserve">Nigel Waters </w:t>
      </w:r>
      <w:r w:rsidRPr="00F610D3">
        <w:tab/>
      </w:r>
      <w:r w:rsidRPr="00F610D3">
        <w:tab/>
        <w:t>Australian Privacy Foundation</w:t>
      </w:r>
    </w:p>
    <w:p w:rsidR="00775FDB" w:rsidRDefault="00775FDB" w:rsidP="00775FDB">
      <w:pPr>
        <w:spacing w:after="0"/>
      </w:pPr>
      <w:r w:rsidRPr="00F610D3">
        <w:t>Ross Joyce</w:t>
      </w:r>
      <w:r w:rsidRPr="00F610D3">
        <w:tab/>
      </w:r>
      <w:r w:rsidRPr="00F610D3">
        <w:tab/>
        <w:t>Australian Federation of Disability Organisations</w:t>
      </w:r>
    </w:p>
    <w:p w:rsidR="00775FDB" w:rsidRDefault="00775FDB" w:rsidP="00775FDB">
      <w:pPr>
        <w:spacing w:after="0"/>
      </w:pPr>
      <w:r>
        <w:t>Lauren Solomon</w:t>
      </w:r>
      <w:r>
        <w:tab/>
        <w:t>Consumer Policy Research Centre</w:t>
      </w:r>
    </w:p>
    <w:p w:rsidR="00775FDB" w:rsidRDefault="00775FDB" w:rsidP="00775FDB">
      <w:pPr>
        <w:spacing w:after="0"/>
      </w:pPr>
      <w:r>
        <w:t>Katie Acheson</w:t>
      </w:r>
      <w:r>
        <w:tab/>
      </w:r>
      <w:r>
        <w:tab/>
        <w:t>Youth Action Network</w:t>
      </w:r>
    </w:p>
    <w:p w:rsidR="00775FDB" w:rsidRPr="00F610D3" w:rsidRDefault="00775FDB" w:rsidP="00775FDB">
      <w:pPr>
        <w:spacing w:after="0"/>
      </w:pPr>
      <w:r w:rsidRPr="00F610D3">
        <w:t>Sara</w:t>
      </w:r>
      <w:r>
        <w:t>h</w:t>
      </w:r>
      <w:r w:rsidRPr="00F610D3">
        <w:t xml:space="preserve"> Agar </w:t>
      </w:r>
      <w:r w:rsidRPr="00F610D3">
        <w:tab/>
      </w:r>
      <w:r w:rsidRPr="00F610D3">
        <w:tab/>
        <w:t>Choice</w:t>
      </w:r>
    </w:p>
    <w:p w:rsidR="00775FDB" w:rsidRPr="00F610D3" w:rsidRDefault="00775FDB" w:rsidP="00775FDB">
      <w:pPr>
        <w:spacing w:before="240" w:after="0"/>
        <w:rPr>
          <w:u w:val="single"/>
        </w:rPr>
      </w:pPr>
      <w:r w:rsidRPr="00F610D3">
        <w:rPr>
          <w:u w:val="single"/>
        </w:rPr>
        <w:t xml:space="preserve">ACCAN: </w:t>
      </w:r>
    </w:p>
    <w:p w:rsidR="00775FDB" w:rsidRPr="00F610D3" w:rsidRDefault="00775FDB" w:rsidP="00775FDB">
      <w:pPr>
        <w:spacing w:after="0"/>
      </w:pPr>
      <w:r w:rsidRPr="00F610D3">
        <w:t>Deirdre O’Donnell (Chair)</w:t>
      </w:r>
    </w:p>
    <w:p w:rsidR="00775FDB" w:rsidRPr="00F610D3" w:rsidRDefault="00775FDB" w:rsidP="00775FDB">
      <w:pPr>
        <w:spacing w:after="0"/>
      </w:pPr>
      <w:r w:rsidRPr="00F610D3">
        <w:t>Teresa Corbin</w:t>
      </w:r>
    </w:p>
    <w:p w:rsidR="00775FDB" w:rsidRPr="00F610D3" w:rsidRDefault="00775FDB" w:rsidP="00775FDB">
      <w:pPr>
        <w:spacing w:after="0"/>
      </w:pPr>
      <w:r w:rsidRPr="00F610D3">
        <w:t>Una Lawrence</w:t>
      </w:r>
    </w:p>
    <w:p w:rsidR="00775FDB" w:rsidRPr="00F610D3" w:rsidRDefault="00775FDB" w:rsidP="00775FDB">
      <w:pPr>
        <w:spacing w:after="0"/>
      </w:pPr>
      <w:r w:rsidRPr="00F610D3">
        <w:t xml:space="preserve">Gareth Downing </w:t>
      </w:r>
    </w:p>
    <w:p w:rsidR="00007AE2" w:rsidRDefault="00007AE2" w:rsidP="00007AE2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Cs/>
          <w:lang w:eastAsia="zh-CN"/>
        </w:rPr>
      </w:pPr>
    </w:p>
    <w:p w:rsidR="00007AE2" w:rsidRDefault="00007AE2" w:rsidP="00007AE2">
      <w:pPr>
        <w:rPr>
          <w:rFonts w:ascii="Calibri" w:eastAsia="Times New Roman" w:hAnsi="Calibri" w:cs="Calibri"/>
        </w:rPr>
      </w:pPr>
      <w:r w:rsidRPr="00506F3A">
        <w:rPr>
          <w:rFonts w:ascii="Calibri" w:eastAsia="Times New Roman" w:hAnsi="Calibri" w:cs="Calibri"/>
        </w:rPr>
        <w:t>The purpose of the Member’s Advisory Forum</w:t>
      </w:r>
      <w:r w:rsidR="00C33753">
        <w:rPr>
          <w:rFonts w:ascii="Calibri" w:eastAsia="Times New Roman" w:hAnsi="Calibri" w:cs="Calibri"/>
        </w:rPr>
        <w:t xml:space="preserve"> (MAF) </w:t>
      </w:r>
      <w:r w:rsidRPr="00506F3A">
        <w:rPr>
          <w:rFonts w:ascii="Calibri" w:eastAsia="Times New Roman" w:hAnsi="Calibri" w:cs="Calibri"/>
        </w:rPr>
        <w:t xml:space="preserve">is to discuss the most important issues from the perspective of ACCAN’s members and the people they represent, with a view to incorporating these into ACCAN’s </w:t>
      </w:r>
      <w:r w:rsidR="00C33753" w:rsidRPr="00C75517">
        <w:rPr>
          <w:rFonts w:cstheme="minorHAnsi"/>
        </w:rPr>
        <w:t>future policy priorities.</w:t>
      </w:r>
    </w:p>
    <w:p w:rsidR="00506D04" w:rsidRPr="00C75517" w:rsidRDefault="00506D04" w:rsidP="00506D04">
      <w:pPr>
        <w:rPr>
          <w:rFonts w:cstheme="minorHAnsi"/>
        </w:rPr>
      </w:pPr>
      <w:r w:rsidRPr="00C75517">
        <w:rPr>
          <w:rFonts w:cstheme="minorHAnsi"/>
        </w:rPr>
        <w:lastRenderedPageBreak/>
        <w:t xml:space="preserve">The following meeting report provides an overview of the main issues raised and discussed. </w:t>
      </w:r>
      <w:r>
        <w:rPr>
          <w:rFonts w:cstheme="minorHAnsi"/>
        </w:rPr>
        <w:t>M</w:t>
      </w:r>
      <w:r w:rsidRPr="00C75517">
        <w:rPr>
          <w:rFonts w:cstheme="minorHAnsi"/>
        </w:rPr>
        <w:t>AF participants are welcome to use this document in reporting back to their organisations. This report will also be sent to invited representatives who were unable to attend.</w:t>
      </w:r>
    </w:p>
    <w:p w:rsidR="00775FDB" w:rsidRPr="00221297" w:rsidRDefault="00775FDB" w:rsidP="00775FDB">
      <w:pPr>
        <w:pStyle w:val="Heading1"/>
      </w:pPr>
      <w:r>
        <w:t>Overview of curren</w:t>
      </w:r>
      <w:r w:rsidR="00991649">
        <w:t>t communications context and AC</w:t>
      </w:r>
      <w:r>
        <w:t>CAN activities</w:t>
      </w:r>
    </w:p>
    <w:p w:rsidR="00775FDB" w:rsidRPr="00335386" w:rsidRDefault="00775FDB" w:rsidP="00775FDB">
      <w:pPr>
        <w:spacing w:before="240"/>
      </w:pPr>
      <w:r w:rsidRPr="00187397">
        <w:rPr>
          <w:rFonts w:cstheme="minorHAnsi"/>
        </w:rPr>
        <w:t xml:space="preserve">ACCAN staff provided a brief outline of several major consumer issues and a summary of ACCAN’s outcomes in the past 12 months. </w:t>
      </w:r>
      <w:r>
        <w:rPr>
          <w:rFonts w:cstheme="minorHAnsi"/>
        </w:rPr>
        <w:t xml:space="preserve">These are set out in detail in the </w:t>
      </w:r>
      <w:r w:rsidR="00920686">
        <w:rPr>
          <w:rFonts w:cstheme="minorHAnsi"/>
        </w:rPr>
        <w:t>ACCAN E</w:t>
      </w:r>
      <w:r>
        <w:rPr>
          <w:rFonts w:cstheme="minorHAnsi"/>
        </w:rPr>
        <w:t xml:space="preserve">nvironment </w:t>
      </w:r>
      <w:r w:rsidR="00920686">
        <w:rPr>
          <w:rFonts w:cstheme="minorHAnsi"/>
        </w:rPr>
        <w:t>S</w:t>
      </w:r>
      <w:r>
        <w:rPr>
          <w:rFonts w:cstheme="minorHAnsi"/>
        </w:rPr>
        <w:t>can 2019-20</w:t>
      </w:r>
      <w:r w:rsidR="00920686">
        <w:rPr>
          <w:rFonts w:cstheme="minorHAnsi"/>
        </w:rPr>
        <w:t>, circulated to attendees before the Forum.</w:t>
      </w:r>
    </w:p>
    <w:p w:rsidR="00C50266" w:rsidRDefault="00775FDB" w:rsidP="00446774">
      <w:pPr>
        <w:pStyle w:val="Heading1"/>
      </w:pPr>
      <w:r>
        <w:t>Discussion of communications issues</w:t>
      </w:r>
    </w:p>
    <w:p w:rsidR="00464F0C" w:rsidRPr="00C33FAC" w:rsidRDefault="00464F0C" w:rsidP="00D42982">
      <w:pPr>
        <w:spacing w:before="240"/>
        <w:rPr>
          <w:color w:val="1F497D" w:themeColor="text2"/>
        </w:rPr>
      </w:pPr>
      <w:r>
        <w:t xml:space="preserve">The discussion of specific issues was preceded by a brief </w:t>
      </w:r>
      <w:r w:rsidRPr="00A629CB">
        <w:t xml:space="preserve">discussion </w:t>
      </w:r>
      <w:r>
        <w:t xml:space="preserve">of the issues associated with the NBN. </w:t>
      </w:r>
      <w:r w:rsidR="00920686">
        <w:t xml:space="preserve">Key points noted were: </w:t>
      </w:r>
    </w:p>
    <w:p w:rsidR="00C50266" w:rsidRDefault="002478AE" w:rsidP="00D42982">
      <w:pPr>
        <w:pStyle w:val="ListParagraph"/>
        <w:numPr>
          <w:ilvl w:val="0"/>
          <w:numId w:val="23"/>
        </w:numPr>
      </w:pPr>
      <w:r>
        <w:t>T</w:t>
      </w:r>
      <w:r w:rsidR="00464F0C">
        <w:t xml:space="preserve">he rollout of the NBN has been characterised by significant confusion with poor communication on the part of NBN Co hindering take-up </w:t>
      </w:r>
      <w:r w:rsidR="00920686">
        <w:t>from a Tasmanian perspective</w:t>
      </w:r>
    </w:p>
    <w:p w:rsidR="00464F0C" w:rsidRDefault="00464F0C" w:rsidP="00D42982">
      <w:pPr>
        <w:pStyle w:val="ListParagraph"/>
        <w:numPr>
          <w:ilvl w:val="0"/>
          <w:numId w:val="23"/>
        </w:numPr>
      </w:pPr>
      <w:r>
        <w:t xml:space="preserve">The challenges facing individuals with disability in engaging with the switch over process were highlighted as being particularly significant.  </w:t>
      </w:r>
      <w:r w:rsidR="00920686">
        <w:t>It h</w:t>
      </w:r>
      <w:r>
        <w:t xml:space="preserve">as </w:t>
      </w:r>
      <w:r w:rsidR="00920686">
        <w:t xml:space="preserve">been very time consuming to arrange for assistance in the process, both for the individuals concerned and their families to engage with the process and get assistance. </w:t>
      </w:r>
    </w:p>
    <w:p w:rsidR="00464F0C" w:rsidRPr="00C33FAC" w:rsidRDefault="002478AE" w:rsidP="00D42982">
      <w:pPr>
        <w:pStyle w:val="ListParagraph"/>
        <w:numPr>
          <w:ilvl w:val="0"/>
          <w:numId w:val="23"/>
        </w:numPr>
        <w:rPr>
          <w:b/>
        </w:rPr>
      </w:pPr>
      <w:r>
        <w:t xml:space="preserve">Many </w:t>
      </w:r>
      <w:r w:rsidR="00464F0C">
        <w:t xml:space="preserve">of the issues </w:t>
      </w:r>
      <w:r>
        <w:t xml:space="preserve">observed in Tasmania </w:t>
      </w:r>
      <w:r w:rsidR="00464F0C">
        <w:t xml:space="preserve">came from the poor planning and structuring of </w:t>
      </w:r>
      <w:r w:rsidR="00464F0C" w:rsidRPr="00C33FAC">
        <w:t>the rollout.</w:t>
      </w:r>
    </w:p>
    <w:p w:rsidR="00464F0C" w:rsidRPr="00C33FAC" w:rsidRDefault="004A5874" w:rsidP="00C33FAC">
      <w:pPr>
        <w:pStyle w:val="Heading4"/>
      </w:pPr>
      <w:r w:rsidRPr="00C33FAC">
        <w:rPr>
          <w:i w:val="0"/>
        </w:rPr>
        <w:t>1</w:t>
      </w:r>
      <w:r w:rsidRPr="00C33FAC">
        <w:t xml:space="preserve">. </w:t>
      </w:r>
      <w:r w:rsidR="00464F0C" w:rsidRPr="00C33FAC">
        <w:t>Regional Communications</w:t>
      </w:r>
    </w:p>
    <w:p w:rsidR="00464F0C" w:rsidRDefault="00464F0C" w:rsidP="00D42982">
      <w:pPr>
        <w:pStyle w:val="ListParagraph"/>
        <w:numPr>
          <w:ilvl w:val="0"/>
          <w:numId w:val="24"/>
        </w:numPr>
        <w:spacing w:before="240"/>
        <w:rPr>
          <w:lang w:eastAsia="en-US"/>
        </w:rPr>
      </w:pPr>
      <w:r>
        <w:rPr>
          <w:lang w:eastAsia="en-US"/>
        </w:rPr>
        <w:t xml:space="preserve">The lack of guaranteed availability was highlighted, and it was agreed that the Statutory Infrastructure Provider reforms under the Telco Reform </w:t>
      </w:r>
      <w:r w:rsidR="002478AE">
        <w:rPr>
          <w:lang w:eastAsia="en-US"/>
        </w:rPr>
        <w:t>B</w:t>
      </w:r>
      <w:r>
        <w:rPr>
          <w:lang w:eastAsia="en-US"/>
        </w:rPr>
        <w:t xml:space="preserve">ill were important to ensure access to communications by all Australians. </w:t>
      </w:r>
    </w:p>
    <w:p w:rsidR="00464F0C" w:rsidRDefault="00464F0C" w:rsidP="00D42982">
      <w:pPr>
        <w:pStyle w:val="ListParagraph"/>
        <w:numPr>
          <w:ilvl w:val="0"/>
          <w:numId w:val="24"/>
        </w:numPr>
        <w:rPr>
          <w:lang w:eastAsia="en-US"/>
        </w:rPr>
      </w:pPr>
      <w:r>
        <w:rPr>
          <w:lang w:eastAsia="en-US"/>
        </w:rPr>
        <w:t xml:space="preserve">The regional broadband scheme was discussed, and it was noted that there is further work required to ensure that there is long term guaranteed funding for regional services. </w:t>
      </w:r>
    </w:p>
    <w:p w:rsidR="00464F0C" w:rsidRDefault="00464F0C" w:rsidP="00D42982">
      <w:pPr>
        <w:pStyle w:val="ListParagraph"/>
        <w:numPr>
          <w:ilvl w:val="0"/>
          <w:numId w:val="24"/>
        </w:numPr>
        <w:rPr>
          <w:lang w:eastAsia="en-US"/>
        </w:rPr>
      </w:pPr>
      <w:r>
        <w:rPr>
          <w:lang w:eastAsia="en-US"/>
        </w:rPr>
        <w:t>The work of the RRRCC was discussed, with it being noted that many of the goals of the RRRCC hav</w:t>
      </w:r>
      <w:r w:rsidR="002478AE">
        <w:rPr>
          <w:lang w:eastAsia="en-US"/>
        </w:rPr>
        <w:t>e</w:t>
      </w:r>
      <w:r>
        <w:rPr>
          <w:lang w:eastAsia="en-US"/>
        </w:rPr>
        <w:t xml:space="preserve"> been achieved over the last 2 years. </w:t>
      </w:r>
    </w:p>
    <w:p w:rsidR="00464F0C" w:rsidRDefault="00464F0C" w:rsidP="00D42982">
      <w:pPr>
        <w:pStyle w:val="ListParagraph"/>
        <w:numPr>
          <w:ilvl w:val="0"/>
          <w:numId w:val="24"/>
        </w:numPr>
        <w:rPr>
          <w:lang w:eastAsia="en-US"/>
        </w:rPr>
      </w:pPr>
      <w:r>
        <w:rPr>
          <w:lang w:eastAsia="en-US"/>
        </w:rPr>
        <w:t xml:space="preserve"> </w:t>
      </w:r>
      <w:r w:rsidR="00FF2F49">
        <w:rPr>
          <w:lang w:eastAsia="en-US"/>
        </w:rPr>
        <w:t>T</w:t>
      </w:r>
      <w:r>
        <w:rPr>
          <w:lang w:eastAsia="en-US"/>
        </w:rPr>
        <w:t xml:space="preserve">he drought </w:t>
      </w:r>
      <w:r w:rsidR="00FF2F49">
        <w:rPr>
          <w:lang w:eastAsia="en-US"/>
        </w:rPr>
        <w:t>i</w:t>
      </w:r>
      <w:r>
        <w:rPr>
          <w:lang w:eastAsia="en-US"/>
        </w:rPr>
        <w:t xml:space="preserve">s bringing increasing focus to the needs of regional Australia and was helping bring broader attention to communications issues. </w:t>
      </w:r>
    </w:p>
    <w:p w:rsidR="009A719D" w:rsidRPr="00262088" w:rsidRDefault="00464F0C" w:rsidP="00D42982">
      <w:pPr>
        <w:pStyle w:val="ListParagraph"/>
        <w:numPr>
          <w:ilvl w:val="0"/>
          <w:numId w:val="24"/>
        </w:numPr>
        <w:rPr>
          <w:lang w:eastAsia="en-US"/>
        </w:rPr>
      </w:pPr>
      <w:r>
        <w:rPr>
          <w:lang w:eastAsia="en-US"/>
        </w:rPr>
        <w:t xml:space="preserve">The need to maintain the momentum of the RRRCC was flagged as being the core objective. </w:t>
      </w:r>
    </w:p>
    <w:p w:rsidR="00464F0C" w:rsidRDefault="00464F0C">
      <w:pPr>
        <w:rPr>
          <w:b/>
        </w:rPr>
      </w:pPr>
    </w:p>
    <w:p w:rsidR="009A719D" w:rsidRDefault="009A719D">
      <w:pPr>
        <w:rPr>
          <w:b/>
        </w:rPr>
      </w:pPr>
    </w:p>
    <w:p w:rsidR="009A719D" w:rsidRPr="00D42982" w:rsidRDefault="009A719D">
      <w:pPr>
        <w:rPr>
          <w:b/>
        </w:rPr>
      </w:pPr>
    </w:p>
    <w:p w:rsidR="009A719D" w:rsidRPr="00C33FAC" w:rsidRDefault="004A5874" w:rsidP="00AC6AB9">
      <w:pPr>
        <w:pStyle w:val="Heading1"/>
        <w:rPr>
          <w:sz w:val="22"/>
          <w:szCs w:val="22"/>
        </w:rPr>
      </w:pPr>
      <w:r w:rsidRPr="00C33FAC">
        <w:rPr>
          <w:sz w:val="22"/>
          <w:szCs w:val="22"/>
        </w:rPr>
        <w:lastRenderedPageBreak/>
        <w:t xml:space="preserve">2. </w:t>
      </w:r>
      <w:r w:rsidR="009A719D" w:rsidRPr="00C33FAC">
        <w:rPr>
          <w:rStyle w:val="Heading4Char"/>
          <w:b/>
          <w:sz w:val="22"/>
          <w:szCs w:val="22"/>
        </w:rPr>
        <w:t>Privacy</w:t>
      </w:r>
    </w:p>
    <w:p w:rsidR="009A719D" w:rsidRDefault="009A719D" w:rsidP="00AC6AB9">
      <w:pPr>
        <w:spacing w:before="240"/>
      </w:pPr>
      <w:r>
        <w:rPr>
          <w:lang w:eastAsia="en-US"/>
        </w:rPr>
        <w:t>ACCAN outlined that although very supportive of privacy protections, it does not have a</w:t>
      </w:r>
      <w:r w:rsidR="00D42982">
        <w:rPr>
          <w:lang w:eastAsia="en-US"/>
        </w:rPr>
        <w:t>n overarching</w:t>
      </w:r>
      <w:r>
        <w:rPr>
          <w:lang w:eastAsia="en-US"/>
        </w:rPr>
        <w:t xml:space="preserve"> policy position on what framework would be best to protect the interests of consumers.</w:t>
      </w:r>
    </w:p>
    <w:p w:rsidR="009A719D" w:rsidRDefault="009A719D" w:rsidP="00D42982">
      <w:pPr>
        <w:pStyle w:val="ListParagraph"/>
        <w:numPr>
          <w:ilvl w:val="0"/>
          <w:numId w:val="25"/>
        </w:numPr>
      </w:pPr>
      <w:r>
        <w:rPr>
          <w:lang w:eastAsia="en-US"/>
        </w:rPr>
        <w:t>It was noted that in the last 2 years there had been significant breaches of privacy that ha</w:t>
      </w:r>
      <w:r w:rsidR="00B11AF9">
        <w:rPr>
          <w:lang w:eastAsia="en-US"/>
        </w:rPr>
        <w:t>ve</w:t>
      </w:r>
      <w:r>
        <w:rPr>
          <w:lang w:eastAsia="en-US"/>
        </w:rPr>
        <w:t xml:space="preserve"> seen a shift in public attitudes towards privacy, and there was now substantial support for stronger privacy protections to be adopted by the public. </w:t>
      </w:r>
    </w:p>
    <w:p w:rsidR="009A719D" w:rsidRDefault="009A719D" w:rsidP="00D42982">
      <w:pPr>
        <w:pStyle w:val="ListParagraph"/>
        <w:numPr>
          <w:ilvl w:val="0"/>
          <w:numId w:val="25"/>
        </w:numPr>
      </w:pPr>
      <w:r>
        <w:rPr>
          <w:lang w:eastAsia="en-US"/>
        </w:rPr>
        <w:t>The extent of the risks to consumer privacy has been identified as having increased over the last decade, with the need for stronger protections becoming increasingly important.</w:t>
      </w:r>
    </w:p>
    <w:p w:rsidR="009A719D" w:rsidRDefault="009A719D" w:rsidP="00D42982">
      <w:pPr>
        <w:pStyle w:val="ListParagraph"/>
        <w:numPr>
          <w:ilvl w:val="0"/>
          <w:numId w:val="25"/>
        </w:numPr>
      </w:pPr>
      <w:r>
        <w:rPr>
          <w:lang w:eastAsia="en-US"/>
        </w:rPr>
        <w:t>The consumer data right and the privacy protections embedded in the reform were discussed</w:t>
      </w:r>
      <w:r w:rsidR="00B11AF9">
        <w:rPr>
          <w:lang w:eastAsia="en-US"/>
        </w:rPr>
        <w:t xml:space="preserve">, and </w:t>
      </w:r>
      <w:r>
        <w:rPr>
          <w:lang w:eastAsia="en-US"/>
        </w:rPr>
        <w:t>gaps in the proposed privacy framework</w:t>
      </w:r>
      <w:r w:rsidR="00B11AF9">
        <w:rPr>
          <w:lang w:eastAsia="en-US"/>
        </w:rPr>
        <w:t xml:space="preserve"> were noted</w:t>
      </w:r>
      <w:r>
        <w:rPr>
          <w:lang w:eastAsia="en-US"/>
        </w:rPr>
        <w:t xml:space="preserve">. </w:t>
      </w:r>
    </w:p>
    <w:p w:rsidR="009A719D" w:rsidRDefault="009A719D" w:rsidP="00D42982">
      <w:pPr>
        <w:pStyle w:val="ListParagraph"/>
        <w:numPr>
          <w:ilvl w:val="0"/>
          <w:numId w:val="25"/>
        </w:numPr>
      </w:pPr>
      <w:r>
        <w:rPr>
          <w:lang w:eastAsia="en-US"/>
        </w:rPr>
        <w:t xml:space="preserve">The suitability of existing protections </w:t>
      </w:r>
      <w:proofErr w:type="gramStart"/>
      <w:r>
        <w:rPr>
          <w:lang w:eastAsia="en-US"/>
        </w:rPr>
        <w:t>were</w:t>
      </w:r>
      <w:proofErr w:type="gramEnd"/>
      <w:r>
        <w:rPr>
          <w:lang w:eastAsia="en-US"/>
        </w:rPr>
        <w:t xml:space="preserve"> discussed, and the potential for re-identification of individuals using de-identified data was flagged as a serious concern</w:t>
      </w:r>
      <w:r w:rsidR="00B11AF9">
        <w:rPr>
          <w:lang w:eastAsia="en-US"/>
        </w:rPr>
        <w:t>.</w:t>
      </w:r>
    </w:p>
    <w:p w:rsidR="009A719D" w:rsidRDefault="009A719D" w:rsidP="00D42982">
      <w:pPr>
        <w:pStyle w:val="ListParagraph"/>
        <w:numPr>
          <w:ilvl w:val="0"/>
          <w:numId w:val="25"/>
        </w:numPr>
      </w:pPr>
      <w:r>
        <w:rPr>
          <w:lang w:eastAsia="en-US"/>
        </w:rPr>
        <w:t xml:space="preserve">The creep of data requests from government </w:t>
      </w:r>
      <w:r w:rsidR="00D42982">
        <w:rPr>
          <w:lang w:eastAsia="en-US"/>
        </w:rPr>
        <w:t xml:space="preserve">about consumers </w:t>
      </w:r>
      <w:r>
        <w:rPr>
          <w:lang w:eastAsia="en-US"/>
        </w:rPr>
        <w:t>seeking advice via the debt helpline was identified as being concerning, though it was noted that when there was pushback that the government stopped requesting the information</w:t>
      </w:r>
      <w:r w:rsidR="00B11AF9">
        <w:rPr>
          <w:lang w:eastAsia="en-US"/>
        </w:rPr>
        <w:t>.</w:t>
      </w:r>
    </w:p>
    <w:p w:rsidR="002D6700" w:rsidRPr="00920686" w:rsidRDefault="00B11AF9" w:rsidP="00D42982">
      <w:pPr>
        <w:pStyle w:val="ListParagraph"/>
        <w:numPr>
          <w:ilvl w:val="0"/>
          <w:numId w:val="25"/>
        </w:numPr>
      </w:pPr>
      <w:r>
        <w:rPr>
          <w:lang w:eastAsia="en-US"/>
        </w:rPr>
        <w:t xml:space="preserve">Government cross </w:t>
      </w:r>
      <w:r w:rsidR="002D6700">
        <w:rPr>
          <w:lang w:eastAsia="en-US"/>
        </w:rPr>
        <w:t xml:space="preserve"> data matching </w:t>
      </w:r>
      <w:r>
        <w:rPr>
          <w:lang w:eastAsia="en-US"/>
        </w:rPr>
        <w:t xml:space="preserve">using information from the Tax Office </w:t>
      </w:r>
      <w:r w:rsidR="002D6700">
        <w:rPr>
          <w:lang w:eastAsia="en-US"/>
        </w:rPr>
        <w:t xml:space="preserve"> and Centrelink were flagged as being</w:t>
      </w:r>
      <w:r>
        <w:rPr>
          <w:lang w:eastAsia="en-US"/>
        </w:rPr>
        <w:t xml:space="preserve"> worrying developments, with t</w:t>
      </w:r>
      <w:r w:rsidR="002D6700" w:rsidRPr="00D42982">
        <w:rPr>
          <w:lang w:eastAsia="en-US"/>
        </w:rPr>
        <w:t xml:space="preserve">he depth and richness of government data </w:t>
      </w:r>
      <w:r w:rsidR="00E030EF" w:rsidRPr="00D42982">
        <w:rPr>
          <w:lang w:eastAsia="en-US"/>
        </w:rPr>
        <w:t>mining  being concerning</w:t>
      </w:r>
      <w:r w:rsidR="00DA2E9A">
        <w:rPr>
          <w:lang w:eastAsia="en-US"/>
        </w:rPr>
        <w:t xml:space="preserve">. </w:t>
      </w:r>
    </w:p>
    <w:p w:rsidR="002D6700" w:rsidRPr="00920686" w:rsidRDefault="002D6700" w:rsidP="00D42982">
      <w:pPr>
        <w:ind w:left="360"/>
      </w:pPr>
      <w:r w:rsidRPr="00D42982">
        <w:rPr>
          <w:lang w:eastAsia="en-US"/>
        </w:rPr>
        <w:t xml:space="preserve">There was </w:t>
      </w:r>
      <w:r w:rsidR="00E030EF" w:rsidRPr="00D42982">
        <w:rPr>
          <w:lang w:eastAsia="en-US"/>
        </w:rPr>
        <w:t>agreement</w:t>
      </w:r>
      <w:r w:rsidRPr="00D42982">
        <w:rPr>
          <w:lang w:eastAsia="en-US"/>
        </w:rPr>
        <w:t xml:space="preserve"> that the development of a privacy policy position </w:t>
      </w:r>
      <w:r w:rsidR="00E030EF" w:rsidRPr="00D42982">
        <w:rPr>
          <w:lang w:eastAsia="en-US"/>
        </w:rPr>
        <w:t>was a priority</w:t>
      </w:r>
      <w:r w:rsidR="00D42982">
        <w:rPr>
          <w:lang w:eastAsia="en-US"/>
        </w:rPr>
        <w:t xml:space="preserve"> for ACCAN</w:t>
      </w:r>
      <w:r w:rsidR="00E030EF" w:rsidRPr="00D42982">
        <w:rPr>
          <w:lang w:eastAsia="en-US"/>
        </w:rPr>
        <w:t>.</w:t>
      </w:r>
    </w:p>
    <w:p w:rsidR="00D42982" w:rsidRDefault="00DA2E9A" w:rsidP="00D42982">
      <w:pPr>
        <w:rPr>
          <w:lang w:eastAsia="en-US"/>
        </w:rPr>
      </w:pPr>
      <w:r w:rsidRPr="00D42982">
        <w:rPr>
          <w:b/>
          <w:lang w:eastAsia="en-US"/>
        </w:rPr>
        <w:t>Scams and Fraudulent Number Porting</w:t>
      </w:r>
      <w:r>
        <w:rPr>
          <w:lang w:eastAsia="en-US"/>
        </w:rPr>
        <w:t xml:space="preserve">: </w:t>
      </w:r>
    </w:p>
    <w:p w:rsidR="00E030EF" w:rsidRDefault="00E030EF" w:rsidP="00D42982">
      <w:r w:rsidRPr="00D42982">
        <w:rPr>
          <w:lang w:eastAsia="en-US"/>
        </w:rPr>
        <w:t>The risks associated with fraudulent number porting were highlighted as being a matter of concern</w:t>
      </w:r>
      <w:r w:rsidR="00DA2E9A">
        <w:rPr>
          <w:lang w:eastAsia="en-US"/>
        </w:rPr>
        <w:t>, and t</w:t>
      </w:r>
      <w:r>
        <w:rPr>
          <w:lang w:eastAsia="en-US"/>
        </w:rPr>
        <w:t xml:space="preserve">he risks of scams more generally were discussed, with </w:t>
      </w:r>
      <w:r w:rsidR="00DA2E9A">
        <w:rPr>
          <w:lang w:eastAsia="en-US"/>
        </w:rPr>
        <w:t xml:space="preserve">the Hobart Legal Centre experiencing </w:t>
      </w:r>
      <w:r>
        <w:rPr>
          <w:lang w:eastAsia="en-US"/>
        </w:rPr>
        <w:t xml:space="preserve"> phone scams in the past on its lines.</w:t>
      </w:r>
      <w:r w:rsidR="00527366">
        <w:rPr>
          <w:lang w:eastAsia="en-US"/>
        </w:rPr>
        <w:t xml:space="preserve"> </w:t>
      </w:r>
    </w:p>
    <w:p w:rsidR="00D42982" w:rsidRPr="00D42982" w:rsidRDefault="00DA2E9A" w:rsidP="00D42982">
      <w:pPr>
        <w:rPr>
          <w:b/>
          <w:lang w:eastAsia="en-US"/>
        </w:rPr>
      </w:pPr>
      <w:r w:rsidRPr="00D42982">
        <w:rPr>
          <w:b/>
          <w:lang w:eastAsia="en-US"/>
        </w:rPr>
        <w:t>Family Violence</w:t>
      </w:r>
      <w:r w:rsidR="005D102D" w:rsidRPr="00D42982">
        <w:rPr>
          <w:b/>
          <w:lang w:eastAsia="en-US"/>
        </w:rPr>
        <w:t xml:space="preserve"> and online safety</w:t>
      </w:r>
      <w:r w:rsidRPr="00D42982">
        <w:rPr>
          <w:b/>
          <w:lang w:eastAsia="en-US"/>
        </w:rPr>
        <w:t xml:space="preserve">: </w:t>
      </w:r>
    </w:p>
    <w:p w:rsidR="00D42982" w:rsidRDefault="00527366" w:rsidP="00D42982">
      <w:pPr>
        <w:rPr>
          <w:lang w:eastAsia="en-US"/>
        </w:rPr>
      </w:pPr>
      <w:r>
        <w:rPr>
          <w:lang w:eastAsia="en-US"/>
        </w:rPr>
        <w:t xml:space="preserve">The problems associated with joint-access to account information, transaction </w:t>
      </w:r>
      <w:r w:rsidR="009527C5">
        <w:rPr>
          <w:lang w:eastAsia="en-US"/>
        </w:rPr>
        <w:t>information</w:t>
      </w:r>
      <w:r>
        <w:rPr>
          <w:lang w:eastAsia="en-US"/>
        </w:rPr>
        <w:t xml:space="preserve"> and geographic data w</w:t>
      </w:r>
      <w:r w:rsidR="00DA2E9A">
        <w:rPr>
          <w:lang w:eastAsia="en-US"/>
        </w:rPr>
        <w:t>ere</w:t>
      </w:r>
      <w:r>
        <w:rPr>
          <w:lang w:eastAsia="en-US"/>
        </w:rPr>
        <w:t xml:space="preserve"> highlighted as being particularly concerning </w:t>
      </w:r>
      <w:r w:rsidR="003C26A4">
        <w:rPr>
          <w:lang w:eastAsia="en-US"/>
        </w:rPr>
        <w:t>and facilitating stalking.</w:t>
      </w:r>
      <w:r w:rsidR="00DA2E9A">
        <w:rPr>
          <w:lang w:eastAsia="en-US"/>
        </w:rPr>
        <w:t xml:space="preserve"> Victims of family violence can be slow to seek assistance, with </w:t>
      </w:r>
      <w:r w:rsidR="00D05EB6">
        <w:rPr>
          <w:lang w:eastAsia="en-US"/>
        </w:rPr>
        <w:t xml:space="preserve">embarrassment </w:t>
      </w:r>
      <w:r w:rsidR="005D102D">
        <w:rPr>
          <w:lang w:eastAsia="en-US"/>
        </w:rPr>
        <w:t>being</w:t>
      </w:r>
      <w:r w:rsidR="00D05EB6">
        <w:rPr>
          <w:lang w:eastAsia="en-US"/>
        </w:rPr>
        <w:t xml:space="preserve"> a significant barrier</w:t>
      </w:r>
      <w:r w:rsidR="005D102D">
        <w:rPr>
          <w:lang w:eastAsia="en-US"/>
        </w:rPr>
        <w:t xml:space="preserve">.  </w:t>
      </w:r>
    </w:p>
    <w:p w:rsidR="00D05EB6" w:rsidRDefault="005D102D" w:rsidP="00D42982">
      <w:pPr>
        <w:pStyle w:val="ListParagraph"/>
        <w:numPr>
          <w:ilvl w:val="0"/>
          <w:numId w:val="42"/>
        </w:numPr>
      </w:pPr>
      <w:r>
        <w:rPr>
          <w:lang w:eastAsia="en-US"/>
        </w:rPr>
        <w:t xml:space="preserve">In Western Australia there is a program in place that trains women’s refuge workers on how to separate from a digital relationship, when a physical separation occurs. This is a useful model and should be investigated further to see if it is adopted in other states. </w:t>
      </w:r>
    </w:p>
    <w:p w:rsidR="00D42982" w:rsidRDefault="00433EB5" w:rsidP="00D42982">
      <w:pPr>
        <w:rPr>
          <w:b/>
          <w:lang w:eastAsia="en-US"/>
        </w:rPr>
      </w:pPr>
      <w:r w:rsidRPr="00D42982">
        <w:rPr>
          <w:b/>
          <w:lang w:eastAsia="en-US"/>
        </w:rPr>
        <w:t xml:space="preserve">Data use and inequality: </w:t>
      </w:r>
    </w:p>
    <w:p w:rsidR="00E84961" w:rsidRDefault="005D102D" w:rsidP="00D42982">
      <w:r>
        <w:rPr>
          <w:lang w:eastAsia="en-US"/>
        </w:rPr>
        <w:t xml:space="preserve">QCOSS explained their interest in how data is being used to embed inequality, </w:t>
      </w:r>
      <w:r w:rsidR="00911C84">
        <w:rPr>
          <w:lang w:eastAsia="en-US"/>
        </w:rPr>
        <w:t xml:space="preserve">with a focus on the Centrelink </w:t>
      </w:r>
      <w:proofErr w:type="spellStart"/>
      <w:r w:rsidR="00911C84">
        <w:rPr>
          <w:lang w:eastAsia="en-US"/>
        </w:rPr>
        <w:t>r</w:t>
      </w:r>
      <w:r>
        <w:rPr>
          <w:lang w:eastAsia="en-US"/>
        </w:rPr>
        <w:t>obode</w:t>
      </w:r>
      <w:r w:rsidR="00433EB5">
        <w:rPr>
          <w:lang w:eastAsia="en-US"/>
        </w:rPr>
        <w:t>bt</w:t>
      </w:r>
      <w:proofErr w:type="spellEnd"/>
      <w:r w:rsidR="00433EB5">
        <w:rPr>
          <w:lang w:eastAsia="en-US"/>
        </w:rPr>
        <w:t xml:space="preserve"> initiative and impact </w:t>
      </w:r>
      <w:r>
        <w:rPr>
          <w:lang w:eastAsia="en-US"/>
        </w:rPr>
        <w:t xml:space="preserve">on call recipients. </w:t>
      </w:r>
      <w:r w:rsidR="000612DF">
        <w:rPr>
          <w:lang w:eastAsia="en-US"/>
        </w:rPr>
        <w:t xml:space="preserve">As an example, cross matched </w:t>
      </w:r>
      <w:r w:rsidR="00D05EB6">
        <w:rPr>
          <w:lang w:eastAsia="en-US"/>
        </w:rPr>
        <w:t xml:space="preserve">data </w:t>
      </w:r>
      <w:r w:rsidR="000612DF">
        <w:rPr>
          <w:lang w:eastAsia="en-US"/>
        </w:rPr>
        <w:t>has</w:t>
      </w:r>
      <w:r w:rsidR="00D05EB6">
        <w:rPr>
          <w:lang w:eastAsia="en-US"/>
        </w:rPr>
        <w:t xml:space="preserve"> be</w:t>
      </w:r>
      <w:r w:rsidR="000612DF">
        <w:rPr>
          <w:lang w:eastAsia="en-US"/>
        </w:rPr>
        <w:t>en</w:t>
      </w:r>
      <w:r w:rsidR="00D05EB6">
        <w:rPr>
          <w:lang w:eastAsia="en-US"/>
        </w:rPr>
        <w:t xml:space="preserve"> used to inform decisions about access to services (e.g.</w:t>
      </w:r>
      <w:r w:rsidR="000612DF">
        <w:rPr>
          <w:lang w:eastAsia="en-US"/>
        </w:rPr>
        <w:t xml:space="preserve"> transport</w:t>
      </w:r>
      <w:r w:rsidR="00D05EB6">
        <w:rPr>
          <w:lang w:eastAsia="en-US"/>
        </w:rPr>
        <w:t xml:space="preserve"> concessions</w:t>
      </w:r>
      <w:r w:rsidR="00433EB5">
        <w:rPr>
          <w:lang w:eastAsia="en-US"/>
        </w:rPr>
        <w:t xml:space="preserve"> cross linked to Centrelink data</w:t>
      </w:r>
      <w:r w:rsidR="00D05EB6">
        <w:rPr>
          <w:lang w:eastAsia="en-US"/>
        </w:rPr>
        <w:t>)</w:t>
      </w:r>
      <w:r w:rsidR="000612DF">
        <w:rPr>
          <w:lang w:eastAsia="en-US"/>
        </w:rPr>
        <w:t xml:space="preserve">. This </w:t>
      </w:r>
      <w:r w:rsidR="00D05EB6">
        <w:rPr>
          <w:lang w:eastAsia="en-US"/>
        </w:rPr>
        <w:t>highlight</w:t>
      </w:r>
      <w:r w:rsidR="000612DF">
        <w:rPr>
          <w:lang w:eastAsia="en-US"/>
        </w:rPr>
        <w:t>s</w:t>
      </w:r>
      <w:r w:rsidR="00D05EB6">
        <w:rPr>
          <w:lang w:eastAsia="en-US"/>
        </w:rPr>
        <w:t xml:space="preserve"> the need to be able to test the robustness of programs to ensure that they me</w:t>
      </w:r>
      <w:r w:rsidR="000612DF">
        <w:rPr>
          <w:lang w:eastAsia="en-US"/>
        </w:rPr>
        <w:t>e</w:t>
      </w:r>
      <w:r w:rsidR="00D05EB6">
        <w:rPr>
          <w:lang w:eastAsia="en-US"/>
        </w:rPr>
        <w:t xml:space="preserve">t social expectations. </w:t>
      </w:r>
    </w:p>
    <w:p w:rsidR="00433EB5" w:rsidRPr="00920686" w:rsidRDefault="00433EB5" w:rsidP="00D42982">
      <w:r>
        <w:rPr>
          <w:lang w:eastAsia="en-US"/>
        </w:rPr>
        <w:lastRenderedPageBreak/>
        <w:t xml:space="preserve">The Forum considered ACCAN to be in a good position to bring together the concerns identified and more, in a coherent policy framework. </w:t>
      </w:r>
    </w:p>
    <w:p w:rsidR="00BD2AB5" w:rsidRPr="00C33FAC" w:rsidRDefault="004A5874" w:rsidP="00C33FAC">
      <w:pPr>
        <w:pStyle w:val="Heading4"/>
      </w:pPr>
      <w:r w:rsidRPr="00C33FAC">
        <w:t xml:space="preserve">3. </w:t>
      </w:r>
      <w:r w:rsidR="00BD2AB5" w:rsidRPr="00C33FAC">
        <w:t xml:space="preserve">NBN rollout </w:t>
      </w:r>
    </w:p>
    <w:p w:rsidR="002D754D" w:rsidRPr="00911C84" w:rsidRDefault="002D754D" w:rsidP="00AC6AB9">
      <w:pPr>
        <w:spacing w:before="240"/>
      </w:pPr>
      <w:r>
        <w:rPr>
          <w:lang w:eastAsia="en-US"/>
        </w:rPr>
        <w:t xml:space="preserve">There were a number of issues flagged about the consumer experience of the NBN rollout, including: </w:t>
      </w:r>
    </w:p>
    <w:p w:rsidR="000432D9" w:rsidRDefault="00433EB5" w:rsidP="00AC6AB9">
      <w:pPr>
        <w:pStyle w:val="ListParagraph"/>
        <w:numPr>
          <w:ilvl w:val="0"/>
          <w:numId w:val="42"/>
        </w:numPr>
      </w:pPr>
      <w:r>
        <w:rPr>
          <w:lang w:eastAsia="en-US"/>
        </w:rPr>
        <w:t>Concerns about t</w:t>
      </w:r>
      <w:r w:rsidR="000432D9">
        <w:rPr>
          <w:lang w:eastAsia="en-US"/>
        </w:rPr>
        <w:t>he complexity of the rollout process w</w:t>
      </w:r>
      <w:r>
        <w:rPr>
          <w:lang w:eastAsia="en-US"/>
        </w:rPr>
        <w:t>ere</w:t>
      </w:r>
      <w:r w:rsidR="000432D9">
        <w:rPr>
          <w:lang w:eastAsia="en-US"/>
        </w:rPr>
        <w:t xml:space="preserve"> reiterated (see above),</w:t>
      </w:r>
      <w:r w:rsidR="002D754D">
        <w:rPr>
          <w:lang w:eastAsia="en-US"/>
        </w:rPr>
        <w:t xml:space="preserve"> </w:t>
      </w:r>
      <w:proofErr w:type="gramStart"/>
      <w:r w:rsidR="002D754D">
        <w:rPr>
          <w:lang w:eastAsia="en-US"/>
        </w:rPr>
        <w:t xml:space="preserve">with </w:t>
      </w:r>
      <w:r w:rsidR="000432D9">
        <w:rPr>
          <w:lang w:eastAsia="en-US"/>
        </w:rPr>
        <w:t xml:space="preserve"> </w:t>
      </w:r>
      <w:r w:rsidR="002D754D">
        <w:rPr>
          <w:lang w:eastAsia="en-US"/>
        </w:rPr>
        <w:t>c</w:t>
      </w:r>
      <w:r>
        <w:rPr>
          <w:lang w:eastAsia="en-US"/>
        </w:rPr>
        <w:t>onsumer</w:t>
      </w:r>
      <w:proofErr w:type="gramEnd"/>
      <w:r>
        <w:rPr>
          <w:lang w:eastAsia="en-US"/>
        </w:rPr>
        <w:t xml:space="preserve"> experience of t</w:t>
      </w:r>
      <w:r w:rsidR="000432D9">
        <w:rPr>
          <w:lang w:eastAsia="en-US"/>
        </w:rPr>
        <w:t>he blame game between NBN and retailers  materially erod</w:t>
      </w:r>
      <w:r w:rsidR="002D754D">
        <w:rPr>
          <w:lang w:eastAsia="en-US"/>
        </w:rPr>
        <w:t>ing</w:t>
      </w:r>
      <w:r w:rsidR="000432D9">
        <w:rPr>
          <w:lang w:eastAsia="en-US"/>
        </w:rPr>
        <w:t xml:space="preserve"> consumer trust in the rollout.</w:t>
      </w:r>
    </w:p>
    <w:p w:rsidR="000432D9" w:rsidRDefault="000432D9" w:rsidP="00AC6AB9">
      <w:pPr>
        <w:pStyle w:val="ListParagraph"/>
        <w:numPr>
          <w:ilvl w:val="0"/>
          <w:numId w:val="26"/>
        </w:numPr>
      </w:pPr>
      <w:r>
        <w:rPr>
          <w:lang w:eastAsia="en-US"/>
        </w:rPr>
        <w:t>The roll-out has made no allowances for vulnerable individuals with lower than average literacy and poor financial literacy</w:t>
      </w:r>
      <w:r w:rsidR="00433EB5">
        <w:rPr>
          <w:lang w:eastAsia="en-US"/>
        </w:rPr>
        <w:t xml:space="preserve">. Small bites of information, simply expressed, are suited to these consumers and should be developed. </w:t>
      </w:r>
    </w:p>
    <w:p w:rsidR="000432D9" w:rsidRDefault="000432D9" w:rsidP="00AC6AB9">
      <w:pPr>
        <w:pStyle w:val="ListParagraph"/>
        <w:numPr>
          <w:ilvl w:val="0"/>
          <w:numId w:val="26"/>
        </w:numPr>
      </w:pPr>
      <w:r>
        <w:rPr>
          <w:lang w:eastAsia="en-US"/>
        </w:rPr>
        <w:t>There is a need for a community education campaign</w:t>
      </w:r>
      <w:r w:rsidR="00433EB5">
        <w:rPr>
          <w:lang w:eastAsia="en-US"/>
        </w:rPr>
        <w:t xml:space="preserve"> about what switching to NBN means, and what consumers have to do. </w:t>
      </w:r>
      <w:r>
        <w:rPr>
          <w:lang w:eastAsia="en-US"/>
        </w:rPr>
        <w:t>.</w:t>
      </w:r>
    </w:p>
    <w:p w:rsidR="000432D9" w:rsidRDefault="000432D9" w:rsidP="00AC6AB9">
      <w:pPr>
        <w:pStyle w:val="ListParagraph"/>
        <w:numPr>
          <w:ilvl w:val="0"/>
          <w:numId w:val="26"/>
        </w:numPr>
      </w:pPr>
      <w:r>
        <w:rPr>
          <w:lang w:eastAsia="en-US"/>
        </w:rPr>
        <w:t>The excessive use of contractors has eliminated accountability, with very limited oversight</w:t>
      </w:r>
      <w:r w:rsidR="00911C84">
        <w:rPr>
          <w:lang w:eastAsia="en-US"/>
        </w:rPr>
        <w:t>.</w:t>
      </w:r>
      <w:r>
        <w:rPr>
          <w:lang w:eastAsia="en-US"/>
        </w:rPr>
        <w:t xml:space="preserve"> </w:t>
      </w:r>
    </w:p>
    <w:p w:rsidR="002D754D" w:rsidRDefault="002D754D" w:rsidP="00AC6AB9">
      <w:pPr>
        <w:pStyle w:val="ListParagraph"/>
        <w:numPr>
          <w:ilvl w:val="0"/>
          <w:numId w:val="26"/>
        </w:numPr>
      </w:pPr>
      <w:r>
        <w:rPr>
          <w:lang w:eastAsia="en-US"/>
        </w:rPr>
        <w:t xml:space="preserve">On the ground experience of the switchover has meant periods of loss of service, missed and late appointments. The impact on all consumers has been significant. </w:t>
      </w:r>
    </w:p>
    <w:p w:rsidR="000432D9" w:rsidRPr="00920686" w:rsidRDefault="000432D9" w:rsidP="00AC6AB9">
      <w:pPr>
        <w:pStyle w:val="ListParagraph"/>
        <w:numPr>
          <w:ilvl w:val="0"/>
          <w:numId w:val="26"/>
        </w:numPr>
      </w:pPr>
      <w:r>
        <w:rPr>
          <w:lang w:eastAsia="en-US"/>
        </w:rPr>
        <w:t>The Tasmanian rollout has not resulted in significant take up by low income households and individuals, who are primarily using mobile services</w:t>
      </w:r>
      <w:r w:rsidR="00911C84">
        <w:rPr>
          <w:lang w:eastAsia="en-US"/>
        </w:rPr>
        <w:t>.</w:t>
      </w:r>
    </w:p>
    <w:p w:rsidR="006840DD" w:rsidRDefault="004A5874" w:rsidP="00C33FAC">
      <w:pPr>
        <w:pStyle w:val="Heading4"/>
      </w:pPr>
      <w:r>
        <w:t xml:space="preserve">4. </w:t>
      </w:r>
      <w:r w:rsidR="006840DD">
        <w:t>Consumer Protection Framework</w:t>
      </w:r>
    </w:p>
    <w:p w:rsidR="005E3FC6" w:rsidRPr="005E3FC6" w:rsidRDefault="002D754D" w:rsidP="00AC6AB9">
      <w:pPr>
        <w:spacing w:before="240"/>
        <w:rPr>
          <w:lang w:eastAsia="en-US"/>
        </w:rPr>
      </w:pPr>
      <w:r>
        <w:rPr>
          <w:lang w:eastAsia="en-US"/>
        </w:rPr>
        <w:t xml:space="preserve">ACCAN explained that </w:t>
      </w:r>
      <w:r w:rsidR="008C6189">
        <w:rPr>
          <w:lang w:eastAsia="en-US"/>
        </w:rPr>
        <w:t xml:space="preserve">progress </w:t>
      </w:r>
      <w:r w:rsidR="00EB6008">
        <w:rPr>
          <w:lang w:eastAsia="en-US"/>
        </w:rPr>
        <w:t>on the Consumer Safeguards review (Part C)</w:t>
      </w:r>
      <w:r w:rsidR="008C6189">
        <w:rPr>
          <w:lang w:eastAsia="en-US"/>
        </w:rPr>
        <w:t xml:space="preserve"> has stalled due to the approaching Federal Election and caretaker period of government. Part C has been </w:t>
      </w:r>
      <w:r w:rsidR="00911C84">
        <w:rPr>
          <w:lang w:eastAsia="en-US"/>
        </w:rPr>
        <w:t>flagged by the Department of Communicati</w:t>
      </w:r>
      <w:r w:rsidR="008C6189">
        <w:rPr>
          <w:lang w:eastAsia="en-US"/>
        </w:rPr>
        <w:t>o</w:t>
      </w:r>
      <w:r w:rsidR="00911C84">
        <w:rPr>
          <w:lang w:eastAsia="en-US"/>
        </w:rPr>
        <w:t xml:space="preserve">ns and the Arts to examine choice and fairness. </w:t>
      </w:r>
      <w:r w:rsidR="005E3FC6" w:rsidRPr="005E3FC6">
        <w:rPr>
          <w:lang w:eastAsia="en-US"/>
        </w:rPr>
        <w:t xml:space="preserve">The ACMA has issued a warning to the major </w:t>
      </w:r>
      <w:proofErr w:type="spellStart"/>
      <w:r w:rsidR="005E3FC6" w:rsidRPr="005E3FC6">
        <w:rPr>
          <w:lang w:eastAsia="en-US"/>
        </w:rPr>
        <w:t>telcos</w:t>
      </w:r>
      <w:proofErr w:type="spellEnd"/>
      <w:r w:rsidR="005E3FC6" w:rsidRPr="005E3FC6">
        <w:rPr>
          <w:lang w:eastAsia="en-US"/>
        </w:rPr>
        <w:t xml:space="preserve"> for failing to meet their obligations about providing information about accessible services and products.</w:t>
      </w:r>
      <w:r w:rsidR="005E3FC6">
        <w:rPr>
          <w:lang w:eastAsia="en-US"/>
        </w:rPr>
        <w:t xml:space="preserve"> An update on the role and progress of the Telecommunications Consumer Protections Code was </w:t>
      </w:r>
      <w:r w:rsidR="008C6189">
        <w:rPr>
          <w:lang w:eastAsia="en-US"/>
        </w:rPr>
        <w:t>provided</w:t>
      </w:r>
      <w:r w:rsidR="005E3FC6">
        <w:rPr>
          <w:lang w:eastAsia="en-US"/>
        </w:rPr>
        <w:t xml:space="preserve">, and the new ACMA Complaint Handling Standard. </w:t>
      </w:r>
    </w:p>
    <w:p w:rsidR="00D354B7" w:rsidRDefault="002D754D" w:rsidP="00D4054C">
      <w:r>
        <w:rPr>
          <w:lang w:eastAsia="en-US"/>
        </w:rPr>
        <w:t xml:space="preserve">Forum </w:t>
      </w:r>
      <w:r w:rsidR="005E3FC6">
        <w:rPr>
          <w:lang w:eastAsia="en-US"/>
        </w:rPr>
        <w:t xml:space="preserve">attendees </w:t>
      </w:r>
      <w:r>
        <w:rPr>
          <w:lang w:eastAsia="en-US"/>
        </w:rPr>
        <w:t xml:space="preserve">identified a number of areas where consumer protections </w:t>
      </w:r>
      <w:r w:rsidR="005E3FC6">
        <w:rPr>
          <w:lang w:eastAsia="en-US"/>
        </w:rPr>
        <w:t xml:space="preserve">do not appear to be working adequately, including: </w:t>
      </w:r>
      <w:r w:rsidR="00EB6008">
        <w:rPr>
          <w:lang w:eastAsia="en-US"/>
        </w:rPr>
        <w:t xml:space="preserve"> </w:t>
      </w:r>
    </w:p>
    <w:p w:rsidR="00EB6008" w:rsidRDefault="00EB6008" w:rsidP="00D4054C">
      <w:pPr>
        <w:pStyle w:val="ListParagraph"/>
        <w:numPr>
          <w:ilvl w:val="0"/>
          <w:numId w:val="27"/>
        </w:numPr>
      </w:pPr>
      <w:r>
        <w:rPr>
          <w:lang w:eastAsia="en-US"/>
        </w:rPr>
        <w:t xml:space="preserve"> </w:t>
      </w:r>
      <w:r w:rsidR="00911C84">
        <w:rPr>
          <w:lang w:eastAsia="en-US"/>
        </w:rPr>
        <w:t>I</w:t>
      </w:r>
      <w:r>
        <w:rPr>
          <w:lang w:eastAsia="en-US"/>
        </w:rPr>
        <w:t>nstances of upselling and poor selling practices that are of significant concern</w:t>
      </w:r>
      <w:r w:rsidR="005E3FC6">
        <w:rPr>
          <w:lang w:eastAsia="en-US"/>
        </w:rPr>
        <w:t xml:space="preserve">, and this is continuing amongst vulnerable consumers </w:t>
      </w:r>
      <w:r w:rsidR="00D4054C">
        <w:rPr>
          <w:lang w:eastAsia="en-US"/>
        </w:rPr>
        <w:t>in WA.</w:t>
      </w:r>
      <w:r w:rsidR="008C6189">
        <w:rPr>
          <w:lang w:eastAsia="en-US"/>
        </w:rPr>
        <w:t xml:space="preserve"> </w:t>
      </w:r>
    </w:p>
    <w:p w:rsidR="00EB6008" w:rsidRDefault="005E3FC6" w:rsidP="00D4054C">
      <w:pPr>
        <w:pStyle w:val="ListParagraph"/>
        <w:numPr>
          <w:ilvl w:val="0"/>
          <w:numId w:val="27"/>
        </w:numPr>
      </w:pPr>
      <w:r w:rsidDel="005E3FC6">
        <w:rPr>
          <w:lang w:eastAsia="en-US"/>
        </w:rPr>
        <w:t xml:space="preserve"> </w:t>
      </w:r>
      <w:r w:rsidR="00EB6008">
        <w:rPr>
          <w:lang w:eastAsia="en-US"/>
        </w:rPr>
        <w:t>There continue to be significant weaknesses in the consumer protection framework, with the use of an industry code to provide protections failing to prom</w:t>
      </w:r>
      <w:r w:rsidR="00D4054C">
        <w:rPr>
          <w:lang w:eastAsia="en-US"/>
        </w:rPr>
        <w:t>ote sound outcomes.</w:t>
      </w:r>
    </w:p>
    <w:p w:rsidR="005E3FC6" w:rsidRDefault="005E3FC6" w:rsidP="00D4054C">
      <w:pPr>
        <w:pStyle w:val="ListParagraph"/>
        <w:numPr>
          <w:ilvl w:val="0"/>
          <w:numId w:val="27"/>
        </w:numPr>
      </w:pPr>
      <w:r>
        <w:rPr>
          <w:lang w:eastAsia="en-US"/>
        </w:rPr>
        <w:t>A useful exercise would be to do a comparative study of enforcement actions across regulators to develop a comparative perspective</w:t>
      </w:r>
      <w:r w:rsidR="000F3F27">
        <w:rPr>
          <w:lang w:eastAsia="en-US"/>
        </w:rPr>
        <w:t xml:space="preserve">. </w:t>
      </w:r>
    </w:p>
    <w:p w:rsidR="006A7C2B" w:rsidRDefault="006A7C2B" w:rsidP="00D4054C">
      <w:pPr>
        <w:pStyle w:val="ListParagraph"/>
        <w:numPr>
          <w:ilvl w:val="0"/>
          <w:numId w:val="27"/>
        </w:numPr>
      </w:pPr>
      <w:r>
        <w:rPr>
          <w:lang w:eastAsia="en-US"/>
        </w:rPr>
        <w:t>There needs to be a focus on the essential nature of telecommunications services as a starting point for future consumer protections.</w:t>
      </w:r>
    </w:p>
    <w:p w:rsidR="0056127B" w:rsidRDefault="0056127B" w:rsidP="00D4054C">
      <w:pPr>
        <w:pStyle w:val="ListParagraph"/>
        <w:numPr>
          <w:ilvl w:val="0"/>
          <w:numId w:val="27"/>
        </w:numPr>
      </w:pPr>
      <w:r>
        <w:rPr>
          <w:lang w:eastAsia="en-US"/>
        </w:rPr>
        <w:t xml:space="preserve">The exploitation of the elderly who are often acting as guarantors for contracts was highlighted. </w:t>
      </w:r>
    </w:p>
    <w:p w:rsidR="00362593" w:rsidRPr="00920686" w:rsidRDefault="005E3FC6" w:rsidP="00D4054C">
      <w:r>
        <w:rPr>
          <w:lang w:eastAsia="en-US"/>
        </w:rPr>
        <w:t xml:space="preserve">QCOSS </w:t>
      </w:r>
      <w:r w:rsidR="00362593">
        <w:rPr>
          <w:lang w:eastAsia="en-US"/>
        </w:rPr>
        <w:t>suggested that the</w:t>
      </w:r>
      <w:r>
        <w:rPr>
          <w:lang w:eastAsia="en-US"/>
        </w:rPr>
        <w:t xml:space="preserve"> Australian Energy Regulator</w:t>
      </w:r>
      <w:r w:rsidR="00362593">
        <w:rPr>
          <w:lang w:eastAsia="en-US"/>
        </w:rPr>
        <w:t xml:space="preserve"> hardship guidelines developed </w:t>
      </w:r>
      <w:r>
        <w:rPr>
          <w:lang w:eastAsia="en-US"/>
        </w:rPr>
        <w:t>for</w:t>
      </w:r>
      <w:r w:rsidR="00362593">
        <w:rPr>
          <w:lang w:eastAsia="en-US"/>
        </w:rPr>
        <w:t xml:space="preserve"> the energy industry may be useful</w:t>
      </w:r>
      <w:r w:rsidR="002D754D">
        <w:rPr>
          <w:lang w:eastAsia="en-US"/>
        </w:rPr>
        <w:t xml:space="preserve"> to inform approaches to financial hardship in telecommunications</w:t>
      </w:r>
      <w:r w:rsidR="00362593">
        <w:rPr>
          <w:lang w:eastAsia="en-US"/>
        </w:rPr>
        <w:t xml:space="preserve">. </w:t>
      </w:r>
    </w:p>
    <w:p w:rsidR="00362593" w:rsidRDefault="004A5874" w:rsidP="00C33FAC">
      <w:pPr>
        <w:pStyle w:val="Heading4"/>
      </w:pPr>
      <w:r>
        <w:lastRenderedPageBreak/>
        <w:t xml:space="preserve">5. </w:t>
      </w:r>
      <w:r w:rsidR="00362593">
        <w:t xml:space="preserve">Financial regulation and telecommunications </w:t>
      </w:r>
    </w:p>
    <w:p w:rsidR="00362593" w:rsidRDefault="00362593" w:rsidP="00AC6AB9">
      <w:pPr>
        <w:spacing w:before="240"/>
      </w:pPr>
      <w:r>
        <w:rPr>
          <w:lang w:eastAsia="en-US"/>
        </w:rPr>
        <w:t xml:space="preserve">The lack of adequate regulation of credit </w:t>
      </w:r>
      <w:r w:rsidR="006A7C2B">
        <w:rPr>
          <w:lang w:eastAsia="en-US"/>
        </w:rPr>
        <w:t xml:space="preserve">in telco post-paid plans </w:t>
      </w:r>
      <w:r>
        <w:rPr>
          <w:lang w:eastAsia="en-US"/>
        </w:rPr>
        <w:t>was discussed</w:t>
      </w:r>
      <w:r w:rsidR="006A7C2B">
        <w:rPr>
          <w:lang w:eastAsia="en-US"/>
        </w:rPr>
        <w:t xml:space="preserve">, and the following points </w:t>
      </w:r>
      <w:r w:rsidR="00D4054C">
        <w:rPr>
          <w:lang w:eastAsia="en-US"/>
        </w:rPr>
        <w:t xml:space="preserve">were </w:t>
      </w:r>
      <w:r w:rsidR="006A7C2B">
        <w:rPr>
          <w:lang w:eastAsia="en-US"/>
        </w:rPr>
        <w:t xml:space="preserve">raised: </w:t>
      </w:r>
      <w:r>
        <w:rPr>
          <w:lang w:eastAsia="en-US"/>
        </w:rPr>
        <w:t xml:space="preserve"> </w:t>
      </w:r>
    </w:p>
    <w:p w:rsidR="00362593" w:rsidRDefault="00362593" w:rsidP="00D4054C">
      <w:pPr>
        <w:pStyle w:val="ListParagraph"/>
        <w:numPr>
          <w:ilvl w:val="0"/>
          <w:numId w:val="41"/>
        </w:numPr>
      </w:pPr>
      <w:r>
        <w:rPr>
          <w:lang w:eastAsia="en-US"/>
        </w:rPr>
        <w:t xml:space="preserve">As an essential service </w:t>
      </w:r>
      <w:r w:rsidR="006A7C2B">
        <w:rPr>
          <w:lang w:eastAsia="en-US"/>
        </w:rPr>
        <w:t xml:space="preserve">it </w:t>
      </w:r>
      <w:r>
        <w:rPr>
          <w:lang w:eastAsia="en-US"/>
        </w:rPr>
        <w:t>is important that the regulatory framework</w:t>
      </w:r>
      <w:r w:rsidR="006A7C2B">
        <w:rPr>
          <w:lang w:eastAsia="en-US"/>
        </w:rPr>
        <w:t xml:space="preserve"> is fit for purpose and</w:t>
      </w:r>
      <w:r>
        <w:rPr>
          <w:lang w:eastAsia="en-US"/>
        </w:rPr>
        <w:t xml:space="preserve"> reflect</w:t>
      </w:r>
      <w:r w:rsidR="006A7C2B">
        <w:rPr>
          <w:lang w:eastAsia="en-US"/>
        </w:rPr>
        <w:t>s</w:t>
      </w:r>
      <w:r w:rsidR="00D4054C">
        <w:rPr>
          <w:lang w:eastAsia="en-US"/>
        </w:rPr>
        <w:t xml:space="preserve"> this reality</w:t>
      </w:r>
      <w:r>
        <w:rPr>
          <w:lang w:eastAsia="en-US"/>
        </w:rPr>
        <w:t xml:space="preserve">. </w:t>
      </w:r>
    </w:p>
    <w:p w:rsidR="00362593" w:rsidRDefault="00362593" w:rsidP="00D4054C">
      <w:pPr>
        <w:pStyle w:val="ListParagraph"/>
        <w:numPr>
          <w:ilvl w:val="0"/>
          <w:numId w:val="41"/>
        </w:numPr>
      </w:pPr>
      <w:r>
        <w:rPr>
          <w:lang w:eastAsia="en-US"/>
        </w:rPr>
        <w:t>The blurring of sectors was raised as an issue, as utility providers begin to offer multiple services.</w:t>
      </w:r>
    </w:p>
    <w:p w:rsidR="00362593" w:rsidRDefault="006A7C2B" w:rsidP="00D4054C">
      <w:pPr>
        <w:pStyle w:val="ListParagraph"/>
        <w:numPr>
          <w:ilvl w:val="0"/>
          <w:numId w:val="41"/>
        </w:numPr>
      </w:pPr>
      <w:r>
        <w:rPr>
          <w:lang w:eastAsia="en-US"/>
        </w:rPr>
        <w:t>T</w:t>
      </w:r>
      <w:r w:rsidR="00362593">
        <w:rPr>
          <w:lang w:eastAsia="en-US"/>
        </w:rPr>
        <w:t xml:space="preserve">he model of many credit providers was to encourage consumers to default on their debts, noting that </w:t>
      </w:r>
      <w:proofErr w:type="spellStart"/>
      <w:r>
        <w:rPr>
          <w:lang w:eastAsia="en-US"/>
        </w:rPr>
        <w:t>A</w:t>
      </w:r>
      <w:r w:rsidR="00362593">
        <w:rPr>
          <w:lang w:eastAsia="en-US"/>
        </w:rPr>
        <w:t>fterpay</w:t>
      </w:r>
      <w:proofErr w:type="spellEnd"/>
      <w:r w:rsidR="00362593">
        <w:rPr>
          <w:lang w:eastAsia="en-US"/>
        </w:rPr>
        <w:t xml:space="preserve"> made $28 million in the last financial year from late fees.</w:t>
      </w:r>
    </w:p>
    <w:p w:rsidR="00362593" w:rsidRDefault="00B76BCE" w:rsidP="00D4054C">
      <w:pPr>
        <w:pStyle w:val="ListParagraph"/>
        <w:numPr>
          <w:ilvl w:val="0"/>
          <w:numId w:val="41"/>
        </w:numPr>
      </w:pPr>
      <w:r>
        <w:rPr>
          <w:lang w:eastAsia="en-US"/>
        </w:rPr>
        <w:t>The experience of financial counsellors is that</w:t>
      </w:r>
      <w:bookmarkStart w:id="0" w:name="_GoBack"/>
      <w:bookmarkEnd w:id="0"/>
      <w:r w:rsidR="00362593">
        <w:rPr>
          <w:lang w:eastAsia="en-US"/>
        </w:rPr>
        <w:t xml:space="preserve"> hardship practices in state owned utilities</w:t>
      </w:r>
      <w:r w:rsidR="001009F9">
        <w:rPr>
          <w:lang w:eastAsia="en-US"/>
        </w:rPr>
        <w:t xml:space="preserve"> including </w:t>
      </w:r>
      <w:proofErr w:type="spellStart"/>
      <w:r w:rsidR="001009F9">
        <w:rPr>
          <w:lang w:eastAsia="en-US"/>
        </w:rPr>
        <w:t>WaterCorp</w:t>
      </w:r>
      <w:proofErr w:type="spellEnd"/>
      <w:r w:rsidR="00362593">
        <w:rPr>
          <w:lang w:eastAsia="en-US"/>
        </w:rPr>
        <w:t xml:space="preserve"> </w:t>
      </w:r>
      <w:proofErr w:type="gramStart"/>
      <w:r>
        <w:rPr>
          <w:lang w:eastAsia="en-US"/>
        </w:rPr>
        <w:t>WA,</w:t>
      </w:r>
      <w:proofErr w:type="gramEnd"/>
      <w:r>
        <w:rPr>
          <w:lang w:eastAsia="en-US"/>
        </w:rPr>
        <w:t xml:space="preserve"> </w:t>
      </w:r>
      <w:r w:rsidR="00362593">
        <w:rPr>
          <w:lang w:eastAsia="en-US"/>
        </w:rPr>
        <w:t xml:space="preserve">were significantly better than those seen in private enterprise. </w:t>
      </w:r>
    </w:p>
    <w:p w:rsidR="00362593" w:rsidRDefault="00B76BCE" w:rsidP="00D4054C">
      <w:pPr>
        <w:pStyle w:val="ListParagraph"/>
        <w:numPr>
          <w:ilvl w:val="0"/>
          <w:numId w:val="41"/>
        </w:numPr>
      </w:pPr>
      <w:r>
        <w:rPr>
          <w:lang w:eastAsia="en-US"/>
        </w:rPr>
        <w:t>C</w:t>
      </w:r>
      <w:r w:rsidR="00362593">
        <w:rPr>
          <w:lang w:eastAsia="en-US"/>
        </w:rPr>
        <w:t xml:space="preserve">redit issues </w:t>
      </w:r>
      <w:r>
        <w:rPr>
          <w:lang w:eastAsia="en-US"/>
        </w:rPr>
        <w:t>a</w:t>
      </w:r>
      <w:r w:rsidR="00362593">
        <w:rPr>
          <w:lang w:eastAsia="en-US"/>
        </w:rPr>
        <w:t xml:space="preserve">re a sector wide problem as models develop to avoid the operation of existing regulation. </w:t>
      </w:r>
      <w:r w:rsidRPr="00B76BCE">
        <w:rPr>
          <w:lang w:eastAsia="en-US"/>
        </w:rPr>
        <w:t xml:space="preserve">Telco credit was compared to the </w:t>
      </w:r>
      <w:proofErr w:type="spellStart"/>
      <w:r w:rsidRPr="00B76BCE">
        <w:rPr>
          <w:lang w:eastAsia="en-US"/>
        </w:rPr>
        <w:t>Afterpay</w:t>
      </w:r>
      <w:proofErr w:type="spellEnd"/>
      <w:r w:rsidRPr="00B76BCE">
        <w:rPr>
          <w:lang w:eastAsia="en-US"/>
        </w:rPr>
        <w:t xml:space="preserve"> model, because both are not subject to the same credit obligations as other financial products. </w:t>
      </w:r>
      <w:r w:rsidR="00362593">
        <w:rPr>
          <w:lang w:eastAsia="en-US"/>
        </w:rPr>
        <w:t xml:space="preserve">The appetite for broader reform </w:t>
      </w:r>
      <w:r>
        <w:rPr>
          <w:lang w:eastAsia="en-US"/>
        </w:rPr>
        <w:t xml:space="preserve">in the financial services sector </w:t>
      </w:r>
      <w:r w:rsidR="00362593">
        <w:rPr>
          <w:lang w:eastAsia="en-US"/>
        </w:rPr>
        <w:t>may allow for many of the credit issues in telco to be incorporated in the reform agenda.</w:t>
      </w:r>
    </w:p>
    <w:p w:rsidR="00362593" w:rsidRDefault="00362593" w:rsidP="00D4054C">
      <w:pPr>
        <w:pStyle w:val="ListParagraph"/>
        <w:numPr>
          <w:ilvl w:val="0"/>
          <w:numId w:val="28"/>
        </w:numPr>
      </w:pPr>
      <w:r>
        <w:rPr>
          <w:lang w:eastAsia="en-US"/>
        </w:rPr>
        <w:t>Third party billing and recent ACCC fines were briefly discussed</w:t>
      </w:r>
      <w:r w:rsidR="00D4054C">
        <w:rPr>
          <w:lang w:eastAsia="en-US"/>
        </w:rPr>
        <w:t>, with the observation that third party billing</w:t>
      </w:r>
      <w:r w:rsidR="00B76BCE">
        <w:rPr>
          <w:lang w:eastAsia="en-US"/>
        </w:rPr>
        <w:t xml:space="preserve"> is akin to using a telco account as a credit card</w:t>
      </w:r>
      <w:r>
        <w:rPr>
          <w:lang w:eastAsia="en-US"/>
        </w:rPr>
        <w:t xml:space="preserve">. </w:t>
      </w:r>
    </w:p>
    <w:p w:rsidR="00362593" w:rsidRDefault="00362593" w:rsidP="00D4054C">
      <w:pPr>
        <w:pStyle w:val="ListParagraph"/>
        <w:numPr>
          <w:ilvl w:val="0"/>
          <w:numId w:val="28"/>
        </w:numPr>
      </w:pPr>
      <w:r>
        <w:rPr>
          <w:lang w:eastAsia="en-US"/>
        </w:rPr>
        <w:t xml:space="preserve">The debt spiral faced by some consumers was discussed, with </w:t>
      </w:r>
      <w:r w:rsidR="00B76BCE">
        <w:rPr>
          <w:lang w:eastAsia="en-US"/>
        </w:rPr>
        <w:t xml:space="preserve">particular concern about </w:t>
      </w:r>
      <w:r>
        <w:rPr>
          <w:lang w:eastAsia="en-US"/>
        </w:rPr>
        <w:t>consumers taking on debts to repay existing debts.</w:t>
      </w:r>
    </w:p>
    <w:p w:rsidR="003A1202" w:rsidRDefault="003A1202" w:rsidP="00D4054C">
      <w:pPr>
        <w:pStyle w:val="ListParagraph"/>
        <w:numPr>
          <w:ilvl w:val="0"/>
          <w:numId w:val="28"/>
        </w:numPr>
      </w:pPr>
      <w:r>
        <w:rPr>
          <w:lang w:eastAsia="en-US"/>
        </w:rPr>
        <w:t xml:space="preserve">There is a material difference between those who won’t pay and those </w:t>
      </w:r>
      <w:r w:rsidR="00D4054C">
        <w:rPr>
          <w:lang w:eastAsia="en-US"/>
        </w:rPr>
        <w:t>who</w:t>
      </w:r>
      <w:r>
        <w:rPr>
          <w:lang w:eastAsia="en-US"/>
        </w:rPr>
        <w:t xml:space="preserve"> can’t pay, and hardship policies should be focused on the latter. </w:t>
      </w:r>
    </w:p>
    <w:p w:rsidR="00063CAB" w:rsidRPr="00C75517" w:rsidRDefault="004A5874" w:rsidP="00C33FAC">
      <w:pPr>
        <w:pStyle w:val="Heading4"/>
      </w:pPr>
      <w:r>
        <w:t xml:space="preserve">6. </w:t>
      </w:r>
      <w:r w:rsidR="00063CAB">
        <w:t>Affordability</w:t>
      </w:r>
    </w:p>
    <w:p w:rsidR="002D16A2" w:rsidRDefault="002D16A2" w:rsidP="00AC6AB9">
      <w:pPr>
        <w:spacing w:before="240"/>
      </w:pPr>
      <w:r>
        <w:t>ACCAN briefly outlined its intended approach to the devel</w:t>
      </w:r>
      <w:r w:rsidR="001009F9">
        <w:t>opment of affordability policy</w:t>
      </w:r>
      <w:r w:rsidR="00AC6AB9">
        <w:t xml:space="preserve">, and invited feedback. This </w:t>
      </w:r>
      <w:r w:rsidR="001009F9">
        <w:t>involve</w:t>
      </w:r>
      <w:r w:rsidR="00AC6AB9">
        <w:t>s</w:t>
      </w:r>
      <w:r w:rsidR="001009F9">
        <w:t>:</w:t>
      </w:r>
    </w:p>
    <w:p w:rsidR="001009F9" w:rsidRDefault="001009F9" w:rsidP="00B76BCE">
      <w:pPr>
        <w:pStyle w:val="ListParagraph"/>
        <w:numPr>
          <w:ilvl w:val="0"/>
          <w:numId w:val="29"/>
        </w:numPr>
      </w:pPr>
      <w:r>
        <w:t>The creation of targeted consumer information to assist individuals get the most suitable service for them;</w:t>
      </w:r>
    </w:p>
    <w:p w:rsidR="001009F9" w:rsidRDefault="001009F9" w:rsidP="00B76BCE">
      <w:pPr>
        <w:pStyle w:val="ListParagraph"/>
        <w:numPr>
          <w:ilvl w:val="0"/>
          <w:numId w:val="29"/>
        </w:numPr>
      </w:pPr>
      <w:r>
        <w:t xml:space="preserve">A review of existing assistance programs for at-risk and hard to reach individuals (e.g. homeless) to determine whether there is a need for further funding and resourcing; </w:t>
      </w:r>
    </w:p>
    <w:p w:rsidR="001009F9" w:rsidRDefault="001009F9" w:rsidP="00B76BCE">
      <w:pPr>
        <w:pStyle w:val="ListParagraph"/>
        <w:numPr>
          <w:ilvl w:val="0"/>
          <w:numId w:val="29"/>
        </w:numPr>
      </w:pPr>
      <w:r>
        <w:t xml:space="preserve">The No Australian Left Offline policy to support affordable broadband for all Australians. </w:t>
      </w:r>
    </w:p>
    <w:p w:rsidR="00B76BCE" w:rsidRDefault="00446774" w:rsidP="00446774">
      <w:r>
        <w:t>Discussion focussed on:</w:t>
      </w:r>
    </w:p>
    <w:p w:rsidR="001009F9" w:rsidRDefault="001009F9" w:rsidP="00446774">
      <w:pPr>
        <w:pStyle w:val="ListParagraph"/>
        <w:numPr>
          <w:ilvl w:val="0"/>
          <w:numId w:val="29"/>
        </w:numPr>
      </w:pPr>
      <w:r>
        <w:t xml:space="preserve">The issue of a constantly evolving and changing market were highlighted as presenting particular difficulties for consumers. </w:t>
      </w:r>
    </w:p>
    <w:p w:rsidR="001009F9" w:rsidRDefault="001009F9" w:rsidP="00446774">
      <w:pPr>
        <w:pStyle w:val="ListParagraph"/>
        <w:numPr>
          <w:ilvl w:val="0"/>
          <w:numId w:val="29"/>
        </w:numPr>
      </w:pPr>
      <w:r>
        <w:t>The proposal to develop user profiles</w:t>
      </w:r>
      <w:r w:rsidR="00446774">
        <w:t xml:space="preserve"> (</w:t>
      </w:r>
      <w:proofErr w:type="spellStart"/>
      <w:r w:rsidR="00446774">
        <w:t>e.g</w:t>
      </w:r>
      <w:proofErr w:type="spellEnd"/>
      <w:r w:rsidR="00446774">
        <w:t>: single person living alone; two parent family with one child)</w:t>
      </w:r>
      <w:r>
        <w:t xml:space="preserve"> to assist consumers assess what service</w:t>
      </w:r>
      <w:r w:rsidR="00446774">
        <w:t>s are appropriate was supported, with a range of matched products provided.</w:t>
      </w:r>
      <w:r>
        <w:t xml:space="preserve"> </w:t>
      </w:r>
    </w:p>
    <w:p w:rsidR="001009F9" w:rsidRDefault="001009F9" w:rsidP="00446774">
      <w:pPr>
        <w:pStyle w:val="ListParagraph"/>
        <w:numPr>
          <w:ilvl w:val="0"/>
          <w:numId w:val="29"/>
        </w:numPr>
      </w:pPr>
      <w:r>
        <w:t>The use of alternative c</w:t>
      </w:r>
      <w:r w:rsidR="00446774">
        <w:t>ommunication methods including animations/</w:t>
      </w:r>
      <w:r>
        <w:t>cartoon</w:t>
      </w:r>
      <w:r w:rsidR="00446774">
        <w:t xml:space="preserve"> graphics</w:t>
      </w:r>
      <w:r>
        <w:t xml:space="preserve"> were flagged </w:t>
      </w:r>
      <w:r w:rsidR="00446774">
        <w:t xml:space="preserve">as an effective way of getting messaging understood. </w:t>
      </w:r>
    </w:p>
    <w:p w:rsidR="001009F9" w:rsidRDefault="00446774" w:rsidP="00446774">
      <w:pPr>
        <w:pStyle w:val="ListParagraph"/>
        <w:numPr>
          <w:ilvl w:val="0"/>
          <w:numId w:val="29"/>
        </w:numPr>
      </w:pPr>
      <w:r>
        <w:t xml:space="preserve">The essential nature of communications </w:t>
      </w:r>
      <w:r w:rsidR="001009F9">
        <w:t>service</w:t>
      </w:r>
      <w:r>
        <w:t>s</w:t>
      </w:r>
      <w:r w:rsidR="001009F9">
        <w:t xml:space="preserve"> was reaffirmed, with the view expressed that reforms have to </w:t>
      </w:r>
      <w:r>
        <w:t xml:space="preserve">be led from a high level, for example by </w:t>
      </w:r>
      <w:r w:rsidR="001009F9">
        <w:t>the Minister</w:t>
      </w:r>
      <w:r>
        <w:t xml:space="preserve"> responsible</w:t>
      </w:r>
      <w:r w:rsidR="001009F9">
        <w:t xml:space="preserve">. </w:t>
      </w:r>
    </w:p>
    <w:p w:rsidR="003A1202" w:rsidRDefault="003A1202" w:rsidP="00446774">
      <w:pPr>
        <w:pStyle w:val="ListParagraph"/>
        <w:numPr>
          <w:ilvl w:val="0"/>
          <w:numId w:val="29"/>
        </w:numPr>
      </w:pPr>
      <w:r>
        <w:lastRenderedPageBreak/>
        <w:t>There are significant pressures on consumers to roll-over their contracts with providers and be locked into new contracts as part of the NBN</w:t>
      </w:r>
      <w:r w:rsidR="006F5667">
        <w:t xml:space="preserve"> switchover.</w:t>
      </w:r>
      <w:r>
        <w:t xml:space="preserve"> </w:t>
      </w:r>
    </w:p>
    <w:p w:rsidR="0074345D" w:rsidRDefault="00775FDB">
      <w:pPr>
        <w:pStyle w:val="Heading1"/>
      </w:pPr>
      <w:r>
        <w:t>Research focus 2019-20</w:t>
      </w:r>
    </w:p>
    <w:p w:rsidR="0074345D" w:rsidRDefault="0074345D" w:rsidP="007B617F"/>
    <w:p w:rsidR="00991649" w:rsidRDefault="0074345D" w:rsidP="007B617F">
      <w:r>
        <w:t xml:space="preserve">ACCAN’s research priorities for the remainder of </w:t>
      </w:r>
      <w:r w:rsidR="004A5874">
        <w:t xml:space="preserve">FY </w:t>
      </w:r>
      <w:r>
        <w:t>2019 were outlined</w:t>
      </w:r>
      <w:r w:rsidR="00991649">
        <w:t xml:space="preserve">: </w:t>
      </w:r>
    </w:p>
    <w:p w:rsidR="0074345D" w:rsidRPr="00991649" w:rsidRDefault="00991649" w:rsidP="00991649">
      <w:pPr>
        <w:pStyle w:val="ListParagraph"/>
        <w:numPr>
          <w:ilvl w:val="0"/>
          <w:numId w:val="43"/>
        </w:numPr>
        <w:rPr>
          <w:i/>
        </w:rPr>
      </w:pPr>
      <w:r>
        <w:t xml:space="preserve">ACCAN staff summarised </w:t>
      </w:r>
      <w:r w:rsidR="0074345D">
        <w:t xml:space="preserve">recent </w:t>
      </w:r>
      <w:r w:rsidR="007B617F">
        <w:t xml:space="preserve">commissioned </w:t>
      </w:r>
      <w:r w:rsidR="0074345D">
        <w:t xml:space="preserve">research into selling practices </w:t>
      </w:r>
      <w:r w:rsidRPr="00991649">
        <w:rPr>
          <w:i/>
        </w:rPr>
        <w:t>Spotlight on Telco Sales and Commissions</w:t>
      </w:r>
      <w:r w:rsidR="0074345D" w:rsidRPr="00991649">
        <w:rPr>
          <w:i/>
        </w:rPr>
        <w:t xml:space="preserve"> </w:t>
      </w:r>
    </w:p>
    <w:p w:rsidR="0074345D" w:rsidRDefault="0074345D" w:rsidP="007B617F">
      <w:pPr>
        <w:pStyle w:val="ListParagraph"/>
        <w:numPr>
          <w:ilvl w:val="0"/>
          <w:numId w:val="31"/>
        </w:numPr>
      </w:pPr>
      <w:r>
        <w:t xml:space="preserve">The forthcoming research into the value of time forgone </w:t>
      </w:r>
      <w:r w:rsidR="007B617F">
        <w:t xml:space="preserve">due to customer service delays </w:t>
      </w:r>
      <w:r>
        <w:t>was discussed</w:t>
      </w:r>
      <w:r w:rsidR="007B617F">
        <w:t xml:space="preserve">: </w:t>
      </w:r>
    </w:p>
    <w:p w:rsidR="0074345D" w:rsidRDefault="0074345D" w:rsidP="007B617F">
      <w:pPr>
        <w:pStyle w:val="ListParagraph"/>
        <w:numPr>
          <w:ilvl w:val="1"/>
          <w:numId w:val="31"/>
        </w:numPr>
      </w:pPr>
      <w:r>
        <w:t>The direct costs of calls over satellite were raised as an issue</w:t>
      </w:r>
      <w:r w:rsidR="007B617F">
        <w:t>, especially when put on hold waiting to speak to a customer service representative</w:t>
      </w:r>
      <w:r>
        <w:t xml:space="preserve">. </w:t>
      </w:r>
    </w:p>
    <w:p w:rsidR="0074345D" w:rsidRDefault="0074345D" w:rsidP="007B617F">
      <w:pPr>
        <w:pStyle w:val="ListParagraph"/>
        <w:numPr>
          <w:ilvl w:val="1"/>
          <w:numId w:val="31"/>
        </w:numPr>
      </w:pPr>
      <w:r>
        <w:t xml:space="preserve">The broader costs to the community sector who often dedicate resources waiting on the phone were highlighted as being another source of loss. </w:t>
      </w:r>
    </w:p>
    <w:p w:rsidR="007B617F" w:rsidRDefault="003418C5" w:rsidP="007B617F">
      <w:pPr>
        <w:pStyle w:val="ListParagraph"/>
        <w:numPr>
          <w:ilvl w:val="1"/>
          <w:numId w:val="31"/>
        </w:numPr>
      </w:pPr>
      <w:r>
        <w:t>The costs for consumes of searching for information in complex markets like telco were also noted as being significant.</w:t>
      </w:r>
    </w:p>
    <w:p w:rsidR="007B617F" w:rsidRDefault="007B617F" w:rsidP="007B617F">
      <w:r>
        <w:t>Suggestions for ACCAN’s research focus in 2019-20 were:</w:t>
      </w:r>
    </w:p>
    <w:p w:rsidR="00ED5DF7" w:rsidRDefault="003418C5" w:rsidP="007B617F">
      <w:pPr>
        <w:pStyle w:val="ListParagraph"/>
        <w:numPr>
          <w:ilvl w:val="0"/>
          <w:numId w:val="31"/>
        </w:numPr>
      </w:pPr>
      <w:r>
        <w:t>A benchmark report</w:t>
      </w:r>
      <w:r w:rsidR="0074345D">
        <w:t xml:space="preserve"> on </w:t>
      </w:r>
      <w:proofErr w:type="spellStart"/>
      <w:r>
        <w:t>t</w:t>
      </w:r>
      <w:r w:rsidR="00393166">
        <w:t>elcos</w:t>
      </w:r>
      <w:proofErr w:type="spellEnd"/>
      <w:r>
        <w:t>’</w:t>
      </w:r>
      <w:r w:rsidR="0074345D">
        <w:t xml:space="preserve"> </w:t>
      </w:r>
      <w:r>
        <w:t xml:space="preserve">approach to financial hardship on a national level </w:t>
      </w:r>
      <w:r w:rsidR="0074345D">
        <w:t xml:space="preserve">was </w:t>
      </w:r>
      <w:r w:rsidR="007B617F">
        <w:t xml:space="preserve">flagged </w:t>
      </w:r>
      <w:r w:rsidR="0074345D">
        <w:t xml:space="preserve">as a worthwhile activity, </w:t>
      </w:r>
      <w:r>
        <w:t xml:space="preserve">modelled on the 2017 </w:t>
      </w:r>
      <w:r w:rsidR="007B617F">
        <w:t>R</w:t>
      </w:r>
      <w:r>
        <w:t>ank</w:t>
      </w:r>
      <w:r w:rsidR="0074345D">
        <w:t xml:space="preserve"> the </w:t>
      </w:r>
      <w:r w:rsidR="00393166">
        <w:t>Telcos</w:t>
      </w:r>
      <w:r w:rsidR="0074345D">
        <w:t xml:space="preserve"> report. </w:t>
      </w:r>
    </w:p>
    <w:p w:rsidR="007B617F" w:rsidRDefault="003418C5" w:rsidP="007B617F">
      <w:pPr>
        <w:pStyle w:val="ListParagraph"/>
        <w:numPr>
          <w:ilvl w:val="0"/>
          <w:numId w:val="31"/>
        </w:numPr>
      </w:pPr>
      <w:r>
        <w:t>A</w:t>
      </w:r>
      <w:r w:rsidR="007B617F">
        <w:t xml:space="preserve"> study of the number of people given a bad credit rating as a result of telco debt, to provide an evidence base for a rethink of credit assessments by telco retailers, as well as a study to establish the number of people in financial hardship and credit management. </w:t>
      </w:r>
    </w:p>
    <w:p w:rsidR="007B617F" w:rsidRPr="007B617F" w:rsidRDefault="007B617F" w:rsidP="007B617F">
      <w:pPr>
        <w:pStyle w:val="ListParagraph"/>
        <w:numPr>
          <w:ilvl w:val="0"/>
          <w:numId w:val="31"/>
        </w:numPr>
      </w:pPr>
      <w:r>
        <w:t xml:space="preserve">Another suggestion was for a study to establish what </w:t>
      </w:r>
      <w:proofErr w:type="gramStart"/>
      <w:r>
        <w:t>percentage of consumers were</w:t>
      </w:r>
      <w:proofErr w:type="gramEnd"/>
      <w:r>
        <w:t xml:space="preserve"> paying their telco bills using payday loans. </w:t>
      </w:r>
    </w:p>
    <w:p w:rsidR="00ED5DF7" w:rsidRDefault="00ED5DF7" w:rsidP="003418C5">
      <w:pPr>
        <w:pStyle w:val="Heading1"/>
        <w:rPr>
          <w:lang w:eastAsia="en-US"/>
        </w:rPr>
      </w:pPr>
      <w:r>
        <w:rPr>
          <w:lang w:eastAsia="en-US"/>
        </w:rPr>
        <w:t>Priorities</w:t>
      </w:r>
      <w:r w:rsidR="003418C5">
        <w:rPr>
          <w:lang w:eastAsia="en-US"/>
        </w:rPr>
        <w:t xml:space="preserve"> and future policy directions</w:t>
      </w:r>
      <w:r w:rsidR="00E05F11">
        <w:rPr>
          <w:lang w:eastAsia="en-US"/>
        </w:rPr>
        <w:t xml:space="preserve"> </w:t>
      </w:r>
    </w:p>
    <w:p w:rsidR="00F67224" w:rsidRDefault="00F67224" w:rsidP="00C33FAC">
      <w:pPr>
        <w:pStyle w:val="ListParagraph"/>
        <w:rPr>
          <w:lang w:eastAsia="en-US"/>
        </w:rPr>
      </w:pPr>
    </w:p>
    <w:p w:rsidR="00ED5DF7" w:rsidRDefault="003F0B0E" w:rsidP="003F0B0E">
      <w:pPr>
        <w:pStyle w:val="ListParagraph"/>
        <w:numPr>
          <w:ilvl w:val="0"/>
          <w:numId w:val="44"/>
        </w:numPr>
        <w:rPr>
          <w:lang w:eastAsia="en-US"/>
        </w:rPr>
      </w:pPr>
      <w:r w:rsidRPr="003F0B0E">
        <w:rPr>
          <w:b/>
          <w:lang w:eastAsia="en-US"/>
        </w:rPr>
        <w:t>Selling practices and credit issues</w:t>
      </w:r>
      <w:r>
        <w:rPr>
          <w:lang w:eastAsia="en-US"/>
        </w:rPr>
        <w:t xml:space="preserve"> are priority areas, and every opportunity should be taken to push for reforms in the context of the Part C review of Consumer Safeguards, if and when it eventuates.</w:t>
      </w:r>
    </w:p>
    <w:p w:rsidR="003F0B0E" w:rsidRDefault="003F0B0E" w:rsidP="003F0B0E">
      <w:pPr>
        <w:pStyle w:val="ListParagraph"/>
        <w:numPr>
          <w:ilvl w:val="0"/>
          <w:numId w:val="44"/>
        </w:numPr>
        <w:rPr>
          <w:lang w:eastAsia="en-US"/>
        </w:rPr>
      </w:pPr>
      <w:r>
        <w:rPr>
          <w:b/>
          <w:lang w:eastAsia="en-US"/>
        </w:rPr>
        <w:t xml:space="preserve">Regional and remote areas must not be left behind. </w:t>
      </w:r>
      <w:r>
        <w:rPr>
          <w:lang w:eastAsia="en-US"/>
        </w:rPr>
        <w:t xml:space="preserve">There are many shared needs across metro and regional areas. Access to information is critical so regional and remote consumers can navigate the telco market. </w:t>
      </w:r>
    </w:p>
    <w:p w:rsidR="003F0B0E" w:rsidRPr="003F0B0E" w:rsidRDefault="003F0B0E" w:rsidP="003F0B0E">
      <w:pPr>
        <w:pStyle w:val="ListParagraph"/>
        <w:numPr>
          <w:ilvl w:val="0"/>
          <w:numId w:val="44"/>
        </w:numPr>
        <w:rPr>
          <w:lang w:eastAsia="en-US"/>
        </w:rPr>
      </w:pPr>
      <w:r>
        <w:rPr>
          <w:b/>
          <w:lang w:eastAsia="en-US"/>
        </w:rPr>
        <w:t>Support for ACCAN’s work on quantifying consumer loss</w:t>
      </w:r>
      <w:r>
        <w:rPr>
          <w:lang w:eastAsia="en-US"/>
        </w:rPr>
        <w:t xml:space="preserve"> to drive reforms and better consumer outcomes</w:t>
      </w:r>
      <w:r>
        <w:rPr>
          <w:b/>
          <w:lang w:eastAsia="en-US"/>
        </w:rPr>
        <w:t xml:space="preserve">. </w:t>
      </w:r>
    </w:p>
    <w:p w:rsidR="003F0B0E" w:rsidRPr="003F0B0E" w:rsidRDefault="003F0B0E" w:rsidP="003F0B0E">
      <w:pPr>
        <w:pStyle w:val="ListParagraph"/>
        <w:numPr>
          <w:ilvl w:val="0"/>
          <w:numId w:val="44"/>
        </w:numPr>
        <w:rPr>
          <w:lang w:eastAsia="en-US"/>
        </w:rPr>
      </w:pPr>
      <w:r>
        <w:rPr>
          <w:b/>
          <w:lang w:eastAsia="en-US"/>
        </w:rPr>
        <w:t>Improved financial hardship arrangements</w:t>
      </w:r>
    </w:p>
    <w:p w:rsidR="003F0B0E" w:rsidRPr="003F0B0E" w:rsidRDefault="003F0B0E" w:rsidP="003F0B0E">
      <w:pPr>
        <w:pStyle w:val="ListParagraph"/>
        <w:numPr>
          <w:ilvl w:val="0"/>
          <w:numId w:val="44"/>
        </w:numPr>
        <w:rPr>
          <w:lang w:eastAsia="en-US"/>
        </w:rPr>
      </w:pPr>
      <w:r>
        <w:rPr>
          <w:b/>
          <w:lang w:eastAsia="en-US"/>
        </w:rPr>
        <w:t>Better consumer facing information and resources</w:t>
      </w:r>
    </w:p>
    <w:p w:rsidR="003F0B0E" w:rsidRPr="003F0B0E" w:rsidRDefault="003F0B0E" w:rsidP="003F0B0E">
      <w:pPr>
        <w:pStyle w:val="ListParagraph"/>
        <w:numPr>
          <w:ilvl w:val="0"/>
          <w:numId w:val="44"/>
        </w:numPr>
        <w:rPr>
          <w:lang w:eastAsia="en-US"/>
        </w:rPr>
      </w:pPr>
      <w:r>
        <w:rPr>
          <w:b/>
          <w:lang w:eastAsia="en-US"/>
        </w:rPr>
        <w:t>Privacy and security issues are very important for consumers</w:t>
      </w:r>
    </w:p>
    <w:p w:rsidR="003F0B0E" w:rsidRPr="003F0B0E" w:rsidRDefault="003F0B0E" w:rsidP="003F0B0E">
      <w:pPr>
        <w:pStyle w:val="ListParagraph"/>
        <w:numPr>
          <w:ilvl w:val="0"/>
          <w:numId w:val="44"/>
        </w:numPr>
        <w:rPr>
          <w:lang w:eastAsia="en-US"/>
        </w:rPr>
      </w:pPr>
      <w:r>
        <w:rPr>
          <w:b/>
          <w:lang w:eastAsia="en-US"/>
        </w:rPr>
        <w:t>An essential utility framework for telecommunications</w:t>
      </w:r>
    </w:p>
    <w:p w:rsidR="003F0B0E" w:rsidRDefault="003F0B0E" w:rsidP="003F0B0E">
      <w:pPr>
        <w:pStyle w:val="ListParagraph"/>
        <w:numPr>
          <w:ilvl w:val="0"/>
          <w:numId w:val="44"/>
        </w:numPr>
        <w:rPr>
          <w:lang w:eastAsia="en-US"/>
        </w:rPr>
      </w:pPr>
      <w:r>
        <w:rPr>
          <w:b/>
          <w:lang w:eastAsia="en-US"/>
        </w:rPr>
        <w:t>Embedded networks that limit consumer choice</w:t>
      </w:r>
    </w:p>
    <w:p w:rsidR="00170CA0" w:rsidRPr="004B7D6F" w:rsidRDefault="00170CA0" w:rsidP="00C33FAC">
      <w:pPr>
        <w:spacing w:after="0"/>
        <w:rPr>
          <w:lang w:eastAsia="en-US"/>
        </w:rPr>
      </w:pPr>
    </w:p>
    <w:p w:rsidR="00FA08A2" w:rsidRPr="00FA08A2" w:rsidRDefault="00422C23" w:rsidP="00C33FAC">
      <w:pPr>
        <w:pStyle w:val="Heading1"/>
        <w:spacing w:before="0"/>
      </w:pPr>
      <w:r w:rsidRPr="00CF5FC4">
        <w:t>Conclusion</w:t>
      </w:r>
    </w:p>
    <w:p w:rsidR="00E10576" w:rsidRPr="00C75517" w:rsidRDefault="00D22014" w:rsidP="00E10576">
      <w:r w:rsidRPr="00F03A0E">
        <w:t>The feedback and suggestions</w:t>
      </w:r>
      <w:r w:rsidR="00E10576" w:rsidRPr="00E10576">
        <w:t xml:space="preserve"> </w:t>
      </w:r>
      <w:r w:rsidR="00E10576" w:rsidRPr="00C75517">
        <w:t xml:space="preserve">made at the </w:t>
      </w:r>
      <w:r w:rsidR="00E10576">
        <w:t xml:space="preserve">Members </w:t>
      </w:r>
      <w:r w:rsidR="00E10576" w:rsidRPr="00C75517">
        <w:t>Advisory Forum will be used to inform ACC</w:t>
      </w:r>
      <w:r w:rsidR="003E1D5D">
        <w:t xml:space="preserve">AN’s future policy priorities, </w:t>
      </w:r>
      <w:r w:rsidR="00E10576" w:rsidRPr="00C75517">
        <w:t xml:space="preserve">operations plan and research activity plan. These will be circulated to members of the Forum when finalised. </w:t>
      </w:r>
    </w:p>
    <w:p w:rsidR="00E10576" w:rsidRPr="00C75517" w:rsidRDefault="00E10576" w:rsidP="00E10576">
      <w:pPr>
        <w:rPr>
          <w:rFonts w:cstheme="minorHAnsi"/>
        </w:rPr>
      </w:pPr>
      <w:r w:rsidRPr="00C75517">
        <w:t>ACCAN CEO, Teresa Corbin, thank</w:t>
      </w:r>
      <w:r w:rsidR="00165002">
        <w:t>ed</w:t>
      </w:r>
      <w:r w:rsidRPr="00C75517">
        <w:t xml:space="preserve"> the </w:t>
      </w:r>
      <w:r>
        <w:t>M</w:t>
      </w:r>
      <w:r w:rsidRPr="00C75517">
        <w:t xml:space="preserve">AF </w:t>
      </w:r>
      <w:r w:rsidR="00FA08A2">
        <w:t>attendees</w:t>
      </w:r>
      <w:r w:rsidR="00FA08A2" w:rsidRPr="00C75517">
        <w:t xml:space="preserve"> </w:t>
      </w:r>
      <w:r w:rsidRPr="00C75517">
        <w:t>for their time and valuable contributions.</w:t>
      </w:r>
    </w:p>
    <w:p w:rsidR="00345DBC" w:rsidRPr="009E217D" w:rsidRDefault="00345DBC" w:rsidP="00E10576">
      <w:pPr>
        <w:rPr>
          <w:rFonts w:cstheme="minorHAnsi"/>
        </w:rPr>
      </w:pPr>
    </w:p>
    <w:sectPr w:rsidR="00345DBC" w:rsidRPr="009E217D" w:rsidSect="00D43B58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D4" w:rsidRDefault="00FC26D4" w:rsidP="00D43B58">
      <w:pPr>
        <w:spacing w:after="0" w:line="240" w:lineRule="auto"/>
      </w:pPr>
      <w:r>
        <w:separator/>
      </w:r>
    </w:p>
  </w:endnote>
  <w:endnote w:type="continuationSeparator" w:id="0">
    <w:p w:rsidR="00FC26D4" w:rsidRDefault="00FC26D4" w:rsidP="00D4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640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B59" w:rsidRDefault="009F6B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B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52FA" w:rsidRDefault="005A5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D4" w:rsidRDefault="00FC26D4" w:rsidP="00D43B58">
      <w:pPr>
        <w:spacing w:after="0" w:line="240" w:lineRule="auto"/>
      </w:pPr>
      <w:r>
        <w:separator/>
      </w:r>
    </w:p>
  </w:footnote>
  <w:footnote w:type="continuationSeparator" w:id="0">
    <w:p w:rsidR="00FC26D4" w:rsidRDefault="00FC26D4" w:rsidP="00D4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FA" w:rsidRDefault="005A52FA" w:rsidP="00D43B58">
    <w:pPr>
      <w:pStyle w:val="Header"/>
      <w:tabs>
        <w:tab w:val="left" w:pos="1524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FA" w:rsidRDefault="005A52FA" w:rsidP="00D43B58">
    <w:pPr>
      <w:pStyle w:val="Header"/>
      <w:tabs>
        <w:tab w:val="clear" w:pos="4513"/>
        <w:tab w:val="clear" w:pos="9026"/>
        <w:tab w:val="left" w:pos="3349"/>
      </w:tabs>
      <w:jc w:val="center"/>
    </w:pPr>
    <w:r>
      <w:rPr>
        <w:noProof/>
      </w:rPr>
      <w:drawing>
        <wp:inline distT="0" distB="0" distL="0" distR="0">
          <wp:extent cx="3057525" cy="1581150"/>
          <wp:effectExtent l="0" t="0" r="0" b="0"/>
          <wp:docPr id="6" name="Picture 13" descr="ACCAN_logo_BLUE_viewing_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CCAN_logo_BLUE_viewing_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E36"/>
    <w:multiLevelType w:val="hybridMultilevel"/>
    <w:tmpl w:val="61E8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440F0"/>
    <w:multiLevelType w:val="hybridMultilevel"/>
    <w:tmpl w:val="17FC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62F3"/>
    <w:multiLevelType w:val="hybridMultilevel"/>
    <w:tmpl w:val="BF58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4A53"/>
    <w:multiLevelType w:val="hybridMultilevel"/>
    <w:tmpl w:val="44F8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73B86"/>
    <w:multiLevelType w:val="hybridMultilevel"/>
    <w:tmpl w:val="9ADA3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9D588D"/>
    <w:multiLevelType w:val="hybridMultilevel"/>
    <w:tmpl w:val="BE3A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B2EEA"/>
    <w:multiLevelType w:val="hybridMultilevel"/>
    <w:tmpl w:val="1548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515E2"/>
    <w:multiLevelType w:val="hybridMultilevel"/>
    <w:tmpl w:val="4240F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1010"/>
    <w:multiLevelType w:val="hybridMultilevel"/>
    <w:tmpl w:val="70E21F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C4C49"/>
    <w:multiLevelType w:val="hybridMultilevel"/>
    <w:tmpl w:val="7DF8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B558F"/>
    <w:multiLevelType w:val="hybridMultilevel"/>
    <w:tmpl w:val="4732C2E2"/>
    <w:lvl w:ilvl="0" w:tplc="5CE2D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792D24"/>
    <w:multiLevelType w:val="hybridMultilevel"/>
    <w:tmpl w:val="D7CEB7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0235C"/>
    <w:multiLevelType w:val="hybridMultilevel"/>
    <w:tmpl w:val="5FE2B7F4"/>
    <w:lvl w:ilvl="0" w:tplc="5CE2D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463F48"/>
    <w:multiLevelType w:val="hybridMultilevel"/>
    <w:tmpl w:val="C5607224"/>
    <w:lvl w:ilvl="0" w:tplc="5CE2D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9A01B9"/>
    <w:multiLevelType w:val="hybridMultilevel"/>
    <w:tmpl w:val="929E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50C80"/>
    <w:multiLevelType w:val="hybridMultilevel"/>
    <w:tmpl w:val="0488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23CA7"/>
    <w:multiLevelType w:val="hybridMultilevel"/>
    <w:tmpl w:val="799E0A50"/>
    <w:lvl w:ilvl="0" w:tplc="5CE2D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825A7E"/>
    <w:multiLevelType w:val="hybridMultilevel"/>
    <w:tmpl w:val="CE38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5713E"/>
    <w:multiLevelType w:val="hybridMultilevel"/>
    <w:tmpl w:val="E0A4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30AB6"/>
    <w:multiLevelType w:val="hybridMultilevel"/>
    <w:tmpl w:val="1864FF0A"/>
    <w:lvl w:ilvl="0" w:tplc="5CE2D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2F00DB"/>
    <w:multiLevelType w:val="hybridMultilevel"/>
    <w:tmpl w:val="F24E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8228C"/>
    <w:multiLevelType w:val="hybridMultilevel"/>
    <w:tmpl w:val="0FC2D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827F2C"/>
    <w:multiLevelType w:val="hybridMultilevel"/>
    <w:tmpl w:val="2ABC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539AF"/>
    <w:multiLevelType w:val="hybridMultilevel"/>
    <w:tmpl w:val="202E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E4376"/>
    <w:multiLevelType w:val="hybridMultilevel"/>
    <w:tmpl w:val="89C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97C16"/>
    <w:multiLevelType w:val="hybridMultilevel"/>
    <w:tmpl w:val="FAB0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52AA2"/>
    <w:multiLevelType w:val="hybridMultilevel"/>
    <w:tmpl w:val="A11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F0C12"/>
    <w:multiLevelType w:val="hybridMultilevel"/>
    <w:tmpl w:val="8582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13435"/>
    <w:multiLevelType w:val="hybridMultilevel"/>
    <w:tmpl w:val="61905E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CA4714"/>
    <w:multiLevelType w:val="hybridMultilevel"/>
    <w:tmpl w:val="F602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50E0D"/>
    <w:multiLevelType w:val="hybridMultilevel"/>
    <w:tmpl w:val="5BE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C558C"/>
    <w:multiLevelType w:val="hybridMultilevel"/>
    <w:tmpl w:val="274AB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0E47F9"/>
    <w:multiLevelType w:val="hybridMultilevel"/>
    <w:tmpl w:val="9B08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16BFD"/>
    <w:multiLevelType w:val="hybridMultilevel"/>
    <w:tmpl w:val="3D30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22FDD"/>
    <w:multiLevelType w:val="hybridMultilevel"/>
    <w:tmpl w:val="E47E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C037E"/>
    <w:multiLevelType w:val="hybridMultilevel"/>
    <w:tmpl w:val="678CFB6C"/>
    <w:lvl w:ilvl="0" w:tplc="5CE2D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32085A"/>
    <w:multiLevelType w:val="hybridMultilevel"/>
    <w:tmpl w:val="C49A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D6A39"/>
    <w:multiLevelType w:val="hybridMultilevel"/>
    <w:tmpl w:val="037E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21910"/>
    <w:multiLevelType w:val="hybridMultilevel"/>
    <w:tmpl w:val="4A78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57807"/>
    <w:multiLevelType w:val="hybridMultilevel"/>
    <w:tmpl w:val="F2EE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D7AC9"/>
    <w:multiLevelType w:val="hybridMultilevel"/>
    <w:tmpl w:val="894C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E0D27"/>
    <w:multiLevelType w:val="hybridMultilevel"/>
    <w:tmpl w:val="96EA1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8248D7"/>
    <w:multiLevelType w:val="hybridMultilevel"/>
    <w:tmpl w:val="424E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B72E3"/>
    <w:multiLevelType w:val="hybridMultilevel"/>
    <w:tmpl w:val="7554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8"/>
  </w:num>
  <w:num w:numId="4">
    <w:abstractNumId w:val="12"/>
  </w:num>
  <w:num w:numId="5">
    <w:abstractNumId w:val="35"/>
  </w:num>
  <w:num w:numId="6">
    <w:abstractNumId w:val="10"/>
  </w:num>
  <w:num w:numId="7">
    <w:abstractNumId w:val="36"/>
  </w:num>
  <w:num w:numId="8">
    <w:abstractNumId w:val="13"/>
  </w:num>
  <w:num w:numId="9">
    <w:abstractNumId w:val="16"/>
  </w:num>
  <w:num w:numId="10">
    <w:abstractNumId w:val="19"/>
  </w:num>
  <w:num w:numId="11">
    <w:abstractNumId w:val="25"/>
  </w:num>
  <w:num w:numId="12">
    <w:abstractNumId w:val="6"/>
  </w:num>
  <w:num w:numId="13">
    <w:abstractNumId w:val="39"/>
  </w:num>
  <w:num w:numId="14">
    <w:abstractNumId w:val="30"/>
  </w:num>
  <w:num w:numId="15">
    <w:abstractNumId w:val="31"/>
  </w:num>
  <w:num w:numId="16">
    <w:abstractNumId w:val="41"/>
  </w:num>
  <w:num w:numId="17">
    <w:abstractNumId w:val="0"/>
  </w:num>
  <w:num w:numId="18">
    <w:abstractNumId w:val="21"/>
  </w:num>
  <w:num w:numId="19">
    <w:abstractNumId w:val="20"/>
  </w:num>
  <w:num w:numId="20">
    <w:abstractNumId w:val="9"/>
  </w:num>
  <w:num w:numId="21">
    <w:abstractNumId w:val="24"/>
  </w:num>
  <w:num w:numId="22">
    <w:abstractNumId w:val="38"/>
  </w:num>
  <w:num w:numId="23">
    <w:abstractNumId w:val="3"/>
  </w:num>
  <w:num w:numId="24">
    <w:abstractNumId w:val="27"/>
  </w:num>
  <w:num w:numId="25">
    <w:abstractNumId w:val="2"/>
  </w:num>
  <w:num w:numId="26">
    <w:abstractNumId w:val="42"/>
  </w:num>
  <w:num w:numId="27">
    <w:abstractNumId w:val="32"/>
  </w:num>
  <w:num w:numId="28">
    <w:abstractNumId w:val="1"/>
  </w:num>
  <w:num w:numId="29">
    <w:abstractNumId w:val="23"/>
  </w:num>
  <w:num w:numId="30">
    <w:abstractNumId w:val="4"/>
  </w:num>
  <w:num w:numId="31">
    <w:abstractNumId w:val="40"/>
  </w:num>
  <w:num w:numId="32">
    <w:abstractNumId w:val="33"/>
  </w:num>
  <w:num w:numId="33">
    <w:abstractNumId w:val="17"/>
  </w:num>
  <w:num w:numId="34">
    <w:abstractNumId w:val="43"/>
  </w:num>
  <w:num w:numId="35">
    <w:abstractNumId w:val="26"/>
  </w:num>
  <w:num w:numId="36">
    <w:abstractNumId w:val="22"/>
  </w:num>
  <w:num w:numId="37">
    <w:abstractNumId w:val="29"/>
  </w:num>
  <w:num w:numId="38">
    <w:abstractNumId w:val="34"/>
  </w:num>
  <w:num w:numId="39">
    <w:abstractNumId w:val="37"/>
  </w:num>
  <w:num w:numId="40">
    <w:abstractNumId w:val="7"/>
  </w:num>
  <w:num w:numId="41">
    <w:abstractNumId w:val="5"/>
  </w:num>
  <w:num w:numId="42">
    <w:abstractNumId w:val="18"/>
  </w:num>
  <w:num w:numId="43">
    <w:abstractNumId w:val="14"/>
  </w:num>
  <w:num w:numId="4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1"/>
    <w:rsid w:val="00002C1E"/>
    <w:rsid w:val="00003DE4"/>
    <w:rsid w:val="00007AE2"/>
    <w:rsid w:val="00025BAA"/>
    <w:rsid w:val="00030E9C"/>
    <w:rsid w:val="000432D9"/>
    <w:rsid w:val="000436E4"/>
    <w:rsid w:val="00053F69"/>
    <w:rsid w:val="00056109"/>
    <w:rsid w:val="00060DF6"/>
    <w:rsid w:val="000612DF"/>
    <w:rsid w:val="00061C6D"/>
    <w:rsid w:val="0006218A"/>
    <w:rsid w:val="00063CAB"/>
    <w:rsid w:val="000654C6"/>
    <w:rsid w:val="00067F1D"/>
    <w:rsid w:val="00070D4E"/>
    <w:rsid w:val="00074ADC"/>
    <w:rsid w:val="00080E1C"/>
    <w:rsid w:val="0008336A"/>
    <w:rsid w:val="000904D1"/>
    <w:rsid w:val="000908E5"/>
    <w:rsid w:val="00090CE7"/>
    <w:rsid w:val="00093ACF"/>
    <w:rsid w:val="000B61BB"/>
    <w:rsid w:val="000B7425"/>
    <w:rsid w:val="000C50AF"/>
    <w:rsid w:val="000D24B5"/>
    <w:rsid w:val="000D6AC6"/>
    <w:rsid w:val="000E5C9B"/>
    <w:rsid w:val="000E60CB"/>
    <w:rsid w:val="000E6DA3"/>
    <w:rsid w:val="000E7B37"/>
    <w:rsid w:val="000F0DA4"/>
    <w:rsid w:val="000F3F27"/>
    <w:rsid w:val="001009F9"/>
    <w:rsid w:val="00102D71"/>
    <w:rsid w:val="00121EDC"/>
    <w:rsid w:val="001404E0"/>
    <w:rsid w:val="00145CAA"/>
    <w:rsid w:val="00147BD5"/>
    <w:rsid w:val="001577E9"/>
    <w:rsid w:val="00165002"/>
    <w:rsid w:val="00170CA0"/>
    <w:rsid w:val="001744C7"/>
    <w:rsid w:val="001814AE"/>
    <w:rsid w:val="001828EF"/>
    <w:rsid w:val="00187A11"/>
    <w:rsid w:val="00195712"/>
    <w:rsid w:val="00195F6A"/>
    <w:rsid w:val="00196E66"/>
    <w:rsid w:val="001A34DD"/>
    <w:rsid w:val="001B4E30"/>
    <w:rsid w:val="001C453B"/>
    <w:rsid w:val="001F0E01"/>
    <w:rsid w:val="001F3485"/>
    <w:rsid w:val="00204F86"/>
    <w:rsid w:val="00207983"/>
    <w:rsid w:val="002160FF"/>
    <w:rsid w:val="0022265F"/>
    <w:rsid w:val="00223D44"/>
    <w:rsid w:val="00225171"/>
    <w:rsid w:val="00231CC2"/>
    <w:rsid w:val="002416D3"/>
    <w:rsid w:val="002428CE"/>
    <w:rsid w:val="00244EAC"/>
    <w:rsid w:val="002478AE"/>
    <w:rsid w:val="00251FF8"/>
    <w:rsid w:val="00260FDB"/>
    <w:rsid w:val="00262088"/>
    <w:rsid w:val="00265833"/>
    <w:rsid w:val="0027093C"/>
    <w:rsid w:val="00272BC5"/>
    <w:rsid w:val="00284062"/>
    <w:rsid w:val="002A2885"/>
    <w:rsid w:val="002A48D8"/>
    <w:rsid w:val="002B11C5"/>
    <w:rsid w:val="002B54F5"/>
    <w:rsid w:val="002C6604"/>
    <w:rsid w:val="002D16A2"/>
    <w:rsid w:val="002D2B0A"/>
    <w:rsid w:val="002D33EF"/>
    <w:rsid w:val="002D6700"/>
    <w:rsid w:val="002D754D"/>
    <w:rsid w:val="002E5306"/>
    <w:rsid w:val="002F0798"/>
    <w:rsid w:val="00307F6A"/>
    <w:rsid w:val="00312BAC"/>
    <w:rsid w:val="003166B0"/>
    <w:rsid w:val="00320205"/>
    <w:rsid w:val="003328B0"/>
    <w:rsid w:val="00335E28"/>
    <w:rsid w:val="003418C5"/>
    <w:rsid w:val="00345261"/>
    <w:rsid w:val="00345DBC"/>
    <w:rsid w:val="003538BF"/>
    <w:rsid w:val="00353975"/>
    <w:rsid w:val="00354CB4"/>
    <w:rsid w:val="00356101"/>
    <w:rsid w:val="00362593"/>
    <w:rsid w:val="00377B35"/>
    <w:rsid w:val="00377B72"/>
    <w:rsid w:val="0039255F"/>
    <w:rsid w:val="00393166"/>
    <w:rsid w:val="00394B61"/>
    <w:rsid w:val="003A1202"/>
    <w:rsid w:val="003B199C"/>
    <w:rsid w:val="003B5416"/>
    <w:rsid w:val="003B5938"/>
    <w:rsid w:val="003B5A14"/>
    <w:rsid w:val="003B7336"/>
    <w:rsid w:val="003C1F06"/>
    <w:rsid w:val="003C26A4"/>
    <w:rsid w:val="003D1036"/>
    <w:rsid w:val="003D39EE"/>
    <w:rsid w:val="003D3F5A"/>
    <w:rsid w:val="003E1D5D"/>
    <w:rsid w:val="003E3C33"/>
    <w:rsid w:val="003F0B0E"/>
    <w:rsid w:val="003F70C5"/>
    <w:rsid w:val="00405200"/>
    <w:rsid w:val="004153EB"/>
    <w:rsid w:val="00422C23"/>
    <w:rsid w:val="004236C1"/>
    <w:rsid w:val="00430786"/>
    <w:rsid w:val="00431DE6"/>
    <w:rsid w:val="00433EB5"/>
    <w:rsid w:val="004366A9"/>
    <w:rsid w:val="0044277E"/>
    <w:rsid w:val="00446774"/>
    <w:rsid w:val="00447A94"/>
    <w:rsid w:val="00464F0C"/>
    <w:rsid w:val="00470815"/>
    <w:rsid w:val="00477A4B"/>
    <w:rsid w:val="00482DF5"/>
    <w:rsid w:val="0049796E"/>
    <w:rsid w:val="00497CEC"/>
    <w:rsid w:val="004A5874"/>
    <w:rsid w:val="004B5675"/>
    <w:rsid w:val="004B7D6F"/>
    <w:rsid w:val="004C0457"/>
    <w:rsid w:val="004C7B36"/>
    <w:rsid w:val="004D26E9"/>
    <w:rsid w:val="004D724E"/>
    <w:rsid w:val="00501BE2"/>
    <w:rsid w:val="00503626"/>
    <w:rsid w:val="00506D04"/>
    <w:rsid w:val="00506DA6"/>
    <w:rsid w:val="00512F44"/>
    <w:rsid w:val="0052261D"/>
    <w:rsid w:val="00522AFB"/>
    <w:rsid w:val="00527366"/>
    <w:rsid w:val="00531E2E"/>
    <w:rsid w:val="0053655F"/>
    <w:rsid w:val="00536ECB"/>
    <w:rsid w:val="00545D35"/>
    <w:rsid w:val="00555067"/>
    <w:rsid w:val="0056127B"/>
    <w:rsid w:val="0056657B"/>
    <w:rsid w:val="00585649"/>
    <w:rsid w:val="00592AF4"/>
    <w:rsid w:val="00596EA5"/>
    <w:rsid w:val="005A2CAF"/>
    <w:rsid w:val="005A52FA"/>
    <w:rsid w:val="005B2269"/>
    <w:rsid w:val="005B4560"/>
    <w:rsid w:val="005B7DD9"/>
    <w:rsid w:val="005B7F10"/>
    <w:rsid w:val="005D102D"/>
    <w:rsid w:val="005D4E33"/>
    <w:rsid w:val="005E1DC6"/>
    <w:rsid w:val="005E32EA"/>
    <w:rsid w:val="005E3FC6"/>
    <w:rsid w:val="005E67A7"/>
    <w:rsid w:val="005F5A29"/>
    <w:rsid w:val="005F5C95"/>
    <w:rsid w:val="00600E99"/>
    <w:rsid w:val="00614BD5"/>
    <w:rsid w:val="00617082"/>
    <w:rsid w:val="00626FC7"/>
    <w:rsid w:val="00627DAA"/>
    <w:rsid w:val="00635CAC"/>
    <w:rsid w:val="006361B8"/>
    <w:rsid w:val="00644922"/>
    <w:rsid w:val="00644FD2"/>
    <w:rsid w:val="00647898"/>
    <w:rsid w:val="00652AD3"/>
    <w:rsid w:val="00671D0F"/>
    <w:rsid w:val="00673541"/>
    <w:rsid w:val="00676ED9"/>
    <w:rsid w:val="0067729F"/>
    <w:rsid w:val="006840DD"/>
    <w:rsid w:val="00686750"/>
    <w:rsid w:val="006876E3"/>
    <w:rsid w:val="00695115"/>
    <w:rsid w:val="006A0D83"/>
    <w:rsid w:val="006A2C12"/>
    <w:rsid w:val="006A2EE1"/>
    <w:rsid w:val="006A379F"/>
    <w:rsid w:val="006A6C47"/>
    <w:rsid w:val="006A7C2B"/>
    <w:rsid w:val="006B19B9"/>
    <w:rsid w:val="006B4A2C"/>
    <w:rsid w:val="006B7C0C"/>
    <w:rsid w:val="006C6AFA"/>
    <w:rsid w:val="006E1EF5"/>
    <w:rsid w:val="006F0911"/>
    <w:rsid w:val="006F4FCB"/>
    <w:rsid w:val="006F5667"/>
    <w:rsid w:val="006F7A83"/>
    <w:rsid w:val="006F7F0E"/>
    <w:rsid w:val="007117A7"/>
    <w:rsid w:val="00711F8B"/>
    <w:rsid w:val="00714916"/>
    <w:rsid w:val="00714FDC"/>
    <w:rsid w:val="00720370"/>
    <w:rsid w:val="007253C3"/>
    <w:rsid w:val="00732C72"/>
    <w:rsid w:val="00732DA3"/>
    <w:rsid w:val="007406C7"/>
    <w:rsid w:val="00742F23"/>
    <w:rsid w:val="0074345D"/>
    <w:rsid w:val="007672F9"/>
    <w:rsid w:val="00775FDB"/>
    <w:rsid w:val="0078153E"/>
    <w:rsid w:val="007A0F32"/>
    <w:rsid w:val="007A53AC"/>
    <w:rsid w:val="007A7402"/>
    <w:rsid w:val="007B02B4"/>
    <w:rsid w:val="007B617F"/>
    <w:rsid w:val="007D4AB8"/>
    <w:rsid w:val="007D51D3"/>
    <w:rsid w:val="007E478E"/>
    <w:rsid w:val="0080155E"/>
    <w:rsid w:val="00804BBF"/>
    <w:rsid w:val="00827571"/>
    <w:rsid w:val="00843D93"/>
    <w:rsid w:val="00844EA2"/>
    <w:rsid w:val="0084649C"/>
    <w:rsid w:val="008470C2"/>
    <w:rsid w:val="00850C72"/>
    <w:rsid w:val="00851C62"/>
    <w:rsid w:val="0087471A"/>
    <w:rsid w:val="0089295D"/>
    <w:rsid w:val="00895771"/>
    <w:rsid w:val="00895961"/>
    <w:rsid w:val="008A1C18"/>
    <w:rsid w:val="008A3D6B"/>
    <w:rsid w:val="008A68AC"/>
    <w:rsid w:val="008B10CD"/>
    <w:rsid w:val="008B4B3E"/>
    <w:rsid w:val="008B4DB2"/>
    <w:rsid w:val="008B58BC"/>
    <w:rsid w:val="008C46D2"/>
    <w:rsid w:val="008C6189"/>
    <w:rsid w:val="008D43DB"/>
    <w:rsid w:val="008D6F5D"/>
    <w:rsid w:val="008E0970"/>
    <w:rsid w:val="008E4ECD"/>
    <w:rsid w:val="008F0A11"/>
    <w:rsid w:val="008F1CB2"/>
    <w:rsid w:val="008F2582"/>
    <w:rsid w:val="008F5DA5"/>
    <w:rsid w:val="0090745D"/>
    <w:rsid w:val="00911C84"/>
    <w:rsid w:val="00920686"/>
    <w:rsid w:val="00927C0F"/>
    <w:rsid w:val="00931F19"/>
    <w:rsid w:val="009377F5"/>
    <w:rsid w:val="00937AB6"/>
    <w:rsid w:val="00946B98"/>
    <w:rsid w:val="009527C5"/>
    <w:rsid w:val="00961493"/>
    <w:rsid w:val="0097401D"/>
    <w:rsid w:val="00981C50"/>
    <w:rsid w:val="0098586B"/>
    <w:rsid w:val="00990A6A"/>
    <w:rsid w:val="00991649"/>
    <w:rsid w:val="009A3D2F"/>
    <w:rsid w:val="009A719D"/>
    <w:rsid w:val="009D0AB0"/>
    <w:rsid w:val="009D0D60"/>
    <w:rsid w:val="009D6E90"/>
    <w:rsid w:val="009E05B8"/>
    <w:rsid w:val="009E197A"/>
    <w:rsid w:val="009E217D"/>
    <w:rsid w:val="009E2A84"/>
    <w:rsid w:val="009F019F"/>
    <w:rsid w:val="009F128F"/>
    <w:rsid w:val="009F6B59"/>
    <w:rsid w:val="00A01163"/>
    <w:rsid w:val="00A13144"/>
    <w:rsid w:val="00A13311"/>
    <w:rsid w:val="00A263DE"/>
    <w:rsid w:val="00A345AB"/>
    <w:rsid w:val="00A44F3A"/>
    <w:rsid w:val="00A50D0D"/>
    <w:rsid w:val="00A56F09"/>
    <w:rsid w:val="00A629CB"/>
    <w:rsid w:val="00A636A8"/>
    <w:rsid w:val="00A66616"/>
    <w:rsid w:val="00A67F9D"/>
    <w:rsid w:val="00A70144"/>
    <w:rsid w:val="00A81AD4"/>
    <w:rsid w:val="00A8505F"/>
    <w:rsid w:val="00A92F7D"/>
    <w:rsid w:val="00A979E0"/>
    <w:rsid w:val="00AA04E4"/>
    <w:rsid w:val="00AA482B"/>
    <w:rsid w:val="00AC694D"/>
    <w:rsid w:val="00AC6AB9"/>
    <w:rsid w:val="00AE1382"/>
    <w:rsid w:val="00AE3C42"/>
    <w:rsid w:val="00AE486D"/>
    <w:rsid w:val="00AE7290"/>
    <w:rsid w:val="00AF0D81"/>
    <w:rsid w:val="00AF2421"/>
    <w:rsid w:val="00AF61C6"/>
    <w:rsid w:val="00B012A0"/>
    <w:rsid w:val="00B070CF"/>
    <w:rsid w:val="00B11AF9"/>
    <w:rsid w:val="00B12402"/>
    <w:rsid w:val="00B17DBD"/>
    <w:rsid w:val="00B27640"/>
    <w:rsid w:val="00B31622"/>
    <w:rsid w:val="00B3414D"/>
    <w:rsid w:val="00B36119"/>
    <w:rsid w:val="00B36991"/>
    <w:rsid w:val="00B46041"/>
    <w:rsid w:val="00B52396"/>
    <w:rsid w:val="00B54581"/>
    <w:rsid w:val="00B76B6A"/>
    <w:rsid w:val="00B76BCE"/>
    <w:rsid w:val="00B833E3"/>
    <w:rsid w:val="00B842E0"/>
    <w:rsid w:val="00B86540"/>
    <w:rsid w:val="00BA1FA7"/>
    <w:rsid w:val="00BB0E79"/>
    <w:rsid w:val="00BC5273"/>
    <w:rsid w:val="00BC6732"/>
    <w:rsid w:val="00BD2AB5"/>
    <w:rsid w:val="00BE0CEE"/>
    <w:rsid w:val="00BE0F06"/>
    <w:rsid w:val="00BE120B"/>
    <w:rsid w:val="00BE55CE"/>
    <w:rsid w:val="00BE5F79"/>
    <w:rsid w:val="00BE6FB2"/>
    <w:rsid w:val="00BE708F"/>
    <w:rsid w:val="00BF3182"/>
    <w:rsid w:val="00BF5952"/>
    <w:rsid w:val="00C0694F"/>
    <w:rsid w:val="00C07482"/>
    <w:rsid w:val="00C10097"/>
    <w:rsid w:val="00C201CD"/>
    <w:rsid w:val="00C21229"/>
    <w:rsid w:val="00C21FBE"/>
    <w:rsid w:val="00C33753"/>
    <w:rsid w:val="00C33FAC"/>
    <w:rsid w:val="00C37020"/>
    <w:rsid w:val="00C37310"/>
    <w:rsid w:val="00C37A59"/>
    <w:rsid w:val="00C40B7C"/>
    <w:rsid w:val="00C46171"/>
    <w:rsid w:val="00C5020F"/>
    <w:rsid w:val="00C50266"/>
    <w:rsid w:val="00C80381"/>
    <w:rsid w:val="00C83DA6"/>
    <w:rsid w:val="00C8654A"/>
    <w:rsid w:val="00C91D7F"/>
    <w:rsid w:val="00C93093"/>
    <w:rsid w:val="00C93DBB"/>
    <w:rsid w:val="00CB4538"/>
    <w:rsid w:val="00CC7C49"/>
    <w:rsid w:val="00CD286A"/>
    <w:rsid w:val="00D013D4"/>
    <w:rsid w:val="00D05EB6"/>
    <w:rsid w:val="00D110DC"/>
    <w:rsid w:val="00D22014"/>
    <w:rsid w:val="00D26B34"/>
    <w:rsid w:val="00D33BA9"/>
    <w:rsid w:val="00D354B7"/>
    <w:rsid w:val="00D4054C"/>
    <w:rsid w:val="00D41A7B"/>
    <w:rsid w:val="00D42982"/>
    <w:rsid w:val="00D43B58"/>
    <w:rsid w:val="00D567B9"/>
    <w:rsid w:val="00D678DA"/>
    <w:rsid w:val="00D722CF"/>
    <w:rsid w:val="00D8161C"/>
    <w:rsid w:val="00D82C44"/>
    <w:rsid w:val="00D92036"/>
    <w:rsid w:val="00D92218"/>
    <w:rsid w:val="00D94116"/>
    <w:rsid w:val="00DA141F"/>
    <w:rsid w:val="00DA2A16"/>
    <w:rsid w:val="00DA2E9A"/>
    <w:rsid w:val="00DA519B"/>
    <w:rsid w:val="00DB370F"/>
    <w:rsid w:val="00DB45B5"/>
    <w:rsid w:val="00DB4FF1"/>
    <w:rsid w:val="00DC0E8E"/>
    <w:rsid w:val="00DD1F96"/>
    <w:rsid w:val="00DE016A"/>
    <w:rsid w:val="00DF013C"/>
    <w:rsid w:val="00DF05CB"/>
    <w:rsid w:val="00E0094A"/>
    <w:rsid w:val="00E01883"/>
    <w:rsid w:val="00E029E5"/>
    <w:rsid w:val="00E030EF"/>
    <w:rsid w:val="00E05F11"/>
    <w:rsid w:val="00E0609E"/>
    <w:rsid w:val="00E073C8"/>
    <w:rsid w:val="00E10576"/>
    <w:rsid w:val="00E20927"/>
    <w:rsid w:val="00E331E4"/>
    <w:rsid w:val="00E475A0"/>
    <w:rsid w:val="00E52FC1"/>
    <w:rsid w:val="00E65C36"/>
    <w:rsid w:val="00E6783D"/>
    <w:rsid w:val="00E84961"/>
    <w:rsid w:val="00E97D75"/>
    <w:rsid w:val="00EA2AB7"/>
    <w:rsid w:val="00EA383C"/>
    <w:rsid w:val="00EB3239"/>
    <w:rsid w:val="00EB6008"/>
    <w:rsid w:val="00EC3BC9"/>
    <w:rsid w:val="00ED369D"/>
    <w:rsid w:val="00ED3FD3"/>
    <w:rsid w:val="00ED5DF7"/>
    <w:rsid w:val="00ED6CAD"/>
    <w:rsid w:val="00EE2A5D"/>
    <w:rsid w:val="00EE4594"/>
    <w:rsid w:val="00EE5823"/>
    <w:rsid w:val="00EF45C0"/>
    <w:rsid w:val="00F035F7"/>
    <w:rsid w:val="00F03A0E"/>
    <w:rsid w:val="00F04159"/>
    <w:rsid w:val="00F04A80"/>
    <w:rsid w:val="00F068FF"/>
    <w:rsid w:val="00F130B4"/>
    <w:rsid w:val="00F22B29"/>
    <w:rsid w:val="00F3310F"/>
    <w:rsid w:val="00F406EF"/>
    <w:rsid w:val="00F4567E"/>
    <w:rsid w:val="00F623AF"/>
    <w:rsid w:val="00F62D2C"/>
    <w:rsid w:val="00F63CDC"/>
    <w:rsid w:val="00F64A27"/>
    <w:rsid w:val="00F67224"/>
    <w:rsid w:val="00F6729D"/>
    <w:rsid w:val="00F71924"/>
    <w:rsid w:val="00F72851"/>
    <w:rsid w:val="00F96A4B"/>
    <w:rsid w:val="00FA08A2"/>
    <w:rsid w:val="00FA0CB7"/>
    <w:rsid w:val="00FA1248"/>
    <w:rsid w:val="00FA2B86"/>
    <w:rsid w:val="00FA4143"/>
    <w:rsid w:val="00FB57DD"/>
    <w:rsid w:val="00FB5FEB"/>
    <w:rsid w:val="00FB657B"/>
    <w:rsid w:val="00FC26D4"/>
    <w:rsid w:val="00FC42A3"/>
    <w:rsid w:val="00FC4A37"/>
    <w:rsid w:val="00FC6B72"/>
    <w:rsid w:val="00FC713D"/>
    <w:rsid w:val="00FD46C3"/>
    <w:rsid w:val="00FD70A6"/>
    <w:rsid w:val="00FE23CD"/>
    <w:rsid w:val="00FF2F49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43B58"/>
    <w:pPr>
      <w:keepNext/>
      <w:keepLines/>
      <w:spacing w:before="360" w:after="100" w:afterAutospacing="1"/>
      <w:outlineLvl w:val="1"/>
    </w:pPr>
    <w:rPr>
      <w:rFonts w:ascii="Calibri" w:eastAsiaTheme="majorEastAsia" w:hAnsi="Calibri" w:cstheme="majorBidi"/>
      <w:bCs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58"/>
  </w:style>
  <w:style w:type="paragraph" w:styleId="Footer">
    <w:name w:val="footer"/>
    <w:basedOn w:val="Normal"/>
    <w:link w:val="Foot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58"/>
  </w:style>
  <w:style w:type="paragraph" w:styleId="BalloonText">
    <w:name w:val="Balloon Text"/>
    <w:basedOn w:val="Normal"/>
    <w:link w:val="BalloonTextChar"/>
    <w:uiPriority w:val="99"/>
    <w:semiHidden/>
    <w:unhideWhenUsed/>
    <w:rsid w:val="00D4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43B58"/>
    <w:pPr>
      <w:tabs>
        <w:tab w:val="left" w:pos="567"/>
        <w:tab w:val="left" w:pos="1134"/>
        <w:tab w:val="left" w:pos="1701"/>
        <w:tab w:val="left" w:pos="226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D43B58"/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table" w:styleId="TableGrid">
    <w:name w:val="Table Grid"/>
    <w:basedOn w:val="TableNormal"/>
    <w:uiPriority w:val="59"/>
    <w:rsid w:val="00D4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43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3B58"/>
  </w:style>
  <w:style w:type="character" w:customStyle="1" w:styleId="Heading2Char">
    <w:name w:val="Heading 2 Char"/>
    <w:basedOn w:val="DefaultParagraphFont"/>
    <w:link w:val="Heading2"/>
    <w:uiPriority w:val="9"/>
    <w:rsid w:val="00D43B58"/>
    <w:rPr>
      <w:rFonts w:ascii="Calibri" w:eastAsiaTheme="majorEastAsia" w:hAnsi="Calibri" w:cstheme="majorBidi"/>
      <w:bCs/>
      <w:sz w:val="32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D43B58"/>
    <w:rPr>
      <w:b/>
      <w:i/>
      <w:iCs/>
      <w:sz w:val="28"/>
      <w:szCs w:val="28"/>
    </w:rPr>
  </w:style>
  <w:style w:type="paragraph" w:customStyle="1" w:styleId="NoSpacing1">
    <w:name w:val="No Spacing1"/>
    <w:link w:val="NoSpacingChar"/>
    <w:uiPriority w:val="1"/>
    <w:qFormat/>
    <w:rsid w:val="00D43B5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1"/>
    <w:uiPriority w:val="1"/>
    <w:rsid w:val="00D43B58"/>
    <w:rPr>
      <w:rFonts w:ascii="Calibri" w:eastAsia="SimSun" w:hAnsi="Calibri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36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5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81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1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91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C91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B45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6B98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rsid w:val="00121EDC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31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43B58"/>
    <w:pPr>
      <w:keepNext/>
      <w:keepLines/>
      <w:spacing w:before="360" w:after="100" w:afterAutospacing="1"/>
      <w:outlineLvl w:val="1"/>
    </w:pPr>
    <w:rPr>
      <w:rFonts w:ascii="Calibri" w:eastAsiaTheme="majorEastAsia" w:hAnsi="Calibri" w:cstheme="majorBidi"/>
      <w:bCs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58"/>
  </w:style>
  <w:style w:type="paragraph" w:styleId="Footer">
    <w:name w:val="footer"/>
    <w:basedOn w:val="Normal"/>
    <w:link w:val="Foot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58"/>
  </w:style>
  <w:style w:type="paragraph" w:styleId="BalloonText">
    <w:name w:val="Balloon Text"/>
    <w:basedOn w:val="Normal"/>
    <w:link w:val="BalloonTextChar"/>
    <w:uiPriority w:val="99"/>
    <w:semiHidden/>
    <w:unhideWhenUsed/>
    <w:rsid w:val="00D4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43B58"/>
    <w:pPr>
      <w:tabs>
        <w:tab w:val="left" w:pos="567"/>
        <w:tab w:val="left" w:pos="1134"/>
        <w:tab w:val="left" w:pos="1701"/>
        <w:tab w:val="left" w:pos="226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D43B58"/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table" w:styleId="TableGrid">
    <w:name w:val="Table Grid"/>
    <w:basedOn w:val="TableNormal"/>
    <w:uiPriority w:val="59"/>
    <w:rsid w:val="00D4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43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3B58"/>
  </w:style>
  <w:style w:type="character" w:customStyle="1" w:styleId="Heading2Char">
    <w:name w:val="Heading 2 Char"/>
    <w:basedOn w:val="DefaultParagraphFont"/>
    <w:link w:val="Heading2"/>
    <w:uiPriority w:val="9"/>
    <w:rsid w:val="00D43B58"/>
    <w:rPr>
      <w:rFonts w:ascii="Calibri" w:eastAsiaTheme="majorEastAsia" w:hAnsi="Calibri" w:cstheme="majorBidi"/>
      <w:bCs/>
      <w:sz w:val="32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D43B58"/>
    <w:rPr>
      <w:b/>
      <w:i/>
      <w:iCs/>
      <w:sz w:val="28"/>
      <w:szCs w:val="28"/>
    </w:rPr>
  </w:style>
  <w:style w:type="paragraph" w:customStyle="1" w:styleId="NoSpacing1">
    <w:name w:val="No Spacing1"/>
    <w:link w:val="NoSpacingChar"/>
    <w:uiPriority w:val="1"/>
    <w:qFormat/>
    <w:rsid w:val="00D43B5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1"/>
    <w:uiPriority w:val="1"/>
    <w:rsid w:val="00D43B58"/>
    <w:rPr>
      <w:rFonts w:ascii="Calibri" w:eastAsia="SimSun" w:hAnsi="Calibri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36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5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81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1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91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C91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B45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6B98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rsid w:val="00121EDC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31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7581-0D04-4581-A894-B3D0554F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ACCAN-portable01</dc:creator>
  <cp:lastModifiedBy>Kelly Lindsay</cp:lastModifiedBy>
  <cp:revision>4</cp:revision>
  <cp:lastPrinted>2016-06-29T00:19:00Z</cp:lastPrinted>
  <dcterms:created xsi:type="dcterms:W3CDTF">2019-07-11T07:35:00Z</dcterms:created>
  <dcterms:modified xsi:type="dcterms:W3CDTF">2019-07-17T02:01:00Z</dcterms:modified>
</cp:coreProperties>
</file>