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47" w:rsidRPr="00C75517" w:rsidRDefault="003B1147" w:rsidP="003B1147">
      <w:pPr>
        <w:pStyle w:val="Title"/>
        <w:jc w:val="center"/>
        <w:rPr>
          <w:color w:val="auto"/>
        </w:rPr>
      </w:pPr>
    </w:p>
    <w:p w:rsidR="003B1147" w:rsidRPr="00C75517" w:rsidRDefault="00934C4F" w:rsidP="003B1147">
      <w:pPr>
        <w:pStyle w:val="Title"/>
        <w:jc w:val="center"/>
        <w:rPr>
          <w:color w:val="auto"/>
        </w:rPr>
      </w:pPr>
      <w:r>
        <w:rPr>
          <w:color w:val="auto"/>
        </w:rPr>
        <w:t>2019</w:t>
      </w:r>
      <w:r w:rsidR="003B1147" w:rsidRPr="00C75517">
        <w:rPr>
          <w:color w:val="auto"/>
        </w:rPr>
        <w:t xml:space="preserve"> </w:t>
      </w:r>
      <w:r w:rsidR="00002BED">
        <w:rPr>
          <w:color w:val="auto"/>
        </w:rPr>
        <w:t>Indigenous</w:t>
      </w:r>
      <w:r w:rsidR="003B1147" w:rsidRPr="00C75517">
        <w:rPr>
          <w:color w:val="auto"/>
        </w:rPr>
        <w:t xml:space="preserve"> Advisory Forum (</w:t>
      </w:r>
      <w:r w:rsidR="00002BED">
        <w:rPr>
          <w:color w:val="auto"/>
        </w:rPr>
        <w:t>I</w:t>
      </w:r>
      <w:r w:rsidR="003B1147" w:rsidRPr="00C75517">
        <w:rPr>
          <w:color w:val="auto"/>
        </w:rPr>
        <w:t>AF) Meeting Report</w:t>
      </w:r>
    </w:p>
    <w:p w:rsidR="003B1147" w:rsidRPr="00C75517" w:rsidRDefault="003B1147" w:rsidP="003B1147">
      <w:pPr>
        <w:autoSpaceDE w:val="0"/>
        <w:autoSpaceDN w:val="0"/>
        <w:adjustRightInd w:val="0"/>
        <w:ind w:right="-992"/>
        <w:jc w:val="center"/>
        <w:rPr>
          <w:rFonts w:cstheme="minorHAnsi"/>
          <w:b/>
          <w:bCs/>
          <w:sz w:val="36"/>
          <w:szCs w:val="36"/>
        </w:rPr>
      </w:pPr>
      <w:r w:rsidRPr="00C75517">
        <w:rPr>
          <w:rFonts w:cstheme="minorHAnsi"/>
          <w:b/>
          <w:bCs/>
          <w:sz w:val="36"/>
          <w:szCs w:val="36"/>
        </w:rPr>
        <w:t>Australian Communications Consumer Action Network</w:t>
      </w:r>
    </w:p>
    <w:p w:rsidR="003B1147" w:rsidRPr="00C75517" w:rsidRDefault="003B1147" w:rsidP="003B1147">
      <w:pPr>
        <w:jc w:val="center"/>
        <w:rPr>
          <w:rFonts w:cstheme="minorHAnsi"/>
          <w:b/>
        </w:rPr>
      </w:pPr>
      <w:r w:rsidRPr="00C75517">
        <w:rPr>
          <w:rFonts w:cstheme="minorHAnsi"/>
          <w:b/>
        </w:rPr>
        <w:t xml:space="preserve">Wednesday, </w:t>
      </w:r>
      <w:r w:rsidR="00934C4F">
        <w:rPr>
          <w:rFonts w:cstheme="minorHAnsi"/>
          <w:b/>
        </w:rPr>
        <w:t>6 March 2019, 10.00am – 4</w:t>
      </w:r>
      <w:r w:rsidRPr="00C75517">
        <w:rPr>
          <w:rFonts w:cstheme="minorHAnsi"/>
          <w:b/>
        </w:rPr>
        <w:t>.00pm</w:t>
      </w:r>
    </w:p>
    <w:p w:rsidR="00002BED" w:rsidRDefault="003B1147" w:rsidP="00934C4F">
      <w:pPr>
        <w:spacing w:after="0"/>
        <w:rPr>
          <w:b/>
        </w:rPr>
      </w:pPr>
      <w:r w:rsidRPr="00C75517">
        <w:rPr>
          <w:b/>
        </w:rPr>
        <w:t>PRESENT:</w:t>
      </w:r>
      <w:r w:rsidRPr="00C75517">
        <w:rPr>
          <w:b/>
        </w:rPr>
        <w:tab/>
      </w:r>
      <w:r w:rsidRPr="00C75517">
        <w:rPr>
          <w:b/>
        </w:rPr>
        <w:tab/>
      </w:r>
    </w:p>
    <w:p w:rsidR="00934C4F" w:rsidRDefault="00934C4F" w:rsidP="00934C4F">
      <w:pPr>
        <w:spacing w:after="0"/>
        <w:rPr>
          <w:b/>
        </w:rPr>
      </w:pPr>
      <w:r>
        <w:rPr>
          <w:b/>
        </w:rPr>
        <w:tab/>
      </w:r>
    </w:p>
    <w:p w:rsidR="00934C4F" w:rsidRDefault="00934C4F" w:rsidP="00934C4F">
      <w:pPr>
        <w:spacing w:after="0"/>
        <w:ind w:firstLine="720"/>
      </w:pPr>
      <w:r>
        <w:t xml:space="preserve">Heron </w:t>
      </w:r>
      <w:proofErr w:type="spellStart"/>
      <w:r>
        <w:t>Loban</w:t>
      </w:r>
      <w:proofErr w:type="spellEnd"/>
      <w:r>
        <w:tab/>
      </w:r>
      <w:r>
        <w:tab/>
        <w:t>Griffith University School of Law</w:t>
      </w:r>
    </w:p>
    <w:p w:rsidR="00934C4F" w:rsidRDefault="00934C4F" w:rsidP="00934C4F">
      <w:pPr>
        <w:spacing w:after="0"/>
      </w:pPr>
      <w:r>
        <w:tab/>
        <w:t>Carolyn Cartwright</w:t>
      </w:r>
      <w:r>
        <w:tab/>
        <w:t xml:space="preserve">Managing Director, </w:t>
      </w:r>
      <w:proofErr w:type="spellStart"/>
      <w:r>
        <w:t>MoneyMob</w:t>
      </w:r>
      <w:proofErr w:type="spellEnd"/>
      <w:r>
        <w:t xml:space="preserve"> </w:t>
      </w:r>
      <w:proofErr w:type="spellStart"/>
      <w:r>
        <w:t>Talkabout</w:t>
      </w:r>
      <w:proofErr w:type="spellEnd"/>
    </w:p>
    <w:p w:rsidR="00934C4F" w:rsidRDefault="00934C4F" w:rsidP="00934C4F">
      <w:pPr>
        <w:spacing w:after="0"/>
      </w:pPr>
      <w:r>
        <w:tab/>
        <w:t xml:space="preserve">David </w:t>
      </w:r>
      <w:proofErr w:type="spellStart"/>
      <w:r>
        <w:t>Jedrzejcyzk</w:t>
      </w:r>
      <w:proofErr w:type="spellEnd"/>
      <w:r>
        <w:tab/>
      </w:r>
      <w:proofErr w:type="spellStart"/>
      <w:r>
        <w:t>MoneyMob</w:t>
      </w:r>
      <w:proofErr w:type="spellEnd"/>
      <w:r>
        <w:t xml:space="preserve"> </w:t>
      </w:r>
      <w:proofErr w:type="spellStart"/>
      <w:r>
        <w:t>Talkabout</w:t>
      </w:r>
      <w:proofErr w:type="spellEnd"/>
    </w:p>
    <w:p w:rsidR="00934C4F" w:rsidRDefault="00934C4F" w:rsidP="00934C4F">
      <w:pPr>
        <w:spacing w:after="0"/>
      </w:pPr>
      <w:r>
        <w:tab/>
        <w:t>Lynda Edwards</w:t>
      </w:r>
      <w:r>
        <w:tab/>
      </w:r>
      <w:r>
        <w:tab/>
        <w:t>Co-ordinator Financial Capability, Financial Counselling Australia</w:t>
      </w:r>
    </w:p>
    <w:p w:rsidR="00934C4F" w:rsidRDefault="00934C4F" w:rsidP="00934C4F">
      <w:pPr>
        <w:spacing w:after="0"/>
      </w:pPr>
      <w:r>
        <w:tab/>
        <w:t xml:space="preserve">Alan </w:t>
      </w:r>
      <w:proofErr w:type="spellStart"/>
      <w:r>
        <w:t>Gray</w:t>
      </w:r>
      <w:proofErr w:type="spellEnd"/>
      <w:r>
        <w:tab/>
      </w:r>
      <w:r>
        <w:tab/>
        <w:t>Outreach Financial Counsellor, Broome Circle</w:t>
      </w:r>
    </w:p>
    <w:p w:rsidR="00934C4F" w:rsidRDefault="00934C4F" w:rsidP="00934C4F">
      <w:pPr>
        <w:spacing w:after="0"/>
      </w:pPr>
      <w:r>
        <w:tab/>
        <w:t>Percy Bishop</w:t>
      </w:r>
      <w:r>
        <w:tab/>
      </w:r>
      <w:r>
        <w:tab/>
      </w:r>
      <w:proofErr w:type="spellStart"/>
      <w:r>
        <w:t>Anindilyakwa</w:t>
      </w:r>
      <w:proofErr w:type="spellEnd"/>
      <w:r>
        <w:t xml:space="preserve"> Land Council</w:t>
      </w:r>
    </w:p>
    <w:p w:rsidR="00934C4F" w:rsidRPr="00934C4F" w:rsidRDefault="00934C4F" w:rsidP="00934C4F">
      <w:pPr>
        <w:spacing w:after="0"/>
      </w:pPr>
      <w:r>
        <w:tab/>
        <w:t>Mark Diamond</w:t>
      </w:r>
      <w:r>
        <w:tab/>
      </w:r>
      <w:r>
        <w:tab/>
        <w:t>CEO National Rural Health Alliance</w:t>
      </w:r>
    </w:p>
    <w:p w:rsidR="00002BED" w:rsidRDefault="00002BED" w:rsidP="00002BED">
      <w:pPr>
        <w:pStyle w:val="BodyText1"/>
        <w:spacing w:after="0"/>
        <w:rPr>
          <w:rFonts w:cstheme="minorHAnsi"/>
        </w:rPr>
      </w:pPr>
    </w:p>
    <w:p w:rsidR="00F86043" w:rsidRDefault="00F86043" w:rsidP="00002BED">
      <w:pPr>
        <w:pStyle w:val="BodyText1"/>
        <w:spacing w:after="0"/>
        <w:rPr>
          <w:rFonts w:cstheme="minorHAnsi"/>
          <w:b/>
        </w:rPr>
      </w:pPr>
      <w:r w:rsidRPr="00002BED">
        <w:rPr>
          <w:rFonts w:ascii="Calibri" w:hAnsi="Calibri" w:cstheme="minorHAnsi"/>
          <w:b/>
        </w:rPr>
        <w:t>ACCAN:</w:t>
      </w:r>
      <w:r>
        <w:rPr>
          <w:rFonts w:cstheme="minorHAnsi"/>
          <w:b/>
        </w:rPr>
        <w:tab/>
      </w:r>
      <w:r w:rsidRPr="00DF5A30">
        <w:rPr>
          <w:rFonts w:cstheme="minorHAnsi"/>
          <w:b/>
        </w:rPr>
        <w:tab/>
      </w:r>
      <w:r w:rsidR="00085703">
        <w:rPr>
          <w:rFonts w:cstheme="minorHAnsi"/>
          <w:b/>
        </w:rPr>
        <w:tab/>
      </w:r>
    </w:p>
    <w:p w:rsidR="00934C4F" w:rsidRDefault="00934C4F" w:rsidP="00934C4F">
      <w:pPr>
        <w:pStyle w:val="BodyText1"/>
        <w:spacing w:after="0"/>
        <w:rPr>
          <w:rFonts w:asciiTheme="minorHAnsi" w:hAnsiTheme="minorHAnsi" w:cstheme="minorHAnsi"/>
        </w:rPr>
      </w:pPr>
    </w:p>
    <w:p w:rsidR="00F86043" w:rsidRPr="00934C4F" w:rsidRDefault="00F86043" w:rsidP="00934C4F">
      <w:pPr>
        <w:pStyle w:val="BodyText1"/>
        <w:spacing w:after="0"/>
        <w:ind w:firstLine="720"/>
        <w:rPr>
          <w:rFonts w:cstheme="minorHAnsi"/>
          <w:b/>
        </w:rPr>
      </w:pPr>
      <w:r w:rsidRPr="008E0681">
        <w:rPr>
          <w:rFonts w:asciiTheme="minorHAnsi" w:hAnsiTheme="minorHAnsi" w:cstheme="minorHAnsi"/>
        </w:rPr>
        <w:t xml:space="preserve">Teresa Corbin </w:t>
      </w:r>
      <w:r w:rsidRPr="008E0681">
        <w:rPr>
          <w:rFonts w:asciiTheme="minorHAnsi" w:hAnsiTheme="minorHAnsi" w:cstheme="minorHAnsi"/>
        </w:rPr>
        <w:tab/>
      </w:r>
      <w:r>
        <w:rPr>
          <w:rFonts w:asciiTheme="minorHAnsi" w:hAnsiTheme="minorHAnsi" w:cstheme="minorHAnsi"/>
        </w:rPr>
        <w:tab/>
      </w:r>
      <w:r w:rsidRPr="008E0681">
        <w:rPr>
          <w:rFonts w:asciiTheme="minorHAnsi" w:hAnsiTheme="minorHAnsi" w:cstheme="minorHAnsi"/>
        </w:rPr>
        <w:t>CEO</w:t>
      </w:r>
      <w:r w:rsidRPr="00DF5A30">
        <w:rPr>
          <w:rFonts w:cstheme="minorHAnsi"/>
          <w:b/>
        </w:rPr>
        <w:t xml:space="preserve"> </w:t>
      </w:r>
      <w:r w:rsidRPr="00516BBB">
        <w:rPr>
          <w:rFonts w:asciiTheme="minorHAnsi" w:hAnsiTheme="minorHAnsi" w:cstheme="minorHAnsi"/>
        </w:rPr>
        <w:tab/>
      </w:r>
      <w:r w:rsidRPr="00516BBB">
        <w:rPr>
          <w:rFonts w:asciiTheme="minorHAnsi" w:hAnsiTheme="minorHAnsi" w:cstheme="minorHAnsi"/>
        </w:rPr>
        <w:tab/>
      </w:r>
    </w:p>
    <w:p w:rsidR="00F86043" w:rsidRPr="00C75517" w:rsidRDefault="00F86043" w:rsidP="00934C4F">
      <w:pPr>
        <w:pStyle w:val="BodyText1"/>
        <w:spacing w:after="0"/>
        <w:ind w:firstLine="720"/>
        <w:rPr>
          <w:rFonts w:asciiTheme="minorHAnsi" w:hAnsiTheme="minorHAnsi" w:cstheme="minorHAnsi"/>
        </w:rPr>
      </w:pPr>
      <w:r w:rsidRPr="00C75517">
        <w:rPr>
          <w:rFonts w:asciiTheme="minorHAnsi" w:hAnsiTheme="minorHAnsi" w:cstheme="minorHAnsi"/>
        </w:rPr>
        <w:t>Una Lawrence</w:t>
      </w:r>
      <w:r>
        <w:rPr>
          <w:rFonts w:asciiTheme="minorHAnsi" w:hAnsiTheme="minorHAnsi" w:cstheme="minorHAnsi"/>
        </w:rPr>
        <w:tab/>
      </w:r>
      <w:r>
        <w:rPr>
          <w:rFonts w:asciiTheme="minorHAnsi" w:hAnsiTheme="minorHAnsi" w:cstheme="minorHAnsi"/>
        </w:rPr>
        <w:tab/>
      </w:r>
      <w:r w:rsidRPr="00C75517">
        <w:rPr>
          <w:rFonts w:asciiTheme="minorHAnsi" w:hAnsiTheme="minorHAnsi" w:cstheme="minorHAnsi"/>
        </w:rPr>
        <w:t>Director of Policy</w:t>
      </w:r>
    </w:p>
    <w:p w:rsidR="00F86043" w:rsidRDefault="00934C4F" w:rsidP="00934C4F">
      <w:pPr>
        <w:pStyle w:val="BodyText1"/>
        <w:spacing w:after="0"/>
        <w:ind w:firstLine="720"/>
        <w:rPr>
          <w:rFonts w:asciiTheme="minorHAnsi" w:hAnsiTheme="minorHAnsi" w:cstheme="minorHAnsi"/>
        </w:rPr>
      </w:pPr>
      <w:r>
        <w:rPr>
          <w:rFonts w:asciiTheme="minorHAnsi" w:hAnsiTheme="minorHAnsi" w:cstheme="minorHAnsi"/>
        </w:rPr>
        <w:t>Gareth Downing</w:t>
      </w:r>
      <w:r w:rsidR="00002BED">
        <w:rPr>
          <w:rFonts w:asciiTheme="minorHAnsi" w:hAnsiTheme="minorHAnsi" w:cstheme="minorHAnsi"/>
        </w:rPr>
        <w:tab/>
      </w:r>
      <w:r>
        <w:rPr>
          <w:rFonts w:asciiTheme="minorHAnsi" w:hAnsiTheme="minorHAnsi" w:cstheme="minorHAnsi"/>
        </w:rPr>
        <w:t>Senior Policy Analyst</w:t>
      </w:r>
    </w:p>
    <w:p w:rsidR="003B1147" w:rsidRPr="00C75517" w:rsidRDefault="003B1147" w:rsidP="00DF5A30">
      <w:pPr>
        <w:spacing w:after="0"/>
      </w:pPr>
    </w:p>
    <w:p w:rsidR="00934C4F" w:rsidRDefault="003B1147" w:rsidP="00002BED">
      <w:pPr>
        <w:spacing w:after="0"/>
        <w:rPr>
          <w:rFonts w:cstheme="minorHAnsi"/>
          <w:b/>
        </w:rPr>
      </w:pPr>
      <w:r w:rsidRPr="00C75517">
        <w:rPr>
          <w:rFonts w:cstheme="minorHAnsi"/>
          <w:b/>
        </w:rPr>
        <w:t>APOLOGIES:</w:t>
      </w:r>
      <w:r w:rsidRPr="00C75517">
        <w:rPr>
          <w:rFonts w:cstheme="minorHAnsi"/>
          <w:b/>
        </w:rPr>
        <w:tab/>
      </w:r>
      <w:r w:rsidRPr="00C75517">
        <w:rPr>
          <w:rFonts w:cstheme="minorHAnsi"/>
          <w:b/>
        </w:rPr>
        <w:tab/>
      </w:r>
    </w:p>
    <w:p w:rsidR="00934C4F" w:rsidRDefault="00934C4F" w:rsidP="00002BED">
      <w:pPr>
        <w:spacing w:after="0"/>
        <w:rPr>
          <w:rFonts w:cstheme="minorHAnsi"/>
          <w:b/>
        </w:rPr>
      </w:pPr>
    </w:p>
    <w:p w:rsidR="00DF5A30" w:rsidRDefault="00934C4F" w:rsidP="00002BED">
      <w:pPr>
        <w:pStyle w:val="BodyText1"/>
        <w:spacing w:after="0"/>
        <w:rPr>
          <w:rFonts w:asciiTheme="minorHAnsi" w:hAnsiTheme="minorHAnsi" w:cstheme="minorHAnsi"/>
        </w:rPr>
      </w:pPr>
      <w:r>
        <w:rPr>
          <w:rFonts w:asciiTheme="minorHAnsi" w:hAnsiTheme="minorHAnsi" w:cstheme="minorHAnsi"/>
        </w:rPr>
        <w:tab/>
        <w:t>Daniel Featherstone</w:t>
      </w:r>
      <w:r>
        <w:rPr>
          <w:rFonts w:asciiTheme="minorHAnsi" w:hAnsiTheme="minorHAnsi" w:cstheme="minorHAnsi"/>
        </w:rPr>
        <w:tab/>
        <w:t>Manager, First Nations Media</w:t>
      </w:r>
    </w:p>
    <w:p w:rsidR="00934C4F" w:rsidRDefault="00934C4F" w:rsidP="00002BED">
      <w:pPr>
        <w:pStyle w:val="BodyText1"/>
        <w:spacing w:after="0"/>
        <w:rPr>
          <w:rFonts w:asciiTheme="minorHAnsi" w:hAnsiTheme="minorHAnsi" w:cstheme="minorHAnsi"/>
        </w:rPr>
      </w:pPr>
      <w:r>
        <w:rPr>
          <w:rFonts w:asciiTheme="minorHAnsi" w:hAnsiTheme="minorHAnsi" w:cstheme="minorHAnsi"/>
        </w:rPr>
        <w:tab/>
        <w:t xml:space="preserve">Lauren </w:t>
      </w:r>
      <w:proofErr w:type="spellStart"/>
      <w:r w:rsidR="000147AF">
        <w:rPr>
          <w:rFonts w:asciiTheme="minorHAnsi" w:hAnsiTheme="minorHAnsi" w:cstheme="minorHAnsi"/>
        </w:rPr>
        <w:t>Ganley</w:t>
      </w:r>
      <w:proofErr w:type="spellEnd"/>
      <w:r w:rsidR="000147AF">
        <w:rPr>
          <w:rFonts w:asciiTheme="minorHAnsi" w:hAnsiTheme="minorHAnsi" w:cstheme="minorHAnsi"/>
        </w:rPr>
        <w:tab/>
      </w:r>
      <w:r w:rsidR="000147AF">
        <w:rPr>
          <w:rFonts w:asciiTheme="minorHAnsi" w:hAnsiTheme="minorHAnsi" w:cstheme="minorHAnsi"/>
        </w:rPr>
        <w:tab/>
        <w:t>CEO Desert Knowledge Australia, Telstra Indigenous Advisor</w:t>
      </w:r>
    </w:p>
    <w:p w:rsidR="003B1147" w:rsidRPr="000147AF" w:rsidRDefault="000147AF" w:rsidP="000147AF">
      <w:pPr>
        <w:pStyle w:val="BodyText1"/>
        <w:spacing w:after="0"/>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rPr>
        <w:t>Unaisi</w:t>
      </w:r>
      <w:proofErr w:type="spellEnd"/>
      <w:r>
        <w:rPr>
          <w:rFonts w:asciiTheme="minorHAnsi" w:hAnsiTheme="minorHAnsi" w:cstheme="minorHAnsi"/>
        </w:rPr>
        <w:t xml:space="preserve"> </w:t>
      </w:r>
      <w:proofErr w:type="spellStart"/>
      <w:r>
        <w:rPr>
          <w:rFonts w:asciiTheme="minorHAnsi" w:hAnsiTheme="minorHAnsi" w:cstheme="minorHAnsi"/>
        </w:rPr>
        <w:t>Buli</w:t>
      </w:r>
      <w:proofErr w:type="spellEnd"/>
      <w:r>
        <w:rPr>
          <w:rFonts w:asciiTheme="minorHAnsi" w:hAnsiTheme="minorHAnsi" w:cstheme="minorHAnsi"/>
        </w:rPr>
        <w:tab/>
      </w:r>
      <w:r>
        <w:rPr>
          <w:rFonts w:asciiTheme="minorHAnsi" w:hAnsiTheme="minorHAnsi" w:cstheme="minorHAnsi"/>
        </w:rPr>
        <w:tab/>
        <w:t>Indigenous Consumer Assistance Network (ICAN)</w:t>
      </w:r>
    </w:p>
    <w:p w:rsidR="003B1147" w:rsidRPr="00C75517" w:rsidRDefault="003B1147" w:rsidP="003B1147">
      <w:pPr>
        <w:pStyle w:val="BodyTextIndent"/>
        <w:spacing w:after="0"/>
        <w:ind w:left="3861" w:hanging="2160"/>
        <w:rPr>
          <w:rFonts w:asciiTheme="minorHAnsi" w:hAnsiTheme="minorHAnsi" w:cstheme="minorHAnsi"/>
        </w:rPr>
      </w:pPr>
      <w:r w:rsidRPr="00C75517">
        <w:rPr>
          <w:rFonts w:asciiTheme="minorHAnsi" w:hAnsiTheme="minorHAnsi" w:cstheme="minorHAnsi"/>
        </w:rPr>
        <w:tab/>
      </w:r>
      <w:r w:rsidRPr="00C75517">
        <w:rPr>
          <w:rFonts w:asciiTheme="minorHAnsi" w:hAnsiTheme="minorHAnsi" w:cstheme="minorHAnsi"/>
        </w:rPr>
        <w:tab/>
      </w:r>
      <w:r w:rsidRPr="00C75517">
        <w:rPr>
          <w:rFonts w:asciiTheme="minorHAnsi" w:hAnsiTheme="minorHAnsi" w:cstheme="minorHAnsi"/>
        </w:rPr>
        <w:tab/>
      </w:r>
    </w:p>
    <w:p w:rsidR="00A50D0D" w:rsidRPr="00C75517" w:rsidRDefault="00E20927" w:rsidP="00DB45B5">
      <w:pPr>
        <w:rPr>
          <w:rFonts w:cstheme="minorHAnsi"/>
        </w:rPr>
      </w:pPr>
      <w:r w:rsidRPr="00C75517">
        <w:rPr>
          <w:rFonts w:cstheme="minorHAnsi"/>
        </w:rPr>
        <w:t xml:space="preserve">The purpose of </w:t>
      </w:r>
      <w:r w:rsidR="003E03EB" w:rsidRPr="00C75517">
        <w:rPr>
          <w:rFonts w:cstheme="minorHAnsi"/>
        </w:rPr>
        <w:t xml:space="preserve">ACCAN’s </w:t>
      </w:r>
      <w:r w:rsidR="00085703">
        <w:rPr>
          <w:rFonts w:cstheme="minorHAnsi"/>
        </w:rPr>
        <w:t>Indigenous</w:t>
      </w:r>
      <w:r w:rsidR="00DF5A30">
        <w:rPr>
          <w:rFonts w:cstheme="minorHAnsi"/>
        </w:rPr>
        <w:t xml:space="preserve"> </w:t>
      </w:r>
      <w:r w:rsidR="00207983" w:rsidRPr="00C75517">
        <w:rPr>
          <w:rFonts w:cstheme="minorHAnsi"/>
        </w:rPr>
        <w:t>Advisory F</w:t>
      </w:r>
      <w:r w:rsidRPr="00C75517">
        <w:rPr>
          <w:rFonts w:cstheme="minorHAnsi"/>
        </w:rPr>
        <w:t>orum</w:t>
      </w:r>
      <w:r w:rsidR="00694895" w:rsidRPr="00C75517">
        <w:rPr>
          <w:rFonts w:cstheme="minorHAnsi"/>
        </w:rPr>
        <w:t xml:space="preserve"> (</w:t>
      </w:r>
      <w:r w:rsidR="00085703">
        <w:rPr>
          <w:rFonts w:cstheme="minorHAnsi"/>
        </w:rPr>
        <w:t>I</w:t>
      </w:r>
      <w:r w:rsidR="00694895" w:rsidRPr="00C75517">
        <w:rPr>
          <w:rFonts w:cstheme="minorHAnsi"/>
        </w:rPr>
        <w:t>AF)</w:t>
      </w:r>
      <w:r w:rsidRPr="00C75517">
        <w:rPr>
          <w:rFonts w:cstheme="minorHAnsi"/>
        </w:rPr>
        <w:t xml:space="preserve"> is to </w:t>
      </w:r>
      <w:r w:rsidR="00EF73F8">
        <w:rPr>
          <w:rFonts w:cstheme="minorHAnsi"/>
        </w:rPr>
        <w:t xml:space="preserve">discuss </w:t>
      </w:r>
      <w:r w:rsidRPr="00C75517">
        <w:rPr>
          <w:rFonts w:cstheme="minorHAnsi"/>
        </w:rPr>
        <w:t xml:space="preserve">important </w:t>
      </w:r>
      <w:r w:rsidR="00826354" w:rsidRPr="00C75517">
        <w:rPr>
          <w:rFonts w:cstheme="minorHAnsi"/>
        </w:rPr>
        <w:t xml:space="preserve">telecommunications consumer </w:t>
      </w:r>
      <w:r w:rsidRPr="00C75517">
        <w:rPr>
          <w:rFonts w:cstheme="minorHAnsi"/>
        </w:rPr>
        <w:t xml:space="preserve">issues from the perspective of </w:t>
      </w:r>
      <w:r w:rsidR="00197694" w:rsidRPr="00C75517">
        <w:rPr>
          <w:rFonts w:cstheme="minorHAnsi"/>
        </w:rPr>
        <w:t>representative</w:t>
      </w:r>
      <w:r w:rsidR="003B1147" w:rsidRPr="00C75517">
        <w:rPr>
          <w:rFonts w:cstheme="minorHAnsi"/>
        </w:rPr>
        <w:t>s</w:t>
      </w:r>
      <w:r w:rsidR="00085703">
        <w:rPr>
          <w:rFonts w:cstheme="minorHAnsi"/>
        </w:rPr>
        <w:t xml:space="preserve"> </w:t>
      </w:r>
      <w:r w:rsidR="00FA35C2">
        <w:rPr>
          <w:rFonts w:cstheme="minorHAnsi"/>
        </w:rPr>
        <w:t>from</w:t>
      </w:r>
      <w:r w:rsidR="00085703">
        <w:rPr>
          <w:rFonts w:cstheme="minorHAnsi"/>
        </w:rPr>
        <w:t xml:space="preserve"> Indigenous</w:t>
      </w:r>
      <w:r w:rsidR="003B1147" w:rsidRPr="00C75517">
        <w:rPr>
          <w:rFonts w:cstheme="minorHAnsi"/>
        </w:rPr>
        <w:t xml:space="preserve"> </w:t>
      </w:r>
      <w:r w:rsidR="003E4850" w:rsidRPr="00C75517">
        <w:rPr>
          <w:rFonts w:cstheme="minorHAnsi"/>
        </w:rPr>
        <w:t>communit</w:t>
      </w:r>
      <w:r w:rsidR="00085703">
        <w:rPr>
          <w:rFonts w:cstheme="minorHAnsi"/>
        </w:rPr>
        <w:t>ies</w:t>
      </w:r>
      <w:r w:rsidR="00EF73F8">
        <w:rPr>
          <w:rFonts w:cstheme="minorHAnsi"/>
        </w:rPr>
        <w:t xml:space="preserve"> and organisations. The forum i</w:t>
      </w:r>
      <w:r w:rsidR="00E4068B" w:rsidRPr="00C75517">
        <w:rPr>
          <w:rFonts w:cstheme="minorHAnsi"/>
        </w:rPr>
        <w:t>nform</w:t>
      </w:r>
      <w:r w:rsidR="00EF73F8">
        <w:rPr>
          <w:rFonts w:cstheme="minorHAnsi"/>
        </w:rPr>
        <w:t>s</w:t>
      </w:r>
      <w:r w:rsidR="00E4068B" w:rsidRPr="00C75517">
        <w:rPr>
          <w:rFonts w:cstheme="minorHAnsi"/>
        </w:rPr>
        <w:t xml:space="preserve"> ACCAN’s </w:t>
      </w:r>
      <w:r w:rsidR="003B1147" w:rsidRPr="00C75517">
        <w:rPr>
          <w:rFonts w:cstheme="minorHAnsi"/>
        </w:rPr>
        <w:t xml:space="preserve">policy </w:t>
      </w:r>
      <w:r w:rsidR="00207983" w:rsidRPr="00C75517">
        <w:rPr>
          <w:rFonts w:cstheme="minorHAnsi"/>
        </w:rPr>
        <w:t>priorities</w:t>
      </w:r>
      <w:r w:rsidR="00EF73F8">
        <w:rPr>
          <w:rFonts w:cstheme="minorHAnsi"/>
        </w:rPr>
        <w:t xml:space="preserve"> and work plan</w:t>
      </w:r>
      <w:r w:rsidR="003B1147" w:rsidRPr="00C75517">
        <w:rPr>
          <w:rFonts w:cstheme="minorHAnsi"/>
        </w:rPr>
        <w:t>.</w:t>
      </w:r>
      <w:r w:rsidR="00A50D0D" w:rsidRPr="00C75517">
        <w:rPr>
          <w:rFonts w:cstheme="minorHAnsi"/>
        </w:rPr>
        <w:t xml:space="preserve"> </w:t>
      </w:r>
    </w:p>
    <w:p w:rsidR="001E7374" w:rsidRPr="00221297" w:rsidRDefault="000147AF" w:rsidP="00221297">
      <w:pPr>
        <w:pStyle w:val="Heading1"/>
      </w:pPr>
      <w:r>
        <w:lastRenderedPageBreak/>
        <w:t>Overview of current communications context and ACCAN activities</w:t>
      </w:r>
    </w:p>
    <w:p w:rsidR="000147AF" w:rsidRPr="00335386" w:rsidRDefault="003E03EB" w:rsidP="00775E4E">
      <w:pPr>
        <w:spacing w:before="240"/>
      </w:pPr>
      <w:r w:rsidRPr="00775E4E">
        <w:rPr>
          <w:rFonts w:cstheme="minorHAnsi"/>
        </w:rPr>
        <w:t xml:space="preserve">ACCAN staff provided a brief outline of several major consumer issues and a summary of ACCAN’s outcomes in the past 12 months. </w:t>
      </w:r>
      <w:r w:rsidR="009A3523">
        <w:rPr>
          <w:rFonts w:cstheme="minorHAnsi"/>
        </w:rPr>
        <w:t>These are set out in detail in the environment scan 2019-20.</w:t>
      </w:r>
    </w:p>
    <w:p w:rsidR="00CE205F" w:rsidRDefault="000147AF" w:rsidP="004C376F">
      <w:pPr>
        <w:pStyle w:val="Heading1"/>
        <w:spacing w:after="240"/>
      </w:pPr>
      <w:r>
        <w:t>Discussion of Indigenous Communications Issues</w:t>
      </w:r>
      <w:bookmarkStart w:id="0" w:name="_GoBack"/>
      <w:bookmarkEnd w:id="0"/>
    </w:p>
    <w:p w:rsidR="00054DEE" w:rsidRPr="00755D9D" w:rsidRDefault="00CE205F" w:rsidP="00A75C50">
      <w:pPr>
        <w:rPr>
          <w:b/>
        </w:rPr>
      </w:pPr>
      <w:r>
        <w:rPr>
          <w:b/>
        </w:rPr>
        <w:t xml:space="preserve">Telecommunications </w:t>
      </w:r>
      <w:r w:rsidRPr="00520AEE">
        <w:rPr>
          <w:b/>
        </w:rPr>
        <w:t>Affordability</w:t>
      </w:r>
    </w:p>
    <w:p w:rsidR="00CF5E23" w:rsidRPr="00755D9D" w:rsidRDefault="00CF5E23" w:rsidP="00CF5E23">
      <w:pPr>
        <w:rPr>
          <w:i/>
        </w:rPr>
      </w:pPr>
      <w:r w:rsidRPr="00755D9D">
        <w:rPr>
          <w:i/>
        </w:rPr>
        <w:t>Mobiles</w:t>
      </w:r>
    </w:p>
    <w:p w:rsidR="00054DEE" w:rsidRPr="00755D9D" w:rsidRDefault="00054DEE" w:rsidP="00755D9D">
      <w:pPr>
        <w:pStyle w:val="ListParagraph"/>
        <w:numPr>
          <w:ilvl w:val="0"/>
          <w:numId w:val="21"/>
        </w:numPr>
        <w:rPr>
          <w:b/>
        </w:rPr>
      </w:pPr>
      <w:r>
        <w:t xml:space="preserve">The absence of information </w:t>
      </w:r>
      <w:r w:rsidR="00357912">
        <w:t xml:space="preserve">about </w:t>
      </w:r>
      <w:r>
        <w:t>the</w:t>
      </w:r>
      <w:r w:rsidR="00A75C50">
        <w:t xml:space="preserve"> mobile</w:t>
      </w:r>
      <w:r>
        <w:t xml:space="preserve"> options available was highlighted as a particular issue for remote communities</w:t>
      </w:r>
      <w:r w:rsidR="00A75C50">
        <w:t xml:space="preserve">, with no one available to break down the features of services for consumers. The </w:t>
      </w:r>
      <w:r w:rsidR="00A1272A">
        <w:t>limited sales avenues</w:t>
      </w:r>
      <w:r w:rsidR="00357912">
        <w:t>, particularly on Groote Eylandt</w:t>
      </w:r>
      <w:r w:rsidR="00A474CD">
        <w:t xml:space="preserve"> </w:t>
      </w:r>
      <w:r w:rsidR="00A1272A">
        <w:t>(</w:t>
      </w:r>
      <w:r w:rsidR="00A474CD">
        <w:t xml:space="preserve">where there are </w:t>
      </w:r>
      <w:r w:rsidR="00A1272A">
        <w:t>5 stores) were also noted.</w:t>
      </w:r>
    </w:p>
    <w:p w:rsidR="00A75C50" w:rsidRPr="00755D9D" w:rsidRDefault="00A75C50" w:rsidP="00755D9D">
      <w:pPr>
        <w:pStyle w:val="ListParagraph"/>
        <w:numPr>
          <w:ilvl w:val="0"/>
          <w:numId w:val="21"/>
        </w:numPr>
        <w:rPr>
          <w:b/>
        </w:rPr>
      </w:pPr>
      <w:r>
        <w:t>The impracticality of obtaining SIMs via post was highlighted, as was the lack of secure facilities in some communities to receive post</w:t>
      </w:r>
      <w:r w:rsidR="00357912">
        <w:t>.</w:t>
      </w:r>
      <w:r>
        <w:t xml:space="preserve"> </w:t>
      </w:r>
    </w:p>
    <w:p w:rsidR="00793CA9" w:rsidRPr="00755D9D" w:rsidRDefault="00CF5E23" w:rsidP="00755D9D">
      <w:pPr>
        <w:pStyle w:val="ListParagraph"/>
        <w:numPr>
          <w:ilvl w:val="0"/>
          <w:numId w:val="21"/>
        </w:numPr>
        <w:rPr>
          <w:b/>
        </w:rPr>
      </w:pPr>
      <w:r>
        <w:t>Telstra was flagged as being the only option in many communities, with pre-paid being the only option available in some stores within community</w:t>
      </w:r>
      <w:r w:rsidR="00137D94">
        <w:t>. In a handful of communities Optus was identified as being the only option.</w:t>
      </w:r>
      <w:r w:rsidR="00793CA9">
        <w:t xml:space="preserve"> </w:t>
      </w:r>
    </w:p>
    <w:p w:rsidR="004A2823" w:rsidRDefault="00137D94" w:rsidP="00205F82">
      <w:pPr>
        <w:pStyle w:val="ListParagraph"/>
        <w:numPr>
          <w:ilvl w:val="0"/>
          <w:numId w:val="21"/>
        </w:numPr>
      </w:pPr>
      <w:r>
        <w:t xml:space="preserve">A question was raised as to whether </w:t>
      </w:r>
      <w:r w:rsidR="00775E4E">
        <w:t>Telstra wasn’t advertising</w:t>
      </w:r>
      <w:r>
        <w:t xml:space="preserve"> lower cost options (e.g. Boost) </w:t>
      </w:r>
      <w:r w:rsidR="00775E4E">
        <w:t>to maintain sales of more expensive (and profitable services</w:t>
      </w:r>
      <w:proofErr w:type="gramStart"/>
      <w:r w:rsidR="00775E4E">
        <w:t xml:space="preserve">) </w:t>
      </w:r>
      <w:r>
        <w:t>.</w:t>
      </w:r>
      <w:proofErr w:type="gramEnd"/>
      <w:r>
        <w:t xml:space="preserve"> The potential for pricing to be used to encourage take-up of better options was raised</w:t>
      </w:r>
      <w:r w:rsidR="00A474CD">
        <w:t>.</w:t>
      </w:r>
    </w:p>
    <w:p w:rsidR="00793CA9" w:rsidRDefault="00205F82" w:rsidP="00205F82">
      <w:pPr>
        <w:pStyle w:val="ListParagraph"/>
        <w:numPr>
          <w:ilvl w:val="0"/>
          <w:numId w:val="21"/>
        </w:numPr>
      </w:pPr>
      <w:r>
        <w:t>There was s</w:t>
      </w:r>
      <w:r w:rsidR="00793CA9">
        <w:t>upport for the idea that there should be no data charges for government services like Centrelink and banking.</w:t>
      </w:r>
    </w:p>
    <w:p w:rsidR="00793CA9" w:rsidRDefault="00793CA9" w:rsidP="00793CA9">
      <w:pPr>
        <w:pStyle w:val="ListParagraph"/>
      </w:pPr>
    </w:p>
    <w:p w:rsidR="00DD41F9" w:rsidRPr="00775E4E" w:rsidRDefault="00DD41F9" w:rsidP="004A2823">
      <w:pPr>
        <w:rPr>
          <w:b/>
        </w:rPr>
      </w:pPr>
      <w:r w:rsidRPr="00335386">
        <w:rPr>
          <w:b/>
        </w:rPr>
        <w:t>Consumer education and decision-making</w:t>
      </w:r>
    </w:p>
    <w:p w:rsidR="00755D9D" w:rsidRPr="00775E4E" w:rsidRDefault="00716181" w:rsidP="00775E4E">
      <w:pPr>
        <w:pStyle w:val="ListParagraph"/>
        <w:numPr>
          <w:ilvl w:val="0"/>
          <w:numId w:val="22"/>
        </w:numPr>
        <w:rPr>
          <w:i/>
        </w:rPr>
      </w:pPr>
      <w:r>
        <w:t>T</w:t>
      </w:r>
      <w:r w:rsidR="00755D9D">
        <w:t xml:space="preserve">here </w:t>
      </w:r>
      <w:r>
        <w:t>i</w:t>
      </w:r>
      <w:r w:rsidR="00755D9D">
        <w:t>s often no one in community to provide information about how to select appropriate services and the breakdown of services, and the burden often f</w:t>
      </w:r>
      <w:r>
        <w:t>a</w:t>
      </w:r>
      <w:r w:rsidR="00755D9D">
        <w:t>ll</w:t>
      </w:r>
      <w:r>
        <w:t>s</w:t>
      </w:r>
      <w:r w:rsidR="00755D9D">
        <w:t xml:space="preserve"> onto shops selling the service who </w:t>
      </w:r>
      <w:r>
        <w:t>are</w:t>
      </w:r>
      <w:r w:rsidR="00755D9D">
        <w:t xml:space="preserve"> often not well placed to inform consumers. </w:t>
      </w:r>
    </w:p>
    <w:p w:rsidR="00755D9D" w:rsidRPr="00775E4E" w:rsidRDefault="00755D9D" w:rsidP="00775E4E">
      <w:pPr>
        <w:pStyle w:val="ListParagraph"/>
        <w:numPr>
          <w:ilvl w:val="0"/>
          <w:numId w:val="22"/>
        </w:numPr>
        <w:rPr>
          <w:i/>
        </w:rPr>
      </w:pPr>
      <w:r>
        <w:t xml:space="preserve">The provision of information only in English was highlighted </w:t>
      </w:r>
      <w:r w:rsidR="00335386">
        <w:t>as a</w:t>
      </w:r>
      <w:r>
        <w:t xml:space="preserve"> particular pr</w:t>
      </w:r>
      <w:r w:rsidR="00335386">
        <w:t xml:space="preserve">oblem, with the absence of in language information preventing </w:t>
      </w:r>
      <w:r w:rsidR="00716181">
        <w:t>community members</w:t>
      </w:r>
      <w:r w:rsidR="00335386">
        <w:t xml:space="preserve"> from engaging. </w:t>
      </w:r>
      <w:r w:rsidR="00716181">
        <w:t xml:space="preserve">The  </w:t>
      </w:r>
      <w:r w:rsidR="001F0D28">
        <w:t>e</w:t>
      </w:r>
      <w:r w:rsidR="00335386">
        <w:t>xperience on Groot</w:t>
      </w:r>
      <w:r w:rsidR="00357912">
        <w:t>e</w:t>
      </w:r>
      <w:r w:rsidR="00335386">
        <w:t xml:space="preserve"> </w:t>
      </w:r>
      <w:r w:rsidR="00357912">
        <w:t xml:space="preserve">Eylandt </w:t>
      </w:r>
      <w:r w:rsidR="00716181" w:rsidRPr="00716181">
        <w:t xml:space="preserve"> </w:t>
      </w:r>
      <w:r w:rsidR="00716181">
        <w:t>was highlighted as an example</w:t>
      </w:r>
      <w:r w:rsidR="00335386">
        <w:t xml:space="preserve">, with 85% of community members speaking language. </w:t>
      </w:r>
    </w:p>
    <w:p w:rsidR="00335386" w:rsidRPr="00775E4E" w:rsidRDefault="005B3331" w:rsidP="00775E4E">
      <w:pPr>
        <w:pStyle w:val="ListParagraph"/>
        <w:numPr>
          <w:ilvl w:val="0"/>
          <w:numId w:val="22"/>
        </w:numPr>
        <w:rPr>
          <w:i/>
        </w:rPr>
      </w:pPr>
      <w:r>
        <w:t>In APY land</w:t>
      </w:r>
      <w:r w:rsidR="00716181">
        <w:t xml:space="preserve"> communities, </w:t>
      </w:r>
      <w:r w:rsidR="00335386">
        <w:t xml:space="preserve"> </w:t>
      </w:r>
      <w:r w:rsidR="00716181">
        <w:t xml:space="preserve">it was </w:t>
      </w:r>
      <w:r w:rsidR="00335386">
        <w:t>noted that there</w:t>
      </w:r>
      <w:r w:rsidR="00716181">
        <w:t xml:space="preserve"> is</w:t>
      </w:r>
      <w:r w:rsidR="00335386">
        <w:t xml:space="preserve"> very little product information available in small shops.</w:t>
      </w:r>
    </w:p>
    <w:p w:rsidR="00643A48" w:rsidRPr="00775E4E" w:rsidRDefault="008B5B8E" w:rsidP="00775E4E">
      <w:pPr>
        <w:pStyle w:val="ListParagraph"/>
        <w:numPr>
          <w:ilvl w:val="0"/>
          <w:numId w:val="22"/>
        </w:numPr>
        <w:rPr>
          <w:i/>
        </w:rPr>
      </w:pPr>
      <w:r>
        <w:t>P</w:t>
      </w:r>
      <w:r w:rsidR="00316C52">
        <w:t>utting someone in the shopfront and in community on an ongoing basis that could provide advice would support better outcomes.</w:t>
      </w:r>
    </w:p>
    <w:p w:rsidR="00775E4E" w:rsidRDefault="00775E4E" w:rsidP="00775E4E">
      <w:pPr>
        <w:pStyle w:val="ListParagraph"/>
      </w:pPr>
    </w:p>
    <w:p w:rsidR="00676A58" w:rsidRDefault="00676A58" w:rsidP="00DD41F9"/>
    <w:p w:rsidR="00676A58" w:rsidRDefault="00676A58" w:rsidP="00DD41F9"/>
    <w:p w:rsidR="00DD41F9" w:rsidRPr="00F01F20" w:rsidRDefault="00DD41F9" w:rsidP="00DD41F9">
      <w:pPr>
        <w:rPr>
          <w:b/>
        </w:rPr>
      </w:pPr>
      <w:r>
        <w:rPr>
          <w:b/>
        </w:rPr>
        <w:lastRenderedPageBreak/>
        <w:t xml:space="preserve">Sales practices and </w:t>
      </w:r>
      <w:r w:rsidR="00A57E4B">
        <w:rPr>
          <w:b/>
        </w:rPr>
        <w:t>credit assessment</w:t>
      </w:r>
    </w:p>
    <w:p w:rsidR="00155942" w:rsidRDefault="00155942" w:rsidP="00775E4E">
      <w:pPr>
        <w:pStyle w:val="ListParagraph"/>
        <w:numPr>
          <w:ilvl w:val="0"/>
          <w:numId w:val="23"/>
        </w:numPr>
      </w:pPr>
      <w:r>
        <w:t xml:space="preserve">Upselling within community and major centres was identified as a significant problem, </w:t>
      </w:r>
      <w:r w:rsidR="008B5B8E">
        <w:t xml:space="preserve">and </w:t>
      </w:r>
      <w:r w:rsidR="00357912">
        <w:t xml:space="preserve">financial </w:t>
      </w:r>
      <w:r w:rsidR="00793CA9">
        <w:t>counsellors noted</w:t>
      </w:r>
      <w:r w:rsidR="00CB747F">
        <w:t xml:space="preserve"> that much of the upselling </w:t>
      </w:r>
      <w:r w:rsidR="008B5B8E">
        <w:t>i</w:t>
      </w:r>
      <w:r w:rsidR="00CB747F">
        <w:t>s occurring when individuals travelled to regional centres such as Broome and were upsold prior to returning to community.</w:t>
      </w:r>
    </w:p>
    <w:p w:rsidR="00155942" w:rsidRPr="000260D0" w:rsidRDefault="00155942" w:rsidP="00775E4E">
      <w:pPr>
        <w:pStyle w:val="ListParagraph"/>
        <w:numPr>
          <w:ilvl w:val="0"/>
          <w:numId w:val="23"/>
        </w:numPr>
      </w:pPr>
      <w:r>
        <w:t xml:space="preserve">The voluntary nature of the TCP </w:t>
      </w:r>
      <w:r w:rsidR="008B5B8E">
        <w:t>C</w:t>
      </w:r>
      <w:r>
        <w:t xml:space="preserve">ode was highlighted as a factor in the lack of a genuine </w:t>
      </w:r>
      <w:r w:rsidRPr="000260D0">
        <w:t>drive to see enduring change in selling practices.</w:t>
      </w:r>
    </w:p>
    <w:p w:rsidR="006864C9" w:rsidRPr="00775E4E" w:rsidRDefault="00155942" w:rsidP="00775E4E">
      <w:pPr>
        <w:pStyle w:val="ListParagraph"/>
        <w:numPr>
          <w:ilvl w:val="0"/>
          <w:numId w:val="23"/>
        </w:numPr>
      </w:pPr>
      <w:r w:rsidRPr="000260D0">
        <w:t>The inconsistency betwe</w:t>
      </w:r>
      <w:r w:rsidR="00361175" w:rsidRPr="000260D0">
        <w:t>en credit protections for telecommunications ser</w:t>
      </w:r>
      <w:r w:rsidR="006864C9" w:rsidRPr="000260D0">
        <w:t>vices and other forms of credit was highlighted as being</w:t>
      </w:r>
      <w:r w:rsidR="004909C7" w:rsidRPr="00775E4E">
        <w:t xml:space="preserve"> </w:t>
      </w:r>
      <w:r w:rsidR="007908E4" w:rsidRPr="00775E4E">
        <w:t>inappropriate given the underlying problems are the same.</w:t>
      </w:r>
    </w:p>
    <w:p w:rsidR="006864C9" w:rsidRDefault="006864C9" w:rsidP="00775E4E">
      <w:pPr>
        <w:pStyle w:val="ListParagraph"/>
        <w:numPr>
          <w:ilvl w:val="0"/>
          <w:numId w:val="23"/>
        </w:numPr>
      </w:pPr>
      <w:r w:rsidRPr="006864C9">
        <w:t xml:space="preserve"> </w:t>
      </w:r>
      <w:r w:rsidRPr="00775E4E">
        <w:t xml:space="preserve">The lack of credit assessment was raised as an ongoing problem, with multiple examples raised of significant debts being created. </w:t>
      </w:r>
    </w:p>
    <w:p w:rsidR="004909C7" w:rsidRDefault="006864C9" w:rsidP="00775E4E">
      <w:pPr>
        <w:pStyle w:val="ListParagraph"/>
        <w:numPr>
          <w:ilvl w:val="0"/>
          <w:numId w:val="23"/>
        </w:numPr>
      </w:pPr>
      <w:r w:rsidRPr="00775E4E">
        <w:t xml:space="preserve">The credit assessment process in place was identified as being focused on avoiding financial risk to sellers, rather than an assessment of </w:t>
      </w:r>
      <w:r w:rsidR="008B5B8E">
        <w:t xml:space="preserve">the </w:t>
      </w:r>
      <w:r w:rsidR="00775E4E">
        <w:t xml:space="preserve">customer’s </w:t>
      </w:r>
      <w:r w:rsidR="00775E4E" w:rsidRPr="00775E4E">
        <w:t>ability</w:t>
      </w:r>
      <w:r w:rsidRPr="00775E4E">
        <w:t xml:space="preserve"> to afford the service.</w:t>
      </w:r>
    </w:p>
    <w:p w:rsidR="00055161" w:rsidRDefault="006864C9" w:rsidP="00775E4E">
      <w:pPr>
        <w:pStyle w:val="ListParagraph"/>
        <w:numPr>
          <w:ilvl w:val="0"/>
          <w:numId w:val="23"/>
        </w:numPr>
      </w:pPr>
      <w:r>
        <w:t xml:space="preserve">The adoption of responsible lending obligations and the implementation of genuine credit checks </w:t>
      </w:r>
      <w:r w:rsidR="004909C7">
        <w:t>were</w:t>
      </w:r>
      <w:r>
        <w:t xml:space="preserve"> identified as being essential to addressing the problem of upselling.</w:t>
      </w:r>
    </w:p>
    <w:p w:rsidR="0017316D" w:rsidRPr="003656A8" w:rsidRDefault="00210196" w:rsidP="0017316D">
      <w:r>
        <w:t>Suggested a</w:t>
      </w:r>
      <w:r w:rsidR="00625F56">
        <w:t>pproaches</w:t>
      </w:r>
      <w:r w:rsidR="0017316D" w:rsidRPr="003656A8">
        <w:t>:</w:t>
      </w:r>
    </w:p>
    <w:p w:rsidR="0017316D" w:rsidRDefault="0017316D" w:rsidP="00775E4E">
      <w:pPr>
        <w:pStyle w:val="ListParagraph"/>
        <w:numPr>
          <w:ilvl w:val="0"/>
          <w:numId w:val="23"/>
        </w:numPr>
      </w:pPr>
      <w:r w:rsidRPr="003656A8">
        <w:t>Further investigation into the incentives for franchised stores to upsell (as opposed to Telstra-owned stores) was raised as a future research area.</w:t>
      </w:r>
    </w:p>
    <w:p w:rsidR="00055161" w:rsidRDefault="0017316D" w:rsidP="00775E4E">
      <w:pPr>
        <w:pStyle w:val="ListParagraph"/>
        <w:numPr>
          <w:ilvl w:val="0"/>
          <w:numId w:val="23"/>
        </w:numPr>
      </w:pPr>
      <w:r>
        <w:t>The</w:t>
      </w:r>
      <w:r w:rsidR="00676A58">
        <w:t>re was support for</w:t>
      </w:r>
      <w:r>
        <w:t xml:space="preserve"> drafting of a communique, media release and letters to be sent to the Minister and MPs concerning the problems associated with commission-based selling arrangements, upselling and the incurring of debts in regional and remote communities.</w:t>
      </w:r>
    </w:p>
    <w:p w:rsidR="00055161" w:rsidRPr="00775E4E" w:rsidRDefault="00055161" w:rsidP="00775E4E">
      <w:pPr>
        <w:rPr>
          <w:b/>
        </w:rPr>
      </w:pPr>
      <w:r>
        <w:rPr>
          <w:b/>
        </w:rPr>
        <w:t>Dispute resolution processes</w:t>
      </w:r>
    </w:p>
    <w:p w:rsidR="00055161" w:rsidRDefault="005B3331" w:rsidP="00775E4E">
      <w:pPr>
        <w:pStyle w:val="ListParagraph"/>
        <w:numPr>
          <w:ilvl w:val="0"/>
          <w:numId w:val="25"/>
        </w:numPr>
      </w:pPr>
      <w:r>
        <w:t>T</w:t>
      </w:r>
      <w:r w:rsidR="00055161">
        <w:t xml:space="preserve">he process of individually going through the hardship and dispute resolution </w:t>
      </w:r>
      <w:r w:rsidR="00775E4E">
        <w:t>processes is</w:t>
      </w:r>
      <w:r w:rsidR="00055161">
        <w:t xml:space="preserve"> exceptionally slow and time consuming</w:t>
      </w:r>
      <w:r w:rsidR="008B5B8E">
        <w:t xml:space="preserve"> for financial counsellors</w:t>
      </w:r>
      <w:r w:rsidR="00055161">
        <w:t xml:space="preserve">. </w:t>
      </w:r>
    </w:p>
    <w:p w:rsidR="00A57E4B" w:rsidRDefault="00055161" w:rsidP="00775E4E">
      <w:pPr>
        <w:pStyle w:val="ListParagraph"/>
        <w:numPr>
          <w:ilvl w:val="0"/>
          <w:numId w:val="25"/>
        </w:numPr>
      </w:pPr>
      <w:r>
        <w:t>There was an agreement amongst attendees that the ‘streamlined’ processes agreed to by Telstra in the past w</w:t>
      </w:r>
      <w:r w:rsidR="00357912">
        <w:t>ere</w:t>
      </w:r>
      <w:r>
        <w:t xml:space="preserve"> not flowing through on the ground</w:t>
      </w:r>
      <w:r w:rsidR="00357912">
        <w:t xml:space="preserve"> anymore, as the </w:t>
      </w:r>
      <w:r w:rsidR="00A57E4B">
        <w:t>‘bulk-debt’ waivers</w:t>
      </w:r>
      <w:r w:rsidR="005B3331">
        <w:t xml:space="preserve"> agreed to with Telstra</w:t>
      </w:r>
      <w:r w:rsidR="00A57E4B">
        <w:t xml:space="preserve"> had not been repeated</w:t>
      </w:r>
      <w:r w:rsidR="00357912">
        <w:t xml:space="preserve"> in similar cases</w:t>
      </w:r>
      <w:r w:rsidR="004A3E04">
        <w:t xml:space="preserve">. </w:t>
      </w:r>
    </w:p>
    <w:p w:rsidR="00A57E4B" w:rsidRDefault="00A57E4B" w:rsidP="00775E4E">
      <w:pPr>
        <w:pStyle w:val="ListParagraph"/>
        <w:numPr>
          <w:ilvl w:val="0"/>
          <w:numId w:val="25"/>
        </w:numPr>
      </w:pPr>
      <w:r>
        <w:t xml:space="preserve">The need for a systemic or ‘super’ complaints process to be developed was </w:t>
      </w:r>
      <w:r w:rsidR="00D563BE">
        <w:t>supported</w:t>
      </w:r>
      <w:r>
        <w:t xml:space="preserve">, with individual </w:t>
      </w:r>
      <w:r w:rsidR="00775E4E">
        <w:t>complaints being</w:t>
      </w:r>
      <w:r>
        <w:t xml:space="preserve"> unable to represent the scope of the problems that exist. </w:t>
      </w:r>
    </w:p>
    <w:p w:rsidR="00B87DC3" w:rsidRDefault="005B3331" w:rsidP="00775E4E">
      <w:pPr>
        <w:pStyle w:val="ListParagraph"/>
        <w:numPr>
          <w:ilvl w:val="0"/>
          <w:numId w:val="25"/>
        </w:numPr>
      </w:pPr>
      <w:r>
        <w:t>It was</w:t>
      </w:r>
      <w:r w:rsidR="00B87DC3">
        <w:t xml:space="preserve"> noted that going to the </w:t>
      </w:r>
      <w:r w:rsidR="00AA6AEC">
        <w:t xml:space="preserve">TIO was </w:t>
      </w:r>
      <w:r w:rsidR="00775E4E">
        <w:t>useful when</w:t>
      </w:r>
      <w:r w:rsidR="00AA6AEC">
        <w:t xml:space="preserve"> debts had been </w:t>
      </w:r>
      <w:r w:rsidR="00775E4E">
        <w:t>on sold</w:t>
      </w:r>
      <w:r w:rsidR="00AA6AEC">
        <w:t xml:space="preserve"> by providers</w:t>
      </w:r>
      <w:r w:rsidR="001F0D28">
        <w:t xml:space="preserve">, </w:t>
      </w:r>
      <w:r w:rsidR="005744FA">
        <w:t>but financial counsellors hadn’t found the experience of using the TIO particularly easy</w:t>
      </w:r>
      <w:r w:rsidR="00AA6AEC">
        <w:t>.</w:t>
      </w:r>
    </w:p>
    <w:p w:rsidR="00055161" w:rsidRDefault="00055161" w:rsidP="00775E4E">
      <w:pPr>
        <w:pStyle w:val="ListParagraph"/>
        <w:numPr>
          <w:ilvl w:val="0"/>
          <w:numId w:val="23"/>
        </w:numPr>
      </w:pPr>
      <w:r>
        <w:t>In many instances</w:t>
      </w:r>
      <w:r w:rsidR="005B3331">
        <w:t>,</w:t>
      </w:r>
      <w:r>
        <w:t xml:space="preserve"> the solution</w:t>
      </w:r>
      <w:r w:rsidR="00D563BE">
        <w:t>s</w:t>
      </w:r>
      <w:r>
        <w:t xml:space="preserve"> offered by service providers</w:t>
      </w:r>
      <w:r w:rsidR="00D563BE">
        <w:t xml:space="preserve"> to resolve an individual case</w:t>
      </w:r>
      <w:r>
        <w:t xml:space="preserve"> </w:t>
      </w:r>
      <w:r w:rsidR="00D563BE">
        <w:t xml:space="preserve">cannot </w:t>
      </w:r>
      <w:r>
        <w:t xml:space="preserve">be accepted because </w:t>
      </w:r>
      <w:r w:rsidR="00D563BE">
        <w:t>they</w:t>
      </w:r>
      <w:r>
        <w:t xml:space="preserve"> involve the return of equipment long since lost or damaged.</w:t>
      </w:r>
    </w:p>
    <w:p w:rsidR="00055161" w:rsidRDefault="00055161" w:rsidP="00775E4E">
      <w:pPr>
        <w:pStyle w:val="ListParagraph"/>
        <w:numPr>
          <w:ilvl w:val="0"/>
          <w:numId w:val="23"/>
        </w:numPr>
      </w:pPr>
      <w:r>
        <w:t xml:space="preserve">The legality of agreements with service providers was also questioned, with many noting that the contracts </w:t>
      </w:r>
      <w:r w:rsidR="00D563BE">
        <w:t>may</w:t>
      </w:r>
      <w:r>
        <w:t xml:space="preserve"> be unconscionable, and should be subject to investigation by the ACCC as breaches of the ACL.</w:t>
      </w:r>
    </w:p>
    <w:p w:rsidR="0017316D" w:rsidRDefault="0017316D">
      <w:pPr>
        <w:rPr>
          <w:color w:val="FF0000"/>
        </w:rPr>
      </w:pPr>
    </w:p>
    <w:p w:rsidR="00643A48" w:rsidRDefault="00643A48">
      <w:pPr>
        <w:rPr>
          <w:color w:val="FF0000"/>
        </w:rPr>
      </w:pPr>
    </w:p>
    <w:p w:rsidR="00A57E4B" w:rsidRPr="00775E4E" w:rsidRDefault="00A57E4B">
      <w:pPr>
        <w:rPr>
          <w:b/>
        </w:rPr>
      </w:pPr>
      <w:r w:rsidRPr="00775E4E">
        <w:rPr>
          <w:b/>
        </w:rPr>
        <w:lastRenderedPageBreak/>
        <w:t xml:space="preserve">Access and infrastructure assessment </w:t>
      </w:r>
    </w:p>
    <w:p w:rsidR="00A57E4B" w:rsidRDefault="00CE6AFB" w:rsidP="00775E4E">
      <w:pPr>
        <w:pStyle w:val="ListParagraph"/>
        <w:numPr>
          <w:ilvl w:val="0"/>
          <w:numId w:val="26"/>
        </w:numPr>
      </w:pPr>
      <w:r>
        <w:t>There have been significant improvements in coverage and availability of services due to investments in infrastructure, however many communities were identified as still lacking adequate infrastructure.</w:t>
      </w:r>
    </w:p>
    <w:p w:rsidR="00D57FCE" w:rsidRDefault="00D57FCE" w:rsidP="00775E4E">
      <w:pPr>
        <w:pStyle w:val="ListParagraph"/>
        <w:numPr>
          <w:ilvl w:val="0"/>
          <w:numId w:val="26"/>
        </w:numPr>
      </w:pPr>
      <w:r>
        <w:t xml:space="preserve">Although there are a variety of programs at a state and </w:t>
      </w:r>
      <w:r w:rsidR="005B3331">
        <w:t>F</w:t>
      </w:r>
      <w:r>
        <w:t xml:space="preserve">ederal government level, as well as private programs (Telstra and NBN) there </w:t>
      </w:r>
      <w:r w:rsidR="00D563BE">
        <w:t xml:space="preserve">appears to be </w:t>
      </w:r>
      <w:r>
        <w:t>limited co-ordination between groups to achieve effective coverage.</w:t>
      </w:r>
    </w:p>
    <w:p w:rsidR="00CE6AFB" w:rsidRDefault="00D57FCE" w:rsidP="00775E4E">
      <w:pPr>
        <w:pStyle w:val="ListParagraph"/>
        <w:numPr>
          <w:ilvl w:val="0"/>
          <w:numId w:val="26"/>
        </w:numPr>
      </w:pPr>
      <w:r>
        <w:t xml:space="preserve">On the ground in </w:t>
      </w:r>
      <w:r w:rsidR="005B3331">
        <w:t xml:space="preserve">the APY lands and in town camps, </w:t>
      </w:r>
      <w:r w:rsidR="00CE6AFB">
        <w:t>much of the public housing that</w:t>
      </w:r>
      <w:r>
        <w:t xml:space="preserve"> ha</w:t>
      </w:r>
      <w:r w:rsidR="005B3331">
        <w:t>s</w:t>
      </w:r>
      <w:r>
        <w:t xml:space="preserve"> been constructed </w:t>
      </w:r>
      <w:r w:rsidR="00CE6AFB">
        <w:t>ha</w:t>
      </w:r>
      <w:r w:rsidR="005B3331">
        <w:t>s</w:t>
      </w:r>
      <w:r w:rsidR="00CE6AFB">
        <w:t xml:space="preserve"> not been set up to receive fixed connections.</w:t>
      </w:r>
    </w:p>
    <w:p w:rsidR="00CE6AFB" w:rsidRDefault="00D57FCE" w:rsidP="00775E4E">
      <w:pPr>
        <w:pStyle w:val="ListParagraph"/>
        <w:numPr>
          <w:ilvl w:val="0"/>
          <w:numId w:val="26"/>
        </w:numPr>
      </w:pPr>
      <w:r>
        <w:t xml:space="preserve">The NBN Public-Interest Premise program and Public </w:t>
      </w:r>
      <w:proofErr w:type="spellStart"/>
      <w:r>
        <w:t>Wifi</w:t>
      </w:r>
      <w:proofErr w:type="spellEnd"/>
      <w:r>
        <w:t xml:space="preserve"> program were identified as providing some connectivity, but this varied considerably between communities. </w:t>
      </w:r>
    </w:p>
    <w:p w:rsidR="00D57FCE" w:rsidRDefault="00D57FCE" w:rsidP="00775E4E">
      <w:pPr>
        <w:pStyle w:val="ListParagraph"/>
        <w:numPr>
          <w:ilvl w:val="0"/>
          <w:numId w:val="26"/>
        </w:numPr>
      </w:pPr>
      <w:r>
        <w:t xml:space="preserve">The security of public </w:t>
      </w:r>
      <w:proofErr w:type="spellStart"/>
      <w:r>
        <w:t>wifi</w:t>
      </w:r>
      <w:proofErr w:type="spellEnd"/>
      <w:r>
        <w:t xml:space="preserve"> was also questioned, with some remote communities only being able to access this </w:t>
      </w:r>
      <w:proofErr w:type="spellStart"/>
      <w:r>
        <w:t>wifi</w:t>
      </w:r>
      <w:proofErr w:type="spellEnd"/>
      <w:r>
        <w:t xml:space="preserve"> to perform tasks (e.g. banking) which would not ordinarily be done over an unsecured </w:t>
      </w:r>
      <w:proofErr w:type="spellStart"/>
      <w:r>
        <w:t>wifi</w:t>
      </w:r>
      <w:proofErr w:type="spellEnd"/>
      <w:r>
        <w:t xml:space="preserve"> connection.</w:t>
      </w:r>
    </w:p>
    <w:p w:rsidR="00D57FCE" w:rsidRDefault="00D57FCE" w:rsidP="00775E4E">
      <w:pPr>
        <w:pStyle w:val="ListParagraph"/>
        <w:numPr>
          <w:ilvl w:val="0"/>
          <w:numId w:val="26"/>
        </w:numPr>
      </w:pPr>
      <w:r>
        <w:t xml:space="preserve">The potential for </w:t>
      </w:r>
      <w:proofErr w:type="spellStart"/>
      <w:r>
        <w:t>wifi</w:t>
      </w:r>
      <w:proofErr w:type="spellEnd"/>
      <w:r>
        <w:t xml:space="preserve"> mesh solutions to be applied was identified, but the primary constraint on greater rollout remains funding from government. </w:t>
      </w:r>
    </w:p>
    <w:p w:rsidR="0017316D" w:rsidRPr="00E96713" w:rsidRDefault="005B3331" w:rsidP="00775E4E">
      <w:pPr>
        <w:pStyle w:val="ListParagraph"/>
        <w:numPr>
          <w:ilvl w:val="0"/>
          <w:numId w:val="26"/>
        </w:numPr>
      </w:pPr>
      <w:r>
        <w:t>Importantly, from a health perspective</w:t>
      </w:r>
      <w:proofErr w:type="gramStart"/>
      <w:r>
        <w:t xml:space="preserve">, </w:t>
      </w:r>
      <w:r w:rsidR="00D57FCE">
        <w:t xml:space="preserve"> in</w:t>
      </w:r>
      <w:proofErr w:type="gramEnd"/>
      <w:r w:rsidR="00D57FCE">
        <w:t xml:space="preserve"> the absence of an on-site health workforce the lack of infrastructure precluded effective service delivery.</w:t>
      </w:r>
    </w:p>
    <w:p w:rsidR="00DB6234" w:rsidRDefault="00DB6234">
      <w:pPr>
        <w:rPr>
          <w:b/>
        </w:rPr>
      </w:pPr>
      <w:r>
        <w:rPr>
          <w:b/>
        </w:rPr>
        <w:t>Indigenous Digital Inclusion Strategy and ACCAN pre-budget submission</w:t>
      </w:r>
      <w:r w:rsidRPr="003656A8">
        <w:rPr>
          <w:b/>
        </w:rPr>
        <w:t xml:space="preserve"> </w:t>
      </w:r>
    </w:p>
    <w:p w:rsidR="00D563BE" w:rsidRPr="00D563BE" w:rsidRDefault="00D563BE">
      <w:r>
        <w:t>ACCAN’s proposed appro</w:t>
      </w:r>
      <w:r w:rsidR="005744FA">
        <w:t xml:space="preserve">ach was discussed and </w:t>
      </w:r>
      <w:r>
        <w:t xml:space="preserve">supported by attendees. ACCAN’s approach is to: </w:t>
      </w:r>
    </w:p>
    <w:p w:rsidR="00DB6234" w:rsidRDefault="001F0D28" w:rsidP="00DB6234">
      <w:pPr>
        <w:pStyle w:val="ListParagraph"/>
        <w:numPr>
          <w:ilvl w:val="0"/>
          <w:numId w:val="26"/>
        </w:numPr>
      </w:pPr>
      <w:r>
        <w:t>R</w:t>
      </w:r>
      <w:r w:rsidR="00DB6234">
        <w:t xml:space="preserve">eview existing programs to identify the gaps that exist in terms of access, and build a case for further funding being made available to address these gaps, as part of a broader Indigenous Digital Inclusion </w:t>
      </w:r>
      <w:r w:rsidR="005B3331">
        <w:t>S</w:t>
      </w:r>
      <w:r w:rsidR="00DB6234">
        <w:t>trategy.</w:t>
      </w:r>
      <w:r w:rsidR="005744FA">
        <w:t xml:space="preserve"> ACCAN is to share the information we collect as it develops. </w:t>
      </w:r>
    </w:p>
    <w:p w:rsidR="00DB6234" w:rsidRDefault="00D563BE" w:rsidP="00DB6234">
      <w:pPr>
        <w:pStyle w:val="ListParagraph"/>
        <w:numPr>
          <w:ilvl w:val="0"/>
          <w:numId w:val="26"/>
        </w:numPr>
      </w:pPr>
      <w:r>
        <w:t>Advocate for</w:t>
      </w:r>
      <w:r w:rsidR="00DB6234">
        <w:t xml:space="preserve"> funding for a dedicated Indigenous Digital Inclusion</w:t>
      </w:r>
      <w:r w:rsidR="005B3331">
        <w:t xml:space="preserve"> Strategy</w:t>
      </w:r>
      <w:r>
        <w:t xml:space="preserve">. ACCAN has already outlined this approach </w:t>
      </w:r>
      <w:r w:rsidR="00DB6234">
        <w:t xml:space="preserve">in </w:t>
      </w:r>
      <w:r w:rsidR="005B3331">
        <w:t>a</w:t>
      </w:r>
      <w:r w:rsidR="00DB6234">
        <w:t xml:space="preserve"> pre-budget submission to Treasury, and has raised the issue with the</w:t>
      </w:r>
      <w:r w:rsidR="005B3331">
        <w:t xml:space="preserve"> office of the</w:t>
      </w:r>
      <w:r w:rsidR="00DB6234">
        <w:t xml:space="preserve"> Minister for Indigenous Affairs.</w:t>
      </w:r>
    </w:p>
    <w:p w:rsidR="000F76C0" w:rsidRDefault="000F76C0" w:rsidP="00775E4E">
      <w:pPr>
        <w:pStyle w:val="ListParagraph"/>
      </w:pPr>
    </w:p>
    <w:p w:rsidR="005744FA" w:rsidRDefault="000F76C0" w:rsidP="00775E4E">
      <w:pPr>
        <w:pStyle w:val="ListParagraph"/>
        <w:ind w:left="0"/>
      </w:pPr>
      <w:r>
        <w:t xml:space="preserve">Attendees were supportive of ACCAN </w:t>
      </w:r>
      <w:r w:rsidR="005744FA">
        <w:t>continu</w:t>
      </w:r>
      <w:r>
        <w:t>ing</w:t>
      </w:r>
      <w:r w:rsidR="005744FA">
        <w:t xml:space="preserve"> to gather information about existing infrastructure programs, and share the information we collect. </w:t>
      </w:r>
    </w:p>
    <w:p w:rsidR="001F0D28" w:rsidRDefault="00885103" w:rsidP="00885103">
      <w:pPr>
        <w:pStyle w:val="Heading1"/>
        <w:rPr>
          <w:sz w:val="24"/>
        </w:rPr>
      </w:pPr>
      <w:r w:rsidRPr="00775E4E">
        <w:rPr>
          <w:sz w:val="24"/>
        </w:rPr>
        <w:t>Telstra</w:t>
      </w:r>
      <w:r w:rsidR="001F0D28">
        <w:rPr>
          <w:sz w:val="24"/>
        </w:rPr>
        <w:t xml:space="preserve"> presentation and discussion. </w:t>
      </w:r>
    </w:p>
    <w:p w:rsidR="00885103" w:rsidRPr="001F0D28" w:rsidRDefault="00885103" w:rsidP="00775E4E">
      <w:r w:rsidRPr="001F0D28">
        <w:t>Mark Sulikowski, Senior Advisor, Indigenous Digital Capability</w:t>
      </w:r>
      <w:r w:rsidR="001F0D28">
        <w:t xml:space="preserve"> with Telstra gave an informal update to the meeting. </w:t>
      </w:r>
      <w:r w:rsidR="005744FA">
        <w:t xml:space="preserve">This included: </w:t>
      </w:r>
    </w:p>
    <w:p w:rsidR="000476E3" w:rsidRPr="00775E4E" w:rsidRDefault="00FB16FF" w:rsidP="00775E4E">
      <w:pPr>
        <w:pStyle w:val="ListParagraph"/>
        <w:numPr>
          <w:ilvl w:val="0"/>
          <w:numId w:val="27"/>
        </w:numPr>
      </w:pPr>
      <w:proofErr w:type="gramStart"/>
      <w:r>
        <w:t>a</w:t>
      </w:r>
      <w:proofErr w:type="gramEnd"/>
      <w:r w:rsidR="000476E3" w:rsidRPr="00775E4E">
        <w:t xml:space="preserve"> brief overview </w:t>
      </w:r>
      <w:r>
        <w:t>of</w:t>
      </w:r>
      <w:r w:rsidR="000476E3" w:rsidRPr="00775E4E">
        <w:t xml:space="preserve"> recent efforts</w:t>
      </w:r>
      <w:r w:rsidR="005744FA">
        <w:t xml:space="preserve"> by Telstra</w:t>
      </w:r>
      <w:r w:rsidR="000476E3" w:rsidRPr="00775E4E">
        <w:t xml:space="preserve"> to address upselling and inappropriate extension of credit in communities. </w:t>
      </w:r>
    </w:p>
    <w:p w:rsidR="000476E3" w:rsidRDefault="005744FA" w:rsidP="00775E4E">
      <w:pPr>
        <w:pStyle w:val="ListParagraph"/>
        <w:numPr>
          <w:ilvl w:val="0"/>
          <w:numId w:val="27"/>
        </w:numPr>
      </w:pPr>
      <w:r>
        <w:t>An o</w:t>
      </w:r>
      <w:r w:rsidR="001F0D28">
        <w:t>utline</w:t>
      </w:r>
      <w:r>
        <w:t xml:space="preserve"> of</w:t>
      </w:r>
      <w:r w:rsidR="001F0D28">
        <w:t xml:space="preserve"> the main elements of the new </w:t>
      </w:r>
      <w:r w:rsidR="000476E3" w:rsidRPr="00775E4E">
        <w:t>Telstra R</w:t>
      </w:r>
      <w:r w:rsidR="001F0D28">
        <w:t xml:space="preserve">econciliation Action Plan that has recently been published. </w:t>
      </w:r>
      <w:r w:rsidR="000476E3" w:rsidRPr="00775E4E">
        <w:t xml:space="preserve"> </w:t>
      </w:r>
    </w:p>
    <w:p w:rsidR="00756293" w:rsidRPr="00775E4E" w:rsidRDefault="005744FA" w:rsidP="00775E4E">
      <w:pPr>
        <w:pStyle w:val="ListParagraph"/>
        <w:numPr>
          <w:ilvl w:val="0"/>
          <w:numId w:val="27"/>
        </w:numPr>
      </w:pPr>
      <w:r>
        <w:t>An o</w:t>
      </w:r>
      <w:r w:rsidR="001F0D28">
        <w:t>utline</w:t>
      </w:r>
      <w:r>
        <w:t xml:space="preserve"> of</w:t>
      </w:r>
      <w:r w:rsidR="001F0D28">
        <w:t xml:space="preserve"> t</w:t>
      </w:r>
      <w:r w:rsidR="00077CD2">
        <w:t>he Telstra 2022</w:t>
      </w:r>
      <w:r w:rsidR="00756293">
        <w:t xml:space="preserve"> strategy of simplifying its market offerings from 1800 legacy plans to 20 plans. </w:t>
      </w:r>
      <w:r w:rsidR="00FB16FF">
        <w:t xml:space="preserve"> </w:t>
      </w:r>
      <w:r w:rsidR="00756293">
        <w:t xml:space="preserve"> </w:t>
      </w:r>
      <w:r w:rsidR="00FB16FF">
        <w:t xml:space="preserve">New plans will prevent </w:t>
      </w:r>
      <w:r w:rsidR="00756293">
        <w:t xml:space="preserve">excess data charges and </w:t>
      </w:r>
      <w:r w:rsidR="00FB16FF">
        <w:t xml:space="preserve">there will be month by </w:t>
      </w:r>
      <w:r w:rsidR="00FB16FF">
        <w:lastRenderedPageBreak/>
        <w:t xml:space="preserve">month contracts. </w:t>
      </w:r>
      <w:r w:rsidR="00077CD2">
        <w:t xml:space="preserve"> The program will commence in July 2019 and be rolled out through to 2022.</w:t>
      </w:r>
    </w:p>
    <w:p w:rsidR="00756293" w:rsidRDefault="005744FA" w:rsidP="00775E4E">
      <w:pPr>
        <w:pStyle w:val="ListParagraph"/>
        <w:numPr>
          <w:ilvl w:val="0"/>
          <w:numId w:val="27"/>
        </w:numPr>
      </w:pPr>
      <w:r>
        <w:t>An explanation of</w:t>
      </w:r>
      <w:r w:rsidR="001F0D28">
        <w:t xml:space="preserve"> </w:t>
      </w:r>
      <w:r w:rsidR="00756293" w:rsidRPr="00775E4E">
        <w:t>Telstra</w:t>
      </w:r>
      <w:r w:rsidR="001F0D28">
        <w:t xml:space="preserve">’s </w:t>
      </w:r>
      <w:r w:rsidR="00756293" w:rsidRPr="00775E4E">
        <w:t xml:space="preserve">changes to selling practices so there </w:t>
      </w:r>
      <w:r w:rsidR="00FB16FF">
        <w:t>will</w:t>
      </w:r>
      <w:r w:rsidR="00756293" w:rsidRPr="00775E4E">
        <w:t xml:space="preserve"> be a restriction of 1 post-paid service per customer</w:t>
      </w:r>
      <w:r w:rsidR="00F30F3B">
        <w:t xml:space="preserve"> using their own device</w:t>
      </w:r>
      <w:r w:rsidR="00756293" w:rsidRPr="00775E4E">
        <w:t>, with an assessment of ability to pay for new customers in high-risk locations.</w:t>
      </w:r>
    </w:p>
    <w:p w:rsidR="00F30F3B" w:rsidRPr="00775E4E" w:rsidRDefault="00F30F3B" w:rsidP="00775E4E">
      <w:pPr>
        <w:pStyle w:val="ListParagraph"/>
        <w:numPr>
          <w:ilvl w:val="0"/>
          <w:numId w:val="27"/>
        </w:numPr>
      </w:pPr>
      <w:r>
        <w:t xml:space="preserve">An explanation of a new specialised assistance team for Indigenous customers, based in Melbourne, and sitting in the credit management area. </w:t>
      </w:r>
    </w:p>
    <w:p w:rsidR="000476E3" w:rsidRPr="00775E4E" w:rsidRDefault="000476E3" w:rsidP="001F0D28">
      <w:r w:rsidRPr="00775E4E">
        <w:t>The proposed changes to the extension of credit and limitation on the number of services sold were considered by the group, and considered to be insufficient to address the substantive issues f</w:t>
      </w:r>
      <w:r w:rsidR="00756293">
        <w:t xml:space="preserve">aced </w:t>
      </w:r>
      <w:r w:rsidR="00FB16FF">
        <w:t>caused by</w:t>
      </w:r>
      <w:r w:rsidR="00756293">
        <w:t xml:space="preserve"> upselling due to the narrow scope of the proposed change</w:t>
      </w:r>
      <w:r w:rsidR="00FB16FF">
        <w:t>s</w:t>
      </w:r>
      <w:r w:rsidR="00756293">
        <w:t>.</w:t>
      </w:r>
    </w:p>
    <w:p w:rsidR="00756293" w:rsidRPr="00775E4E" w:rsidRDefault="00FB16FF" w:rsidP="001F0D28">
      <w:r>
        <w:t>There was concern that</w:t>
      </w:r>
      <w:r w:rsidR="00756293" w:rsidRPr="00775E4E">
        <w:t xml:space="preserve"> the changes did not address the underlying incentive problem associated with commission based selling models</w:t>
      </w:r>
      <w:r w:rsidR="00F30F3B">
        <w:t>, because buying devices was the major contributor to high levels of debt and the 1 post</w:t>
      </w:r>
      <w:r w:rsidR="000F76C0">
        <w:t>-</w:t>
      </w:r>
      <w:r w:rsidR="00F30F3B">
        <w:t xml:space="preserve"> paid service per customer restriction did not address this. </w:t>
      </w:r>
    </w:p>
    <w:p w:rsidR="000476E3" w:rsidRPr="00775E4E" w:rsidRDefault="00FB16FF" w:rsidP="00775E4E">
      <w:pPr>
        <w:pStyle w:val="ListParagraph"/>
        <w:numPr>
          <w:ilvl w:val="0"/>
          <w:numId w:val="27"/>
        </w:numPr>
      </w:pPr>
      <w:r>
        <w:t xml:space="preserve">Feedback to </w:t>
      </w:r>
      <w:r w:rsidR="000476E3" w:rsidRPr="00775E4E">
        <w:t xml:space="preserve">Telstra was that the streamlined </w:t>
      </w:r>
      <w:r w:rsidR="00C14F36" w:rsidRPr="00775E4E">
        <w:t>dispute resolution processes had not facilitated the timely resolution of disputes concerning credits and upselling.</w:t>
      </w:r>
    </w:p>
    <w:p w:rsidR="001E5FDC" w:rsidRPr="00775E4E" w:rsidRDefault="004C376F" w:rsidP="00775E4E">
      <w:pPr>
        <w:pStyle w:val="ListParagraph"/>
        <w:numPr>
          <w:ilvl w:val="0"/>
          <w:numId w:val="27"/>
        </w:numPr>
      </w:pPr>
      <w:r>
        <w:t>Mark Sulikowski</w:t>
      </w:r>
      <w:r w:rsidR="00FB16FF">
        <w:t xml:space="preserve"> </w:t>
      </w:r>
      <w:r w:rsidR="001E5FDC" w:rsidRPr="00775E4E">
        <w:t>encouraged all members of the group to directly raise matters with him so that he can advise internal Telstra staff about the need for further changes with respect to credit policy and sales practices in remote communities.</w:t>
      </w:r>
      <w:r w:rsidR="00077CD2" w:rsidRPr="00775E4E">
        <w:t xml:space="preserve"> </w:t>
      </w:r>
    </w:p>
    <w:p w:rsidR="00077CD2" w:rsidRPr="00775E4E" w:rsidRDefault="004C376F" w:rsidP="00775E4E">
      <w:pPr>
        <w:pStyle w:val="ListParagraph"/>
        <w:numPr>
          <w:ilvl w:val="0"/>
          <w:numId w:val="27"/>
        </w:numPr>
      </w:pPr>
      <w:r>
        <w:t xml:space="preserve"> Mark Sulikowski</w:t>
      </w:r>
      <w:r w:rsidR="00077CD2" w:rsidRPr="00775E4E">
        <w:t xml:space="preserve"> </w:t>
      </w:r>
      <w:r>
        <w:t>noted they are</w:t>
      </w:r>
      <w:r w:rsidR="00077CD2" w:rsidRPr="00775E4E">
        <w:t xml:space="preserve"> engaged in improving staff training in regional and remote areas</w:t>
      </w:r>
      <w:r w:rsidR="00F30F3B">
        <w:t xml:space="preserve"> stores</w:t>
      </w:r>
      <w:r w:rsidR="00077CD2" w:rsidRPr="00775E4E">
        <w:t xml:space="preserve"> to ensure better customer outcomes. The lack of training was identified as a significant and ongoing problem </w:t>
      </w:r>
      <w:r w:rsidR="00FB16FF">
        <w:t>by attendees</w:t>
      </w:r>
      <w:r w:rsidR="00077CD2" w:rsidRPr="00775E4E">
        <w:t>.</w:t>
      </w:r>
    </w:p>
    <w:p w:rsidR="00F30F3B" w:rsidRDefault="00756293" w:rsidP="00F30F3B">
      <w:pPr>
        <w:pStyle w:val="ListParagraph"/>
        <w:numPr>
          <w:ilvl w:val="0"/>
          <w:numId w:val="27"/>
        </w:numPr>
      </w:pPr>
      <w:r w:rsidRPr="00775E4E">
        <w:t>The continued problems associated with authorisation</w:t>
      </w:r>
      <w:r w:rsidR="00FB16FF">
        <w:t xml:space="preserve"> to act on behalf of a client,</w:t>
      </w:r>
      <w:r w:rsidRPr="00775E4E">
        <w:t xml:space="preserve"> and </w:t>
      </w:r>
      <w:r w:rsidR="00077CD2" w:rsidRPr="00775E4E">
        <w:t>confirmation of client identity</w:t>
      </w:r>
      <w:r w:rsidR="005744FA">
        <w:t>,</w:t>
      </w:r>
      <w:r w:rsidR="00077CD2" w:rsidRPr="00775E4E">
        <w:t xml:space="preserve"> w</w:t>
      </w:r>
      <w:r w:rsidR="00FB16FF">
        <w:t>ere</w:t>
      </w:r>
      <w:r w:rsidRPr="00775E4E">
        <w:t xml:space="preserve"> highlighted as being a barrier to the resolution of disputes. </w:t>
      </w:r>
    </w:p>
    <w:p w:rsidR="00F30F3B" w:rsidRPr="00885103" w:rsidRDefault="00F30F3B" w:rsidP="00F30F3B">
      <w:pPr>
        <w:pStyle w:val="ListParagraph"/>
        <w:numPr>
          <w:ilvl w:val="0"/>
          <w:numId w:val="27"/>
        </w:numPr>
      </w:pPr>
      <w:r>
        <w:t>The voiding of contracts was identified as an inappropriate remedy where consumers had made payments in good faith to unaffordable contracts – with refunds and compensation being the appropriate remedy where there had been unconscionable conduct.</w:t>
      </w:r>
    </w:p>
    <w:p w:rsidR="00F30F3B" w:rsidRDefault="00F30F3B" w:rsidP="00F30F3B">
      <w:pPr>
        <w:pStyle w:val="ListParagraph"/>
        <w:numPr>
          <w:ilvl w:val="0"/>
          <w:numId w:val="27"/>
        </w:numPr>
      </w:pPr>
      <w:r>
        <w:t xml:space="preserve">Overall, there is concern that the cases of high debt on telco bills are continuing. There is a network of financial counsellors working on these issues at the moment. </w:t>
      </w:r>
    </w:p>
    <w:p w:rsidR="00F30F3B" w:rsidRDefault="00F30F3B" w:rsidP="00F30F3B">
      <w:pPr>
        <w:pStyle w:val="ListParagraph"/>
        <w:numPr>
          <w:ilvl w:val="0"/>
          <w:numId w:val="27"/>
        </w:numPr>
      </w:pPr>
      <w:r>
        <w:t xml:space="preserve">Questions were asked about the new specialised assistance team, and what level of debt they were permitted to waiver. </w:t>
      </w:r>
    </w:p>
    <w:p w:rsidR="000A2C17" w:rsidRDefault="00F30F3B" w:rsidP="00676A58">
      <w:pPr>
        <w:ind w:left="360"/>
      </w:pPr>
      <w:r>
        <w:t>ACTION</w:t>
      </w:r>
      <w:r w:rsidR="004F1363">
        <w:t>S</w:t>
      </w:r>
      <w:r>
        <w:t xml:space="preserve">: </w:t>
      </w:r>
    </w:p>
    <w:p w:rsidR="00F30F3B" w:rsidRDefault="00F30F3B" w:rsidP="00775E4E">
      <w:pPr>
        <w:pStyle w:val="ListParagraph"/>
        <w:numPr>
          <w:ilvl w:val="0"/>
          <w:numId w:val="31"/>
        </w:numPr>
      </w:pPr>
      <w:r>
        <w:t xml:space="preserve">Telstra </w:t>
      </w:r>
      <w:r w:rsidR="000F76C0">
        <w:t xml:space="preserve">agreed to </w:t>
      </w:r>
      <w:r>
        <w:t xml:space="preserve">provide further information on the level of delegation of specialist team staff. </w:t>
      </w:r>
    </w:p>
    <w:p w:rsidR="000A2C17" w:rsidRDefault="000A2C17" w:rsidP="00775E4E">
      <w:pPr>
        <w:pStyle w:val="ListParagraph"/>
        <w:numPr>
          <w:ilvl w:val="0"/>
          <w:numId w:val="31"/>
        </w:numPr>
      </w:pPr>
      <w:r>
        <w:t xml:space="preserve">Telstra </w:t>
      </w:r>
      <w:r w:rsidR="000F76C0">
        <w:t xml:space="preserve">agreed to </w:t>
      </w:r>
      <w:r>
        <w:t>follow up on concerns raised about financial counsellors’ authorisation to act on behalf of clients, and check the current status of the groups they are dealing with.</w:t>
      </w:r>
    </w:p>
    <w:p w:rsidR="0017316D" w:rsidRDefault="0017316D" w:rsidP="00775E4E">
      <w:pPr>
        <w:pStyle w:val="ListParagraph"/>
      </w:pPr>
    </w:p>
    <w:p w:rsidR="000A2C17" w:rsidRDefault="00FB16FF" w:rsidP="00F30F3B">
      <w:r>
        <w:t xml:space="preserve">Boost services were discussed as a viable cheaper option for remote consumers. Telstra advised there is </w:t>
      </w:r>
      <w:r w:rsidR="00147B81">
        <w:t>no cap</w:t>
      </w:r>
      <w:r>
        <w:t xml:space="preserve"> on service availability</w:t>
      </w:r>
      <w:r w:rsidR="00147B81">
        <w:t>, and that network coverage should be the same</w:t>
      </w:r>
      <w:r>
        <w:t xml:space="preserve"> but that this needed confirmation. </w:t>
      </w:r>
      <w:r w:rsidR="00147B81">
        <w:t xml:space="preserve"> </w:t>
      </w:r>
      <w:r w:rsidR="00F30F3B">
        <w:t>The</w:t>
      </w:r>
      <w:r w:rsidR="00814EFB">
        <w:t xml:space="preserve"> problem </w:t>
      </w:r>
      <w:r w:rsidR="00F30F3B">
        <w:t xml:space="preserve">of </w:t>
      </w:r>
      <w:r w:rsidR="00814EFB">
        <w:t>Boost SIMs need</w:t>
      </w:r>
      <w:r w:rsidR="00F30F3B">
        <w:t>ing</w:t>
      </w:r>
      <w:r w:rsidR="00814EFB">
        <w:t xml:space="preserve"> to be posted</w:t>
      </w:r>
      <w:r w:rsidR="00F30F3B">
        <w:t xml:space="preserve"> was discussed and explored</w:t>
      </w:r>
      <w:r w:rsidR="00814EFB">
        <w:t xml:space="preserve">, </w:t>
      </w:r>
      <w:r w:rsidR="00F30F3B">
        <w:t>with attendees explaining that</w:t>
      </w:r>
      <w:r w:rsidR="00147B81">
        <w:t xml:space="preserve"> delivery of SIMs to remote locations </w:t>
      </w:r>
      <w:r w:rsidR="00814EFB">
        <w:t>is</w:t>
      </w:r>
      <w:r w:rsidR="00147B81">
        <w:t xml:space="preserve"> exceptionally difficult in the </w:t>
      </w:r>
      <w:r w:rsidR="00147B81">
        <w:lastRenderedPageBreak/>
        <w:t>absence of street addresses</w:t>
      </w:r>
      <w:r w:rsidR="00814EFB">
        <w:t xml:space="preserve">. Alternative addresses were also problematic if the premises were not secured. </w:t>
      </w:r>
    </w:p>
    <w:p w:rsidR="00147B81" w:rsidRDefault="000A2C17" w:rsidP="00F30F3B">
      <w:r>
        <w:t xml:space="preserve">ACTION: Telstra will confirm Boost coverage footprint and get back to ACCAN on this. </w:t>
      </w:r>
    </w:p>
    <w:p w:rsidR="00FB4081" w:rsidRPr="00520AEE" w:rsidRDefault="00FB4081" w:rsidP="00520AEE">
      <w:pPr>
        <w:rPr>
          <w:b/>
        </w:rPr>
      </w:pPr>
      <w:r w:rsidRPr="00520AEE">
        <w:rPr>
          <w:b/>
        </w:rPr>
        <w:t>TIO</w:t>
      </w:r>
      <w:r w:rsidR="002D0C20" w:rsidRPr="00520AEE">
        <w:rPr>
          <w:b/>
        </w:rPr>
        <w:t xml:space="preserve"> </w:t>
      </w:r>
    </w:p>
    <w:p w:rsidR="00FB4081" w:rsidRDefault="00DD41F9" w:rsidP="00775E4E">
      <w:pPr>
        <w:pStyle w:val="ListParagraph"/>
        <w:numPr>
          <w:ilvl w:val="0"/>
          <w:numId w:val="24"/>
        </w:numPr>
      </w:pPr>
      <w:r>
        <w:t>There is a d</w:t>
      </w:r>
      <w:r w:rsidR="00FB4081">
        <w:t>edicated Indigenous phone line but you have to know about it as it’s not listed anywhere in general materials</w:t>
      </w:r>
      <w:r>
        <w:t xml:space="preserve"> or on the website. </w:t>
      </w:r>
    </w:p>
    <w:p w:rsidR="00FB4081" w:rsidRDefault="00814EFB" w:rsidP="00775E4E">
      <w:pPr>
        <w:pStyle w:val="ListParagraph"/>
        <w:numPr>
          <w:ilvl w:val="0"/>
          <w:numId w:val="24"/>
        </w:numPr>
      </w:pPr>
      <w:r>
        <w:t>TIO o</w:t>
      </w:r>
      <w:r w:rsidR="00FB4081">
        <w:t>utreach for Indigenous consumers no longer happening</w:t>
      </w:r>
      <w:r w:rsidR="00520AEE">
        <w:t>.</w:t>
      </w:r>
    </w:p>
    <w:p w:rsidR="00FB4081" w:rsidRDefault="00DD41F9" w:rsidP="00775E4E">
      <w:pPr>
        <w:pStyle w:val="ListParagraph"/>
        <w:numPr>
          <w:ilvl w:val="0"/>
          <w:numId w:val="24"/>
        </w:numPr>
      </w:pPr>
      <w:r>
        <w:t>The TIO does not provide specific</w:t>
      </w:r>
      <w:r w:rsidR="00FB4081">
        <w:t xml:space="preserve"> Indigenous statistics</w:t>
      </w:r>
      <w:r>
        <w:t xml:space="preserve">. An issue was raised about how the TIO collects demographic information, and whether people who call the general TIO line can or should be asked whether they are Indigenous. </w:t>
      </w:r>
      <w:r w:rsidR="00FB4081">
        <w:t xml:space="preserve"> </w:t>
      </w:r>
    </w:p>
    <w:p w:rsidR="00FB4081" w:rsidRDefault="00FB4081" w:rsidP="00775E4E">
      <w:pPr>
        <w:pStyle w:val="ListParagraph"/>
        <w:numPr>
          <w:ilvl w:val="0"/>
          <w:numId w:val="24"/>
        </w:numPr>
      </w:pPr>
      <w:r>
        <w:t xml:space="preserve">Culturally, Indigenous </w:t>
      </w:r>
      <w:r w:rsidR="00814EFB">
        <w:t xml:space="preserve">consumers </w:t>
      </w:r>
      <w:r>
        <w:t>are less likely to complain when compared to general population.</w:t>
      </w:r>
    </w:p>
    <w:p w:rsidR="00885103" w:rsidRDefault="00885103" w:rsidP="00885103">
      <w:pPr>
        <w:pStyle w:val="Heading1"/>
      </w:pPr>
      <w:r>
        <w:t>Research focus 2019-20</w:t>
      </w:r>
    </w:p>
    <w:p w:rsidR="00885103" w:rsidRDefault="00885103" w:rsidP="00885103">
      <w:pPr>
        <w:rPr>
          <w:color w:val="FF0000"/>
          <w:lang w:eastAsia="en-US"/>
        </w:rPr>
      </w:pPr>
    </w:p>
    <w:p w:rsidR="00316C52" w:rsidRDefault="00814EFB" w:rsidP="00775E4E">
      <w:pPr>
        <w:pStyle w:val="ListParagraph"/>
        <w:numPr>
          <w:ilvl w:val="0"/>
          <w:numId w:val="29"/>
        </w:numPr>
        <w:rPr>
          <w:lang w:eastAsia="en-US"/>
        </w:rPr>
      </w:pPr>
      <w:r>
        <w:rPr>
          <w:lang w:eastAsia="en-US"/>
        </w:rPr>
        <w:t>ACCAN</w:t>
      </w:r>
      <w:r w:rsidR="00885103" w:rsidRPr="00775E4E">
        <w:rPr>
          <w:lang w:eastAsia="en-US"/>
        </w:rPr>
        <w:t xml:space="preserve"> outlined the initial conclusions drawn from ACCAN research into commission based selling. The results indicate that there was limited difference between service providers, with pressure to sell and achieve sales target being a significant driver of upselling and cross-selling behaviour.</w:t>
      </w:r>
    </w:p>
    <w:p w:rsidR="00885103" w:rsidRPr="00775E4E" w:rsidRDefault="00885103" w:rsidP="00885103">
      <w:pPr>
        <w:rPr>
          <w:lang w:eastAsia="en-US"/>
        </w:rPr>
      </w:pPr>
      <w:r w:rsidRPr="00775E4E">
        <w:rPr>
          <w:lang w:eastAsia="en-US"/>
        </w:rPr>
        <w:t>Suggested topics for research were</w:t>
      </w:r>
      <w:r w:rsidR="009A3523">
        <w:rPr>
          <w:lang w:eastAsia="en-US"/>
        </w:rPr>
        <w:t>:</w:t>
      </w:r>
    </w:p>
    <w:p w:rsidR="00885103" w:rsidRPr="00775E4E" w:rsidRDefault="00885103" w:rsidP="00775E4E">
      <w:pPr>
        <w:pStyle w:val="ListParagraph"/>
        <w:numPr>
          <w:ilvl w:val="0"/>
          <w:numId w:val="29"/>
        </w:numPr>
      </w:pPr>
      <w:r w:rsidRPr="00775E4E">
        <w:t>Targeted research of shop-front selling practices in regional centres to asse</w:t>
      </w:r>
      <w:r w:rsidR="00316C52" w:rsidRPr="00775E4E">
        <w:t>s</w:t>
      </w:r>
      <w:r w:rsidRPr="00775E4E">
        <w:t>s consumer understanding of products and services on offer.</w:t>
      </w:r>
      <w:r w:rsidR="00316C52" w:rsidRPr="00775E4E">
        <w:t xml:space="preserve"> This could be in the form of a citizen’s advice bureau/triage centre to </w:t>
      </w:r>
      <w:r w:rsidR="00F140DA">
        <w:t xml:space="preserve">act as an independent resource to </w:t>
      </w:r>
      <w:proofErr w:type="gramStart"/>
      <w:r w:rsidR="00F140DA">
        <w:t xml:space="preserve">help </w:t>
      </w:r>
      <w:r w:rsidR="00316C52" w:rsidRPr="00775E4E">
        <w:t xml:space="preserve"> at</w:t>
      </w:r>
      <w:proofErr w:type="gramEnd"/>
      <w:r w:rsidR="00316C52" w:rsidRPr="00775E4E">
        <w:t xml:space="preserve"> risk consumers, and identify issues that they face</w:t>
      </w:r>
      <w:r w:rsidR="00F140DA">
        <w:t>,</w:t>
      </w:r>
      <w:r w:rsidR="004F1363">
        <w:t xml:space="preserve"> </w:t>
      </w:r>
      <w:r w:rsidR="00F140DA">
        <w:t xml:space="preserve">which </w:t>
      </w:r>
      <w:r w:rsidR="0064114A">
        <w:t xml:space="preserve">would be in a good position to collect </w:t>
      </w:r>
      <w:r w:rsidR="00F140DA">
        <w:t>information</w:t>
      </w:r>
      <w:r w:rsidR="00316C52" w:rsidRPr="00775E4E">
        <w:t>.</w:t>
      </w:r>
    </w:p>
    <w:p w:rsidR="00F140DA" w:rsidRDefault="00316C52" w:rsidP="00775E4E">
      <w:pPr>
        <w:pStyle w:val="ListParagraph"/>
        <w:numPr>
          <w:ilvl w:val="0"/>
          <w:numId w:val="29"/>
        </w:numPr>
      </w:pPr>
      <w:r w:rsidRPr="00775E4E">
        <w:t>R</w:t>
      </w:r>
      <w:r w:rsidR="00885103" w:rsidRPr="00775E4E">
        <w:t xml:space="preserve">esearch on selling practices and level of </w:t>
      </w:r>
      <w:r w:rsidR="007908E4" w:rsidRPr="00775E4E">
        <w:t>telecommunications</w:t>
      </w:r>
      <w:r w:rsidR="00885103" w:rsidRPr="00775E4E">
        <w:t xml:space="preserve"> debts in communities – it was noted that </w:t>
      </w:r>
      <w:r w:rsidR="0064114A">
        <w:t xml:space="preserve"> clients of</w:t>
      </w:r>
      <w:r w:rsidR="00885103" w:rsidRPr="00775E4E">
        <w:t xml:space="preserve"> 5 financial counsell</w:t>
      </w:r>
      <w:r w:rsidR="00814EFB">
        <w:t>ing organisations</w:t>
      </w:r>
      <w:r w:rsidR="0064114A">
        <w:t xml:space="preserve"> had incurred debts of </w:t>
      </w:r>
      <w:r w:rsidR="00885103" w:rsidRPr="00775E4E">
        <w:t xml:space="preserve"> about</w:t>
      </w:r>
      <w:r w:rsidRPr="00775E4E">
        <w:t xml:space="preserve">  $500,000</w:t>
      </w:r>
    </w:p>
    <w:p w:rsidR="00885103" w:rsidRPr="00775E4E" w:rsidRDefault="00F140DA" w:rsidP="00775E4E">
      <w:pPr>
        <w:pStyle w:val="ListParagraph"/>
        <w:numPr>
          <w:ilvl w:val="0"/>
          <w:numId w:val="29"/>
        </w:numPr>
        <w:rPr>
          <w:b/>
        </w:rPr>
      </w:pPr>
      <w:r>
        <w:t xml:space="preserve">It was agreed that the </w:t>
      </w:r>
      <w:proofErr w:type="spellStart"/>
      <w:r>
        <w:t>Indig</w:t>
      </w:r>
      <w:r w:rsidR="004F1363">
        <w:t>M</w:t>
      </w:r>
      <w:r>
        <w:t>ob</w:t>
      </w:r>
      <w:proofErr w:type="spellEnd"/>
      <w:r>
        <w:t xml:space="preserve"> model was good because it involved community members working within </w:t>
      </w:r>
      <w:r w:rsidR="0064114A">
        <w:t xml:space="preserve">their community to help people, and a useful way of conveying information. </w:t>
      </w:r>
      <w:r>
        <w:t xml:space="preserve">It was flagged that information on how to compare telco products would be useful and could be explored further. </w:t>
      </w:r>
      <w:r w:rsidR="00316C52" w:rsidRPr="00775E4E">
        <w:t xml:space="preserve"> </w:t>
      </w:r>
    </w:p>
    <w:p w:rsidR="00F140DA" w:rsidRPr="00775E4E" w:rsidRDefault="00F140DA" w:rsidP="004933B2">
      <w:pPr>
        <w:pStyle w:val="Heading1"/>
        <w:spacing w:after="240"/>
      </w:pPr>
      <w:r w:rsidRPr="00775E4E">
        <w:t>Summary</w:t>
      </w:r>
      <w:r w:rsidR="0064114A">
        <w:t>,</w:t>
      </w:r>
      <w:r w:rsidRPr="00775E4E">
        <w:t xml:space="preserve"> ACCAN future policy directions and outreach opportunities</w:t>
      </w:r>
    </w:p>
    <w:p w:rsidR="009A7580" w:rsidRPr="00775E4E" w:rsidRDefault="009A7580" w:rsidP="009A7580">
      <w:r w:rsidRPr="00775E4E">
        <w:t>The participants listed the following as priorities for Indigenous consumers:</w:t>
      </w:r>
    </w:p>
    <w:p w:rsidR="009A7580" w:rsidRDefault="00643A48" w:rsidP="00775E4E">
      <w:pPr>
        <w:pStyle w:val="ListParagraph"/>
        <w:numPr>
          <w:ilvl w:val="0"/>
          <w:numId w:val="28"/>
        </w:numPr>
      </w:pPr>
      <w:proofErr w:type="spellStart"/>
      <w:r>
        <w:t>Mis</w:t>
      </w:r>
      <w:proofErr w:type="spellEnd"/>
      <w:r>
        <w:t xml:space="preserve">-selling and upselling of </w:t>
      </w:r>
      <w:r w:rsidR="00F140DA">
        <w:t xml:space="preserve">telco products and services to </w:t>
      </w:r>
      <w:r>
        <w:t>consumers;</w:t>
      </w:r>
    </w:p>
    <w:p w:rsidR="00643A48" w:rsidRDefault="00384824" w:rsidP="00775E4E">
      <w:pPr>
        <w:pStyle w:val="ListParagraph"/>
        <w:numPr>
          <w:ilvl w:val="0"/>
          <w:numId w:val="28"/>
        </w:numPr>
      </w:pPr>
      <w:r>
        <w:t>Consumer protections and enforcement of the ACL;</w:t>
      </w:r>
    </w:p>
    <w:p w:rsidR="00643A48" w:rsidRDefault="00384824" w:rsidP="00775E4E">
      <w:pPr>
        <w:pStyle w:val="ListParagraph"/>
        <w:numPr>
          <w:ilvl w:val="0"/>
          <w:numId w:val="28"/>
        </w:numPr>
      </w:pPr>
      <w:r>
        <w:t xml:space="preserve">Credit assessment, </w:t>
      </w:r>
      <w:r w:rsidR="00643A48">
        <w:t>debt</w:t>
      </w:r>
      <w:r>
        <w:t xml:space="preserve"> and dispute resolution (hardship) processes</w:t>
      </w:r>
      <w:r w:rsidR="00643A48">
        <w:t>.</w:t>
      </w:r>
    </w:p>
    <w:p w:rsidR="0064114A" w:rsidRDefault="0064114A" w:rsidP="00775E4E">
      <w:r>
        <w:lastRenderedPageBreak/>
        <w:t xml:space="preserve">There was also support for ACCAN to continue to work on access to infrastructure to deliver appropriate communications services to remote communities. </w:t>
      </w:r>
    </w:p>
    <w:p w:rsidR="00885103" w:rsidRPr="00775E4E" w:rsidRDefault="00885103" w:rsidP="00775E4E">
      <w:pPr>
        <w:pStyle w:val="BodyText1"/>
        <w:rPr>
          <w:rFonts w:asciiTheme="minorHAnsi" w:hAnsiTheme="minorHAnsi" w:cstheme="minorHAnsi"/>
        </w:rPr>
      </w:pPr>
      <w:r w:rsidRPr="00775E4E">
        <w:rPr>
          <w:rFonts w:asciiTheme="minorHAnsi" w:hAnsiTheme="minorHAnsi" w:cstheme="minorHAnsi"/>
        </w:rPr>
        <w:t>Advice was provided to ACCAN on opportunities for further community engagement including through attendance at the Aboriginal Knockouts (ACBF)</w:t>
      </w:r>
      <w:r w:rsidR="004F1363">
        <w:rPr>
          <w:rFonts w:asciiTheme="minorHAnsi" w:hAnsiTheme="minorHAnsi" w:cstheme="minorHAnsi"/>
        </w:rPr>
        <w:t xml:space="preserve">, </w:t>
      </w:r>
      <w:r w:rsidRPr="00775E4E">
        <w:rPr>
          <w:rFonts w:asciiTheme="minorHAnsi" w:hAnsiTheme="minorHAnsi" w:cstheme="minorHAnsi"/>
        </w:rPr>
        <w:t>community festivals and events such as the Alice Festival</w:t>
      </w:r>
      <w:r w:rsidR="0064114A">
        <w:rPr>
          <w:rFonts w:asciiTheme="minorHAnsi" w:hAnsiTheme="minorHAnsi" w:cstheme="minorHAnsi"/>
        </w:rPr>
        <w:t>, and NAIDOC day events in urban areas</w:t>
      </w:r>
      <w:r w:rsidRPr="00775E4E">
        <w:rPr>
          <w:rFonts w:asciiTheme="minorHAnsi" w:hAnsiTheme="minorHAnsi" w:cstheme="minorHAnsi"/>
        </w:rPr>
        <w:t>.</w:t>
      </w:r>
    </w:p>
    <w:p w:rsidR="00D22014" w:rsidRPr="009A3523" w:rsidRDefault="00D22014" w:rsidP="004C376F">
      <w:pPr>
        <w:pStyle w:val="Heading1"/>
        <w:spacing w:after="240"/>
      </w:pPr>
      <w:r w:rsidRPr="009A3523">
        <w:t>Conclusion</w:t>
      </w:r>
    </w:p>
    <w:p w:rsidR="00D22014" w:rsidRPr="009A3523" w:rsidRDefault="00D22014" w:rsidP="00E0094A">
      <w:r w:rsidRPr="009A3523">
        <w:t xml:space="preserve">The feedback and suggestions made </w:t>
      </w:r>
      <w:r w:rsidR="00066D4C" w:rsidRPr="009A3523">
        <w:t xml:space="preserve">at the </w:t>
      </w:r>
      <w:r w:rsidR="0083223A" w:rsidRPr="009A3523">
        <w:t>Indigenous</w:t>
      </w:r>
      <w:r w:rsidR="00066D4C" w:rsidRPr="009A3523">
        <w:t xml:space="preserve"> Advisory Forum</w:t>
      </w:r>
      <w:r w:rsidRPr="009A3523">
        <w:t xml:space="preserve"> will be used to </w:t>
      </w:r>
      <w:r w:rsidR="00426C32" w:rsidRPr="009A3523">
        <w:t>inform</w:t>
      </w:r>
      <w:r w:rsidR="00DB45B5" w:rsidRPr="009A3523">
        <w:t xml:space="preserve"> ACCAN’s</w:t>
      </w:r>
      <w:r w:rsidRPr="009A3523">
        <w:t xml:space="preserve"> </w:t>
      </w:r>
      <w:r w:rsidR="003D12EE" w:rsidRPr="009A3523">
        <w:t xml:space="preserve">future </w:t>
      </w:r>
      <w:r w:rsidRPr="009A3523">
        <w:t xml:space="preserve">policy priorities, </w:t>
      </w:r>
      <w:r w:rsidR="00426C32" w:rsidRPr="009A3523">
        <w:t xml:space="preserve">policy focus, </w:t>
      </w:r>
      <w:r w:rsidRPr="009A3523">
        <w:t xml:space="preserve">operations plan and research activity plan. </w:t>
      </w:r>
      <w:r w:rsidR="00426C32" w:rsidRPr="009A3523">
        <w:t xml:space="preserve">These will be circulated to members of the Forum when finalised. </w:t>
      </w:r>
    </w:p>
    <w:p w:rsidR="00345DBC" w:rsidRPr="009A3523" w:rsidRDefault="00D22014" w:rsidP="00DB45B5">
      <w:pPr>
        <w:rPr>
          <w:rFonts w:cstheme="minorHAnsi"/>
        </w:rPr>
      </w:pPr>
      <w:r w:rsidRPr="009A3523">
        <w:t>ACCAN CEO</w:t>
      </w:r>
      <w:r w:rsidR="00C91D7F" w:rsidRPr="009A3523">
        <w:t>, Teresa Corbin,</w:t>
      </w:r>
      <w:r w:rsidRPr="009A3523">
        <w:t xml:space="preserve"> thanked the</w:t>
      </w:r>
      <w:r w:rsidR="00755685" w:rsidRPr="009A3523">
        <w:t xml:space="preserve"> </w:t>
      </w:r>
      <w:r w:rsidR="0083223A" w:rsidRPr="009A3523">
        <w:t>I</w:t>
      </w:r>
      <w:r w:rsidR="0064114A">
        <w:t xml:space="preserve">ndigenous </w:t>
      </w:r>
      <w:r w:rsidR="00066D4C" w:rsidRPr="009A3523">
        <w:t>A</w:t>
      </w:r>
      <w:r w:rsidR="0064114A">
        <w:t xml:space="preserve">dvisory </w:t>
      </w:r>
      <w:r w:rsidR="00066D4C" w:rsidRPr="009A3523">
        <w:t>F</w:t>
      </w:r>
      <w:r w:rsidR="0064114A">
        <w:t>orum</w:t>
      </w:r>
      <w:r w:rsidRPr="009A3523">
        <w:t xml:space="preserve"> participants</w:t>
      </w:r>
      <w:r w:rsidR="006F7A83" w:rsidRPr="009A3523">
        <w:t xml:space="preserve"> for</w:t>
      </w:r>
      <w:r w:rsidR="009F128F" w:rsidRPr="009A3523">
        <w:t xml:space="preserve"> </w:t>
      </w:r>
      <w:r w:rsidR="006F7A83" w:rsidRPr="009A3523">
        <w:t xml:space="preserve">their time and </w:t>
      </w:r>
      <w:r w:rsidR="00C40C32" w:rsidRPr="009A3523">
        <w:t>valuable</w:t>
      </w:r>
      <w:r w:rsidR="006F7A83" w:rsidRPr="009A3523">
        <w:t xml:space="preserve"> contributions.</w:t>
      </w:r>
    </w:p>
    <w:sectPr w:rsidR="00345DBC" w:rsidRPr="009A3523" w:rsidSect="00D43B58">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D4" w:rsidRDefault="00A009D4" w:rsidP="00D43B58">
      <w:pPr>
        <w:spacing w:after="0" w:line="240" w:lineRule="auto"/>
      </w:pPr>
      <w:r>
        <w:separator/>
      </w:r>
    </w:p>
  </w:endnote>
  <w:endnote w:type="continuationSeparator" w:id="0">
    <w:p w:rsidR="00A009D4" w:rsidRDefault="00A009D4"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582263"/>
      <w:docPartObj>
        <w:docPartGallery w:val="Page Numbers (Bottom of Page)"/>
        <w:docPartUnique/>
      </w:docPartObj>
    </w:sdtPr>
    <w:sdtEndPr>
      <w:rPr>
        <w:noProof/>
      </w:rPr>
    </w:sdtEndPr>
    <w:sdtContent>
      <w:p w:rsidR="00042BDD" w:rsidRDefault="00042BDD">
        <w:pPr>
          <w:pStyle w:val="Footer"/>
          <w:jc w:val="right"/>
        </w:pPr>
        <w:r>
          <w:fldChar w:fldCharType="begin"/>
        </w:r>
        <w:r>
          <w:instrText xml:space="preserve"> PAGE   \* MERGEFORMAT </w:instrText>
        </w:r>
        <w:r>
          <w:fldChar w:fldCharType="separate"/>
        </w:r>
        <w:r w:rsidR="004C376F">
          <w:rPr>
            <w:noProof/>
          </w:rPr>
          <w:t>2</w:t>
        </w:r>
        <w:r>
          <w:rPr>
            <w:noProof/>
          </w:rPr>
          <w:fldChar w:fldCharType="end"/>
        </w:r>
      </w:p>
    </w:sdtContent>
  </w:sdt>
  <w:p w:rsidR="00042BDD" w:rsidRDefault="00042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D4" w:rsidRDefault="00A009D4" w:rsidP="00D43B58">
      <w:pPr>
        <w:spacing w:after="0" w:line="240" w:lineRule="auto"/>
      </w:pPr>
      <w:r>
        <w:separator/>
      </w:r>
    </w:p>
  </w:footnote>
  <w:footnote w:type="continuationSeparator" w:id="0">
    <w:p w:rsidR="00A009D4" w:rsidRDefault="00A009D4" w:rsidP="00D43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5D" w:rsidRDefault="00FE365D" w:rsidP="00D43B58">
    <w:pPr>
      <w:pStyle w:val="Header"/>
      <w:tabs>
        <w:tab w:val="left" w:pos="1524"/>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5D" w:rsidRDefault="00FE365D" w:rsidP="00D43B58">
    <w:pPr>
      <w:pStyle w:val="Header"/>
      <w:tabs>
        <w:tab w:val="clear" w:pos="4513"/>
        <w:tab w:val="clear" w:pos="9026"/>
        <w:tab w:val="left" w:pos="3349"/>
      </w:tabs>
      <w:jc w:val="center"/>
    </w:pPr>
    <w:r>
      <w:rPr>
        <w:noProof/>
      </w:rPr>
      <w:drawing>
        <wp:inline distT="0" distB="0" distL="0" distR="0">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B56"/>
    <w:multiLevelType w:val="hybridMultilevel"/>
    <w:tmpl w:val="8E780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F1D5E"/>
    <w:multiLevelType w:val="hybridMultilevel"/>
    <w:tmpl w:val="C6F2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83097"/>
    <w:multiLevelType w:val="hybridMultilevel"/>
    <w:tmpl w:val="92A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B1A9C"/>
    <w:multiLevelType w:val="hybridMultilevel"/>
    <w:tmpl w:val="22CAEB9A"/>
    <w:lvl w:ilvl="0" w:tplc="5CE2D1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ED2C59"/>
    <w:multiLevelType w:val="hybridMultilevel"/>
    <w:tmpl w:val="01E40724"/>
    <w:lvl w:ilvl="0" w:tplc="5CE2D1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633B1D"/>
    <w:multiLevelType w:val="hybridMultilevel"/>
    <w:tmpl w:val="D804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687198"/>
    <w:multiLevelType w:val="hybridMultilevel"/>
    <w:tmpl w:val="9FBA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17961"/>
    <w:multiLevelType w:val="hybridMultilevel"/>
    <w:tmpl w:val="8C4E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62413"/>
    <w:multiLevelType w:val="hybridMultilevel"/>
    <w:tmpl w:val="BDF04CD4"/>
    <w:lvl w:ilvl="0" w:tplc="39666E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71010"/>
    <w:multiLevelType w:val="hybridMultilevel"/>
    <w:tmpl w:val="70E21F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1E03732"/>
    <w:multiLevelType w:val="hybridMultilevel"/>
    <w:tmpl w:val="810C2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249F3"/>
    <w:multiLevelType w:val="hybridMultilevel"/>
    <w:tmpl w:val="653A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A7B7C"/>
    <w:multiLevelType w:val="hybridMultilevel"/>
    <w:tmpl w:val="A2C4D472"/>
    <w:lvl w:ilvl="0" w:tplc="5CE2D1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18567C"/>
    <w:multiLevelType w:val="hybridMultilevel"/>
    <w:tmpl w:val="1482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950C80"/>
    <w:multiLevelType w:val="hybridMultilevel"/>
    <w:tmpl w:val="0488587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78611B0"/>
    <w:multiLevelType w:val="hybridMultilevel"/>
    <w:tmpl w:val="21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13435"/>
    <w:multiLevelType w:val="hybridMultilevel"/>
    <w:tmpl w:val="C1706734"/>
    <w:lvl w:ilvl="0" w:tplc="5CE2D1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EF6D19"/>
    <w:multiLevelType w:val="hybridMultilevel"/>
    <w:tmpl w:val="449A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B1AA6"/>
    <w:multiLevelType w:val="hybridMultilevel"/>
    <w:tmpl w:val="E6B6668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5D0B2B3E"/>
    <w:multiLevelType w:val="hybridMultilevel"/>
    <w:tmpl w:val="3F46F61C"/>
    <w:lvl w:ilvl="0" w:tplc="C158DE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F0CBD"/>
    <w:multiLevelType w:val="hybridMultilevel"/>
    <w:tmpl w:val="D8C6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2E42DC"/>
    <w:multiLevelType w:val="hybridMultilevel"/>
    <w:tmpl w:val="4CEE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D5DFD"/>
    <w:multiLevelType w:val="hybridMultilevel"/>
    <w:tmpl w:val="1EF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3A4381"/>
    <w:multiLevelType w:val="hybridMultilevel"/>
    <w:tmpl w:val="F85E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37728"/>
    <w:multiLevelType w:val="hybridMultilevel"/>
    <w:tmpl w:val="22F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C02F32"/>
    <w:multiLevelType w:val="hybridMultilevel"/>
    <w:tmpl w:val="B6A2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BC251D"/>
    <w:multiLevelType w:val="hybridMultilevel"/>
    <w:tmpl w:val="253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1F6006"/>
    <w:multiLevelType w:val="hybridMultilevel"/>
    <w:tmpl w:val="4D7E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8E7793"/>
    <w:multiLevelType w:val="hybridMultilevel"/>
    <w:tmpl w:val="0DA2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CB3802"/>
    <w:multiLevelType w:val="hybridMultilevel"/>
    <w:tmpl w:val="6846D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F72AB4"/>
    <w:multiLevelType w:val="hybridMultilevel"/>
    <w:tmpl w:val="0CFC6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9"/>
  </w:num>
  <w:num w:numId="4">
    <w:abstractNumId w:val="5"/>
  </w:num>
  <w:num w:numId="5">
    <w:abstractNumId w:val="20"/>
  </w:num>
  <w:num w:numId="6">
    <w:abstractNumId w:val="16"/>
  </w:num>
  <w:num w:numId="7">
    <w:abstractNumId w:val="26"/>
  </w:num>
  <w:num w:numId="8">
    <w:abstractNumId w:val="18"/>
  </w:num>
  <w:num w:numId="9">
    <w:abstractNumId w:val="24"/>
  </w:num>
  <w:num w:numId="10">
    <w:abstractNumId w:val="27"/>
  </w:num>
  <w:num w:numId="11">
    <w:abstractNumId w:val="2"/>
  </w:num>
  <w:num w:numId="12">
    <w:abstractNumId w:val="0"/>
  </w:num>
  <w:num w:numId="13">
    <w:abstractNumId w:val="12"/>
  </w:num>
  <w:num w:numId="14">
    <w:abstractNumId w:val="3"/>
  </w:num>
  <w:num w:numId="15">
    <w:abstractNumId w:val="4"/>
  </w:num>
  <w:num w:numId="16">
    <w:abstractNumId w:val="11"/>
  </w:num>
  <w:num w:numId="17">
    <w:abstractNumId w:val="22"/>
  </w:num>
  <w:num w:numId="18">
    <w:abstractNumId w:val="10"/>
  </w:num>
  <w:num w:numId="19">
    <w:abstractNumId w:val="8"/>
  </w:num>
  <w:num w:numId="20">
    <w:abstractNumId w:val="19"/>
  </w:num>
  <w:num w:numId="21">
    <w:abstractNumId w:val="28"/>
  </w:num>
  <w:num w:numId="22">
    <w:abstractNumId w:val="1"/>
  </w:num>
  <w:num w:numId="23">
    <w:abstractNumId w:val="15"/>
  </w:num>
  <w:num w:numId="24">
    <w:abstractNumId w:val="30"/>
  </w:num>
  <w:num w:numId="25">
    <w:abstractNumId w:val="21"/>
  </w:num>
  <w:num w:numId="26">
    <w:abstractNumId w:val="23"/>
  </w:num>
  <w:num w:numId="27">
    <w:abstractNumId w:val="25"/>
  </w:num>
  <w:num w:numId="28">
    <w:abstractNumId w:val="17"/>
  </w:num>
  <w:num w:numId="29">
    <w:abstractNumId w:val="6"/>
  </w:num>
  <w:num w:numId="30">
    <w:abstractNumId w:val="7"/>
  </w:num>
  <w:num w:numId="3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71"/>
    <w:rsid w:val="00002BED"/>
    <w:rsid w:val="00002C1E"/>
    <w:rsid w:val="00003DE4"/>
    <w:rsid w:val="00005EDC"/>
    <w:rsid w:val="000147AF"/>
    <w:rsid w:val="000260D0"/>
    <w:rsid w:val="00030E9C"/>
    <w:rsid w:val="00042858"/>
    <w:rsid w:val="00042BDD"/>
    <w:rsid w:val="000436E4"/>
    <w:rsid w:val="000476E3"/>
    <w:rsid w:val="00047BD3"/>
    <w:rsid w:val="000528DF"/>
    <w:rsid w:val="00053F69"/>
    <w:rsid w:val="00054DEE"/>
    <w:rsid w:val="00055161"/>
    <w:rsid w:val="00056109"/>
    <w:rsid w:val="000563BA"/>
    <w:rsid w:val="0005724A"/>
    <w:rsid w:val="00060DF6"/>
    <w:rsid w:val="00061C6D"/>
    <w:rsid w:val="0006218A"/>
    <w:rsid w:val="00064930"/>
    <w:rsid w:val="000654C6"/>
    <w:rsid w:val="00066D4C"/>
    <w:rsid w:val="00067ED4"/>
    <w:rsid w:val="00070D4E"/>
    <w:rsid w:val="00077CD2"/>
    <w:rsid w:val="00077D14"/>
    <w:rsid w:val="00080E1C"/>
    <w:rsid w:val="0008336A"/>
    <w:rsid w:val="00085703"/>
    <w:rsid w:val="00090CE7"/>
    <w:rsid w:val="000918F3"/>
    <w:rsid w:val="00093ACF"/>
    <w:rsid w:val="000A0470"/>
    <w:rsid w:val="000A2370"/>
    <w:rsid w:val="000A2C17"/>
    <w:rsid w:val="000A4B84"/>
    <w:rsid w:val="000B6290"/>
    <w:rsid w:val="000C52CB"/>
    <w:rsid w:val="000D22B3"/>
    <w:rsid w:val="000D24B5"/>
    <w:rsid w:val="000D7A15"/>
    <w:rsid w:val="000E2C70"/>
    <w:rsid w:val="000E60CB"/>
    <w:rsid w:val="000E6DA3"/>
    <w:rsid w:val="000F76C0"/>
    <w:rsid w:val="00114FFC"/>
    <w:rsid w:val="00125763"/>
    <w:rsid w:val="00126A35"/>
    <w:rsid w:val="001345E5"/>
    <w:rsid w:val="00137D94"/>
    <w:rsid w:val="0014322C"/>
    <w:rsid w:val="00147B81"/>
    <w:rsid w:val="00150933"/>
    <w:rsid w:val="00155942"/>
    <w:rsid w:val="001577E9"/>
    <w:rsid w:val="00171192"/>
    <w:rsid w:val="0017316D"/>
    <w:rsid w:val="0017476E"/>
    <w:rsid w:val="00177DDA"/>
    <w:rsid w:val="001814AE"/>
    <w:rsid w:val="00185C46"/>
    <w:rsid w:val="001874FB"/>
    <w:rsid w:val="00187A11"/>
    <w:rsid w:val="00195F6A"/>
    <w:rsid w:val="00196E66"/>
    <w:rsid w:val="00197694"/>
    <w:rsid w:val="001A34DD"/>
    <w:rsid w:val="001A5C95"/>
    <w:rsid w:val="001B0208"/>
    <w:rsid w:val="001B4E30"/>
    <w:rsid w:val="001B51B5"/>
    <w:rsid w:val="001C453B"/>
    <w:rsid w:val="001D6E9E"/>
    <w:rsid w:val="001E3590"/>
    <w:rsid w:val="001E5FDC"/>
    <w:rsid w:val="001E7374"/>
    <w:rsid w:val="001F0D28"/>
    <w:rsid w:val="001F3485"/>
    <w:rsid w:val="001F608F"/>
    <w:rsid w:val="001F62C2"/>
    <w:rsid w:val="001F7836"/>
    <w:rsid w:val="00205A66"/>
    <w:rsid w:val="00205F82"/>
    <w:rsid w:val="00207983"/>
    <w:rsid w:val="00207F1B"/>
    <w:rsid w:val="00210196"/>
    <w:rsid w:val="00221297"/>
    <w:rsid w:val="0022265F"/>
    <w:rsid w:val="00225171"/>
    <w:rsid w:val="002416D3"/>
    <w:rsid w:val="0024415B"/>
    <w:rsid w:val="00244EAC"/>
    <w:rsid w:val="00251FF8"/>
    <w:rsid w:val="00254F5D"/>
    <w:rsid w:val="00260596"/>
    <w:rsid w:val="00260FDB"/>
    <w:rsid w:val="00275061"/>
    <w:rsid w:val="002A5CD1"/>
    <w:rsid w:val="002A7112"/>
    <w:rsid w:val="002B11C5"/>
    <w:rsid w:val="002B4FAD"/>
    <w:rsid w:val="002B54F5"/>
    <w:rsid w:val="002B6347"/>
    <w:rsid w:val="002B6956"/>
    <w:rsid w:val="002C0D84"/>
    <w:rsid w:val="002C27C5"/>
    <w:rsid w:val="002D0C20"/>
    <w:rsid w:val="002D143D"/>
    <w:rsid w:val="002D24B1"/>
    <w:rsid w:val="002D2B0A"/>
    <w:rsid w:val="002D33EF"/>
    <w:rsid w:val="002D45DC"/>
    <w:rsid w:val="002D6D1F"/>
    <w:rsid w:val="002E7106"/>
    <w:rsid w:val="002F0134"/>
    <w:rsid w:val="002F0798"/>
    <w:rsid w:val="002F4B22"/>
    <w:rsid w:val="002F6F04"/>
    <w:rsid w:val="003000FA"/>
    <w:rsid w:val="003054DA"/>
    <w:rsid w:val="00311E2F"/>
    <w:rsid w:val="003166B0"/>
    <w:rsid w:val="00316C52"/>
    <w:rsid w:val="003206B0"/>
    <w:rsid w:val="003328B0"/>
    <w:rsid w:val="00335386"/>
    <w:rsid w:val="00335E28"/>
    <w:rsid w:val="0034143B"/>
    <w:rsid w:val="00342037"/>
    <w:rsid w:val="00345DBC"/>
    <w:rsid w:val="0035006F"/>
    <w:rsid w:val="00353975"/>
    <w:rsid w:val="0035516C"/>
    <w:rsid w:val="00357912"/>
    <w:rsid w:val="00361175"/>
    <w:rsid w:val="00363171"/>
    <w:rsid w:val="00363D60"/>
    <w:rsid w:val="00364B41"/>
    <w:rsid w:val="0037203E"/>
    <w:rsid w:val="00374CB6"/>
    <w:rsid w:val="003760D4"/>
    <w:rsid w:val="0038190A"/>
    <w:rsid w:val="00384824"/>
    <w:rsid w:val="00387D7F"/>
    <w:rsid w:val="0039255F"/>
    <w:rsid w:val="003969C8"/>
    <w:rsid w:val="003A2E56"/>
    <w:rsid w:val="003A5CC8"/>
    <w:rsid w:val="003B03F8"/>
    <w:rsid w:val="003B1147"/>
    <w:rsid w:val="003B5416"/>
    <w:rsid w:val="003B5938"/>
    <w:rsid w:val="003B5A14"/>
    <w:rsid w:val="003C0683"/>
    <w:rsid w:val="003C07B3"/>
    <w:rsid w:val="003C1F06"/>
    <w:rsid w:val="003D05B0"/>
    <w:rsid w:val="003D12EE"/>
    <w:rsid w:val="003D39EE"/>
    <w:rsid w:val="003D3F5A"/>
    <w:rsid w:val="003E03EB"/>
    <w:rsid w:val="003E47C2"/>
    <w:rsid w:val="003E4850"/>
    <w:rsid w:val="003F4DF3"/>
    <w:rsid w:val="003F70C5"/>
    <w:rsid w:val="00405200"/>
    <w:rsid w:val="004125C6"/>
    <w:rsid w:val="00414158"/>
    <w:rsid w:val="004153EB"/>
    <w:rsid w:val="0041660E"/>
    <w:rsid w:val="004236C1"/>
    <w:rsid w:val="00426C32"/>
    <w:rsid w:val="00430786"/>
    <w:rsid w:val="00431DE6"/>
    <w:rsid w:val="004328F8"/>
    <w:rsid w:val="00435AA0"/>
    <w:rsid w:val="004366A9"/>
    <w:rsid w:val="00440A07"/>
    <w:rsid w:val="0044277E"/>
    <w:rsid w:val="00445807"/>
    <w:rsid w:val="0044608C"/>
    <w:rsid w:val="00447522"/>
    <w:rsid w:val="004525DF"/>
    <w:rsid w:val="00452D59"/>
    <w:rsid w:val="00470815"/>
    <w:rsid w:val="00470A1E"/>
    <w:rsid w:val="00477A4B"/>
    <w:rsid w:val="00482B63"/>
    <w:rsid w:val="004852BA"/>
    <w:rsid w:val="004909C7"/>
    <w:rsid w:val="00492856"/>
    <w:rsid w:val="004933B2"/>
    <w:rsid w:val="00495884"/>
    <w:rsid w:val="0049796E"/>
    <w:rsid w:val="00497CEC"/>
    <w:rsid w:val="004A0278"/>
    <w:rsid w:val="004A099D"/>
    <w:rsid w:val="004A2823"/>
    <w:rsid w:val="004A3E04"/>
    <w:rsid w:val="004A3FAF"/>
    <w:rsid w:val="004B4204"/>
    <w:rsid w:val="004C0457"/>
    <w:rsid w:val="004C376F"/>
    <w:rsid w:val="004C3ECE"/>
    <w:rsid w:val="004C6D30"/>
    <w:rsid w:val="004D1E98"/>
    <w:rsid w:val="004D724E"/>
    <w:rsid w:val="004E0496"/>
    <w:rsid w:val="004E4D2F"/>
    <w:rsid w:val="004F1363"/>
    <w:rsid w:val="004F3B0E"/>
    <w:rsid w:val="004F6A56"/>
    <w:rsid w:val="004F7227"/>
    <w:rsid w:val="00512F44"/>
    <w:rsid w:val="00520AEE"/>
    <w:rsid w:val="0052261D"/>
    <w:rsid w:val="00531293"/>
    <w:rsid w:val="00531E2E"/>
    <w:rsid w:val="00534FAF"/>
    <w:rsid w:val="005351AC"/>
    <w:rsid w:val="0053655F"/>
    <w:rsid w:val="00536ECB"/>
    <w:rsid w:val="00537313"/>
    <w:rsid w:val="00537F22"/>
    <w:rsid w:val="0054494C"/>
    <w:rsid w:val="00545D35"/>
    <w:rsid w:val="005535A2"/>
    <w:rsid w:val="005561B2"/>
    <w:rsid w:val="00560415"/>
    <w:rsid w:val="005649CD"/>
    <w:rsid w:val="0056657B"/>
    <w:rsid w:val="00566BFB"/>
    <w:rsid w:val="00573BE2"/>
    <w:rsid w:val="005744FA"/>
    <w:rsid w:val="00583249"/>
    <w:rsid w:val="00583B6A"/>
    <w:rsid w:val="00585649"/>
    <w:rsid w:val="00590444"/>
    <w:rsid w:val="00596EA5"/>
    <w:rsid w:val="005A0DA9"/>
    <w:rsid w:val="005A2CAF"/>
    <w:rsid w:val="005A5430"/>
    <w:rsid w:val="005B0F53"/>
    <w:rsid w:val="005B2269"/>
    <w:rsid w:val="005B3331"/>
    <w:rsid w:val="005B5BCF"/>
    <w:rsid w:val="005B67D6"/>
    <w:rsid w:val="005C2F67"/>
    <w:rsid w:val="005C5163"/>
    <w:rsid w:val="005D17C0"/>
    <w:rsid w:val="005D691D"/>
    <w:rsid w:val="005D6A27"/>
    <w:rsid w:val="005E32EA"/>
    <w:rsid w:val="00606D22"/>
    <w:rsid w:val="00607986"/>
    <w:rsid w:val="00614018"/>
    <w:rsid w:val="00614BD5"/>
    <w:rsid w:val="00617082"/>
    <w:rsid w:val="00625BF4"/>
    <w:rsid w:val="00625F56"/>
    <w:rsid w:val="00626276"/>
    <w:rsid w:val="00626FC7"/>
    <w:rsid w:val="0062796F"/>
    <w:rsid w:val="006361B8"/>
    <w:rsid w:val="0064114A"/>
    <w:rsid w:val="00643A48"/>
    <w:rsid w:val="00644FD2"/>
    <w:rsid w:val="00647898"/>
    <w:rsid w:val="00660891"/>
    <w:rsid w:val="006753D7"/>
    <w:rsid w:val="00675FDE"/>
    <w:rsid w:val="00676A58"/>
    <w:rsid w:val="0067729F"/>
    <w:rsid w:val="006802A0"/>
    <w:rsid w:val="006864C9"/>
    <w:rsid w:val="006942CC"/>
    <w:rsid w:val="00694895"/>
    <w:rsid w:val="006A0D83"/>
    <w:rsid w:val="006A2EE1"/>
    <w:rsid w:val="006A379F"/>
    <w:rsid w:val="006A6C47"/>
    <w:rsid w:val="006B148F"/>
    <w:rsid w:val="006B19B9"/>
    <w:rsid w:val="006B4A2C"/>
    <w:rsid w:val="006C6AFA"/>
    <w:rsid w:val="006D5ACB"/>
    <w:rsid w:val="006E1EF5"/>
    <w:rsid w:val="006E4DAC"/>
    <w:rsid w:val="006E7232"/>
    <w:rsid w:val="006F0911"/>
    <w:rsid w:val="006F4FCB"/>
    <w:rsid w:val="006F7A83"/>
    <w:rsid w:val="00701E02"/>
    <w:rsid w:val="00711F8B"/>
    <w:rsid w:val="00716181"/>
    <w:rsid w:val="00720370"/>
    <w:rsid w:val="00721BF5"/>
    <w:rsid w:val="00730CA9"/>
    <w:rsid w:val="007406C7"/>
    <w:rsid w:val="0074343F"/>
    <w:rsid w:val="007440AD"/>
    <w:rsid w:val="00750537"/>
    <w:rsid w:val="00755685"/>
    <w:rsid w:val="00755D9D"/>
    <w:rsid w:val="00756293"/>
    <w:rsid w:val="007618A8"/>
    <w:rsid w:val="007620FC"/>
    <w:rsid w:val="00765CD5"/>
    <w:rsid w:val="007677C4"/>
    <w:rsid w:val="007711B7"/>
    <w:rsid w:val="00775E4E"/>
    <w:rsid w:val="00775EB8"/>
    <w:rsid w:val="0077640F"/>
    <w:rsid w:val="00780A4E"/>
    <w:rsid w:val="00784C88"/>
    <w:rsid w:val="00786050"/>
    <w:rsid w:val="0078726F"/>
    <w:rsid w:val="00787506"/>
    <w:rsid w:val="007900DA"/>
    <w:rsid w:val="007908E4"/>
    <w:rsid w:val="0079091F"/>
    <w:rsid w:val="00790975"/>
    <w:rsid w:val="00792354"/>
    <w:rsid w:val="00793CA9"/>
    <w:rsid w:val="007A53AC"/>
    <w:rsid w:val="007A6E02"/>
    <w:rsid w:val="007A7402"/>
    <w:rsid w:val="007B7638"/>
    <w:rsid w:val="007C16C4"/>
    <w:rsid w:val="007D4AB8"/>
    <w:rsid w:val="007D4D3D"/>
    <w:rsid w:val="007D51D3"/>
    <w:rsid w:val="007E478E"/>
    <w:rsid w:val="007F3433"/>
    <w:rsid w:val="008014B5"/>
    <w:rsid w:val="0080155E"/>
    <w:rsid w:val="00804BBF"/>
    <w:rsid w:val="008063C9"/>
    <w:rsid w:val="008075D2"/>
    <w:rsid w:val="0081304D"/>
    <w:rsid w:val="00814B91"/>
    <w:rsid w:val="00814EFB"/>
    <w:rsid w:val="00820790"/>
    <w:rsid w:val="00825CD7"/>
    <w:rsid w:val="00826354"/>
    <w:rsid w:val="00826E06"/>
    <w:rsid w:val="00831B70"/>
    <w:rsid w:val="0083223A"/>
    <w:rsid w:val="00836B77"/>
    <w:rsid w:val="00837C73"/>
    <w:rsid w:val="008438C7"/>
    <w:rsid w:val="00844EA2"/>
    <w:rsid w:val="00850C72"/>
    <w:rsid w:val="00856376"/>
    <w:rsid w:val="00874444"/>
    <w:rsid w:val="0087661F"/>
    <w:rsid w:val="00877F31"/>
    <w:rsid w:val="00884061"/>
    <w:rsid w:val="008844F8"/>
    <w:rsid w:val="00885103"/>
    <w:rsid w:val="0089361C"/>
    <w:rsid w:val="00895771"/>
    <w:rsid w:val="00897A07"/>
    <w:rsid w:val="008A0A52"/>
    <w:rsid w:val="008A1C18"/>
    <w:rsid w:val="008A568D"/>
    <w:rsid w:val="008A6374"/>
    <w:rsid w:val="008A6D2D"/>
    <w:rsid w:val="008B10CD"/>
    <w:rsid w:val="008B4DB2"/>
    <w:rsid w:val="008B58BC"/>
    <w:rsid w:val="008B5B8E"/>
    <w:rsid w:val="008C1FE2"/>
    <w:rsid w:val="008C46D2"/>
    <w:rsid w:val="008C7F59"/>
    <w:rsid w:val="008D1138"/>
    <w:rsid w:val="008E0681"/>
    <w:rsid w:val="008F2582"/>
    <w:rsid w:val="008F5DA5"/>
    <w:rsid w:val="0090146A"/>
    <w:rsid w:val="0090640D"/>
    <w:rsid w:val="0090745D"/>
    <w:rsid w:val="00914113"/>
    <w:rsid w:val="0092131F"/>
    <w:rsid w:val="00921FB8"/>
    <w:rsid w:val="0092459B"/>
    <w:rsid w:val="00924ADB"/>
    <w:rsid w:val="00925DE5"/>
    <w:rsid w:val="009268BF"/>
    <w:rsid w:val="00927C0F"/>
    <w:rsid w:val="00930382"/>
    <w:rsid w:val="00933C2E"/>
    <w:rsid w:val="00934C4F"/>
    <w:rsid w:val="009377F5"/>
    <w:rsid w:val="00941FE4"/>
    <w:rsid w:val="00942E98"/>
    <w:rsid w:val="009468D1"/>
    <w:rsid w:val="00947FF1"/>
    <w:rsid w:val="009529C1"/>
    <w:rsid w:val="00954641"/>
    <w:rsid w:val="00960A9C"/>
    <w:rsid w:val="009619A6"/>
    <w:rsid w:val="00967F7F"/>
    <w:rsid w:val="009716E8"/>
    <w:rsid w:val="0097401D"/>
    <w:rsid w:val="0098586B"/>
    <w:rsid w:val="00990A6A"/>
    <w:rsid w:val="0099259B"/>
    <w:rsid w:val="009A3523"/>
    <w:rsid w:val="009A7580"/>
    <w:rsid w:val="009B6383"/>
    <w:rsid w:val="009D0D60"/>
    <w:rsid w:val="009D3898"/>
    <w:rsid w:val="009D6E90"/>
    <w:rsid w:val="009E05B8"/>
    <w:rsid w:val="009E197A"/>
    <w:rsid w:val="009E217D"/>
    <w:rsid w:val="009E6454"/>
    <w:rsid w:val="009E764B"/>
    <w:rsid w:val="009F128F"/>
    <w:rsid w:val="009F3F00"/>
    <w:rsid w:val="00A009D4"/>
    <w:rsid w:val="00A122E7"/>
    <w:rsid w:val="00A1272A"/>
    <w:rsid w:val="00A13144"/>
    <w:rsid w:val="00A2352B"/>
    <w:rsid w:val="00A3251B"/>
    <w:rsid w:val="00A32D15"/>
    <w:rsid w:val="00A35B62"/>
    <w:rsid w:val="00A40A54"/>
    <w:rsid w:val="00A474CD"/>
    <w:rsid w:val="00A50006"/>
    <w:rsid w:val="00A50D0D"/>
    <w:rsid w:val="00A55C60"/>
    <w:rsid w:val="00A56F09"/>
    <w:rsid w:val="00A57E4B"/>
    <w:rsid w:val="00A636A8"/>
    <w:rsid w:val="00A70144"/>
    <w:rsid w:val="00A71A00"/>
    <w:rsid w:val="00A7521F"/>
    <w:rsid w:val="00A75C50"/>
    <w:rsid w:val="00A8007A"/>
    <w:rsid w:val="00A81AD4"/>
    <w:rsid w:val="00A828E6"/>
    <w:rsid w:val="00A83E6E"/>
    <w:rsid w:val="00A84EF3"/>
    <w:rsid w:val="00A8505F"/>
    <w:rsid w:val="00A94032"/>
    <w:rsid w:val="00A9497C"/>
    <w:rsid w:val="00A979E0"/>
    <w:rsid w:val="00AA04E4"/>
    <w:rsid w:val="00AA482B"/>
    <w:rsid w:val="00AA6AEC"/>
    <w:rsid w:val="00AB5129"/>
    <w:rsid w:val="00AD1BDA"/>
    <w:rsid w:val="00AE1382"/>
    <w:rsid w:val="00AF0D81"/>
    <w:rsid w:val="00B070CF"/>
    <w:rsid w:val="00B119AD"/>
    <w:rsid w:val="00B17DBD"/>
    <w:rsid w:val="00B36119"/>
    <w:rsid w:val="00B3708F"/>
    <w:rsid w:val="00B46C52"/>
    <w:rsid w:val="00B52396"/>
    <w:rsid w:val="00B54581"/>
    <w:rsid w:val="00B630BB"/>
    <w:rsid w:val="00B735AE"/>
    <w:rsid w:val="00B73EEC"/>
    <w:rsid w:val="00B833E3"/>
    <w:rsid w:val="00B842E0"/>
    <w:rsid w:val="00B86540"/>
    <w:rsid w:val="00B878E1"/>
    <w:rsid w:val="00B87DC3"/>
    <w:rsid w:val="00B94F60"/>
    <w:rsid w:val="00B957A8"/>
    <w:rsid w:val="00BA068A"/>
    <w:rsid w:val="00BA2D99"/>
    <w:rsid w:val="00BA3EE1"/>
    <w:rsid w:val="00BA4CEF"/>
    <w:rsid w:val="00BB0E78"/>
    <w:rsid w:val="00BB4880"/>
    <w:rsid w:val="00BC14C1"/>
    <w:rsid w:val="00BC1797"/>
    <w:rsid w:val="00BC5273"/>
    <w:rsid w:val="00BC603A"/>
    <w:rsid w:val="00BC6732"/>
    <w:rsid w:val="00BE0CEE"/>
    <w:rsid w:val="00BE55CE"/>
    <w:rsid w:val="00BE5D73"/>
    <w:rsid w:val="00BE5F79"/>
    <w:rsid w:val="00BE708F"/>
    <w:rsid w:val="00BF3E9B"/>
    <w:rsid w:val="00BF500C"/>
    <w:rsid w:val="00C05D3D"/>
    <w:rsid w:val="00C0694F"/>
    <w:rsid w:val="00C07482"/>
    <w:rsid w:val="00C10097"/>
    <w:rsid w:val="00C14F36"/>
    <w:rsid w:val="00C154F7"/>
    <w:rsid w:val="00C21FBE"/>
    <w:rsid w:val="00C22E49"/>
    <w:rsid w:val="00C24365"/>
    <w:rsid w:val="00C37310"/>
    <w:rsid w:val="00C40C32"/>
    <w:rsid w:val="00C41EB7"/>
    <w:rsid w:val="00C46171"/>
    <w:rsid w:val="00C55C16"/>
    <w:rsid w:val="00C65277"/>
    <w:rsid w:val="00C75517"/>
    <w:rsid w:val="00C80381"/>
    <w:rsid w:val="00C8200B"/>
    <w:rsid w:val="00C8388C"/>
    <w:rsid w:val="00C83DA6"/>
    <w:rsid w:val="00C86830"/>
    <w:rsid w:val="00C91D7F"/>
    <w:rsid w:val="00C92D41"/>
    <w:rsid w:val="00C946D6"/>
    <w:rsid w:val="00C972D9"/>
    <w:rsid w:val="00CA5343"/>
    <w:rsid w:val="00CB0787"/>
    <w:rsid w:val="00CB0F17"/>
    <w:rsid w:val="00CB747F"/>
    <w:rsid w:val="00CC7C49"/>
    <w:rsid w:val="00CD0E02"/>
    <w:rsid w:val="00CD1918"/>
    <w:rsid w:val="00CD286A"/>
    <w:rsid w:val="00CD54D9"/>
    <w:rsid w:val="00CE0E3C"/>
    <w:rsid w:val="00CE17C5"/>
    <w:rsid w:val="00CE205F"/>
    <w:rsid w:val="00CE6AFB"/>
    <w:rsid w:val="00CE7116"/>
    <w:rsid w:val="00CF5E23"/>
    <w:rsid w:val="00CF5FC4"/>
    <w:rsid w:val="00D013D4"/>
    <w:rsid w:val="00D01B72"/>
    <w:rsid w:val="00D20AFF"/>
    <w:rsid w:val="00D22014"/>
    <w:rsid w:val="00D246F4"/>
    <w:rsid w:val="00D27B1A"/>
    <w:rsid w:val="00D33BA9"/>
    <w:rsid w:val="00D40315"/>
    <w:rsid w:val="00D43B58"/>
    <w:rsid w:val="00D53C44"/>
    <w:rsid w:val="00D563BE"/>
    <w:rsid w:val="00D567B9"/>
    <w:rsid w:val="00D57FCE"/>
    <w:rsid w:val="00D666AF"/>
    <w:rsid w:val="00D66D20"/>
    <w:rsid w:val="00D7053F"/>
    <w:rsid w:val="00D8161C"/>
    <w:rsid w:val="00D831D9"/>
    <w:rsid w:val="00D84251"/>
    <w:rsid w:val="00D92036"/>
    <w:rsid w:val="00D9774B"/>
    <w:rsid w:val="00DA36D7"/>
    <w:rsid w:val="00DA4C12"/>
    <w:rsid w:val="00DB156C"/>
    <w:rsid w:val="00DB370F"/>
    <w:rsid w:val="00DB3713"/>
    <w:rsid w:val="00DB45B5"/>
    <w:rsid w:val="00DB4FF1"/>
    <w:rsid w:val="00DB6234"/>
    <w:rsid w:val="00DC0E8E"/>
    <w:rsid w:val="00DC12DD"/>
    <w:rsid w:val="00DC6016"/>
    <w:rsid w:val="00DD0045"/>
    <w:rsid w:val="00DD1F96"/>
    <w:rsid w:val="00DD3C1D"/>
    <w:rsid w:val="00DD41F9"/>
    <w:rsid w:val="00DD7641"/>
    <w:rsid w:val="00DE016A"/>
    <w:rsid w:val="00DE6413"/>
    <w:rsid w:val="00DF1E67"/>
    <w:rsid w:val="00DF5A30"/>
    <w:rsid w:val="00E0094A"/>
    <w:rsid w:val="00E029E5"/>
    <w:rsid w:val="00E073C8"/>
    <w:rsid w:val="00E20656"/>
    <w:rsid w:val="00E20927"/>
    <w:rsid w:val="00E23B57"/>
    <w:rsid w:val="00E331E4"/>
    <w:rsid w:val="00E4068B"/>
    <w:rsid w:val="00E517C1"/>
    <w:rsid w:val="00E52FC1"/>
    <w:rsid w:val="00E64F4B"/>
    <w:rsid w:val="00E673EC"/>
    <w:rsid w:val="00E71BF5"/>
    <w:rsid w:val="00E71C5D"/>
    <w:rsid w:val="00E76CAF"/>
    <w:rsid w:val="00E830F2"/>
    <w:rsid w:val="00E83F6C"/>
    <w:rsid w:val="00E869B1"/>
    <w:rsid w:val="00E96713"/>
    <w:rsid w:val="00E97D75"/>
    <w:rsid w:val="00EA2AB7"/>
    <w:rsid w:val="00EA383C"/>
    <w:rsid w:val="00EA4BBA"/>
    <w:rsid w:val="00EA5698"/>
    <w:rsid w:val="00EA7CC6"/>
    <w:rsid w:val="00EB6224"/>
    <w:rsid w:val="00EC3BC9"/>
    <w:rsid w:val="00EC45AE"/>
    <w:rsid w:val="00ED369D"/>
    <w:rsid w:val="00EE4B9C"/>
    <w:rsid w:val="00EF73F8"/>
    <w:rsid w:val="00F01F20"/>
    <w:rsid w:val="00F04159"/>
    <w:rsid w:val="00F068FF"/>
    <w:rsid w:val="00F129A4"/>
    <w:rsid w:val="00F140DA"/>
    <w:rsid w:val="00F1476A"/>
    <w:rsid w:val="00F22B29"/>
    <w:rsid w:val="00F251BE"/>
    <w:rsid w:val="00F30F3B"/>
    <w:rsid w:val="00F406EF"/>
    <w:rsid w:val="00F43FE6"/>
    <w:rsid w:val="00F5607B"/>
    <w:rsid w:val="00F623AF"/>
    <w:rsid w:val="00F62D2C"/>
    <w:rsid w:val="00F63CDC"/>
    <w:rsid w:val="00F6412F"/>
    <w:rsid w:val="00F64A27"/>
    <w:rsid w:val="00F72851"/>
    <w:rsid w:val="00F76B0C"/>
    <w:rsid w:val="00F817E3"/>
    <w:rsid w:val="00F86043"/>
    <w:rsid w:val="00F86E55"/>
    <w:rsid w:val="00F96A4B"/>
    <w:rsid w:val="00FA0CB7"/>
    <w:rsid w:val="00FA1248"/>
    <w:rsid w:val="00FA35C2"/>
    <w:rsid w:val="00FA4143"/>
    <w:rsid w:val="00FA676A"/>
    <w:rsid w:val="00FB16FF"/>
    <w:rsid w:val="00FB4081"/>
    <w:rsid w:val="00FB46BD"/>
    <w:rsid w:val="00FB54EA"/>
    <w:rsid w:val="00FB56B3"/>
    <w:rsid w:val="00FB59AD"/>
    <w:rsid w:val="00FB5FEB"/>
    <w:rsid w:val="00FC25DC"/>
    <w:rsid w:val="00FC42A3"/>
    <w:rsid w:val="00FC713D"/>
    <w:rsid w:val="00FC79D2"/>
    <w:rsid w:val="00FD1CF5"/>
    <w:rsid w:val="00FD278E"/>
    <w:rsid w:val="00FD3428"/>
    <w:rsid w:val="00FD46C3"/>
    <w:rsid w:val="00FE23CD"/>
    <w:rsid w:val="00FE365D"/>
    <w:rsid w:val="00FE578C"/>
    <w:rsid w:val="00FF2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4F6A56"/>
    <w:rPr>
      <w:i/>
      <w:iCs/>
    </w:rPr>
  </w:style>
  <w:style w:type="character" w:customStyle="1" w:styleId="st1">
    <w:name w:val="st1"/>
    <w:basedOn w:val="DefaultParagraphFont"/>
    <w:rsid w:val="0035006F"/>
  </w:style>
  <w:style w:type="paragraph" w:styleId="Subtitle">
    <w:name w:val="Subtitle"/>
    <w:basedOn w:val="Normal"/>
    <w:next w:val="Normal"/>
    <w:link w:val="SubtitleChar"/>
    <w:uiPriority w:val="11"/>
    <w:qFormat/>
    <w:rsid w:val="00A2352B"/>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A2352B"/>
    <w:rPr>
      <w:rFonts w:asciiTheme="majorHAnsi" w:eastAsiaTheme="majorEastAsia" w:hAnsiTheme="majorHAnsi" w:cstheme="majorBidi"/>
      <w:i/>
      <w:iCs/>
      <w:color w:val="4F81BD" w:themeColor="accent1"/>
      <w:spacing w:val="15"/>
      <w:sz w:val="24"/>
      <w:szCs w:val="24"/>
      <w:lang w:val="en-US" w:eastAsia="en-US"/>
    </w:rPr>
  </w:style>
  <w:style w:type="paragraph" w:customStyle="1" w:styleId="BodyText1">
    <w:name w:val="Body Text1"/>
    <w:basedOn w:val="Normal"/>
    <w:qFormat/>
    <w:rsid w:val="00DF5A30"/>
    <w:rPr>
      <w:rFonts w:ascii="Arial" w:eastAsia="Calibri" w:hAnsi="Arial" w:cs="Arial"/>
      <w:color w:val="000000"/>
      <w:lang w:eastAsia="en-US"/>
    </w:rPr>
  </w:style>
  <w:style w:type="paragraph" w:styleId="Revision">
    <w:name w:val="Revision"/>
    <w:hidden/>
    <w:uiPriority w:val="99"/>
    <w:semiHidden/>
    <w:rsid w:val="00CE20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4F6A56"/>
    <w:rPr>
      <w:i/>
      <w:iCs/>
    </w:rPr>
  </w:style>
  <w:style w:type="character" w:customStyle="1" w:styleId="st1">
    <w:name w:val="st1"/>
    <w:basedOn w:val="DefaultParagraphFont"/>
    <w:rsid w:val="0035006F"/>
  </w:style>
  <w:style w:type="paragraph" w:styleId="Subtitle">
    <w:name w:val="Subtitle"/>
    <w:basedOn w:val="Normal"/>
    <w:next w:val="Normal"/>
    <w:link w:val="SubtitleChar"/>
    <w:uiPriority w:val="11"/>
    <w:qFormat/>
    <w:rsid w:val="00A2352B"/>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A2352B"/>
    <w:rPr>
      <w:rFonts w:asciiTheme="majorHAnsi" w:eastAsiaTheme="majorEastAsia" w:hAnsiTheme="majorHAnsi" w:cstheme="majorBidi"/>
      <w:i/>
      <w:iCs/>
      <w:color w:val="4F81BD" w:themeColor="accent1"/>
      <w:spacing w:val="15"/>
      <w:sz w:val="24"/>
      <w:szCs w:val="24"/>
      <w:lang w:val="en-US" w:eastAsia="en-US"/>
    </w:rPr>
  </w:style>
  <w:style w:type="paragraph" w:customStyle="1" w:styleId="BodyText1">
    <w:name w:val="Body Text1"/>
    <w:basedOn w:val="Normal"/>
    <w:qFormat/>
    <w:rsid w:val="00DF5A30"/>
    <w:rPr>
      <w:rFonts w:ascii="Arial" w:eastAsia="Calibri" w:hAnsi="Arial" w:cs="Arial"/>
      <w:color w:val="000000"/>
      <w:lang w:eastAsia="en-US"/>
    </w:rPr>
  </w:style>
  <w:style w:type="paragraph" w:styleId="Revision">
    <w:name w:val="Revision"/>
    <w:hidden/>
    <w:uiPriority w:val="99"/>
    <w:semiHidden/>
    <w:rsid w:val="00CE2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0179">
      <w:bodyDiv w:val="1"/>
      <w:marLeft w:val="0"/>
      <w:marRight w:val="0"/>
      <w:marTop w:val="0"/>
      <w:marBottom w:val="0"/>
      <w:divBdr>
        <w:top w:val="none" w:sz="0" w:space="0" w:color="auto"/>
        <w:left w:val="none" w:sz="0" w:space="0" w:color="auto"/>
        <w:bottom w:val="none" w:sz="0" w:space="0" w:color="auto"/>
        <w:right w:val="none" w:sz="0" w:space="0" w:color="auto"/>
      </w:divBdr>
    </w:div>
    <w:div w:id="126626994">
      <w:bodyDiv w:val="1"/>
      <w:marLeft w:val="0"/>
      <w:marRight w:val="0"/>
      <w:marTop w:val="0"/>
      <w:marBottom w:val="0"/>
      <w:divBdr>
        <w:top w:val="none" w:sz="0" w:space="0" w:color="auto"/>
        <w:left w:val="none" w:sz="0" w:space="0" w:color="auto"/>
        <w:bottom w:val="none" w:sz="0" w:space="0" w:color="auto"/>
        <w:right w:val="none" w:sz="0" w:space="0" w:color="auto"/>
      </w:divBdr>
    </w:div>
    <w:div w:id="288165344">
      <w:bodyDiv w:val="1"/>
      <w:marLeft w:val="0"/>
      <w:marRight w:val="0"/>
      <w:marTop w:val="0"/>
      <w:marBottom w:val="0"/>
      <w:divBdr>
        <w:top w:val="none" w:sz="0" w:space="0" w:color="auto"/>
        <w:left w:val="none" w:sz="0" w:space="0" w:color="auto"/>
        <w:bottom w:val="none" w:sz="0" w:space="0" w:color="auto"/>
        <w:right w:val="none" w:sz="0" w:space="0" w:color="auto"/>
      </w:divBdr>
    </w:div>
    <w:div w:id="382170261">
      <w:bodyDiv w:val="1"/>
      <w:marLeft w:val="0"/>
      <w:marRight w:val="0"/>
      <w:marTop w:val="0"/>
      <w:marBottom w:val="0"/>
      <w:divBdr>
        <w:top w:val="none" w:sz="0" w:space="0" w:color="auto"/>
        <w:left w:val="none" w:sz="0" w:space="0" w:color="auto"/>
        <w:bottom w:val="none" w:sz="0" w:space="0" w:color="auto"/>
        <w:right w:val="none" w:sz="0" w:space="0" w:color="auto"/>
      </w:divBdr>
    </w:div>
    <w:div w:id="402530845">
      <w:bodyDiv w:val="1"/>
      <w:marLeft w:val="0"/>
      <w:marRight w:val="0"/>
      <w:marTop w:val="0"/>
      <w:marBottom w:val="0"/>
      <w:divBdr>
        <w:top w:val="none" w:sz="0" w:space="0" w:color="auto"/>
        <w:left w:val="none" w:sz="0" w:space="0" w:color="auto"/>
        <w:bottom w:val="none" w:sz="0" w:space="0" w:color="auto"/>
        <w:right w:val="none" w:sz="0" w:space="0" w:color="auto"/>
      </w:divBdr>
    </w:div>
    <w:div w:id="430661553">
      <w:bodyDiv w:val="1"/>
      <w:marLeft w:val="0"/>
      <w:marRight w:val="0"/>
      <w:marTop w:val="0"/>
      <w:marBottom w:val="0"/>
      <w:divBdr>
        <w:top w:val="none" w:sz="0" w:space="0" w:color="auto"/>
        <w:left w:val="none" w:sz="0" w:space="0" w:color="auto"/>
        <w:bottom w:val="none" w:sz="0" w:space="0" w:color="auto"/>
        <w:right w:val="none" w:sz="0" w:space="0" w:color="auto"/>
      </w:divBdr>
    </w:div>
    <w:div w:id="431900845">
      <w:bodyDiv w:val="1"/>
      <w:marLeft w:val="0"/>
      <w:marRight w:val="0"/>
      <w:marTop w:val="0"/>
      <w:marBottom w:val="0"/>
      <w:divBdr>
        <w:top w:val="none" w:sz="0" w:space="0" w:color="auto"/>
        <w:left w:val="none" w:sz="0" w:space="0" w:color="auto"/>
        <w:bottom w:val="none" w:sz="0" w:space="0" w:color="auto"/>
        <w:right w:val="none" w:sz="0" w:space="0" w:color="auto"/>
      </w:divBdr>
    </w:div>
    <w:div w:id="444689067">
      <w:bodyDiv w:val="1"/>
      <w:marLeft w:val="0"/>
      <w:marRight w:val="0"/>
      <w:marTop w:val="0"/>
      <w:marBottom w:val="0"/>
      <w:divBdr>
        <w:top w:val="none" w:sz="0" w:space="0" w:color="auto"/>
        <w:left w:val="none" w:sz="0" w:space="0" w:color="auto"/>
        <w:bottom w:val="none" w:sz="0" w:space="0" w:color="auto"/>
        <w:right w:val="none" w:sz="0" w:space="0" w:color="auto"/>
      </w:divBdr>
    </w:div>
    <w:div w:id="602106451">
      <w:bodyDiv w:val="1"/>
      <w:marLeft w:val="0"/>
      <w:marRight w:val="0"/>
      <w:marTop w:val="0"/>
      <w:marBottom w:val="0"/>
      <w:divBdr>
        <w:top w:val="none" w:sz="0" w:space="0" w:color="auto"/>
        <w:left w:val="none" w:sz="0" w:space="0" w:color="auto"/>
        <w:bottom w:val="none" w:sz="0" w:space="0" w:color="auto"/>
        <w:right w:val="none" w:sz="0" w:space="0" w:color="auto"/>
      </w:divBdr>
    </w:div>
    <w:div w:id="648558415">
      <w:bodyDiv w:val="1"/>
      <w:marLeft w:val="0"/>
      <w:marRight w:val="0"/>
      <w:marTop w:val="0"/>
      <w:marBottom w:val="0"/>
      <w:divBdr>
        <w:top w:val="none" w:sz="0" w:space="0" w:color="auto"/>
        <w:left w:val="none" w:sz="0" w:space="0" w:color="auto"/>
        <w:bottom w:val="none" w:sz="0" w:space="0" w:color="auto"/>
        <w:right w:val="none" w:sz="0" w:space="0" w:color="auto"/>
      </w:divBdr>
    </w:div>
    <w:div w:id="654725683">
      <w:bodyDiv w:val="1"/>
      <w:marLeft w:val="0"/>
      <w:marRight w:val="0"/>
      <w:marTop w:val="0"/>
      <w:marBottom w:val="0"/>
      <w:divBdr>
        <w:top w:val="none" w:sz="0" w:space="0" w:color="auto"/>
        <w:left w:val="none" w:sz="0" w:space="0" w:color="auto"/>
        <w:bottom w:val="none" w:sz="0" w:space="0" w:color="auto"/>
        <w:right w:val="none" w:sz="0" w:space="0" w:color="auto"/>
      </w:divBdr>
    </w:div>
    <w:div w:id="704867394">
      <w:bodyDiv w:val="1"/>
      <w:marLeft w:val="0"/>
      <w:marRight w:val="0"/>
      <w:marTop w:val="0"/>
      <w:marBottom w:val="0"/>
      <w:divBdr>
        <w:top w:val="none" w:sz="0" w:space="0" w:color="auto"/>
        <w:left w:val="none" w:sz="0" w:space="0" w:color="auto"/>
        <w:bottom w:val="none" w:sz="0" w:space="0" w:color="auto"/>
        <w:right w:val="none" w:sz="0" w:space="0" w:color="auto"/>
      </w:divBdr>
    </w:div>
    <w:div w:id="718090616">
      <w:bodyDiv w:val="1"/>
      <w:marLeft w:val="0"/>
      <w:marRight w:val="0"/>
      <w:marTop w:val="0"/>
      <w:marBottom w:val="0"/>
      <w:divBdr>
        <w:top w:val="none" w:sz="0" w:space="0" w:color="auto"/>
        <w:left w:val="none" w:sz="0" w:space="0" w:color="auto"/>
        <w:bottom w:val="none" w:sz="0" w:space="0" w:color="auto"/>
        <w:right w:val="none" w:sz="0" w:space="0" w:color="auto"/>
      </w:divBdr>
    </w:div>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8890148">
      <w:bodyDiv w:val="1"/>
      <w:marLeft w:val="0"/>
      <w:marRight w:val="0"/>
      <w:marTop w:val="0"/>
      <w:marBottom w:val="0"/>
      <w:divBdr>
        <w:top w:val="none" w:sz="0" w:space="0" w:color="auto"/>
        <w:left w:val="none" w:sz="0" w:space="0" w:color="auto"/>
        <w:bottom w:val="none" w:sz="0" w:space="0" w:color="auto"/>
        <w:right w:val="none" w:sz="0" w:space="0" w:color="auto"/>
      </w:divBdr>
    </w:div>
    <w:div w:id="1031688097">
      <w:bodyDiv w:val="1"/>
      <w:marLeft w:val="0"/>
      <w:marRight w:val="0"/>
      <w:marTop w:val="0"/>
      <w:marBottom w:val="0"/>
      <w:divBdr>
        <w:top w:val="none" w:sz="0" w:space="0" w:color="auto"/>
        <w:left w:val="none" w:sz="0" w:space="0" w:color="auto"/>
        <w:bottom w:val="none" w:sz="0" w:space="0" w:color="auto"/>
        <w:right w:val="none" w:sz="0" w:space="0" w:color="auto"/>
      </w:divBdr>
    </w:div>
    <w:div w:id="1061564791">
      <w:bodyDiv w:val="1"/>
      <w:marLeft w:val="0"/>
      <w:marRight w:val="0"/>
      <w:marTop w:val="0"/>
      <w:marBottom w:val="0"/>
      <w:divBdr>
        <w:top w:val="none" w:sz="0" w:space="0" w:color="auto"/>
        <w:left w:val="none" w:sz="0" w:space="0" w:color="auto"/>
        <w:bottom w:val="none" w:sz="0" w:space="0" w:color="auto"/>
        <w:right w:val="none" w:sz="0" w:space="0" w:color="auto"/>
      </w:divBdr>
    </w:div>
    <w:div w:id="1077552229">
      <w:bodyDiv w:val="1"/>
      <w:marLeft w:val="0"/>
      <w:marRight w:val="0"/>
      <w:marTop w:val="0"/>
      <w:marBottom w:val="0"/>
      <w:divBdr>
        <w:top w:val="none" w:sz="0" w:space="0" w:color="auto"/>
        <w:left w:val="none" w:sz="0" w:space="0" w:color="auto"/>
        <w:bottom w:val="none" w:sz="0" w:space="0" w:color="auto"/>
        <w:right w:val="none" w:sz="0" w:space="0" w:color="auto"/>
      </w:divBdr>
    </w:div>
    <w:div w:id="1235778461">
      <w:bodyDiv w:val="1"/>
      <w:marLeft w:val="0"/>
      <w:marRight w:val="0"/>
      <w:marTop w:val="0"/>
      <w:marBottom w:val="0"/>
      <w:divBdr>
        <w:top w:val="none" w:sz="0" w:space="0" w:color="auto"/>
        <w:left w:val="none" w:sz="0" w:space="0" w:color="auto"/>
        <w:bottom w:val="none" w:sz="0" w:space="0" w:color="auto"/>
        <w:right w:val="none" w:sz="0" w:space="0" w:color="auto"/>
      </w:divBdr>
    </w:div>
    <w:div w:id="1319845473">
      <w:bodyDiv w:val="1"/>
      <w:marLeft w:val="0"/>
      <w:marRight w:val="0"/>
      <w:marTop w:val="0"/>
      <w:marBottom w:val="0"/>
      <w:divBdr>
        <w:top w:val="none" w:sz="0" w:space="0" w:color="auto"/>
        <w:left w:val="none" w:sz="0" w:space="0" w:color="auto"/>
        <w:bottom w:val="none" w:sz="0" w:space="0" w:color="auto"/>
        <w:right w:val="none" w:sz="0" w:space="0" w:color="auto"/>
      </w:divBdr>
    </w:div>
    <w:div w:id="1387338793">
      <w:bodyDiv w:val="1"/>
      <w:marLeft w:val="0"/>
      <w:marRight w:val="0"/>
      <w:marTop w:val="0"/>
      <w:marBottom w:val="0"/>
      <w:divBdr>
        <w:top w:val="none" w:sz="0" w:space="0" w:color="auto"/>
        <w:left w:val="none" w:sz="0" w:space="0" w:color="auto"/>
        <w:bottom w:val="none" w:sz="0" w:space="0" w:color="auto"/>
        <w:right w:val="none" w:sz="0" w:space="0" w:color="auto"/>
      </w:divBdr>
    </w:div>
    <w:div w:id="1604654365">
      <w:bodyDiv w:val="1"/>
      <w:marLeft w:val="0"/>
      <w:marRight w:val="0"/>
      <w:marTop w:val="0"/>
      <w:marBottom w:val="0"/>
      <w:divBdr>
        <w:top w:val="none" w:sz="0" w:space="0" w:color="auto"/>
        <w:left w:val="none" w:sz="0" w:space="0" w:color="auto"/>
        <w:bottom w:val="none" w:sz="0" w:space="0" w:color="auto"/>
        <w:right w:val="none" w:sz="0" w:space="0" w:color="auto"/>
      </w:divBdr>
    </w:div>
    <w:div w:id="1660576731">
      <w:bodyDiv w:val="1"/>
      <w:marLeft w:val="0"/>
      <w:marRight w:val="0"/>
      <w:marTop w:val="0"/>
      <w:marBottom w:val="0"/>
      <w:divBdr>
        <w:top w:val="none" w:sz="0" w:space="0" w:color="auto"/>
        <w:left w:val="none" w:sz="0" w:space="0" w:color="auto"/>
        <w:bottom w:val="none" w:sz="0" w:space="0" w:color="auto"/>
        <w:right w:val="none" w:sz="0" w:space="0" w:color="auto"/>
      </w:divBdr>
    </w:div>
    <w:div w:id="1767649998">
      <w:bodyDiv w:val="1"/>
      <w:marLeft w:val="0"/>
      <w:marRight w:val="0"/>
      <w:marTop w:val="0"/>
      <w:marBottom w:val="0"/>
      <w:divBdr>
        <w:top w:val="none" w:sz="0" w:space="0" w:color="auto"/>
        <w:left w:val="none" w:sz="0" w:space="0" w:color="auto"/>
        <w:bottom w:val="none" w:sz="0" w:space="0" w:color="auto"/>
        <w:right w:val="none" w:sz="0" w:space="0" w:color="auto"/>
      </w:divBdr>
    </w:div>
    <w:div w:id="1850099556">
      <w:bodyDiv w:val="1"/>
      <w:marLeft w:val="0"/>
      <w:marRight w:val="0"/>
      <w:marTop w:val="0"/>
      <w:marBottom w:val="0"/>
      <w:divBdr>
        <w:top w:val="none" w:sz="0" w:space="0" w:color="auto"/>
        <w:left w:val="none" w:sz="0" w:space="0" w:color="auto"/>
        <w:bottom w:val="none" w:sz="0" w:space="0" w:color="auto"/>
        <w:right w:val="none" w:sz="0" w:space="0" w:color="auto"/>
      </w:divBdr>
    </w:div>
    <w:div w:id="1888835313">
      <w:bodyDiv w:val="1"/>
      <w:marLeft w:val="0"/>
      <w:marRight w:val="0"/>
      <w:marTop w:val="0"/>
      <w:marBottom w:val="0"/>
      <w:divBdr>
        <w:top w:val="none" w:sz="0" w:space="0" w:color="auto"/>
        <w:left w:val="none" w:sz="0" w:space="0" w:color="auto"/>
        <w:bottom w:val="none" w:sz="0" w:space="0" w:color="auto"/>
        <w:right w:val="none" w:sz="0" w:space="0" w:color="auto"/>
      </w:divBdr>
    </w:div>
    <w:div w:id="1973052166">
      <w:bodyDiv w:val="1"/>
      <w:marLeft w:val="0"/>
      <w:marRight w:val="0"/>
      <w:marTop w:val="0"/>
      <w:marBottom w:val="0"/>
      <w:divBdr>
        <w:top w:val="none" w:sz="0" w:space="0" w:color="auto"/>
        <w:left w:val="none" w:sz="0" w:space="0" w:color="auto"/>
        <w:bottom w:val="none" w:sz="0" w:space="0" w:color="auto"/>
        <w:right w:val="none" w:sz="0" w:space="0" w:color="auto"/>
      </w:divBdr>
    </w:div>
    <w:div w:id="2057970848">
      <w:bodyDiv w:val="1"/>
      <w:marLeft w:val="0"/>
      <w:marRight w:val="0"/>
      <w:marTop w:val="0"/>
      <w:marBottom w:val="0"/>
      <w:divBdr>
        <w:top w:val="none" w:sz="0" w:space="0" w:color="auto"/>
        <w:left w:val="none" w:sz="0" w:space="0" w:color="auto"/>
        <w:bottom w:val="none" w:sz="0" w:space="0" w:color="auto"/>
        <w:right w:val="none" w:sz="0" w:space="0" w:color="auto"/>
      </w:divBdr>
    </w:div>
    <w:div w:id="21338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F81E1-395E-472A-8AB5-9ED49671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ACCAN-portable01</dc:creator>
  <cp:lastModifiedBy>Una Lawrence</cp:lastModifiedBy>
  <cp:revision>55</cp:revision>
  <cp:lastPrinted>2019-04-11T03:03:00Z</cp:lastPrinted>
  <dcterms:created xsi:type="dcterms:W3CDTF">2019-03-10T22:07:00Z</dcterms:created>
  <dcterms:modified xsi:type="dcterms:W3CDTF">2019-05-14T07:33:00Z</dcterms:modified>
</cp:coreProperties>
</file>