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EA" w:rsidRDefault="00ED34EF" w:rsidP="001D3B22">
      <w:pPr>
        <w:pStyle w:val="Title"/>
        <w:rPr>
          <w:lang w:val="en-AU"/>
        </w:rPr>
      </w:pPr>
      <w:r>
        <w:rPr>
          <w:lang w:val="en-AU"/>
        </w:rPr>
        <w:t xml:space="preserve">ACCAN </w:t>
      </w:r>
      <w:r w:rsidR="001D3B22">
        <w:rPr>
          <w:lang w:val="en-AU"/>
        </w:rPr>
        <w:t xml:space="preserve">Migration </w:t>
      </w:r>
      <w:r>
        <w:rPr>
          <w:lang w:val="en-AU"/>
        </w:rPr>
        <w:t>Statement</w:t>
      </w:r>
    </w:p>
    <w:p w:rsidR="008E60CE" w:rsidRDefault="008E60CE" w:rsidP="008E60CE">
      <w:pPr>
        <w:pStyle w:val="Heading1"/>
      </w:pPr>
      <w:r>
        <w:t>Summary</w:t>
      </w:r>
    </w:p>
    <w:p w:rsidR="001D3B22" w:rsidRDefault="00DC43F6" w:rsidP="001D3B22">
      <w:r>
        <w:t xml:space="preserve">The </w:t>
      </w:r>
      <w:r w:rsidR="001D3B22" w:rsidRPr="001D3B22">
        <w:t xml:space="preserve">National Broadband Network (NBN) is a complex </w:t>
      </w:r>
      <w:r>
        <w:t xml:space="preserve">rollout. </w:t>
      </w:r>
      <w:r w:rsidR="001D3B22" w:rsidRPr="001D3B22">
        <w:t>It requires</w:t>
      </w:r>
      <w:r w:rsidR="00ED34EF">
        <w:t xml:space="preserve"> consumers and a number of parties (</w:t>
      </w:r>
      <w:r w:rsidR="001D3B22" w:rsidRPr="001D3B22">
        <w:t>in</w:t>
      </w:r>
      <w:r w:rsidR="00B46012">
        <w:t xml:space="preserve">cluding Telstra, nbn, </w:t>
      </w:r>
      <w:r w:rsidR="001D3B22" w:rsidRPr="001D3B22">
        <w:t>retail service providers</w:t>
      </w:r>
      <w:r w:rsidR="00B46012">
        <w:t xml:space="preserve"> and device service providers</w:t>
      </w:r>
      <w:r w:rsidR="00ED34EF">
        <w:t xml:space="preserve">) </w:t>
      </w:r>
      <w:r w:rsidR="00691976">
        <w:t xml:space="preserve">to </w:t>
      </w:r>
      <w:r w:rsidR="00ED34EF">
        <w:t>coordinat</w:t>
      </w:r>
      <w:r w:rsidR="00691976">
        <w:t xml:space="preserve">e </w:t>
      </w:r>
      <w:r w:rsidR="00ED34EF">
        <w:t>their efforts</w:t>
      </w:r>
      <w:r w:rsidR="001D3B22" w:rsidRPr="001D3B22">
        <w:t xml:space="preserve">. </w:t>
      </w:r>
      <w:r>
        <w:t>For consumers, migrating services can be complicated and loss of services or functionality can cause significant risk to life</w:t>
      </w:r>
      <w:r w:rsidR="00691976">
        <w:t>, cost</w:t>
      </w:r>
      <w:r>
        <w:t xml:space="preserve"> and inconvenience. </w:t>
      </w:r>
      <w:r w:rsidR="003C0736" w:rsidRPr="003C0736">
        <w:t xml:space="preserve">ACCAN believes that it is vital to have rigorous </w:t>
      </w:r>
      <w:r w:rsidR="007D3F98">
        <w:t>procedures</w:t>
      </w:r>
      <w:r w:rsidR="003C0736" w:rsidRPr="003C0736">
        <w:t xml:space="preserve"> in place, to ensure positive consumer outcomes and clear avenues for consumers to use if difficulties arise.</w:t>
      </w:r>
    </w:p>
    <w:p w:rsidR="006E55D2" w:rsidRDefault="006E55D2" w:rsidP="008E60CE">
      <w:pPr>
        <w:pStyle w:val="Heading2"/>
      </w:pPr>
      <w:r>
        <w:t xml:space="preserve">Need for </w:t>
      </w:r>
      <w:r w:rsidR="00125E07">
        <w:t>improved migration processes</w:t>
      </w:r>
    </w:p>
    <w:p w:rsidR="00C320F8" w:rsidRDefault="00E54489" w:rsidP="00C320F8">
      <w:r>
        <w:t>A</w:t>
      </w:r>
      <w:r w:rsidR="006B6915">
        <w:t>s at</w:t>
      </w:r>
      <w:r>
        <w:t xml:space="preserve"> </w:t>
      </w:r>
      <w:r w:rsidR="006B6915">
        <w:t>November 2017</w:t>
      </w:r>
      <w:r>
        <w:t xml:space="preserve"> </w:t>
      </w:r>
      <w:r w:rsidR="00A70FE3">
        <w:t xml:space="preserve">just </w:t>
      </w:r>
      <w:r w:rsidR="008F1066">
        <w:t>over</w:t>
      </w:r>
      <w:r w:rsidR="00A70FE3">
        <w:t xml:space="preserve"> 3</w:t>
      </w:r>
      <w:r w:rsidR="008C6533">
        <w:t xml:space="preserve"> </w:t>
      </w:r>
      <w:r w:rsidR="00A70FE3">
        <w:t>m</w:t>
      </w:r>
      <w:r w:rsidR="008C6533">
        <w:t>illion</w:t>
      </w:r>
      <w:r w:rsidR="00A70FE3">
        <w:t xml:space="preserve"> </w:t>
      </w:r>
      <w:r>
        <w:t>premises were connected to the N</w:t>
      </w:r>
      <w:r w:rsidR="00276835">
        <w:t>BN</w:t>
      </w:r>
      <w:r>
        <w:t>.</w:t>
      </w:r>
      <w:r>
        <w:rPr>
          <w:rStyle w:val="FootnoteReference"/>
        </w:rPr>
        <w:footnoteReference w:id="1"/>
      </w:r>
      <w:r>
        <w:t xml:space="preserve"> </w:t>
      </w:r>
      <w:r w:rsidR="00C320F8" w:rsidRPr="001D3B22">
        <w:t>Consumer experience of switching to the NBN has been very mixed, with consumers encountering issues including</w:t>
      </w:r>
      <w:r w:rsidR="00C320F8">
        <w:t xml:space="preserve"> confusion, </w:t>
      </w:r>
      <w:r w:rsidR="00C320F8" w:rsidRPr="001D3B22">
        <w:t>missed appointments</w:t>
      </w:r>
      <w:bookmarkStart w:id="0" w:name="_GoBack"/>
      <w:bookmarkEnd w:id="0"/>
      <w:r w:rsidR="00C320F8">
        <w:t>, failed migration and periods without services</w:t>
      </w:r>
      <w:r w:rsidR="00C320F8" w:rsidRPr="001D3B22">
        <w:t>.</w:t>
      </w:r>
      <w:r w:rsidR="00C320F8">
        <w:rPr>
          <w:rStyle w:val="FootnoteReference"/>
        </w:rPr>
        <w:footnoteReference w:id="2"/>
      </w:r>
    </w:p>
    <w:p w:rsidR="00925AA1" w:rsidRDefault="006E55D2" w:rsidP="00ED34EF">
      <w:pPr>
        <w:spacing w:after="0"/>
      </w:pPr>
      <w:r w:rsidRPr="001D3B22">
        <w:t xml:space="preserve">The next three years will see an acute </w:t>
      </w:r>
      <w:r w:rsidR="00FD4BE3">
        <w:t>5.</w:t>
      </w:r>
      <w:r w:rsidR="008D28E2">
        <w:t>7</w:t>
      </w:r>
      <w:r w:rsidR="00FD4BE3">
        <w:t xml:space="preserve"> million additional p</w:t>
      </w:r>
      <w:r w:rsidR="00E61A6C">
        <w:t>remises switching to nbn;</w:t>
      </w:r>
      <w:r w:rsidR="00E61A6C">
        <w:rPr>
          <w:rStyle w:val="FootnoteReference"/>
        </w:rPr>
        <w:footnoteReference w:id="3"/>
      </w:r>
    </w:p>
    <w:p w:rsidR="00925AA1" w:rsidRDefault="000D37B1" w:rsidP="00925AA1">
      <w:pPr>
        <w:pStyle w:val="ListParagraph"/>
        <w:numPr>
          <w:ilvl w:val="0"/>
          <w:numId w:val="2"/>
        </w:numPr>
      </w:pPr>
      <w:r>
        <w:t>2017-2018 – 2</w:t>
      </w:r>
      <w:r w:rsidR="008D28E2">
        <w:t xml:space="preserve"> million</w:t>
      </w:r>
      <w:r>
        <w:t xml:space="preserve"> premises</w:t>
      </w:r>
    </w:p>
    <w:p w:rsidR="00925AA1" w:rsidRDefault="000D37B1" w:rsidP="00925AA1">
      <w:pPr>
        <w:pStyle w:val="ListParagraph"/>
        <w:numPr>
          <w:ilvl w:val="0"/>
          <w:numId w:val="2"/>
        </w:numPr>
      </w:pPr>
      <w:r>
        <w:t>2018-2019 – 2.5 m</w:t>
      </w:r>
      <w:r w:rsidR="008C6533">
        <w:t>illion</w:t>
      </w:r>
      <w:r>
        <w:t xml:space="preserve"> premises</w:t>
      </w:r>
    </w:p>
    <w:p w:rsidR="00925AA1" w:rsidRDefault="000D37B1" w:rsidP="00925AA1">
      <w:pPr>
        <w:pStyle w:val="ListParagraph"/>
        <w:numPr>
          <w:ilvl w:val="0"/>
          <w:numId w:val="2"/>
        </w:numPr>
      </w:pPr>
      <w:r>
        <w:t>2019-2020 – 1.2 m</w:t>
      </w:r>
      <w:r w:rsidR="008C6533">
        <w:t>illion</w:t>
      </w:r>
      <w:r>
        <w:t xml:space="preserve"> premises</w:t>
      </w:r>
    </w:p>
    <w:p w:rsidR="00934878" w:rsidRDefault="00B008B9" w:rsidP="00934878">
      <w:r>
        <w:t>The</w:t>
      </w:r>
      <w:r w:rsidR="00F364E4">
        <w:t xml:space="preserve"> increasingly</w:t>
      </w:r>
      <w:r w:rsidR="00925AA1">
        <w:t xml:space="preserve"> large number of consumers interacting with nbn is likely to </w:t>
      </w:r>
      <w:r w:rsidR="00F364E4">
        <w:t xml:space="preserve">exacerbate existing issues, result in more </w:t>
      </w:r>
      <w:r w:rsidR="00925AA1">
        <w:t xml:space="preserve">inconvenience </w:t>
      </w:r>
      <w:r w:rsidR="00F364E4">
        <w:t xml:space="preserve">for </w:t>
      </w:r>
      <w:r w:rsidR="00925AA1">
        <w:t>consumers and</w:t>
      </w:r>
      <w:r w:rsidR="00F364E4">
        <w:t xml:space="preserve"> put pressure on current nbn</w:t>
      </w:r>
      <w:r w:rsidR="006E55D2" w:rsidRPr="001D3B22">
        <w:t xml:space="preserve"> procedures. </w:t>
      </w:r>
      <w:r w:rsidR="00934878">
        <w:t>The ACMA is currently investigating the types of issues that consumers are encountering and the underlying causes.</w:t>
      </w:r>
      <w:r w:rsidR="00934878">
        <w:rPr>
          <w:rStyle w:val="FootnoteReference"/>
        </w:rPr>
        <w:footnoteReference w:id="4"/>
      </w:r>
      <w:r w:rsidR="00934878">
        <w:t xml:space="preserve"> </w:t>
      </w:r>
      <w:r w:rsidR="008F1066">
        <w:t xml:space="preserve">This week the nbn also </w:t>
      </w:r>
      <w:proofErr w:type="gramStart"/>
      <w:r w:rsidR="008F1066">
        <w:t>paused</w:t>
      </w:r>
      <w:proofErr w:type="gramEnd"/>
      <w:r w:rsidR="008F1066">
        <w:t xml:space="preserve"> the rollout of the HFC network, to improve their rollout process and fix known issues that are negatively impacting </w:t>
      </w:r>
      <w:r w:rsidR="002E1CFD">
        <w:t>consumers’</w:t>
      </w:r>
      <w:r w:rsidR="006B6915">
        <w:t xml:space="preserve"> experience</w:t>
      </w:r>
      <w:r w:rsidR="008F1066">
        <w:t>.</w:t>
      </w:r>
      <w:r w:rsidR="008F1066">
        <w:rPr>
          <w:rStyle w:val="FootnoteReference"/>
        </w:rPr>
        <w:footnoteReference w:id="5"/>
      </w:r>
      <w:r w:rsidR="008F1066">
        <w:t xml:space="preserve"> </w:t>
      </w:r>
      <w:r w:rsidR="00934878">
        <w:t>This statement aims to set</w:t>
      </w:r>
      <w:r w:rsidR="002908E9">
        <w:t xml:space="preserve"> out</w:t>
      </w:r>
      <w:r w:rsidR="00934878">
        <w:t xml:space="preserve"> key areas</w:t>
      </w:r>
      <w:r w:rsidR="00474C01">
        <w:t xml:space="preserve"> that ACCAN believes should be improved</w:t>
      </w:r>
      <w:r w:rsidR="00934878">
        <w:t xml:space="preserve">. It was developed based on </w:t>
      </w:r>
      <w:r w:rsidR="002908E9">
        <w:t>consumer</w:t>
      </w:r>
      <w:r w:rsidR="00934878">
        <w:t xml:space="preserve"> experience and input from our member organisations</w:t>
      </w:r>
      <w:r w:rsidR="00196767">
        <w:t xml:space="preserve"> and other stakeholders</w:t>
      </w:r>
      <w:r w:rsidR="00934878">
        <w:t>.</w:t>
      </w:r>
    </w:p>
    <w:p w:rsidR="00A2406B" w:rsidRDefault="00A2406B" w:rsidP="008E60CE">
      <w:pPr>
        <w:pStyle w:val="Heading2"/>
      </w:pPr>
      <w:r>
        <w:t xml:space="preserve">Key areas </w:t>
      </w:r>
      <w:r w:rsidR="006A33BA">
        <w:t xml:space="preserve">for improvement </w:t>
      </w:r>
      <w:r>
        <w:t xml:space="preserve">for </w:t>
      </w:r>
      <w:r w:rsidR="006A33BA">
        <w:t xml:space="preserve">a </w:t>
      </w:r>
      <w:r>
        <w:t>successful consumer experience</w:t>
      </w:r>
    </w:p>
    <w:p w:rsidR="00A2406B" w:rsidRPr="009C7484" w:rsidRDefault="004C36E6" w:rsidP="00C320F8">
      <w:pPr>
        <w:numPr>
          <w:ilvl w:val="0"/>
          <w:numId w:val="4"/>
        </w:numPr>
        <w:spacing w:after="0"/>
      </w:pPr>
      <w:r>
        <w:t>Ensur</w:t>
      </w:r>
      <w:r w:rsidR="00122993">
        <w:t>ing</w:t>
      </w:r>
      <w:r>
        <w:t xml:space="preserve"> that consumers have a</w:t>
      </w:r>
      <w:r w:rsidR="00A2406B">
        <w:t>ccess to a</w:t>
      </w:r>
      <w:r w:rsidR="005E6614">
        <w:t xml:space="preserve"> working</w:t>
      </w:r>
      <w:r w:rsidR="00A2406B">
        <w:t xml:space="preserve"> service</w:t>
      </w:r>
    </w:p>
    <w:p w:rsidR="00A2406B" w:rsidRPr="009C7484" w:rsidRDefault="00196767" w:rsidP="00C320F8">
      <w:pPr>
        <w:numPr>
          <w:ilvl w:val="0"/>
          <w:numId w:val="4"/>
        </w:numPr>
        <w:spacing w:after="0"/>
      </w:pPr>
      <w:r>
        <w:t>Providing</w:t>
      </w:r>
      <w:r w:rsidR="00777CE8">
        <w:t xml:space="preserve"> accurate,</w:t>
      </w:r>
      <w:r>
        <w:t xml:space="preserve"> c</w:t>
      </w:r>
      <w:r w:rsidR="00A2406B" w:rsidRPr="009C7484">
        <w:t xml:space="preserve">lear and consistent information </w:t>
      </w:r>
      <w:r w:rsidR="004C36E6">
        <w:t xml:space="preserve"> </w:t>
      </w:r>
      <w:r w:rsidR="00A2406B" w:rsidRPr="009C7484">
        <w:t>to consumers</w:t>
      </w:r>
    </w:p>
    <w:p w:rsidR="00A2406B" w:rsidRDefault="00196767" w:rsidP="00C320F8">
      <w:pPr>
        <w:numPr>
          <w:ilvl w:val="0"/>
          <w:numId w:val="4"/>
        </w:numPr>
        <w:spacing w:after="0"/>
      </w:pPr>
      <w:r>
        <w:t>Providing a</w:t>
      </w:r>
      <w:r w:rsidR="00A2406B">
        <w:t xml:space="preserve">ssistance </w:t>
      </w:r>
      <w:r w:rsidR="004C36E6">
        <w:t xml:space="preserve"> to consumers </w:t>
      </w:r>
      <w:r w:rsidR="00A2406B">
        <w:t>when needed</w:t>
      </w:r>
    </w:p>
    <w:p w:rsidR="00E35E4F" w:rsidRPr="00E35E4F" w:rsidRDefault="00E35E4F" w:rsidP="00E35E4F">
      <w:pPr>
        <w:pStyle w:val="ListParagraph"/>
        <w:numPr>
          <w:ilvl w:val="0"/>
          <w:numId w:val="4"/>
        </w:numPr>
      </w:pPr>
      <w:r w:rsidRPr="00E35E4F">
        <w:t>Appropriate avenues for consumers to seek assistance, answers and raise complaints</w:t>
      </w:r>
    </w:p>
    <w:p w:rsidR="001D3B22" w:rsidRDefault="004D37EB" w:rsidP="004D37EB">
      <w:pPr>
        <w:pStyle w:val="Heading1"/>
        <w:rPr>
          <w:lang w:val="en-AU"/>
        </w:rPr>
      </w:pPr>
      <w:r>
        <w:rPr>
          <w:lang w:val="en-AU"/>
        </w:rPr>
        <w:lastRenderedPageBreak/>
        <w:t>Key areas of concern</w:t>
      </w:r>
    </w:p>
    <w:p w:rsidR="004D37EB" w:rsidRDefault="00821884" w:rsidP="00821884">
      <w:pPr>
        <w:pStyle w:val="Heading2"/>
        <w:numPr>
          <w:ilvl w:val="0"/>
          <w:numId w:val="6"/>
        </w:numPr>
        <w:rPr>
          <w:lang w:val="en-AU"/>
        </w:rPr>
      </w:pPr>
      <w:r>
        <w:rPr>
          <w:lang w:val="en-AU"/>
        </w:rPr>
        <w:t>Ensur</w:t>
      </w:r>
      <w:r w:rsidR="00196767">
        <w:rPr>
          <w:lang w:val="en-AU"/>
        </w:rPr>
        <w:t>ing</w:t>
      </w:r>
      <w:r>
        <w:rPr>
          <w:lang w:val="en-AU"/>
        </w:rPr>
        <w:t xml:space="preserve"> that consumers have a</w:t>
      </w:r>
      <w:r w:rsidR="005E6614">
        <w:rPr>
          <w:lang w:val="en-AU"/>
        </w:rPr>
        <w:t>c</w:t>
      </w:r>
      <w:r w:rsidR="000D37B1">
        <w:rPr>
          <w:lang w:val="en-AU"/>
        </w:rPr>
        <w:t xml:space="preserve">cess to a </w:t>
      </w:r>
      <w:r w:rsidR="005E6614">
        <w:rPr>
          <w:lang w:val="en-AU"/>
        </w:rPr>
        <w:t xml:space="preserve">working </w:t>
      </w:r>
      <w:r w:rsidR="000D37B1">
        <w:rPr>
          <w:lang w:val="en-AU"/>
        </w:rPr>
        <w:t>service</w:t>
      </w:r>
    </w:p>
    <w:p w:rsidR="00DF7BBC" w:rsidRDefault="000D37B1" w:rsidP="00B2655A">
      <w:pPr>
        <w:rPr>
          <w:lang w:val="en-AU"/>
        </w:rPr>
      </w:pPr>
      <w:r>
        <w:rPr>
          <w:lang w:val="en-AU"/>
        </w:rPr>
        <w:t>It is important that consumers have access to a service</w:t>
      </w:r>
      <w:r w:rsidR="005E6614">
        <w:rPr>
          <w:lang w:val="en-AU"/>
        </w:rPr>
        <w:t xml:space="preserve"> and that it is functioning</w:t>
      </w:r>
      <w:r>
        <w:rPr>
          <w:lang w:val="en-AU"/>
        </w:rPr>
        <w:t xml:space="preserve">. </w:t>
      </w:r>
      <w:r w:rsidR="00E33409">
        <w:rPr>
          <w:lang w:val="en-AU"/>
        </w:rPr>
        <w:t>ACCAN sees three</w:t>
      </w:r>
      <w:r w:rsidR="00821884">
        <w:rPr>
          <w:lang w:val="en-AU"/>
        </w:rPr>
        <w:t xml:space="preserve"> primary issues </w:t>
      </w:r>
      <w:r w:rsidR="00E33409">
        <w:rPr>
          <w:lang w:val="en-AU"/>
        </w:rPr>
        <w:t xml:space="preserve">that </w:t>
      </w:r>
      <w:r w:rsidR="00821884">
        <w:rPr>
          <w:lang w:val="en-AU"/>
        </w:rPr>
        <w:t>are arising and preventing this from occurring.</w:t>
      </w:r>
    </w:p>
    <w:p w:rsidR="00F26A25" w:rsidRDefault="00F26A25" w:rsidP="006867B6">
      <w:pPr>
        <w:pStyle w:val="Heading3"/>
        <w:numPr>
          <w:ilvl w:val="1"/>
          <w:numId w:val="6"/>
        </w:numPr>
        <w:rPr>
          <w:lang w:val="en-AU"/>
        </w:rPr>
      </w:pPr>
      <w:r w:rsidRPr="00F26A25">
        <w:rPr>
          <w:lang w:val="en-AU"/>
        </w:rPr>
        <w:t>Timely and guaranteed connection appointments</w:t>
      </w:r>
    </w:p>
    <w:p w:rsidR="00F26A25" w:rsidRPr="00F26A25" w:rsidRDefault="00F26A25" w:rsidP="00F26A25">
      <w:pPr>
        <w:rPr>
          <w:lang w:val="en-AU"/>
        </w:rPr>
      </w:pPr>
      <w:r w:rsidRPr="00F26A25">
        <w:rPr>
          <w:lang w:val="en-AU"/>
        </w:rPr>
        <w:t>Switching to nbn can be highly inconvenient for consumers. This is particularly true when consumers need to take time off work or other activities to be at home for appointments.</w:t>
      </w:r>
    </w:p>
    <w:p w:rsidR="00F26A25" w:rsidRDefault="00F26A25" w:rsidP="00F26A25">
      <w:pPr>
        <w:rPr>
          <w:lang w:val="en-AU"/>
        </w:rPr>
      </w:pPr>
      <w:r w:rsidRPr="00F26A25">
        <w:rPr>
          <w:lang w:val="en-AU"/>
        </w:rPr>
        <w:t xml:space="preserve">The inconvenience is emphasised when technicians fail to turn up, often without any warning. </w:t>
      </w:r>
      <w:r>
        <w:rPr>
          <w:lang w:val="en-AU"/>
        </w:rPr>
        <w:t>New internet connection delays were the top complaint issue to the TIO last year.</w:t>
      </w:r>
      <w:r>
        <w:rPr>
          <w:rStyle w:val="FootnoteReference"/>
          <w:lang w:val="en-AU"/>
        </w:rPr>
        <w:footnoteReference w:id="6"/>
      </w:r>
      <w:r>
        <w:rPr>
          <w:lang w:val="en-AU"/>
        </w:rPr>
        <w:t xml:space="preserve"> The ACMA preliminary findings are that connections are not occurring within the standard timeframes.</w:t>
      </w:r>
      <w:r>
        <w:rPr>
          <w:rStyle w:val="FootnoteReference"/>
          <w:lang w:val="en-AU"/>
        </w:rPr>
        <w:footnoteReference w:id="7"/>
      </w:r>
      <w:r>
        <w:rPr>
          <w:lang w:val="en-AU"/>
        </w:rPr>
        <w:t xml:space="preserve"> </w:t>
      </w:r>
      <w:proofErr w:type="gramStart"/>
      <w:r w:rsidRPr="00F26A25">
        <w:rPr>
          <w:lang w:val="en-AU"/>
        </w:rPr>
        <w:t>nbn</w:t>
      </w:r>
      <w:proofErr w:type="gramEnd"/>
      <w:r w:rsidRPr="00F26A25">
        <w:rPr>
          <w:lang w:val="en-AU"/>
        </w:rPr>
        <w:t xml:space="preserve"> estimates that 10% of appointments are missed, equating to 82,552</w:t>
      </w:r>
      <w:r w:rsidR="00691976">
        <w:rPr>
          <w:lang w:val="en-AU"/>
        </w:rPr>
        <w:t xml:space="preserve"> missed appointments</w:t>
      </w:r>
      <w:r w:rsidRPr="00F26A25">
        <w:rPr>
          <w:lang w:val="en-AU"/>
        </w:rPr>
        <w:t xml:space="preserve"> in 2016.</w:t>
      </w:r>
      <w:r w:rsidR="008F1066">
        <w:rPr>
          <w:rStyle w:val="FootnoteReference"/>
          <w:lang w:val="en-AU"/>
        </w:rPr>
        <w:footnoteReference w:id="8"/>
      </w:r>
      <w:r w:rsidRPr="00F26A25">
        <w:rPr>
          <w:lang w:val="en-AU"/>
        </w:rPr>
        <w:t xml:space="preserve">  A number of consumers report </w:t>
      </w:r>
      <w:r w:rsidR="006867B6">
        <w:rPr>
          <w:lang w:val="en-AU"/>
        </w:rPr>
        <w:t xml:space="preserve">experiencing </w:t>
      </w:r>
      <w:r w:rsidR="006867B6" w:rsidRPr="00F26A25">
        <w:rPr>
          <w:lang w:val="en-AU"/>
        </w:rPr>
        <w:t>multiple</w:t>
      </w:r>
      <w:r w:rsidRPr="00F26A25">
        <w:rPr>
          <w:lang w:val="en-AU"/>
        </w:rPr>
        <w:t xml:space="preserve"> </w:t>
      </w:r>
      <w:r w:rsidR="00196767">
        <w:rPr>
          <w:lang w:val="en-AU"/>
        </w:rPr>
        <w:t xml:space="preserve">missed </w:t>
      </w:r>
      <w:r w:rsidRPr="00F26A25">
        <w:rPr>
          <w:lang w:val="en-AU"/>
        </w:rPr>
        <w:t>appointments</w:t>
      </w:r>
      <w:r w:rsidR="00196767">
        <w:rPr>
          <w:lang w:val="en-AU"/>
        </w:rPr>
        <w:t>.</w:t>
      </w:r>
      <w:r w:rsidRPr="00F26A25">
        <w:rPr>
          <w:lang w:val="en-AU"/>
        </w:rPr>
        <w:t xml:space="preserve"> Often it is the consumer </w:t>
      </w:r>
      <w:r w:rsidR="00196767">
        <w:rPr>
          <w:lang w:val="en-AU"/>
        </w:rPr>
        <w:t>who</w:t>
      </w:r>
      <w:r w:rsidRPr="00F26A25">
        <w:rPr>
          <w:lang w:val="en-AU"/>
        </w:rPr>
        <w:t xml:space="preserve"> informs the RSP that the technician never appeared.</w:t>
      </w:r>
    </w:p>
    <w:p w:rsidR="0005778D" w:rsidRPr="00F26A25" w:rsidRDefault="0005778D" w:rsidP="00F26A25">
      <w:pPr>
        <w:rPr>
          <w:lang w:val="en-AU"/>
        </w:rPr>
      </w:pPr>
      <w:r w:rsidRPr="00ED3977">
        <w:rPr>
          <w:rStyle w:val="IntenseEmphasis"/>
          <w:noProof/>
          <w:lang w:eastAsia="en-IE"/>
        </w:rPr>
        <mc:AlternateContent>
          <mc:Choice Requires="wps">
            <w:drawing>
              <wp:inline distT="0" distB="0" distL="0" distR="0" wp14:anchorId="61C3A7A8" wp14:editId="2A03C581">
                <wp:extent cx="5676900" cy="1368000"/>
                <wp:effectExtent l="38100" t="38100" r="38100" b="39370"/>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68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5778D" w:rsidRPr="00F26A25" w:rsidRDefault="0005778D" w:rsidP="00D4216F">
                            <w:pPr>
                              <w:pStyle w:val="Quote"/>
                              <w:spacing w:line="240" w:lineRule="auto"/>
                              <w:rPr>
                                <w:lang w:val="en-AU"/>
                              </w:rPr>
                            </w:pPr>
                            <w:r w:rsidRPr="00F26A25">
                              <w:rPr>
                                <w:lang w:val="en-AU"/>
                              </w:rPr>
                              <w:t>Case Study: Fran, QLD</w:t>
                            </w:r>
                          </w:p>
                          <w:p w:rsidR="0005778D" w:rsidRDefault="0005778D" w:rsidP="00D4216F">
                            <w:pPr>
                              <w:spacing w:after="0" w:line="240" w:lineRule="auto"/>
                              <w:rPr>
                                <w:rFonts w:asciiTheme="majorHAnsi" w:eastAsiaTheme="majorEastAsia" w:hAnsiTheme="majorHAnsi" w:cstheme="majorBidi"/>
                                <w:i/>
                                <w:iCs/>
                                <w:sz w:val="28"/>
                                <w:szCs w:val="28"/>
                              </w:rPr>
                            </w:pPr>
                            <w:r w:rsidRPr="00F26A25">
                              <w:rPr>
                                <w:lang w:val="en-AU"/>
                              </w:rPr>
                              <w:t xml:space="preserve">Fran switched to nbn with an installation appointment made for July 2017. </w:t>
                            </w:r>
                            <w:proofErr w:type="gramStart"/>
                            <w:r w:rsidRPr="00F26A25">
                              <w:rPr>
                                <w:lang w:val="en-AU"/>
                              </w:rPr>
                              <w:t>After taking the day off work and waiting for the technician to arrive no one showed up.</w:t>
                            </w:r>
                            <w:proofErr w:type="gramEnd"/>
                            <w:r w:rsidRPr="00F26A25">
                              <w:rPr>
                                <w:lang w:val="en-AU"/>
                              </w:rPr>
                              <w:t xml:space="preserve"> She called her RSP who was unable to advise immediately. After checking with nbn, they were also unable to advise why the technician did not show up. </w:t>
                            </w:r>
                            <w:proofErr w:type="gramStart"/>
                            <w:r w:rsidRPr="00F26A25">
                              <w:rPr>
                                <w:lang w:val="en-AU"/>
                              </w:rPr>
                              <w:t>nbn</w:t>
                            </w:r>
                            <w:proofErr w:type="gramEnd"/>
                            <w:r w:rsidRPr="00F26A25">
                              <w:rPr>
                                <w:lang w:val="en-AU"/>
                              </w:rPr>
                              <w:t xml:space="preserve"> blamed the RSP and the RSP the nbn. Meanwhile Fran has to wait for another appointment to be made and will likely need to take another day off work.</w:t>
                            </w:r>
                          </w:p>
                        </w:txbxContent>
                      </wps:txbx>
                      <wps:bodyPr rot="0" vert="horz" wrap="square" lIns="137160" tIns="91440" rIns="137160" bIns="91440" anchor="ctr"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7pt;height:10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" filled="f" strokecolor="#622423" strokeweight="6pt">
                <v:stroke linestyle="thickThin"/>
                <v:textbox style="mso-fit-shape-to-text:t" inset="10.8pt,7.2pt,10.8pt,7.2pt">
                  <w:txbxContent>
                    <w:p w:rsidR="0005778D" w:rsidRPr="00F26A25" w:rsidRDefault="0005778D" w:rsidP="00D4216F">
                      <w:pPr>
                        <w:pStyle w:val="Quote"/>
                        <w:spacing w:line="240" w:lineRule="auto"/>
                        <w:rPr>
                          <w:lang w:val="en-AU"/>
                        </w:rPr>
                      </w:pPr>
                      <w:r w:rsidRPr="00F26A25">
                        <w:rPr>
                          <w:lang w:val="en-AU"/>
                        </w:rPr>
                        <w:t>Case Study: Fran, QLD</w:t>
                      </w:r>
                    </w:p>
                    <w:p w:rsidR="0005778D" w:rsidRDefault="0005778D" w:rsidP="00D4216F">
                      <w:pPr>
                        <w:spacing w:after="0" w:line="240" w:lineRule="auto"/>
                        <w:rPr>
                          <w:rFonts w:asciiTheme="majorHAnsi" w:eastAsiaTheme="majorEastAsia" w:hAnsiTheme="majorHAnsi" w:cstheme="majorBidi"/>
                          <w:i/>
                          <w:iCs/>
                          <w:sz w:val="28"/>
                          <w:szCs w:val="28"/>
                        </w:rPr>
                      </w:pPr>
                      <w:r w:rsidRPr="00F26A25">
                        <w:rPr>
                          <w:lang w:val="en-AU"/>
                        </w:rPr>
                        <w:t xml:space="preserve">Fran switched to nbn with an installation appointment made for July 2017. </w:t>
                      </w:r>
                      <w:proofErr w:type="gramStart"/>
                      <w:r w:rsidRPr="00F26A25">
                        <w:rPr>
                          <w:lang w:val="en-AU"/>
                        </w:rPr>
                        <w:t>After taking the day off work and waiting for the technician to arrive no one showed up.</w:t>
                      </w:r>
                      <w:proofErr w:type="gramEnd"/>
                      <w:r w:rsidRPr="00F26A25">
                        <w:rPr>
                          <w:lang w:val="en-AU"/>
                        </w:rPr>
                        <w:t xml:space="preserve"> She called her RSP who was unable to advise immediately. After checking with nbn, they were also unable to advise why the technician did not show up. </w:t>
                      </w:r>
                      <w:proofErr w:type="gramStart"/>
                      <w:r w:rsidRPr="00F26A25">
                        <w:rPr>
                          <w:lang w:val="en-AU"/>
                        </w:rPr>
                        <w:t>nbn</w:t>
                      </w:r>
                      <w:proofErr w:type="gramEnd"/>
                      <w:r w:rsidRPr="00F26A25">
                        <w:rPr>
                          <w:lang w:val="en-AU"/>
                        </w:rPr>
                        <w:t xml:space="preserve"> blamed the RSP and the RSP the nbn. Meanwhile Fran has to wait for another appointment to be made and will likely need to take another day off work.</w:t>
                      </w:r>
                    </w:p>
                  </w:txbxContent>
                </v:textbox>
                <w10:anchorlock/>
              </v:shape>
            </w:pict>
          </mc:Fallback>
        </mc:AlternateContent>
      </w:r>
    </w:p>
    <w:p w:rsidR="00F26A25" w:rsidRPr="00F26A25" w:rsidRDefault="00196767" w:rsidP="00F26A25">
      <w:pPr>
        <w:rPr>
          <w:rStyle w:val="IntenseEmphasis"/>
          <w:lang w:val="en-AU"/>
        </w:rPr>
      </w:pPr>
      <w:r>
        <w:rPr>
          <w:rStyle w:val="IntenseEmphasis"/>
          <w:lang w:val="en-AU"/>
        </w:rPr>
        <w:t xml:space="preserve">Recommendation: </w:t>
      </w:r>
      <w:r w:rsidR="00F26A25">
        <w:rPr>
          <w:rStyle w:val="IntenseEmphasis"/>
          <w:lang w:val="en-AU"/>
        </w:rPr>
        <w:t xml:space="preserve">Connection timeframes are needed, with </w:t>
      </w:r>
      <w:r w:rsidR="00F26A25" w:rsidRPr="00F26A25">
        <w:rPr>
          <w:rStyle w:val="IntenseEmphasis"/>
          <w:lang w:val="en-AU"/>
        </w:rPr>
        <w:t xml:space="preserve">greater transparency into appointment </w:t>
      </w:r>
      <w:r w:rsidR="002E1CFD">
        <w:rPr>
          <w:rStyle w:val="IntenseEmphasis"/>
          <w:lang w:val="en-AU"/>
        </w:rPr>
        <w:t xml:space="preserve">booking, amendments and </w:t>
      </w:r>
      <w:r w:rsidR="00F26A25" w:rsidRPr="00F26A25">
        <w:rPr>
          <w:rStyle w:val="IntenseEmphasis"/>
          <w:lang w:val="en-AU"/>
        </w:rPr>
        <w:t>cancellations and as much notice provided to consumers as possible when re-schedules occur.</w:t>
      </w:r>
    </w:p>
    <w:p w:rsidR="005E6614" w:rsidRDefault="005E6614" w:rsidP="000C360F">
      <w:pPr>
        <w:pStyle w:val="Heading3"/>
        <w:numPr>
          <w:ilvl w:val="1"/>
          <w:numId w:val="6"/>
        </w:numPr>
        <w:rPr>
          <w:lang w:val="en-AU"/>
        </w:rPr>
      </w:pPr>
      <w:r>
        <w:rPr>
          <w:lang w:val="en-AU"/>
        </w:rPr>
        <w:t>Service availability</w:t>
      </w:r>
    </w:p>
    <w:p w:rsidR="0005778D" w:rsidRPr="0005778D" w:rsidRDefault="004D37EB" w:rsidP="0082622F">
      <w:pPr>
        <w:rPr>
          <w:lang w:val="en-AU"/>
        </w:rPr>
      </w:pPr>
      <w:r>
        <w:rPr>
          <w:lang w:val="en-AU"/>
        </w:rPr>
        <w:t>A consumer can onl</w:t>
      </w:r>
      <w:r w:rsidR="008B7191">
        <w:rPr>
          <w:lang w:val="en-AU"/>
        </w:rPr>
        <w:t xml:space="preserve">y switch if the </w:t>
      </w:r>
      <w:r w:rsidR="000D37B1">
        <w:rPr>
          <w:lang w:val="en-AU"/>
        </w:rPr>
        <w:t xml:space="preserve">nbn </w:t>
      </w:r>
      <w:r w:rsidR="008B7191">
        <w:rPr>
          <w:lang w:val="en-AU"/>
        </w:rPr>
        <w:t>network is available</w:t>
      </w:r>
      <w:r>
        <w:rPr>
          <w:lang w:val="en-AU"/>
        </w:rPr>
        <w:t xml:space="preserve"> for them</w:t>
      </w:r>
      <w:r w:rsidR="008B7191">
        <w:rPr>
          <w:lang w:val="en-AU"/>
        </w:rPr>
        <w:t xml:space="preserve"> to use</w:t>
      </w:r>
      <w:r>
        <w:rPr>
          <w:lang w:val="en-AU"/>
        </w:rPr>
        <w:t xml:space="preserve">. </w:t>
      </w:r>
      <w:r w:rsidR="00B2655A">
        <w:rPr>
          <w:lang w:val="en-AU"/>
        </w:rPr>
        <w:t xml:space="preserve">A premises </w:t>
      </w:r>
      <w:r w:rsidR="00354395">
        <w:rPr>
          <w:lang w:val="en-AU"/>
        </w:rPr>
        <w:t xml:space="preserve">may be in an nbn area but ‘not yet ready to connect’ </w:t>
      </w:r>
      <w:r w:rsidR="00B2655A">
        <w:rPr>
          <w:lang w:val="en-AU"/>
        </w:rPr>
        <w:t>for a number of reasons including additional network work required.</w:t>
      </w:r>
      <w:r w:rsidR="000D37B1">
        <w:rPr>
          <w:lang w:val="en-AU"/>
        </w:rPr>
        <w:t xml:space="preserve"> </w:t>
      </w:r>
      <w:r w:rsidR="005E6614">
        <w:rPr>
          <w:lang w:val="en-AU"/>
        </w:rPr>
        <w:t>The</w:t>
      </w:r>
      <w:r w:rsidR="003E5C42">
        <w:rPr>
          <w:lang w:val="en-AU"/>
        </w:rPr>
        <w:t>re are a significant</w:t>
      </w:r>
      <w:r w:rsidR="005E6614">
        <w:rPr>
          <w:lang w:val="en-AU"/>
        </w:rPr>
        <w:t xml:space="preserve"> </w:t>
      </w:r>
      <w:r w:rsidR="00B2655A">
        <w:rPr>
          <w:lang w:val="en-AU"/>
        </w:rPr>
        <w:t>number</w:t>
      </w:r>
      <w:r w:rsidR="005E6614">
        <w:rPr>
          <w:lang w:val="en-AU"/>
        </w:rPr>
        <w:t xml:space="preserve"> of premises </w:t>
      </w:r>
      <w:r w:rsidR="00196767">
        <w:rPr>
          <w:lang w:val="en-AU"/>
        </w:rPr>
        <w:t>that</w:t>
      </w:r>
      <w:r w:rsidR="005E6614">
        <w:rPr>
          <w:lang w:val="en-AU"/>
        </w:rPr>
        <w:t xml:space="preserve"> are</w:t>
      </w:r>
      <w:r w:rsidR="00354395">
        <w:rPr>
          <w:lang w:val="en-AU"/>
        </w:rPr>
        <w:t xml:space="preserve"> in this position </w:t>
      </w:r>
      <w:r w:rsidR="003E5C42">
        <w:rPr>
          <w:lang w:val="en-AU"/>
        </w:rPr>
        <w:t>(over 3</w:t>
      </w:r>
      <w:r w:rsidR="009F1724">
        <w:rPr>
          <w:lang w:val="en-AU"/>
        </w:rPr>
        <w:t>37</w:t>
      </w:r>
      <w:r w:rsidR="003E5C42">
        <w:rPr>
          <w:lang w:val="en-AU"/>
        </w:rPr>
        <w:t xml:space="preserve">k in </w:t>
      </w:r>
      <w:r w:rsidR="009F1724">
        <w:rPr>
          <w:lang w:val="en-AU"/>
        </w:rPr>
        <w:t>November</w:t>
      </w:r>
      <w:r w:rsidR="003E5C42">
        <w:rPr>
          <w:lang w:val="en-AU"/>
        </w:rPr>
        <w:t xml:space="preserve"> 2017)</w:t>
      </w:r>
      <w:r w:rsidR="00B2655A">
        <w:rPr>
          <w:lang w:val="en-AU"/>
        </w:rPr>
        <w:t>.</w:t>
      </w:r>
      <w:r w:rsidR="005E6614">
        <w:rPr>
          <w:rStyle w:val="FootnoteReference"/>
        </w:rPr>
        <w:footnoteReference w:id="9"/>
      </w:r>
    </w:p>
    <w:p w:rsidR="00DF7BBC" w:rsidRDefault="005E6614" w:rsidP="004D37EB">
      <w:pPr>
        <w:rPr>
          <w:lang w:val="en-AU"/>
        </w:rPr>
      </w:pPr>
      <w:r>
        <w:rPr>
          <w:lang w:val="en-AU"/>
        </w:rPr>
        <w:t xml:space="preserve">Where a consumer can </w:t>
      </w:r>
      <w:r w:rsidR="00821884">
        <w:rPr>
          <w:lang w:val="en-AU"/>
        </w:rPr>
        <w:t xml:space="preserve">continue to use </w:t>
      </w:r>
      <w:r>
        <w:rPr>
          <w:lang w:val="en-AU"/>
        </w:rPr>
        <w:t>the legacy service</w:t>
      </w:r>
      <w:r w:rsidR="00821884">
        <w:rPr>
          <w:lang w:val="en-AU"/>
        </w:rPr>
        <w:t xml:space="preserve"> (such as ADSL), a period of </w:t>
      </w:r>
      <w:r w:rsidR="00E33409">
        <w:rPr>
          <w:lang w:val="en-AU"/>
        </w:rPr>
        <w:t xml:space="preserve">waiting for nbn </w:t>
      </w:r>
      <w:r>
        <w:rPr>
          <w:lang w:val="en-AU"/>
        </w:rPr>
        <w:t>serviceability, while inconveni</w:t>
      </w:r>
      <w:r w:rsidR="00821884">
        <w:rPr>
          <w:lang w:val="en-AU"/>
        </w:rPr>
        <w:t>ent, often only causes a delay in switching</w:t>
      </w:r>
      <w:r>
        <w:rPr>
          <w:lang w:val="en-AU"/>
        </w:rPr>
        <w:t xml:space="preserve">. </w:t>
      </w:r>
      <w:r w:rsidR="00E33409">
        <w:rPr>
          <w:lang w:val="en-AU"/>
        </w:rPr>
        <w:t xml:space="preserve">However, </w:t>
      </w:r>
      <w:r w:rsidR="001F76A0">
        <w:rPr>
          <w:lang w:val="en-AU"/>
        </w:rPr>
        <w:t xml:space="preserve">where there is no legacy service in place then the consumer is </w:t>
      </w:r>
      <w:r w:rsidR="00F47709">
        <w:rPr>
          <w:lang w:val="en-AU"/>
        </w:rPr>
        <w:t xml:space="preserve">in a position </w:t>
      </w:r>
      <w:r w:rsidR="00CD7747">
        <w:rPr>
          <w:lang w:val="en-AU"/>
        </w:rPr>
        <w:t xml:space="preserve">where </w:t>
      </w:r>
      <w:r w:rsidR="00F47709">
        <w:rPr>
          <w:lang w:val="en-AU"/>
        </w:rPr>
        <w:t xml:space="preserve">they are </w:t>
      </w:r>
      <w:r w:rsidR="001F76A0">
        <w:rPr>
          <w:lang w:val="en-AU"/>
        </w:rPr>
        <w:t>unable to connect to any network.</w:t>
      </w:r>
      <w:r>
        <w:rPr>
          <w:lang w:val="en-AU"/>
        </w:rPr>
        <w:t xml:space="preserve"> </w:t>
      </w:r>
      <w:r w:rsidR="00F26A25">
        <w:rPr>
          <w:lang w:val="en-AU"/>
        </w:rPr>
        <w:t xml:space="preserve">This can lead to periods without service, financial cost to consumers or potential safety </w:t>
      </w:r>
      <w:r w:rsidR="00F26A25">
        <w:rPr>
          <w:lang w:val="en-AU"/>
        </w:rPr>
        <w:lastRenderedPageBreak/>
        <w:t xml:space="preserve">concerns. </w:t>
      </w:r>
      <w:proofErr w:type="gramStart"/>
      <w:r w:rsidR="00F47709">
        <w:rPr>
          <w:lang w:val="en-AU"/>
        </w:rPr>
        <w:t>nbn</w:t>
      </w:r>
      <w:proofErr w:type="gramEnd"/>
      <w:r w:rsidR="00F47709">
        <w:rPr>
          <w:lang w:val="en-AU"/>
        </w:rPr>
        <w:t xml:space="preserve"> estimates that 6% of premises require additional work to ensure serviceability, which takes on average 6 months to complete.</w:t>
      </w:r>
      <w:r w:rsidR="00F47709" w:rsidRPr="00B606E2">
        <w:rPr>
          <w:vertAlign w:val="superscript"/>
          <w:lang w:val="en-AU"/>
        </w:rPr>
        <w:footnoteReference w:id="10"/>
      </w:r>
      <w:r w:rsidR="00F47709">
        <w:rPr>
          <w:lang w:val="en-AU"/>
        </w:rPr>
        <w:t xml:space="preserve"> </w:t>
      </w:r>
      <w:r w:rsidR="00276835">
        <w:rPr>
          <w:lang w:val="en-AU"/>
        </w:rPr>
        <w:t>Consumers who move into a not yet ready to connect premises may face even length</w:t>
      </w:r>
      <w:r w:rsidR="00196767">
        <w:rPr>
          <w:lang w:val="en-AU"/>
        </w:rPr>
        <w:t>ier</w:t>
      </w:r>
      <w:r w:rsidR="00276835">
        <w:rPr>
          <w:lang w:val="en-AU"/>
        </w:rPr>
        <w:t xml:space="preserve"> periods without services. </w:t>
      </w:r>
      <w:r w:rsidR="001F76A0">
        <w:rPr>
          <w:lang w:val="en-AU"/>
        </w:rPr>
        <w:t>Previous ABS stat</w:t>
      </w:r>
      <w:r w:rsidR="00196767">
        <w:rPr>
          <w:lang w:val="en-AU"/>
        </w:rPr>
        <w:t>i</w:t>
      </w:r>
      <w:r w:rsidR="001F76A0">
        <w:rPr>
          <w:lang w:val="en-AU"/>
        </w:rPr>
        <w:t>s</w:t>
      </w:r>
      <w:r w:rsidR="00196767">
        <w:rPr>
          <w:lang w:val="en-AU"/>
        </w:rPr>
        <w:t>tics</w:t>
      </w:r>
      <w:r w:rsidR="001F76A0">
        <w:rPr>
          <w:lang w:val="en-AU"/>
        </w:rPr>
        <w:t xml:space="preserve"> estimated that 43% of people move every five years.</w:t>
      </w:r>
      <w:r w:rsidR="001F76A0" w:rsidRPr="00B606E2">
        <w:rPr>
          <w:vertAlign w:val="superscript"/>
          <w:lang w:val="en-AU"/>
        </w:rPr>
        <w:footnoteReference w:id="11"/>
      </w:r>
      <w:r w:rsidR="001F76A0">
        <w:rPr>
          <w:lang w:val="en-AU"/>
        </w:rPr>
        <w:t xml:space="preserve"> It is therefore highly likely that a number of consumers will move into areas </w:t>
      </w:r>
      <w:r w:rsidR="00CD7747">
        <w:rPr>
          <w:lang w:val="en-AU"/>
        </w:rPr>
        <w:t xml:space="preserve">that are </w:t>
      </w:r>
      <w:r w:rsidR="001F76A0">
        <w:rPr>
          <w:lang w:val="en-AU"/>
        </w:rPr>
        <w:t>ready for service and encounter serviceability issues.</w:t>
      </w:r>
    </w:p>
    <w:p w:rsidR="004D37EB" w:rsidRDefault="00F47709" w:rsidP="004D37EB">
      <w:pPr>
        <w:rPr>
          <w:lang w:val="en-AU"/>
        </w:rPr>
      </w:pPr>
      <w:r>
        <w:rPr>
          <w:lang w:val="en-AU"/>
        </w:rPr>
        <w:t xml:space="preserve">When issues arise ACCAN has found that it can take a long time to establish the serviceability status, leaving consumers without any connection. </w:t>
      </w:r>
      <w:r w:rsidR="00691BA1">
        <w:rPr>
          <w:lang w:val="en-AU"/>
        </w:rPr>
        <w:t xml:space="preserve">It is unacceptable to leave consumers for long periods without any service. Options to ensure that these </w:t>
      </w:r>
      <w:r w:rsidR="00FD7492">
        <w:rPr>
          <w:lang w:val="en-AU"/>
        </w:rPr>
        <w:t xml:space="preserve">consumers </w:t>
      </w:r>
      <w:r w:rsidR="00E33409">
        <w:rPr>
          <w:lang w:val="en-AU"/>
        </w:rPr>
        <w:t>can access a service</w:t>
      </w:r>
      <w:r w:rsidR="00691BA1">
        <w:rPr>
          <w:lang w:val="en-AU"/>
        </w:rPr>
        <w:t xml:space="preserve"> need to be considered; either expediting the serviceability of the nbn network or establishing a connection to the legacy network.</w:t>
      </w:r>
    </w:p>
    <w:p w:rsidR="0005778D" w:rsidRDefault="0005778D" w:rsidP="004D37EB">
      <w:pPr>
        <w:rPr>
          <w:lang w:val="en-AU"/>
        </w:rPr>
      </w:pPr>
      <w:r w:rsidRPr="00ED3977">
        <w:rPr>
          <w:rStyle w:val="IntenseEmphasis"/>
          <w:noProof/>
          <w:lang w:eastAsia="en-IE"/>
        </w:rPr>
        <mc:AlternateContent>
          <mc:Choice Requires="wps">
            <w:drawing>
              <wp:inline distT="0" distB="0" distL="0" distR="0" wp14:anchorId="6DBCA7CC" wp14:editId="797E3750">
                <wp:extent cx="5572125" cy="1368000"/>
                <wp:effectExtent l="38100" t="38100" r="47625" b="387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68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5778D" w:rsidRDefault="0005778D" w:rsidP="0005778D">
                            <w:pPr>
                              <w:pStyle w:val="Quote"/>
                              <w:spacing w:line="240" w:lineRule="auto"/>
                              <w:rPr>
                                <w:lang w:val="en-AU"/>
                              </w:rPr>
                            </w:pPr>
                            <w:r>
                              <w:rPr>
                                <w:lang w:val="en-AU"/>
                              </w:rPr>
                              <w:t>Case Study: Scott, VIC</w:t>
                            </w:r>
                          </w:p>
                          <w:p w:rsidR="0005778D" w:rsidRDefault="0005778D" w:rsidP="0005778D">
                            <w:pPr>
                              <w:spacing w:after="0" w:line="240" w:lineRule="auto"/>
                              <w:rPr>
                                <w:rFonts w:asciiTheme="majorHAnsi" w:eastAsiaTheme="majorEastAsia" w:hAnsiTheme="majorHAnsi" w:cstheme="majorBidi"/>
                                <w:i/>
                                <w:iCs/>
                                <w:sz w:val="28"/>
                                <w:szCs w:val="28"/>
                              </w:rPr>
                            </w:pPr>
                            <w:r>
                              <w:rPr>
                                <w:lang w:val="en-AU"/>
                              </w:rPr>
                              <w:t xml:space="preserve">Scott moved back into his house in March 2017 after a period of renovation. His area recently switched to nbn. Scott tried to order an nbn service only to find that his </w:t>
                            </w:r>
                            <w:proofErr w:type="gramStart"/>
                            <w:r>
                              <w:rPr>
                                <w:lang w:val="en-AU"/>
                              </w:rPr>
                              <w:t>premises was</w:t>
                            </w:r>
                            <w:proofErr w:type="gramEnd"/>
                            <w:r>
                              <w:rPr>
                                <w:lang w:val="en-AU"/>
                              </w:rPr>
                              <w:t xml:space="preserve"> unserviceable and required additional work by nbn. He was also unable to connect to the legacy network. For four months Scott was unable to get any broadband service. This impacted his children’s education and his ability to work from home.</w:t>
                            </w:r>
                          </w:p>
                        </w:txbxContent>
                      </wps:txbx>
                      <wps:bodyPr rot="0" vert="horz" wrap="square" lIns="137160" tIns="91440" rIns="137160" bIns="91440" anchor="ctr" anchorCtr="0" upright="1">
                        <a:spAutoFit/>
                      </wps:bodyPr>
                    </wps:wsp>
                  </a:graphicData>
                </a:graphic>
              </wp:inline>
            </w:drawing>
          </mc:Choice>
          <mc:Fallback>
            <w:pict>
              <v:shape id="_x0000_s1027" type="#_x0000_t202" style="width:438.75pt;height:10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" filled="f" strokecolor="#622423" strokeweight="6pt">
                <v:stroke linestyle="thickThin"/>
                <v:textbox style="mso-fit-shape-to-text:t" inset="10.8pt,7.2pt,10.8pt,7.2pt">
                  <w:txbxContent>
                    <w:p w:rsidR="0005778D" w:rsidRDefault="0005778D" w:rsidP="0005778D">
                      <w:pPr>
                        <w:pStyle w:val="Quote"/>
                        <w:spacing w:line="240" w:lineRule="auto"/>
                        <w:rPr>
                          <w:lang w:val="en-AU"/>
                        </w:rPr>
                      </w:pPr>
                      <w:r>
                        <w:rPr>
                          <w:lang w:val="en-AU"/>
                        </w:rPr>
                        <w:t>Case Study: Scott, VIC</w:t>
                      </w:r>
                    </w:p>
                    <w:p w:rsidR="0005778D" w:rsidRDefault="0005778D" w:rsidP="0005778D">
                      <w:pPr>
                        <w:spacing w:after="0" w:line="240" w:lineRule="auto"/>
                        <w:rPr>
                          <w:rFonts w:asciiTheme="majorHAnsi" w:eastAsiaTheme="majorEastAsia" w:hAnsiTheme="majorHAnsi" w:cstheme="majorBidi"/>
                          <w:i/>
                          <w:iCs/>
                          <w:sz w:val="28"/>
                          <w:szCs w:val="28"/>
                        </w:rPr>
                      </w:pPr>
                      <w:r>
                        <w:rPr>
                          <w:lang w:val="en-AU"/>
                        </w:rPr>
                        <w:t xml:space="preserve">Scott moved back into his house in March 2017 after a period of renovation. His area recently switched to nbn. Scott tried to order an nbn service only to find that his </w:t>
                      </w:r>
                      <w:proofErr w:type="gramStart"/>
                      <w:r>
                        <w:rPr>
                          <w:lang w:val="en-AU"/>
                        </w:rPr>
                        <w:t>premises was</w:t>
                      </w:r>
                      <w:proofErr w:type="gramEnd"/>
                      <w:r>
                        <w:rPr>
                          <w:lang w:val="en-AU"/>
                        </w:rPr>
                        <w:t xml:space="preserve"> unserviceable and required additional work by nbn. He was also unable to connect to the legacy network. For four months Scott was unable to get any broadband service. This impacted his children’s education and his ability to work from home.</w:t>
                      </w:r>
                    </w:p>
                  </w:txbxContent>
                </v:textbox>
                <w10:anchorlock/>
              </v:shape>
            </w:pict>
          </mc:Fallback>
        </mc:AlternateContent>
      </w:r>
    </w:p>
    <w:p w:rsidR="00DF7BBC" w:rsidRDefault="00DF7BBC" w:rsidP="004D37EB">
      <w:pPr>
        <w:rPr>
          <w:lang w:val="en-AU"/>
        </w:rPr>
      </w:pPr>
      <w:r w:rsidRPr="00ED3977">
        <w:rPr>
          <w:rStyle w:val="IntenseEmphasis"/>
          <w:noProof/>
          <w:lang w:eastAsia="en-IE"/>
        </w:rPr>
        <mc:AlternateContent>
          <mc:Choice Requires="wps">
            <w:drawing>
              <wp:inline distT="0" distB="0" distL="0" distR="0" wp14:anchorId="7A1D0227" wp14:editId="45E88961">
                <wp:extent cx="5629275" cy="1368000"/>
                <wp:effectExtent l="38100" t="38100" r="47625" b="387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368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F7BBC" w:rsidRDefault="00DF7BBC" w:rsidP="00DF7BBC">
                            <w:pPr>
                              <w:pStyle w:val="Quote"/>
                              <w:spacing w:line="240" w:lineRule="auto"/>
                              <w:rPr>
                                <w:lang w:val="en-AU"/>
                              </w:rPr>
                            </w:pPr>
                            <w:r>
                              <w:rPr>
                                <w:lang w:val="en-AU"/>
                              </w:rPr>
                              <w:t>Case Study: Alice, NSW</w:t>
                            </w:r>
                          </w:p>
                          <w:p w:rsidR="00DF7BBC" w:rsidRDefault="00DF7BBC" w:rsidP="00DF7BBC">
                            <w:pPr>
                              <w:spacing w:after="0" w:line="240" w:lineRule="auto"/>
                              <w:rPr>
                                <w:rFonts w:asciiTheme="majorHAnsi" w:eastAsiaTheme="majorEastAsia" w:hAnsiTheme="majorHAnsi" w:cstheme="majorBidi"/>
                                <w:i/>
                                <w:iCs/>
                                <w:sz w:val="28"/>
                                <w:szCs w:val="28"/>
                              </w:rPr>
                            </w:pPr>
                            <w:r>
                              <w:rPr>
                                <w:lang w:val="en-AU"/>
                              </w:rPr>
                              <w:t xml:space="preserve">Alice’s </w:t>
                            </w:r>
                            <w:proofErr w:type="gramStart"/>
                            <w:r>
                              <w:rPr>
                                <w:lang w:val="en-AU"/>
                              </w:rPr>
                              <w:t>premises has</w:t>
                            </w:r>
                            <w:proofErr w:type="gramEnd"/>
                            <w:r>
                              <w:rPr>
                                <w:lang w:val="en-AU"/>
                              </w:rPr>
                              <w:t xml:space="preserve"> no connection to the telecommunication network and she has been advised that it is not possible to provide one. NBN is expected to be available in her area in the coming months. However, due to a lack of infrastructure at Alice’s premises she is likely to be classified as ‘not yet ready to connect’ for a number of months. Alice is likely to spend a year without any fixed internet connection.</w:t>
                            </w:r>
                          </w:p>
                        </w:txbxContent>
                      </wps:txbx>
                      <wps:bodyPr rot="0" vert="horz" wrap="square" lIns="137160" tIns="91440" rIns="137160" bIns="91440" anchor="ctr" anchorCtr="0" upright="1">
                        <a:spAutoFit/>
                      </wps:bodyPr>
                    </wps:wsp>
                  </a:graphicData>
                </a:graphic>
              </wp:inline>
            </w:drawing>
          </mc:Choice>
          <mc:Fallback>
            <w:pict>
              <v:shape id="_x0000_s1028" type="#_x0000_t202" style="width:443.25pt;height:10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" filled="f" strokecolor="#622423" strokeweight="6pt">
                <v:stroke linestyle="thickThin"/>
                <v:textbox style="mso-fit-shape-to-text:t" inset="10.8pt,7.2pt,10.8pt,7.2pt">
                  <w:txbxContent>
                    <w:p w:rsidR="00DF7BBC" w:rsidRDefault="00DF7BBC" w:rsidP="00DF7BBC">
                      <w:pPr>
                        <w:pStyle w:val="Quote"/>
                        <w:spacing w:line="240" w:lineRule="auto"/>
                        <w:rPr>
                          <w:lang w:val="en-AU"/>
                        </w:rPr>
                      </w:pPr>
                      <w:r>
                        <w:rPr>
                          <w:lang w:val="en-AU"/>
                        </w:rPr>
                        <w:t>Case Study: Alice, NSW</w:t>
                      </w:r>
                    </w:p>
                    <w:p w:rsidR="00DF7BBC" w:rsidRDefault="00DF7BBC" w:rsidP="00DF7BBC">
                      <w:pPr>
                        <w:spacing w:after="0" w:line="240" w:lineRule="auto"/>
                        <w:rPr>
                          <w:rFonts w:asciiTheme="majorHAnsi" w:eastAsiaTheme="majorEastAsia" w:hAnsiTheme="majorHAnsi" w:cstheme="majorBidi"/>
                          <w:i/>
                          <w:iCs/>
                          <w:sz w:val="28"/>
                          <w:szCs w:val="28"/>
                        </w:rPr>
                      </w:pPr>
                      <w:r>
                        <w:rPr>
                          <w:lang w:val="en-AU"/>
                        </w:rPr>
                        <w:t xml:space="preserve">Alice’s </w:t>
                      </w:r>
                      <w:proofErr w:type="gramStart"/>
                      <w:r>
                        <w:rPr>
                          <w:lang w:val="en-AU"/>
                        </w:rPr>
                        <w:t>premises has</w:t>
                      </w:r>
                      <w:proofErr w:type="gramEnd"/>
                      <w:r>
                        <w:rPr>
                          <w:lang w:val="en-AU"/>
                        </w:rPr>
                        <w:t xml:space="preserve"> no connection to the telecommunication network and she has been advised that it is not possible to provide one. NBN is expected to be available in her area in the coming months. However, due to a lack of infrastructure at Alice’s premises she is likely to be classified as ‘not yet ready to connect’ for a number of months. Alice is likely to spend a year without any fixed internet connection.</w:t>
                      </w:r>
                    </w:p>
                  </w:txbxContent>
                </v:textbox>
                <w10:anchorlock/>
              </v:shape>
            </w:pict>
          </mc:Fallback>
        </mc:AlternateContent>
      </w:r>
    </w:p>
    <w:p w:rsidR="005E6614" w:rsidRPr="004C0867" w:rsidRDefault="00196767" w:rsidP="004D37EB">
      <w:pPr>
        <w:rPr>
          <w:rStyle w:val="IntenseEmphasis"/>
        </w:rPr>
      </w:pPr>
      <w:r>
        <w:rPr>
          <w:rStyle w:val="IntenseEmphasis"/>
        </w:rPr>
        <w:t xml:space="preserve">Recommendation: </w:t>
      </w:r>
      <w:r w:rsidR="00F26A25">
        <w:rPr>
          <w:rStyle w:val="IntenseEmphasis"/>
        </w:rPr>
        <w:t xml:space="preserve">It should not be assumed that legacy services are available to all consumers. </w:t>
      </w:r>
      <w:r w:rsidR="003945A9">
        <w:rPr>
          <w:rStyle w:val="IntenseEmphasis"/>
        </w:rPr>
        <w:t xml:space="preserve">Processes should be established to prioritise connections for consumers who are unable </w:t>
      </w:r>
      <w:r w:rsidR="00C0733E">
        <w:rPr>
          <w:rStyle w:val="IntenseEmphasis"/>
        </w:rPr>
        <w:t xml:space="preserve">to have </w:t>
      </w:r>
      <w:r w:rsidR="00C0733E" w:rsidRPr="004C0867">
        <w:rPr>
          <w:rStyle w:val="IntenseEmphasis"/>
        </w:rPr>
        <w:t>a</w:t>
      </w:r>
      <w:r w:rsidR="003945A9">
        <w:rPr>
          <w:rStyle w:val="IntenseEmphasis"/>
        </w:rPr>
        <w:t xml:space="preserve"> fixed</w:t>
      </w:r>
      <w:r w:rsidR="00CB3BB8" w:rsidRPr="004C0867">
        <w:rPr>
          <w:rStyle w:val="IntenseEmphasis"/>
        </w:rPr>
        <w:t xml:space="preserve"> telecommunication service</w:t>
      </w:r>
      <w:r w:rsidR="0034659D">
        <w:rPr>
          <w:rStyle w:val="IntenseEmphasis"/>
        </w:rPr>
        <w:t>.</w:t>
      </w:r>
    </w:p>
    <w:p w:rsidR="005E6614" w:rsidRDefault="007B493F" w:rsidP="000C360F">
      <w:pPr>
        <w:pStyle w:val="Heading3"/>
        <w:numPr>
          <w:ilvl w:val="1"/>
          <w:numId w:val="6"/>
        </w:numPr>
        <w:rPr>
          <w:lang w:val="en-AU"/>
        </w:rPr>
      </w:pPr>
      <w:r>
        <w:rPr>
          <w:lang w:val="en-AU"/>
        </w:rPr>
        <w:t>Services should be confirmed to be working</w:t>
      </w:r>
      <w:r w:rsidR="006F404D">
        <w:rPr>
          <w:lang w:val="en-AU"/>
        </w:rPr>
        <w:t xml:space="preserve"> after migration</w:t>
      </w:r>
    </w:p>
    <w:p w:rsidR="007B493F" w:rsidRDefault="00AF63EC" w:rsidP="007B493F">
      <w:pPr>
        <w:rPr>
          <w:lang w:val="en-AU"/>
        </w:rPr>
      </w:pPr>
      <w:r>
        <w:rPr>
          <w:lang w:val="en-AU"/>
        </w:rPr>
        <w:t xml:space="preserve">It is important that </w:t>
      </w:r>
      <w:r w:rsidR="00A74A41">
        <w:rPr>
          <w:lang w:val="en-AU"/>
        </w:rPr>
        <w:t>services are</w:t>
      </w:r>
      <w:r>
        <w:rPr>
          <w:lang w:val="en-AU"/>
        </w:rPr>
        <w:t xml:space="preserve"> confirmed to be working when they are switched. With the multitude of bodies involved in the switchover it can often take some time to confirm that the switchover was successful. </w:t>
      </w:r>
      <w:r w:rsidR="003945A9">
        <w:rPr>
          <w:lang w:val="en-AU"/>
        </w:rPr>
        <w:t>Consumers often report to ACCAN that the</w:t>
      </w:r>
      <w:r w:rsidR="000C2FD4">
        <w:rPr>
          <w:lang w:val="en-AU"/>
        </w:rPr>
        <w:t>ir</w:t>
      </w:r>
      <w:r w:rsidR="003945A9">
        <w:rPr>
          <w:lang w:val="en-AU"/>
        </w:rPr>
        <w:t xml:space="preserve"> services d</w:t>
      </w:r>
      <w:r w:rsidR="00196767">
        <w:rPr>
          <w:lang w:val="en-AU"/>
        </w:rPr>
        <w:t>o not</w:t>
      </w:r>
      <w:r w:rsidR="002B6DB7">
        <w:rPr>
          <w:lang w:val="en-AU"/>
        </w:rPr>
        <w:t xml:space="preserve"> work after switching to nbn; either voice and internet or applications such as medical and security alarms.</w:t>
      </w:r>
    </w:p>
    <w:p w:rsidR="00DF7BBC" w:rsidRDefault="00F26A25" w:rsidP="007B493F">
      <w:pPr>
        <w:rPr>
          <w:lang w:val="en-AU"/>
        </w:rPr>
      </w:pPr>
      <w:r>
        <w:rPr>
          <w:lang w:val="en-AU"/>
        </w:rPr>
        <w:t>Fully unusable internet and landline services were the second and third most complained about issues with services over NBN to the TIO.</w:t>
      </w:r>
      <w:r>
        <w:rPr>
          <w:rStyle w:val="FootnoteReference"/>
          <w:lang w:val="en-AU"/>
        </w:rPr>
        <w:footnoteReference w:id="12"/>
      </w:r>
      <w:r>
        <w:rPr>
          <w:lang w:val="en-AU"/>
        </w:rPr>
        <w:t xml:space="preserve"> </w:t>
      </w:r>
      <w:r w:rsidR="0096011C">
        <w:rPr>
          <w:lang w:val="en-AU"/>
        </w:rPr>
        <w:t>NBN estimate</w:t>
      </w:r>
      <w:r w:rsidR="000C2FD4">
        <w:rPr>
          <w:lang w:val="en-AU"/>
        </w:rPr>
        <w:t>s</w:t>
      </w:r>
      <w:r w:rsidR="00FD4BE3">
        <w:rPr>
          <w:lang w:val="en-AU"/>
        </w:rPr>
        <w:t xml:space="preserve"> that 3% of installations fail. In 2016 this </w:t>
      </w:r>
      <w:r w:rsidR="0096011C">
        <w:rPr>
          <w:lang w:val="en-AU"/>
        </w:rPr>
        <w:t>equat</w:t>
      </w:r>
      <w:r w:rsidR="00FD4BE3">
        <w:rPr>
          <w:lang w:val="en-AU"/>
        </w:rPr>
        <w:t>ed</w:t>
      </w:r>
      <w:r w:rsidR="0096011C">
        <w:rPr>
          <w:lang w:val="en-AU"/>
        </w:rPr>
        <w:t xml:space="preserve"> to 42,458 </w:t>
      </w:r>
      <w:r w:rsidR="00FD4BE3">
        <w:rPr>
          <w:lang w:val="en-AU"/>
        </w:rPr>
        <w:t>failed installations</w:t>
      </w:r>
      <w:r w:rsidR="0096011C">
        <w:rPr>
          <w:lang w:val="en-AU"/>
        </w:rPr>
        <w:t>.</w:t>
      </w:r>
      <w:r w:rsidR="0096011C">
        <w:rPr>
          <w:rStyle w:val="FootnoteReference"/>
          <w:lang w:val="en-AU"/>
        </w:rPr>
        <w:footnoteReference w:id="13"/>
      </w:r>
      <w:r w:rsidR="004C0867">
        <w:rPr>
          <w:lang w:val="en-AU"/>
        </w:rPr>
        <w:t xml:space="preserve"> When an installation fails it can take time to identify and </w:t>
      </w:r>
      <w:r w:rsidR="004C0867">
        <w:rPr>
          <w:lang w:val="en-AU"/>
        </w:rPr>
        <w:lastRenderedPageBreak/>
        <w:t>resolve the issue</w:t>
      </w:r>
      <w:r w:rsidR="003945A9">
        <w:rPr>
          <w:lang w:val="en-AU"/>
        </w:rPr>
        <w:t>, sometimes requiring additional technician visits</w:t>
      </w:r>
      <w:r w:rsidR="004C0867">
        <w:rPr>
          <w:lang w:val="en-AU"/>
        </w:rPr>
        <w:t>. Often the consumer is left without any service</w:t>
      </w:r>
      <w:r w:rsidR="00EA0AC4">
        <w:rPr>
          <w:lang w:val="en-AU"/>
        </w:rPr>
        <w:t xml:space="preserve"> and</w:t>
      </w:r>
      <w:r w:rsidR="000C2FD4">
        <w:rPr>
          <w:lang w:val="en-AU"/>
        </w:rPr>
        <w:t xml:space="preserve"> is</w:t>
      </w:r>
      <w:r w:rsidR="00EA0AC4">
        <w:rPr>
          <w:lang w:val="en-AU"/>
        </w:rPr>
        <w:t xml:space="preserve"> stuck between the nbn and RSP to try and get a working service.</w:t>
      </w:r>
    </w:p>
    <w:p w:rsidR="00FE5F70" w:rsidRDefault="007361F8" w:rsidP="002B6DB7">
      <w:pPr>
        <w:spacing w:before="240"/>
        <w:rPr>
          <w:lang w:val="en-AU"/>
        </w:rPr>
      </w:pPr>
      <w:r>
        <w:rPr>
          <w:lang w:val="en-AU"/>
        </w:rPr>
        <w:t xml:space="preserve">A number of consumers report a </w:t>
      </w:r>
      <w:r w:rsidR="0038104F">
        <w:rPr>
          <w:lang w:val="en-AU"/>
        </w:rPr>
        <w:t xml:space="preserve">loss of function </w:t>
      </w:r>
      <w:r>
        <w:rPr>
          <w:lang w:val="en-AU"/>
        </w:rPr>
        <w:t>in their service following switching to nbn.</w:t>
      </w:r>
      <w:r w:rsidR="00CA4FC9">
        <w:rPr>
          <w:lang w:val="en-AU"/>
        </w:rPr>
        <w:t xml:space="preserve"> </w:t>
      </w:r>
      <w:r>
        <w:rPr>
          <w:lang w:val="en-AU"/>
        </w:rPr>
        <w:t xml:space="preserve">One such concern is the loss of phone numbers. </w:t>
      </w:r>
      <w:r w:rsidR="0038104F">
        <w:rPr>
          <w:lang w:val="en-AU"/>
        </w:rPr>
        <w:t>Phone numbers can be essential</w:t>
      </w:r>
      <w:r w:rsidR="0007790A">
        <w:rPr>
          <w:lang w:val="en-AU"/>
        </w:rPr>
        <w:t xml:space="preserve"> for consumers as all their contacts know their number</w:t>
      </w:r>
      <w:r w:rsidR="00A9515B">
        <w:rPr>
          <w:lang w:val="en-AU"/>
        </w:rPr>
        <w:t xml:space="preserve"> and</w:t>
      </w:r>
      <w:r w:rsidR="0038104F">
        <w:rPr>
          <w:lang w:val="en-AU"/>
        </w:rPr>
        <w:t xml:space="preserve"> switching to a new number can be very inconvenient. It is important that vital functions of a service, such as a phone number are not lost in the transition</w:t>
      </w:r>
      <w:r w:rsidR="00196767">
        <w:rPr>
          <w:lang w:val="en-AU"/>
        </w:rPr>
        <w:t>.</w:t>
      </w:r>
    </w:p>
    <w:p w:rsidR="001B05A4" w:rsidRDefault="001B05A4" w:rsidP="006B6915">
      <w:pPr>
        <w:rPr>
          <w:lang w:val="en-AU"/>
        </w:rPr>
      </w:pPr>
      <w:r>
        <w:rPr>
          <w:lang w:val="en-AU"/>
        </w:rPr>
        <w:t>The Joint Standing Committee on the NBN recommended that nbn utilise an ‘active handover’ model.</w:t>
      </w:r>
      <w:r>
        <w:rPr>
          <w:rStyle w:val="FootnoteReference"/>
          <w:lang w:val="en-AU"/>
        </w:rPr>
        <w:footnoteReference w:id="14"/>
      </w:r>
      <w:r>
        <w:rPr>
          <w:lang w:val="en-AU"/>
        </w:rPr>
        <w:t xml:space="preserve"> ACCAN supports such a model where both the network (nbn) and service (RSP) confirm that the service works at the time of switch over. Furthermore, the RSP should confirm all applications and services are functional (such as medical alarms).</w:t>
      </w:r>
    </w:p>
    <w:p w:rsidR="0005778D" w:rsidRDefault="0005778D" w:rsidP="002B6DB7">
      <w:pPr>
        <w:spacing w:before="240"/>
        <w:rPr>
          <w:lang w:val="en-AU"/>
        </w:rPr>
      </w:pPr>
      <w:r w:rsidRPr="00ED3977">
        <w:rPr>
          <w:noProof/>
          <w:lang w:eastAsia="en-IE"/>
        </w:rPr>
        <mc:AlternateContent>
          <mc:Choice Requires="wps">
            <w:drawing>
              <wp:inline distT="0" distB="0" distL="0" distR="0" wp14:anchorId="04EB27C8" wp14:editId="4C61D974">
                <wp:extent cx="5667375" cy="900000"/>
                <wp:effectExtent l="38100" t="38100" r="47625" b="3365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00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5778D" w:rsidRDefault="0005778D" w:rsidP="0005778D">
                            <w:pPr>
                              <w:pStyle w:val="Quote"/>
                              <w:spacing w:line="240" w:lineRule="auto"/>
                              <w:rPr>
                                <w:lang w:val="en-AU"/>
                              </w:rPr>
                            </w:pPr>
                            <w:r>
                              <w:rPr>
                                <w:lang w:val="en-AU"/>
                              </w:rPr>
                              <w:t>Case Study: Tracy, WA</w:t>
                            </w:r>
                          </w:p>
                          <w:p w:rsidR="0005778D" w:rsidRDefault="0005778D" w:rsidP="0005778D">
                            <w:pPr>
                              <w:spacing w:after="0" w:line="240" w:lineRule="auto"/>
                              <w:rPr>
                                <w:rFonts w:asciiTheme="majorHAnsi" w:eastAsiaTheme="majorEastAsia" w:hAnsiTheme="majorHAnsi" w:cstheme="majorBidi"/>
                                <w:i/>
                                <w:iCs/>
                                <w:sz w:val="28"/>
                                <w:szCs w:val="28"/>
                              </w:rPr>
                            </w:pPr>
                            <w:r>
                              <w:rPr>
                                <w:lang w:val="en-AU"/>
                              </w:rPr>
                              <w:t>Tracy switched from ADSL to FTTN. The service didn’t work from the get go. Tracy complained to her provider and a dozen technicians visited her premises. Tracy is still waiting for her services to work.</w:t>
                            </w:r>
                          </w:p>
                        </w:txbxContent>
                      </wps:txbx>
                      <wps:bodyPr rot="0" vert="horz" wrap="square" lIns="137160" tIns="91440" rIns="137160" bIns="91440" anchor="ctr" anchorCtr="0" upright="1">
                        <a:noAutofit/>
                      </wps:bodyPr>
                    </wps:wsp>
                  </a:graphicData>
                </a:graphic>
              </wp:inline>
            </w:drawing>
          </mc:Choice>
          <mc:Fallback>
            <w:pict>
              <v:shape id="_x0000_s1029" type="#_x0000_t202" style="width:446.2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" filled="f" strokecolor="#622423" strokeweight="6pt">
                <v:stroke linestyle="thickThin"/>
                <v:textbox inset="10.8pt,7.2pt,10.8pt,7.2pt">
                  <w:txbxContent>
                    <w:p w:rsidR="0005778D" w:rsidRDefault="0005778D" w:rsidP="0005778D">
                      <w:pPr>
                        <w:pStyle w:val="Quote"/>
                        <w:spacing w:line="240" w:lineRule="auto"/>
                        <w:rPr>
                          <w:lang w:val="en-AU"/>
                        </w:rPr>
                      </w:pPr>
                      <w:r>
                        <w:rPr>
                          <w:lang w:val="en-AU"/>
                        </w:rPr>
                        <w:t>Case Study: Tracy, WA</w:t>
                      </w:r>
                    </w:p>
                    <w:p w:rsidR="0005778D" w:rsidRDefault="0005778D" w:rsidP="0005778D">
                      <w:pPr>
                        <w:spacing w:after="0" w:line="240" w:lineRule="auto"/>
                        <w:rPr>
                          <w:rFonts w:asciiTheme="majorHAnsi" w:eastAsiaTheme="majorEastAsia" w:hAnsiTheme="majorHAnsi" w:cstheme="majorBidi"/>
                          <w:i/>
                          <w:iCs/>
                          <w:sz w:val="28"/>
                          <w:szCs w:val="28"/>
                        </w:rPr>
                      </w:pPr>
                      <w:r>
                        <w:rPr>
                          <w:lang w:val="en-AU"/>
                        </w:rPr>
                        <w:t>Tracy switched from ADSL to FTTN. The service didn’t work from the get go. Tracy complained to her provider and a dozen technicians visited her premises. Tracy is still waiting for her services to work.</w:t>
                      </w:r>
                    </w:p>
                  </w:txbxContent>
                </v:textbox>
                <w10:anchorlock/>
              </v:shape>
            </w:pict>
          </mc:Fallback>
        </mc:AlternateContent>
      </w:r>
    </w:p>
    <w:p w:rsidR="0005778D" w:rsidRDefault="0005778D" w:rsidP="002B6DB7">
      <w:pPr>
        <w:spacing w:before="240"/>
        <w:rPr>
          <w:lang w:val="en-AU"/>
        </w:rPr>
      </w:pPr>
      <w:r w:rsidRPr="00ED3977">
        <w:rPr>
          <w:rStyle w:val="IntenseEmphasis"/>
          <w:noProof/>
          <w:lang w:eastAsia="en-IE"/>
        </w:rPr>
        <mc:AlternateContent>
          <mc:Choice Requires="wps">
            <w:drawing>
              <wp:inline distT="0" distB="0" distL="0" distR="0" wp14:anchorId="60E02103" wp14:editId="115F632F">
                <wp:extent cx="5667375" cy="1372870"/>
                <wp:effectExtent l="38100" t="38100" r="47625" b="368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7287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5778D" w:rsidRPr="00D64637" w:rsidRDefault="0005778D" w:rsidP="0005778D">
                            <w:pPr>
                              <w:pStyle w:val="Quote"/>
                              <w:spacing w:line="240" w:lineRule="auto"/>
                              <w:rPr>
                                <w:rStyle w:val="IntenseEmphasis"/>
                                <w:b w:val="0"/>
                                <w:bCs w:val="0"/>
                                <w:color w:val="000000" w:themeColor="text1"/>
                              </w:rPr>
                            </w:pPr>
                            <w:r w:rsidRPr="00D64637">
                              <w:rPr>
                                <w:rStyle w:val="IntenseEmphasis"/>
                                <w:b w:val="0"/>
                                <w:bCs w:val="0"/>
                                <w:color w:val="000000" w:themeColor="text1"/>
                              </w:rPr>
                              <w:t>Case Study: Ma</w:t>
                            </w:r>
                            <w:r>
                              <w:rPr>
                                <w:rStyle w:val="IntenseEmphasis"/>
                                <w:b w:val="0"/>
                                <w:bCs w:val="0"/>
                                <w:color w:val="000000" w:themeColor="text1"/>
                              </w:rPr>
                              <w:t>rk</w:t>
                            </w:r>
                            <w:r w:rsidRPr="00D64637">
                              <w:rPr>
                                <w:rStyle w:val="IntenseEmphasis"/>
                                <w:b w:val="0"/>
                                <w:bCs w:val="0"/>
                                <w:color w:val="000000" w:themeColor="text1"/>
                              </w:rPr>
                              <w:t>, Q</w:t>
                            </w:r>
                            <w:r>
                              <w:rPr>
                                <w:rStyle w:val="IntenseEmphasis"/>
                                <w:b w:val="0"/>
                                <w:bCs w:val="0"/>
                                <w:color w:val="000000" w:themeColor="text1"/>
                              </w:rPr>
                              <w:t>LD</w:t>
                            </w:r>
                          </w:p>
                          <w:p w:rsidR="0005778D" w:rsidRDefault="0005778D" w:rsidP="0005778D">
                            <w:pPr>
                              <w:spacing w:after="0" w:line="240" w:lineRule="auto"/>
                              <w:rPr>
                                <w:rFonts w:asciiTheme="majorHAnsi" w:eastAsiaTheme="majorEastAsia" w:hAnsiTheme="majorHAnsi" w:cstheme="majorBidi"/>
                                <w:i/>
                                <w:iCs/>
                                <w:sz w:val="28"/>
                                <w:szCs w:val="28"/>
                              </w:rPr>
                            </w:pPr>
                            <w:r w:rsidRPr="00D64637">
                              <w:rPr>
                                <w:rStyle w:val="IntenseEmphasis"/>
                                <w:b w:val="0"/>
                                <w:i w:val="0"/>
                                <w:color w:val="auto"/>
                                <w:lang w:val="en-AU"/>
                              </w:rPr>
                              <w:t>Ma</w:t>
                            </w:r>
                            <w:r>
                              <w:rPr>
                                <w:rStyle w:val="IntenseEmphasis"/>
                                <w:b w:val="0"/>
                                <w:i w:val="0"/>
                                <w:color w:val="auto"/>
                                <w:lang w:val="en-AU"/>
                              </w:rPr>
                              <w:t>rk</w:t>
                            </w:r>
                            <w:r w:rsidRPr="00D64637">
                              <w:rPr>
                                <w:rStyle w:val="IntenseEmphasis"/>
                                <w:b w:val="0"/>
                                <w:i w:val="0"/>
                                <w:color w:val="auto"/>
                                <w:lang w:val="en-AU"/>
                              </w:rPr>
                              <w:t xml:space="preserve"> switched to nbn in 2016. He was keen to keep his fixed phone number which he has had for decades. His RSP said that there wouldn’t be any issue. However, w</w:t>
                            </w:r>
                            <w:r>
                              <w:rPr>
                                <w:rStyle w:val="IntenseEmphasis"/>
                                <w:b w:val="0"/>
                                <w:i w:val="0"/>
                                <w:color w:val="auto"/>
                                <w:lang w:val="en-AU"/>
                              </w:rPr>
                              <w:t>h</w:t>
                            </w:r>
                            <w:r w:rsidRPr="00D64637">
                              <w:rPr>
                                <w:rStyle w:val="IntenseEmphasis"/>
                                <w:b w:val="0"/>
                                <w:i w:val="0"/>
                                <w:color w:val="auto"/>
                                <w:lang w:val="en-AU"/>
                              </w:rPr>
                              <w:t>e</w:t>
                            </w:r>
                            <w:r>
                              <w:rPr>
                                <w:rStyle w:val="IntenseEmphasis"/>
                                <w:b w:val="0"/>
                                <w:i w:val="0"/>
                                <w:color w:val="auto"/>
                                <w:lang w:val="en-AU"/>
                              </w:rPr>
                              <w:t>n he was</w:t>
                            </w:r>
                            <w:r w:rsidRPr="00D64637">
                              <w:rPr>
                                <w:rStyle w:val="IntenseEmphasis"/>
                                <w:b w:val="0"/>
                                <w:i w:val="0"/>
                                <w:color w:val="auto"/>
                                <w:lang w:val="en-AU"/>
                              </w:rPr>
                              <w:t xml:space="preserve"> switched</w:t>
                            </w:r>
                            <w:r>
                              <w:rPr>
                                <w:rStyle w:val="IntenseEmphasis"/>
                                <w:b w:val="0"/>
                                <w:i w:val="0"/>
                                <w:color w:val="auto"/>
                                <w:lang w:val="en-AU"/>
                              </w:rPr>
                              <w:t>,</w:t>
                            </w:r>
                            <w:r w:rsidRPr="00D64637">
                              <w:rPr>
                                <w:rStyle w:val="IntenseEmphasis"/>
                                <w:b w:val="0"/>
                                <w:i w:val="0"/>
                                <w:color w:val="auto"/>
                                <w:lang w:val="en-AU"/>
                              </w:rPr>
                              <w:t xml:space="preserve"> he lost his number and was assigned a new one. His old number was quarantined and he was unable to get it back.</w:t>
                            </w:r>
                            <w:r>
                              <w:rPr>
                                <w:rStyle w:val="IntenseEmphasis"/>
                                <w:b w:val="0"/>
                                <w:i w:val="0"/>
                                <w:color w:val="auto"/>
                                <w:lang w:val="en-AU"/>
                              </w:rPr>
                              <w:t xml:space="preserve"> This resulted in significant inconvenience for Mark to contact all his contacts and provide them with his new number. He is concerned that some people may not be able to contact him again.</w:t>
                            </w:r>
                          </w:p>
                        </w:txbxContent>
                      </wps:txbx>
                      <wps:bodyPr rot="0" vert="horz" wrap="square" lIns="137160" tIns="91440" rIns="137160" bIns="91440" anchor="ctr" anchorCtr="0" upright="1">
                        <a:noAutofit/>
                      </wps:bodyPr>
                    </wps:wsp>
                  </a:graphicData>
                </a:graphic>
              </wp:inline>
            </w:drawing>
          </mc:Choice>
          <mc:Fallback>
            <w:pict>
              <v:shape id="_x0000_s1030" type="#_x0000_t202" style="width:446.25pt;height:10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" filled="f" strokecolor="#622423" strokeweight="6pt">
                <v:stroke linestyle="thickThin"/>
                <v:textbox inset="10.8pt,7.2pt,10.8pt,7.2pt">
                  <w:txbxContent>
                    <w:p w:rsidR="0005778D" w:rsidRPr="00D64637" w:rsidRDefault="0005778D" w:rsidP="0005778D">
                      <w:pPr>
                        <w:pStyle w:val="Quote"/>
                        <w:spacing w:line="240" w:lineRule="auto"/>
                        <w:rPr>
                          <w:rStyle w:val="IntenseEmphasis"/>
                          <w:b w:val="0"/>
                          <w:bCs w:val="0"/>
                          <w:color w:val="000000" w:themeColor="text1"/>
                        </w:rPr>
                      </w:pPr>
                      <w:r w:rsidRPr="00D64637">
                        <w:rPr>
                          <w:rStyle w:val="IntenseEmphasis"/>
                          <w:b w:val="0"/>
                          <w:bCs w:val="0"/>
                          <w:color w:val="000000" w:themeColor="text1"/>
                        </w:rPr>
                        <w:t>Case Study: Ma</w:t>
                      </w:r>
                      <w:r>
                        <w:rPr>
                          <w:rStyle w:val="IntenseEmphasis"/>
                          <w:b w:val="0"/>
                          <w:bCs w:val="0"/>
                          <w:color w:val="000000" w:themeColor="text1"/>
                        </w:rPr>
                        <w:t>rk</w:t>
                      </w:r>
                      <w:r w:rsidRPr="00D64637">
                        <w:rPr>
                          <w:rStyle w:val="IntenseEmphasis"/>
                          <w:b w:val="0"/>
                          <w:bCs w:val="0"/>
                          <w:color w:val="000000" w:themeColor="text1"/>
                        </w:rPr>
                        <w:t>, Q</w:t>
                      </w:r>
                      <w:r>
                        <w:rPr>
                          <w:rStyle w:val="IntenseEmphasis"/>
                          <w:b w:val="0"/>
                          <w:bCs w:val="0"/>
                          <w:color w:val="000000" w:themeColor="text1"/>
                        </w:rPr>
                        <w:t>LD</w:t>
                      </w:r>
                    </w:p>
                    <w:p w:rsidR="0005778D" w:rsidRDefault="0005778D" w:rsidP="0005778D">
                      <w:pPr>
                        <w:spacing w:after="0" w:line="240" w:lineRule="auto"/>
                        <w:rPr>
                          <w:rFonts w:asciiTheme="majorHAnsi" w:eastAsiaTheme="majorEastAsia" w:hAnsiTheme="majorHAnsi" w:cstheme="majorBidi"/>
                          <w:i/>
                          <w:iCs/>
                          <w:sz w:val="28"/>
                          <w:szCs w:val="28"/>
                        </w:rPr>
                      </w:pPr>
                      <w:r w:rsidRPr="00D64637">
                        <w:rPr>
                          <w:rStyle w:val="IntenseEmphasis"/>
                          <w:b w:val="0"/>
                          <w:i w:val="0"/>
                          <w:color w:val="auto"/>
                          <w:lang w:val="en-AU"/>
                        </w:rPr>
                        <w:t>Ma</w:t>
                      </w:r>
                      <w:r>
                        <w:rPr>
                          <w:rStyle w:val="IntenseEmphasis"/>
                          <w:b w:val="0"/>
                          <w:i w:val="0"/>
                          <w:color w:val="auto"/>
                          <w:lang w:val="en-AU"/>
                        </w:rPr>
                        <w:t>rk</w:t>
                      </w:r>
                      <w:r w:rsidRPr="00D64637">
                        <w:rPr>
                          <w:rStyle w:val="IntenseEmphasis"/>
                          <w:b w:val="0"/>
                          <w:i w:val="0"/>
                          <w:color w:val="auto"/>
                          <w:lang w:val="en-AU"/>
                        </w:rPr>
                        <w:t xml:space="preserve"> switched to nbn in 2016. He was keen to keep his fixed phone number which he has had for decades. His RSP said that there wouldn’t be any issue. However, w</w:t>
                      </w:r>
                      <w:r>
                        <w:rPr>
                          <w:rStyle w:val="IntenseEmphasis"/>
                          <w:b w:val="0"/>
                          <w:i w:val="0"/>
                          <w:color w:val="auto"/>
                          <w:lang w:val="en-AU"/>
                        </w:rPr>
                        <w:t>h</w:t>
                      </w:r>
                      <w:r w:rsidRPr="00D64637">
                        <w:rPr>
                          <w:rStyle w:val="IntenseEmphasis"/>
                          <w:b w:val="0"/>
                          <w:i w:val="0"/>
                          <w:color w:val="auto"/>
                          <w:lang w:val="en-AU"/>
                        </w:rPr>
                        <w:t>e</w:t>
                      </w:r>
                      <w:r>
                        <w:rPr>
                          <w:rStyle w:val="IntenseEmphasis"/>
                          <w:b w:val="0"/>
                          <w:i w:val="0"/>
                          <w:color w:val="auto"/>
                          <w:lang w:val="en-AU"/>
                        </w:rPr>
                        <w:t>n he was</w:t>
                      </w:r>
                      <w:r w:rsidRPr="00D64637">
                        <w:rPr>
                          <w:rStyle w:val="IntenseEmphasis"/>
                          <w:b w:val="0"/>
                          <w:i w:val="0"/>
                          <w:color w:val="auto"/>
                          <w:lang w:val="en-AU"/>
                        </w:rPr>
                        <w:t xml:space="preserve"> switched</w:t>
                      </w:r>
                      <w:r>
                        <w:rPr>
                          <w:rStyle w:val="IntenseEmphasis"/>
                          <w:b w:val="0"/>
                          <w:i w:val="0"/>
                          <w:color w:val="auto"/>
                          <w:lang w:val="en-AU"/>
                        </w:rPr>
                        <w:t>,</w:t>
                      </w:r>
                      <w:r w:rsidRPr="00D64637">
                        <w:rPr>
                          <w:rStyle w:val="IntenseEmphasis"/>
                          <w:b w:val="0"/>
                          <w:i w:val="0"/>
                          <w:color w:val="auto"/>
                          <w:lang w:val="en-AU"/>
                        </w:rPr>
                        <w:t xml:space="preserve"> he lost his number and was assigned a new one. His old number was quarantined and he was unable to get it back.</w:t>
                      </w:r>
                      <w:r>
                        <w:rPr>
                          <w:rStyle w:val="IntenseEmphasis"/>
                          <w:b w:val="0"/>
                          <w:i w:val="0"/>
                          <w:color w:val="auto"/>
                          <w:lang w:val="en-AU"/>
                        </w:rPr>
                        <w:t xml:space="preserve"> This resulted in significant inconvenience for Mark to contact all his contacts and provide them with his new number. He is concerned that some people may not be able to contact him again.</w:t>
                      </w:r>
                    </w:p>
                  </w:txbxContent>
                </v:textbox>
                <w10:anchorlock/>
              </v:shape>
            </w:pict>
          </mc:Fallback>
        </mc:AlternateContent>
      </w:r>
    </w:p>
    <w:p w:rsidR="007361F8" w:rsidRDefault="00196767" w:rsidP="00FE5F70">
      <w:pPr>
        <w:rPr>
          <w:rStyle w:val="IntenseEmphasis"/>
        </w:rPr>
      </w:pPr>
      <w:r>
        <w:rPr>
          <w:rStyle w:val="IntenseEmphasis"/>
        </w:rPr>
        <w:t xml:space="preserve">Recommendation: </w:t>
      </w:r>
      <w:r w:rsidR="007361F8" w:rsidDel="00196767">
        <w:rPr>
          <w:rStyle w:val="IntenseEmphasis"/>
        </w:rPr>
        <w:t xml:space="preserve">Service functionality should </w:t>
      </w:r>
      <w:r w:rsidR="002B6DB7" w:rsidDel="00196767">
        <w:rPr>
          <w:rStyle w:val="IntenseEmphasis"/>
        </w:rPr>
        <w:t xml:space="preserve">be confirmed on </w:t>
      </w:r>
      <w:r w:rsidR="007361F8" w:rsidDel="00196767">
        <w:rPr>
          <w:rStyle w:val="IntenseEmphasis"/>
        </w:rPr>
        <w:t>switching to nbn.</w:t>
      </w:r>
    </w:p>
    <w:p w:rsidR="000D37B1" w:rsidRDefault="00777CE8" w:rsidP="00A8141B">
      <w:pPr>
        <w:pStyle w:val="Heading2"/>
        <w:numPr>
          <w:ilvl w:val="0"/>
          <w:numId w:val="6"/>
        </w:numPr>
        <w:rPr>
          <w:lang w:val="en-AU"/>
        </w:rPr>
      </w:pPr>
      <w:r>
        <w:rPr>
          <w:lang w:val="en-AU"/>
        </w:rPr>
        <w:t>Providing a</w:t>
      </w:r>
      <w:r w:rsidR="00691976">
        <w:rPr>
          <w:lang w:val="en-AU"/>
        </w:rPr>
        <w:t>ccurate, c</w:t>
      </w:r>
      <w:r w:rsidR="000D37B1">
        <w:rPr>
          <w:lang w:val="en-AU"/>
        </w:rPr>
        <w:t>lear and consistent information</w:t>
      </w:r>
    </w:p>
    <w:p w:rsidR="000D37B1" w:rsidRPr="000D37B1" w:rsidRDefault="00FD7492" w:rsidP="000D37B1">
      <w:r>
        <w:t xml:space="preserve">Consumers need </w:t>
      </w:r>
      <w:r w:rsidR="00691976">
        <w:t xml:space="preserve">accurate, </w:t>
      </w:r>
      <w:r>
        <w:t>clear and consistent information fr</w:t>
      </w:r>
      <w:r w:rsidR="000D37B1" w:rsidRPr="000D37B1">
        <w:t>om nbn, their disconnecting network, their current retail provider, their chosen retail provider and device suppliers. This includes:</w:t>
      </w:r>
    </w:p>
    <w:p w:rsidR="000D37B1" w:rsidRPr="000D37B1" w:rsidRDefault="00915777" w:rsidP="00C0733E">
      <w:pPr>
        <w:numPr>
          <w:ilvl w:val="0"/>
          <w:numId w:val="1"/>
        </w:numPr>
        <w:spacing w:after="0"/>
      </w:pPr>
      <w:r>
        <w:t>When services will be available</w:t>
      </w:r>
    </w:p>
    <w:p w:rsidR="000D37B1" w:rsidRPr="000D37B1" w:rsidRDefault="000D37B1" w:rsidP="00C0733E">
      <w:pPr>
        <w:numPr>
          <w:ilvl w:val="0"/>
          <w:numId w:val="1"/>
        </w:numPr>
        <w:spacing w:after="0"/>
      </w:pPr>
      <w:r w:rsidRPr="000D37B1">
        <w:t>The timeframes for connecting and disconnecting</w:t>
      </w:r>
    </w:p>
    <w:p w:rsidR="000D37B1" w:rsidRPr="000D37B1" w:rsidRDefault="000D37B1" w:rsidP="00C0733E">
      <w:pPr>
        <w:numPr>
          <w:ilvl w:val="0"/>
          <w:numId w:val="1"/>
        </w:numPr>
        <w:spacing w:after="0"/>
      </w:pPr>
      <w:r w:rsidRPr="000D37B1">
        <w:t xml:space="preserve">Any and all changes that switching to nbn will bring to their current </w:t>
      </w:r>
      <w:r w:rsidR="00CA4FC9">
        <w:t>in</w:t>
      </w:r>
      <w:r w:rsidR="00A9515B">
        <w:t>-</w:t>
      </w:r>
      <w:r w:rsidR="00CA4FC9">
        <w:t xml:space="preserve">home </w:t>
      </w:r>
      <w:r w:rsidRPr="000D37B1">
        <w:t>set up, services and devices</w:t>
      </w:r>
    </w:p>
    <w:p w:rsidR="000D37B1" w:rsidRDefault="000D37B1" w:rsidP="00125E07">
      <w:pPr>
        <w:numPr>
          <w:ilvl w:val="0"/>
          <w:numId w:val="1"/>
        </w:numPr>
      </w:pPr>
      <w:r w:rsidRPr="000D37B1">
        <w:t>All costs that may be required to be paid</w:t>
      </w:r>
      <w:r w:rsidR="00706F7F">
        <w:t xml:space="preserve"> for services</w:t>
      </w:r>
      <w:r w:rsidR="00A9515B">
        <w:t>.</w:t>
      </w:r>
    </w:p>
    <w:p w:rsidR="00DF7BBC" w:rsidRDefault="00DF7BBC" w:rsidP="00DF7BBC">
      <w:r>
        <w:rPr>
          <w:noProof/>
          <w:lang w:eastAsia="en-IE"/>
        </w:rPr>
        <w:lastRenderedPageBreak/>
        <mc:AlternateContent>
          <mc:Choice Requires="wps">
            <w:drawing>
              <wp:inline distT="0" distB="0" distL="0" distR="0" wp14:anchorId="136CB58E" wp14:editId="4C7DB3E5">
                <wp:extent cx="5657850" cy="1224000"/>
                <wp:effectExtent l="38100" t="38100" r="38100" b="374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224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F7BBC" w:rsidRDefault="00DF7BBC" w:rsidP="00DF7BBC">
                            <w:pPr>
                              <w:pStyle w:val="Quote"/>
                              <w:spacing w:line="240" w:lineRule="auto"/>
                            </w:pPr>
                            <w:r>
                              <w:t>Case Study: William, NSW</w:t>
                            </w:r>
                          </w:p>
                          <w:p w:rsidR="00DF7BBC" w:rsidRDefault="00DF7BBC" w:rsidP="00DF7BBC">
                            <w:pPr>
                              <w:spacing w:after="0" w:line="240" w:lineRule="auto"/>
                              <w:rPr>
                                <w:rFonts w:asciiTheme="majorHAnsi" w:eastAsiaTheme="majorEastAsia" w:hAnsiTheme="majorHAnsi" w:cstheme="majorBidi"/>
                                <w:i/>
                                <w:iCs/>
                                <w:sz w:val="28"/>
                                <w:szCs w:val="28"/>
                              </w:rPr>
                            </w:pPr>
                            <w:r>
                              <w:t xml:space="preserve">All of William’s neighbours are looking at switching over to NBN. However, William never received any notice of nbn being available. The nbn website informs him that nbn </w:t>
                            </w:r>
                            <w:r w:rsidR="00AC0153">
                              <w:t>is</w:t>
                            </w:r>
                            <w:r>
                              <w:t xml:space="preserve"> expected to be available the previous month. Addresses around him are marked as being able to order a service. William is unclear what is happening with his service.</w:t>
                            </w:r>
                          </w:p>
                        </w:txbxContent>
                      </wps:txbx>
                      <wps:bodyPr rot="0" vert="horz" wrap="square" lIns="137160" tIns="91440" rIns="137160" bIns="91440" anchor="ctr" anchorCtr="0" upright="1">
                        <a:spAutoFit/>
                      </wps:bodyPr>
                    </wps:wsp>
                  </a:graphicData>
                </a:graphic>
              </wp:inline>
            </w:drawing>
          </mc:Choice>
          <mc:Fallback>
            <w:pict>
              <v:shape id="_x0000_s1031" type="#_x0000_t202" style="width:445.5pt;height:9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" filled="f" strokecolor="#622423" strokeweight="6pt">
                <v:stroke linestyle="thickThin"/>
                <v:textbox style="mso-fit-shape-to-text:t" inset="10.8pt,7.2pt,10.8pt,7.2pt">
                  <w:txbxContent>
                    <w:p w:rsidR="00DF7BBC" w:rsidRDefault="00DF7BBC" w:rsidP="00DF7BBC">
                      <w:pPr>
                        <w:pStyle w:val="Quote"/>
                        <w:spacing w:line="240" w:lineRule="auto"/>
                      </w:pPr>
                      <w:r>
                        <w:t>Case Study: William, NSW</w:t>
                      </w:r>
                    </w:p>
                    <w:p w:rsidR="00DF7BBC" w:rsidRDefault="00DF7BBC" w:rsidP="00DF7BBC">
                      <w:pPr>
                        <w:spacing w:after="0" w:line="240" w:lineRule="auto"/>
                        <w:rPr>
                          <w:rFonts w:asciiTheme="majorHAnsi" w:eastAsiaTheme="majorEastAsia" w:hAnsiTheme="majorHAnsi" w:cstheme="majorBidi"/>
                          <w:i/>
                          <w:iCs/>
                          <w:sz w:val="28"/>
                          <w:szCs w:val="28"/>
                        </w:rPr>
                      </w:pPr>
                      <w:r>
                        <w:t xml:space="preserve">All of William’s neighbours are looking at switching over to NBN. However, William never received any notice of nbn being available. The nbn website informs him that nbn </w:t>
                      </w:r>
                      <w:r w:rsidR="00AC0153">
                        <w:t>is</w:t>
                      </w:r>
                      <w:r>
                        <w:t xml:space="preserve"> expected to be available the previous month. Addresses around him are marked as being able to order a service. William is unclear what is happening with his service.</w:t>
                      </w:r>
                    </w:p>
                  </w:txbxContent>
                </v:textbox>
                <w10:anchorlock/>
              </v:shape>
            </w:pict>
          </mc:Fallback>
        </mc:AlternateContent>
      </w:r>
    </w:p>
    <w:p w:rsidR="00D6793F" w:rsidRDefault="00D6793F" w:rsidP="000C360F">
      <w:pPr>
        <w:pStyle w:val="Heading3"/>
        <w:numPr>
          <w:ilvl w:val="1"/>
          <w:numId w:val="6"/>
        </w:numPr>
      </w:pPr>
      <w:r>
        <w:t>Informed consent sought for fundamental changes to the operation of services</w:t>
      </w:r>
    </w:p>
    <w:p w:rsidR="00EB7344" w:rsidRPr="00C0733E" w:rsidRDefault="00725EFD" w:rsidP="00C0733E">
      <w:pPr>
        <w:rPr>
          <w:lang w:val="en-AU"/>
        </w:rPr>
      </w:pPr>
      <w:r w:rsidRPr="00C0733E">
        <w:rPr>
          <w:lang w:val="en-AU"/>
        </w:rPr>
        <w:t>Switching to the nbn means that the way telecommunications services work will change. Consumers and small businesses need to be aware that connecting is different for everyone depending on what services are being used. The use of services in power outages is a particularly important change.</w:t>
      </w:r>
    </w:p>
    <w:p w:rsidR="00A8141B" w:rsidRDefault="00EB7344" w:rsidP="00C0733E">
      <w:r w:rsidRPr="00C0733E">
        <w:rPr>
          <w:lang w:val="en-AU"/>
        </w:rPr>
        <w:t xml:space="preserve">For consumers in the FTTP footprint </w:t>
      </w:r>
      <w:r w:rsidRPr="00C0733E">
        <w:t>(under 20% of premises in Australia</w:t>
      </w:r>
      <w:r w:rsidRPr="00C0733E">
        <w:rPr>
          <w:lang w:val="en-AU"/>
        </w:rPr>
        <w:t xml:space="preserve">) there is an option for battery backup support and an </w:t>
      </w:r>
      <w:r w:rsidR="00D6793F">
        <w:t xml:space="preserve">obligation on RSPs to gain </w:t>
      </w:r>
      <w:r w:rsidR="00A8141B">
        <w:t>informed</w:t>
      </w:r>
      <w:r w:rsidR="00196767">
        <w:t xml:space="preserve"> consent</w:t>
      </w:r>
      <w:r>
        <w:t xml:space="preserve"> from</w:t>
      </w:r>
      <w:r w:rsidR="00A8141B">
        <w:t xml:space="preserve"> consumer</w:t>
      </w:r>
      <w:r>
        <w:t>s</w:t>
      </w:r>
      <w:r w:rsidR="00A8141B">
        <w:t xml:space="preserve"> </w:t>
      </w:r>
      <w:r w:rsidR="00196767">
        <w:t xml:space="preserve">about their understanding </w:t>
      </w:r>
      <w:r w:rsidR="000C360F">
        <w:t>of the</w:t>
      </w:r>
      <w:r>
        <w:t xml:space="preserve"> consequence</w:t>
      </w:r>
      <w:r w:rsidR="00196767">
        <w:t>s</w:t>
      </w:r>
      <w:r>
        <w:t xml:space="preserve"> of the loss of power.</w:t>
      </w:r>
      <w:r w:rsidR="00FD7492">
        <w:rPr>
          <w:rStyle w:val="FootnoteReference"/>
        </w:rPr>
        <w:footnoteReference w:id="15"/>
      </w:r>
      <w:r w:rsidR="00A8141B">
        <w:t xml:space="preserve"> The battery backup </w:t>
      </w:r>
      <w:r w:rsidR="00AF1A3D">
        <w:t xml:space="preserve">option </w:t>
      </w:r>
      <w:r w:rsidR="00A8141B">
        <w:t>supports services in consumer premises for a number of hours during a power outage, providing a safety net to consumers.</w:t>
      </w:r>
    </w:p>
    <w:p w:rsidR="00A9515B" w:rsidRDefault="00FD7492" w:rsidP="00A8141B">
      <w:r>
        <w:t xml:space="preserve">All other </w:t>
      </w:r>
      <w:r w:rsidR="00177009">
        <w:t xml:space="preserve">NBN </w:t>
      </w:r>
      <w:r>
        <w:t>technologies do not have this requirement</w:t>
      </w:r>
      <w:r w:rsidR="00196767">
        <w:t xml:space="preserve"> for informed consent</w:t>
      </w:r>
      <w:r w:rsidR="00DD3D56">
        <w:t xml:space="preserve"> (over 80% of premises in Australia)</w:t>
      </w:r>
      <w:r w:rsidR="00AF1A3D">
        <w:t xml:space="preserve">, because those other technologies </w:t>
      </w:r>
      <w:r w:rsidR="001B24F0">
        <w:t xml:space="preserve">simply </w:t>
      </w:r>
      <w:r w:rsidR="00AF1A3D">
        <w:t>do not offer the battery backup facility</w:t>
      </w:r>
      <w:r>
        <w:t xml:space="preserve">. </w:t>
      </w:r>
      <w:r w:rsidR="00AF1A3D">
        <w:t>Consumers are likely</w:t>
      </w:r>
      <w:r w:rsidR="001B24F0">
        <w:t xml:space="preserve"> and entitled</w:t>
      </w:r>
      <w:r w:rsidR="00AF1A3D">
        <w:t xml:space="preserve"> to expect that the status quo will continue to apply when they transfer to NBN services, </w:t>
      </w:r>
      <w:r w:rsidR="00177009">
        <w:t xml:space="preserve">namely </w:t>
      </w:r>
      <w:r w:rsidR="00A8141B">
        <w:t xml:space="preserve">that services such as medical alarms, voice services and emergency services like lift phones will work </w:t>
      </w:r>
      <w:r w:rsidR="00EB7344">
        <w:t xml:space="preserve">in the same manner that they currently do and </w:t>
      </w:r>
      <w:r w:rsidR="000C360F">
        <w:t>in power</w:t>
      </w:r>
      <w:r w:rsidR="00A8141B">
        <w:t xml:space="preserve"> outage</w:t>
      </w:r>
      <w:r w:rsidR="00196767">
        <w:t>s</w:t>
      </w:r>
      <w:r w:rsidR="00A8141B">
        <w:t xml:space="preserve">. </w:t>
      </w:r>
    </w:p>
    <w:p w:rsidR="00177009" w:rsidRDefault="00A8141B" w:rsidP="00A8141B">
      <w:r>
        <w:t xml:space="preserve">ACCAN is concerned that messaging from the nbn and </w:t>
      </w:r>
      <w:r w:rsidR="00D6793F">
        <w:t>the incentives on RSPs are not sufficient to ensure that they truly inform</w:t>
      </w:r>
      <w:r w:rsidR="00177009">
        <w:t xml:space="preserve"> all</w:t>
      </w:r>
      <w:r w:rsidR="00D6793F">
        <w:t xml:space="preserve"> consumers. Therefore we believe that </w:t>
      </w:r>
      <w:r>
        <w:t xml:space="preserve">an obligation should be placed on RSPs to ensure that consumers </w:t>
      </w:r>
      <w:r w:rsidR="001F76A0">
        <w:t>give</w:t>
      </w:r>
      <w:r w:rsidR="00D6793F">
        <w:t xml:space="preserve"> consent to and agree that they have been informed about</w:t>
      </w:r>
      <w:r w:rsidR="00177009">
        <w:t>:</w:t>
      </w:r>
    </w:p>
    <w:p w:rsidR="00EB7344" w:rsidRDefault="00177009" w:rsidP="00673DAE">
      <w:pPr>
        <w:pStyle w:val="ListParagraph"/>
        <w:numPr>
          <w:ilvl w:val="0"/>
          <w:numId w:val="14"/>
        </w:numPr>
      </w:pPr>
      <w:r>
        <w:t xml:space="preserve">the likely loss of </w:t>
      </w:r>
      <w:r w:rsidR="00196767">
        <w:t xml:space="preserve">service in power outages </w:t>
      </w:r>
      <w:r w:rsidR="00A8141B">
        <w:t xml:space="preserve"> </w:t>
      </w:r>
      <w:r>
        <w:t xml:space="preserve">when </w:t>
      </w:r>
      <w:r w:rsidR="00A8141B">
        <w:t>switch</w:t>
      </w:r>
      <w:r w:rsidR="00196767">
        <w:t>ed</w:t>
      </w:r>
      <w:r w:rsidR="00A8141B">
        <w:t xml:space="preserve"> to the NBN</w:t>
      </w:r>
      <w:r w:rsidR="00EB7344">
        <w:t>,</w:t>
      </w:r>
    </w:p>
    <w:p w:rsidR="00177009" w:rsidRDefault="00A9515B" w:rsidP="00673DAE">
      <w:pPr>
        <w:pStyle w:val="ListParagraph"/>
        <w:numPr>
          <w:ilvl w:val="0"/>
          <w:numId w:val="14"/>
        </w:numPr>
      </w:pPr>
      <w:r>
        <w:t>t</w:t>
      </w:r>
      <w:r w:rsidR="00EB7344">
        <w:t>he potential that devices will not work in the same manner (for example multiple handsets throughout the house),</w:t>
      </w:r>
      <w:r w:rsidR="00A8141B">
        <w:t xml:space="preserve"> and</w:t>
      </w:r>
    </w:p>
    <w:p w:rsidR="0005778D" w:rsidRDefault="003A442B" w:rsidP="006B6915">
      <w:pPr>
        <w:pStyle w:val="ListParagraph"/>
        <w:numPr>
          <w:ilvl w:val="0"/>
          <w:numId w:val="14"/>
        </w:numPr>
        <w:rPr>
          <w:rStyle w:val="IntenseEmphasis"/>
        </w:rPr>
      </w:pPr>
      <w:proofErr w:type="gramStart"/>
      <w:r>
        <w:t>alternative</w:t>
      </w:r>
      <w:proofErr w:type="gramEnd"/>
      <w:r>
        <w:t xml:space="preserve"> options that are available to them, including the option to switch to a mobile network where coverage is available.</w:t>
      </w:r>
    </w:p>
    <w:p w:rsidR="00A8141B" w:rsidRDefault="00196767" w:rsidP="0005778D">
      <w:pPr>
        <w:spacing w:before="240"/>
        <w:rPr>
          <w:rStyle w:val="IntenseEmphasis"/>
        </w:rPr>
      </w:pPr>
      <w:r>
        <w:rPr>
          <w:rStyle w:val="IntenseEmphasis"/>
        </w:rPr>
        <w:t xml:space="preserve">Recommendation: </w:t>
      </w:r>
      <w:r w:rsidR="00D6793F">
        <w:rPr>
          <w:rStyle w:val="IntenseEmphasis"/>
        </w:rPr>
        <w:t>RSP</w:t>
      </w:r>
      <w:r w:rsidR="00C0733E">
        <w:rPr>
          <w:rStyle w:val="IntenseEmphasis"/>
        </w:rPr>
        <w:t>s</w:t>
      </w:r>
      <w:r w:rsidR="00D6793F">
        <w:rPr>
          <w:rStyle w:val="IntenseEmphasis"/>
        </w:rPr>
        <w:t xml:space="preserve"> should be required to inform consumers about all fundamental changes to service functionality and ensure that consumers understand this when switching.</w:t>
      </w:r>
    </w:p>
    <w:p w:rsidR="006628FA" w:rsidRPr="00EA0AC4" w:rsidRDefault="006628FA" w:rsidP="000C360F">
      <w:pPr>
        <w:pStyle w:val="Heading3"/>
        <w:numPr>
          <w:ilvl w:val="1"/>
          <w:numId w:val="6"/>
        </w:numPr>
        <w:rPr>
          <w:rStyle w:val="IntenseEmphasis"/>
          <w:b/>
          <w:bCs/>
          <w:i w:val="0"/>
          <w:iCs w:val="0"/>
        </w:rPr>
      </w:pPr>
      <w:r w:rsidRPr="00EA0AC4">
        <w:rPr>
          <w:rStyle w:val="IntenseEmphasis"/>
          <w:b/>
          <w:bCs/>
          <w:i w:val="0"/>
          <w:iCs w:val="0"/>
        </w:rPr>
        <w:t>Appropriate communication material</w:t>
      </w:r>
    </w:p>
    <w:p w:rsidR="006628FA" w:rsidRDefault="006628FA" w:rsidP="006628FA">
      <w:r>
        <w:t>A number of consumers report receiving a multitude of communication material from a range of sources. Some of this material conflicts, in terms of dates and timeframe</w:t>
      </w:r>
      <w:r w:rsidR="00A9515B">
        <w:t>s</w:t>
      </w:r>
      <w:r>
        <w:t xml:space="preserve"> for switching. </w:t>
      </w:r>
      <w:r w:rsidR="00673DAE">
        <w:t xml:space="preserve"> </w:t>
      </w:r>
      <w:r w:rsidR="00E23779">
        <w:t>C</w:t>
      </w:r>
      <w:r w:rsidR="00A9515B">
        <w:t xml:space="preserve">onsumers </w:t>
      </w:r>
      <w:r w:rsidR="00673DAE">
        <w:t xml:space="preserve">whose first language is not English, such as </w:t>
      </w:r>
      <w:proofErr w:type="spellStart"/>
      <w:r w:rsidR="00673DAE">
        <w:t>Auslan</w:t>
      </w:r>
      <w:proofErr w:type="spellEnd"/>
      <w:r w:rsidR="00673DAE">
        <w:t xml:space="preserve"> speakers</w:t>
      </w:r>
      <w:r w:rsidR="008063DF">
        <w:t xml:space="preserve"> or those who speak an Aboriginal </w:t>
      </w:r>
      <w:r w:rsidR="008063DF">
        <w:lastRenderedPageBreak/>
        <w:t>language</w:t>
      </w:r>
      <w:r w:rsidR="00EB7344">
        <w:t>, or who are blind</w:t>
      </w:r>
      <w:r w:rsidR="00673DAE">
        <w:t xml:space="preserve"> a</w:t>
      </w:r>
      <w:r w:rsidR="00196767">
        <w:t>re</w:t>
      </w:r>
      <w:r w:rsidR="00673DAE">
        <w:t xml:space="preserve"> limited in the amount of information they</w:t>
      </w:r>
      <w:r w:rsidR="00196767">
        <w:t xml:space="preserve"> can </w:t>
      </w:r>
      <w:r w:rsidR="00CF19C8">
        <w:t xml:space="preserve">access. </w:t>
      </w:r>
      <w:r w:rsidR="00A9515B">
        <w:t>All c</w:t>
      </w:r>
      <w:r>
        <w:t xml:space="preserve">onsumers should be </w:t>
      </w:r>
      <w:r w:rsidR="00B93DEE">
        <w:t xml:space="preserve">adequately </w:t>
      </w:r>
      <w:r>
        <w:t>informed</w:t>
      </w:r>
      <w:r w:rsidR="00EB7344">
        <w:t xml:space="preserve"> about the </w:t>
      </w:r>
      <w:r w:rsidR="00196767">
        <w:t xml:space="preserve">steps they need to </w:t>
      </w:r>
      <w:r w:rsidR="00CF19C8">
        <w:t>take and</w:t>
      </w:r>
      <w:r w:rsidR="00EB7344">
        <w:t xml:space="preserve"> the status of their premises</w:t>
      </w:r>
      <w:r>
        <w:t>.</w:t>
      </w:r>
    </w:p>
    <w:p w:rsidR="006B6915" w:rsidRDefault="006B6915" w:rsidP="006628FA">
      <w:r>
        <w:rPr>
          <w:noProof/>
          <w:lang w:eastAsia="en-IE"/>
        </w:rPr>
        <mc:AlternateContent>
          <mc:Choice Requires="wps">
            <w:drawing>
              <wp:inline distT="0" distB="0" distL="0" distR="0" wp14:anchorId="0D6B3196" wp14:editId="6459EF5A">
                <wp:extent cx="5731510" cy="1319728"/>
                <wp:effectExtent l="38100" t="38100" r="40640" b="3873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19728"/>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B6915" w:rsidRDefault="006B6915" w:rsidP="006B6915">
                            <w:pPr>
                              <w:pStyle w:val="Quote"/>
                              <w:spacing w:line="240" w:lineRule="auto"/>
                            </w:pPr>
                            <w:r>
                              <w:t>Case Study: Adam, VIC</w:t>
                            </w:r>
                          </w:p>
                          <w:p w:rsidR="006B6915" w:rsidRDefault="006B6915" w:rsidP="006B6915">
                            <w:pPr>
                              <w:spacing w:after="0" w:line="240" w:lineRule="auto"/>
                              <w:rPr>
                                <w:rFonts w:asciiTheme="majorHAnsi" w:eastAsiaTheme="majorEastAsia" w:hAnsiTheme="majorHAnsi" w:cstheme="majorBidi"/>
                                <w:i/>
                                <w:iCs/>
                                <w:sz w:val="28"/>
                                <w:szCs w:val="28"/>
                              </w:rPr>
                            </w:pPr>
                            <w:r>
                              <w:t>Adam got notification that nbn was available at his premises. He was provided with different information from a number of sources. The notifications from nbn and a number of RSPs said that he would have 18 months to switch. However, his current provider told him that he had three months to switch or he would lose all services. Adam was confused about the range and amount of information that he was provided with and did not know what was correct.</w:t>
                            </w:r>
                          </w:p>
                        </w:txbxContent>
                      </wps:txbx>
                      <wps:bodyPr rot="0" vert="horz" wrap="square" lIns="137160" tIns="91440" rIns="137160" bIns="91440" anchor="ctr" anchorCtr="0" upright="1">
                        <a:spAutoFit/>
                      </wps:bodyPr>
                    </wps:wsp>
                  </a:graphicData>
                </a:graphic>
              </wp:inline>
            </w:drawing>
          </mc:Choice>
          <mc:Fallback>
            <w:pict>
              <v:shape id="_x0000_s1032" type="#_x0000_t202" style="width:451.3pt;height:10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" filled="f" strokecolor="#622423" strokeweight="6pt">
                <v:stroke linestyle="thickThin"/>
                <v:textbox style="mso-fit-shape-to-text:t" inset="10.8pt,7.2pt,10.8pt,7.2pt">
                  <w:txbxContent>
                    <w:p w:rsidR="006B6915" w:rsidRDefault="006B6915" w:rsidP="006B6915">
                      <w:pPr>
                        <w:pStyle w:val="Quote"/>
                        <w:spacing w:line="240" w:lineRule="auto"/>
                      </w:pPr>
                      <w:r>
                        <w:t>Case Study: Adam, VIC</w:t>
                      </w:r>
                    </w:p>
                    <w:p w:rsidR="006B6915" w:rsidRDefault="006B6915" w:rsidP="006B6915">
                      <w:pPr>
                        <w:spacing w:after="0" w:line="240" w:lineRule="auto"/>
                        <w:rPr>
                          <w:rFonts w:asciiTheme="majorHAnsi" w:eastAsiaTheme="majorEastAsia" w:hAnsiTheme="majorHAnsi" w:cstheme="majorBidi"/>
                          <w:i/>
                          <w:iCs/>
                          <w:sz w:val="28"/>
                          <w:szCs w:val="28"/>
                        </w:rPr>
                      </w:pPr>
                      <w:r>
                        <w:t>Adam got notification that nbn was available at his premises. He was provided with different information from a number of sources. The notifications from nbn and a number of RSPs said that he would have 18 months to switch. However, his current provider told him that he had three months to switch or he would lose all services. Adam was confused about the range and amount of information that he was provided with and did not know what was correct.</w:t>
                      </w:r>
                    </w:p>
                  </w:txbxContent>
                </v:textbox>
                <w10:anchorlock/>
              </v:shape>
            </w:pict>
          </mc:Fallback>
        </mc:AlternateContent>
      </w:r>
    </w:p>
    <w:p w:rsidR="003C6D76" w:rsidRDefault="00ED3977" w:rsidP="003C6D76">
      <w:pPr>
        <w:spacing w:before="240"/>
        <w:rPr>
          <w:rStyle w:val="IntenseEmphasis"/>
        </w:rPr>
      </w:pPr>
      <w:r w:rsidRPr="00ED3977">
        <w:rPr>
          <w:rStyle w:val="IntenseEmphasis"/>
          <w:noProof/>
          <w:lang w:eastAsia="en-IE"/>
        </w:rPr>
        <mc:AlternateContent>
          <mc:Choice Requires="wps">
            <w:drawing>
              <wp:inline distT="0" distB="0" distL="0" distR="0" wp14:anchorId="694041CF" wp14:editId="6129948A">
                <wp:extent cx="5800725" cy="1368000"/>
                <wp:effectExtent l="38100" t="38100" r="47625" b="3873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368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D3977" w:rsidRDefault="00ED3977" w:rsidP="00ED3977">
                            <w:pPr>
                              <w:pStyle w:val="Quote"/>
                              <w:spacing w:line="240" w:lineRule="auto"/>
                            </w:pPr>
                            <w:r>
                              <w:t>Case Study: John, TAS</w:t>
                            </w:r>
                          </w:p>
                          <w:p w:rsidR="00ED3977" w:rsidRDefault="00ED3977" w:rsidP="00ED3977">
                            <w:pPr>
                              <w:spacing w:after="0" w:line="240" w:lineRule="auto"/>
                              <w:rPr>
                                <w:rFonts w:asciiTheme="majorHAnsi" w:eastAsiaTheme="majorEastAsia" w:hAnsiTheme="majorHAnsi" w:cstheme="majorBidi"/>
                                <w:i/>
                                <w:iCs/>
                                <w:sz w:val="28"/>
                                <w:szCs w:val="28"/>
                              </w:rPr>
                            </w:pPr>
                            <w:r>
                              <w:t>John is blind and lives alone. He has received a number of letters in the post, which he understands relate to switching to nbn. He checked the nbn website which informed him that his premises is ready to connect and warned him to do so before he is disconnected, but he was unable to find the date which this will occur because it is only available on the printed letters which he is unable to read.</w:t>
                            </w:r>
                          </w:p>
                        </w:txbxContent>
                      </wps:txbx>
                      <wps:bodyPr rot="0" vert="horz" wrap="square" lIns="137160" tIns="91440" rIns="137160" bIns="91440" anchor="ctr" anchorCtr="0" upright="1">
                        <a:spAutoFit/>
                      </wps:bodyPr>
                    </wps:wsp>
                  </a:graphicData>
                </a:graphic>
              </wp:inline>
            </w:drawing>
          </mc:Choice>
          <mc:Fallback>
            <w:pict>
              <v:shape id="_x0000_s1033" type="#_x0000_t202" style="width:456.75pt;height:10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" filled="f" strokecolor="#622423" strokeweight="6pt">
                <v:stroke linestyle="thickThin"/>
                <v:textbox style="mso-fit-shape-to-text:t" inset="10.8pt,7.2pt,10.8pt,7.2pt">
                  <w:txbxContent>
                    <w:p w:rsidR="00ED3977" w:rsidRDefault="00ED3977" w:rsidP="00ED3977">
                      <w:pPr>
                        <w:pStyle w:val="Quote"/>
                        <w:spacing w:line="240" w:lineRule="auto"/>
                      </w:pPr>
                      <w:r>
                        <w:t>Case Study: John, TAS</w:t>
                      </w:r>
                    </w:p>
                    <w:p w:rsidR="00ED3977" w:rsidRDefault="00ED3977" w:rsidP="00ED3977">
                      <w:pPr>
                        <w:spacing w:after="0" w:line="240" w:lineRule="auto"/>
                        <w:rPr>
                          <w:rFonts w:asciiTheme="majorHAnsi" w:eastAsiaTheme="majorEastAsia" w:hAnsiTheme="majorHAnsi" w:cstheme="majorBidi"/>
                          <w:i/>
                          <w:iCs/>
                          <w:sz w:val="28"/>
                          <w:szCs w:val="28"/>
                        </w:rPr>
                      </w:pPr>
                      <w:r>
                        <w:t>John is blind and lives alone. He has received a number of letters in the post, which he understands relate to switching to nbn. He checked the nbn website which informed him that his premises is ready to connect and warned him to do so before he is disconnected, but he was unable to find the date which this will occur because it is only available on the printed letters which he is unable to read.</w:t>
                      </w:r>
                    </w:p>
                  </w:txbxContent>
                </v:textbox>
                <w10:anchorlock/>
              </v:shape>
            </w:pict>
          </mc:Fallback>
        </mc:AlternateContent>
      </w:r>
    </w:p>
    <w:p w:rsidR="006628FA" w:rsidRPr="006628FA" w:rsidRDefault="00AC4417" w:rsidP="003C6D76">
      <w:pPr>
        <w:spacing w:before="240"/>
        <w:rPr>
          <w:rStyle w:val="IntenseEmphasis"/>
        </w:rPr>
      </w:pPr>
      <w:r>
        <w:rPr>
          <w:rStyle w:val="IntenseEmphasis"/>
        </w:rPr>
        <w:t xml:space="preserve">Recommendation: </w:t>
      </w:r>
      <w:r w:rsidR="006628FA">
        <w:rPr>
          <w:rStyle w:val="IntenseEmphasis"/>
        </w:rPr>
        <w:t>Communication should be coordinated, ensuring there is an appropriate amount of timely information.</w:t>
      </w:r>
    </w:p>
    <w:p w:rsidR="00A32233" w:rsidRDefault="00777CE8" w:rsidP="00A8141B">
      <w:pPr>
        <w:pStyle w:val="Heading2"/>
        <w:numPr>
          <w:ilvl w:val="0"/>
          <w:numId w:val="6"/>
        </w:numPr>
        <w:rPr>
          <w:lang w:val="en-AU"/>
        </w:rPr>
      </w:pPr>
      <w:r>
        <w:rPr>
          <w:lang w:val="en-AU"/>
        </w:rPr>
        <w:t>Providing a</w:t>
      </w:r>
      <w:r w:rsidR="00A32233">
        <w:rPr>
          <w:lang w:val="en-AU"/>
        </w:rPr>
        <w:t xml:space="preserve">ssistance </w:t>
      </w:r>
      <w:r w:rsidR="004D6328">
        <w:rPr>
          <w:lang w:val="en-AU"/>
        </w:rPr>
        <w:t xml:space="preserve">to consumers </w:t>
      </w:r>
      <w:r w:rsidR="00A32233">
        <w:rPr>
          <w:lang w:val="en-AU"/>
        </w:rPr>
        <w:t>when needed</w:t>
      </w:r>
    </w:p>
    <w:p w:rsidR="00A32233" w:rsidRDefault="002C0BE0" w:rsidP="00A32233">
      <w:pPr>
        <w:rPr>
          <w:lang w:val="en-AU"/>
        </w:rPr>
      </w:pPr>
      <w:r>
        <w:rPr>
          <w:lang w:val="en-AU"/>
        </w:rPr>
        <w:t>Each consumer</w:t>
      </w:r>
      <w:r w:rsidR="00A9515B">
        <w:rPr>
          <w:lang w:val="en-AU"/>
        </w:rPr>
        <w:t>’</w:t>
      </w:r>
      <w:r>
        <w:rPr>
          <w:lang w:val="en-AU"/>
        </w:rPr>
        <w:t xml:space="preserve">s experience with connecting will be different. Some premises may require a </w:t>
      </w:r>
      <w:r w:rsidR="00735D1E">
        <w:rPr>
          <w:lang w:val="en-AU"/>
        </w:rPr>
        <w:t xml:space="preserve">home </w:t>
      </w:r>
      <w:r>
        <w:rPr>
          <w:lang w:val="en-AU"/>
        </w:rPr>
        <w:t>visit by an installer, new equipment or upgraded wiring in the home</w:t>
      </w:r>
      <w:r w:rsidR="00735D1E">
        <w:rPr>
          <w:lang w:val="en-AU"/>
        </w:rPr>
        <w:t xml:space="preserve"> while others may </w:t>
      </w:r>
      <w:r w:rsidR="00B92C26">
        <w:rPr>
          <w:lang w:val="en-AU"/>
        </w:rPr>
        <w:t xml:space="preserve">require the </w:t>
      </w:r>
      <w:r w:rsidR="001F76A0">
        <w:rPr>
          <w:lang w:val="en-AU"/>
        </w:rPr>
        <w:t>resident to</w:t>
      </w:r>
      <w:r w:rsidR="00735D1E">
        <w:rPr>
          <w:lang w:val="en-AU"/>
        </w:rPr>
        <w:t xml:space="preserve"> set up the equipment themselves</w:t>
      </w:r>
      <w:r>
        <w:rPr>
          <w:lang w:val="en-AU"/>
        </w:rPr>
        <w:t>.</w:t>
      </w:r>
      <w:r w:rsidR="00735D1E">
        <w:rPr>
          <w:lang w:val="en-AU"/>
        </w:rPr>
        <w:t xml:space="preserve"> Th</w:t>
      </w:r>
      <w:r w:rsidR="00212C2E">
        <w:rPr>
          <w:lang w:val="en-AU"/>
        </w:rPr>
        <w:t xml:space="preserve">is </w:t>
      </w:r>
      <w:r w:rsidR="00B92C26">
        <w:rPr>
          <w:lang w:val="en-AU"/>
        </w:rPr>
        <w:t>presume</w:t>
      </w:r>
      <w:r w:rsidR="00D866DC">
        <w:rPr>
          <w:lang w:val="en-AU"/>
        </w:rPr>
        <w:t>s</w:t>
      </w:r>
      <w:r w:rsidR="00316750">
        <w:rPr>
          <w:lang w:val="en-AU"/>
        </w:rPr>
        <w:t xml:space="preserve"> the consumer has </w:t>
      </w:r>
      <w:r w:rsidR="001F76A0">
        <w:rPr>
          <w:lang w:val="en-AU"/>
        </w:rPr>
        <w:t>sufficient technical ability</w:t>
      </w:r>
      <w:r w:rsidR="00B92C26">
        <w:rPr>
          <w:lang w:val="en-AU"/>
        </w:rPr>
        <w:t xml:space="preserve">, and financial </w:t>
      </w:r>
      <w:r w:rsidR="001F76A0">
        <w:rPr>
          <w:lang w:val="en-AU"/>
        </w:rPr>
        <w:t>capacity to</w:t>
      </w:r>
      <w:r w:rsidR="00735D1E">
        <w:rPr>
          <w:lang w:val="en-AU"/>
        </w:rPr>
        <w:t xml:space="preserve"> pay for changes required</w:t>
      </w:r>
      <w:r w:rsidR="00D866DC">
        <w:rPr>
          <w:lang w:val="en-AU"/>
        </w:rPr>
        <w:t>, which may not be the case.</w:t>
      </w:r>
    </w:p>
    <w:p w:rsidR="00D6793F" w:rsidRDefault="00D6793F" w:rsidP="006867B6">
      <w:pPr>
        <w:pStyle w:val="Heading3"/>
        <w:numPr>
          <w:ilvl w:val="1"/>
          <w:numId w:val="6"/>
        </w:numPr>
        <w:rPr>
          <w:lang w:val="en-AU"/>
        </w:rPr>
      </w:pPr>
      <w:r>
        <w:rPr>
          <w:lang w:val="en-AU"/>
        </w:rPr>
        <w:t>Medical alarms</w:t>
      </w:r>
    </w:p>
    <w:p w:rsidR="003C6D76" w:rsidRDefault="00D6793F" w:rsidP="00D6793F">
      <w:pPr>
        <w:rPr>
          <w:lang w:val="en-AU"/>
        </w:rPr>
      </w:pPr>
      <w:r>
        <w:rPr>
          <w:lang w:val="en-AU"/>
        </w:rPr>
        <w:t xml:space="preserve">A number of vulnerable consumers use monitored and unmonitored medical alarms. </w:t>
      </w:r>
      <w:r w:rsidR="009C214E">
        <w:rPr>
          <w:lang w:val="en-AU"/>
        </w:rPr>
        <w:t>These vital services provide security in times of medical emergencies</w:t>
      </w:r>
      <w:r w:rsidR="00A9515B">
        <w:rPr>
          <w:lang w:val="en-AU"/>
        </w:rPr>
        <w:t xml:space="preserve"> and</w:t>
      </w:r>
      <w:r w:rsidR="009C214E">
        <w:rPr>
          <w:lang w:val="en-AU"/>
        </w:rPr>
        <w:t xml:space="preserve"> </w:t>
      </w:r>
      <w:r w:rsidR="00A9515B">
        <w:rPr>
          <w:lang w:val="en-AU"/>
        </w:rPr>
        <w:t xml:space="preserve">it </w:t>
      </w:r>
      <w:r w:rsidR="009C214E">
        <w:rPr>
          <w:lang w:val="en-AU"/>
        </w:rPr>
        <w:t>is important that they function when needed.</w:t>
      </w:r>
      <w:r w:rsidR="00421F1E">
        <w:rPr>
          <w:lang w:val="en-AU"/>
        </w:rPr>
        <w:t xml:space="preserve"> </w:t>
      </w:r>
      <w:r w:rsidR="009C214E">
        <w:rPr>
          <w:lang w:val="en-AU"/>
        </w:rPr>
        <w:t>Some of these devices are not reliable over the nbn network due to</w:t>
      </w:r>
      <w:r w:rsidR="00D866DC">
        <w:rPr>
          <w:lang w:val="en-AU"/>
        </w:rPr>
        <w:t xml:space="preserve"> </w:t>
      </w:r>
      <w:r w:rsidR="00212C2E">
        <w:rPr>
          <w:lang w:val="en-AU"/>
        </w:rPr>
        <w:t xml:space="preserve">nbn </w:t>
      </w:r>
      <w:r w:rsidR="00D866DC">
        <w:rPr>
          <w:lang w:val="en-AU"/>
        </w:rPr>
        <w:t xml:space="preserve">services not working </w:t>
      </w:r>
      <w:r w:rsidR="009C214E">
        <w:rPr>
          <w:lang w:val="en-AU"/>
        </w:rPr>
        <w:t>in power outages.</w:t>
      </w:r>
      <w:r w:rsidR="00212C2E">
        <w:rPr>
          <w:lang w:val="en-AU"/>
        </w:rPr>
        <w:t xml:space="preserve"> Some device providers are offering alternative </w:t>
      </w:r>
      <w:proofErr w:type="gramStart"/>
      <w:r w:rsidR="00212C2E">
        <w:rPr>
          <w:lang w:val="en-AU"/>
        </w:rPr>
        <w:t>devices,</w:t>
      </w:r>
      <w:proofErr w:type="gramEnd"/>
      <w:r w:rsidR="00212C2E">
        <w:rPr>
          <w:lang w:val="en-AU"/>
        </w:rPr>
        <w:t xml:space="preserve"> however, it is not clear to consumers.</w:t>
      </w:r>
    </w:p>
    <w:p w:rsidR="00212C2E" w:rsidRDefault="00212C2E" w:rsidP="00D6793F">
      <w:pPr>
        <w:rPr>
          <w:rStyle w:val="IntenseEmphasis"/>
        </w:rPr>
      </w:pPr>
      <w:r w:rsidRPr="00212C2E">
        <w:rPr>
          <w:b/>
          <w:bCs/>
          <w:i/>
          <w:iCs/>
          <w:noProof/>
          <w:color w:val="4F81BD" w:themeColor="accent1"/>
          <w:lang w:eastAsia="en-IE"/>
        </w:rPr>
        <mc:AlternateContent>
          <mc:Choice Requires="wps">
            <w:drawing>
              <wp:inline distT="0" distB="0" distL="0" distR="0" wp14:anchorId="4901E0A6" wp14:editId="68140995">
                <wp:extent cx="5731510" cy="1392252"/>
                <wp:effectExtent l="38100" t="38100" r="40640" b="3873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92252"/>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C2E" w:rsidRDefault="00212C2E" w:rsidP="00212C2E">
                            <w:pPr>
                              <w:pStyle w:val="Quote"/>
                              <w:spacing w:line="240" w:lineRule="auto"/>
                            </w:pPr>
                            <w:r>
                              <w:t xml:space="preserve">Case Study: </w:t>
                            </w:r>
                            <w:r>
                              <w:t>Nicola, QLD</w:t>
                            </w:r>
                          </w:p>
                          <w:p w:rsidR="00212C2E" w:rsidRDefault="00212C2E" w:rsidP="00212C2E">
                            <w:pPr>
                              <w:spacing w:after="0" w:line="240" w:lineRule="auto"/>
                              <w:rPr>
                                <w:rFonts w:asciiTheme="majorHAnsi" w:eastAsiaTheme="majorEastAsia" w:hAnsiTheme="majorHAnsi" w:cstheme="majorBidi"/>
                                <w:i/>
                                <w:iCs/>
                                <w:sz w:val="28"/>
                                <w:szCs w:val="28"/>
                              </w:rPr>
                            </w:pPr>
                            <w:r>
                              <w:t xml:space="preserve">Nicola is concerned about her mother who uses a monitored medical alarm and who is soon to switch to nbn. The provider of the medical alarm informed Nicola that they cannot guarantee services over the nbn technology and there is not sufficient mobile coverage to offer an alternative service. She was told that when her mother switches to nbn she will no longer be able to have a monitored medical alarm. </w:t>
                            </w:r>
                          </w:p>
                        </w:txbxContent>
                      </wps:txbx>
                      <wps:bodyPr rot="0" vert="horz" wrap="square" lIns="137160" tIns="91440" rIns="137160" bIns="91440" anchor="ctr" anchorCtr="0" upright="1">
                        <a:spAutoFit/>
                      </wps:bodyPr>
                    </wps:wsp>
                  </a:graphicData>
                </a:graphic>
              </wp:inline>
            </w:drawing>
          </mc:Choice>
          <mc:Fallback>
            <w:pict>
              <v:shape id="_x0000_s1034" type="#_x0000_t202" style="width:451.3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" filled="f" strokecolor="#622423" strokeweight="6pt">
                <v:stroke linestyle="thickThin"/>
                <v:textbox style="mso-fit-shape-to-text:t" inset="10.8pt,7.2pt,10.8pt,7.2pt">
                  <w:txbxContent>
                    <w:p w:rsidR="00212C2E" w:rsidRDefault="00212C2E" w:rsidP="00212C2E">
                      <w:pPr>
                        <w:pStyle w:val="Quote"/>
                        <w:spacing w:line="240" w:lineRule="auto"/>
                      </w:pPr>
                      <w:r>
                        <w:t xml:space="preserve">Case Study: </w:t>
                      </w:r>
                      <w:r>
                        <w:t>Nicola, QLD</w:t>
                      </w:r>
                    </w:p>
                    <w:p w:rsidR="00212C2E" w:rsidRDefault="00212C2E" w:rsidP="00212C2E">
                      <w:pPr>
                        <w:spacing w:after="0" w:line="240" w:lineRule="auto"/>
                        <w:rPr>
                          <w:rFonts w:asciiTheme="majorHAnsi" w:eastAsiaTheme="majorEastAsia" w:hAnsiTheme="majorHAnsi" w:cstheme="majorBidi"/>
                          <w:i/>
                          <w:iCs/>
                          <w:sz w:val="28"/>
                          <w:szCs w:val="28"/>
                        </w:rPr>
                      </w:pPr>
                      <w:r>
                        <w:t xml:space="preserve">Nicola is concerned about her mother who uses a monitored medical alarm and who is soon to switch to nbn. The provider of the medical alarm informed Nicola that they cannot guarantee services over the nbn technology and there is not sufficient mobile coverage to offer an alternative service. She was told that when her mother switches to nbn she will no longer be able to have a monitored medical alarm. </w:t>
                      </w:r>
                    </w:p>
                  </w:txbxContent>
                </v:textbox>
                <w10:anchorlock/>
              </v:shape>
            </w:pict>
          </mc:Fallback>
        </mc:AlternateContent>
      </w:r>
    </w:p>
    <w:p w:rsidR="00421F1E" w:rsidRPr="00421F1E" w:rsidRDefault="00777CE8" w:rsidP="00D6793F">
      <w:pPr>
        <w:rPr>
          <w:rStyle w:val="IntenseEmphasis"/>
        </w:rPr>
      </w:pPr>
      <w:r>
        <w:rPr>
          <w:rStyle w:val="IntenseEmphasis"/>
        </w:rPr>
        <w:t xml:space="preserve">Recommendation: </w:t>
      </w:r>
      <w:r w:rsidR="00421F1E">
        <w:rPr>
          <w:rStyle w:val="IntenseEmphasis"/>
        </w:rPr>
        <w:t xml:space="preserve">Transition of emergency and critical </w:t>
      </w:r>
      <w:r w:rsidR="00212C2E">
        <w:rPr>
          <w:rStyle w:val="IntenseEmphasis"/>
        </w:rPr>
        <w:t xml:space="preserve">monitored and unmonitored medical </w:t>
      </w:r>
      <w:r w:rsidR="00421F1E">
        <w:rPr>
          <w:rStyle w:val="IntenseEmphasis"/>
        </w:rPr>
        <w:t xml:space="preserve">devices should be supported to ensure </w:t>
      </w:r>
      <w:r w:rsidR="00B93DEE">
        <w:rPr>
          <w:rStyle w:val="IntenseEmphasis"/>
        </w:rPr>
        <w:t xml:space="preserve">that </w:t>
      </w:r>
      <w:r w:rsidR="00421F1E">
        <w:rPr>
          <w:rStyle w:val="IntenseEmphasis"/>
        </w:rPr>
        <w:t xml:space="preserve">no consumers are put at risk. </w:t>
      </w:r>
      <w:r w:rsidR="00212C2E">
        <w:rPr>
          <w:rStyle w:val="IntenseEmphasis"/>
        </w:rPr>
        <w:t xml:space="preserve">Assistance for </w:t>
      </w:r>
      <w:r w:rsidR="00212C2E">
        <w:rPr>
          <w:rStyle w:val="IntenseEmphasis"/>
        </w:rPr>
        <w:lastRenderedPageBreak/>
        <w:t xml:space="preserve">transitioning devices should be offered and </w:t>
      </w:r>
      <w:r w:rsidR="00EA49AD">
        <w:rPr>
          <w:rStyle w:val="IntenseEmphasis"/>
        </w:rPr>
        <w:t xml:space="preserve">information on such assistance should be publically </w:t>
      </w:r>
      <w:r w:rsidR="00212C2E">
        <w:rPr>
          <w:rStyle w:val="IntenseEmphasis"/>
        </w:rPr>
        <w:t>available</w:t>
      </w:r>
      <w:r w:rsidR="00EA49AD">
        <w:rPr>
          <w:rStyle w:val="IntenseEmphasis"/>
        </w:rPr>
        <w:t>.</w:t>
      </w:r>
    </w:p>
    <w:p w:rsidR="00D6793F" w:rsidRPr="00D6793F" w:rsidRDefault="00D6793F" w:rsidP="006867B6">
      <w:pPr>
        <w:pStyle w:val="Heading3"/>
        <w:numPr>
          <w:ilvl w:val="1"/>
          <w:numId w:val="6"/>
        </w:numPr>
        <w:rPr>
          <w:lang w:val="en-AU"/>
        </w:rPr>
      </w:pPr>
      <w:r>
        <w:rPr>
          <w:lang w:val="en-AU"/>
        </w:rPr>
        <w:t>Assistance migrating</w:t>
      </w:r>
    </w:p>
    <w:p w:rsidR="00421F1E" w:rsidRDefault="00D6793F" w:rsidP="00A32233">
      <w:pPr>
        <w:rPr>
          <w:lang w:val="en-AU"/>
        </w:rPr>
      </w:pPr>
      <w:r>
        <w:rPr>
          <w:lang w:val="en-AU"/>
        </w:rPr>
        <w:t xml:space="preserve">For a number of consumers migrating to nbn will be too difficult to complete on their own. This was recognised a number of years ago with funding </w:t>
      </w:r>
      <w:r w:rsidR="00902DF1">
        <w:rPr>
          <w:lang w:val="en-AU"/>
        </w:rPr>
        <w:t xml:space="preserve">provided </w:t>
      </w:r>
      <w:r>
        <w:rPr>
          <w:lang w:val="en-AU"/>
        </w:rPr>
        <w:t>to assist vulnerable voice only consumers.</w:t>
      </w:r>
      <w:r w:rsidR="00B93DEE">
        <w:rPr>
          <w:rStyle w:val="FootnoteReference"/>
          <w:lang w:val="en-AU"/>
        </w:rPr>
        <w:footnoteReference w:id="16"/>
      </w:r>
      <w:r>
        <w:rPr>
          <w:lang w:val="en-AU"/>
        </w:rPr>
        <w:t xml:space="preserve"> </w:t>
      </w:r>
      <w:r w:rsidR="00D866DC">
        <w:rPr>
          <w:lang w:val="en-AU"/>
        </w:rPr>
        <w:t xml:space="preserve">With some nbn technologies there is no </w:t>
      </w:r>
      <w:r w:rsidR="00347349">
        <w:rPr>
          <w:lang w:val="en-AU"/>
        </w:rPr>
        <w:t>technician</w:t>
      </w:r>
      <w:r w:rsidR="00D866DC">
        <w:rPr>
          <w:lang w:val="en-AU"/>
        </w:rPr>
        <w:t xml:space="preserve"> required</w:t>
      </w:r>
      <w:r w:rsidR="00902DF1">
        <w:rPr>
          <w:lang w:val="en-AU"/>
        </w:rPr>
        <w:t xml:space="preserve"> for</w:t>
      </w:r>
      <w:r w:rsidR="00D866DC">
        <w:rPr>
          <w:lang w:val="en-AU"/>
        </w:rPr>
        <w:t xml:space="preserve"> </w:t>
      </w:r>
      <w:r w:rsidR="00347349">
        <w:rPr>
          <w:lang w:val="en-AU"/>
        </w:rPr>
        <w:t>installation;</w:t>
      </w:r>
      <w:r w:rsidR="00D866DC">
        <w:rPr>
          <w:lang w:val="en-AU"/>
        </w:rPr>
        <w:t xml:space="preserve"> instead the default is a self-install. This may not suit all consumers. </w:t>
      </w:r>
      <w:r w:rsidR="00777CE8">
        <w:rPr>
          <w:lang w:val="en-AU"/>
        </w:rPr>
        <w:t>In these circumstances, c</w:t>
      </w:r>
      <w:r w:rsidR="00347349">
        <w:rPr>
          <w:lang w:val="en-AU"/>
        </w:rPr>
        <w:t>harges for assistance with migration and installation may be significant</w:t>
      </w:r>
      <w:r w:rsidR="00347349">
        <w:rPr>
          <w:rStyle w:val="FootnoteReference"/>
          <w:lang w:val="en-AU"/>
        </w:rPr>
        <w:footnoteReference w:id="17"/>
      </w:r>
      <w:r w:rsidR="00347349">
        <w:rPr>
          <w:lang w:val="en-AU"/>
        </w:rPr>
        <w:t xml:space="preserve">, </w:t>
      </w:r>
      <w:r w:rsidR="00777CE8">
        <w:rPr>
          <w:lang w:val="en-AU"/>
        </w:rPr>
        <w:t xml:space="preserve">and </w:t>
      </w:r>
      <w:r w:rsidR="00347349" w:rsidRPr="00347349">
        <w:rPr>
          <w:lang w:val="en-AU"/>
        </w:rPr>
        <w:t>particularly</w:t>
      </w:r>
      <w:r w:rsidR="00777CE8">
        <w:rPr>
          <w:lang w:val="en-AU"/>
        </w:rPr>
        <w:t xml:space="preserve"> </w:t>
      </w:r>
      <w:r w:rsidR="006867B6">
        <w:rPr>
          <w:lang w:val="en-AU"/>
        </w:rPr>
        <w:t xml:space="preserve">disadvantages </w:t>
      </w:r>
      <w:r w:rsidR="006867B6" w:rsidRPr="00347349">
        <w:rPr>
          <w:lang w:val="en-AU"/>
        </w:rPr>
        <w:t>consumers</w:t>
      </w:r>
      <w:r w:rsidR="006867B6">
        <w:rPr>
          <w:lang w:val="en-AU"/>
        </w:rPr>
        <w:t xml:space="preserve"> with</w:t>
      </w:r>
      <w:r w:rsidR="00347349" w:rsidRPr="00347349">
        <w:rPr>
          <w:lang w:val="en-AU"/>
        </w:rPr>
        <w:t xml:space="preserve"> no option but to ask for </w:t>
      </w:r>
      <w:r w:rsidR="00777CE8">
        <w:rPr>
          <w:lang w:val="en-AU"/>
        </w:rPr>
        <w:t>assistance</w:t>
      </w:r>
      <w:r w:rsidR="00347349" w:rsidRPr="00347349">
        <w:rPr>
          <w:lang w:val="en-AU"/>
        </w:rPr>
        <w:t xml:space="preserve"> if they want to continue to have fixed services</w:t>
      </w:r>
      <w:r w:rsidR="00902DF1">
        <w:rPr>
          <w:lang w:val="en-AU"/>
        </w:rPr>
        <w:t>.</w:t>
      </w:r>
      <w:r w:rsidR="0007790A">
        <w:rPr>
          <w:lang w:val="en-AU"/>
        </w:rPr>
        <w:t xml:space="preserve"> </w:t>
      </w:r>
      <w:r w:rsidR="00777CE8">
        <w:rPr>
          <w:lang w:val="en-AU"/>
        </w:rPr>
        <w:t xml:space="preserve">By contrast, consumers using other </w:t>
      </w:r>
      <w:r w:rsidR="006867B6">
        <w:rPr>
          <w:lang w:val="en-AU"/>
        </w:rPr>
        <w:t xml:space="preserve">nbn </w:t>
      </w:r>
      <w:r w:rsidR="006867B6" w:rsidRPr="00347349">
        <w:rPr>
          <w:lang w:val="en-AU"/>
        </w:rPr>
        <w:t>technologies</w:t>
      </w:r>
      <w:r w:rsidR="00347349" w:rsidRPr="00347349">
        <w:rPr>
          <w:lang w:val="en-AU"/>
        </w:rPr>
        <w:t xml:space="preserve"> </w:t>
      </w:r>
      <w:r w:rsidR="006867B6">
        <w:rPr>
          <w:lang w:val="en-AU"/>
        </w:rPr>
        <w:t xml:space="preserve">have </w:t>
      </w:r>
      <w:r w:rsidR="006867B6" w:rsidRPr="00347349">
        <w:rPr>
          <w:lang w:val="en-AU"/>
        </w:rPr>
        <w:t>not</w:t>
      </w:r>
      <w:r w:rsidR="00777CE8">
        <w:rPr>
          <w:lang w:val="en-AU"/>
        </w:rPr>
        <w:t xml:space="preserve"> been</w:t>
      </w:r>
      <w:r w:rsidR="00347349" w:rsidRPr="00347349">
        <w:rPr>
          <w:lang w:val="en-AU"/>
        </w:rPr>
        <w:t xml:space="preserve"> charged for this service.</w:t>
      </w:r>
    </w:p>
    <w:p w:rsidR="006B6915" w:rsidRDefault="006B6915" w:rsidP="00A32233">
      <w:pPr>
        <w:rPr>
          <w:lang w:val="en-AU"/>
        </w:rPr>
      </w:pPr>
      <w:r w:rsidRPr="00ED3977">
        <w:rPr>
          <w:noProof/>
          <w:lang w:eastAsia="en-IE"/>
        </w:rPr>
        <mc:AlternateContent>
          <mc:Choice Requires="wps">
            <w:drawing>
              <wp:inline distT="0" distB="0" distL="0" distR="0" wp14:anchorId="13345305" wp14:editId="596194F9">
                <wp:extent cx="5731510" cy="1887705"/>
                <wp:effectExtent l="38100" t="38100" r="40640" b="368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8770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B6915" w:rsidRDefault="006B6915" w:rsidP="006B6915">
                            <w:pPr>
                              <w:pStyle w:val="Quote"/>
                              <w:spacing w:line="240" w:lineRule="auto"/>
                              <w:rPr>
                                <w:lang w:val="en-AU"/>
                              </w:rPr>
                            </w:pPr>
                            <w:r>
                              <w:rPr>
                                <w:lang w:val="en-AU"/>
                              </w:rPr>
                              <w:t>Case Study: Jacky, QLD</w:t>
                            </w:r>
                          </w:p>
                          <w:p w:rsidR="006B6915" w:rsidRDefault="006B6915" w:rsidP="006B6915">
                            <w:pPr>
                              <w:spacing w:line="240" w:lineRule="auto"/>
                              <w:rPr>
                                <w:lang w:val="en-AU"/>
                              </w:rPr>
                            </w:pPr>
                            <w:r>
                              <w:rPr>
                                <w:lang w:val="en-AU"/>
                              </w:rPr>
                              <w:t>Jacky arranged to switch to nbn in February 2017. Her RSP sent her a new modem in the post and shortly after the technician visited her house and installed the appropriate nbn equipment. Her legacy services were switched off shortly after.</w:t>
                            </w:r>
                          </w:p>
                          <w:p w:rsidR="006B6915" w:rsidRDefault="006B6915" w:rsidP="006B6915">
                            <w:pPr>
                              <w:spacing w:after="0" w:line="240" w:lineRule="auto"/>
                              <w:rPr>
                                <w:rFonts w:asciiTheme="majorHAnsi" w:eastAsiaTheme="majorEastAsia" w:hAnsiTheme="majorHAnsi" w:cstheme="majorBidi"/>
                                <w:i/>
                                <w:iCs/>
                                <w:sz w:val="28"/>
                                <w:szCs w:val="28"/>
                              </w:rPr>
                            </w:pPr>
                            <w:r>
                              <w:rPr>
                                <w:lang w:val="en-AU"/>
                              </w:rPr>
                              <w:t>Jacky was unable to connect her new modem as she was not confident to do it by herself. Her RSP offered to assist her over the phone, as they don’t offer home visits. Unfortunately, her legacy service was already disconnected and she had no mobile coverage at her premises. For over a month Jacky had no voice or broadband services and had to seek assistance of neighbours and colleagues to solve her issue.</w:t>
                            </w:r>
                          </w:p>
                        </w:txbxContent>
                      </wps:txbx>
                      <wps:bodyPr rot="0" vert="horz" wrap="square" lIns="137160" tIns="91440" rIns="137160" bIns="91440" anchor="ctr" anchorCtr="0" upright="1">
                        <a:noAutofit/>
                      </wps:bodyPr>
                    </wps:wsp>
                  </a:graphicData>
                </a:graphic>
              </wp:inline>
            </w:drawing>
          </mc:Choice>
          <mc:Fallback>
            <w:pict>
              <v:shape id="_x0000_s1035" type="#_x0000_t202" style="width:451.3pt;height:14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" filled="f" strokecolor="#622423" strokeweight="6pt">
                <v:stroke linestyle="thickThin"/>
                <v:textbox inset="10.8pt,7.2pt,10.8pt,7.2pt">
                  <w:txbxContent>
                    <w:p w:rsidR="006B6915" w:rsidRDefault="006B6915" w:rsidP="006B6915">
                      <w:pPr>
                        <w:pStyle w:val="Quote"/>
                        <w:spacing w:line="240" w:lineRule="auto"/>
                        <w:rPr>
                          <w:lang w:val="en-AU"/>
                        </w:rPr>
                      </w:pPr>
                      <w:r>
                        <w:rPr>
                          <w:lang w:val="en-AU"/>
                        </w:rPr>
                        <w:t>Case Study: Jacky, QLD</w:t>
                      </w:r>
                    </w:p>
                    <w:p w:rsidR="006B6915" w:rsidRDefault="006B6915" w:rsidP="006B6915">
                      <w:pPr>
                        <w:spacing w:line="240" w:lineRule="auto"/>
                        <w:rPr>
                          <w:lang w:val="en-AU"/>
                        </w:rPr>
                      </w:pPr>
                      <w:r>
                        <w:rPr>
                          <w:lang w:val="en-AU"/>
                        </w:rPr>
                        <w:t>Jacky arranged to switch to nbn in February 2017. Her RSP sent her a new modem in the post and shortly after the technician visited her house and installed the appropriate nbn equipment. Her legacy services were switched off shortly after.</w:t>
                      </w:r>
                    </w:p>
                    <w:p w:rsidR="006B6915" w:rsidRDefault="006B6915" w:rsidP="006B6915">
                      <w:pPr>
                        <w:spacing w:after="0" w:line="240" w:lineRule="auto"/>
                        <w:rPr>
                          <w:rFonts w:asciiTheme="majorHAnsi" w:eastAsiaTheme="majorEastAsia" w:hAnsiTheme="majorHAnsi" w:cstheme="majorBidi"/>
                          <w:i/>
                          <w:iCs/>
                          <w:sz w:val="28"/>
                          <w:szCs w:val="28"/>
                        </w:rPr>
                      </w:pPr>
                      <w:r>
                        <w:rPr>
                          <w:lang w:val="en-AU"/>
                        </w:rPr>
                        <w:t>Jacky was unable to connect her new modem as she was not confident to do it by herself. Her RSP offered to assist her over the phone, as they don’t offer home visits. Unfortunately, her legacy service was already disconnected and she had no mobile coverage at her premises. For over a month Jacky had no voice or broadband services and had to seek assistance of neighbours and colleagues to solve her issue.</w:t>
                      </w:r>
                    </w:p>
                  </w:txbxContent>
                </v:textbox>
                <w10:anchorlock/>
              </v:shape>
            </w:pict>
          </mc:Fallback>
        </mc:AlternateContent>
      </w:r>
    </w:p>
    <w:p w:rsidR="00735D1E" w:rsidRDefault="00AC4417" w:rsidP="00A32233">
      <w:pPr>
        <w:rPr>
          <w:lang w:val="en-AU"/>
        </w:rPr>
      </w:pPr>
      <w:r>
        <w:rPr>
          <w:rStyle w:val="IntenseEmphasis"/>
        </w:rPr>
        <w:t xml:space="preserve">Recommendation: </w:t>
      </w:r>
      <w:r w:rsidR="0082622F">
        <w:rPr>
          <w:rStyle w:val="IntenseEmphasis"/>
        </w:rPr>
        <w:t xml:space="preserve">No consumer should be made worse off in the transition to nbn. </w:t>
      </w:r>
      <w:r w:rsidR="00347349">
        <w:rPr>
          <w:rStyle w:val="IntenseEmphasis"/>
        </w:rPr>
        <w:t xml:space="preserve">Assistance should be </w:t>
      </w:r>
      <w:r w:rsidR="00347349" w:rsidRPr="00421F1E">
        <w:rPr>
          <w:rStyle w:val="IntenseEmphasis"/>
        </w:rPr>
        <w:t>available</w:t>
      </w:r>
      <w:r w:rsidR="00690F55" w:rsidRPr="00421F1E">
        <w:rPr>
          <w:rStyle w:val="IntenseEmphasis"/>
        </w:rPr>
        <w:t xml:space="preserve"> to voice only </w:t>
      </w:r>
      <w:r w:rsidR="00347349">
        <w:rPr>
          <w:rStyle w:val="IntenseEmphasis"/>
        </w:rPr>
        <w:t xml:space="preserve">and vulnerable </w:t>
      </w:r>
      <w:r w:rsidR="00690F55" w:rsidRPr="00421F1E">
        <w:rPr>
          <w:rStyle w:val="IntenseEmphasis"/>
        </w:rPr>
        <w:t>consumers migrating to the nbn</w:t>
      </w:r>
      <w:r>
        <w:rPr>
          <w:rStyle w:val="IntenseEmphasis"/>
        </w:rPr>
        <w:t xml:space="preserve"> regardless of the technology used</w:t>
      </w:r>
      <w:r w:rsidR="00690F55">
        <w:rPr>
          <w:lang w:val="en-AU"/>
        </w:rPr>
        <w:t>.</w:t>
      </w:r>
    </w:p>
    <w:p w:rsidR="000D37B1" w:rsidRDefault="00885A68" w:rsidP="00885A68">
      <w:pPr>
        <w:pStyle w:val="Heading2"/>
        <w:numPr>
          <w:ilvl w:val="0"/>
          <w:numId w:val="6"/>
        </w:numPr>
        <w:rPr>
          <w:lang w:val="en-AU"/>
        </w:rPr>
      </w:pPr>
      <w:r w:rsidRPr="00885A68">
        <w:rPr>
          <w:lang w:val="en-AU"/>
        </w:rPr>
        <w:t xml:space="preserve">Appropriate avenues for consumers to seek </w:t>
      </w:r>
      <w:r w:rsidR="009B3691">
        <w:rPr>
          <w:lang w:val="en-AU"/>
        </w:rPr>
        <w:t xml:space="preserve">assistance, </w:t>
      </w:r>
      <w:r w:rsidRPr="00885A68">
        <w:rPr>
          <w:lang w:val="en-AU"/>
        </w:rPr>
        <w:t>answers and raise complaints</w:t>
      </w:r>
    </w:p>
    <w:p w:rsidR="001F41B6" w:rsidRDefault="009B3691" w:rsidP="006867B6">
      <w:pPr>
        <w:pStyle w:val="Heading3"/>
        <w:numPr>
          <w:ilvl w:val="1"/>
          <w:numId w:val="6"/>
        </w:numPr>
      </w:pPr>
      <w:r>
        <w:t>Non-standard</w:t>
      </w:r>
      <w:r w:rsidR="0082622F">
        <w:t xml:space="preserve"> installations</w:t>
      </w:r>
    </w:p>
    <w:p w:rsidR="003C6D76" w:rsidRPr="0040594E" w:rsidRDefault="0082622F" w:rsidP="009B3691">
      <w:pPr>
        <w:rPr>
          <w:rStyle w:val="IntenseEmphasis"/>
          <w:b w:val="0"/>
          <w:bCs w:val="0"/>
          <w:i w:val="0"/>
          <w:iCs w:val="0"/>
          <w:color w:val="auto"/>
        </w:rPr>
      </w:pPr>
      <w:r>
        <w:t>A number of premises do not conform to the standard installation process. The</w:t>
      </w:r>
      <w:r w:rsidR="004D6922">
        <w:t>ir</w:t>
      </w:r>
      <w:r>
        <w:t xml:space="preserve"> address</w:t>
      </w:r>
      <w:r w:rsidR="00AC4417">
        <w:t>es</w:t>
      </w:r>
      <w:r>
        <w:t xml:space="preserve"> may not be in the system or they may be eligi</w:t>
      </w:r>
      <w:r w:rsidR="002B6DB7">
        <w:t>ble for a different technology than currently mapped (for example between Fixed Wireless and Satellite).</w:t>
      </w:r>
      <w:r w:rsidR="0075403F">
        <w:t xml:space="preserve"> T</w:t>
      </w:r>
      <w:r>
        <w:t>he current process for addressing these issues is complex and often it requires direct contact with nbn.</w:t>
      </w:r>
    </w:p>
    <w:p w:rsidR="0082622F" w:rsidRPr="002B6DB7" w:rsidRDefault="00AC4417" w:rsidP="009B3691">
      <w:pPr>
        <w:rPr>
          <w:rStyle w:val="IntenseEmphasis"/>
        </w:rPr>
      </w:pPr>
      <w:r>
        <w:rPr>
          <w:rStyle w:val="IntenseEmphasis"/>
        </w:rPr>
        <w:t xml:space="preserve">Recommendation: </w:t>
      </w:r>
      <w:r w:rsidR="0082622F" w:rsidRPr="002B6DB7">
        <w:rPr>
          <w:rStyle w:val="IntenseEmphasis"/>
        </w:rPr>
        <w:t>A process should be established to</w:t>
      </w:r>
      <w:r w:rsidR="002B6DB7" w:rsidRPr="002B6DB7">
        <w:rPr>
          <w:rStyle w:val="IntenseEmphasis"/>
        </w:rPr>
        <w:t xml:space="preserve"> ensure ease of addressing non-standard</w:t>
      </w:r>
      <w:r w:rsidR="0082622F" w:rsidRPr="002B6DB7">
        <w:rPr>
          <w:rStyle w:val="IntenseEmphasis"/>
        </w:rPr>
        <w:t xml:space="preserve"> issues with nbn.</w:t>
      </w:r>
    </w:p>
    <w:p w:rsidR="0082622F" w:rsidRDefault="0082622F" w:rsidP="006867B6">
      <w:pPr>
        <w:pStyle w:val="Heading3"/>
        <w:numPr>
          <w:ilvl w:val="1"/>
          <w:numId w:val="6"/>
        </w:numPr>
      </w:pPr>
      <w:r>
        <w:t>Complaint tracking</w:t>
      </w:r>
    </w:p>
    <w:p w:rsidR="00380465" w:rsidRDefault="0013726F" w:rsidP="0013726F">
      <w:pPr>
        <w:pStyle w:val="BodyText1"/>
        <w:jc w:val="both"/>
        <w:rPr>
          <w:rFonts w:asciiTheme="minorHAnsi" w:hAnsiTheme="minorHAnsi" w:cstheme="minorHAnsi"/>
        </w:rPr>
      </w:pPr>
      <w:r>
        <w:rPr>
          <w:rFonts w:asciiTheme="minorHAnsi" w:hAnsiTheme="minorHAnsi" w:cstheme="minorHAnsi"/>
        </w:rPr>
        <w:t xml:space="preserve">Consumers regularly contact ACCAN when they experience issues migrating to the NBN. Often these are complicated due to non-standard issues arising, </w:t>
      </w:r>
      <w:r w:rsidR="00845741">
        <w:rPr>
          <w:rFonts w:asciiTheme="minorHAnsi" w:hAnsiTheme="minorHAnsi" w:cstheme="minorHAnsi"/>
        </w:rPr>
        <w:t xml:space="preserve">lack of communication between nbn and RSPs, </w:t>
      </w:r>
      <w:r>
        <w:rPr>
          <w:rFonts w:asciiTheme="minorHAnsi" w:hAnsiTheme="minorHAnsi" w:cstheme="minorHAnsi"/>
        </w:rPr>
        <w:t xml:space="preserve">or are due to one party not fulfilling their responsibilities. </w:t>
      </w:r>
      <w:r w:rsidR="00A06D8A">
        <w:rPr>
          <w:rFonts w:asciiTheme="minorHAnsi" w:hAnsiTheme="minorHAnsi" w:cstheme="minorHAnsi"/>
        </w:rPr>
        <w:t xml:space="preserve">Often consumers report that nbn have failed to fix a problem identified by the RSP. However, when ACCAN raises these concerns with nbn, nbn </w:t>
      </w:r>
      <w:r w:rsidR="0069783D">
        <w:rPr>
          <w:rFonts w:asciiTheme="minorHAnsi" w:hAnsiTheme="minorHAnsi" w:cstheme="minorHAnsi"/>
        </w:rPr>
        <w:t xml:space="preserve">reports it </w:t>
      </w:r>
      <w:r w:rsidR="00A06D8A">
        <w:rPr>
          <w:rFonts w:asciiTheme="minorHAnsi" w:hAnsiTheme="minorHAnsi" w:cstheme="minorHAnsi"/>
        </w:rPr>
        <w:t xml:space="preserve">was never made aware of the problem to begin with. </w:t>
      </w:r>
      <w:r>
        <w:rPr>
          <w:rFonts w:asciiTheme="minorHAnsi" w:hAnsiTheme="minorHAnsi" w:cstheme="minorHAnsi"/>
        </w:rPr>
        <w:t xml:space="preserve">When these </w:t>
      </w:r>
      <w:r w:rsidR="0069783D">
        <w:rPr>
          <w:rFonts w:asciiTheme="minorHAnsi" w:hAnsiTheme="minorHAnsi" w:cstheme="minorHAnsi"/>
        </w:rPr>
        <w:t xml:space="preserve">problems </w:t>
      </w:r>
      <w:r>
        <w:rPr>
          <w:rFonts w:asciiTheme="minorHAnsi" w:hAnsiTheme="minorHAnsi" w:cstheme="minorHAnsi"/>
        </w:rPr>
        <w:t xml:space="preserve">occur it </w:t>
      </w:r>
      <w:r>
        <w:rPr>
          <w:rFonts w:asciiTheme="minorHAnsi" w:hAnsiTheme="minorHAnsi" w:cstheme="minorHAnsi"/>
        </w:rPr>
        <w:lastRenderedPageBreak/>
        <w:t xml:space="preserve">can be difficult to get the consumer back on track for a successful migration. </w:t>
      </w:r>
      <w:r w:rsidR="00845741">
        <w:rPr>
          <w:rFonts w:asciiTheme="minorHAnsi" w:hAnsiTheme="minorHAnsi" w:cstheme="minorHAnsi"/>
        </w:rPr>
        <w:t>T</w:t>
      </w:r>
      <w:r>
        <w:rPr>
          <w:rFonts w:asciiTheme="minorHAnsi" w:hAnsiTheme="minorHAnsi" w:cstheme="minorHAnsi"/>
        </w:rPr>
        <w:t>here needs to be</w:t>
      </w:r>
      <w:r w:rsidR="00E25CFE">
        <w:rPr>
          <w:rFonts w:asciiTheme="minorHAnsi" w:hAnsiTheme="minorHAnsi" w:cstheme="minorHAnsi"/>
        </w:rPr>
        <w:t xml:space="preserve"> clarity of who is addressing issues when they arise and</w:t>
      </w:r>
      <w:r>
        <w:rPr>
          <w:rFonts w:asciiTheme="minorHAnsi" w:hAnsiTheme="minorHAnsi" w:cstheme="minorHAnsi"/>
        </w:rPr>
        <w:t xml:space="preserve"> flexibility for when something does go wrong. All the parties involved should </w:t>
      </w:r>
      <w:r w:rsidR="0069783D">
        <w:rPr>
          <w:rFonts w:asciiTheme="minorHAnsi" w:hAnsiTheme="minorHAnsi" w:cstheme="minorHAnsi"/>
        </w:rPr>
        <w:t xml:space="preserve">work together to </w:t>
      </w:r>
      <w:r>
        <w:rPr>
          <w:rFonts w:asciiTheme="minorHAnsi" w:hAnsiTheme="minorHAnsi" w:cstheme="minorHAnsi"/>
        </w:rPr>
        <w:t xml:space="preserve">accommodate situations that do arise with the intention of consumers </w:t>
      </w:r>
      <w:proofErr w:type="gramStart"/>
      <w:r>
        <w:rPr>
          <w:rFonts w:asciiTheme="minorHAnsi" w:hAnsiTheme="minorHAnsi" w:cstheme="minorHAnsi"/>
        </w:rPr>
        <w:t>having</w:t>
      </w:r>
      <w:proofErr w:type="gramEnd"/>
      <w:r>
        <w:rPr>
          <w:rFonts w:asciiTheme="minorHAnsi" w:hAnsiTheme="minorHAnsi" w:cstheme="minorHAnsi"/>
        </w:rPr>
        <w:t xml:space="preserve"> a successful migration and a positive experience.</w:t>
      </w:r>
    </w:p>
    <w:p w:rsidR="0040594E" w:rsidRDefault="0040594E" w:rsidP="0013726F">
      <w:pPr>
        <w:pStyle w:val="BodyText1"/>
        <w:jc w:val="both"/>
        <w:rPr>
          <w:rFonts w:asciiTheme="minorHAnsi" w:hAnsiTheme="minorHAnsi" w:cstheme="minorHAnsi"/>
        </w:rPr>
      </w:pPr>
      <w:r w:rsidRPr="0040594E">
        <w:rPr>
          <w:rFonts w:asciiTheme="minorHAnsi" w:eastAsiaTheme="minorHAnsi" w:hAnsiTheme="minorHAnsi" w:cstheme="minorHAnsi"/>
          <w:noProof/>
          <w:color w:val="auto"/>
          <w:lang w:val="en-IE" w:eastAsia="en-IE"/>
        </w:rPr>
        <mc:AlternateContent>
          <mc:Choice Requires="wps">
            <w:drawing>
              <wp:inline distT="0" distB="0" distL="0" distR="0" wp14:anchorId="0F9CEA1A" wp14:editId="11CDB287">
                <wp:extent cx="5731510" cy="1543350"/>
                <wp:effectExtent l="38100" t="38100" r="40640" b="381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43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0594E" w:rsidRDefault="0040594E" w:rsidP="0040594E">
                            <w:pPr>
                              <w:pStyle w:val="Quote"/>
                              <w:spacing w:line="240" w:lineRule="auto"/>
                              <w:rPr>
                                <w:lang w:val="en-AU"/>
                              </w:rPr>
                            </w:pPr>
                            <w:r>
                              <w:rPr>
                                <w:lang w:val="en-AU"/>
                              </w:rPr>
                              <w:t>Case Study: Harris, VIC</w:t>
                            </w:r>
                          </w:p>
                          <w:p w:rsidR="0040594E" w:rsidRDefault="0040594E" w:rsidP="0040594E">
                            <w:pPr>
                              <w:spacing w:after="0" w:line="240" w:lineRule="auto"/>
                              <w:rPr>
                                <w:rFonts w:asciiTheme="majorHAnsi" w:eastAsiaTheme="majorEastAsia" w:hAnsiTheme="majorHAnsi" w:cstheme="majorBidi"/>
                                <w:i/>
                                <w:iCs/>
                                <w:sz w:val="28"/>
                                <w:szCs w:val="28"/>
                              </w:rPr>
                            </w:pPr>
                            <w:r>
                              <w:rPr>
                                <w:lang w:val="en-AU"/>
                              </w:rPr>
                              <w:t>Harris switched his services to nbn</w:t>
                            </w:r>
                            <w:r>
                              <w:rPr>
                                <w:color w:val="1F497D"/>
                                <w:lang w:val="en-AU"/>
                              </w:rPr>
                              <w:t xml:space="preserve"> </w:t>
                            </w:r>
                            <w:r>
                              <w:rPr>
                                <w:lang w:val="en-AU"/>
                              </w:rPr>
                              <w:t>over a year ago. In the last few months he has experienced o</w:t>
                            </w:r>
                            <w:r w:rsidRPr="00A0566C">
                              <w:rPr>
                                <w:lang w:val="en-AU"/>
                              </w:rPr>
                              <w:t>utages</w:t>
                            </w:r>
                            <w:r>
                              <w:rPr>
                                <w:lang w:val="en-AU"/>
                              </w:rPr>
                              <w:t>. His RSP arranged a number of technician visits, only for no one to turn up. His RSP blamed NBN</w:t>
                            </w:r>
                            <w:r w:rsidRPr="00A0566C">
                              <w:rPr>
                                <w:lang w:val="en-AU"/>
                              </w:rPr>
                              <w:t xml:space="preserve">. When </w:t>
                            </w:r>
                            <w:r>
                              <w:rPr>
                                <w:lang w:val="en-AU"/>
                              </w:rPr>
                              <w:t xml:space="preserve">ACCAN contacted </w:t>
                            </w:r>
                            <w:r w:rsidRPr="00A0566C">
                              <w:rPr>
                                <w:lang w:val="en-AU"/>
                              </w:rPr>
                              <w:t>NBN about the issues, they had no recorded issues for H</w:t>
                            </w:r>
                            <w:r>
                              <w:rPr>
                                <w:lang w:val="en-AU"/>
                              </w:rPr>
                              <w:t>arris’</w:t>
                            </w:r>
                            <w:r w:rsidRPr="00A0566C">
                              <w:rPr>
                                <w:lang w:val="en-AU"/>
                              </w:rPr>
                              <w:t xml:space="preserve"> address</w:t>
                            </w:r>
                            <w:r>
                              <w:rPr>
                                <w:lang w:val="en-AU"/>
                              </w:rPr>
                              <w:t xml:space="preserve"> and no requests for technicians to visit</w:t>
                            </w:r>
                            <w:r w:rsidRPr="00A0566C">
                              <w:rPr>
                                <w:lang w:val="en-AU"/>
                              </w:rPr>
                              <w:t>.</w:t>
                            </w:r>
                            <w:r>
                              <w:rPr>
                                <w:lang w:val="en-AU"/>
                              </w:rPr>
                              <w:t xml:space="preserve"> Harris was stuck in the middle with no way of understanding his issues and getting them fixed.</w:t>
                            </w:r>
                            <w:r w:rsidRPr="00A0566C">
                              <w:rPr>
                                <w:lang w:val="en-AU"/>
                              </w:rPr>
                              <w:t xml:space="preserve"> </w:t>
                            </w:r>
                            <w:r>
                              <w:rPr>
                                <w:lang w:val="en-AU"/>
                              </w:rPr>
                              <w:t>Only after Harris discussed his situation with the media was the service fixed.</w:t>
                            </w:r>
                          </w:p>
                        </w:txbxContent>
                      </wps:txbx>
                      <wps:bodyPr rot="0" vert="horz" wrap="square" lIns="137160" tIns="91440" rIns="137160" bIns="91440" anchor="ctr" anchorCtr="0" upright="1">
                        <a:noAutofit/>
                      </wps:bodyPr>
                    </wps:wsp>
                  </a:graphicData>
                </a:graphic>
              </wp:inline>
            </w:drawing>
          </mc:Choice>
          <mc:Fallback>
            <w:pict>
              <v:shape id="_x0000_s1036" type="#_x0000_t202" style="width:451.3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" filled="f" strokecolor="#622423" strokeweight="6pt">
                <v:stroke linestyle="thickThin"/>
                <v:textbox inset="10.8pt,7.2pt,10.8pt,7.2pt">
                  <w:txbxContent>
                    <w:p w:rsidR="0040594E" w:rsidRDefault="0040594E" w:rsidP="0040594E">
                      <w:pPr>
                        <w:pStyle w:val="Quote"/>
                        <w:spacing w:line="240" w:lineRule="auto"/>
                        <w:rPr>
                          <w:lang w:val="en-AU"/>
                        </w:rPr>
                      </w:pPr>
                      <w:r>
                        <w:rPr>
                          <w:lang w:val="en-AU"/>
                        </w:rPr>
                        <w:t>Case Study: Harris, VIC</w:t>
                      </w:r>
                    </w:p>
                    <w:p w:rsidR="0040594E" w:rsidRDefault="0040594E" w:rsidP="0040594E">
                      <w:pPr>
                        <w:spacing w:after="0" w:line="240" w:lineRule="auto"/>
                        <w:rPr>
                          <w:rFonts w:asciiTheme="majorHAnsi" w:eastAsiaTheme="majorEastAsia" w:hAnsiTheme="majorHAnsi" w:cstheme="majorBidi"/>
                          <w:i/>
                          <w:iCs/>
                          <w:sz w:val="28"/>
                          <w:szCs w:val="28"/>
                        </w:rPr>
                      </w:pPr>
                      <w:r>
                        <w:rPr>
                          <w:lang w:val="en-AU"/>
                        </w:rPr>
                        <w:t>Harris switched his services to nbn</w:t>
                      </w:r>
                      <w:r>
                        <w:rPr>
                          <w:color w:val="1F497D"/>
                          <w:lang w:val="en-AU"/>
                        </w:rPr>
                        <w:t xml:space="preserve"> </w:t>
                      </w:r>
                      <w:r>
                        <w:rPr>
                          <w:lang w:val="en-AU"/>
                        </w:rPr>
                        <w:t>over a year ago. In the last few months he has experienced o</w:t>
                      </w:r>
                      <w:r w:rsidRPr="00A0566C">
                        <w:rPr>
                          <w:lang w:val="en-AU"/>
                        </w:rPr>
                        <w:t>utages</w:t>
                      </w:r>
                      <w:r>
                        <w:rPr>
                          <w:lang w:val="en-AU"/>
                        </w:rPr>
                        <w:t>. His RSP arranged a number of technician visits, only for no one to turn up. His RSP blamed NBN</w:t>
                      </w:r>
                      <w:r w:rsidRPr="00A0566C">
                        <w:rPr>
                          <w:lang w:val="en-AU"/>
                        </w:rPr>
                        <w:t xml:space="preserve">. When </w:t>
                      </w:r>
                      <w:r>
                        <w:rPr>
                          <w:lang w:val="en-AU"/>
                        </w:rPr>
                        <w:t xml:space="preserve">ACCAN contacted </w:t>
                      </w:r>
                      <w:r w:rsidRPr="00A0566C">
                        <w:rPr>
                          <w:lang w:val="en-AU"/>
                        </w:rPr>
                        <w:t>NBN about the issues, they had no recorded issues for H</w:t>
                      </w:r>
                      <w:r>
                        <w:rPr>
                          <w:lang w:val="en-AU"/>
                        </w:rPr>
                        <w:t>arris’</w:t>
                      </w:r>
                      <w:r w:rsidRPr="00A0566C">
                        <w:rPr>
                          <w:lang w:val="en-AU"/>
                        </w:rPr>
                        <w:t xml:space="preserve"> address</w:t>
                      </w:r>
                      <w:r>
                        <w:rPr>
                          <w:lang w:val="en-AU"/>
                        </w:rPr>
                        <w:t xml:space="preserve"> and no requests for technicians to visit</w:t>
                      </w:r>
                      <w:r w:rsidRPr="00A0566C">
                        <w:rPr>
                          <w:lang w:val="en-AU"/>
                        </w:rPr>
                        <w:t>.</w:t>
                      </w:r>
                      <w:r>
                        <w:rPr>
                          <w:lang w:val="en-AU"/>
                        </w:rPr>
                        <w:t xml:space="preserve"> Harris was stuck in the middle with no way of understanding his issues and getting them fixed.</w:t>
                      </w:r>
                      <w:r w:rsidRPr="00A0566C">
                        <w:rPr>
                          <w:lang w:val="en-AU"/>
                        </w:rPr>
                        <w:t xml:space="preserve"> </w:t>
                      </w:r>
                      <w:r>
                        <w:rPr>
                          <w:lang w:val="en-AU"/>
                        </w:rPr>
                        <w:t>Only after Harris discussed his situation with the media was the service fixed.</w:t>
                      </w:r>
                    </w:p>
                  </w:txbxContent>
                </v:textbox>
                <w10:anchorlock/>
              </v:shape>
            </w:pict>
          </mc:Fallback>
        </mc:AlternateContent>
      </w:r>
    </w:p>
    <w:p w:rsidR="0082622F" w:rsidRPr="00AA57C8" w:rsidRDefault="00AC4417" w:rsidP="0013726F">
      <w:pPr>
        <w:pStyle w:val="BodyText1"/>
        <w:jc w:val="both"/>
        <w:rPr>
          <w:rStyle w:val="IntenseEmphasis"/>
          <w:rFonts w:asciiTheme="minorHAnsi" w:hAnsiTheme="minorHAnsi"/>
        </w:rPr>
      </w:pPr>
      <w:r>
        <w:rPr>
          <w:rStyle w:val="IntenseEmphasis"/>
          <w:rFonts w:asciiTheme="minorHAnsi" w:hAnsiTheme="minorHAnsi"/>
        </w:rPr>
        <w:t xml:space="preserve">Recommendation: </w:t>
      </w:r>
      <w:r w:rsidR="00AA57C8" w:rsidRPr="00AA57C8">
        <w:rPr>
          <w:rStyle w:val="IntenseEmphasis"/>
          <w:rFonts w:asciiTheme="minorHAnsi" w:hAnsiTheme="minorHAnsi"/>
        </w:rPr>
        <w:t>Consumers</w:t>
      </w:r>
      <w:r w:rsidR="00E25CFE">
        <w:rPr>
          <w:rStyle w:val="IntenseEmphasis"/>
          <w:rFonts w:asciiTheme="minorHAnsi" w:hAnsiTheme="minorHAnsi"/>
        </w:rPr>
        <w:t xml:space="preserve"> should have transparency over issues that they raise </w:t>
      </w:r>
      <w:r w:rsidR="00AA57C8" w:rsidRPr="00AA57C8">
        <w:rPr>
          <w:rStyle w:val="IntenseEmphasis"/>
          <w:rFonts w:asciiTheme="minorHAnsi" w:hAnsiTheme="minorHAnsi"/>
        </w:rPr>
        <w:t>and fault tickets to understand who has taken responsibility and when a solution will be available</w:t>
      </w:r>
      <w:r w:rsidR="0069783D">
        <w:rPr>
          <w:rStyle w:val="IntenseEmphasis"/>
          <w:rFonts w:asciiTheme="minorHAnsi" w:hAnsiTheme="minorHAnsi"/>
        </w:rPr>
        <w:t>. They should be notified of the progress of their complaint via a complaints tracking system co-ordinated across RSP, nbn and contractors</w:t>
      </w:r>
      <w:r w:rsidR="00AA57C8" w:rsidRPr="00AA57C8">
        <w:rPr>
          <w:rStyle w:val="IntenseEmphasis"/>
          <w:rFonts w:asciiTheme="minorHAnsi" w:hAnsiTheme="minorHAnsi"/>
        </w:rPr>
        <w:t>.</w:t>
      </w:r>
    </w:p>
    <w:p w:rsidR="009C7484" w:rsidRDefault="0082622F" w:rsidP="006867B6">
      <w:pPr>
        <w:pStyle w:val="Heading3"/>
        <w:numPr>
          <w:ilvl w:val="1"/>
          <w:numId w:val="6"/>
        </w:numPr>
        <w:rPr>
          <w:lang w:val="en-AU"/>
        </w:rPr>
      </w:pPr>
      <w:r>
        <w:rPr>
          <w:lang w:val="en-AU"/>
        </w:rPr>
        <w:t>Escalating complaints to the Ombudsman</w:t>
      </w:r>
    </w:p>
    <w:p w:rsidR="0082622F" w:rsidRDefault="0082622F" w:rsidP="0082622F">
      <w:pPr>
        <w:rPr>
          <w:lang w:val="en-AU"/>
        </w:rPr>
      </w:pPr>
      <w:r w:rsidRPr="0082622F">
        <w:rPr>
          <w:lang w:val="en-AU"/>
        </w:rPr>
        <w:t xml:space="preserve">There is a large degree of anecdotal evidence suggesting that </w:t>
      </w:r>
      <w:r w:rsidR="00CB551D">
        <w:rPr>
          <w:lang w:val="en-AU"/>
        </w:rPr>
        <w:t>RSPs</w:t>
      </w:r>
      <w:r w:rsidRPr="0082622F">
        <w:rPr>
          <w:lang w:val="en-AU"/>
        </w:rPr>
        <w:t xml:space="preserve"> are discouraging consumers from </w:t>
      </w:r>
      <w:r>
        <w:rPr>
          <w:lang w:val="en-AU"/>
        </w:rPr>
        <w:t xml:space="preserve">escalating their complaints to </w:t>
      </w:r>
      <w:r w:rsidR="00C0733E">
        <w:rPr>
          <w:lang w:val="en-AU"/>
        </w:rPr>
        <w:t xml:space="preserve">the </w:t>
      </w:r>
      <w:r w:rsidR="00C0733E" w:rsidRPr="0082622F">
        <w:rPr>
          <w:lang w:val="en-AU"/>
        </w:rPr>
        <w:t>Telecommunications</w:t>
      </w:r>
      <w:r w:rsidRPr="0082622F">
        <w:rPr>
          <w:lang w:val="en-AU"/>
        </w:rPr>
        <w:t xml:space="preserve"> Industry Ombudsman (TIO), to avoid the associated charge for complaint escalations.</w:t>
      </w:r>
    </w:p>
    <w:p w:rsidR="008063DF" w:rsidRPr="008063DF" w:rsidRDefault="00AC4417" w:rsidP="0082622F">
      <w:pPr>
        <w:rPr>
          <w:rStyle w:val="IntenseEmphasis"/>
        </w:rPr>
      </w:pPr>
      <w:r>
        <w:rPr>
          <w:rStyle w:val="IntenseEmphasis"/>
        </w:rPr>
        <w:t xml:space="preserve">Recommendation: </w:t>
      </w:r>
      <w:r w:rsidR="008063DF">
        <w:rPr>
          <w:rStyle w:val="IntenseEmphasis"/>
        </w:rPr>
        <w:t>Consumers should not be discouraged from escalating complaints to the TIO due to the cause of the problem not being within the RSPs control.</w:t>
      </w:r>
    </w:p>
    <w:p w:rsidR="004C68E3" w:rsidRPr="0082622F" w:rsidRDefault="00CB551D" w:rsidP="0082622F">
      <w:pPr>
        <w:rPr>
          <w:lang w:val="en-AU"/>
        </w:rPr>
      </w:pPr>
      <w:r>
        <w:rPr>
          <w:lang w:val="en-AU"/>
        </w:rPr>
        <w:t xml:space="preserve">Changes to the TIO’s Terms of Reference </w:t>
      </w:r>
      <w:r w:rsidR="008063DF">
        <w:rPr>
          <w:lang w:val="en-AU"/>
        </w:rPr>
        <w:t xml:space="preserve">were recently </w:t>
      </w:r>
      <w:r>
        <w:rPr>
          <w:lang w:val="en-AU"/>
        </w:rPr>
        <w:t>reviewed to address the increasing complexity of the telecommunications supply chain resulting from the rollout of the NBN.</w:t>
      </w:r>
      <w:r w:rsidR="00DC43F6">
        <w:rPr>
          <w:rStyle w:val="FootnoteReference"/>
          <w:lang w:val="en-AU"/>
        </w:rPr>
        <w:footnoteReference w:id="18"/>
      </w:r>
      <w:r>
        <w:rPr>
          <w:lang w:val="en-AU"/>
        </w:rPr>
        <w:t xml:space="preserve"> The changes will allow the TIO to require action and information from all members of the TIO</w:t>
      </w:r>
      <w:r w:rsidR="002A0E54">
        <w:rPr>
          <w:lang w:val="en-AU"/>
        </w:rPr>
        <w:t xml:space="preserve"> (not just the party the complaint relates to)</w:t>
      </w:r>
      <w:r>
        <w:rPr>
          <w:lang w:val="en-AU"/>
        </w:rPr>
        <w:t>, increasing the speed and efficiency of complaints resolution, and driving better complaint outcomes for consumers. This will in part address issues that arise when RSPs attempt to shift blam</w:t>
      </w:r>
      <w:r w:rsidR="00F81E26">
        <w:rPr>
          <w:lang w:val="en-AU"/>
        </w:rPr>
        <w:t>e onto the nbn, and vice versa.</w:t>
      </w:r>
    </w:p>
    <w:sectPr w:rsidR="004C68E3" w:rsidRPr="0082622F" w:rsidSect="00B70641">
      <w:headerReference w:type="default" r:id="rId9"/>
      <w:footerReference w:type="default" r:id="rId10"/>
      <w:pgSz w:w="11906" w:h="16838"/>
      <w:pgMar w:top="1440" w:right="1440" w:bottom="1440" w:left="1440" w:header="510"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00641" w15:done="0"/>
  <w15:commentEx w15:paraId="2A5AE4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AC" w:rsidRDefault="00590BAC" w:rsidP="00E54489">
      <w:pPr>
        <w:spacing w:after="0" w:line="240" w:lineRule="auto"/>
      </w:pPr>
      <w:r>
        <w:separator/>
      </w:r>
    </w:p>
  </w:endnote>
  <w:endnote w:type="continuationSeparator" w:id="0">
    <w:p w:rsidR="00590BAC" w:rsidRDefault="00590BAC" w:rsidP="00E5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247868"/>
      <w:docPartObj>
        <w:docPartGallery w:val="Page Numbers (Bottom of Page)"/>
        <w:docPartUnique/>
      </w:docPartObj>
    </w:sdtPr>
    <w:sdtEndPr>
      <w:rPr>
        <w:noProof/>
      </w:rPr>
    </w:sdtEndPr>
    <w:sdtContent>
      <w:p w:rsidR="00A06D8A" w:rsidRDefault="00A06D8A">
        <w:pPr>
          <w:pStyle w:val="Footer"/>
          <w:jc w:val="right"/>
        </w:pPr>
        <w:r>
          <w:fldChar w:fldCharType="begin"/>
        </w:r>
        <w:r>
          <w:instrText xml:space="preserve"> PAGE   \* MERGEFORMAT </w:instrText>
        </w:r>
        <w:r>
          <w:fldChar w:fldCharType="separate"/>
        </w:r>
        <w:r w:rsidR="000D77CF">
          <w:rPr>
            <w:noProof/>
          </w:rPr>
          <w:t>6</w:t>
        </w:r>
        <w:r>
          <w:rPr>
            <w:noProof/>
          </w:rPr>
          <w:fldChar w:fldCharType="end"/>
        </w:r>
      </w:p>
    </w:sdtContent>
  </w:sdt>
  <w:p w:rsidR="00A06D8A" w:rsidRDefault="00A06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AC" w:rsidRDefault="00590BAC" w:rsidP="00E54489">
      <w:pPr>
        <w:spacing w:after="0" w:line="240" w:lineRule="auto"/>
      </w:pPr>
      <w:r>
        <w:separator/>
      </w:r>
    </w:p>
  </w:footnote>
  <w:footnote w:type="continuationSeparator" w:id="0">
    <w:p w:rsidR="00590BAC" w:rsidRDefault="00590BAC" w:rsidP="00E54489">
      <w:pPr>
        <w:spacing w:after="0" w:line="240" w:lineRule="auto"/>
      </w:pPr>
      <w:r>
        <w:continuationSeparator/>
      </w:r>
    </w:p>
  </w:footnote>
  <w:footnote w:id="1">
    <w:p w:rsidR="00E54489" w:rsidRPr="00E54489" w:rsidRDefault="00E54489" w:rsidP="00C320F8">
      <w:pPr>
        <w:pStyle w:val="FootnoteText"/>
        <w:jc w:val="left"/>
        <w:rPr>
          <w:lang w:val="en-AU"/>
        </w:rPr>
      </w:pPr>
      <w:r>
        <w:rPr>
          <w:rStyle w:val="FootnoteReference"/>
        </w:rPr>
        <w:footnoteRef/>
      </w:r>
      <w:r>
        <w:t xml:space="preserve"> </w:t>
      </w:r>
      <w:proofErr w:type="gramStart"/>
      <w:r w:rsidR="00C320F8">
        <w:rPr>
          <w:lang w:val="en-AU"/>
        </w:rPr>
        <w:t>n</w:t>
      </w:r>
      <w:r>
        <w:rPr>
          <w:lang w:val="en-AU"/>
        </w:rPr>
        <w:t>bn</w:t>
      </w:r>
      <w:proofErr w:type="gramEnd"/>
      <w:r>
        <w:rPr>
          <w:lang w:val="en-AU"/>
        </w:rPr>
        <w:t xml:space="preserve">, </w:t>
      </w:r>
      <w:r w:rsidR="00436909">
        <w:rPr>
          <w:lang w:val="en-AU"/>
        </w:rPr>
        <w:t>Weekly P</w:t>
      </w:r>
      <w:r>
        <w:rPr>
          <w:lang w:val="en-AU"/>
        </w:rPr>
        <w:t xml:space="preserve">rogress </w:t>
      </w:r>
      <w:r w:rsidR="00436909">
        <w:rPr>
          <w:lang w:val="en-AU"/>
        </w:rPr>
        <w:t>R</w:t>
      </w:r>
      <w:r>
        <w:rPr>
          <w:lang w:val="en-AU"/>
        </w:rPr>
        <w:t xml:space="preserve">eport, </w:t>
      </w:r>
      <w:r w:rsidR="008F1066">
        <w:rPr>
          <w:lang w:val="en-AU"/>
        </w:rPr>
        <w:t>23</w:t>
      </w:r>
      <w:r w:rsidR="008F1066" w:rsidRPr="006B6915">
        <w:rPr>
          <w:vertAlign w:val="superscript"/>
          <w:lang w:val="en-AU"/>
        </w:rPr>
        <w:t>rd</w:t>
      </w:r>
      <w:r w:rsidR="008F1066">
        <w:rPr>
          <w:lang w:val="en-AU"/>
        </w:rPr>
        <w:t xml:space="preserve"> November </w:t>
      </w:r>
      <w:r>
        <w:rPr>
          <w:lang w:val="en-AU"/>
        </w:rPr>
        <w:t xml:space="preserve"> 2017. </w:t>
      </w:r>
      <w:hyperlink r:id="rId1" w:tooltip="Go to nbn website" w:history="1">
        <w:r w:rsidR="00A70FE3" w:rsidRPr="007D5695">
          <w:rPr>
            <w:rStyle w:val="Hyperlink"/>
            <w:lang w:val="en-AU"/>
          </w:rPr>
          <w:t>https://www.nbnco.com.au/content/dam/nbnco2/documents/nbn-rollout-metrics/nbn-rollout-metrics-28092017.pdf</w:t>
        </w:r>
      </w:hyperlink>
      <w:r w:rsidR="00A70FE3">
        <w:rPr>
          <w:lang w:val="en-AU"/>
        </w:rPr>
        <w:t xml:space="preserve"> </w:t>
      </w:r>
    </w:p>
  </w:footnote>
  <w:footnote w:id="2">
    <w:p w:rsidR="00C320F8" w:rsidRPr="00C320F8" w:rsidRDefault="00C320F8" w:rsidP="00C320F8">
      <w:pPr>
        <w:pStyle w:val="FootnoteText"/>
        <w:jc w:val="left"/>
        <w:rPr>
          <w:lang w:val="en-AU"/>
        </w:rPr>
      </w:pPr>
      <w:r>
        <w:rPr>
          <w:rStyle w:val="FootnoteReference"/>
        </w:rPr>
        <w:footnoteRef/>
      </w:r>
      <w:r>
        <w:t xml:space="preserve"> </w:t>
      </w:r>
      <w:r>
        <w:rPr>
          <w:lang w:val="en-AU"/>
        </w:rPr>
        <w:t xml:space="preserve">For more information see Telecommunications Industry Ombudsman </w:t>
      </w:r>
      <w:r w:rsidR="00DC43F6">
        <w:rPr>
          <w:lang w:val="en-AU"/>
        </w:rPr>
        <w:t xml:space="preserve">2016-2017 Annual </w:t>
      </w:r>
      <w:proofErr w:type="spellStart"/>
      <w:r w:rsidR="00DC43F6">
        <w:rPr>
          <w:lang w:val="en-AU"/>
        </w:rPr>
        <w:t>Repot</w:t>
      </w:r>
      <w:proofErr w:type="spellEnd"/>
      <w:r w:rsidR="00DC43F6">
        <w:rPr>
          <w:lang w:val="en-AU"/>
        </w:rPr>
        <w:t xml:space="preserve">. </w:t>
      </w:r>
      <w:r>
        <w:rPr>
          <w:lang w:val="en-AU"/>
        </w:rPr>
        <w:t xml:space="preserve"> </w:t>
      </w:r>
      <w:hyperlink r:id="rId2" w:tooltip="Go to TIO website" w:history="1">
        <w:r w:rsidR="00DC43F6" w:rsidRPr="00195AF2">
          <w:rPr>
            <w:rStyle w:val="Hyperlink"/>
            <w:lang w:val="en-AU"/>
          </w:rPr>
          <w:t>http://www.tio.com.au/publications/news/2017-annual-report-released</w:t>
        </w:r>
      </w:hyperlink>
      <w:r w:rsidR="00DC43F6">
        <w:rPr>
          <w:lang w:val="en-AU"/>
        </w:rPr>
        <w:t xml:space="preserve"> </w:t>
      </w:r>
    </w:p>
  </w:footnote>
  <w:footnote w:id="3">
    <w:p w:rsidR="00E61A6C" w:rsidRPr="00E61A6C" w:rsidRDefault="00E61A6C" w:rsidP="00C320F8">
      <w:pPr>
        <w:pStyle w:val="FootnoteText"/>
        <w:jc w:val="left"/>
        <w:rPr>
          <w:lang w:val="en-AU"/>
        </w:rPr>
      </w:pPr>
      <w:r>
        <w:rPr>
          <w:rStyle w:val="FootnoteReference"/>
        </w:rPr>
        <w:footnoteRef/>
      </w:r>
      <w:r>
        <w:t xml:space="preserve"> </w:t>
      </w:r>
      <w:r>
        <w:rPr>
          <w:lang w:val="en-AU"/>
        </w:rPr>
        <w:t xml:space="preserve">NBN Corporate Plan </w:t>
      </w:r>
      <w:r w:rsidR="0029472E">
        <w:rPr>
          <w:lang w:val="en-AU"/>
        </w:rPr>
        <w:t>2018 - 2021</w:t>
      </w:r>
      <w:r w:rsidR="00FD4BE3" w:rsidRPr="00FD4BE3">
        <w:t xml:space="preserve"> </w:t>
      </w:r>
      <w:hyperlink r:id="rId3" w:tooltip="Go to nbn website" w:history="1">
        <w:r w:rsidR="00FD4BE3" w:rsidRPr="00887E68">
          <w:rPr>
            <w:rStyle w:val="Hyperlink"/>
            <w:lang w:val="en-AU"/>
          </w:rPr>
          <w:t>http://www.nbnco.com.au/corporate-information/about-nbn-co/corporate-plan/corporate-plan.html</w:t>
        </w:r>
      </w:hyperlink>
      <w:r w:rsidR="00FD4BE3">
        <w:rPr>
          <w:lang w:val="en-AU"/>
        </w:rPr>
        <w:t xml:space="preserve"> </w:t>
      </w:r>
    </w:p>
  </w:footnote>
  <w:footnote w:id="4">
    <w:p w:rsidR="00934878" w:rsidRPr="00B46012" w:rsidRDefault="00934878" w:rsidP="00934878">
      <w:pPr>
        <w:pStyle w:val="FootnoteText"/>
        <w:jc w:val="left"/>
        <w:rPr>
          <w:lang w:val="en-AU"/>
        </w:rPr>
      </w:pPr>
      <w:r>
        <w:rPr>
          <w:rStyle w:val="FootnoteReference"/>
        </w:rPr>
        <w:footnoteRef/>
      </w:r>
      <w:r>
        <w:t xml:space="preserve"> ACMA, Focus on the nbn customer experience. </w:t>
      </w:r>
      <w:hyperlink r:id="rId4" w:tooltip="Go to ACMA website" w:history="1">
        <w:r w:rsidRPr="00887E68">
          <w:rPr>
            <w:rStyle w:val="Hyperlink"/>
          </w:rPr>
          <w:t>http://www.acma.gov.au/theacma/acma-focus-on-the-nbn-customer-experience</w:t>
        </w:r>
      </w:hyperlink>
      <w:r>
        <w:t xml:space="preserve"> </w:t>
      </w:r>
    </w:p>
  </w:footnote>
  <w:footnote w:id="5">
    <w:p w:rsidR="008F1066" w:rsidRPr="006B6915" w:rsidRDefault="008F1066">
      <w:pPr>
        <w:pStyle w:val="FootnoteText"/>
        <w:rPr>
          <w:lang w:val="en-AU"/>
        </w:rPr>
      </w:pPr>
      <w:r>
        <w:rPr>
          <w:rStyle w:val="FootnoteReference"/>
        </w:rPr>
        <w:footnoteRef/>
      </w:r>
      <w:r>
        <w:t xml:space="preserve"> </w:t>
      </w:r>
      <w:r>
        <w:rPr>
          <w:lang w:val="en-AU"/>
        </w:rPr>
        <w:t xml:space="preserve">Nbn, </w:t>
      </w:r>
      <w:r w:rsidRPr="008F1066">
        <w:t>NBN Co takes customer experience improvement program to new levels</w:t>
      </w:r>
      <w:r>
        <w:t>, 27</w:t>
      </w:r>
      <w:r w:rsidRPr="006B6915">
        <w:rPr>
          <w:vertAlign w:val="superscript"/>
        </w:rPr>
        <w:t>th</w:t>
      </w:r>
      <w:r>
        <w:t xml:space="preserve"> November 2017. </w:t>
      </w:r>
      <w:hyperlink r:id="rId5" w:history="1">
        <w:r w:rsidRPr="00F95A56">
          <w:rPr>
            <w:rStyle w:val="Hyperlink"/>
            <w:lang w:val="en-AU"/>
          </w:rPr>
          <w:t>https://www.nbnco.com.au/corporate-information/media-centre/media-releases/improved-customer-experience.html</w:t>
        </w:r>
      </w:hyperlink>
      <w:r>
        <w:rPr>
          <w:lang w:val="en-AU"/>
        </w:rPr>
        <w:t xml:space="preserve"> </w:t>
      </w:r>
    </w:p>
  </w:footnote>
  <w:footnote w:id="6">
    <w:p w:rsidR="00F26A25" w:rsidRPr="00F26A25" w:rsidRDefault="00F26A25">
      <w:pPr>
        <w:pStyle w:val="FootnoteText"/>
        <w:rPr>
          <w:lang w:val="en-AU"/>
        </w:rPr>
      </w:pPr>
      <w:r>
        <w:rPr>
          <w:rStyle w:val="FootnoteReference"/>
        </w:rPr>
        <w:footnoteRef/>
      </w:r>
      <w:r>
        <w:t xml:space="preserve"> </w:t>
      </w:r>
      <w:proofErr w:type="gramStart"/>
      <w:r w:rsidR="00691976">
        <w:rPr>
          <w:lang w:val="en-AU"/>
        </w:rPr>
        <w:t>Pg.</w:t>
      </w:r>
      <w:r>
        <w:rPr>
          <w:lang w:val="en-AU"/>
        </w:rPr>
        <w:t xml:space="preserve"> 29 of TIO annual report.</w:t>
      </w:r>
      <w:proofErr w:type="gramEnd"/>
      <w:r>
        <w:rPr>
          <w:lang w:val="en-AU"/>
        </w:rPr>
        <w:t xml:space="preserve"> </w:t>
      </w:r>
      <w:hyperlink r:id="rId6" w:tooltip="Go to TIO website" w:history="1">
        <w:r w:rsidRPr="00195AF2">
          <w:rPr>
            <w:rStyle w:val="Hyperlink"/>
            <w:lang w:val="en-AU"/>
          </w:rPr>
          <w:t>http://www.tio.com.au/publications/news/2017-annual-report-released</w:t>
        </w:r>
      </w:hyperlink>
      <w:r>
        <w:rPr>
          <w:lang w:val="en-AU"/>
        </w:rPr>
        <w:t xml:space="preserve"> </w:t>
      </w:r>
    </w:p>
  </w:footnote>
  <w:footnote w:id="7">
    <w:p w:rsidR="00F26A25" w:rsidRPr="00F26A25" w:rsidRDefault="00F26A25" w:rsidP="00F26A25">
      <w:pPr>
        <w:pStyle w:val="FootnoteText"/>
        <w:jc w:val="left"/>
        <w:rPr>
          <w:lang w:val="en-AU"/>
        </w:rPr>
      </w:pPr>
      <w:r>
        <w:rPr>
          <w:rStyle w:val="FootnoteReference"/>
        </w:rPr>
        <w:footnoteRef/>
      </w:r>
      <w:r>
        <w:t xml:space="preserve"> </w:t>
      </w:r>
      <w:proofErr w:type="gramStart"/>
      <w:r>
        <w:rPr>
          <w:lang w:val="en-AU"/>
        </w:rPr>
        <w:t>AMCA speech to Comms Day, October 2017.</w:t>
      </w:r>
      <w:proofErr w:type="gramEnd"/>
      <w:r>
        <w:rPr>
          <w:lang w:val="en-AU"/>
        </w:rPr>
        <w:t xml:space="preserve"> </w:t>
      </w:r>
      <w:hyperlink r:id="rId7" w:tooltip="Go to ACMA website" w:history="1">
        <w:r w:rsidRPr="00195AF2">
          <w:rPr>
            <w:rStyle w:val="Hyperlink"/>
            <w:lang w:val="en-AU"/>
          </w:rPr>
          <w:t>https://www.acma.gov.au/theACMA/Newsroom/Newsroom/Speeches/acting-deputy-chairs-speech-to-commsday-melbourne-congress</w:t>
        </w:r>
      </w:hyperlink>
      <w:r>
        <w:rPr>
          <w:lang w:val="en-AU"/>
        </w:rPr>
        <w:t xml:space="preserve"> </w:t>
      </w:r>
    </w:p>
  </w:footnote>
  <w:footnote w:id="8">
    <w:p w:rsidR="008F1066" w:rsidRPr="006B6915" w:rsidRDefault="008F1066">
      <w:pPr>
        <w:pStyle w:val="FootnoteText"/>
        <w:rPr>
          <w:lang w:val="en-AU"/>
        </w:rPr>
      </w:pPr>
      <w:r>
        <w:rPr>
          <w:rStyle w:val="FootnoteReference"/>
        </w:rPr>
        <w:footnoteRef/>
      </w:r>
      <w:r>
        <w:t xml:space="preserve"> </w:t>
      </w:r>
      <w:proofErr w:type="spellStart"/>
      <w:proofErr w:type="gramStart"/>
      <w:r>
        <w:t>Hansard</w:t>
      </w:r>
      <w:proofErr w:type="spellEnd"/>
      <w:r w:rsidR="009F1724">
        <w:t>.</w:t>
      </w:r>
      <w:proofErr w:type="gramEnd"/>
      <w:r w:rsidR="009F1724">
        <w:t xml:space="preserve"> Senate Estimates, Environment and Communications Legislation Committee. 15</w:t>
      </w:r>
      <w:r w:rsidR="009F1724" w:rsidRPr="006B6915">
        <w:rPr>
          <w:vertAlign w:val="superscript"/>
        </w:rPr>
        <w:t>th</w:t>
      </w:r>
      <w:r w:rsidR="009F1724">
        <w:t xml:space="preserve"> June 2017</w:t>
      </w:r>
      <w:proofErr w:type="gramStart"/>
      <w:r w:rsidR="009F1724">
        <w:t>.</w:t>
      </w:r>
      <w:r>
        <w:t>.</w:t>
      </w:r>
      <w:proofErr w:type="gramEnd"/>
    </w:p>
  </w:footnote>
  <w:footnote w:id="9">
    <w:p w:rsidR="005E6614" w:rsidRPr="005E6614" w:rsidRDefault="005E6614" w:rsidP="00E33409">
      <w:pPr>
        <w:pStyle w:val="FootnoteText"/>
        <w:jc w:val="left"/>
        <w:rPr>
          <w:lang w:val="en-AU"/>
        </w:rPr>
      </w:pPr>
      <w:r>
        <w:rPr>
          <w:rStyle w:val="FootnoteReference"/>
        </w:rPr>
        <w:footnoteRef/>
      </w:r>
      <w:r>
        <w:t xml:space="preserve"> </w:t>
      </w:r>
      <w:proofErr w:type="gramStart"/>
      <w:r>
        <w:rPr>
          <w:lang w:val="en-AU"/>
        </w:rPr>
        <w:t>Nbn weekly progress report.</w:t>
      </w:r>
      <w:proofErr w:type="gramEnd"/>
      <w:r>
        <w:rPr>
          <w:lang w:val="en-AU"/>
        </w:rPr>
        <w:t xml:space="preserve"> </w:t>
      </w:r>
      <w:hyperlink r:id="rId8" w:history="1">
        <w:r w:rsidR="009F1724" w:rsidRPr="00F95A56">
          <w:rPr>
            <w:rStyle w:val="Hyperlink"/>
            <w:lang w:val="en-AU"/>
          </w:rPr>
          <w:t>https://www.nbnco.com.au/content/dam/nbnco2/documents/nbn-rollout-metrics/nbn-rollout-metrics-23112017.pdf</w:t>
        </w:r>
      </w:hyperlink>
      <w:r w:rsidR="009F1724">
        <w:rPr>
          <w:lang w:val="en-AU"/>
        </w:rPr>
        <w:t xml:space="preserve"> </w:t>
      </w:r>
    </w:p>
  </w:footnote>
  <w:footnote w:id="10">
    <w:p w:rsidR="00F47709" w:rsidRPr="00E5231E" w:rsidRDefault="00F47709" w:rsidP="00F47709">
      <w:pPr>
        <w:pStyle w:val="FootnoteText"/>
        <w:jc w:val="left"/>
        <w:rPr>
          <w:lang w:val="en-AU"/>
        </w:rPr>
      </w:pPr>
      <w:r>
        <w:rPr>
          <w:rStyle w:val="FootnoteReference"/>
        </w:rPr>
        <w:footnoteRef/>
      </w:r>
      <w:r>
        <w:t xml:space="preserve"> </w:t>
      </w:r>
      <w:r>
        <w:rPr>
          <w:lang w:val="en-AU"/>
        </w:rPr>
        <w:t>Bill Morrow Senate Estimates 25/05/2017</w:t>
      </w:r>
    </w:p>
  </w:footnote>
  <w:footnote w:id="11">
    <w:p w:rsidR="001F76A0" w:rsidRPr="00D95A55" w:rsidRDefault="001F76A0" w:rsidP="001F76A0">
      <w:pPr>
        <w:pStyle w:val="FootnoteText"/>
        <w:jc w:val="left"/>
        <w:rPr>
          <w:lang w:val="en-AU"/>
        </w:rPr>
      </w:pPr>
      <w:r>
        <w:rPr>
          <w:rStyle w:val="FootnoteReference"/>
        </w:rPr>
        <w:footnoteRef/>
      </w:r>
      <w:r>
        <w:t xml:space="preserve"> ABS</w:t>
      </w:r>
      <w:proofErr w:type="gramStart"/>
      <w:r>
        <w:t>,  Australian</w:t>
      </w:r>
      <w:proofErr w:type="gramEnd"/>
      <w:r>
        <w:t xml:space="preserve"> Social trends, 2010. </w:t>
      </w:r>
      <w:hyperlink r:id="rId9" w:tooltip="Go to ABS website" w:history="1">
        <w:r w:rsidRPr="00742CB3">
          <w:rPr>
            <w:rStyle w:val="Hyperlink"/>
          </w:rPr>
          <w:t>http://www.abs.gov.au/AUSSTATS/abs@.nsf/Lookup/4102.0Main+Features30Dec+2010</w:t>
        </w:r>
      </w:hyperlink>
      <w:r>
        <w:t xml:space="preserve"> </w:t>
      </w:r>
    </w:p>
  </w:footnote>
  <w:footnote w:id="12">
    <w:p w:rsidR="00F26A25" w:rsidRPr="00F26A25" w:rsidRDefault="00F26A25">
      <w:pPr>
        <w:pStyle w:val="FootnoteText"/>
        <w:rPr>
          <w:lang w:val="en-AU"/>
        </w:rPr>
      </w:pPr>
      <w:r>
        <w:rPr>
          <w:rStyle w:val="FootnoteReference"/>
        </w:rPr>
        <w:footnoteRef/>
      </w:r>
      <w:r>
        <w:t xml:space="preserve"> </w:t>
      </w:r>
      <w:proofErr w:type="gramStart"/>
      <w:r>
        <w:rPr>
          <w:lang w:val="en-AU"/>
        </w:rPr>
        <w:t xml:space="preserve">TIO 2016 -2017 annual report, </w:t>
      </w:r>
      <w:proofErr w:type="spellStart"/>
      <w:r>
        <w:rPr>
          <w:lang w:val="en-AU"/>
        </w:rPr>
        <w:t>pg</w:t>
      </w:r>
      <w:proofErr w:type="spellEnd"/>
      <w:r>
        <w:rPr>
          <w:lang w:val="en-AU"/>
        </w:rPr>
        <w:t xml:space="preserve"> 29.</w:t>
      </w:r>
      <w:proofErr w:type="gramEnd"/>
    </w:p>
  </w:footnote>
  <w:footnote w:id="13">
    <w:p w:rsidR="0096011C" w:rsidRPr="0096011C" w:rsidRDefault="0096011C">
      <w:pPr>
        <w:pStyle w:val="FootnoteText"/>
        <w:rPr>
          <w:lang w:val="en-AU"/>
        </w:rPr>
      </w:pPr>
      <w:r>
        <w:rPr>
          <w:rStyle w:val="FootnoteReference"/>
        </w:rPr>
        <w:footnoteRef/>
      </w:r>
      <w:r>
        <w:t xml:space="preserve"> </w:t>
      </w:r>
      <w:proofErr w:type="gramStart"/>
      <w:r w:rsidR="00DB3181">
        <w:rPr>
          <w:lang w:val="en-AU"/>
        </w:rPr>
        <w:t>NBN, Question on Notice number 243, 7/06/2017.</w:t>
      </w:r>
      <w:proofErr w:type="gramEnd"/>
      <w:r w:rsidR="00DB3181">
        <w:rPr>
          <w:lang w:val="en-AU"/>
        </w:rPr>
        <w:t xml:space="preserve"> </w:t>
      </w:r>
    </w:p>
  </w:footnote>
  <w:footnote w:id="14">
    <w:p w:rsidR="001B05A4" w:rsidRPr="0082622F" w:rsidRDefault="001B05A4" w:rsidP="001B05A4">
      <w:pPr>
        <w:pStyle w:val="FootnoteText"/>
        <w:jc w:val="left"/>
        <w:rPr>
          <w:lang w:val="en-AU"/>
        </w:rPr>
      </w:pPr>
      <w:r>
        <w:rPr>
          <w:rStyle w:val="FootnoteReference"/>
        </w:rPr>
        <w:footnoteRef/>
      </w:r>
      <w:r>
        <w:t xml:space="preserve"> </w:t>
      </w:r>
      <w:proofErr w:type="gramStart"/>
      <w:r>
        <w:rPr>
          <w:lang w:val="en-AU"/>
        </w:rPr>
        <w:t>Recommendation 5.</w:t>
      </w:r>
      <w:proofErr w:type="gramEnd"/>
      <w:r>
        <w:rPr>
          <w:lang w:val="en-AU"/>
        </w:rPr>
        <w:t xml:space="preserve"> </w:t>
      </w:r>
      <w:proofErr w:type="gramStart"/>
      <w:r>
        <w:rPr>
          <w:lang w:val="en-AU"/>
        </w:rPr>
        <w:t>Joint Standing Committee on the NBN First Report.</w:t>
      </w:r>
      <w:proofErr w:type="gramEnd"/>
      <w:r>
        <w:rPr>
          <w:lang w:val="en-AU"/>
        </w:rPr>
        <w:t xml:space="preserve"> September 2017. </w:t>
      </w:r>
      <w:hyperlink r:id="rId10" w:tooltip="Go to Australian Parliament website" w:history="1">
        <w:r w:rsidRPr="005C74E4">
          <w:rPr>
            <w:rStyle w:val="Hyperlink"/>
            <w:lang w:val="en-AU"/>
          </w:rPr>
          <w:t>http://www.aph.gov.au/Parliamentary_Business/Committees/Joint/National_Broadband_Network/NBN/First_report</w:t>
        </w:r>
      </w:hyperlink>
      <w:r>
        <w:rPr>
          <w:lang w:val="en-AU"/>
        </w:rPr>
        <w:t xml:space="preserve"> </w:t>
      </w:r>
    </w:p>
  </w:footnote>
  <w:footnote w:id="15">
    <w:p w:rsidR="00FD7492" w:rsidRPr="00FD7492" w:rsidRDefault="00FD7492" w:rsidP="0082622F">
      <w:pPr>
        <w:pStyle w:val="FootnoteText"/>
        <w:jc w:val="left"/>
        <w:rPr>
          <w:lang w:val="en-AU"/>
        </w:rPr>
      </w:pPr>
      <w:r>
        <w:rPr>
          <w:rStyle w:val="FootnoteReference"/>
        </w:rPr>
        <w:footnoteRef/>
      </w:r>
      <w:r w:rsidR="00EB7344" w:rsidRPr="008953E7">
        <w:rPr>
          <w:i/>
        </w:rPr>
        <w:t>Telecommunications (Battery Power and Informed Decisions) Service Provider Determination 2014</w:t>
      </w:r>
      <w:r w:rsidR="00EB7344">
        <w:t xml:space="preserve"> </w:t>
      </w:r>
      <w:r>
        <w:t xml:space="preserve"> </w:t>
      </w:r>
      <w:hyperlink r:id="rId11" w:tooltip="Go to Legislation" w:history="1">
        <w:r w:rsidRPr="00887E68">
          <w:rPr>
            <w:rStyle w:val="Hyperlink"/>
          </w:rPr>
          <w:t>https://www.legislation.gov.au/Details/F2014L01097</w:t>
        </w:r>
      </w:hyperlink>
      <w:r>
        <w:t xml:space="preserve"> </w:t>
      </w:r>
    </w:p>
  </w:footnote>
  <w:footnote w:id="16">
    <w:p w:rsidR="00B93DEE" w:rsidRPr="00690F55" w:rsidRDefault="00B93DEE" w:rsidP="00B93DEE">
      <w:pPr>
        <w:pStyle w:val="FootnoteText"/>
        <w:jc w:val="left"/>
        <w:rPr>
          <w:lang w:val="en-AU"/>
        </w:rPr>
      </w:pPr>
      <w:r>
        <w:rPr>
          <w:rStyle w:val="FootnoteReference"/>
        </w:rPr>
        <w:footnoteRef/>
      </w:r>
      <w:r>
        <w:t xml:space="preserve"> </w:t>
      </w:r>
      <w:proofErr w:type="gramStart"/>
      <w:r>
        <w:rPr>
          <w:lang w:val="en-AU"/>
        </w:rPr>
        <w:t>TUSMA $15million a year for voice only migration assistance, including undertaking basic rewiring tasks.</w:t>
      </w:r>
      <w:proofErr w:type="gramEnd"/>
    </w:p>
  </w:footnote>
  <w:footnote w:id="17">
    <w:p w:rsidR="00347349" w:rsidRPr="00347349" w:rsidRDefault="00347349">
      <w:pPr>
        <w:pStyle w:val="FootnoteText"/>
        <w:rPr>
          <w:lang w:val="en-AU"/>
        </w:rPr>
      </w:pPr>
      <w:r>
        <w:rPr>
          <w:rStyle w:val="FootnoteReference"/>
        </w:rPr>
        <w:footnoteRef/>
      </w:r>
      <w:r>
        <w:t xml:space="preserve"> </w:t>
      </w:r>
      <w:r>
        <w:rPr>
          <w:lang w:val="en-AU"/>
        </w:rPr>
        <w:t>Nbn proposes to charge $150 for a professional installation on HFC technologies</w:t>
      </w:r>
    </w:p>
  </w:footnote>
  <w:footnote w:id="18">
    <w:p w:rsidR="00DC43F6" w:rsidRPr="00DC43F6" w:rsidRDefault="00DC43F6" w:rsidP="00DC43F6">
      <w:pPr>
        <w:pStyle w:val="FootnoteText"/>
        <w:jc w:val="left"/>
        <w:rPr>
          <w:lang w:val="en-AU"/>
        </w:rPr>
      </w:pPr>
      <w:r>
        <w:rPr>
          <w:rStyle w:val="FootnoteReference"/>
        </w:rPr>
        <w:footnoteRef/>
      </w:r>
      <w:r>
        <w:t xml:space="preserve"> Telecommunications Industry Ombudsman, 2017 Terms of Reference change. </w:t>
      </w:r>
      <w:hyperlink r:id="rId12" w:tooltip="Go to TIO website" w:history="1">
        <w:r w:rsidRPr="00195AF2">
          <w:rPr>
            <w:rStyle w:val="Hyperlink"/>
          </w:rPr>
          <w:t>http://www.tio.com.au/publications/news/revised-terms-of-reference-published-today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EF" w:rsidRDefault="00474C01">
    <w:pPr>
      <w:pStyle w:val="Header"/>
    </w:pPr>
    <w:r>
      <w:rPr>
        <w:noProof/>
        <w:lang w:eastAsia="en-IE"/>
      </w:rPr>
      <w:drawing>
        <wp:anchor distT="0" distB="0" distL="114300" distR="114300" simplePos="0" relativeHeight="251659264" behindDoc="1" locked="0" layoutInCell="1" allowOverlap="1" wp14:anchorId="7026F198" wp14:editId="210F492F">
          <wp:simplePos x="0" y="0"/>
          <wp:positionH relativeFrom="column">
            <wp:posOffset>4452620</wp:posOffset>
          </wp:positionH>
          <wp:positionV relativeFrom="paragraph">
            <wp:posOffset>-134620</wp:posOffset>
          </wp:positionV>
          <wp:extent cx="1630800" cy="756000"/>
          <wp:effectExtent l="0" t="0" r="762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75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97B63EB"/>
    <w:multiLevelType w:val="hybridMultilevel"/>
    <w:tmpl w:val="486608D4"/>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165FDD"/>
    <w:multiLevelType w:val="hybridMultilevel"/>
    <w:tmpl w:val="ECEA938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1E53191B"/>
    <w:multiLevelType w:val="hybridMultilevel"/>
    <w:tmpl w:val="DCBCB5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F314B3E"/>
    <w:multiLevelType w:val="hybridMultilevel"/>
    <w:tmpl w:val="8774EE0A"/>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88104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D19A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36AC24EA"/>
    <w:multiLevelType w:val="hybridMultilevel"/>
    <w:tmpl w:val="B2DC31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C095FAA"/>
    <w:multiLevelType w:val="hybridMultilevel"/>
    <w:tmpl w:val="8CE005D0"/>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6C4591"/>
    <w:multiLevelType w:val="hybridMultilevel"/>
    <w:tmpl w:val="FC3AF0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8E534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B9150B"/>
    <w:multiLevelType w:val="hybridMultilevel"/>
    <w:tmpl w:val="F32EC9D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nsid w:val="53313739"/>
    <w:multiLevelType w:val="hybridMultilevel"/>
    <w:tmpl w:val="A986E442"/>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F2604B9"/>
    <w:multiLevelType w:val="hybridMultilevel"/>
    <w:tmpl w:val="BED81CFC"/>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5900A44"/>
    <w:multiLevelType w:val="hybridMultilevel"/>
    <w:tmpl w:val="16AC23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5371814"/>
    <w:multiLevelType w:val="hybridMultilevel"/>
    <w:tmpl w:val="C81A357A"/>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B972FD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7"/>
  </w:num>
  <w:num w:numId="2">
    <w:abstractNumId w:val="2"/>
  </w:num>
  <w:num w:numId="3">
    <w:abstractNumId w:val="9"/>
  </w:num>
  <w:num w:numId="4">
    <w:abstractNumId w:val="8"/>
  </w:num>
  <w:num w:numId="5">
    <w:abstractNumId w:val="10"/>
  </w:num>
  <w:num w:numId="6">
    <w:abstractNumId w:val="5"/>
  </w:num>
  <w:num w:numId="7">
    <w:abstractNumId w:val="14"/>
  </w:num>
  <w:num w:numId="8">
    <w:abstractNumId w:val="6"/>
  </w:num>
  <w:num w:numId="9">
    <w:abstractNumId w:val="15"/>
  </w:num>
  <w:num w:numId="10">
    <w:abstractNumId w:val="3"/>
  </w:num>
  <w:num w:numId="11">
    <w:abstractNumId w:val="12"/>
  </w:num>
  <w:num w:numId="12">
    <w:abstractNumId w:val="16"/>
  </w:num>
  <w:num w:numId="13">
    <w:abstractNumId w:val="13"/>
  </w:num>
  <w:num w:numId="14">
    <w:abstractNumId w:val="11"/>
  </w:num>
  <w:num w:numId="15">
    <w:abstractNumId w:val="1"/>
  </w:num>
  <w:num w:numId="16">
    <w:abstractNumId w:val="0"/>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Crouch">
    <w15:presenceInfo w15:providerId="AD" w15:userId="S-1-5-21-4057060566-3925845745-2887322780-1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22"/>
    <w:rsid w:val="00005DEA"/>
    <w:rsid w:val="0005778D"/>
    <w:rsid w:val="0007029D"/>
    <w:rsid w:val="0007790A"/>
    <w:rsid w:val="000A6F20"/>
    <w:rsid w:val="000C2FD4"/>
    <w:rsid w:val="000C360F"/>
    <w:rsid w:val="000C6995"/>
    <w:rsid w:val="000D37B1"/>
    <w:rsid w:val="000D77CF"/>
    <w:rsid w:val="00114037"/>
    <w:rsid w:val="00117323"/>
    <w:rsid w:val="00122993"/>
    <w:rsid w:val="00124552"/>
    <w:rsid w:val="00125E07"/>
    <w:rsid w:val="00131307"/>
    <w:rsid w:val="0013726F"/>
    <w:rsid w:val="00157A07"/>
    <w:rsid w:val="001710B2"/>
    <w:rsid w:val="00177009"/>
    <w:rsid w:val="00196767"/>
    <w:rsid w:val="001B05A4"/>
    <w:rsid w:val="001B1FA7"/>
    <w:rsid w:val="001B24F0"/>
    <w:rsid w:val="001D3B22"/>
    <w:rsid w:val="001F41B6"/>
    <w:rsid w:val="001F76A0"/>
    <w:rsid w:val="00212C2E"/>
    <w:rsid w:val="00276835"/>
    <w:rsid w:val="002908E9"/>
    <w:rsid w:val="002927C1"/>
    <w:rsid w:val="0029472E"/>
    <w:rsid w:val="002A0E54"/>
    <w:rsid w:val="002A5E86"/>
    <w:rsid w:val="002B6DB7"/>
    <w:rsid w:val="002C0BE0"/>
    <w:rsid w:val="002D7010"/>
    <w:rsid w:val="002E1CFD"/>
    <w:rsid w:val="00300349"/>
    <w:rsid w:val="0031350A"/>
    <w:rsid w:val="00316750"/>
    <w:rsid w:val="0034659D"/>
    <w:rsid w:val="00347349"/>
    <w:rsid w:val="00354395"/>
    <w:rsid w:val="003775A7"/>
    <w:rsid w:val="00380465"/>
    <w:rsid w:val="0038104F"/>
    <w:rsid w:val="003945A9"/>
    <w:rsid w:val="003A442B"/>
    <w:rsid w:val="003C0736"/>
    <w:rsid w:val="003C3D77"/>
    <w:rsid w:val="003C6D76"/>
    <w:rsid w:val="003E52F2"/>
    <w:rsid w:val="003E5C42"/>
    <w:rsid w:val="003F2139"/>
    <w:rsid w:val="003F62BF"/>
    <w:rsid w:val="0040594E"/>
    <w:rsid w:val="00421F1E"/>
    <w:rsid w:val="00436909"/>
    <w:rsid w:val="00474C01"/>
    <w:rsid w:val="00484EA2"/>
    <w:rsid w:val="00490733"/>
    <w:rsid w:val="004A690C"/>
    <w:rsid w:val="004C0867"/>
    <w:rsid w:val="004C36E6"/>
    <w:rsid w:val="004C5936"/>
    <w:rsid w:val="004C68E3"/>
    <w:rsid w:val="004D37EB"/>
    <w:rsid w:val="004D4D3C"/>
    <w:rsid w:val="004D6328"/>
    <w:rsid w:val="004D6922"/>
    <w:rsid w:val="004D7C7A"/>
    <w:rsid w:val="005240B9"/>
    <w:rsid w:val="005601B8"/>
    <w:rsid w:val="00590BAC"/>
    <w:rsid w:val="005E6614"/>
    <w:rsid w:val="005F1431"/>
    <w:rsid w:val="005F4B54"/>
    <w:rsid w:val="00655542"/>
    <w:rsid w:val="006628FA"/>
    <w:rsid w:val="00673DAE"/>
    <w:rsid w:val="006867B6"/>
    <w:rsid w:val="00690F55"/>
    <w:rsid w:val="00691976"/>
    <w:rsid w:val="00691BA1"/>
    <w:rsid w:val="0069783D"/>
    <w:rsid w:val="006A33BA"/>
    <w:rsid w:val="006B052B"/>
    <w:rsid w:val="006B6915"/>
    <w:rsid w:val="006E55D2"/>
    <w:rsid w:val="006F404D"/>
    <w:rsid w:val="00701F4D"/>
    <w:rsid w:val="00706F7F"/>
    <w:rsid w:val="00725EFD"/>
    <w:rsid w:val="00735D1E"/>
    <w:rsid w:val="007361F8"/>
    <w:rsid w:val="00746B27"/>
    <w:rsid w:val="00747671"/>
    <w:rsid w:val="0075403F"/>
    <w:rsid w:val="00777CE8"/>
    <w:rsid w:val="00777FBF"/>
    <w:rsid w:val="007871CA"/>
    <w:rsid w:val="007A0EFF"/>
    <w:rsid w:val="007B493F"/>
    <w:rsid w:val="007B689F"/>
    <w:rsid w:val="007D3F98"/>
    <w:rsid w:val="007E1F15"/>
    <w:rsid w:val="007F07DE"/>
    <w:rsid w:val="007F505F"/>
    <w:rsid w:val="007F6621"/>
    <w:rsid w:val="008062DC"/>
    <w:rsid w:val="008063DF"/>
    <w:rsid w:val="00814AD9"/>
    <w:rsid w:val="00821884"/>
    <w:rsid w:val="0082622F"/>
    <w:rsid w:val="00831AA4"/>
    <w:rsid w:val="00845741"/>
    <w:rsid w:val="00885A68"/>
    <w:rsid w:val="0089114D"/>
    <w:rsid w:val="008A6854"/>
    <w:rsid w:val="008B7191"/>
    <w:rsid w:val="008C3C70"/>
    <w:rsid w:val="008C6533"/>
    <w:rsid w:val="008D0F6E"/>
    <w:rsid w:val="008D28E2"/>
    <w:rsid w:val="008E60CE"/>
    <w:rsid w:val="008F1066"/>
    <w:rsid w:val="008F40D6"/>
    <w:rsid w:val="00902DF1"/>
    <w:rsid w:val="00915777"/>
    <w:rsid w:val="0092276D"/>
    <w:rsid w:val="00925AA1"/>
    <w:rsid w:val="009333EC"/>
    <w:rsid w:val="00934051"/>
    <w:rsid w:val="00934878"/>
    <w:rsid w:val="0093736F"/>
    <w:rsid w:val="00946164"/>
    <w:rsid w:val="009538EC"/>
    <w:rsid w:val="0096011C"/>
    <w:rsid w:val="009A1AF5"/>
    <w:rsid w:val="009B3691"/>
    <w:rsid w:val="009B708B"/>
    <w:rsid w:val="009C214E"/>
    <w:rsid w:val="009C7484"/>
    <w:rsid w:val="009D05A9"/>
    <w:rsid w:val="009E21D3"/>
    <w:rsid w:val="009F1724"/>
    <w:rsid w:val="00A0566C"/>
    <w:rsid w:val="00A06D8A"/>
    <w:rsid w:val="00A2406B"/>
    <w:rsid w:val="00A32233"/>
    <w:rsid w:val="00A66189"/>
    <w:rsid w:val="00A70FE3"/>
    <w:rsid w:val="00A74A41"/>
    <w:rsid w:val="00A8141B"/>
    <w:rsid w:val="00A9515B"/>
    <w:rsid w:val="00A97821"/>
    <w:rsid w:val="00AA57C8"/>
    <w:rsid w:val="00AC0153"/>
    <w:rsid w:val="00AC4417"/>
    <w:rsid w:val="00AF1A3D"/>
    <w:rsid w:val="00AF63EC"/>
    <w:rsid w:val="00B008B9"/>
    <w:rsid w:val="00B2655A"/>
    <w:rsid w:val="00B339C6"/>
    <w:rsid w:val="00B46012"/>
    <w:rsid w:val="00B606E2"/>
    <w:rsid w:val="00B70641"/>
    <w:rsid w:val="00B71AA3"/>
    <w:rsid w:val="00B92C26"/>
    <w:rsid w:val="00B93DEE"/>
    <w:rsid w:val="00BE6C13"/>
    <w:rsid w:val="00C0733E"/>
    <w:rsid w:val="00C320F8"/>
    <w:rsid w:val="00C54A10"/>
    <w:rsid w:val="00C954AC"/>
    <w:rsid w:val="00CA4FC9"/>
    <w:rsid w:val="00CB3BB8"/>
    <w:rsid w:val="00CB551D"/>
    <w:rsid w:val="00CD211C"/>
    <w:rsid w:val="00CD7747"/>
    <w:rsid w:val="00CF19C8"/>
    <w:rsid w:val="00D4216F"/>
    <w:rsid w:val="00D518C4"/>
    <w:rsid w:val="00D64637"/>
    <w:rsid w:val="00D6793F"/>
    <w:rsid w:val="00D71E3C"/>
    <w:rsid w:val="00D866DC"/>
    <w:rsid w:val="00DB3181"/>
    <w:rsid w:val="00DC278D"/>
    <w:rsid w:val="00DC43F6"/>
    <w:rsid w:val="00DD0ECC"/>
    <w:rsid w:val="00DD3D56"/>
    <w:rsid w:val="00DD56AF"/>
    <w:rsid w:val="00DF7BBC"/>
    <w:rsid w:val="00E20F8E"/>
    <w:rsid w:val="00E23779"/>
    <w:rsid w:val="00E25CFE"/>
    <w:rsid w:val="00E33409"/>
    <w:rsid w:val="00E35E4F"/>
    <w:rsid w:val="00E36FEC"/>
    <w:rsid w:val="00E378D4"/>
    <w:rsid w:val="00E47C85"/>
    <w:rsid w:val="00E54489"/>
    <w:rsid w:val="00E61A6C"/>
    <w:rsid w:val="00E92554"/>
    <w:rsid w:val="00EA0AC4"/>
    <w:rsid w:val="00EA49AD"/>
    <w:rsid w:val="00EB7344"/>
    <w:rsid w:val="00EC57EF"/>
    <w:rsid w:val="00ED16BA"/>
    <w:rsid w:val="00ED34EF"/>
    <w:rsid w:val="00ED3977"/>
    <w:rsid w:val="00EE1248"/>
    <w:rsid w:val="00F26A25"/>
    <w:rsid w:val="00F364E4"/>
    <w:rsid w:val="00F47709"/>
    <w:rsid w:val="00F56FEA"/>
    <w:rsid w:val="00F81E26"/>
    <w:rsid w:val="00FD0E68"/>
    <w:rsid w:val="00FD32DD"/>
    <w:rsid w:val="00FD4BE3"/>
    <w:rsid w:val="00FD7492"/>
    <w:rsid w:val="00FE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98"/>
    <w:pPr>
      <w:jc w:val="both"/>
    </w:pPr>
  </w:style>
  <w:style w:type="paragraph" w:styleId="Heading1">
    <w:name w:val="heading 1"/>
    <w:basedOn w:val="Normal"/>
    <w:next w:val="Normal"/>
    <w:link w:val="Heading1Char"/>
    <w:uiPriority w:val="9"/>
    <w:qFormat/>
    <w:rsid w:val="003C0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6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B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07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3F98"/>
    <w:pPr>
      <w:ind w:left="720"/>
      <w:contextualSpacing/>
    </w:pPr>
  </w:style>
  <w:style w:type="paragraph" w:styleId="FootnoteText">
    <w:name w:val="footnote text"/>
    <w:basedOn w:val="Normal"/>
    <w:link w:val="FootnoteTextChar"/>
    <w:uiPriority w:val="99"/>
    <w:semiHidden/>
    <w:unhideWhenUsed/>
    <w:rsid w:val="00E54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489"/>
    <w:rPr>
      <w:sz w:val="20"/>
      <w:szCs w:val="20"/>
    </w:rPr>
  </w:style>
  <w:style w:type="character" w:styleId="FootnoteReference">
    <w:name w:val="footnote reference"/>
    <w:basedOn w:val="DefaultParagraphFont"/>
    <w:uiPriority w:val="99"/>
    <w:semiHidden/>
    <w:unhideWhenUsed/>
    <w:rsid w:val="00E54489"/>
    <w:rPr>
      <w:vertAlign w:val="superscript"/>
    </w:rPr>
  </w:style>
  <w:style w:type="character" w:styleId="Hyperlink">
    <w:name w:val="Hyperlink"/>
    <w:basedOn w:val="DefaultParagraphFont"/>
    <w:uiPriority w:val="99"/>
    <w:unhideWhenUsed/>
    <w:rsid w:val="00E54489"/>
    <w:rPr>
      <w:color w:val="0000FF" w:themeColor="hyperlink"/>
      <w:u w:val="single"/>
    </w:rPr>
  </w:style>
  <w:style w:type="character" w:customStyle="1" w:styleId="Heading2Char">
    <w:name w:val="Heading 2 Char"/>
    <w:basedOn w:val="DefaultParagraphFont"/>
    <w:link w:val="Heading2"/>
    <w:uiPriority w:val="9"/>
    <w:rsid w:val="004D37E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5A"/>
    <w:rPr>
      <w:rFonts w:ascii="Tahoma" w:hAnsi="Tahoma" w:cs="Tahoma"/>
      <w:sz w:val="16"/>
      <w:szCs w:val="16"/>
    </w:rPr>
  </w:style>
  <w:style w:type="paragraph" w:styleId="Caption">
    <w:name w:val="caption"/>
    <w:basedOn w:val="Normal"/>
    <w:next w:val="Normal"/>
    <w:uiPriority w:val="35"/>
    <w:semiHidden/>
    <w:unhideWhenUsed/>
    <w:qFormat/>
    <w:rsid w:val="00B2655A"/>
    <w:pPr>
      <w:spacing w:line="240" w:lineRule="auto"/>
    </w:pPr>
    <w:rPr>
      <w:b/>
      <w:bCs/>
      <w:color w:val="4F81BD" w:themeColor="accent1"/>
      <w:sz w:val="18"/>
      <w:szCs w:val="18"/>
    </w:rPr>
  </w:style>
  <w:style w:type="table" w:styleId="TableGrid">
    <w:name w:val="Table Grid"/>
    <w:basedOn w:val="TableNormal"/>
    <w:uiPriority w:val="59"/>
    <w:rsid w:val="005E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E6614"/>
    <w:rPr>
      <w:i/>
      <w:iCs/>
      <w:color w:val="000000" w:themeColor="text1"/>
    </w:rPr>
  </w:style>
  <w:style w:type="character" w:customStyle="1" w:styleId="QuoteChar">
    <w:name w:val="Quote Char"/>
    <w:basedOn w:val="DefaultParagraphFont"/>
    <w:link w:val="Quote"/>
    <w:uiPriority w:val="29"/>
    <w:rsid w:val="005E6614"/>
    <w:rPr>
      <w:i/>
      <w:iCs/>
      <w:color w:val="000000" w:themeColor="text1"/>
    </w:rPr>
  </w:style>
  <w:style w:type="character" w:customStyle="1" w:styleId="Heading3Char">
    <w:name w:val="Heading 3 Char"/>
    <w:basedOn w:val="DefaultParagraphFont"/>
    <w:link w:val="Heading3"/>
    <w:uiPriority w:val="9"/>
    <w:rsid w:val="005E6614"/>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4C0867"/>
    <w:rPr>
      <w:b/>
      <w:bCs/>
      <w:i/>
      <w:iCs/>
      <w:color w:val="4F81BD" w:themeColor="accent1"/>
    </w:rPr>
  </w:style>
  <w:style w:type="paragraph" w:customStyle="1" w:styleId="BodyText1">
    <w:name w:val="Body Text1"/>
    <w:basedOn w:val="Normal"/>
    <w:qFormat/>
    <w:rsid w:val="0013726F"/>
    <w:pPr>
      <w:jc w:val="left"/>
    </w:pPr>
    <w:rPr>
      <w:rFonts w:ascii="Arial" w:eastAsia="Calibri" w:hAnsi="Arial" w:cs="Arial"/>
      <w:color w:val="000000"/>
      <w:lang w:val="en-AU"/>
    </w:rPr>
  </w:style>
  <w:style w:type="paragraph" w:styleId="Header">
    <w:name w:val="header"/>
    <w:basedOn w:val="Normal"/>
    <w:link w:val="HeaderChar"/>
    <w:uiPriority w:val="99"/>
    <w:unhideWhenUsed/>
    <w:rsid w:val="007F5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5F"/>
  </w:style>
  <w:style w:type="paragraph" w:styleId="Footer">
    <w:name w:val="footer"/>
    <w:basedOn w:val="Normal"/>
    <w:link w:val="FooterChar"/>
    <w:uiPriority w:val="99"/>
    <w:unhideWhenUsed/>
    <w:rsid w:val="007F5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5F"/>
  </w:style>
  <w:style w:type="character" w:styleId="Emphasis">
    <w:name w:val="Emphasis"/>
    <w:basedOn w:val="DefaultParagraphFont"/>
    <w:uiPriority w:val="20"/>
    <w:qFormat/>
    <w:rsid w:val="00421F1E"/>
    <w:rPr>
      <w:i/>
      <w:iCs/>
    </w:rPr>
  </w:style>
  <w:style w:type="character" w:styleId="FollowedHyperlink">
    <w:name w:val="FollowedHyperlink"/>
    <w:basedOn w:val="DefaultParagraphFont"/>
    <w:uiPriority w:val="99"/>
    <w:semiHidden/>
    <w:unhideWhenUsed/>
    <w:rsid w:val="00E33409"/>
    <w:rPr>
      <w:color w:val="800080" w:themeColor="followedHyperlink"/>
      <w:u w:val="single"/>
    </w:rPr>
  </w:style>
  <w:style w:type="character" w:styleId="CommentReference">
    <w:name w:val="annotation reference"/>
    <w:basedOn w:val="DefaultParagraphFont"/>
    <w:uiPriority w:val="99"/>
    <w:semiHidden/>
    <w:unhideWhenUsed/>
    <w:rsid w:val="00A06D8A"/>
    <w:rPr>
      <w:sz w:val="16"/>
      <w:szCs w:val="16"/>
    </w:rPr>
  </w:style>
  <w:style w:type="paragraph" w:styleId="CommentText">
    <w:name w:val="annotation text"/>
    <w:basedOn w:val="Normal"/>
    <w:link w:val="CommentTextChar"/>
    <w:uiPriority w:val="99"/>
    <w:semiHidden/>
    <w:unhideWhenUsed/>
    <w:rsid w:val="00A06D8A"/>
    <w:pPr>
      <w:spacing w:line="240" w:lineRule="auto"/>
    </w:pPr>
    <w:rPr>
      <w:sz w:val="20"/>
      <w:szCs w:val="20"/>
    </w:rPr>
  </w:style>
  <w:style w:type="character" w:customStyle="1" w:styleId="CommentTextChar">
    <w:name w:val="Comment Text Char"/>
    <w:basedOn w:val="DefaultParagraphFont"/>
    <w:link w:val="CommentText"/>
    <w:uiPriority w:val="99"/>
    <w:semiHidden/>
    <w:rsid w:val="00A06D8A"/>
    <w:rPr>
      <w:sz w:val="20"/>
      <w:szCs w:val="20"/>
    </w:rPr>
  </w:style>
  <w:style w:type="paragraph" w:styleId="CommentSubject">
    <w:name w:val="annotation subject"/>
    <w:basedOn w:val="CommentText"/>
    <w:next w:val="CommentText"/>
    <w:link w:val="CommentSubjectChar"/>
    <w:uiPriority w:val="99"/>
    <w:semiHidden/>
    <w:unhideWhenUsed/>
    <w:rsid w:val="00A06D8A"/>
    <w:rPr>
      <w:b/>
      <w:bCs/>
    </w:rPr>
  </w:style>
  <w:style w:type="character" w:customStyle="1" w:styleId="CommentSubjectChar">
    <w:name w:val="Comment Subject Char"/>
    <w:basedOn w:val="CommentTextChar"/>
    <w:link w:val="CommentSubject"/>
    <w:uiPriority w:val="99"/>
    <w:semiHidden/>
    <w:rsid w:val="00A06D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98"/>
    <w:pPr>
      <w:jc w:val="both"/>
    </w:pPr>
  </w:style>
  <w:style w:type="paragraph" w:styleId="Heading1">
    <w:name w:val="heading 1"/>
    <w:basedOn w:val="Normal"/>
    <w:next w:val="Normal"/>
    <w:link w:val="Heading1Char"/>
    <w:uiPriority w:val="9"/>
    <w:qFormat/>
    <w:rsid w:val="003C0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6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B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07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3F98"/>
    <w:pPr>
      <w:ind w:left="720"/>
      <w:contextualSpacing/>
    </w:pPr>
  </w:style>
  <w:style w:type="paragraph" w:styleId="FootnoteText">
    <w:name w:val="footnote text"/>
    <w:basedOn w:val="Normal"/>
    <w:link w:val="FootnoteTextChar"/>
    <w:uiPriority w:val="99"/>
    <w:semiHidden/>
    <w:unhideWhenUsed/>
    <w:rsid w:val="00E54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489"/>
    <w:rPr>
      <w:sz w:val="20"/>
      <w:szCs w:val="20"/>
    </w:rPr>
  </w:style>
  <w:style w:type="character" w:styleId="FootnoteReference">
    <w:name w:val="footnote reference"/>
    <w:basedOn w:val="DefaultParagraphFont"/>
    <w:uiPriority w:val="99"/>
    <w:semiHidden/>
    <w:unhideWhenUsed/>
    <w:rsid w:val="00E54489"/>
    <w:rPr>
      <w:vertAlign w:val="superscript"/>
    </w:rPr>
  </w:style>
  <w:style w:type="character" w:styleId="Hyperlink">
    <w:name w:val="Hyperlink"/>
    <w:basedOn w:val="DefaultParagraphFont"/>
    <w:uiPriority w:val="99"/>
    <w:unhideWhenUsed/>
    <w:rsid w:val="00E54489"/>
    <w:rPr>
      <w:color w:val="0000FF" w:themeColor="hyperlink"/>
      <w:u w:val="single"/>
    </w:rPr>
  </w:style>
  <w:style w:type="character" w:customStyle="1" w:styleId="Heading2Char">
    <w:name w:val="Heading 2 Char"/>
    <w:basedOn w:val="DefaultParagraphFont"/>
    <w:link w:val="Heading2"/>
    <w:uiPriority w:val="9"/>
    <w:rsid w:val="004D37E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5A"/>
    <w:rPr>
      <w:rFonts w:ascii="Tahoma" w:hAnsi="Tahoma" w:cs="Tahoma"/>
      <w:sz w:val="16"/>
      <w:szCs w:val="16"/>
    </w:rPr>
  </w:style>
  <w:style w:type="paragraph" w:styleId="Caption">
    <w:name w:val="caption"/>
    <w:basedOn w:val="Normal"/>
    <w:next w:val="Normal"/>
    <w:uiPriority w:val="35"/>
    <w:semiHidden/>
    <w:unhideWhenUsed/>
    <w:qFormat/>
    <w:rsid w:val="00B2655A"/>
    <w:pPr>
      <w:spacing w:line="240" w:lineRule="auto"/>
    </w:pPr>
    <w:rPr>
      <w:b/>
      <w:bCs/>
      <w:color w:val="4F81BD" w:themeColor="accent1"/>
      <w:sz w:val="18"/>
      <w:szCs w:val="18"/>
    </w:rPr>
  </w:style>
  <w:style w:type="table" w:styleId="TableGrid">
    <w:name w:val="Table Grid"/>
    <w:basedOn w:val="TableNormal"/>
    <w:uiPriority w:val="59"/>
    <w:rsid w:val="005E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E6614"/>
    <w:rPr>
      <w:i/>
      <w:iCs/>
      <w:color w:val="000000" w:themeColor="text1"/>
    </w:rPr>
  </w:style>
  <w:style w:type="character" w:customStyle="1" w:styleId="QuoteChar">
    <w:name w:val="Quote Char"/>
    <w:basedOn w:val="DefaultParagraphFont"/>
    <w:link w:val="Quote"/>
    <w:uiPriority w:val="29"/>
    <w:rsid w:val="005E6614"/>
    <w:rPr>
      <w:i/>
      <w:iCs/>
      <w:color w:val="000000" w:themeColor="text1"/>
    </w:rPr>
  </w:style>
  <w:style w:type="character" w:customStyle="1" w:styleId="Heading3Char">
    <w:name w:val="Heading 3 Char"/>
    <w:basedOn w:val="DefaultParagraphFont"/>
    <w:link w:val="Heading3"/>
    <w:uiPriority w:val="9"/>
    <w:rsid w:val="005E6614"/>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4C0867"/>
    <w:rPr>
      <w:b/>
      <w:bCs/>
      <w:i/>
      <w:iCs/>
      <w:color w:val="4F81BD" w:themeColor="accent1"/>
    </w:rPr>
  </w:style>
  <w:style w:type="paragraph" w:customStyle="1" w:styleId="BodyText1">
    <w:name w:val="Body Text1"/>
    <w:basedOn w:val="Normal"/>
    <w:qFormat/>
    <w:rsid w:val="0013726F"/>
    <w:pPr>
      <w:jc w:val="left"/>
    </w:pPr>
    <w:rPr>
      <w:rFonts w:ascii="Arial" w:eastAsia="Calibri" w:hAnsi="Arial" w:cs="Arial"/>
      <w:color w:val="000000"/>
      <w:lang w:val="en-AU"/>
    </w:rPr>
  </w:style>
  <w:style w:type="paragraph" w:styleId="Header">
    <w:name w:val="header"/>
    <w:basedOn w:val="Normal"/>
    <w:link w:val="HeaderChar"/>
    <w:uiPriority w:val="99"/>
    <w:unhideWhenUsed/>
    <w:rsid w:val="007F5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5F"/>
  </w:style>
  <w:style w:type="paragraph" w:styleId="Footer">
    <w:name w:val="footer"/>
    <w:basedOn w:val="Normal"/>
    <w:link w:val="FooterChar"/>
    <w:uiPriority w:val="99"/>
    <w:unhideWhenUsed/>
    <w:rsid w:val="007F5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5F"/>
  </w:style>
  <w:style w:type="character" w:styleId="Emphasis">
    <w:name w:val="Emphasis"/>
    <w:basedOn w:val="DefaultParagraphFont"/>
    <w:uiPriority w:val="20"/>
    <w:qFormat/>
    <w:rsid w:val="00421F1E"/>
    <w:rPr>
      <w:i/>
      <w:iCs/>
    </w:rPr>
  </w:style>
  <w:style w:type="character" w:styleId="FollowedHyperlink">
    <w:name w:val="FollowedHyperlink"/>
    <w:basedOn w:val="DefaultParagraphFont"/>
    <w:uiPriority w:val="99"/>
    <w:semiHidden/>
    <w:unhideWhenUsed/>
    <w:rsid w:val="00E33409"/>
    <w:rPr>
      <w:color w:val="800080" w:themeColor="followedHyperlink"/>
      <w:u w:val="single"/>
    </w:rPr>
  </w:style>
  <w:style w:type="character" w:styleId="CommentReference">
    <w:name w:val="annotation reference"/>
    <w:basedOn w:val="DefaultParagraphFont"/>
    <w:uiPriority w:val="99"/>
    <w:semiHidden/>
    <w:unhideWhenUsed/>
    <w:rsid w:val="00A06D8A"/>
    <w:rPr>
      <w:sz w:val="16"/>
      <w:szCs w:val="16"/>
    </w:rPr>
  </w:style>
  <w:style w:type="paragraph" w:styleId="CommentText">
    <w:name w:val="annotation text"/>
    <w:basedOn w:val="Normal"/>
    <w:link w:val="CommentTextChar"/>
    <w:uiPriority w:val="99"/>
    <w:semiHidden/>
    <w:unhideWhenUsed/>
    <w:rsid w:val="00A06D8A"/>
    <w:pPr>
      <w:spacing w:line="240" w:lineRule="auto"/>
    </w:pPr>
    <w:rPr>
      <w:sz w:val="20"/>
      <w:szCs w:val="20"/>
    </w:rPr>
  </w:style>
  <w:style w:type="character" w:customStyle="1" w:styleId="CommentTextChar">
    <w:name w:val="Comment Text Char"/>
    <w:basedOn w:val="DefaultParagraphFont"/>
    <w:link w:val="CommentText"/>
    <w:uiPriority w:val="99"/>
    <w:semiHidden/>
    <w:rsid w:val="00A06D8A"/>
    <w:rPr>
      <w:sz w:val="20"/>
      <w:szCs w:val="20"/>
    </w:rPr>
  </w:style>
  <w:style w:type="paragraph" w:styleId="CommentSubject">
    <w:name w:val="annotation subject"/>
    <w:basedOn w:val="CommentText"/>
    <w:next w:val="CommentText"/>
    <w:link w:val="CommentSubjectChar"/>
    <w:uiPriority w:val="99"/>
    <w:semiHidden/>
    <w:unhideWhenUsed/>
    <w:rsid w:val="00A06D8A"/>
    <w:rPr>
      <w:b/>
      <w:bCs/>
    </w:rPr>
  </w:style>
  <w:style w:type="character" w:customStyle="1" w:styleId="CommentSubjectChar">
    <w:name w:val="Comment Subject Char"/>
    <w:basedOn w:val="CommentTextChar"/>
    <w:link w:val="CommentSubject"/>
    <w:uiPriority w:val="99"/>
    <w:semiHidden/>
    <w:rsid w:val="00A06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www.nbnco.com.au/content/dam/nbnco2/documents/nbn-rollout-metrics/nbn-rollout-metrics-23112017.pdf" TargetMode="External"/><Relationship Id="rId3" Type="http://schemas.openxmlformats.org/officeDocument/2006/relationships/hyperlink" Target="http://www.nbnco.com.au/corporate-information/about-nbn-co/corporate-plan/corporate-plan.html" TargetMode="External"/><Relationship Id="rId7" Type="http://schemas.openxmlformats.org/officeDocument/2006/relationships/hyperlink" Target="https://www.acma.gov.au/theACMA/Newsroom/Newsroom/Speeches/acting-deputy-chairs-speech-to-commsday-melbourne-congress" TargetMode="External"/><Relationship Id="rId12" Type="http://schemas.openxmlformats.org/officeDocument/2006/relationships/hyperlink" Target="http://www.tio.com.au/publications/news/revised-terms-of-reference-published-today" TargetMode="External"/><Relationship Id="rId2" Type="http://schemas.openxmlformats.org/officeDocument/2006/relationships/hyperlink" Target="http://www.tio.com.au/publications/news/2017-annual-report-released" TargetMode="External"/><Relationship Id="rId1" Type="http://schemas.openxmlformats.org/officeDocument/2006/relationships/hyperlink" Target="https://www.nbnco.com.au/content/dam/nbnco2/documents/nbn-rollout-metrics/nbn-rollout-metrics-28092017.pdf" TargetMode="External"/><Relationship Id="rId6" Type="http://schemas.openxmlformats.org/officeDocument/2006/relationships/hyperlink" Target="http://www.tio.com.au/publications/news/2017-annual-report-released" TargetMode="External"/><Relationship Id="rId11" Type="http://schemas.openxmlformats.org/officeDocument/2006/relationships/hyperlink" Target="https://www.legislation.gov.au/Details/F2014L01097" TargetMode="External"/><Relationship Id="rId5" Type="http://schemas.openxmlformats.org/officeDocument/2006/relationships/hyperlink" Target="https://www.nbnco.com.au/corporate-information/media-centre/media-releases/improved-customer-experience.html" TargetMode="External"/><Relationship Id="rId10" Type="http://schemas.openxmlformats.org/officeDocument/2006/relationships/hyperlink" Target="http://www.aph.gov.au/Parliamentary_Business/Committees/Joint/National_Broadband_Network/NBN/First_report" TargetMode="External"/><Relationship Id="rId4" Type="http://schemas.openxmlformats.org/officeDocument/2006/relationships/hyperlink" Target="http://www.acma.gov.au/theacma/acma-focus-on-the-nbn-customer-experience" TargetMode="External"/><Relationship Id="rId9" Type="http://schemas.openxmlformats.org/officeDocument/2006/relationships/hyperlink" Target="http://www.abs.gov.au/AUSSTATS/abs@.nsf/Lookup/4102.0Main+Features30Dec+2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09B1-C6E6-4902-93AD-4360E35A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3</cp:revision>
  <cp:lastPrinted>2017-11-29T04:25:00Z</cp:lastPrinted>
  <dcterms:created xsi:type="dcterms:W3CDTF">2017-11-29T04:25:00Z</dcterms:created>
  <dcterms:modified xsi:type="dcterms:W3CDTF">2017-11-29T04:25:00Z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