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Pr="00DB1412" w:rsidRDefault="005820C9" w:rsidP="007D3F16">
      <w:pPr>
        <w:spacing w:after="0"/>
        <w:rPr>
          <w:sz w:val="24"/>
          <w:szCs w:val="24"/>
        </w:rPr>
        <w:sectPr w:rsidR="005820C9" w:rsidRPr="00DB1412" w:rsidSect="003247D9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Pr="00DB1412" w:rsidRDefault="0046733E" w:rsidP="00DD1B6E">
      <w:pPr>
        <w:spacing w:after="0"/>
        <w:rPr>
          <w:sz w:val="24"/>
          <w:szCs w:val="24"/>
        </w:rPr>
      </w:pPr>
      <w:r w:rsidRPr="00791EDB">
        <w:rPr>
          <w:sz w:val="24"/>
          <w:szCs w:val="24"/>
        </w:rPr>
        <w:lastRenderedPageBreak/>
        <w:t>1</w:t>
      </w:r>
      <w:r w:rsidR="00E54D75">
        <w:rPr>
          <w:sz w:val="24"/>
          <w:szCs w:val="24"/>
        </w:rPr>
        <w:t>7</w:t>
      </w:r>
      <w:r w:rsidR="00CC4647" w:rsidRPr="00791EDB">
        <w:rPr>
          <w:sz w:val="24"/>
          <w:szCs w:val="24"/>
        </w:rPr>
        <w:t xml:space="preserve"> </w:t>
      </w:r>
      <w:r w:rsidRPr="00791EDB">
        <w:rPr>
          <w:sz w:val="24"/>
          <w:szCs w:val="24"/>
        </w:rPr>
        <w:t>October</w:t>
      </w:r>
      <w:r w:rsidR="00CC4647" w:rsidRPr="00791EDB">
        <w:rPr>
          <w:sz w:val="24"/>
          <w:szCs w:val="24"/>
        </w:rPr>
        <w:t xml:space="preserve"> 2016</w:t>
      </w:r>
    </w:p>
    <w:p w:rsidR="001B5387" w:rsidRPr="00DB1412" w:rsidRDefault="001B5387" w:rsidP="00DD1B6E">
      <w:pPr>
        <w:spacing w:after="0"/>
        <w:rPr>
          <w:sz w:val="24"/>
          <w:szCs w:val="24"/>
        </w:rPr>
      </w:pPr>
    </w:p>
    <w:p w:rsidR="00F07315" w:rsidRPr="00DB1412" w:rsidRDefault="00F07315" w:rsidP="00F07315">
      <w:pPr>
        <w:spacing w:after="0"/>
        <w:rPr>
          <w:sz w:val="24"/>
          <w:szCs w:val="24"/>
        </w:rPr>
      </w:pPr>
      <w:r w:rsidRPr="00DB1412">
        <w:rPr>
          <w:sz w:val="24"/>
          <w:szCs w:val="24"/>
        </w:rPr>
        <w:t>Communications Alliance</w:t>
      </w:r>
    </w:p>
    <w:p w:rsidR="00F07315" w:rsidRPr="00DB1412" w:rsidRDefault="00F07315" w:rsidP="00F07315">
      <w:pPr>
        <w:spacing w:after="0"/>
        <w:rPr>
          <w:sz w:val="24"/>
          <w:szCs w:val="24"/>
        </w:rPr>
      </w:pPr>
      <w:r w:rsidRPr="00DB1412">
        <w:rPr>
          <w:sz w:val="24"/>
          <w:szCs w:val="24"/>
        </w:rPr>
        <w:t xml:space="preserve">Level 12, 75 Miller Street, </w:t>
      </w:r>
    </w:p>
    <w:p w:rsidR="00F07315" w:rsidRPr="00DB1412" w:rsidRDefault="00F07315" w:rsidP="00F07315">
      <w:pPr>
        <w:rPr>
          <w:sz w:val="24"/>
          <w:szCs w:val="24"/>
        </w:rPr>
      </w:pPr>
      <w:r w:rsidRPr="00DB1412">
        <w:rPr>
          <w:sz w:val="24"/>
          <w:szCs w:val="24"/>
        </w:rPr>
        <w:t>North Sydney NSW 2060</w:t>
      </w:r>
    </w:p>
    <w:p w:rsidR="00F07315" w:rsidRPr="00DB1412" w:rsidRDefault="00F07315" w:rsidP="00F07315">
      <w:pPr>
        <w:spacing w:after="0"/>
        <w:rPr>
          <w:sz w:val="24"/>
          <w:szCs w:val="24"/>
        </w:rPr>
      </w:pPr>
      <w:r w:rsidRPr="00DB1412">
        <w:rPr>
          <w:sz w:val="24"/>
          <w:szCs w:val="24"/>
        </w:rPr>
        <w:t xml:space="preserve">Attn. Craig Purdon: </w:t>
      </w:r>
      <w:r w:rsidR="006C0BA4" w:rsidRPr="00DB1412">
        <w:rPr>
          <w:sz w:val="24"/>
          <w:szCs w:val="24"/>
        </w:rPr>
        <w:br/>
        <w:t xml:space="preserve">By email: </w:t>
      </w:r>
      <w:r w:rsidRPr="00DB1412">
        <w:rPr>
          <w:sz w:val="24"/>
          <w:szCs w:val="24"/>
        </w:rPr>
        <w:t>c.purdon@commsalliance.com.au</w:t>
      </w:r>
    </w:p>
    <w:p w:rsidR="00F07315" w:rsidRPr="00DB1412" w:rsidRDefault="00F07315" w:rsidP="00F07315">
      <w:pPr>
        <w:spacing w:after="0"/>
        <w:rPr>
          <w:sz w:val="24"/>
          <w:szCs w:val="24"/>
        </w:rPr>
      </w:pPr>
    </w:p>
    <w:p w:rsidR="00F07315" w:rsidRDefault="00F07315" w:rsidP="00F07315">
      <w:pPr>
        <w:pStyle w:val="BodyText1"/>
        <w:rPr>
          <w:rFonts w:asciiTheme="minorHAnsi" w:hAnsiTheme="minorHAnsi"/>
          <w:sz w:val="24"/>
          <w:szCs w:val="24"/>
        </w:rPr>
      </w:pPr>
      <w:r w:rsidRPr="00DB1412">
        <w:rPr>
          <w:rFonts w:asciiTheme="minorHAnsi" w:hAnsiTheme="minorHAnsi"/>
          <w:sz w:val="24"/>
          <w:szCs w:val="24"/>
        </w:rPr>
        <w:t xml:space="preserve">The Australian Communications Consumer Action Network (ACCAN) is pleased to have the opportunity to comment on </w:t>
      </w:r>
      <w:r w:rsidR="004C2BC6">
        <w:rPr>
          <w:rFonts w:asciiTheme="minorHAnsi" w:hAnsiTheme="minorHAnsi"/>
          <w:sz w:val="24"/>
          <w:szCs w:val="24"/>
        </w:rPr>
        <w:t>the operation of the</w:t>
      </w:r>
      <w:r w:rsidRPr="00DB1412">
        <w:rPr>
          <w:rFonts w:asciiTheme="minorHAnsi" w:hAnsiTheme="minorHAnsi"/>
          <w:sz w:val="24"/>
          <w:szCs w:val="24"/>
        </w:rPr>
        <w:t xml:space="preserve"> </w:t>
      </w:r>
      <w:r w:rsidR="004C2BC6">
        <w:rPr>
          <w:rFonts w:asciiTheme="minorHAnsi" w:hAnsiTheme="minorHAnsi"/>
          <w:sz w:val="24"/>
          <w:szCs w:val="24"/>
        </w:rPr>
        <w:t>Mobile Premium Service</w:t>
      </w:r>
      <w:r w:rsidRPr="00DB1412">
        <w:rPr>
          <w:rFonts w:asciiTheme="minorHAnsi" w:hAnsiTheme="minorHAnsi"/>
          <w:sz w:val="24"/>
          <w:szCs w:val="24"/>
        </w:rPr>
        <w:t xml:space="preserve"> Code (C637:2011 Incorporating Variation No.1 – 2014) (‘the Code’).</w:t>
      </w:r>
    </w:p>
    <w:p w:rsidR="00B16935" w:rsidRPr="00DB1412" w:rsidRDefault="00B16935" w:rsidP="00C40070">
      <w:pPr>
        <w:pStyle w:val="BodyTex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Background</w:t>
      </w:r>
    </w:p>
    <w:p w:rsidR="00A9639E" w:rsidRDefault="00E72CE2" w:rsidP="00DD1B6E">
      <w:pPr>
        <w:spacing w:after="0"/>
        <w:rPr>
          <w:sz w:val="24"/>
          <w:szCs w:val="24"/>
        </w:rPr>
      </w:pPr>
      <w:r>
        <w:rPr>
          <w:sz w:val="24"/>
          <w:szCs w:val="24"/>
        </w:rPr>
        <w:t>It has been over two years</w:t>
      </w:r>
      <w:r w:rsidR="004C2BC6">
        <w:rPr>
          <w:sz w:val="24"/>
          <w:szCs w:val="24"/>
        </w:rPr>
        <w:t xml:space="preserve"> since the Code was last reviewed.  </w:t>
      </w:r>
      <w:r>
        <w:rPr>
          <w:sz w:val="24"/>
          <w:szCs w:val="24"/>
        </w:rPr>
        <w:t xml:space="preserve">Since that time, there have been a </w:t>
      </w:r>
      <w:r w:rsidR="004C2BC6">
        <w:rPr>
          <w:sz w:val="24"/>
          <w:szCs w:val="24"/>
        </w:rPr>
        <w:t>number of important developments in technology</w:t>
      </w:r>
      <w:r w:rsidR="00D52311">
        <w:rPr>
          <w:sz w:val="24"/>
          <w:szCs w:val="24"/>
        </w:rPr>
        <w:t xml:space="preserve">, consumer habits and the law about mobile premium services (MPS) and related services such as direct carrier billing (DCB).  </w:t>
      </w:r>
      <w:r w:rsidR="00D52311" w:rsidRPr="00791EDB">
        <w:rPr>
          <w:sz w:val="24"/>
          <w:szCs w:val="24"/>
        </w:rPr>
        <w:t xml:space="preserve">As a result, </w:t>
      </w:r>
      <w:r w:rsidR="004C2BC6" w:rsidRPr="00791EDB">
        <w:rPr>
          <w:sz w:val="24"/>
          <w:szCs w:val="24"/>
        </w:rPr>
        <w:t>ACCAN</w:t>
      </w:r>
      <w:r w:rsidR="00D52311" w:rsidRPr="00791EDB">
        <w:rPr>
          <w:sz w:val="24"/>
          <w:szCs w:val="24"/>
        </w:rPr>
        <w:t xml:space="preserve"> strongly believes that the Code should now be revised</w:t>
      </w:r>
      <w:r w:rsidR="004C2BC6" w:rsidRPr="00791EDB">
        <w:rPr>
          <w:sz w:val="24"/>
          <w:szCs w:val="24"/>
        </w:rPr>
        <w:t>.</w:t>
      </w:r>
      <w:r w:rsidR="004C2BC6">
        <w:rPr>
          <w:sz w:val="24"/>
          <w:szCs w:val="24"/>
        </w:rPr>
        <w:t xml:space="preserve">  </w:t>
      </w:r>
    </w:p>
    <w:p w:rsidR="00B16935" w:rsidRDefault="00C374BF" w:rsidP="00B12139">
      <w:pPr>
        <w:pStyle w:val="BodyText1"/>
        <w:rPr>
          <w:noProof/>
          <w:lang w:val="en-US"/>
        </w:rPr>
      </w:pPr>
      <w:r>
        <w:rPr>
          <w:rFonts w:asciiTheme="minorHAnsi" w:hAnsiTheme="minorHAnsi"/>
          <w:sz w:val="24"/>
          <w:szCs w:val="24"/>
        </w:rPr>
        <w:br/>
        <w:t>Over the last two years, c</w:t>
      </w:r>
      <w:r w:rsidR="00B16935" w:rsidRPr="00DB1412">
        <w:rPr>
          <w:rFonts w:asciiTheme="minorHAnsi" w:hAnsiTheme="minorHAnsi"/>
          <w:sz w:val="24"/>
          <w:szCs w:val="24"/>
        </w:rPr>
        <w:t xml:space="preserve">omplaints about </w:t>
      </w:r>
      <w:r w:rsidR="00D52311">
        <w:rPr>
          <w:rFonts w:asciiTheme="minorHAnsi" w:hAnsiTheme="minorHAnsi"/>
          <w:sz w:val="24"/>
          <w:szCs w:val="24"/>
        </w:rPr>
        <w:t xml:space="preserve">third party </w:t>
      </w:r>
      <w:r w:rsidR="00240969">
        <w:rPr>
          <w:rFonts w:asciiTheme="minorHAnsi" w:hAnsiTheme="minorHAnsi"/>
          <w:sz w:val="24"/>
          <w:szCs w:val="24"/>
        </w:rPr>
        <w:t>billing</w:t>
      </w:r>
      <w:r w:rsidR="00D52311">
        <w:rPr>
          <w:rFonts w:asciiTheme="minorHAnsi" w:hAnsiTheme="minorHAnsi"/>
          <w:sz w:val="24"/>
          <w:szCs w:val="24"/>
        </w:rPr>
        <w:t xml:space="preserve"> (which include both MPS and DCB)</w:t>
      </w:r>
      <w:r w:rsidR="00B16935" w:rsidRPr="00DB1412">
        <w:rPr>
          <w:rFonts w:asciiTheme="minorHAnsi" w:hAnsiTheme="minorHAnsi"/>
          <w:sz w:val="24"/>
          <w:szCs w:val="24"/>
        </w:rPr>
        <w:t xml:space="preserve"> </w:t>
      </w:r>
      <w:r w:rsidR="00B16935">
        <w:rPr>
          <w:rFonts w:asciiTheme="minorHAnsi" w:hAnsiTheme="minorHAnsi"/>
          <w:sz w:val="24"/>
          <w:szCs w:val="24"/>
        </w:rPr>
        <w:t xml:space="preserve">have almost doubled to 2% </w:t>
      </w:r>
      <w:r w:rsidR="00D52311">
        <w:rPr>
          <w:rFonts w:asciiTheme="minorHAnsi" w:hAnsiTheme="minorHAnsi"/>
          <w:sz w:val="24"/>
          <w:szCs w:val="24"/>
        </w:rPr>
        <w:t xml:space="preserve">of new complaints to the TIO. </w:t>
      </w:r>
      <w:r w:rsidR="00B16935">
        <w:rPr>
          <w:rFonts w:asciiTheme="minorHAnsi" w:hAnsiTheme="minorHAnsi"/>
          <w:sz w:val="24"/>
          <w:szCs w:val="24"/>
        </w:rPr>
        <w:t xml:space="preserve">  </w:t>
      </w:r>
      <w:r w:rsidR="00B16935" w:rsidRPr="00DB1412">
        <w:rPr>
          <w:rFonts w:asciiTheme="minorHAnsi" w:hAnsiTheme="minorHAnsi"/>
          <w:sz w:val="24"/>
          <w:szCs w:val="24"/>
        </w:rPr>
        <w:t>The mo</w:t>
      </w:r>
      <w:r w:rsidR="00B16935">
        <w:rPr>
          <w:rFonts w:asciiTheme="minorHAnsi" w:hAnsiTheme="minorHAnsi"/>
          <w:sz w:val="24"/>
          <w:szCs w:val="24"/>
        </w:rPr>
        <w:t xml:space="preserve">st recent quarterly statistics </w:t>
      </w:r>
      <w:r w:rsidR="00B16935" w:rsidRPr="00DB1412">
        <w:rPr>
          <w:rFonts w:asciiTheme="minorHAnsi" w:hAnsiTheme="minorHAnsi"/>
          <w:sz w:val="24"/>
          <w:szCs w:val="24"/>
        </w:rPr>
        <w:t xml:space="preserve">show that </w:t>
      </w:r>
      <w:r w:rsidR="007E2E5B">
        <w:rPr>
          <w:rFonts w:asciiTheme="minorHAnsi" w:hAnsiTheme="minorHAnsi"/>
          <w:sz w:val="24"/>
          <w:szCs w:val="24"/>
        </w:rPr>
        <w:t>third party billing (</w:t>
      </w:r>
      <w:r w:rsidR="00240969">
        <w:rPr>
          <w:rFonts w:asciiTheme="minorHAnsi" w:hAnsiTheme="minorHAnsi"/>
          <w:sz w:val="24"/>
          <w:szCs w:val="24"/>
        </w:rPr>
        <w:t>TPB</w:t>
      </w:r>
      <w:r w:rsidR="007E2E5B">
        <w:rPr>
          <w:rFonts w:asciiTheme="minorHAnsi" w:hAnsiTheme="minorHAnsi"/>
          <w:sz w:val="24"/>
          <w:szCs w:val="24"/>
        </w:rPr>
        <w:t>)</w:t>
      </w:r>
      <w:r w:rsidR="00B16935">
        <w:rPr>
          <w:rFonts w:asciiTheme="minorHAnsi" w:hAnsiTheme="minorHAnsi"/>
          <w:sz w:val="24"/>
          <w:szCs w:val="24"/>
        </w:rPr>
        <w:t xml:space="preserve"> </w:t>
      </w:r>
      <w:r w:rsidR="00B16935" w:rsidRPr="00DB1412">
        <w:rPr>
          <w:rFonts w:asciiTheme="minorHAnsi" w:hAnsiTheme="minorHAnsi"/>
          <w:sz w:val="24"/>
          <w:szCs w:val="24"/>
        </w:rPr>
        <w:t xml:space="preserve">complaints </w:t>
      </w:r>
      <w:r>
        <w:rPr>
          <w:rFonts w:asciiTheme="minorHAnsi" w:hAnsiTheme="minorHAnsi"/>
          <w:sz w:val="24"/>
          <w:szCs w:val="24"/>
        </w:rPr>
        <w:t>remain</w:t>
      </w:r>
      <w:r w:rsidR="00B16935">
        <w:rPr>
          <w:rFonts w:asciiTheme="minorHAnsi" w:hAnsiTheme="minorHAnsi"/>
          <w:sz w:val="24"/>
          <w:szCs w:val="24"/>
        </w:rPr>
        <w:t xml:space="preserve"> at these consistently high</w:t>
      </w:r>
      <w:r w:rsidR="007E2E5B">
        <w:rPr>
          <w:rFonts w:asciiTheme="minorHAnsi" w:hAnsiTheme="minorHAnsi"/>
          <w:sz w:val="24"/>
          <w:szCs w:val="24"/>
        </w:rPr>
        <w:t>er</w:t>
      </w:r>
      <w:r w:rsidR="00B16935">
        <w:rPr>
          <w:rFonts w:asciiTheme="minorHAnsi" w:hAnsiTheme="minorHAnsi"/>
          <w:sz w:val="24"/>
          <w:szCs w:val="24"/>
        </w:rPr>
        <w:t xml:space="preserve"> levels (see table below).</w:t>
      </w:r>
      <w:r w:rsidR="00B16935" w:rsidRPr="00DB1412">
        <w:rPr>
          <w:rStyle w:val="FootnoteReference"/>
          <w:rFonts w:asciiTheme="minorHAnsi" w:hAnsiTheme="minorHAnsi"/>
          <w:sz w:val="24"/>
          <w:szCs w:val="24"/>
        </w:rPr>
        <w:footnoteReference w:id="2"/>
      </w:r>
    </w:p>
    <w:p w:rsidR="00B16935" w:rsidRDefault="00A64CFE" w:rsidP="00B12139">
      <w:pPr>
        <w:pStyle w:val="BodyText1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E1F9D7" wp14:editId="153A793C">
            <wp:simplePos x="0" y="0"/>
            <wp:positionH relativeFrom="column">
              <wp:posOffset>200660</wp:posOffset>
            </wp:positionH>
            <wp:positionV relativeFrom="paragraph">
              <wp:posOffset>4445</wp:posOffset>
            </wp:positionV>
            <wp:extent cx="4892040" cy="2433320"/>
            <wp:effectExtent l="0" t="0" r="381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2" r="5807" b="4142"/>
                    <a:stretch/>
                  </pic:blipFill>
                  <pic:spPr bwMode="auto">
                    <a:xfrm>
                      <a:off x="0" y="0"/>
                      <a:ext cx="4892040" cy="243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35" w:rsidRDefault="00B16935" w:rsidP="00B12139">
      <w:pPr>
        <w:pStyle w:val="BodyText1"/>
        <w:rPr>
          <w:rFonts w:asciiTheme="minorHAnsi" w:hAnsiTheme="minorHAnsi"/>
          <w:sz w:val="24"/>
          <w:szCs w:val="24"/>
        </w:rPr>
      </w:pPr>
    </w:p>
    <w:p w:rsidR="001E0667" w:rsidRDefault="001E0667" w:rsidP="00B12139">
      <w:pPr>
        <w:pStyle w:val="BodyText1"/>
        <w:rPr>
          <w:rFonts w:asciiTheme="minorHAnsi" w:hAnsiTheme="minorHAnsi"/>
          <w:sz w:val="24"/>
          <w:szCs w:val="24"/>
        </w:rPr>
      </w:pPr>
    </w:p>
    <w:p w:rsidR="001E0667" w:rsidRDefault="001E0667" w:rsidP="00B12139">
      <w:pPr>
        <w:pStyle w:val="BodyText1"/>
        <w:rPr>
          <w:rFonts w:asciiTheme="minorHAnsi" w:hAnsiTheme="minorHAnsi"/>
          <w:sz w:val="24"/>
          <w:szCs w:val="24"/>
        </w:rPr>
      </w:pPr>
    </w:p>
    <w:p w:rsidR="001E0667" w:rsidRDefault="001E0667" w:rsidP="00B12139">
      <w:pPr>
        <w:pStyle w:val="BodyText1"/>
        <w:rPr>
          <w:rFonts w:asciiTheme="minorHAnsi" w:hAnsiTheme="minorHAnsi"/>
          <w:sz w:val="24"/>
          <w:szCs w:val="24"/>
        </w:rPr>
      </w:pPr>
    </w:p>
    <w:p w:rsidR="001E0667" w:rsidRDefault="001E0667" w:rsidP="00B12139">
      <w:pPr>
        <w:pStyle w:val="BodyText1"/>
        <w:rPr>
          <w:rFonts w:asciiTheme="minorHAnsi" w:hAnsiTheme="minorHAnsi"/>
          <w:sz w:val="24"/>
          <w:szCs w:val="24"/>
        </w:rPr>
      </w:pPr>
    </w:p>
    <w:p w:rsidR="001E0667" w:rsidRDefault="001E0667" w:rsidP="00B12139">
      <w:pPr>
        <w:pStyle w:val="BodyText1"/>
        <w:rPr>
          <w:rFonts w:asciiTheme="minorHAnsi" w:hAnsiTheme="minorHAnsi"/>
          <w:sz w:val="24"/>
          <w:szCs w:val="24"/>
        </w:rPr>
      </w:pPr>
    </w:p>
    <w:p w:rsidR="008A40CB" w:rsidRDefault="00240969" w:rsidP="006A60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ACCAN also believes that </w:t>
      </w:r>
      <w:r w:rsidR="00E257EE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complaint figures </w:t>
      </w:r>
      <w:r w:rsidR="00E257EE">
        <w:rPr>
          <w:sz w:val="24"/>
          <w:szCs w:val="24"/>
        </w:rPr>
        <w:t>may underrepresent</w:t>
      </w:r>
      <w:r>
        <w:rPr>
          <w:sz w:val="24"/>
          <w:szCs w:val="24"/>
        </w:rPr>
        <w:t xml:space="preserve"> the extent of the problem.  In 2015, ACCAN commissioned a Galaxy Poll on </w:t>
      </w:r>
      <w:r w:rsidR="00124B0D">
        <w:rPr>
          <w:sz w:val="24"/>
          <w:szCs w:val="24"/>
        </w:rPr>
        <w:t>telecommunications</w:t>
      </w:r>
      <w:r>
        <w:rPr>
          <w:sz w:val="24"/>
          <w:szCs w:val="24"/>
        </w:rPr>
        <w:t xml:space="preserve"> complaints.  The survey found that only 9% of consumers who were dis</w:t>
      </w:r>
      <w:r w:rsidR="00D9460C">
        <w:rPr>
          <w:sz w:val="24"/>
          <w:szCs w:val="24"/>
        </w:rPr>
        <w:t>sa</w:t>
      </w:r>
      <w:r>
        <w:rPr>
          <w:sz w:val="24"/>
          <w:szCs w:val="24"/>
        </w:rPr>
        <w:t>ti</w:t>
      </w:r>
      <w:r w:rsidR="00D9460C">
        <w:rPr>
          <w:sz w:val="24"/>
          <w:szCs w:val="24"/>
        </w:rPr>
        <w:t>s</w:t>
      </w:r>
      <w:r>
        <w:rPr>
          <w:sz w:val="24"/>
          <w:szCs w:val="24"/>
        </w:rPr>
        <w:t xml:space="preserve">fied with the provider’s response to a complaint actually made a complaint to the TIO.  This reduced to 5% of consumers when also taking into account </w:t>
      </w:r>
      <w:r w:rsidR="00394030">
        <w:rPr>
          <w:sz w:val="24"/>
          <w:szCs w:val="24"/>
        </w:rPr>
        <w:t>those</w:t>
      </w:r>
      <w:r>
        <w:rPr>
          <w:sz w:val="24"/>
          <w:szCs w:val="24"/>
        </w:rPr>
        <w:t xml:space="preserve"> who had a problem but didn’t contact their provider in the first instance.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 w:rsidR="00E609E2">
        <w:rPr>
          <w:sz w:val="24"/>
          <w:szCs w:val="24"/>
        </w:rPr>
        <w:t xml:space="preserve"> </w:t>
      </w:r>
      <w:r w:rsidR="00394030">
        <w:rPr>
          <w:sz w:val="24"/>
          <w:szCs w:val="24"/>
        </w:rPr>
        <w:t>Accordingly, w</w:t>
      </w:r>
      <w:r w:rsidR="00E609E2">
        <w:rPr>
          <w:sz w:val="24"/>
          <w:szCs w:val="24"/>
        </w:rPr>
        <w:t>e believe that it is possible that a large</w:t>
      </w:r>
      <w:r w:rsidR="007E2E5B">
        <w:rPr>
          <w:sz w:val="24"/>
          <w:szCs w:val="24"/>
        </w:rPr>
        <w:t>r</w:t>
      </w:r>
      <w:r w:rsidR="00E609E2">
        <w:rPr>
          <w:sz w:val="24"/>
          <w:szCs w:val="24"/>
        </w:rPr>
        <w:t xml:space="preserve"> group of consumers are not speaking up but are suffering detriment from</w:t>
      </w:r>
      <w:r w:rsidR="007E2E5B">
        <w:rPr>
          <w:sz w:val="24"/>
          <w:szCs w:val="24"/>
        </w:rPr>
        <w:t xml:space="preserve"> the operation of these services. </w:t>
      </w:r>
      <w:r w:rsidR="00E609E2" w:rsidRPr="00E609E2">
        <w:rPr>
          <w:sz w:val="24"/>
          <w:szCs w:val="24"/>
        </w:rPr>
        <w:t xml:space="preserve"> </w:t>
      </w:r>
      <w:r w:rsidR="00E609E2">
        <w:rPr>
          <w:sz w:val="24"/>
          <w:szCs w:val="24"/>
        </w:rPr>
        <w:br/>
      </w:r>
      <w:r w:rsidR="00E609E2">
        <w:rPr>
          <w:sz w:val="24"/>
          <w:szCs w:val="24"/>
        </w:rPr>
        <w:br/>
      </w:r>
      <w:r w:rsidR="007E2E5B">
        <w:rPr>
          <w:sz w:val="24"/>
          <w:szCs w:val="24"/>
        </w:rPr>
        <w:t xml:space="preserve">ACCAN has long been concerned that the underlying business model behind MPS/DCB services relies </w:t>
      </w:r>
      <w:r w:rsidR="00067746">
        <w:rPr>
          <w:sz w:val="24"/>
          <w:szCs w:val="24"/>
        </w:rPr>
        <w:t xml:space="preserve">on a </w:t>
      </w:r>
      <w:r w:rsidR="007015A7">
        <w:rPr>
          <w:sz w:val="24"/>
          <w:szCs w:val="24"/>
        </w:rPr>
        <w:t xml:space="preserve">percentage </w:t>
      </w:r>
      <w:r w:rsidR="007E2E5B" w:rsidRPr="00CE1847">
        <w:rPr>
          <w:sz w:val="24"/>
          <w:szCs w:val="24"/>
        </w:rPr>
        <w:t xml:space="preserve">of consumers who will tolerate paying </w:t>
      </w:r>
      <w:r w:rsidR="00067746">
        <w:rPr>
          <w:sz w:val="24"/>
          <w:szCs w:val="24"/>
        </w:rPr>
        <w:t xml:space="preserve">for a </w:t>
      </w:r>
      <w:r w:rsidR="007E2E5B" w:rsidRPr="00CE1847">
        <w:rPr>
          <w:sz w:val="24"/>
          <w:szCs w:val="24"/>
        </w:rPr>
        <w:t>one off charge</w:t>
      </w:r>
      <w:r w:rsidR="00067746">
        <w:rPr>
          <w:sz w:val="24"/>
          <w:szCs w:val="24"/>
        </w:rPr>
        <w:t>/short term subscription</w:t>
      </w:r>
      <w:r w:rsidR="007E2E5B" w:rsidRPr="00CE1847">
        <w:rPr>
          <w:sz w:val="24"/>
          <w:szCs w:val="24"/>
        </w:rPr>
        <w:t>, rather than go through the inconvenience of contacting their provider</w:t>
      </w:r>
      <w:r w:rsidR="007E6C93">
        <w:rPr>
          <w:sz w:val="24"/>
          <w:szCs w:val="24"/>
        </w:rPr>
        <w:t xml:space="preserve"> and then the content provider</w:t>
      </w:r>
      <w:r w:rsidR="007E2E5B" w:rsidRPr="00CE1847">
        <w:rPr>
          <w:sz w:val="24"/>
          <w:szCs w:val="24"/>
        </w:rPr>
        <w:t xml:space="preserve"> to disput</w:t>
      </w:r>
      <w:r w:rsidR="007E6C93">
        <w:rPr>
          <w:sz w:val="24"/>
          <w:szCs w:val="24"/>
        </w:rPr>
        <w:t>e</w:t>
      </w:r>
      <w:r w:rsidR="007E2E5B" w:rsidRPr="00CE1847">
        <w:rPr>
          <w:sz w:val="24"/>
          <w:szCs w:val="24"/>
        </w:rPr>
        <w:t xml:space="preserve"> the charge. </w:t>
      </w:r>
      <w:r w:rsidR="007E6C93">
        <w:rPr>
          <w:sz w:val="24"/>
          <w:szCs w:val="24"/>
        </w:rPr>
        <w:t xml:space="preserve">Consumers in this situation </w:t>
      </w:r>
      <w:r w:rsidR="00CE1847">
        <w:rPr>
          <w:sz w:val="24"/>
          <w:szCs w:val="24"/>
        </w:rPr>
        <w:t xml:space="preserve">may </w:t>
      </w:r>
      <w:r w:rsidR="00CE1847" w:rsidRPr="00DB1412">
        <w:rPr>
          <w:sz w:val="24"/>
          <w:szCs w:val="24"/>
        </w:rPr>
        <w:t>have</w:t>
      </w:r>
      <w:r w:rsidR="00E609E2" w:rsidRPr="00DB1412">
        <w:rPr>
          <w:sz w:val="24"/>
          <w:szCs w:val="24"/>
        </w:rPr>
        <w:t xml:space="preserve"> n</w:t>
      </w:r>
      <w:r w:rsidR="00E609E2">
        <w:rPr>
          <w:sz w:val="24"/>
          <w:szCs w:val="24"/>
        </w:rPr>
        <w:t>ot subscribed to these services or have subscribed inadvertently, or been subscribed by minors who had access to caregivers’ phones.</w:t>
      </w:r>
      <w:r w:rsidR="0034312D">
        <w:rPr>
          <w:sz w:val="24"/>
          <w:szCs w:val="24"/>
        </w:rPr>
        <w:br/>
      </w:r>
      <w:r w:rsidR="0034312D">
        <w:rPr>
          <w:sz w:val="24"/>
          <w:szCs w:val="24"/>
        </w:rPr>
        <w:br/>
      </w:r>
      <w:r w:rsidR="00E609E2">
        <w:rPr>
          <w:sz w:val="24"/>
          <w:szCs w:val="24"/>
        </w:rPr>
        <w:t xml:space="preserve">Furthermore, </w:t>
      </w:r>
      <w:r w:rsidR="00C40070" w:rsidRPr="00DB1412">
        <w:rPr>
          <w:sz w:val="24"/>
          <w:szCs w:val="24"/>
        </w:rPr>
        <w:t xml:space="preserve">ACCAN </w:t>
      </w:r>
      <w:r w:rsidR="00D52311">
        <w:rPr>
          <w:sz w:val="24"/>
          <w:szCs w:val="24"/>
        </w:rPr>
        <w:t xml:space="preserve">remains concerned that </w:t>
      </w:r>
      <w:r w:rsidR="008858FD">
        <w:rPr>
          <w:sz w:val="24"/>
          <w:szCs w:val="24"/>
        </w:rPr>
        <w:t>CSPs</w:t>
      </w:r>
      <w:r w:rsidR="00D52311">
        <w:rPr>
          <w:sz w:val="24"/>
          <w:szCs w:val="24"/>
        </w:rPr>
        <w:t xml:space="preserve"> </w:t>
      </w:r>
      <w:r w:rsidR="00C40070">
        <w:rPr>
          <w:sz w:val="24"/>
          <w:szCs w:val="24"/>
        </w:rPr>
        <w:t>continue</w:t>
      </w:r>
      <w:r w:rsidR="00D52311">
        <w:rPr>
          <w:sz w:val="24"/>
          <w:szCs w:val="24"/>
        </w:rPr>
        <w:t xml:space="preserve"> to enter</w:t>
      </w:r>
      <w:r w:rsidR="00C40070">
        <w:rPr>
          <w:sz w:val="24"/>
          <w:szCs w:val="24"/>
        </w:rPr>
        <w:t xml:space="preserve"> into contracts with </w:t>
      </w:r>
      <w:r w:rsidR="00D52311">
        <w:rPr>
          <w:sz w:val="24"/>
          <w:szCs w:val="24"/>
        </w:rPr>
        <w:t xml:space="preserve">Content Suppliers </w:t>
      </w:r>
      <w:r w:rsidR="00C40070" w:rsidRPr="00DB1412">
        <w:rPr>
          <w:sz w:val="24"/>
          <w:szCs w:val="24"/>
        </w:rPr>
        <w:t xml:space="preserve">who have </w:t>
      </w:r>
      <w:r w:rsidR="0034312D">
        <w:rPr>
          <w:sz w:val="24"/>
          <w:szCs w:val="24"/>
        </w:rPr>
        <w:t>little</w:t>
      </w:r>
      <w:r w:rsidR="00C40070" w:rsidRPr="00DB1412">
        <w:rPr>
          <w:sz w:val="24"/>
          <w:szCs w:val="24"/>
        </w:rPr>
        <w:t xml:space="preserve"> </w:t>
      </w:r>
      <w:r w:rsidR="00D52311">
        <w:rPr>
          <w:sz w:val="24"/>
          <w:szCs w:val="24"/>
        </w:rPr>
        <w:t>market reputation and therefore little incentive to comply</w:t>
      </w:r>
      <w:r w:rsidR="00C40070">
        <w:rPr>
          <w:sz w:val="24"/>
          <w:szCs w:val="24"/>
        </w:rPr>
        <w:t xml:space="preserve"> with any form of regulation.   </w:t>
      </w:r>
      <w:r w:rsidR="00114479">
        <w:rPr>
          <w:sz w:val="24"/>
          <w:szCs w:val="24"/>
        </w:rPr>
        <w:t>Over the years through several submissions, ACCAN has pointed out</w:t>
      </w:r>
      <w:r w:rsidR="00C40070">
        <w:rPr>
          <w:sz w:val="24"/>
          <w:szCs w:val="24"/>
        </w:rPr>
        <w:t xml:space="preserve"> the</w:t>
      </w:r>
      <w:r w:rsidR="00C40070" w:rsidRPr="00DB1412">
        <w:rPr>
          <w:sz w:val="24"/>
          <w:szCs w:val="24"/>
        </w:rPr>
        <w:t xml:space="preserve"> poor sales practices </w:t>
      </w:r>
      <w:r w:rsidR="00C40070">
        <w:rPr>
          <w:sz w:val="24"/>
          <w:szCs w:val="24"/>
        </w:rPr>
        <w:t>of</w:t>
      </w:r>
      <w:r w:rsidR="00E609E2">
        <w:rPr>
          <w:sz w:val="24"/>
          <w:szCs w:val="24"/>
        </w:rPr>
        <w:t xml:space="preserve"> some of</w:t>
      </w:r>
      <w:r w:rsidR="00C40070">
        <w:rPr>
          <w:sz w:val="24"/>
          <w:szCs w:val="24"/>
        </w:rPr>
        <w:t xml:space="preserve"> these </w:t>
      </w:r>
      <w:r w:rsidR="00114479">
        <w:rPr>
          <w:sz w:val="24"/>
          <w:szCs w:val="24"/>
        </w:rPr>
        <w:t>companies</w:t>
      </w:r>
      <w:r w:rsidR="00C40070">
        <w:rPr>
          <w:sz w:val="24"/>
          <w:szCs w:val="24"/>
        </w:rPr>
        <w:t xml:space="preserve"> </w:t>
      </w:r>
      <w:r w:rsidR="00C40070" w:rsidRPr="00DB1412">
        <w:rPr>
          <w:sz w:val="24"/>
          <w:szCs w:val="24"/>
        </w:rPr>
        <w:t xml:space="preserve">and </w:t>
      </w:r>
      <w:r w:rsidR="00C40070">
        <w:rPr>
          <w:sz w:val="24"/>
          <w:szCs w:val="24"/>
        </w:rPr>
        <w:t xml:space="preserve">the </w:t>
      </w:r>
      <w:r w:rsidR="00C40070" w:rsidRPr="00DB1412">
        <w:rPr>
          <w:sz w:val="24"/>
          <w:szCs w:val="24"/>
        </w:rPr>
        <w:t xml:space="preserve">difficulty in contacting </w:t>
      </w:r>
      <w:r w:rsidR="00C40070">
        <w:rPr>
          <w:sz w:val="24"/>
          <w:szCs w:val="24"/>
        </w:rPr>
        <w:t xml:space="preserve">them, </w:t>
      </w:r>
      <w:r w:rsidR="00C40070" w:rsidRPr="00DB1412">
        <w:rPr>
          <w:sz w:val="24"/>
          <w:szCs w:val="24"/>
        </w:rPr>
        <w:t xml:space="preserve">many of </w:t>
      </w:r>
      <w:r w:rsidR="00C40070">
        <w:rPr>
          <w:sz w:val="24"/>
          <w:szCs w:val="24"/>
        </w:rPr>
        <w:t>whom</w:t>
      </w:r>
      <w:r w:rsidR="00C40070" w:rsidRPr="00DB1412">
        <w:rPr>
          <w:sz w:val="24"/>
          <w:szCs w:val="24"/>
        </w:rPr>
        <w:t xml:space="preserve"> are based overseas.</w:t>
      </w:r>
      <w:r w:rsidR="008858FD">
        <w:rPr>
          <w:rStyle w:val="FootnoteReference"/>
          <w:sz w:val="24"/>
          <w:szCs w:val="24"/>
        </w:rPr>
        <w:footnoteReference w:id="4"/>
      </w:r>
      <w:r w:rsidR="009E3CFB" w:rsidRPr="009E3CFB">
        <w:rPr>
          <w:sz w:val="24"/>
          <w:szCs w:val="24"/>
        </w:rPr>
        <w:t xml:space="preserve"> </w:t>
      </w:r>
      <w:r w:rsidR="00D229D3">
        <w:rPr>
          <w:sz w:val="24"/>
          <w:szCs w:val="24"/>
        </w:rPr>
        <w:t xml:space="preserve"> </w:t>
      </w:r>
      <w:r w:rsidR="00A9639E">
        <w:rPr>
          <w:sz w:val="24"/>
          <w:szCs w:val="24"/>
        </w:rPr>
        <w:br/>
      </w:r>
      <w:r w:rsidR="00A9639E">
        <w:rPr>
          <w:sz w:val="24"/>
          <w:szCs w:val="24"/>
        </w:rPr>
        <w:br/>
      </w:r>
      <w:r w:rsidR="00CD2ABE">
        <w:rPr>
          <w:sz w:val="24"/>
          <w:szCs w:val="24"/>
        </w:rPr>
        <w:t xml:space="preserve">These issues are not unique to MPS.  </w:t>
      </w:r>
      <w:r w:rsidR="008858FD">
        <w:rPr>
          <w:sz w:val="24"/>
          <w:szCs w:val="24"/>
        </w:rPr>
        <w:t xml:space="preserve">Over the years, </w:t>
      </w:r>
      <w:r w:rsidR="00CD2ABE">
        <w:rPr>
          <w:sz w:val="24"/>
          <w:szCs w:val="24"/>
        </w:rPr>
        <w:t xml:space="preserve">ACCAN has witnessed these issues </w:t>
      </w:r>
      <w:r w:rsidR="00E609E2">
        <w:rPr>
          <w:sz w:val="24"/>
          <w:szCs w:val="24"/>
        </w:rPr>
        <w:t>across other telecommunications</w:t>
      </w:r>
      <w:r w:rsidR="00CD2ABE">
        <w:rPr>
          <w:sz w:val="24"/>
          <w:szCs w:val="24"/>
        </w:rPr>
        <w:t xml:space="preserve"> products</w:t>
      </w:r>
      <w:r w:rsidR="00704FEB">
        <w:rPr>
          <w:sz w:val="24"/>
          <w:szCs w:val="24"/>
        </w:rPr>
        <w:t xml:space="preserve"> based on the same business model</w:t>
      </w:r>
      <w:r w:rsidR="00CD2ABE">
        <w:rPr>
          <w:sz w:val="24"/>
          <w:szCs w:val="24"/>
        </w:rPr>
        <w:t>.  The first of these was the introduction of 1900/1902 premium call numbers</w:t>
      </w:r>
      <w:r w:rsidR="00E779F0">
        <w:rPr>
          <w:sz w:val="24"/>
          <w:szCs w:val="24"/>
        </w:rPr>
        <w:t>, often advertised on late night TV</w:t>
      </w:r>
      <w:r w:rsidR="00CD2ABE">
        <w:rPr>
          <w:sz w:val="24"/>
          <w:szCs w:val="24"/>
        </w:rPr>
        <w:t xml:space="preserve">.  </w:t>
      </w:r>
      <w:r w:rsidR="0046380F">
        <w:rPr>
          <w:sz w:val="24"/>
          <w:szCs w:val="24"/>
        </w:rPr>
        <w:t>Then, i</w:t>
      </w:r>
      <w:r w:rsidR="00CD2ABE">
        <w:rPr>
          <w:sz w:val="24"/>
          <w:szCs w:val="24"/>
        </w:rPr>
        <w:t>n the early 2000s, MPS gained traction amongst consumers</w:t>
      </w:r>
      <w:r w:rsidR="009E43BB">
        <w:rPr>
          <w:sz w:val="24"/>
          <w:szCs w:val="24"/>
        </w:rPr>
        <w:t xml:space="preserve"> as smartphone penetration increased</w:t>
      </w:r>
      <w:r w:rsidR="00CD2ABE">
        <w:rPr>
          <w:sz w:val="24"/>
          <w:szCs w:val="24"/>
        </w:rPr>
        <w:t>, particularly among you</w:t>
      </w:r>
      <w:r w:rsidR="00067746">
        <w:rPr>
          <w:sz w:val="24"/>
          <w:szCs w:val="24"/>
        </w:rPr>
        <w:t>nger</w:t>
      </w:r>
      <w:r w:rsidR="00CD2ABE">
        <w:rPr>
          <w:sz w:val="24"/>
          <w:szCs w:val="24"/>
        </w:rPr>
        <w:t xml:space="preserve"> consumers. </w:t>
      </w:r>
      <w:r w:rsidR="0046380F">
        <w:rPr>
          <w:sz w:val="24"/>
          <w:szCs w:val="24"/>
        </w:rPr>
        <w:t xml:space="preserve"> </w:t>
      </w:r>
      <w:r w:rsidR="00CE1847">
        <w:rPr>
          <w:sz w:val="24"/>
          <w:szCs w:val="24"/>
        </w:rPr>
        <w:t>Recently,</w:t>
      </w:r>
      <w:r w:rsidR="00CD2ABE">
        <w:rPr>
          <w:sz w:val="24"/>
          <w:szCs w:val="24"/>
        </w:rPr>
        <w:t xml:space="preserve"> Direct Carrier Billing has </w:t>
      </w:r>
      <w:r w:rsidR="00CE1847">
        <w:rPr>
          <w:sz w:val="24"/>
          <w:szCs w:val="24"/>
        </w:rPr>
        <w:t>emerged.</w:t>
      </w:r>
      <w:r w:rsidR="00CD2ABE">
        <w:rPr>
          <w:sz w:val="24"/>
          <w:szCs w:val="24"/>
        </w:rPr>
        <w:t xml:space="preserve">  </w:t>
      </w:r>
      <w:r w:rsidR="008858FD">
        <w:rPr>
          <w:sz w:val="24"/>
          <w:szCs w:val="24"/>
        </w:rPr>
        <w:t>All of t</w:t>
      </w:r>
      <w:r w:rsidR="00CD2ABE">
        <w:rPr>
          <w:sz w:val="24"/>
          <w:szCs w:val="24"/>
        </w:rPr>
        <w:t>hese services operate quite similarly and sometimes in ways that create risk</w:t>
      </w:r>
      <w:r w:rsidR="008858FD">
        <w:rPr>
          <w:sz w:val="24"/>
          <w:szCs w:val="24"/>
        </w:rPr>
        <w:t>s for</w:t>
      </w:r>
      <w:r w:rsidR="00CD2ABE">
        <w:rPr>
          <w:sz w:val="24"/>
          <w:szCs w:val="24"/>
        </w:rPr>
        <w:t xml:space="preserve"> consumers.   History tells us that consumers need strong protections and transparency when using these services.</w:t>
      </w:r>
      <w:r w:rsidR="00CD2ABE">
        <w:rPr>
          <w:sz w:val="24"/>
          <w:szCs w:val="24"/>
        </w:rPr>
        <w:br/>
      </w:r>
      <w:r w:rsidR="00C40070">
        <w:rPr>
          <w:sz w:val="24"/>
          <w:szCs w:val="24"/>
        </w:rPr>
        <w:br/>
        <w:t>We recognise</w:t>
      </w:r>
      <w:r w:rsidR="00B10845">
        <w:rPr>
          <w:sz w:val="24"/>
          <w:szCs w:val="24"/>
        </w:rPr>
        <w:t xml:space="preserve"> that</w:t>
      </w:r>
      <w:r w:rsidR="00C40070">
        <w:rPr>
          <w:sz w:val="24"/>
          <w:szCs w:val="24"/>
        </w:rPr>
        <w:t xml:space="preserve"> </w:t>
      </w:r>
      <w:r w:rsidR="006A6000">
        <w:rPr>
          <w:sz w:val="24"/>
          <w:szCs w:val="24"/>
        </w:rPr>
        <w:t xml:space="preserve">MPS and DCB is an area where CSPs have tried to </w:t>
      </w:r>
      <w:r w:rsidR="007E6C93">
        <w:rPr>
          <w:sz w:val="24"/>
          <w:szCs w:val="24"/>
        </w:rPr>
        <w:t xml:space="preserve">risk manage by </w:t>
      </w:r>
      <w:r w:rsidR="006A6000">
        <w:rPr>
          <w:sz w:val="24"/>
          <w:szCs w:val="24"/>
        </w:rPr>
        <w:t>distanc</w:t>
      </w:r>
      <w:r w:rsidR="007E6C93">
        <w:rPr>
          <w:sz w:val="24"/>
          <w:szCs w:val="24"/>
        </w:rPr>
        <w:t>ing</w:t>
      </w:r>
      <w:r w:rsidR="006A6000">
        <w:rPr>
          <w:sz w:val="24"/>
          <w:szCs w:val="24"/>
        </w:rPr>
        <w:t xml:space="preserve"> themselves from </w:t>
      </w:r>
      <w:r w:rsidR="007E6C93">
        <w:rPr>
          <w:sz w:val="24"/>
          <w:szCs w:val="24"/>
        </w:rPr>
        <w:t xml:space="preserve">direct responsibility for </w:t>
      </w:r>
      <w:r w:rsidR="006A6000">
        <w:rPr>
          <w:sz w:val="24"/>
          <w:szCs w:val="24"/>
        </w:rPr>
        <w:t xml:space="preserve"> issues that arise, </w:t>
      </w:r>
      <w:r w:rsidR="007E6C93">
        <w:rPr>
          <w:sz w:val="24"/>
          <w:szCs w:val="24"/>
        </w:rPr>
        <w:t xml:space="preserve">on the basis </w:t>
      </w:r>
      <w:r w:rsidR="006A6000">
        <w:rPr>
          <w:sz w:val="24"/>
          <w:szCs w:val="24"/>
        </w:rPr>
        <w:t xml:space="preserve"> that they </w:t>
      </w:r>
      <w:r w:rsidR="006A6000">
        <w:rPr>
          <w:sz w:val="24"/>
          <w:szCs w:val="24"/>
        </w:rPr>
        <w:lastRenderedPageBreak/>
        <w:t xml:space="preserve">are merely billing conduits and not responsible for any complaints. </w:t>
      </w:r>
      <w:r w:rsidR="00A9639E">
        <w:rPr>
          <w:sz w:val="24"/>
          <w:szCs w:val="24"/>
        </w:rPr>
        <w:t xml:space="preserve"> </w:t>
      </w:r>
      <w:r w:rsidR="00C40070">
        <w:rPr>
          <w:sz w:val="24"/>
          <w:szCs w:val="24"/>
        </w:rPr>
        <w:t>However, we believe that</w:t>
      </w:r>
      <w:r w:rsidR="007E6C93">
        <w:rPr>
          <w:sz w:val="24"/>
          <w:szCs w:val="24"/>
        </w:rPr>
        <w:t xml:space="preserve"> </w:t>
      </w:r>
      <w:r w:rsidR="00C40070">
        <w:rPr>
          <w:sz w:val="24"/>
          <w:szCs w:val="24"/>
        </w:rPr>
        <w:t>CSP</w:t>
      </w:r>
      <w:r w:rsidR="00A9639E">
        <w:rPr>
          <w:sz w:val="24"/>
          <w:szCs w:val="24"/>
        </w:rPr>
        <w:t>s</w:t>
      </w:r>
      <w:r w:rsidR="00BC788F">
        <w:rPr>
          <w:sz w:val="24"/>
          <w:szCs w:val="24"/>
        </w:rPr>
        <w:t xml:space="preserve"> are</w:t>
      </w:r>
      <w:r w:rsidR="006A6000">
        <w:rPr>
          <w:sz w:val="24"/>
          <w:szCs w:val="24"/>
        </w:rPr>
        <w:t xml:space="preserve"> practical intermediaries</w:t>
      </w:r>
      <w:r w:rsidR="007E6C93">
        <w:rPr>
          <w:sz w:val="24"/>
          <w:szCs w:val="24"/>
        </w:rPr>
        <w:t xml:space="preserve">. As such, </w:t>
      </w:r>
      <w:r w:rsidR="00704FEB">
        <w:rPr>
          <w:sz w:val="24"/>
          <w:szCs w:val="24"/>
        </w:rPr>
        <w:t xml:space="preserve">they </w:t>
      </w:r>
      <w:r w:rsidR="00C40070">
        <w:rPr>
          <w:sz w:val="24"/>
          <w:szCs w:val="24"/>
        </w:rPr>
        <w:t xml:space="preserve">need to </w:t>
      </w:r>
      <w:r w:rsidR="00704FEB">
        <w:rPr>
          <w:sz w:val="24"/>
          <w:szCs w:val="24"/>
        </w:rPr>
        <w:t>take on more responsibility for</w:t>
      </w:r>
      <w:r w:rsidR="006A6000">
        <w:rPr>
          <w:sz w:val="24"/>
          <w:szCs w:val="24"/>
        </w:rPr>
        <w:t xml:space="preserve"> how these services operate and how problems can be prevented in the first place. </w:t>
      </w:r>
      <w:r w:rsidR="00C40070">
        <w:rPr>
          <w:sz w:val="24"/>
          <w:szCs w:val="24"/>
        </w:rPr>
        <w:t xml:space="preserve"> </w:t>
      </w:r>
      <w:r w:rsidR="00704FEB">
        <w:rPr>
          <w:sz w:val="24"/>
          <w:szCs w:val="24"/>
        </w:rPr>
        <w:t xml:space="preserve">This is particularly the case as CSPs derive income from the services. </w:t>
      </w:r>
      <w:r w:rsidR="006A6000">
        <w:rPr>
          <w:sz w:val="24"/>
          <w:szCs w:val="24"/>
        </w:rPr>
        <w:br/>
      </w:r>
    </w:p>
    <w:p w:rsidR="00D52311" w:rsidRDefault="008A40CB" w:rsidP="008A40CB">
      <w:pPr>
        <w:pStyle w:val="BodyTex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Clearly, the time has come for the Code to be significantly updated to take into account </w:t>
      </w:r>
      <w:r w:rsidR="006A6000">
        <w:rPr>
          <w:rFonts w:asciiTheme="minorHAnsi" w:hAnsiTheme="minorHAnsi"/>
          <w:sz w:val="24"/>
          <w:szCs w:val="24"/>
        </w:rPr>
        <w:t xml:space="preserve">these issues.  We </w:t>
      </w:r>
      <w:r w:rsidR="00BC788F">
        <w:rPr>
          <w:rFonts w:asciiTheme="minorHAnsi" w:hAnsiTheme="minorHAnsi"/>
          <w:sz w:val="24"/>
          <w:szCs w:val="24"/>
        </w:rPr>
        <w:t>note</w:t>
      </w:r>
      <w:r w:rsidR="006A6000">
        <w:rPr>
          <w:rFonts w:asciiTheme="minorHAnsi" w:hAnsiTheme="minorHAnsi"/>
          <w:sz w:val="24"/>
          <w:szCs w:val="24"/>
        </w:rPr>
        <w:t xml:space="preserve"> the following </w:t>
      </w:r>
      <w:r w:rsidR="00BC788F">
        <w:rPr>
          <w:rFonts w:asciiTheme="minorHAnsi" w:hAnsiTheme="minorHAnsi"/>
          <w:sz w:val="24"/>
          <w:szCs w:val="24"/>
        </w:rPr>
        <w:t xml:space="preserve">key issues that should be addressed in the review of the Code.  </w:t>
      </w:r>
    </w:p>
    <w:p w:rsidR="009C3E55" w:rsidRPr="009C3E55" w:rsidRDefault="00191977" w:rsidP="009C3E55">
      <w:pPr>
        <w:pStyle w:val="BodyText1"/>
        <w:numPr>
          <w:ilvl w:val="0"/>
          <w:numId w:val="43"/>
        </w:num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 Carrier Billing</w:t>
      </w:r>
    </w:p>
    <w:p w:rsidR="00AD3767" w:rsidRPr="009C3E55" w:rsidRDefault="006A6000" w:rsidP="009C3E55">
      <w:pPr>
        <w:pStyle w:val="BodyText1"/>
        <w:rPr>
          <w:rFonts w:asciiTheme="minorHAnsi" w:hAnsiTheme="minorHAnsi"/>
          <w:b/>
          <w:i/>
          <w:sz w:val="24"/>
          <w:szCs w:val="24"/>
        </w:rPr>
      </w:pPr>
      <w:r w:rsidRPr="009C3E55">
        <w:rPr>
          <w:rFonts w:asciiTheme="minorHAnsi" w:hAnsiTheme="minorHAnsi"/>
          <w:sz w:val="24"/>
          <w:szCs w:val="24"/>
        </w:rPr>
        <w:t xml:space="preserve">ACCAN strongly advises that the Code should cover services provided through Direct Carrier Billing.  </w:t>
      </w:r>
      <w:r w:rsidR="00AD3767" w:rsidRPr="009C3E55">
        <w:rPr>
          <w:rFonts w:asciiTheme="minorHAnsi" w:hAnsiTheme="minorHAnsi"/>
          <w:sz w:val="24"/>
          <w:szCs w:val="24"/>
        </w:rPr>
        <w:t xml:space="preserve">Direct carrier billing is where mobile providers allow third party businesses to bill customers for services via the customer’s phone bill. </w:t>
      </w:r>
      <w:r w:rsidR="000359A4" w:rsidRPr="009C3E55">
        <w:rPr>
          <w:rFonts w:asciiTheme="minorHAnsi" w:hAnsiTheme="minorHAnsi"/>
          <w:sz w:val="24"/>
          <w:szCs w:val="24"/>
        </w:rPr>
        <w:t>At present, DCB is only available for digital content (for example games, apps and media content).  However</w:t>
      </w:r>
      <w:r w:rsidR="00E90EB5">
        <w:rPr>
          <w:rFonts w:asciiTheme="minorHAnsi" w:hAnsiTheme="minorHAnsi"/>
          <w:sz w:val="24"/>
          <w:szCs w:val="24"/>
        </w:rPr>
        <w:t xml:space="preserve">, there is evidence to suggest </w:t>
      </w:r>
      <w:r w:rsidR="00CE1847">
        <w:rPr>
          <w:rFonts w:asciiTheme="minorHAnsi" w:hAnsiTheme="minorHAnsi"/>
          <w:sz w:val="24"/>
          <w:szCs w:val="24"/>
        </w:rPr>
        <w:t xml:space="preserve">that </w:t>
      </w:r>
      <w:r w:rsidR="00CE1847" w:rsidRPr="009C3E55">
        <w:rPr>
          <w:rFonts w:asciiTheme="minorHAnsi" w:hAnsiTheme="minorHAnsi"/>
          <w:sz w:val="24"/>
          <w:szCs w:val="24"/>
        </w:rPr>
        <w:t>direct</w:t>
      </w:r>
      <w:r w:rsidR="00AD3767" w:rsidRPr="009C3E55">
        <w:rPr>
          <w:rFonts w:asciiTheme="minorHAnsi" w:hAnsiTheme="minorHAnsi"/>
          <w:sz w:val="24"/>
          <w:szCs w:val="24"/>
        </w:rPr>
        <w:t xml:space="preserve"> carrier billing </w:t>
      </w:r>
      <w:r w:rsidR="00E90EB5">
        <w:rPr>
          <w:rFonts w:asciiTheme="minorHAnsi" w:hAnsiTheme="minorHAnsi"/>
          <w:sz w:val="24"/>
          <w:szCs w:val="24"/>
        </w:rPr>
        <w:t xml:space="preserve">will </w:t>
      </w:r>
      <w:r w:rsidR="00AD3767" w:rsidRPr="009C3E55">
        <w:rPr>
          <w:rFonts w:asciiTheme="minorHAnsi" w:hAnsiTheme="minorHAnsi"/>
          <w:sz w:val="24"/>
          <w:szCs w:val="24"/>
        </w:rPr>
        <w:t>extend to payments for other goods and services including online auction sites and other online retailers and in-store purchases.  In the UK, consumers can charge bus tickets and magazines to their phone bills.</w:t>
      </w:r>
      <w:r w:rsidR="00AD3767" w:rsidRPr="00DB1412">
        <w:rPr>
          <w:rStyle w:val="FootnoteReference"/>
          <w:rFonts w:asciiTheme="minorHAnsi" w:hAnsiTheme="minorHAnsi"/>
          <w:sz w:val="24"/>
          <w:szCs w:val="24"/>
        </w:rPr>
        <w:footnoteReference w:id="5"/>
      </w:r>
      <w:r w:rsidR="00AD3767" w:rsidRPr="009C3E55">
        <w:rPr>
          <w:rFonts w:asciiTheme="minorHAnsi" w:hAnsiTheme="minorHAnsi"/>
          <w:sz w:val="24"/>
          <w:szCs w:val="24"/>
        </w:rPr>
        <w:t xml:space="preserve">   We also note that direct carrier billing services require a financial services licence in some countries, including </w:t>
      </w:r>
      <w:r w:rsidR="00530778" w:rsidRPr="009C3E55">
        <w:rPr>
          <w:rFonts w:asciiTheme="minorHAnsi" w:hAnsiTheme="minorHAnsi"/>
          <w:sz w:val="24"/>
          <w:szCs w:val="24"/>
        </w:rPr>
        <w:t>across Europe</w:t>
      </w:r>
      <w:r w:rsidR="00AD3767" w:rsidRPr="009C3E55">
        <w:rPr>
          <w:rFonts w:asciiTheme="minorHAnsi" w:hAnsiTheme="minorHAnsi"/>
          <w:sz w:val="24"/>
          <w:szCs w:val="24"/>
        </w:rPr>
        <w:t>.</w:t>
      </w:r>
      <w:r w:rsidR="000F0436">
        <w:rPr>
          <w:rStyle w:val="FootnoteReference"/>
          <w:rFonts w:asciiTheme="minorHAnsi" w:hAnsiTheme="minorHAnsi"/>
          <w:sz w:val="24"/>
          <w:szCs w:val="24"/>
        </w:rPr>
        <w:footnoteReference w:id="6"/>
      </w:r>
    </w:p>
    <w:p w:rsidR="00C40070" w:rsidRDefault="00AD3767" w:rsidP="00674C21">
      <w:pPr>
        <w:pStyle w:val="BodyText1"/>
        <w:rPr>
          <w:rFonts w:asciiTheme="minorHAnsi" w:hAnsiTheme="minorHAnsi"/>
          <w:sz w:val="24"/>
          <w:szCs w:val="24"/>
        </w:rPr>
      </w:pPr>
      <w:r w:rsidRPr="006A6000">
        <w:rPr>
          <w:rFonts w:asciiTheme="minorHAnsi" w:hAnsiTheme="minorHAnsi"/>
          <w:sz w:val="24"/>
          <w:szCs w:val="24"/>
        </w:rPr>
        <w:t xml:space="preserve">Direct Carrier Billing operates on a very similar basis to MPS, however it </w:t>
      </w:r>
      <w:r w:rsidR="00123C01">
        <w:rPr>
          <w:rFonts w:asciiTheme="minorHAnsi" w:hAnsiTheme="minorHAnsi"/>
          <w:sz w:val="24"/>
          <w:szCs w:val="24"/>
        </w:rPr>
        <w:t>does not fall within the current scope of the C</w:t>
      </w:r>
      <w:r w:rsidRPr="006A6000">
        <w:rPr>
          <w:rFonts w:asciiTheme="minorHAnsi" w:hAnsiTheme="minorHAnsi"/>
          <w:sz w:val="24"/>
          <w:szCs w:val="24"/>
        </w:rPr>
        <w:t xml:space="preserve">ode.  </w:t>
      </w:r>
      <w:r>
        <w:rPr>
          <w:rFonts w:asciiTheme="minorHAnsi" w:hAnsiTheme="minorHAnsi"/>
          <w:sz w:val="24"/>
          <w:szCs w:val="24"/>
        </w:rPr>
        <w:t xml:space="preserve"> In addition to the similarities with MPS, DCB </w:t>
      </w:r>
      <w:r w:rsidR="006A6000">
        <w:rPr>
          <w:rFonts w:asciiTheme="minorHAnsi" w:hAnsiTheme="minorHAnsi"/>
          <w:sz w:val="24"/>
          <w:szCs w:val="24"/>
        </w:rPr>
        <w:t xml:space="preserve">presents </w:t>
      </w:r>
      <w:r w:rsidR="00F01D31">
        <w:rPr>
          <w:rFonts w:asciiTheme="minorHAnsi" w:hAnsiTheme="minorHAnsi"/>
          <w:sz w:val="24"/>
          <w:szCs w:val="24"/>
        </w:rPr>
        <w:t xml:space="preserve">a unique challenge; this is that </w:t>
      </w:r>
      <w:r w:rsidR="006A6000">
        <w:rPr>
          <w:rFonts w:asciiTheme="minorHAnsi" w:hAnsiTheme="minorHAnsi"/>
          <w:sz w:val="24"/>
          <w:szCs w:val="24"/>
        </w:rPr>
        <w:t xml:space="preserve">DCB has a far greater audience reach because it provides access to content that is very popular.  This includes </w:t>
      </w:r>
      <w:r w:rsidR="000359A4">
        <w:rPr>
          <w:rFonts w:asciiTheme="minorHAnsi" w:hAnsiTheme="minorHAnsi"/>
          <w:sz w:val="24"/>
          <w:szCs w:val="24"/>
        </w:rPr>
        <w:t xml:space="preserve">the entire Google Play catalogue of </w:t>
      </w:r>
      <w:r w:rsidR="006A6000">
        <w:rPr>
          <w:rFonts w:asciiTheme="minorHAnsi" w:hAnsiTheme="minorHAnsi"/>
          <w:sz w:val="24"/>
          <w:szCs w:val="24"/>
        </w:rPr>
        <w:t>movies, TV shows, music and music streaming services, eBooks and high quality apps including games.</w:t>
      </w:r>
      <w:r w:rsidR="001E1869">
        <w:rPr>
          <w:rStyle w:val="FootnoteReference"/>
          <w:rFonts w:asciiTheme="minorHAnsi" w:hAnsiTheme="minorHAnsi"/>
          <w:sz w:val="24"/>
          <w:szCs w:val="24"/>
        </w:rPr>
        <w:footnoteReference w:id="7"/>
      </w:r>
      <w:r w:rsidR="006A60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="006A6000">
        <w:rPr>
          <w:rFonts w:asciiTheme="minorHAnsi" w:hAnsiTheme="minorHAnsi"/>
          <w:sz w:val="24"/>
          <w:szCs w:val="24"/>
        </w:rPr>
        <w:br/>
      </w:r>
      <w:r w:rsidR="00B32EE1">
        <w:rPr>
          <w:rFonts w:asciiTheme="minorHAnsi" w:hAnsiTheme="minorHAnsi"/>
          <w:sz w:val="24"/>
          <w:szCs w:val="24"/>
        </w:rPr>
        <w:t xml:space="preserve">We believe that the increase in </w:t>
      </w:r>
      <w:r w:rsidR="005B08E5">
        <w:rPr>
          <w:rFonts w:asciiTheme="minorHAnsi" w:hAnsiTheme="minorHAnsi"/>
          <w:sz w:val="24"/>
          <w:szCs w:val="24"/>
        </w:rPr>
        <w:t>third party billing</w:t>
      </w:r>
      <w:r w:rsidR="00B32EE1">
        <w:rPr>
          <w:rFonts w:asciiTheme="minorHAnsi" w:hAnsiTheme="minorHAnsi"/>
          <w:sz w:val="24"/>
          <w:szCs w:val="24"/>
        </w:rPr>
        <w:t xml:space="preserve"> complaints to the TIO can be </w:t>
      </w:r>
      <w:r w:rsidR="00CE1847">
        <w:rPr>
          <w:rFonts w:asciiTheme="minorHAnsi" w:hAnsiTheme="minorHAnsi"/>
          <w:sz w:val="24"/>
          <w:szCs w:val="24"/>
        </w:rPr>
        <w:t>significantly attributed</w:t>
      </w:r>
      <w:r w:rsidR="00B32EE1">
        <w:rPr>
          <w:rFonts w:asciiTheme="minorHAnsi" w:hAnsiTheme="minorHAnsi"/>
          <w:sz w:val="24"/>
          <w:szCs w:val="24"/>
        </w:rPr>
        <w:t xml:space="preserve"> to the rise in d</w:t>
      </w:r>
      <w:r w:rsidR="00192F47" w:rsidRPr="00DB1412">
        <w:rPr>
          <w:rFonts w:asciiTheme="minorHAnsi" w:hAnsiTheme="minorHAnsi"/>
          <w:sz w:val="24"/>
          <w:szCs w:val="24"/>
        </w:rPr>
        <w:t>irect carrier billing</w:t>
      </w:r>
      <w:r w:rsidR="00B32EE1">
        <w:rPr>
          <w:rFonts w:asciiTheme="minorHAnsi" w:hAnsiTheme="minorHAnsi"/>
          <w:sz w:val="24"/>
          <w:szCs w:val="24"/>
        </w:rPr>
        <w:t>.</w:t>
      </w:r>
      <w:r w:rsidR="00894F0A">
        <w:rPr>
          <w:rFonts w:asciiTheme="minorHAnsi" w:hAnsiTheme="minorHAnsi"/>
          <w:sz w:val="24"/>
          <w:szCs w:val="24"/>
        </w:rPr>
        <w:t xml:space="preserve"> </w:t>
      </w:r>
      <w:r w:rsidR="000F0436">
        <w:rPr>
          <w:rFonts w:asciiTheme="minorHAnsi" w:hAnsiTheme="minorHAnsi"/>
          <w:sz w:val="24"/>
          <w:szCs w:val="24"/>
        </w:rPr>
        <w:t xml:space="preserve">As noted above, </w:t>
      </w:r>
      <w:r w:rsidR="00C40070">
        <w:rPr>
          <w:rFonts w:asciiTheme="minorHAnsi" w:hAnsiTheme="minorHAnsi"/>
          <w:sz w:val="24"/>
          <w:szCs w:val="24"/>
        </w:rPr>
        <w:t xml:space="preserve">DCB </w:t>
      </w:r>
      <w:r w:rsidR="00B10845">
        <w:rPr>
          <w:rFonts w:asciiTheme="minorHAnsi" w:hAnsiTheme="minorHAnsi"/>
          <w:sz w:val="24"/>
          <w:szCs w:val="24"/>
        </w:rPr>
        <w:t>is</w:t>
      </w:r>
      <w:r w:rsidR="00C40070">
        <w:rPr>
          <w:rFonts w:asciiTheme="minorHAnsi" w:hAnsiTheme="minorHAnsi"/>
          <w:sz w:val="24"/>
          <w:szCs w:val="24"/>
        </w:rPr>
        <w:t xml:space="preserve"> </w:t>
      </w:r>
      <w:r w:rsidR="002B28FA">
        <w:rPr>
          <w:rFonts w:asciiTheme="minorHAnsi" w:hAnsiTheme="minorHAnsi"/>
          <w:sz w:val="24"/>
          <w:szCs w:val="24"/>
        </w:rPr>
        <w:t>substanti</w:t>
      </w:r>
      <w:r w:rsidR="00894F0A">
        <w:rPr>
          <w:rFonts w:asciiTheme="minorHAnsi" w:hAnsiTheme="minorHAnsi"/>
          <w:sz w:val="24"/>
          <w:szCs w:val="24"/>
        </w:rPr>
        <w:t>ally</w:t>
      </w:r>
      <w:r w:rsidR="00C40070">
        <w:rPr>
          <w:rFonts w:asciiTheme="minorHAnsi" w:hAnsiTheme="minorHAnsi"/>
          <w:sz w:val="24"/>
          <w:szCs w:val="24"/>
        </w:rPr>
        <w:t xml:space="preserve"> similar to MPS services.  Because of this, c</w:t>
      </w:r>
      <w:r w:rsidR="002B28FA">
        <w:rPr>
          <w:rFonts w:asciiTheme="minorHAnsi" w:hAnsiTheme="minorHAnsi"/>
          <w:sz w:val="24"/>
          <w:szCs w:val="24"/>
        </w:rPr>
        <w:t xml:space="preserve">onsumers </w:t>
      </w:r>
      <w:r w:rsidR="00C40070">
        <w:rPr>
          <w:rFonts w:asciiTheme="minorHAnsi" w:hAnsiTheme="minorHAnsi"/>
          <w:sz w:val="24"/>
          <w:szCs w:val="24"/>
        </w:rPr>
        <w:t>have the same problems with DCB as they have had with MPS</w:t>
      </w:r>
      <w:r w:rsidR="00460543">
        <w:rPr>
          <w:rFonts w:asciiTheme="minorHAnsi" w:hAnsiTheme="minorHAnsi"/>
          <w:sz w:val="24"/>
          <w:szCs w:val="24"/>
        </w:rPr>
        <w:t xml:space="preserve"> over the years</w:t>
      </w:r>
      <w:r w:rsidR="00C40070">
        <w:rPr>
          <w:rFonts w:asciiTheme="minorHAnsi" w:hAnsiTheme="minorHAnsi"/>
          <w:sz w:val="24"/>
          <w:szCs w:val="24"/>
        </w:rPr>
        <w:t>.   These include</w:t>
      </w:r>
      <w:r w:rsidR="00347EDC">
        <w:rPr>
          <w:rFonts w:asciiTheme="minorHAnsi" w:hAnsiTheme="minorHAnsi"/>
          <w:sz w:val="24"/>
          <w:szCs w:val="24"/>
        </w:rPr>
        <w:t>:</w:t>
      </w:r>
      <w:r w:rsidR="00C40070">
        <w:rPr>
          <w:rFonts w:asciiTheme="minorHAnsi" w:hAnsiTheme="minorHAnsi"/>
          <w:sz w:val="24"/>
          <w:szCs w:val="24"/>
        </w:rPr>
        <w:t xml:space="preserve"> </w:t>
      </w:r>
    </w:p>
    <w:p w:rsidR="00B10845" w:rsidRDefault="00460543" w:rsidP="00460543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unsolicited services;</w:t>
      </w:r>
      <w:r w:rsidR="00AA1532">
        <w:rPr>
          <w:rFonts w:asciiTheme="minorHAnsi" w:hAnsiTheme="minorHAnsi"/>
          <w:sz w:val="24"/>
          <w:szCs w:val="24"/>
        </w:rPr>
        <w:t xml:space="preserve"> </w:t>
      </w:r>
    </w:p>
    <w:p w:rsidR="00B10845" w:rsidRDefault="00AA1532" w:rsidP="00460543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or poor cost </w:t>
      </w:r>
      <w:r w:rsidR="002B28FA">
        <w:rPr>
          <w:rFonts w:asciiTheme="minorHAnsi" w:hAnsiTheme="minorHAnsi"/>
          <w:sz w:val="24"/>
          <w:szCs w:val="24"/>
        </w:rPr>
        <w:t>information included in advertising</w:t>
      </w:r>
      <w:r>
        <w:rPr>
          <w:rFonts w:asciiTheme="minorHAnsi" w:hAnsiTheme="minorHAnsi"/>
          <w:sz w:val="24"/>
          <w:szCs w:val="24"/>
        </w:rPr>
        <w:t xml:space="preserve"> </w:t>
      </w:r>
      <w:r w:rsidR="002B28FA">
        <w:rPr>
          <w:rFonts w:asciiTheme="minorHAnsi" w:hAnsiTheme="minorHAnsi"/>
          <w:sz w:val="24"/>
          <w:szCs w:val="24"/>
        </w:rPr>
        <w:t xml:space="preserve">; </w:t>
      </w:r>
    </w:p>
    <w:p w:rsidR="00460543" w:rsidRDefault="002B28FA" w:rsidP="00460543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unawareness of subscribing or incurring charges until costs have been incurred;</w:t>
      </w:r>
    </w:p>
    <w:p w:rsidR="00460543" w:rsidRPr="00460543" w:rsidRDefault="00347B28" w:rsidP="00460543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lack </w:t>
      </w:r>
      <w:r w:rsidR="00460543">
        <w:rPr>
          <w:rFonts w:asciiTheme="minorHAnsi" w:hAnsiTheme="minorHAnsi"/>
          <w:sz w:val="24"/>
          <w:szCs w:val="24"/>
        </w:rPr>
        <w:t>of mandatory double-opt-in process;</w:t>
      </w:r>
    </w:p>
    <w:p w:rsidR="00C40070" w:rsidRDefault="00C40070" w:rsidP="00C40070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customer awareness of barring;</w:t>
      </w:r>
    </w:p>
    <w:p w:rsidR="00460543" w:rsidRPr="00460543" w:rsidRDefault="00460543" w:rsidP="00460543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reminder notifications about spending; and</w:t>
      </w:r>
    </w:p>
    <w:p w:rsidR="00C40070" w:rsidRDefault="00CE1847" w:rsidP="00C40070">
      <w:pPr>
        <w:pStyle w:val="BodyText1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difficulties</w:t>
      </w:r>
      <w:r w:rsidR="00C40070">
        <w:rPr>
          <w:rFonts w:asciiTheme="minorHAnsi" w:hAnsiTheme="minorHAnsi"/>
          <w:sz w:val="24"/>
          <w:szCs w:val="24"/>
        </w:rPr>
        <w:t xml:space="preserve"> </w:t>
      </w:r>
      <w:r w:rsidR="00460543">
        <w:rPr>
          <w:rFonts w:asciiTheme="minorHAnsi" w:hAnsiTheme="minorHAnsi"/>
          <w:sz w:val="24"/>
          <w:szCs w:val="24"/>
        </w:rPr>
        <w:t>obtaining refunds.</w:t>
      </w:r>
    </w:p>
    <w:p w:rsidR="00C40070" w:rsidRPr="001E0667" w:rsidRDefault="00347B28" w:rsidP="001E066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various updates to the MPS</w:t>
      </w:r>
      <w:r w:rsidR="002B28FA">
        <w:rPr>
          <w:sz w:val="24"/>
          <w:szCs w:val="24"/>
        </w:rPr>
        <w:t xml:space="preserve"> Code</w:t>
      </w:r>
      <w:r>
        <w:rPr>
          <w:sz w:val="24"/>
          <w:szCs w:val="24"/>
        </w:rPr>
        <w:t xml:space="preserve"> over the years have adequately addressed</w:t>
      </w:r>
      <w:r w:rsidR="00460543">
        <w:rPr>
          <w:sz w:val="24"/>
          <w:szCs w:val="24"/>
        </w:rPr>
        <w:t xml:space="preserve"> </w:t>
      </w:r>
      <w:r w:rsidR="006C7E87">
        <w:rPr>
          <w:sz w:val="24"/>
          <w:szCs w:val="24"/>
        </w:rPr>
        <w:t>some of these</w:t>
      </w:r>
      <w:r>
        <w:rPr>
          <w:sz w:val="24"/>
          <w:szCs w:val="24"/>
        </w:rPr>
        <w:t xml:space="preserve"> issues</w:t>
      </w:r>
      <w:r w:rsidR="00460543">
        <w:rPr>
          <w:sz w:val="24"/>
          <w:szCs w:val="24"/>
        </w:rPr>
        <w:t xml:space="preserve">.  </w:t>
      </w:r>
      <w:r w:rsidR="00894F0A">
        <w:rPr>
          <w:sz w:val="24"/>
          <w:szCs w:val="24"/>
        </w:rPr>
        <w:t xml:space="preserve"> </w:t>
      </w:r>
      <w:r>
        <w:rPr>
          <w:sz w:val="24"/>
          <w:szCs w:val="24"/>
        </w:rPr>
        <w:t>Accordingly, we</w:t>
      </w:r>
      <w:r w:rsidR="00460543">
        <w:rPr>
          <w:sz w:val="24"/>
          <w:szCs w:val="24"/>
        </w:rPr>
        <w:t xml:space="preserve"> believe that all of the Code’s protections should be extended to include services provided through Direct Carrier Billing.  </w:t>
      </w:r>
      <w:r>
        <w:rPr>
          <w:sz w:val="24"/>
          <w:szCs w:val="24"/>
        </w:rPr>
        <w:br/>
      </w:r>
    </w:p>
    <w:p w:rsidR="00F3450B" w:rsidRPr="00DB1412" w:rsidRDefault="00DF6C0A" w:rsidP="009C3E55">
      <w:pPr>
        <w:pStyle w:val="BodyText1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Raising consumer awareness of barring</w:t>
      </w:r>
    </w:p>
    <w:p w:rsidR="004752AA" w:rsidRPr="00DB1412" w:rsidRDefault="00266612" w:rsidP="004752AA">
      <w:pPr>
        <w:pStyle w:val="BodyText1"/>
        <w:rPr>
          <w:rFonts w:asciiTheme="minorHAnsi" w:hAnsiTheme="minorHAnsi"/>
          <w:sz w:val="24"/>
          <w:szCs w:val="24"/>
        </w:rPr>
      </w:pPr>
      <w:r w:rsidRPr="00DB1412">
        <w:rPr>
          <w:rFonts w:asciiTheme="minorHAnsi" w:hAnsiTheme="minorHAnsi"/>
          <w:sz w:val="24"/>
          <w:szCs w:val="24"/>
        </w:rPr>
        <w:t>The last</w:t>
      </w:r>
      <w:r w:rsidR="00F3450B" w:rsidRPr="00DB1412">
        <w:rPr>
          <w:rFonts w:asciiTheme="minorHAnsi" w:hAnsiTheme="minorHAnsi"/>
          <w:sz w:val="24"/>
          <w:szCs w:val="24"/>
        </w:rPr>
        <w:t xml:space="preserve"> </w:t>
      </w:r>
      <w:r w:rsidR="00D51CB0" w:rsidRPr="00DB1412">
        <w:rPr>
          <w:rFonts w:asciiTheme="minorHAnsi" w:hAnsiTheme="minorHAnsi"/>
          <w:sz w:val="24"/>
          <w:szCs w:val="24"/>
        </w:rPr>
        <w:t>Code</w:t>
      </w:r>
      <w:r w:rsidRPr="00DB1412">
        <w:rPr>
          <w:rFonts w:asciiTheme="minorHAnsi" w:hAnsiTheme="minorHAnsi"/>
          <w:sz w:val="24"/>
          <w:szCs w:val="24"/>
        </w:rPr>
        <w:t xml:space="preserve"> review</w:t>
      </w:r>
      <w:r w:rsidR="00F3450B" w:rsidRPr="00DB1412">
        <w:rPr>
          <w:rFonts w:asciiTheme="minorHAnsi" w:hAnsiTheme="minorHAnsi"/>
          <w:sz w:val="24"/>
          <w:szCs w:val="24"/>
        </w:rPr>
        <w:t xml:space="preserve"> </w:t>
      </w:r>
      <w:r w:rsidR="00D51CB0" w:rsidRPr="00DB1412">
        <w:rPr>
          <w:rFonts w:asciiTheme="minorHAnsi" w:hAnsiTheme="minorHAnsi"/>
          <w:sz w:val="24"/>
          <w:szCs w:val="24"/>
        </w:rPr>
        <w:t xml:space="preserve">inserted an obligation </w:t>
      </w:r>
      <w:r w:rsidR="00513BF8">
        <w:rPr>
          <w:rFonts w:asciiTheme="minorHAnsi" w:hAnsiTheme="minorHAnsi"/>
          <w:sz w:val="24"/>
          <w:szCs w:val="24"/>
        </w:rPr>
        <w:t xml:space="preserve">for CSPs </w:t>
      </w:r>
      <w:r w:rsidR="00A768C5" w:rsidRPr="00DB1412">
        <w:rPr>
          <w:rFonts w:asciiTheme="minorHAnsi" w:hAnsiTheme="minorHAnsi"/>
          <w:sz w:val="24"/>
          <w:szCs w:val="24"/>
        </w:rPr>
        <w:t xml:space="preserve">to inform </w:t>
      </w:r>
      <w:r w:rsidR="00513BF8">
        <w:rPr>
          <w:rFonts w:asciiTheme="minorHAnsi" w:hAnsiTheme="minorHAnsi"/>
          <w:sz w:val="24"/>
          <w:szCs w:val="24"/>
        </w:rPr>
        <w:t>customers</w:t>
      </w:r>
      <w:r w:rsidR="00A768C5" w:rsidRPr="00DB1412">
        <w:rPr>
          <w:rFonts w:asciiTheme="minorHAnsi" w:hAnsiTheme="minorHAnsi"/>
          <w:sz w:val="24"/>
          <w:szCs w:val="24"/>
        </w:rPr>
        <w:t xml:space="preserve"> about barring </w:t>
      </w:r>
      <w:r w:rsidR="00CC1D86">
        <w:rPr>
          <w:rFonts w:asciiTheme="minorHAnsi" w:hAnsiTheme="minorHAnsi"/>
          <w:sz w:val="24"/>
          <w:szCs w:val="24"/>
        </w:rPr>
        <w:t>when customers</w:t>
      </w:r>
      <w:r w:rsidR="00F3450B" w:rsidRPr="00DB1412">
        <w:rPr>
          <w:rFonts w:asciiTheme="minorHAnsi" w:hAnsiTheme="minorHAnsi"/>
          <w:sz w:val="24"/>
          <w:szCs w:val="24"/>
        </w:rPr>
        <w:t xml:space="preserve"> make a complaint.  </w:t>
      </w:r>
      <w:r w:rsidRPr="00DB1412">
        <w:rPr>
          <w:rFonts w:asciiTheme="minorHAnsi" w:hAnsiTheme="minorHAnsi"/>
          <w:sz w:val="24"/>
          <w:szCs w:val="24"/>
        </w:rPr>
        <w:t xml:space="preserve">This requirement was </w:t>
      </w:r>
      <w:r w:rsidR="00C462EB">
        <w:rPr>
          <w:rFonts w:asciiTheme="minorHAnsi" w:hAnsiTheme="minorHAnsi"/>
          <w:sz w:val="24"/>
          <w:szCs w:val="24"/>
        </w:rPr>
        <w:t>transferred</w:t>
      </w:r>
      <w:r w:rsidRPr="00DB1412">
        <w:rPr>
          <w:rFonts w:asciiTheme="minorHAnsi" w:hAnsiTheme="minorHAnsi"/>
          <w:sz w:val="24"/>
          <w:szCs w:val="24"/>
        </w:rPr>
        <w:t xml:space="preserve"> </w:t>
      </w:r>
      <w:r w:rsidR="002D5791">
        <w:rPr>
          <w:rFonts w:asciiTheme="minorHAnsi" w:hAnsiTheme="minorHAnsi"/>
          <w:sz w:val="24"/>
          <w:szCs w:val="24"/>
        </w:rPr>
        <w:t xml:space="preserve">to the Code </w:t>
      </w:r>
      <w:r w:rsidRPr="00DB1412">
        <w:rPr>
          <w:rFonts w:asciiTheme="minorHAnsi" w:hAnsiTheme="minorHAnsi"/>
          <w:sz w:val="24"/>
          <w:szCs w:val="24"/>
        </w:rPr>
        <w:t>from</w:t>
      </w:r>
      <w:r w:rsidR="006C7E87">
        <w:rPr>
          <w:rFonts w:asciiTheme="minorHAnsi" w:hAnsiTheme="minorHAnsi"/>
          <w:sz w:val="24"/>
          <w:szCs w:val="24"/>
        </w:rPr>
        <w:t xml:space="preserve"> a legislative determination.</w:t>
      </w:r>
      <w:r w:rsidR="006C7E87">
        <w:rPr>
          <w:rStyle w:val="FootnoteReference"/>
          <w:rFonts w:asciiTheme="minorHAnsi" w:hAnsiTheme="minorHAnsi"/>
          <w:sz w:val="24"/>
          <w:szCs w:val="24"/>
        </w:rPr>
        <w:footnoteReference w:id="8"/>
      </w:r>
      <w:r w:rsidR="00C462EB">
        <w:rPr>
          <w:rFonts w:asciiTheme="minorHAnsi" w:hAnsiTheme="minorHAnsi"/>
          <w:sz w:val="24"/>
          <w:szCs w:val="24"/>
        </w:rPr>
        <w:t xml:space="preserve">  </w:t>
      </w:r>
      <w:r w:rsidR="006C7E87">
        <w:rPr>
          <w:rFonts w:asciiTheme="minorHAnsi" w:hAnsiTheme="minorHAnsi"/>
          <w:sz w:val="24"/>
          <w:szCs w:val="24"/>
        </w:rPr>
        <w:t xml:space="preserve">This </w:t>
      </w:r>
      <w:r w:rsidR="00894F0A">
        <w:rPr>
          <w:rFonts w:asciiTheme="minorHAnsi" w:hAnsiTheme="minorHAnsi"/>
          <w:sz w:val="24"/>
          <w:szCs w:val="24"/>
        </w:rPr>
        <w:t>requirement</w:t>
      </w:r>
      <w:r w:rsidR="006C7E87">
        <w:rPr>
          <w:rFonts w:asciiTheme="minorHAnsi" w:hAnsiTheme="minorHAnsi"/>
          <w:sz w:val="24"/>
          <w:szCs w:val="24"/>
        </w:rPr>
        <w:t xml:space="preserve"> was</w:t>
      </w:r>
      <w:r w:rsidR="008F0C4A">
        <w:rPr>
          <w:rFonts w:asciiTheme="minorHAnsi" w:hAnsiTheme="minorHAnsi"/>
          <w:sz w:val="24"/>
          <w:szCs w:val="24"/>
        </w:rPr>
        <w:t xml:space="preserve"> later</w:t>
      </w:r>
      <w:r w:rsidR="006C7E87">
        <w:rPr>
          <w:rFonts w:asciiTheme="minorHAnsi" w:hAnsiTheme="minorHAnsi"/>
          <w:sz w:val="24"/>
          <w:szCs w:val="24"/>
        </w:rPr>
        <w:t xml:space="preserve"> repealed</w:t>
      </w:r>
      <w:r w:rsidR="002D5791">
        <w:rPr>
          <w:rFonts w:asciiTheme="minorHAnsi" w:hAnsiTheme="minorHAnsi"/>
          <w:sz w:val="24"/>
          <w:szCs w:val="24"/>
        </w:rPr>
        <w:t xml:space="preserve"> from the determination</w:t>
      </w:r>
      <w:r w:rsidR="006C7E87">
        <w:rPr>
          <w:rFonts w:asciiTheme="minorHAnsi" w:hAnsiTheme="minorHAnsi"/>
          <w:sz w:val="24"/>
          <w:szCs w:val="24"/>
        </w:rPr>
        <w:t xml:space="preserve"> in October 2014.</w:t>
      </w:r>
      <w:r w:rsidR="002D5791">
        <w:rPr>
          <w:rFonts w:asciiTheme="minorHAnsi" w:hAnsiTheme="minorHAnsi"/>
          <w:sz w:val="24"/>
          <w:szCs w:val="24"/>
        </w:rPr>
        <w:t xml:space="preserve">   </w:t>
      </w:r>
      <w:r w:rsidR="006C7E87">
        <w:rPr>
          <w:rFonts w:asciiTheme="minorHAnsi" w:hAnsiTheme="minorHAnsi"/>
          <w:sz w:val="24"/>
          <w:szCs w:val="24"/>
        </w:rPr>
        <w:t>At this time, other section</w:t>
      </w:r>
      <w:r w:rsidR="007E6D3E">
        <w:rPr>
          <w:rFonts w:asciiTheme="minorHAnsi" w:hAnsiTheme="minorHAnsi"/>
          <w:sz w:val="24"/>
          <w:szCs w:val="24"/>
        </w:rPr>
        <w:t>s</w:t>
      </w:r>
      <w:r w:rsidR="006C7E87">
        <w:rPr>
          <w:rFonts w:asciiTheme="minorHAnsi" w:hAnsiTheme="minorHAnsi"/>
          <w:sz w:val="24"/>
          <w:szCs w:val="24"/>
        </w:rPr>
        <w:t xml:space="preserve"> of the determination were also removed. This includes</w:t>
      </w:r>
      <w:r w:rsidR="00152D98">
        <w:rPr>
          <w:rFonts w:asciiTheme="minorHAnsi" w:hAnsiTheme="minorHAnsi"/>
          <w:sz w:val="24"/>
          <w:szCs w:val="24"/>
        </w:rPr>
        <w:t xml:space="preserve"> </w:t>
      </w:r>
      <w:r w:rsidR="006C7E87">
        <w:rPr>
          <w:rFonts w:asciiTheme="minorHAnsi" w:hAnsiTheme="minorHAnsi"/>
          <w:sz w:val="24"/>
          <w:szCs w:val="24"/>
        </w:rPr>
        <w:t>s</w:t>
      </w:r>
      <w:r w:rsidR="00C462EB" w:rsidRPr="00DB1412">
        <w:rPr>
          <w:rFonts w:asciiTheme="minorHAnsi" w:hAnsiTheme="minorHAnsi"/>
          <w:sz w:val="24"/>
          <w:szCs w:val="24"/>
        </w:rPr>
        <w:t xml:space="preserve">ection </w:t>
      </w:r>
      <w:r w:rsidR="002D5791">
        <w:rPr>
          <w:rFonts w:asciiTheme="minorHAnsi" w:hAnsiTheme="minorHAnsi"/>
          <w:sz w:val="24"/>
          <w:szCs w:val="24"/>
        </w:rPr>
        <w:t xml:space="preserve">12(3), </w:t>
      </w:r>
      <w:r w:rsidR="006C7E87">
        <w:rPr>
          <w:rFonts w:asciiTheme="minorHAnsi" w:hAnsiTheme="minorHAnsi"/>
          <w:sz w:val="24"/>
          <w:szCs w:val="24"/>
        </w:rPr>
        <w:t xml:space="preserve">which </w:t>
      </w:r>
      <w:r w:rsidR="00C462EB" w:rsidRPr="00DB1412">
        <w:rPr>
          <w:rFonts w:asciiTheme="minorHAnsi" w:hAnsiTheme="minorHAnsi"/>
          <w:sz w:val="24"/>
          <w:szCs w:val="24"/>
        </w:rPr>
        <w:t>required CSPs to notify customers about barring at the time of purchasing a new mobile phone service.</w:t>
      </w:r>
      <w:r w:rsidR="00C462EB" w:rsidRPr="00DB1412">
        <w:rPr>
          <w:rStyle w:val="FootnoteReference"/>
          <w:rFonts w:asciiTheme="minorHAnsi" w:hAnsiTheme="minorHAnsi"/>
          <w:sz w:val="24"/>
          <w:szCs w:val="24"/>
        </w:rPr>
        <w:footnoteReference w:id="9"/>
      </w:r>
      <w:r w:rsidR="00C462EB">
        <w:rPr>
          <w:rFonts w:asciiTheme="minorHAnsi" w:hAnsiTheme="minorHAnsi"/>
          <w:sz w:val="24"/>
          <w:szCs w:val="24"/>
        </w:rPr>
        <w:t xml:space="preserve">  </w:t>
      </w:r>
      <w:r w:rsidR="00152D98">
        <w:rPr>
          <w:rFonts w:asciiTheme="minorHAnsi" w:hAnsiTheme="minorHAnsi"/>
          <w:sz w:val="24"/>
          <w:szCs w:val="24"/>
        </w:rPr>
        <w:t xml:space="preserve">In </w:t>
      </w:r>
      <w:r w:rsidR="00A768C5" w:rsidRPr="00DB1412">
        <w:rPr>
          <w:rFonts w:asciiTheme="minorHAnsi" w:hAnsiTheme="minorHAnsi"/>
          <w:sz w:val="24"/>
          <w:szCs w:val="24"/>
        </w:rPr>
        <w:t xml:space="preserve">August 2014, </w:t>
      </w:r>
      <w:r w:rsidR="00152D98">
        <w:rPr>
          <w:rFonts w:asciiTheme="minorHAnsi" w:hAnsiTheme="minorHAnsi"/>
          <w:sz w:val="24"/>
          <w:szCs w:val="24"/>
        </w:rPr>
        <w:t>ACCAN supported transferring this obligation into the Code.</w:t>
      </w:r>
      <w:r w:rsidR="00152D98" w:rsidRPr="00152D98">
        <w:rPr>
          <w:rStyle w:val="FootnoteReference"/>
          <w:rFonts w:asciiTheme="minorHAnsi" w:hAnsiTheme="minorHAnsi"/>
          <w:sz w:val="24"/>
          <w:szCs w:val="24"/>
        </w:rPr>
        <w:t xml:space="preserve"> </w:t>
      </w:r>
      <w:r w:rsidR="00152D98" w:rsidRPr="00DB1412">
        <w:rPr>
          <w:rStyle w:val="FootnoteReference"/>
          <w:rFonts w:asciiTheme="minorHAnsi" w:hAnsiTheme="minorHAnsi"/>
          <w:sz w:val="24"/>
          <w:szCs w:val="24"/>
        </w:rPr>
        <w:footnoteReference w:id="10"/>
      </w:r>
      <w:r w:rsidR="00152D98">
        <w:rPr>
          <w:rFonts w:asciiTheme="minorHAnsi" w:hAnsiTheme="minorHAnsi"/>
          <w:sz w:val="24"/>
          <w:szCs w:val="24"/>
        </w:rPr>
        <w:t xml:space="preserve"> </w:t>
      </w:r>
      <w:r w:rsidR="00A768C5" w:rsidRPr="00DB1412">
        <w:rPr>
          <w:rFonts w:asciiTheme="minorHAnsi" w:hAnsiTheme="minorHAnsi"/>
          <w:sz w:val="24"/>
          <w:szCs w:val="24"/>
        </w:rPr>
        <w:t xml:space="preserve"> </w:t>
      </w:r>
      <w:r w:rsidR="00F15226" w:rsidRPr="00DB1412">
        <w:rPr>
          <w:rFonts w:asciiTheme="minorHAnsi" w:hAnsiTheme="minorHAnsi"/>
          <w:sz w:val="24"/>
          <w:szCs w:val="24"/>
        </w:rPr>
        <w:t xml:space="preserve">We </w:t>
      </w:r>
      <w:r w:rsidR="00C462EB">
        <w:rPr>
          <w:rFonts w:asciiTheme="minorHAnsi" w:hAnsiTheme="minorHAnsi"/>
          <w:sz w:val="24"/>
          <w:szCs w:val="24"/>
        </w:rPr>
        <w:t xml:space="preserve">also </w:t>
      </w:r>
      <w:r w:rsidR="00572C19">
        <w:rPr>
          <w:rFonts w:asciiTheme="minorHAnsi" w:hAnsiTheme="minorHAnsi"/>
          <w:sz w:val="24"/>
          <w:szCs w:val="24"/>
        </w:rPr>
        <w:t xml:space="preserve">repeated this view </w:t>
      </w:r>
      <w:r w:rsidR="00C462EB">
        <w:rPr>
          <w:rFonts w:asciiTheme="minorHAnsi" w:hAnsiTheme="minorHAnsi"/>
          <w:sz w:val="24"/>
          <w:szCs w:val="24"/>
        </w:rPr>
        <w:t xml:space="preserve">when ACMA was considering whether to remove </w:t>
      </w:r>
      <w:r w:rsidR="00572C19">
        <w:rPr>
          <w:rFonts w:asciiTheme="minorHAnsi" w:hAnsiTheme="minorHAnsi"/>
          <w:sz w:val="24"/>
          <w:szCs w:val="24"/>
        </w:rPr>
        <w:t xml:space="preserve">the point-of-sale requirement from </w:t>
      </w:r>
      <w:r w:rsidR="00152D98">
        <w:rPr>
          <w:rFonts w:asciiTheme="minorHAnsi" w:hAnsiTheme="minorHAnsi"/>
          <w:sz w:val="24"/>
          <w:szCs w:val="24"/>
        </w:rPr>
        <w:t>the legislative determination</w:t>
      </w:r>
      <w:r w:rsidR="006C0BA4" w:rsidRPr="00DB1412">
        <w:rPr>
          <w:rFonts w:asciiTheme="minorHAnsi" w:hAnsiTheme="minorHAnsi"/>
          <w:sz w:val="24"/>
          <w:szCs w:val="24"/>
        </w:rPr>
        <w:t>.</w:t>
      </w:r>
      <w:r w:rsidR="006C0BA4" w:rsidRPr="00DB1412">
        <w:rPr>
          <w:rStyle w:val="FootnoteReference"/>
          <w:rFonts w:asciiTheme="minorHAnsi" w:hAnsiTheme="minorHAnsi"/>
          <w:sz w:val="24"/>
          <w:szCs w:val="24"/>
        </w:rPr>
        <w:footnoteReference w:id="11"/>
      </w:r>
      <w:r w:rsidR="004752AA" w:rsidRPr="00DB1412">
        <w:rPr>
          <w:rFonts w:asciiTheme="minorHAnsi" w:hAnsiTheme="minorHAnsi"/>
          <w:sz w:val="24"/>
          <w:szCs w:val="24"/>
        </w:rPr>
        <w:t xml:space="preserve"> </w:t>
      </w:r>
      <w:r w:rsidR="00CD23D0">
        <w:rPr>
          <w:rFonts w:asciiTheme="minorHAnsi" w:hAnsiTheme="minorHAnsi"/>
          <w:sz w:val="24"/>
          <w:szCs w:val="24"/>
        </w:rPr>
        <w:t xml:space="preserve">  </w:t>
      </w:r>
      <w:r w:rsidR="00071829">
        <w:rPr>
          <w:rFonts w:asciiTheme="minorHAnsi" w:hAnsiTheme="minorHAnsi"/>
          <w:sz w:val="24"/>
          <w:szCs w:val="24"/>
        </w:rPr>
        <w:t xml:space="preserve">This requirement was not transferred to the Code. </w:t>
      </w:r>
      <w:r w:rsidR="00E90EB5">
        <w:rPr>
          <w:rFonts w:asciiTheme="minorHAnsi" w:hAnsiTheme="minorHAnsi"/>
          <w:sz w:val="24"/>
          <w:szCs w:val="24"/>
        </w:rPr>
        <w:t xml:space="preserve">ACCAN continues to support its incorporation into the Code. </w:t>
      </w:r>
      <w:r w:rsidR="00152D98">
        <w:rPr>
          <w:rFonts w:asciiTheme="minorHAnsi" w:hAnsiTheme="minorHAnsi"/>
          <w:sz w:val="24"/>
          <w:szCs w:val="24"/>
        </w:rPr>
        <w:br/>
      </w:r>
      <w:r w:rsidR="00152D98">
        <w:rPr>
          <w:rFonts w:asciiTheme="minorHAnsi" w:hAnsiTheme="minorHAnsi"/>
          <w:sz w:val="24"/>
          <w:szCs w:val="24"/>
        </w:rPr>
        <w:br/>
        <w:t>Other protection</w:t>
      </w:r>
      <w:r w:rsidR="00540702">
        <w:rPr>
          <w:rFonts w:asciiTheme="minorHAnsi" w:hAnsiTheme="minorHAnsi"/>
          <w:sz w:val="24"/>
          <w:szCs w:val="24"/>
        </w:rPr>
        <w:t>s</w:t>
      </w:r>
      <w:r w:rsidR="00152D98">
        <w:rPr>
          <w:rFonts w:asciiTheme="minorHAnsi" w:hAnsiTheme="minorHAnsi"/>
          <w:sz w:val="24"/>
          <w:szCs w:val="24"/>
        </w:rPr>
        <w:t xml:space="preserve"> removed from the determination in October 2014</w:t>
      </w:r>
      <w:r w:rsidR="004752AA" w:rsidRPr="00DB1412">
        <w:rPr>
          <w:rFonts w:asciiTheme="minorHAnsi" w:hAnsiTheme="minorHAnsi"/>
          <w:sz w:val="24"/>
          <w:szCs w:val="24"/>
        </w:rPr>
        <w:t xml:space="preserve"> </w:t>
      </w:r>
      <w:r w:rsidR="00CD23D0">
        <w:rPr>
          <w:rFonts w:asciiTheme="minorHAnsi" w:hAnsiTheme="minorHAnsi"/>
          <w:sz w:val="24"/>
          <w:szCs w:val="24"/>
        </w:rPr>
        <w:t>included the l</w:t>
      </w:r>
      <w:r w:rsidR="00C462EB">
        <w:rPr>
          <w:rFonts w:asciiTheme="minorHAnsi" w:hAnsiTheme="minorHAnsi"/>
          <w:sz w:val="24"/>
          <w:szCs w:val="24"/>
        </w:rPr>
        <w:t>isted</w:t>
      </w:r>
      <w:r w:rsidR="004752AA" w:rsidRPr="00DB1412">
        <w:rPr>
          <w:rFonts w:asciiTheme="minorHAnsi" w:hAnsiTheme="minorHAnsi"/>
          <w:sz w:val="24"/>
          <w:szCs w:val="24"/>
        </w:rPr>
        <w:t xml:space="preserve"> specific information</w:t>
      </w:r>
      <w:r w:rsidR="00E90EB5">
        <w:rPr>
          <w:rFonts w:asciiTheme="minorHAnsi" w:hAnsiTheme="minorHAnsi"/>
          <w:sz w:val="24"/>
          <w:szCs w:val="24"/>
        </w:rPr>
        <w:t xml:space="preserve"> below</w:t>
      </w:r>
      <w:r w:rsidR="004752AA" w:rsidRPr="00DB1412">
        <w:rPr>
          <w:rFonts w:asciiTheme="minorHAnsi" w:hAnsiTheme="minorHAnsi"/>
          <w:sz w:val="24"/>
          <w:szCs w:val="24"/>
        </w:rPr>
        <w:t xml:space="preserve"> that</w:t>
      </w:r>
      <w:r w:rsidR="00E90EB5">
        <w:rPr>
          <w:rFonts w:asciiTheme="minorHAnsi" w:hAnsiTheme="minorHAnsi"/>
          <w:sz w:val="24"/>
          <w:szCs w:val="24"/>
        </w:rPr>
        <w:t xml:space="preserve"> in telling customers about barring,</w:t>
      </w:r>
      <w:r w:rsidR="004752AA" w:rsidRPr="00DB1412">
        <w:rPr>
          <w:rFonts w:asciiTheme="minorHAnsi" w:hAnsiTheme="minorHAnsi"/>
          <w:sz w:val="24"/>
          <w:szCs w:val="24"/>
        </w:rPr>
        <w:t xml:space="preserve"> </w:t>
      </w:r>
      <w:r w:rsidR="00C462EB">
        <w:rPr>
          <w:rFonts w:asciiTheme="minorHAnsi" w:hAnsiTheme="minorHAnsi"/>
          <w:sz w:val="24"/>
          <w:szCs w:val="24"/>
        </w:rPr>
        <w:t xml:space="preserve">CSPs should </w:t>
      </w:r>
      <w:r w:rsidR="00E90EB5">
        <w:rPr>
          <w:rFonts w:asciiTheme="minorHAnsi" w:hAnsiTheme="minorHAnsi"/>
          <w:sz w:val="24"/>
          <w:szCs w:val="24"/>
        </w:rPr>
        <w:t xml:space="preserve">include: </w:t>
      </w:r>
      <w:r w:rsidR="00C462EB">
        <w:rPr>
          <w:rStyle w:val="FootnoteReference"/>
          <w:rFonts w:asciiTheme="minorHAnsi" w:hAnsiTheme="minorHAnsi"/>
          <w:sz w:val="24"/>
          <w:szCs w:val="24"/>
        </w:rPr>
        <w:footnoteReference w:id="12"/>
      </w:r>
    </w:p>
    <w:p w:rsidR="004752AA" w:rsidRPr="00DB1412" w:rsidRDefault="004752AA" w:rsidP="004752AA">
      <w:pPr>
        <w:pStyle w:val="BodyText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DB1412">
        <w:rPr>
          <w:rFonts w:asciiTheme="minorHAnsi" w:hAnsiTheme="minorHAnsi"/>
          <w:sz w:val="24"/>
          <w:szCs w:val="24"/>
        </w:rPr>
        <w:t>Describing what a premium SMS and MMS service i</w:t>
      </w:r>
      <w:r w:rsidR="00C462EB">
        <w:rPr>
          <w:rFonts w:asciiTheme="minorHAnsi" w:hAnsiTheme="minorHAnsi"/>
          <w:sz w:val="24"/>
          <w:szCs w:val="24"/>
        </w:rPr>
        <w:t>s</w:t>
      </w:r>
      <w:r w:rsidR="00CE1847">
        <w:rPr>
          <w:rFonts w:asciiTheme="minorHAnsi" w:hAnsiTheme="minorHAnsi"/>
          <w:sz w:val="24"/>
          <w:szCs w:val="24"/>
        </w:rPr>
        <w:t>;</w:t>
      </w:r>
    </w:p>
    <w:p w:rsidR="004752AA" w:rsidRPr="00DB1412" w:rsidRDefault="00C462EB" w:rsidP="004752AA">
      <w:pPr>
        <w:pStyle w:val="BodyText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charges are incurred</w:t>
      </w:r>
      <w:r w:rsidR="00CE1847">
        <w:rPr>
          <w:rFonts w:asciiTheme="minorHAnsi" w:hAnsiTheme="minorHAnsi"/>
          <w:sz w:val="24"/>
          <w:szCs w:val="24"/>
        </w:rPr>
        <w:t>;</w:t>
      </w:r>
    </w:p>
    <w:p w:rsidR="004752AA" w:rsidRPr="00DB1412" w:rsidRDefault="00C462EB" w:rsidP="004752AA">
      <w:pPr>
        <w:pStyle w:val="BodyText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MPS may be barred</w:t>
      </w:r>
      <w:r w:rsidR="00CE1847">
        <w:rPr>
          <w:rFonts w:asciiTheme="minorHAnsi" w:hAnsiTheme="minorHAnsi"/>
          <w:sz w:val="24"/>
          <w:szCs w:val="24"/>
        </w:rPr>
        <w:t>;</w:t>
      </w:r>
    </w:p>
    <w:p w:rsidR="004752AA" w:rsidRPr="00DB1412" w:rsidRDefault="00C462EB" w:rsidP="004752AA">
      <w:pPr>
        <w:pStyle w:val="BodyText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barring process;</w:t>
      </w:r>
      <w:r w:rsidR="004752AA" w:rsidRPr="00DB1412">
        <w:rPr>
          <w:rFonts w:asciiTheme="minorHAnsi" w:hAnsiTheme="minorHAnsi"/>
          <w:sz w:val="24"/>
          <w:szCs w:val="24"/>
        </w:rPr>
        <w:t xml:space="preserve"> and</w:t>
      </w:r>
    </w:p>
    <w:p w:rsidR="004752AA" w:rsidRDefault="004752AA" w:rsidP="004752AA">
      <w:pPr>
        <w:pStyle w:val="BodyText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DB1412">
        <w:rPr>
          <w:rFonts w:asciiTheme="minorHAnsi" w:hAnsiTheme="minorHAnsi"/>
          <w:sz w:val="24"/>
          <w:szCs w:val="24"/>
        </w:rPr>
        <w:t>Complaint mechanisms.</w:t>
      </w:r>
    </w:p>
    <w:p w:rsidR="00000ED6" w:rsidRPr="00DB1412" w:rsidRDefault="00000ED6" w:rsidP="00000ED6">
      <w:pPr>
        <w:pStyle w:val="BodyTex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believe that this information does not unduly limit the ability of providers to co</w:t>
      </w:r>
      <w:r w:rsidR="00C73F66">
        <w:rPr>
          <w:rFonts w:asciiTheme="minorHAnsi" w:hAnsiTheme="minorHAnsi"/>
          <w:sz w:val="24"/>
          <w:szCs w:val="24"/>
        </w:rPr>
        <w:t>mmunicate with their customers in a way that suits them.</w:t>
      </w:r>
    </w:p>
    <w:p w:rsidR="00BA4E79" w:rsidRDefault="00071829" w:rsidP="0097706C">
      <w:pPr>
        <w:pStyle w:val="BodyTex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</w:t>
      </w:r>
      <w:r w:rsidR="00BF34B1">
        <w:rPr>
          <w:rFonts w:asciiTheme="minorHAnsi" w:hAnsiTheme="minorHAnsi"/>
          <w:sz w:val="24"/>
          <w:szCs w:val="24"/>
        </w:rPr>
        <w:t xml:space="preserve"> believe that </w:t>
      </w:r>
      <w:r w:rsidR="00ED25DF">
        <w:rPr>
          <w:rFonts w:asciiTheme="minorHAnsi" w:hAnsiTheme="minorHAnsi"/>
          <w:sz w:val="24"/>
          <w:szCs w:val="24"/>
        </w:rPr>
        <w:t xml:space="preserve">lack of </w:t>
      </w:r>
      <w:r w:rsidR="007072BE">
        <w:rPr>
          <w:rFonts w:asciiTheme="minorHAnsi" w:hAnsiTheme="minorHAnsi"/>
          <w:sz w:val="24"/>
          <w:szCs w:val="24"/>
        </w:rPr>
        <w:t>consumer</w:t>
      </w:r>
      <w:r w:rsidR="00CD23D0">
        <w:rPr>
          <w:rFonts w:asciiTheme="minorHAnsi" w:hAnsiTheme="minorHAnsi"/>
          <w:sz w:val="24"/>
          <w:szCs w:val="24"/>
        </w:rPr>
        <w:t xml:space="preserve"> awareness of barring for </w:t>
      </w:r>
      <w:r w:rsidR="00BF34B1">
        <w:rPr>
          <w:rFonts w:asciiTheme="minorHAnsi" w:hAnsiTheme="minorHAnsi"/>
          <w:sz w:val="24"/>
          <w:szCs w:val="24"/>
        </w:rPr>
        <w:t xml:space="preserve">DCB </w:t>
      </w:r>
      <w:r w:rsidR="00ED25DF">
        <w:rPr>
          <w:rFonts w:asciiTheme="minorHAnsi" w:hAnsiTheme="minorHAnsi"/>
          <w:sz w:val="24"/>
          <w:szCs w:val="24"/>
        </w:rPr>
        <w:t>h</w:t>
      </w:r>
      <w:r w:rsidR="007072BE">
        <w:rPr>
          <w:rFonts w:asciiTheme="minorHAnsi" w:hAnsiTheme="minorHAnsi"/>
          <w:sz w:val="24"/>
          <w:szCs w:val="24"/>
        </w:rPr>
        <w:t>a</w:t>
      </w:r>
      <w:r w:rsidR="00ED25DF">
        <w:rPr>
          <w:rFonts w:asciiTheme="minorHAnsi" w:hAnsiTheme="minorHAnsi"/>
          <w:sz w:val="24"/>
          <w:szCs w:val="24"/>
        </w:rPr>
        <w:t>s a</w:t>
      </w:r>
      <w:r w:rsidR="007072BE">
        <w:rPr>
          <w:rFonts w:asciiTheme="minorHAnsi" w:hAnsiTheme="minorHAnsi"/>
          <w:sz w:val="24"/>
          <w:szCs w:val="24"/>
        </w:rPr>
        <w:t xml:space="preserve"> very detrimental impact on vulnerable cons</w:t>
      </w:r>
      <w:bookmarkStart w:id="0" w:name="_GoBack"/>
      <w:bookmarkEnd w:id="0"/>
      <w:r w:rsidR="007072BE">
        <w:rPr>
          <w:rFonts w:asciiTheme="minorHAnsi" w:hAnsiTheme="minorHAnsi"/>
          <w:sz w:val="24"/>
          <w:szCs w:val="24"/>
        </w:rPr>
        <w:t>umers</w:t>
      </w:r>
      <w:r>
        <w:rPr>
          <w:rFonts w:asciiTheme="minorHAnsi" w:hAnsiTheme="minorHAnsi"/>
          <w:sz w:val="24"/>
          <w:szCs w:val="24"/>
        </w:rPr>
        <w:t>, particularly children</w:t>
      </w:r>
      <w:r w:rsidR="00BF34B1">
        <w:rPr>
          <w:rFonts w:asciiTheme="minorHAnsi" w:hAnsiTheme="minorHAnsi"/>
          <w:sz w:val="24"/>
          <w:szCs w:val="24"/>
        </w:rPr>
        <w:t>.</w:t>
      </w:r>
      <w:r w:rsidR="004752AA" w:rsidRPr="00DB1412">
        <w:rPr>
          <w:rFonts w:asciiTheme="minorHAnsi" w:hAnsiTheme="minorHAnsi"/>
          <w:sz w:val="24"/>
          <w:szCs w:val="24"/>
        </w:rPr>
        <w:t xml:space="preserve">  </w:t>
      </w:r>
      <w:r w:rsidR="00BF34B1">
        <w:rPr>
          <w:rFonts w:asciiTheme="minorHAnsi" w:hAnsiTheme="minorHAnsi"/>
          <w:sz w:val="24"/>
          <w:szCs w:val="24"/>
        </w:rPr>
        <w:t>Until now</w:t>
      </w:r>
      <w:r w:rsidR="004752AA" w:rsidRPr="00DB1412">
        <w:rPr>
          <w:rFonts w:asciiTheme="minorHAnsi" w:hAnsiTheme="minorHAnsi"/>
          <w:sz w:val="24"/>
          <w:szCs w:val="24"/>
        </w:rPr>
        <w:t>,</w:t>
      </w:r>
      <w:r w:rsidR="005C055D">
        <w:rPr>
          <w:rFonts w:asciiTheme="minorHAnsi" w:hAnsiTheme="minorHAnsi"/>
          <w:sz w:val="24"/>
          <w:szCs w:val="24"/>
        </w:rPr>
        <w:t xml:space="preserve"> to download paid Google Play content</w:t>
      </w:r>
      <w:r w:rsidR="007072BE">
        <w:rPr>
          <w:rFonts w:asciiTheme="minorHAnsi" w:hAnsiTheme="minorHAnsi"/>
          <w:sz w:val="24"/>
          <w:szCs w:val="24"/>
        </w:rPr>
        <w:t xml:space="preserve"> (for example a paid app or an in-app purchase)</w:t>
      </w:r>
      <w:r w:rsidR="005C055D">
        <w:rPr>
          <w:rFonts w:asciiTheme="minorHAnsi" w:hAnsiTheme="minorHAnsi"/>
          <w:sz w:val="24"/>
          <w:szCs w:val="24"/>
        </w:rPr>
        <w:t>,</w:t>
      </w:r>
      <w:r w:rsidR="004752AA" w:rsidRPr="00DB1412">
        <w:rPr>
          <w:rFonts w:asciiTheme="minorHAnsi" w:hAnsiTheme="minorHAnsi"/>
          <w:sz w:val="24"/>
          <w:szCs w:val="24"/>
        </w:rPr>
        <w:t xml:space="preserve"> children </w:t>
      </w:r>
      <w:r w:rsidR="00BD1F2F">
        <w:rPr>
          <w:rFonts w:asciiTheme="minorHAnsi" w:hAnsiTheme="minorHAnsi"/>
          <w:sz w:val="24"/>
          <w:szCs w:val="24"/>
        </w:rPr>
        <w:t xml:space="preserve">have </w:t>
      </w:r>
      <w:r w:rsidR="004752AA" w:rsidRPr="00DB1412">
        <w:rPr>
          <w:rFonts w:asciiTheme="minorHAnsi" w:hAnsiTheme="minorHAnsi"/>
          <w:sz w:val="24"/>
          <w:szCs w:val="24"/>
        </w:rPr>
        <w:t>need</w:t>
      </w:r>
      <w:r w:rsidR="00BD1F2F">
        <w:rPr>
          <w:rFonts w:asciiTheme="minorHAnsi" w:hAnsiTheme="minorHAnsi"/>
          <w:sz w:val="24"/>
          <w:szCs w:val="24"/>
        </w:rPr>
        <w:t>ed</w:t>
      </w:r>
      <w:r w:rsidR="004752AA" w:rsidRPr="00DB1412">
        <w:rPr>
          <w:rFonts w:asciiTheme="minorHAnsi" w:hAnsiTheme="minorHAnsi"/>
          <w:sz w:val="24"/>
          <w:szCs w:val="24"/>
        </w:rPr>
        <w:t xml:space="preserve"> </w:t>
      </w:r>
      <w:r w:rsidR="007072BE">
        <w:rPr>
          <w:rFonts w:asciiTheme="minorHAnsi" w:hAnsiTheme="minorHAnsi"/>
          <w:sz w:val="24"/>
          <w:szCs w:val="24"/>
        </w:rPr>
        <w:t>the</w:t>
      </w:r>
      <w:r w:rsidR="005C055D">
        <w:rPr>
          <w:rFonts w:asciiTheme="minorHAnsi" w:hAnsiTheme="minorHAnsi"/>
          <w:sz w:val="24"/>
          <w:szCs w:val="24"/>
        </w:rPr>
        <w:t xml:space="preserve"> </w:t>
      </w:r>
      <w:r w:rsidR="004752AA" w:rsidRPr="00DB1412">
        <w:rPr>
          <w:rFonts w:asciiTheme="minorHAnsi" w:hAnsiTheme="minorHAnsi"/>
          <w:sz w:val="24"/>
          <w:szCs w:val="24"/>
        </w:rPr>
        <w:t xml:space="preserve">password </w:t>
      </w:r>
      <w:r w:rsidR="005C055D">
        <w:rPr>
          <w:rFonts w:asciiTheme="minorHAnsi" w:hAnsiTheme="minorHAnsi"/>
          <w:sz w:val="24"/>
          <w:szCs w:val="24"/>
        </w:rPr>
        <w:t>to a p</w:t>
      </w:r>
      <w:r w:rsidR="004752AA" w:rsidRPr="00DB1412">
        <w:rPr>
          <w:rFonts w:asciiTheme="minorHAnsi" w:hAnsiTheme="minorHAnsi"/>
          <w:sz w:val="24"/>
          <w:szCs w:val="24"/>
        </w:rPr>
        <w:t xml:space="preserve">arent’s Google Account which had credit card </w:t>
      </w:r>
      <w:r w:rsidR="007072BE">
        <w:rPr>
          <w:rFonts w:asciiTheme="minorHAnsi" w:hAnsiTheme="minorHAnsi"/>
          <w:sz w:val="24"/>
          <w:szCs w:val="24"/>
        </w:rPr>
        <w:t>details on file</w:t>
      </w:r>
      <w:r w:rsidR="004752AA" w:rsidRPr="00DB1412">
        <w:rPr>
          <w:rFonts w:asciiTheme="minorHAnsi" w:hAnsiTheme="minorHAnsi"/>
          <w:sz w:val="24"/>
          <w:szCs w:val="24"/>
        </w:rPr>
        <w:t xml:space="preserve">.   If </w:t>
      </w:r>
      <w:r w:rsidR="007072BE">
        <w:rPr>
          <w:rFonts w:asciiTheme="minorHAnsi" w:hAnsiTheme="minorHAnsi"/>
          <w:sz w:val="24"/>
          <w:szCs w:val="24"/>
        </w:rPr>
        <w:t>the child</w:t>
      </w:r>
      <w:r w:rsidR="004752AA" w:rsidRPr="00DB1412">
        <w:rPr>
          <w:rFonts w:asciiTheme="minorHAnsi" w:hAnsiTheme="minorHAnsi"/>
          <w:sz w:val="24"/>
          <w:szCs w:val="24"/>
        </w:rPr>
        <w:t xml:space="preserve"> did not have access</w:t>
      </w:r>
      <w:r w:rsidR="005C055D">
        <w:rPr>
          <w:rFonts w:asciiTheme="minorHAnsi" w:hAnsiTheme="minorHAnsi"/>
          <w:sz w:val="24"/>
          <w:szCs w:val="24"/>
        </w:rPr>
        <w:t xml:space="preserve"> to this password</w:t>
      </w:r>
      <w:r w:rsidR="004752AA" w:rsidRPr="00DB1412">
        <w:rPr>
          <w:rFonts w:asciiTheme="minorHAnsi" w:hAnsiTheme="minorHAnsi"/>
          <w:sz w:val="24"/>
          <w:szCs w:val="24"/>
        </w:rPr>
        <w:t>, then they coul</w:t>
      </w:r>
      <w:r w:rsidR="005C055D">
        <w:rPr>
          <w:rFonts w:asciiTheme="minorHAnsi" w:hAnsiTheme="minorHAnsi"/>
          <w:sz w:val="24"/>
          <w:szCs w:val="24"/>
        </w:rPr>
        <w:t xml:space="preserve">d only download free </w:t>
      </w:r>
      <w:r w:rsidR="00EE7A0B">
        <w:rPr>
          <w:rFonts w:asciiTheme="minorHAnsi" w:hAnsiTheme="minorHAnsi"/>
          <w:sz w:val="24"/>
          <w:szCs w:val="24"/>
        </w:rPr>
        <w:t>content</w:t>
      </w:r>
      <w:r w:rsidR="005C055D">
        <w:rPr>
          <w:rFonts w:asciiTheme="minorHAnsi" w:hAnsiTheme="minorHAnsi"/>
          <w:sz w:val="24"/>
          <w:szCs w:val="24"/>
        </w:rPr>
        <w:t>.  With DCB</w:t>
      </w:r>
      <w:r w:rsidR="004752AA" w:rsidRPr="00DB1412">
        <w:rPr>
          <w:rFonts w:asciiTheme="minorHAnsi" w:hAnsiTheme="minorHAnsi"/>
          <w:sz w:val="24"/>
          <w:szCs w:val="24"/>
        </w:rPr>
        <w:t xml:space="preserve">, </w:t>
      </w:r>
      <w:r w:rsidR="004353A4">
        <w:rPr>
          <w:rFonts w:asciiTheme="minorHAnsi" w:hAnsiTheme="minorHAnsi"/>
          <w:sz w:val="24"/>
          <w:szCs w:val="24"/>
        </w:rPr>
        <w:t>the</w:t>
      </w:r>
      <w:r w:rsidR="004752AA" w:rsidRPr="00DB1412">
        <w:rPr>
          <w:rFonts w:asciiTheme="minorHAnsi" w:hAnsiTheme="minorHAnsi"/>
          <w:sz w:val="24"/>
          <w:szCs w:val="24"/>
        </w:rPr>
        <w:t xml:space="preserve"> child can simply </w:t>
      </w:r>
      <w:r w:rsidR="00681987">
        <w:rPr>
          <w:rFonts w:asciiTheme="minorHAnsi" w:hAnsiTheme="minorHAnsi"/>
          <w:sz w:val="24"/>
          <w:szCs w:val="24"/>
        </w:rPr>
        <w:t>“pay” for</w:t>
      </w:r>
      <w:r w:rsidR="004752AA" w:rsidRPr="00DB1412">
        <w:rPr>
          <w:rFonts w:asciiTheme="minorHAnsi" w:hAnsiTheme="minorHAnsi"/>
          <w:sz w:val="24"/>
          <w:szCs w:val="24"/>
        </w:rPr>
        <w:t xml:space="preserve"> apps a</w:t>
      </w:r>
      <w:r w:rsidR="00D85EBC">
        <w:rPr>
          <w:rFonts w:asciiTheme="minorHAnsi" w:hAnsiTheme="minorHAnsi"/>
          <w:sz w:val="24"/>
          <w:szCs w:val="24"/>
        </w:rPr>
        <w:t>nd other Google content to the</w:t>
      </w:r>
      <w:r w:rsidR="004752AA" w:rsidRPr="00DB1412">
        <w:rPr>
          <w:rFonts w:asciiTheme="minorHAnsi" w:hAnsiTheme="minorHAnsi"/>
          <w:sz w:val="24"/>
          <w:szCs w:val="24"/>
        </w:rPr>
        <w:t xml:space="preserve"> phone account</w:t>
      </w:r>
      <w:r w:rsidR="00D85EBC">
        <w:rPr>
          <w:rFonts w:asciiTheme="minorHAnsi" w:hAnsiTheme="minorHAnsi"/>
          <w:sz w:val="24"/>
          <w:szCs w:val="24"/>
        </w:rPr>
        <w:t xml:space="preserve"> (which may be in the parent’s name)</w:t>
      </w:r>
      <w:r w:rsidR="004752AA" w:rsidRPr="00DB1412">
        <w:rPr>
          <w:rFonts w:asciiTheme="minorHAnsi" w:hAnsiTheme="minorHAnsi"/>
          <w:sz w:val="24"/>
          <w:szCs w:val="24"/>
        </w:rPr>
        <w:t xml:space="preserve">.   This includes </w:t>
      </w:r>
      <w:r w:rsidR="0082768A" w:rsidRPr="00DB1412">
        <w:rPr>
          <w:rFonts w:asciiTheme="minorHAnsi" w:hAnsiTheme="minorHAnsi"/>
          <w:sz w:val="24"/>
          <w:szCs w:val="24"/>
        </w:rPr>
        <w:t>music, movies, TV shows, eBooks and magazine subscriptions</w:t>
      </w:r>
      <w:r w:rsidR="00460E1B" w:rsidRPr="00DB1412">
        <w:rPr>
          <w:rFonts w:asciiTheme="minorHAnsi" w:hAnsiTheme="minorHAnsi"/>
          <w:sz w:val="24"/>
          <w:szCs w:val="24"/>
        </w:rPr>
        <w:t xml:space="preserve">. </w:t>
      </w:r>
      <w:r w:rsidR="00BD1F2F" w:rsidRPr="00DB1412">
        <w:rPr>
          <w:rFonts w:asciiTheme="minorHAnsi" w:hAnsiTheme="minorHAnsi"/>
          <w:sz w:val="24"/>
          <w:szCs w:val="24"/>
        </w:rPr>
        <w:t>Children may also download a free game, and then inadvertently buy an in-app purchase using direct carrier billing.</w:t>
      </w:r>
      <w:r w:rsidR="00BD1F2F">
        <w:rPr>
          <w:rFonts w:asciiTheme="minorHAnsi" w:hAnsiTheme="minorHAnsi"/>
          <w:sz w:val="24"/>
          <w:szCs w:val="24"/>
        </w:rPr>
        <w:t xml:space="preserve">   </w:t>
      </w:r>
      <w:r w:rsidR="005C055D" w:rsidRPr="00DB1412">
        <w:rPr>
          <w:rFonts w:asciiTheme="minorHAnsi" w:hAnsiTheme="minorHAnsi"/>
          <w:sz w:val="24"/>
          <w:szCs w:val="24"/>
        </w:rPr>
        <w:t xml:space="preserve">The parent account holder may not find out about this until the monthly bill is received.  </w:t>
      </w:r>
      <w:r w:rsidR="004752AA" w:rsidRPr="00DB1412">
        <w:rPr>
          <w:rFonts w:asciiTheme="minorHAnsi" w:hAnsiTheme="minorHAnsi"/>
          <w:sz w:val="24"/>
          <w:szCs w:val="24"/>
        </w:rPr>
        <w:t xml:space="preserve"> </w:t>
      </w:r>
      <w:r w:rsidR="009F5D18">
        <w:rPr>
          <w:rFonts w:asciiTheme="minorHAnsi" w:hAnsiTheme="minorHAnsi"/>
          <w:sz w:val="24"/>
          <w:szCs w:val="24"/>
        </w:rPr>
        <w:t xml:space="preserve">According to providers’ own instructions, activating DCB does not require any </w:t>
      </w:r>
      <w:r w:rsidR="00D85EBC">
        <w:rPr>
          <w:rFonts w:asciiTheme="minorHAnsi" w:hAnsiTheme="minorHAnsi"/>
          <w:sz w:val="24"/>
          <w:szCs w:val="24"/>
        </w:rPr>
        <w:t xml:space="preserve">authentication from the </w:t>
      </w:r>
      <w:r w:rsidR="00C00D69">
        <w:rPr>
          <w:rFonts w:asciiTheme="minorHAnsi" w:hAnsiTheme="minorHAnsi"/>
          <w:sz w:val="24"/>
          <w:szCs w:val="24"/>
        </w:rPr>
        <w:t xml:space="preserve">CSP </w:t>
      </w:r>
      <w:r w:rsidR="00D85EBC">
        <w:rPr>
          <w:rFonts w:asciiTheme="minorHAnsi" w:hAnsiTheme="minorHAnsi"/>
          <w:sz w:val="24"/>
          <w:szCs w:val="24"/>
        </w:rPr>
        <w:t>account holder, such as a special account password</w:t>
      </w:r>
      <w:r w:rsidR="009F5D18">
        <w:rPr>
          <w:rFonts w:asciiTheme="minorHAnsi" w:hAnsiTheme="minorHAnsi"/>
          <w:sz w:val="24"/>
          <w:szCs w:val="24"/>
        </w:rPr>
        <w:t>.</w:t>
      </w:r>
      <w:r w:rsidR="009F5D18">
        <w:rPr>
          <w:rStyle w:val="FootnoteReference"/>
          <w:rFonts w:asciiTheme="minorHAnsi" w:hAnsiTheme="minorHAnsi"/>
          <w:sz w:val="24"/>
          <w:szCs w:val="24"/>
        </w:rPr>
        <w:footnoteReference w:id="13"/>
      </w:r>
    </w:p>
    <w:p w:rsidR="00152D98" w:rsidRDefault="00D96863" w:rsidP="0097706C">
      <w:pPr>
        <w:pStyle w:val="BodyTex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addition, </w:t>
      </w:r>
      <w:r w:rsidRPr="00D96863">
        <w:rPr>
          <w:rFonts w:asciiTheme="minorHAnsi" w:hAnsiTheme="minorHAnsi"/>
          <w:sz w:val="24"/>
          <w:szCs w:val="24"/>
        </w:rPr>
        <w:t>many providers</w:t>
      </w:r>
      <w:r>
        <w:rPr>
          <w:rFonts w:asciiTheme="minorHAnsi" w:hAnsiTheme="minorHAnsi"/>
          <w:sz w:val="24"/>
          <w:szCs w:val="24"/>
        </w:rPr>
        <w:t xml:space="preserve"> are</w:t>
      </w:r>
      <w:r w:rsidRPr="00D96863">
        <w:rPr>
          <w:rFonts w:asciiTheme="minorHAnsi" w:hAnsiTheme="minorHAnsi"/>
          <w:sz w:val="24"/>
          <w:szCs w:val="24"/>
        </w:rPr>
        <w:t xml:space="preserve"> now </w:t>
      </w:r>
      <w:r w:rsidR="00BD1F2F">
        <w:rPr>
          <w:rFonts w:asciiTheme="minorHAnsi" w:hAnsiTheme="minorHAnsi"/>
          <w:sz w:val="24"/>
          <w:szCs w:val="24"/>
        </w:rPr>
        <w:t xml:space="preserve">incentivising direct debit bill payment by </w:t>
      </w:r>
      <w:r w:rsidRPr="00D96863">
        <w:rPr>
          <w:rFonts w:asciiTheme="minorHAnsi" w:hAnsiTheme="minorHAnsi"/>
          <w:sz w:val="24"/>
          <w:szCs w:val="24"/>
        </w:rPr>
        <w:t xml:space="preserve">charging a fee for any payment method other than </w:t>
      </w:r>
      <w:r w:rsidR="00BD1F2F">
        <w:rPr>
          <w:rFonts w:asciiTheme="minorHAnsi" w:hAnsiTheme="minorHAnsi"/>
          <w:sz w:val="24"/>
          <w:szCs w:val="24"/>
        </w:rPr>
        <w:t>d</w:t>
      </w:r>
      <w:r w:rsidRPr="00D96863">
        <w:rPr>
          <w:rFonts w:asciiTheme="minorHAnsi" w:hAnsiTheme="minorHAnsi"/>
          <w:sz w:val="24"/>
          <w:szCs w:val="24"/>
        </w:rPr>
        <w:t xml:space="preserve">irect </w:t>
      </w:r>
      <w:r w:rsidR="00BD1F2F">
        <w:rPr>
          <w:rFonts w:asciiTheme="minorHAnsi" w:hAnsiTheme="minorHAnsi"/>
          <w:sz w:val="24"/>
          <w:szCs w:val="24"/>
        </w:rPr>
        <w:t>d</w:t>
      </w:r>
      <w:r w:rsidRPr="00D96863">
        <w:rPr>
          <w:rFonts w:asciiTheme="minorHAnsi" w:hAnsiTheme="minorHAnsi"/>
          <w:sz w:val="24"/>
          <w:szCs w:val="24"/>
        </w:rPr>
        <w:t>ebit</w:t>
      </w:r>
      <w:r w:rsidR="00C00D69">
        <w:rPr>
          <w:rFonts w:asciiTheme="minorHAnsi" w:hAnsiTheme="minorHAnsi"/>
          <w:sz w:val="24"/>
          <w:szCs w:val="24"/>
        </w:rPr>
        <w:t xml:space="preserve">.   </w:t>
      </w:r>
      <w:r w:rsidR="00BD1F2F">
        <w:rPr>
          <w:rFonts w:asciiTheme="minorHAnsi" w:hAnsiTheme="minorHAnsi"/>
          <w:sz w:val="24"/>
          <w:szCs w:val="24"/>
        </w:rPr>
        <w:t xml:space="preserve">If using direct debit, </w:t>
      </w:r>
      <w:r w:rsidRPr="00D96863">
        <w:rPr>
          <w:rFonts w:asciiTheme="minorHAnsi" w:hAnsiTheme="minorHAnsi"/>
          <w:sz w:val="24"/>
          <w:szCs w:val="24"/>
        </w:rPr>
        <w:t>consumers are less likely to</w:t>
      </w:r>
      <w:r w:rsidR="00BD1F2F">
        <w:rPr>
          <w:rFonts w:asciiTheme="minorHAnsi" w:hAnsiTheme="minorHAnsi"/>
          <w:sz w:val="24"/>
          <w:szCs w:val="24"/>
        </w:rPr>
        <w:t xml:space="preserve"> </w:t>
      </w:r>
      <w:r w:rsidR="00CE1847">
        <w:rPr>
          <w:rFonts w:asciiTheme="minorHAnsi" w:hAnsiTheme="minorHAnsi"/>
          <w:sz w:val="24"/>
          <w:szCs w:val="24"/>
        </w:rPr>
        <w:t xml:space="preserve">check </w:t>
      </w:r>
      <w:r w:rsidR="00CE1847" w:rsidRPr="00D96863">
        <w:rPr>
          <w:rFonts w:asciiTheme="minorHAnsi" w:hAnsiTheme="minorHAnsi"/>
          <w:sz w:val="24"/>
          <w:szCs w:val="24"/>
        </w:rPr>
        <w:t>their</w:t>
      </w:r>
      <w:r w:rsidRPr="00D96863">
        <w:rPr>
          <w:rFonts w:asciiTheme="minorHAnsi" w:hAnsiTheme="minorHAnsi"/>
          <w:sz w:val="24"/>
          <w:szCs w:val="24"/>
        </w:rPr>
        <w:t xml:space="preserve"> monthly bills because</w:t>
      </w:r>
      <w:r>
        <w:rPr>
          <w:rFonts w:asciiTheme="minorHAnsi" w:hAnsiTheme="minorHAnsi"/>
          <w:sz w:val="24"/>
          <w:szCs w:val="24"/>
        </w:rPr>
        <w:t xml:space="preserve"> the </w:t>
      </w:r>
      <w:r w:rsidR="00CE1847">
        <w:rPr>
          <w:rFonts w:asciiTheme="minorHAnsi" w:hAnsiTheme="minorHAnsi"/>
          <w:sz w:val="24"/>
          <w:szCs w:val="24"/>
        </w:rPr>
        <w:t>money comes</w:t>
      </w:r>
      <w:r>
        <w:rPr>
          <w:rFonts w:asciiTheme="minorHAnsi" w:hAnsiTheme="minorHAnsi"/>
          <w:sz w:val="24"/>
          <w:szCs w:val="24"/>
        </w:rPr>
        <w:t xml:space="preserve"> straight out of</w:t>
      </w:r>
      <w:r w:rsidRPr="00D96863">
        <w:rPr>
          <w:rFonts w:asciiTheme="minorHAnsi" w:hAnsiTheme="minorHAnsi"/>
          <w:sz w:val="24"/>
          <w:szCs w:val="24"/>
        </w:rPr>
        <w:t xml:space="preserve"> their</w:t>
      </w:r>
      <w:r w:rsidR="00C00D69">
        <w:rPr>
          <w:rFonts w:asciiTheme="minorHAnsi" w:hAnsiTheme="minorHAnsi"/>
          <w:sz w:val="24"/>
          <w:szCs w:val="24"/>
        </w:rPr>
        <w:t xml:space="preserve"> bank</w:t>
      </w:r>
      <w:r w:rsidRPr="00D96863">
        <w:rPr>
          <w:rFonts w:asciiTheme="minorHAnsi" w:hAnsiTheme="minorHAnsi"/>
          <w:sz w:val="24"/>
          <w:szCs w:val="24"/>
        </w:rPr>
        <w:t xml:space="preserve"> account.  Even</w:t>
      </w:r>
      <w:r>
        <w:rPr>
          <w:rFonts w:asciiTheme="minorHAnsi" w:hAnsiTheme="minorHAnsi"/>
          <w:sz w:val="24"/>
          <w:szCs w:val="24"/>
        </w:rPr>
        <w:t xml:space="preserve"> if the customer does</w:t>
      </w:r>
      <w:r w:rsidRPr="00D96863">
        <w:rPr>
          <w:rFonts w:asciiTheme="minorHAnsi" w:hAnsiTheme="minorHAnsi"/>
          <w:sz w:val="24"/>
          <w:szCs w:val="24"/>
        </w:rPr>
        <w:t xml:space="preserve"> notice that a particular month’s bill is higher than normal, the small amounts involved or the difficulty in getting a refund means that most consumers will not make a complaint. </w:t>
      </w:r>
      <w:r w:rsidR="005C055D">
        <w:rPr>
          <w:rFonts w:asciiTheme="minorHAnsi" w:hAnsiTheme="minorHAnsi"/>
          <w:sz w:val="24"/>
          <w:szCs w:val="24"/>
        </w:rPr>
        <w:br/>
      </w:r>
      <w:r w:rsidR="005C055D">
        <w:rPr>
          <w:rFonts w:asciiTheme="minorHAnsi" w:hAnsiTheme="minorHAnsi"/>
          <w:sz w:val="24"/>
          <w:szCs w:val="24"/>
        </w:rPr>
        <w:br/>
        <w:t xml:space="preserve">We believe that </w:t>
      </w:r>
      <w:r w:rsidR="00F70F05">
        <w:rPr>
          <w:rFonts w:asciiTheme="minorHAnsi" w:hAnsiTheme="minorHAnsi"/>
          <w:sz w:val="24"/>
          <w:szCs w:val="24"/>
        </w:rPr>
        <w:t xml:space="preserve">some of </w:t>
      </w:r>
      <w:r w:rsidR="00B34240">
        <w:rPr>
          <w:rFonts w:asciiTheme="minorHAnsi" w:hAnsiTheme="minorHAnsi"/>
          <w:sz w:val="24"/>
          <w:szCs w:val="24"/>
        </w:rPr>
        <w:t>these</w:t>
      </w:r>
      <w:r w:rsidR="00F70F05">
        <w:rPr>
          <w:rFonts w:asciiTheme="minorHAnsi" w:hAnsiTheme="minorHAnsi"/>
          <w:sz w:val="24"/>
          <w:szCs w:val="24"/>
        </w:rPr>
        <w:t xml:space="preserve"> risk</w:t>
      </w:r>
      <w:r w:rsidR="00B34240">
        <w:rPr>
          <w:rFonts w:asciiTheme="minorHAnsi" w:hAnsiTheme="minorHAnsi"/>
          <w:sz w:val="24"/>
          <w:szCs w:val="24"/>
        </w:rPr>
        <w:t>s</w:t>
      </w:r>
      <w:r w:rsidR="00F70F05">
        <w:rPr>
          <w:rFonts w:asciiTheme="minorHAnsi" w:hAnsiTheme="minorHAnsi"/>
          <w:sz w:val="24"/>
          <w:szCs w:val="24"/>
        </w:rPr>
        <w:t xml:space="preserve"> can be reduced if customers are told about barring at the time of</w:t>
      </w:r>
      <w:r w:rsidR="009F5D18">
        <w:rPr>
          <w:rFonts w:asciiTheme="minorHAnsi" w:hAnsiTheme="minorHAnsi"/>
          <w:sz w:val="24"/>
          <w:szCs w:val="24"/>
        </w:rPr>
        <w:t xml:space="preserve"> acquiring a mobile service.   </w:t>
      </w:r>
    </w:p>
    <w:p w:rsidR="009C3E55" w:rsidRPr="000172E8" w:rsidRDefault="000172E8" w:rsidP="009C3E55">
      <w:pPr>
        <w:pStyle w:val="BodyText1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Better transparency about subscriptions</w:t>
      </w:r>
    </w:p>
    <w:p w:rsidR="000172E8" w:rsidRPr="009C3E55" w:rsidRDefault="000172E8" w:rsidP="000172E8">
      <w:pPr>
        <w:pStyle w:val="BodyTex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TIO’s position statement on third party purchases states that “p</w:t>
      </w:r>
      <w:r w:rsidRPr="007A63B5">
        <w:rPr>
          <w:rFonts w:asciiTheme="minorHAnsi" w:hAnsiTheme="minorHAnsi"/>
          <w:sz w:val="24"/>
          <w:szCs w:val="24"/>
        </w:rPr>
        <w:t>roviders should have appropriate spend management tools in place to assist the consumer to monitor and tak</w:t>
      </w:r>
      <w:r>
        <w:rPr>
          <w:rFonts w:asciiTheme="minorHAnsi" w:hAnsiTheme="minorHAnsi"/>
          <w:sz w:val="24"/>
          <w:szCs w:val="24"/>
        </w:rPr>
        <w:t xml:space="preserve">e timely action to manage their </w:t>
      </w:r>
      <w:r w:rsidRPr="007A63B5">
        <w:rPr>
          <w:rFonts w:asciiTheme="minorHAnsi" w:hAnsiTheme="minorHAnsi"/>
          <w:sz w:val="24"/>
          <w:szCs w:val="24"/>
        </w:rPr>
        <w:t>sp</w:t>
      </w:r>
      <w:r>
        <w:rPr>
          <w:rFonts w:asciiTheme="minorHAnsi" w:hAnsiTheme="minorHAnsi"/>
          <w:sz w:val="24"/>
          <w:szCs w:val="24"/>
        </w:rPr>
        <w:t>end</w:t>
      </w:r>
      <w:r w:rsidR="008431AE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on these types of purchases”.</w:t>
      </w:r>
      <w:r>
        <w:rPr>
          <w:rStyle w:val="FootnoteReference"/>
          <w:rFonts w:asciiTheme="minorHAnsi" w:hAnsiTheme="minorHAnsi"/>
          <w:sz w:val="24"/>
          <w:szCs w:val="24"/>
        </w:rPr>
        <w:footnoteReference w:id="14"/>
      </w:r>
    </w:p>
    <w:p w:rsidR="00BB1902" w:rsidRPr="009C3E55" w:rsidRDefault="003E4D11" w:rsidP="009C3E55">
      <w:pPr>
        <w:pStyle w:val="BodyText1"/>
        <w:rPr>
          <w:rFonts w:asciiTheme="minorHAnsi" w:hAnsiTheme="minorHAnsi"/>
          <w:sz w:val="24"/>
          <w:szCs w:val="24"/>
        </w:rPr>
      </w:pPr>
      <w:r w:rsidRPr="009C3E55">
        <w:rPr>
          <w:rFonts w:asciiTheme="minorHAnsi" w:hAnsiTheme="minorHAnsi"/>
          <w:bCs/>
          <w:sz w:val="24"/>
          <w:szCs w:val="24"/>
        </w:rPr>
        <w:t xml:space="preserve">We also believe that </w:t>
      </w:r>
      <w:r w:rsidR="00071829">
        <w:rPr>
          <w:rFonts w:asciiTheme="minorHAnsi" w:hAnsiTheme="minorHAnsi"/>
          <w:bCs/>
          <w:sz w:val="24"/>
          <w:szCs w:val="24"/>
        </w:rPr>
        <w:t>Content Suppliers</w:t>
      </w:r>
      <w:r w:rsidR="00BB1902" w:rsidRPr="009C3E55">
        <w:rPr>
          <w:rFonts w:asciiTheme="minorHAnsi" w:hAnsiTheme="minorHAnsi"/>
          <w:bCs/>
          <w:sz w:val="24"/>
          <w:szCs w:val="24"/>
        </w:rPr>
        <w:t xml:space="preserve"> need to take more action to remind consumers about ongoing subscriptions</w:t>
      </w:r>
      <w:r w:rsidR="00C77241">
        <w:rPr>
          <w:rFonts w:asciiTheme="minorHAnsi" w:hAnsiTheme="minorHAnsi"/>
          <w:bCs/>
          <w:sz w:val="24"/>
          <w:szCs w:val="24"/>
        </w:rPr>
        <w:t xml:space="preserve">. </w:t>
      </w:r>
      <w:r w:rsidR="00BB1902" w:rsidRPr="009C3E55">
        <w:rPr>
          <w:rFonts w:asciiTheme="minorHAnsi" w:hAnsiTheme="minorHAnsi"/>
          <w:sz w:val="24"/>
          <w:szCs w:val="24"/>
        </w:rPr>
        <w:t xml:space="preserve"> Currently, the Code has a requirement for Content Suppliers to send a reminder notification to customers at the end of each calendar month.</w:t>
      </w:r>
      <w:r w:rsidR="00BB1902" w:rsidRPr="009C3E55">
        <w:rPr>
          <w:rStyle w:val="FootnoteReference"/>
          <w:rFonts w:asciiTheme="minorHAnsi" w:hAnsiTheme="minorHAnsi"/>
          <w:sz w:val="24"/>
          <w:szCs w:val="24"/>
        </w:rPr>
        <w:t xml:space="preserve"> </w:t>
      </w:r>
      <w:r w:rsidR="00BB1902">
        <w:rPr>
          <w:rStyle w:val="FootnoteReference"/>
          <w:rFonts w:asciiTheme="minorHAnsi" w:hAnsiTheme="minorHAnsi"/>
          <w:sz w:val="24"/>
          <w:szCs w:val="24"/>
        </w:rPr>
        <w:footnoteReference w:id="15"/>
      </w:r>
      <w:r w:rsidR="00BB1902" w:rsidRPr="009C3E55">
        <w:rPr>
          <w:rFonts w:asciiTheme="minorHAnsi" w:hAnsiTheme="minorHAnsi"/>
          <w:sz w:val="24"/>
          <w:szCs w:val="24"/>
        </w:rPr>
        <w:t xml:space="preserve">    However, many TPB services are subscription</w:t>
      </w:r>
      <w:r w:rsidR="003B24D6">
        <w:rPr>
          <w:rFonts w:asciiTheme="minorHAnsi" w:hAnsiTheme="minorHAnsi"/>
          <w:sz w:val="24"/>
          <w:szCs w:val="24"/>
        </w:rPr>
        <w:t>-based</w:t>
      </w:r>
      <w:r w:rsidR="00BB1902" w:rsidRPr="009C3E55">
        <w:rPr>
          <w:rFonts w:asciiTheme="minorHAnsi" w:hAnsiTheme="minorHAnsi"/>
          <w:sz w:val="24"/>
          <w:szCs w:val="24"/>
        </w:rPr>
        <w:t xml:space="preserve"> and billed on a weekly basis.   By the time customers receive a notification at the end of the month, they have often spent $20 or more.  </w:t>
      </w:r>
      <w:r w:rsidR="008E1A4A" w:rsidRPr="009C3E55">
        <w:rPr>
          <w:rFonts w:asciiTheme="minorHAnsi" w:hAnsiTheme="minorHAnsi"/>
          <w:sz w:val="24"/>
          <w:szCs w:val="24"/>
        </w:rPr>
        <w:t xml:space="preserve">Accordingly, </w:t>
      </w:r>
      <w:r w:rsidR="00BD1F2F">
        <w:rPr>
          <w:rFonts w:asciiTheme="minorHAnsi" w:hAnsiTheme="minorHAnsi"/>
          <w:sz w:val="24"/>
          <w:szCs w:val="24"/>
        </w:rPr>
        <w:t xml:space="preserve">consideration should be given to </w:t>
      </w:r>
      <w:r w:rsidR="00CE1847">
        <w:rPr>
          <w:rFonts w:asciiTheme="minorHAnsi" w:hAnsiTheme="minorHAnsi"/>
          <w:sz w:val="24"/>
          <w:szCs w:val="24"/>
        </w:rPr>
        <w:t xml:space="preserve">sending </w:t>
      </w:r>
      <w:r w:rsidR="00CE1847" w:rsidRPr="009C3E55">
        <w:rPr>
          <w:rFonts w:asciiTheme="minorHAnsi" w:hAnsiTheme="minorHAnsi"/>
          <w:sz w:val="24"/>
          <w:szCs w:val="24"/>
        </w:rPr>
        <w:t>customers</w:t>
      </w:r>
      <w:r w:rsidR="008E1A4A" w:rsidRPr="009C3E55">
        <w:rPr>
          <w:rFonts w:asciiTheme="minorHAnsi" w:hAnsiTheme="minorHAnsi"/>
          <w:sz w:val="24"/>
          <w:szCs w:val="24"/>
        </w:rPr>
        <w:t xml:space="preserve"> using MPS/DCB subscription services   a reminder</w:t>
      </w:r>
      <w:r w:rsidR="00CE0BEF">
        <w:rPr>
          <w:rFonts w:asciiTheme="minorHAnsi" w:hAnsiTheme="minorHAnsi"/>
          <w:sz w:val="24"/>
          <w:szCs w:val="24"/>
        </w:rPr>
        <w:t xml:space="preserve"> text prior to each individual subscription charge</w:t>
      </w:r>
      <w:r w:rsidR="00CE1847">
        <w:rPr>
          <w:rFonts w:asciiTheme="minorHAnsi" w:hAnsiTheme="minorHAnsi"/>
          <w:sz w:val="24"/>
          <w:szCs w:val="24"/>
        </w:rPr>
        <w:t>, to</w:t>
      </w:r>
      <w:r w:rsidR="008E1A4A" w:rsidRPr="009C3E55">
        <w:rPr>
          <w:rFonts w:asciiTheme="minorHAnsi" w:hAnsiTheme="minorHAnsi"/>
          <w:sz w:val="24"/>
          <w:szCs w:val="24"/>
        </w:rPr>
        <w:t xml:space="preserve"> give customers the opportunity to cancel the service if they wish before the </w:t>
      </w:r>
      <w:r w:rsidR="00CE1847" w:rsidRPr="009C3E55">
        <w:rPr>
          <w:rFonts w:asciiTheme="minorHAnsi" w:hAnsiTheme="minorHAnsi"/>
          <w:sz w:val="24"/>
          <w:szCs w:val="24"/>
        </w:rPr>
        <w:t xml:space="preserve">next </w:t>
      </w:r>
      <w:r w:rsidR="00CE1847">
        <w:rPr>
          <w:rFonts w:asciiTheme="minorHAnsi" w:hAnsiTheme="minorHAnsi"/>
          <w:sz w:val="24"/>
          <w:szCs w:val="24"/>
        </w:rPr>
        <w:t>charge</w:t>
      </w:r>
      <w:r w:rsidR="00CE0BEF">
        <w:rPr>
          <w:rFonts w:asciiTheme="minorHAnsi" w:hAnsiTheme="minorHAnsi"/>
          <w:sz w:val="24"/>
          <w:szCs w:val="24"/>
        </w:rPr>
        <w:t xml:space="preserve"> is applied. Customers should be able to opt out of such reminder texts if desired. </w:t>
      </w:r>
      <w:r w:rsidR="008E1A4A" w:rsidRPr="009C3E55">
        <w:rPr>
          <w:rFonts w:asciiTheme="minorHAnsi" w:hAnsiTheme="minorHAnsi"/>
          <w:sz w:val="24"/>
          <w:szCs w:val="24"/>
        </w:rPr>
        <w:t>.</w:t>
      </w:r>
    </w:p>
    <w:p w:rsidR="009C3E55" w:rsidRDefault="00CE0BEF" w:rsidP="009C3E5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ACCAN also </w:t>
      </w:r>
      <w:r w:rsidR="00CE1847">
        <w:rPr>
          <w:sz w:val="24"/>
          <w:szCs w:val="24"/>
        </w:rPr>
        <w:t>considers there</w:t>
      </w:r>
      <w:r w:rsidR="00191977">
        <w:rPr>
          <w:sz w:val="24"/>
          <w:szCs w:val="24"/>
        </w:rPr>
        <w:t xml:space="preserve"> should be greater transparency of ongoing subscriptions. We are aware of cases where customers have enabled barring under the false assumption that enabling barring will cancel existing subscriptions.  </w:t>
      </w:r>
      <w:r w:rsidR="00BA4E79">
        <w:rPr>
          <w:sz w:val="24"/>
          <w:szCs w:val="24"/>
        </w:rPr>
        <w:br/>
      </w:r>
    </w:p>
    <w:p w:rsidR="009C3E55" w:rsidRPr="009C3E55" w:rsidRDefault="009C3E55" w:rsidP="009C3E55">
      <w:pPr>
        <w:pStyle w:val="BodyText1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Complaint handling issues</w:t>
      </w:r>
    </w:p>
    <w:p w:rsidR="000172E8" w:rsidRDefault="00C41B56" w:rsidP="001919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ACCAN also believes that providers need to take greater responsibility </w:t>
      </w:r>
      <w:r w:rsidR="000F73D0">
        <w:rPr>
          <w:bCs/>
          <w:sz w:val="24"/>
          <w:szCs w:val="24"/>
        </w:rPr>
        <w:t>for the relationship they have with Content Suppliers and Aggregators.  In practice, CSPs are not simply billing conduits</w:t>
      </w:r>
      <w:r w:rsidR="00364AE8">
        <w:rPr>
          <w:bCs/>
          <w:sz w:val="24"/>
          <w:szCs w:val="24"/>
        </w:rPr>
        <w:t xml:space="preserve">. </w:t>
      </w:r>
      <w:r w:rsidR="000F73D0">
        <w:rPr>
          <w:bCs/>
          <w:sz w:val="24"/>
          <w:szCs w:val="24"/>
        </w:rPr>
        <w:t xml:space="preserve">.  The CSP position is very similar to that of a bank providing a credit service.  In those cases, a bank provides customers with a chargeback facility to dispute any costs that the customer has not or cannot resolve with the merchant.  The situation is very similar </w:t>
      </w:r>
      <w:r w:rsidR="005A294B">
        <w:rPr>
          <w:bCs/>
          <w:sz w:val="24"/>
          <w:szCs w:val="24"/>
        </w:rPr>
        <w:t>to</w:t>
      </w:r>
      <w:r w:rsidR="000F73D0">
        <w:rPr>
          <w:bCs/>
          <w:sz w:val="24"/>
          <w:szCs w:val="24"/>
        </w:rPr>
        <w:t xml:space="preserve"> the relationship between the </w:t>
      </w:r>
      <w:r w:rsidR="005A294B">
        <w:rPr>
          <w:bCs/>
          <w:sz w:val="24"/>
          <w:szCs w:val="24"/>
        </w:rPr>
        <w:t>CSP and the client.</w:t>
      </w:r>
      <w:r w:rsidR="000172E8">
        <w:rPr>
          <w:bCs/>
          <w:sz w:val="24"/>
          <w:szCs w:val="24"/>
        </w:rPr>
        <w:br/>
      </w:r>
      <w:r w:rsidR="00AC3D60">
        <w:rPr>
          <w:bCs/>
          <w:sz w:val="24"/>
          <w:szCs w:val="24"/>
        </w:rPr>
        <w:br/>
      </w:r>
      <w:r w:rsidR="000172E8">
        <w:rPr>
          <w:bCs/>
          <w:sz w:val="24"/>
          <w:szCs w:val="24"/>
        </w:rPr>
        <w:t xml:space="preserve">We </w:t>
      </w:r>
      <w:r w:rsidR="00841085">
        <w:rPr>
          <w:bCs/>
          <w:sz w:val="24"/>
          <w:szCs w:val="24"/>
        </w:rPr>
        <w:t>also endorse</w:t>
      </w:r>
      <w:r w:rsidR="000172E8">
        <w:rPr>
          <w:bCs/>
          <w:sz w:val="24"/>
          <w:szCs w:val="24"/>
        </w:rPr>
        <w:t xml:space="preserve"> the TIO’s view that providers </w:t>
      </w:r>
      <w:r w:rsidR="00737BDA">
        <w:rPr>
          <w:bCs/>
          <w:sz w:val="24"/>
          <w:szCs w:val="24"/>
        </w:rPr>
        <w:t>should</w:t>
      </w:r>
      <w:r w:rsidR="000172E8">
        <w:rPr>
          <w:bCs/>
          <w:sz w:val="24"/>
          <w:szCs w:val="24"/>
        </w:rPr>
        <w:t xml:space="preserve"> play a more active role in the resolution of MPS complaint</w:t>
      </w:r>
      <w:r w:rsidR="00841085">
        <w:rPr>
          <w:bCs/>
          <w:sz w:val="24"/>
          <w:szCs w:val="24"/>
        </w:rPr>
        <w:t>s</w:t>
      </w:r>
      <w:r w:rsidR="000172E8">
        <w:rPr>
          <w:bCs/>
          <w:sz w:val="24"/>
          <w:szCs w:val="24"/>
        </w:rPr>
        <w:t>, particularly where the customer has not been able to resolve the i</w:t>
      </w:r>
      <w:r w:rsidR="00203810">
        <w:rPr>
          <w:bCs/>
          <w:sz w:val="24"/>
          <w:szCs w:val="24"/>
        </w:rPr>
        <w:t>ssue with the Content Supplier</w:t>
      </w:r>
      <w:r w:rsidR="00364AE8">
        <w:rPr>
          <w:bCs/>
          <w:sz w:val="24"/>
          <w:szCs w:val="24"/>
        </w:rPr>
        <w:t>,</w:t>
      </w:r>
      <w:r w:rsidR="00203810">
        <w:rPr>
          <w:bCs/>
          <w:sz w:val="24"/>
          <w:szCs w:val="24"/>
        </w:rPr>
        <w:t xml:space="preserve"> for example where the </w:t>
      </w:r>
      <w:r w:rsidR="000172E8">
        <w:rPr>
          <w:bCs/>
          <w:sz w:val="24"/>
          <w:szCs w:val="24"/>
        </w:rPr>
        <w:t>resolution</w:t>
      </w:r>
      <w:r w:rsidR="00203810">
        <w:rPr>
          <w:bCs/>
          <w:sz w:val="24"/>
          <w:szCs w:val="24"/>
        </w:rPr>
        <w:t xml:space="preserve"> offered by the Content Supplier</w:t>
      </w:r>
      <w:r w:rsidR="000172E8">
        <w:rPr>
          <w:bCs/>
          <w:sz w:val="24"/>
          <w:szCs w:val="24"/>
        </w:rPr>
        <w:t xml:space="preserve"> is not fair, or effective, or offered within a reasonable time.</w:t>
      </w:r>
      <w:r w:rsidR="000172E8">
        <w:rPr>
          <w:rStyle w:val="FootnoteReference"/>
          <w:bCs/>
          <w:sz w:val="24"/>
          <w:szCs w:val="24"/>
        </w:rPr>
        <w:footnoteReference w:id="16"/>
      </w:r>
    </w:p>
    <w:p w:rsidR="000172E8" w:rsidRPr="00A24773" w:rsidRDefault="0065359B" w:rsidP="000172E8">
      <w:pPr>
        <w:pStyle w:val="ListParagraph"/>
        <w:numPr>
          <w:ilvl w:val="0"/>
          <w:numId w:val="4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Compliance and r</w:t>
      </w:r>
      <w:r w:rsidR="00A24773" w:rsidRPr="00A24773">
        <w:rPr>
          <w:b/>
          <w:bCs/>
          <w:sz w:val="24"/>
          <w:szCs w:val="24"/>
        </w:rPr>
        <w:t>eporting requirements</w:t>
      </w:r>
    </w:p>
    <w:p w:rsidR="005E15DB" w:rsidRPr="0065359B" w:rsidRDefault="000172E8" w:rsidP="00653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ACCAN </w:t>
      </w:r>
      <w:r w:rsidR="00CE1847">
        <w:rPr>
          <w:sz w:val="24"/>
          <w:szCs w:val="24"/>
        </w:rPr>
        <w:t>supports reintroducing</w:t>
      </w:r>
      <w:r w:rsidR="00A24773">
        <w:rPr>
          <w:sz w:val="24"/>
          <w:szCs w:val="24"/>
        </w:rPr>
        <w:t xml:space="preserve"> reporting and monitoring requirements that were removed from the Code in the 2014 review.  Since that time, TCB complaints have now doubled to 2%.   </w:t>
      </w:r>
      <w:r w:rsidR="00A24773" w:rsidRPr="00DB1412">
        <w:rPr>
          <w:sz w:val="24"/>
          <w:szCs w:val="24"/>
        </w:rPr>
        <w:t xml:space="preserve">We also believe that ACMA should publish a summary </w:t>
      </w:r>
      <w:r w:rsidR="00364AE8">
        <w:rPr>
          <w:sz w:val="24"/>
          <w:szCs w:val="24"/>
        </w:rPr>
        <w:t xml:space="preserve">of </w:t>
      </w:r>
      <w:r w:rsidR="00A24773">
        <w:rPr>
          <w:sz w:val="24"/>
          <w:szCs w:val="24"/>
        </w:rPr>
        <w:t xml:space="preserve">compliance reports in order to </w:t>
      </w:r>
      <w:r w:rsidR="00A24773" w:rsidRPr="00DB1412">
        <w:rPr>
          <w:sz w:val="24"/>
          <w:szCs w:val="24"/>
        </w:rPr>
        <w:t xml:space="preserve">refresh public awareness of </w:t>
      </w:r>
      <w:r w:rsidR="00A24773">
        <w:rPr>
          <w:sz w:val="24"/>
          <w:szCs w:val="24"/>
        </w:rPr>
        <w:t>TPB</w:t>
      </w:r>
      <w:r w:rsidR="00A24773" w:rsidRPr="00DB1412">
        <w:rPr>
          <w:sz w:val="24"/>
          <w:szCs w:val="24"/>
        </w:rPr>
        <w:t xml:space="preserve">, increase accountability by unscrupulous </w:t>
      </w:r>
      <w:r w:rsidR="00A24773">
        <w:rPr>
          <w:sz w:val="24"/>
          <w:szCs w:val="24"/>
        </w:rPr>
        <w:t>TPB</w:t>
      </w:r>
      <w:r w:rsidR="00A24773" w:rsidRPr="00DB1412">
        <w:rPr>
          <w:sz w:val="24"/>
          <w:szCs w:val="24"/>
        </w:rPr>
        <w:t xml:space="preserve"> providers, and drive better practices.  </w:t>
      </w:r>
      <w:r w:rsidR="00A24773">
        <w:rPr>
          <w:sz w:val="24"/>
          <w:szCs w:val="24"/>
        </w:rPr>
        <w:br/>
      </w:r>
      <w:r w:rsidR="00EE0329">
        <w:rPr>
          <w:bCs/>
          <w:sz w:val="24"/>
          <w:szCs w:val="24"/>
        </w:rPr>
        <w:br/>
      </w:r>
      <w:r w:rsidR="009F1D3A">
        <w:rPr>
          <w:bCs/>
          <w:sz w:val="24"/>
          <w:szCs w:val="24"/>
        </w:rPr>
        <w:t>Finally</w:t>
      </w:r>
      <w:r w:rsidR="0065359B">
        <w:rPr>
          <w:bCs/>
          <w:sz w:val="24"/>
          <w:szCs w:val="24"/>
        </w:rPr>
        <w:t xml:space="preserve"> </w:t>
      </w:r>
      <w:r w:rsidR="00364AE8">
        <w:rPr>
          <w:bCs/>
          <w:sz w:val="24"/>
          <w:szCs w:val="24"/>
        </w:rPr>
        <w:t xml:space="preserve">we </w:t>
      </w:r>
      <w:r w:rsidR="0065359B">
        <w:rPr>
          <w:bCs/>
          <w:sz w:val="24"/>
          <w:szCs w:val="24"/>
        </w:rPr>
        <w:t xml:space="preserve">believe that the review should consider increased obligations on CSPs to better assess risks of third party billing services before entering into contracts with Content Suppliers.   </w:t>
      </w:r>
      <w:r w:rsidR="009F1D3A">
        <w:rPr>
          <w:bCs/>
          <w:sz w:val="24"/>
          <w:szCs w:val="24"/>
        </w:rPr>
        <w:t>We believe that some international examples provide a useful model that the review could consider, for example the UK regulator’s Code and Guidance on risk management between CSPs and Content Suppliers.</w:t>
      </w:r>
      <w:r w:rsidR="009F1D3A" w:rsidRPr="009F1D3A">
        <w:rPr>
          <w:rStyle w:val="FootnoteReference"/>
          <w:bCs/>
          <w:sz w:val="24"/>
          <w:szCs w:val="24"/>
        </w:rPr>
        <w:t xml:space="preserve"> </w:t>
      </w:r>
      <w:r w:rsidR="009F1D3A">
        <w:rPr>
          <w:rStyle w:val="FootnoteReference"/>
          <w:bCs/>
          <w:sz w:val="24"/>
          <w:szCs w:val="24"/>
        </w:rPr>
        <w:footnoteReference w:id="17"/>
      </w:r>
      <w:r w:rsidR="009F1D3A">
        <w:rPr>
          <w:bCs/>
          <w:sz w:val="24"/>
          <w:szCs w:val="24"/>
        </w:rPr>
        <w:t xml:space="preserve"> </w:t>
      </w:r>
      <w:r w:rsidR="009F1D3A">
        <w:rPr>
          <w:bCs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DB1412" w:rsidRPr="00DB1412">
        <w:rPr>
          <w:b/>
          <w:sz w:val="24"/>
          <w:szCs w:val="24"/>
        </w:rPr>
        <w:t>Conclusion</w:t>
      </w:r>
      <w:r w:rsidR="00847CB6" w:rsidRPr="00DB1412">
        <w:rPr>
          <w:sz w:val="24"/>
          <w:szCs w:val="24"/>
        </w:rPr>
        <w:br/>
      </w:r>
      <w:r w:rsidR="00F07315" w:rsidRPr="00DB1412">
        <w:rPr>
          <w:b/>
          <w:sz w:val="24"/>
          <w:szCs w:val="24"/>
        </w:rPr>
        <w:br/>
      </w:r>
      <w:r w:rsidR="0032224D">
        <w:rPr>
          <w:sz w:val="24"/>
          <w:szCs w:val="24"/>
        </w:rPr>
        <w:t xml:space="preserve">There is a compelling case to review the Code and ensure that </w:t>
      </w:r>
      <w:r w:rsidR="00CE1847">
        <w:rPr>
          <w:sz w:val="24"/>
          <w:szCs w:val="24"/>
        </w:rPr>
        <w:t>it provides</w:t>
      </w:r>
      <w:r w:rsidR="0032224D">
        <w:rPr>
          <w:sz w:val="24"/>
          <w:szCs w:val="24"/>
        </w:rPr>
        <w:t xml:space="preserve"> a high level of protection for Australian consumers.</w:t>
      </w:r>
      <w:r w:rsidR="0006667B">
        <w:rPr>
          <w:sz w:val="24"/>
          <w:szCs w:val="24"/>
        </w:rPr>
        <w:t xml:space="preserve"> </w:t>
      </w:r>
      <w:r w:rsidR="0032224D">
        <w:rPr>
          <w:sz w:val="24"/>
          <w:szCs w:val="24"/>
        </w:rPr>
        <w:t>ACCAN</w:t>
      </w:r>
      <w:r w:rsidR="00F07315" w:rsidRPr="00DB1412">
        <w:rPr>
          <w:sz w:val="24"/>
          <w:szCs w:val="24"/>
        </w:rPr>
        <w:t xml:space="preserve"> look</w:t>
      </w:r>
      <w:r w:rsidR="0032224D">
        <w:rPr>
          <w:sz w:val="24"/>
          <w:szCs w:val="24"/>
        </w:rPr>
        <w:t>s</w:t>
      </w:r>
      <w:r w:rsidR="00F07315" w:rsidRPr="00DB1412">
        <w:rPr>
          <w:sz w:val="24"/>
          <w:szCs w:val="24"/>
        </w:rPr>
        <w:t xml:space="preserve"> forward to working with the Alliance and its members </w:t>
      </w:r>
      <w:r w:rsidR="0032224D">
        <w:rPr>
          <w:sz w:val="24"/>
          <w:szCs w:val="24"/>
        </w:rPr>
        <w:t>on the Code review.</w:t>
      </w:r>
      <w:r w:rsidR="00F07315" w:rsidRPr="00DB1412">
        <w:rPr>
          <w:sz w:val="24"/>
          <w:szCs w:val="24"/>
        </w:rPr>
        <w:br/>
      </w:r>
      <w:r w:rsidR="00B01EE5" w:rsidRPr="00DB1412">
        <w:rPr>
          <w:b/>
          <w:sz w:val="24"/>
          <w:szCs w:val="24"/>
        </w:rPr>
        <w:br/>
      </w:r>
      <w:r w:rsidR="005E15DB" w:rsidRPr="00DB1412">
        <w:rPr>
          <w:sz w:val="24"/>
          <w:szCs w:val="24"/>
        </w:rPr>
        <w:t xml:space="preserve">Should you have any questions about these comments, please do not hesitate to contact </w:t>
      </w:r>
      <w:r w:rsidR="00EF286C" w:rsidRPr="00DB1412">
        <w:rPr>
          <w:sz w:val="24"/>
          <w:szCs w:val="24"/>
        </w:rPr>
        <w:t>me on</w:t>
      </w:r>
      <w:r w:rsidR="005E15DB" w:rsidRPr="00DB1412">
        <w:rPr>
          <w:sz w:val="24"/>
          <w:szCs w:val="24"/>
        </w:rPr>
        <w:t xml:space="preserve"> (02) 9288 4000. </w:t>
      </w:r>
    </w:p>
    <w:p w:rsidR="00F5705B" w:rsidRPr="00DB1412" w:rsidRDefault="005E15DB" w:rsidP="0097706C">
      <w:pPr>
        <w:pStyle w:val="BodyText1"/>
        <w:rPr>
          <w:rFonts w:asciiTheme="minorHAnsi" w:hAnsiTheme="minorHAnsi"/>
          <w:sz w:val="24"/>
          <w:szCs w:val="24"/>
        </w:rPr>
      </w:pPr>
      <w:r w:rsidRPr="00DB1412">
        <w:rPr>
          <w:rFonts w:asciiTheme="minorHAnsi" w:hAnsiTheme="minorHAnsi"/>
          <w:sz w:val="24"/>
          <w:szCs w:val="24"/>
        </w:rPr>
        <w:t>Yours sincerely</w:t>
      </w:r>
      <w:r w:rsidR="00F5705B" w:rsidRPr="00DB1412">
        <w:rPr>
          <w:rFonts w:asciiTheme="minorHAnsi" w:hAnsiTheme="minorHAnsi"/>
          <w:sz w:val="24"/>
          <w:szCs w:val="24"/>
        </w:rPr>
        <w:t>,</w:t>
      </w:r>
      <w:r w:rsidR="000172E8">
        <w:rPr>
          <w:rFonts w:asciiTheme="minorHAnsi" w:hAnsiTheme="minorHAnsi"/>
          <w:sz w:val="24"/>
          <w:szCs w:val="24"/>
        </w:rPr>
        <w:br/>
      </w:r>
    </w:p>
    <w:p w:rsidR="004413B8" w:rsidRPr="00DB1412" w:rsidRDefault="00703ADB" w:rsidP="0097706C">
      <w:pPr>
        <w:pStyle w:val="BodyText1"/>
        <w:rPr>
          <w:rFonts w:asciiTheme="minorHAnsi" w:hAnsiTheme="minorHAnsi"/>
          <w:sz w:val="24"/>
          <w:szCs w:val="24"/>
        </w:rPr>
      </w:pPr>
      <w:r w:rsidRPr="00DB1412">
        <w:rPr>
          <w:rFonts w:asciiTheme="minorHAnsi" w:hAnsiTheme="minorHAnsi"/>
          <w:sz w:val="24"/>
          <w:szCs w:val="24"/>
        </w:rPr>
        <w:t>Jax Arnold</w:t>
      </w:r>
      <w:r w:rsidRPr="00DB1412">
        <w:rPr>
          <w:rFonts w:asciiTheme="minorHAnsi" w:hAnsiTheme="minorHAnsi"/>
          <w:sz w:val="24"/>
          <w:szCs w:val="24"/>
        </w:rPr>
        <w:br/>
        <w:t>Policy Officer</w:t>
      </w: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E4D11">
      <w:pPr>
        <w:pStyle w:val="HR"/>
        <w:keepNext w:val="0"/>
        <w:keepLines w:val="0"/>
        <w:spacing w:before="0"/>
        <w:ind w:left="0" w:firstLine="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32224D" w:rsidRDefault="0032224D" w:rsidP="0032224D">
      <w:pPr>
        <w:pStyle w:val="HR"/>
        <w:keepNext w:val="0"/>
        <w:keepLines w:val="0"/>
        <w:spacing w:before="0"/>
        <w:ind w:left="720" w:hanging="720"/>
        <w:rPr>
          <w:rFonts w:asciiTheme="minorHAnsi" w:hAnsiTheme="minorHAnsi"/>
        </w:rPr>
      </w:pPr>
    </w:p>
    <w:p w:rsidR="00F70F05" w:rsidRPr="00F70F05" w:rsidRDefault="00F70F05" w:rsidP="0097706C">
      <w:pPr>
        <w:pStyle w:val="BodyText1"/>
        <w:rPr>
          <w:rFonts w:asciiTheme="minorHAnsi" w:hAnsiTheme="minorHAnsi"/>
          <w:b/>
          <w:sz w:val="24"/>
          <w:szCs w:val="24"/>
        </w:rPr>
      </w:pPr>
    </w:p>
    <w:sectPr w:rsidR="00F70F05" w:rsidRPr="00F70F05" w:rsidSect="003247D9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48" w:rsidRDefault="00414A48" w:rsidP="005820C9">
      <w:pPr>
        <w:spacing w:after="0" w:line="240" w:lineRule="auto"/>
      </w:pPr>
      <w:r>
        <w:separator/>
      </w:r>
    </w:p>
  </w:endnote>
  <w:endnote w:type="continuationSeparator" w:id="0">
    <w:p w:rsidR="00414A48" w:rsidRDefault="00414A48" w:rsidP="005820C9">
      <w:pPr>
        <w:spacing w:after="0" w:line="240" w:lineRule="auto"/>
      </w:pPr>
      <w:r>
        <w:continuationSeparator/>
      </w:r>
    </w:p>
  </w:endnote>
  <w:endnote w:type="continuationNotice" w:id="1">
    <w:p w:rsidR="00414A48" w:rsidRDefault="00414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7" w:rsidRDefault="007015A7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0A67A0" wp14:editId="7C366D0B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A7" w:rsidRDefault="007015A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7015A7" w:rsidRPr="00002D94" w:rsidRDefault="007015A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7015A7" w:rsidRPr="00002D94" w:rsidRDefault="007015A7" w:rsidP="007D3F1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:rsidR="007015A7" w:rsidRPr="00002D94" w:rsidRDefault="007015A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7015A7" w:rsidRPr="00002D94" w:rsidRDefault="007015A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7015A7" w:rsidRPr="00002D94" w:rsidRDefault="007015A7" w:rsidP="007D3F16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015A7" w:rsidRDefault="007015A7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7015A7" w:rsidRPr="00002D94" w:rsidRDefault="007015A7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7015A7" w:rsidRPr="00002D94" w:rsidRDefault="007015A7" w:rsidP="007D3F16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:rsidR="007015A7" w:rsidRPr="00002D94" w:rsidRDefault="007015A7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7015A7" w:rsidRPr="00002D94" w:rsidRDefault="007015A7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7015A7" w:rsidRPr="00002D94" w:rsidRDefault="007015A7" w:rsidP="007D3F16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7" w:rsidRPr="00E05115" w:rsidRDefault="007015A7" w:rsidP="00C4251E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FB08DD">
      <w:rPr>
        <w:noProof/>
      </w:rPr>
      <w:t>2</w:t>
    </w:r>
    <w:r w:rsidRPr="00C4251E">
      <w:rPr>
        <w:noProof/>
      </w:rPr>
      <w:fldChar w:fldCharType="end"/>
    </w:r>
  </w:p>
  <w:p w:rsidR="007015A7" w:rsidRDefault="0070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48" w:rsidRDefault="00414A48" w:rsidP="005820C9">
      <w:pPr>
        <w:spacing w:after="0" w:line="240" w:lineRule="auto"/>
      </w:pPr>
      <w:r>
        <w:separator/>
      </w:r>
    </w:p>
  </w:footnote>
  <w:footnote w:type="continuationSeparator" w:id="0">
    <w:p w:rsidR="00414A48" w:rsidRDefault="00414A48" w:rsidP="005820C9">
      <w:pPr>
        <w:spacing w:after="0" w:line="240" w:lineRule="auto"/>
      </w:pPr>
      <w:r>
        <w:continuationSeparator/>
      </w:r>
    </w:p>
  </w:footnote>
  <w:footnote w:type="continuationNotice" w:id="1">
    <w:p w:rsidR="00414A48" w:rsidRDefault="00414A48">
      <w:pPr>
        <w:spacing w:after="0" w:line="240" w:lineRule="auto"/>
      </w:pPr>
    </w:p>
  </w:footnote>
  <w:footnote w:id="2">
    <w:p w:rsidR="007015A7" w:rsidRPr="0046733E" w:rsidRDefault="007015A7" w:rsidP="00B1693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Telecommunications Industry Ombudsman, Submission to the Australian Consumer Law Review, 16 June 2016, available at &lt;</w:t>
      </w:r>
      <w:hyperlink r:id="rId1" w:history="1">
        <w:r w:rsidRPr="00887734">
          <w:rPr>
            <w:rStyle w:val="Hyperlink"/>
            <w:lang w:val="en-AU"/>
          </w:rPr>
          <w:t>https://www.tio.com.au/__data/assets/pdf_file/0018/221265/June-2016-TIO-submission-to-the-Australian-Consumer-Law-Review.pdf</w:t>
        </w:r>
      </w:hyperlink>
      <w:r>
        <w:rPr>
          <w:lang w:val="en-AU"/>
        </w:rPr>
        <w:t>&gt; at p.44, 46.</w:t>
      </w:r>
    </w:p>
  </w:footnote>
  <w:footnote w:id="3">
    <w:p w:rsidR="007015A7" w:rsidRPr="00791EDB" w:rsidRDefault="007015A7" w:rsidP="0024096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Galaxy Research, ‘Telco and ISP complaints’, p</w:t>
      </w:r>
      <w:r w:rsidRPr="00240969">
        <w:rPr>
          <w:lang w:val="en-AU"/>
        </w:rPr>
        <w:t>repared for Australian Communi</w:t>
      </w:r>
      <w:r>
        <w:rPr>
          <w:lang w:val="en-AU"/>
        </w:rPr>
        <w:t xml:space="preserve">cations Consumer Action Network, </w:t>
      </w:r>
      <w:r w:rsidRPr="00240969">
        <w:rPr>
          <w:lang w:val="en-AU"/>
        </w:rPr>
        <w:t>May 2015</w:t>
      </w:r>
      <w:r>
        <w:rPr>
          <w:lang w:val="en-AU"/>
        </w:rPr>
        <w:t>, available at &lt;</w:t>
      </w:r>
      <w:hyperlink r:id="rId2" w:history="1">
        <w:r w:rsidRPr="00742AA7">
          <w:rPr>
            <w:rStyle w:val="Hyperlink"/>
            <w:lang w:val="en-AU"/>
          </w:rPr>
          <w:t>http://accan.org.au/files/Reports/ACCAN%20Galaxy%20Survey%20May%202015.pdf</w:t>
        </w:r>
      </w:hyperlink>
      <w:r>
        <w:rPr>
          <w:lang w:val="en-AU"/>
        </w:rPr>
        <w:t>&gt; at p. 8.</w:t>
      </w:r>
    </w:p>
  </w:footnote>
  <w:footnote w:id="4">
    <w:p w:rsidR="007015A7" w:rsidRPr="00036C51" w:rsidRDefault="007015A7" w:rsidP="008858FD">
      <w:pPr>
        <w:pStyle w:val="FootnoteText"/>
      </w:pPr>
      <w:r>
        <w:rPr>
          <w:rStyle w:val="FootnoteReference"/>
        </w:rPr>
        <w:footnoteRef/>
      </w:r>
      <w:r>
        <w:t xml:space="preserve"> ACCAN, ‘Submission to the CA Review of the Mobile Premium Services Industry Code’ 15 August 2014, available at &lt;</w:t>
      </w:r>
      <w:hyperlink r:id="rId3" w:history="1">
        <w:r w:rsidRPr="00F05A75">
          <w:rPr>
            <w:rStyle w:val="Hyperlink"/>
          </w:rPr>
          <w:t>http://accan.org.au/files/Submissions/ACCAN%20Submission%20MPS%20Code.pdf</w:t>
        </w:r>
      </w:hyperlink>
      <w:r>
        <w:t>&gt;; ACCAN, Response by the Australian Communications Consumer Action Network to the Government review of communications regulation - Supplementary submission: MPS and Performance Reporting’, 19 May 2014, &lt;</w:t>
      </w:r>
      <w:hyperlink r:id="rId4" w:history="1">
        <w:r w:rsidRPr="00F05A75">
          <w:rPr>
            <w:rStyle w:val="Hyperlink"/>
          </w:rPr>
          <w:t>http://accan.org.au/files/Submissions/ACMA%20reporting%20requirements%20ACCAN%20supplementary.pdf</w:t>
        </w:r>
      </w:hyperlink>
      <w:r>
        <w:t>&gt;.</w:t>
      </w:r>
    </w:p>
  </w:footnote>
  <w:footnote w:id="5">
    <w:p w:rsidR="007015A7" w:rsidRPr="00F25776" w:rsidRDefault="007015A7" w:rsidP="00AD376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Will Hernandez, ‘</w:t>
      </w:r>
      <w:r w:rsidRPr="00F25776">
        <w:rPr>
          <w:lang w:val="en-AU"/>
        </w:rPr>
        <w:t>Boku brings direct carrier billing into the physical world thanks to license</w:t>
      </w:r>
      <w:r>
        <w:rPr>
          <w:lang w:val="en-AU"/>
        </w:rPr>
        <w:t>’, Mobile Payments Today, 2 October 2014, available at &lt;</w:t>
      </w:r>
      <w:hyperlink r:id="rId5" w:history="1">
        <w:r w:rsidRPr="00887734">
          <w:rPr>
            <w:rStyle w:val="Hyperlink"/>
            <w:lang w:val="en-AU"/>
          </w:rPr>
          <w:t>http://www.mobilepaymentstoday.com/articles/boku-brings-direct-carrier-billing-into-the-physical-world-thanks-to-license/</w:t>
        </w:r>
      </w:hyperlink>
      <w:r>
        <w:rPr>
          <w:lang w:val="en-AU"/>
        </w:rPr>
        <w:t>&gt;.</w:t>
      </w:r>
    </w:p>
  </w:footnote>
  <w:footnote w:id="6">
    <w:p w:rsidR="007015A7" w:rsidRPr="000F0436" w:rsidRDefault="007015A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F0436">
        <w:t>E-Money Directive (2009/110/EC)</w:t>
      </w:r>
      <w:r>
        <w:t xml:space="preserve">, entered into force 30 April 2011, available at </w:t>
      </w:r>
      <w:r>
        <w:br/>
        <w:t>&lt;</w:t>
      </w:r>
      <w:hyperlink r:id="rId6" w:history="1">
        <w:r w:rsidRPr="00F05A75">
          <w:rPr>
            <w:rStyle w:val="Hyperlink"/>
          </w:rPr>
          <w:t>http://eur-lex.europa.eu/legal-content/EN/TXT/?uri=CELEX:32009L0110</w:t>
        </w:r>
      </w:hyperlink>
      <w:r>
        <w:t>&gt;.</w:t>
      </w:r>
    </w:p>
  </w:footnote>
  <w:footnote w:id="7">
    <w:p w:rsidR="001E1869" w:rsidRPr="00CE1847" w:rsidRDefault="001E186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Optus, Google Play Store Billing, “What stuff can I buy on Google Play?”, available at &lt;</w:t>
      </w:r>
      <w:hyperlink r:id="rId7" w:history="1">
        <w:r w:rsidRPr="00F05A75">
          <w:rPr>
            <w:rStyle w:val="Hyperlink"/>
            <w:lang w:val="en-AU"/>
          </w:rPr>
          <w:t>http://www.optus.com.au/shop/mobile/apps/Google-Play-Store-Billing</w:t>
        </w:r>
      </w:hyperlink>
      <w:r>
        <w:rPr>
          <w:lang w:val="en-AU"/>
        </w:rPr>
        <w:t>&gt;.</w:t>
      </w:r>
    </w:p>
  </w:footnote>
  <w:footnote w:id="8">
    <w:p w:rsidR="007015A7" w:rsidRPr="006C7E87" w:rsidRDefault="007015A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6C7E87">
        <w:t xml:space="preserve">Section 12(6) of the </w:t>
      </w:r>
      <w:r w:rsidRPr="006C7E87">
        <w:rPr>
          <w:i/>
        </w:rPr>
        <w:t>Telecommunications Service Provider (Mobile Premium Services) Determination 2010 (No. 1)</w:t>
      </w:r>
      <w:r w:rsidRPr="006C7E87">
        <w:t xml:space="preserve"> (‘Determination No 1’).</w:t>
      </w:r>
    </w:p>
  </w:footnote>
  <w:footnote w:id="9">
    <w:p w:rsidR="007015A7" w:rsidRPr="00A768C5" w:rsidRDefault="007015A7" w:rsidP="00C462E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Determination No 1 was amended by </w:t>
      </w:r>
      <w:r w:rsidRPr="00A768C5">
        <w:rPr>
          <w:i/>
        </w:rPr>
        <w:t xml:space="preserve">Telecommunications Service Provider (Mobile Premium Services) Amendment </w:t>
      </w:r>
      <w:r>
        <w:rPr>
          <w:i/>
        </w:rPr>
        <w:t xml:space="preserve">Determination </w:t>
      </w:r>
      <w:r w:rsidRPr="00A768C5">
        <w:rPr>
          <w:i/>
        </w:rPr>
        <w:t>2014 (No. 1)</w:t>
      </w:r>
      <w:r>
        <w:rPr>
          <w:i/>
        </w:rPr>
        <w:t xml:space="preserve"> </w:t>
      </w:r>
      <w:r>
        <w:t>(Cth).</w:t>
      </w:r>
    </w:p>
  </w:footnote>
  <w:footnote w:id="10">
    <w:p w:rsidR="007015A7" w:rsidRPr="00C96E04" w:rsidRDefault="007015A7" w:rsidP="00152D9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ACCAN, ‘Submission to the CA Review of the Mobile Premium Services Industry Code’ </w:t>
      </w:r>
      <w:r>
        <w:rPr>
          <w:lang w:val="en-AU"/>
        </w:rPr>
        <w:t>15 August 2014, available at &lt;</w:t>
      </w:r>
      <w:hyperlink r:id="rId8" w:history="1">
        <w:r w:rsidRPr="00772BD1">
          <w:rPr>
            <w:rStyle w:val="Hyperlink"/>
            <w:lang w:val="en-AU"/>
          </w:rPr>
          <w:t>http://accan.org.au/files/Submissions/ACCAN%20Submission%20MPS%20Code.pdf</w:t>
        </w:r>
      </w:hyperlink>
      <w:r>
        <w:rPr>
          <w:lang w:val="en-AU"/>
        </w:rPr>
        <w:t>&gt; at p. 2</w:t>
      </w:r>
    </w:p>
  </w:footnote>
  <w:footnote w:id="11">
    <w:p w:rsidR="007015A7" w:rsidRPr="00F15226" w:rsidRDefault="007015A7" w:rsidP="006C0BA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ACCAN, Response by the Australian Communications Consumer Action Network to the Government review of communications regulation - Supplementary submission: MPS and Performance Reporting’, 19 May 2014, &lt;</w:t>
      </w:r>
      <w:hyperlink r:id="rId9" w:history="1">
        <w:r w:rsidRPr="00772BD1">
          <w:rPr>
            <w:rStyle w:val="Hyperlink"/>
          </w:rPr>
          <w:t>http://accan.org.au/files/Submissions/ACMA%20reporting%20requirements%20ACCAN%20supplementary.pdf</w:t>
        </w:r>
      </w:hyperlink>
      <w:r>
        <w:t xml:space="preserve">&gt; at page 5. </w:t>
      </w:r>
    </w:p>
  </w:footnote>
  <w:footnote w:id="12">
    <w:p w:rsidR="007015A7" w:rsidRPr="008838C3" w:rsidRDefault="007015A7">
      <w:pPr>
        <w:pStyle w:val="FootnoteText"/>
      </w:pPr>
      <w:r>
        <w:rPr>
          <w:rStyle w:val="FootnoteReference"/>
        </w:rPr>
        <w:footnoteRef/>
      </w:r>
      <w:r>
        <w:t xml:space="preserve"> For a historical version of the Determination No 1, go to:</w:t>
      </w:r>
      <w:r w:rsidR="00CE1847">
        <w:t xml:space="preserve"> </w:t>
      </w:r>
      <w:r>
        <w:t>&lt;</w:t>
      </w:r>
      <w:hyperlink r:id="rId10" w:history="1">
        <w:r w:rsidRPr="00FB2CE8">
          <w:rPr>
            <w:rStyle w:val="Hyperlink"/>
          </w:rPr>
          <w:t>https://www.legislation.gov.au/Details/F2013C00123</w:t>
        </w:r>
      </w:hyperlink>
      <w:r>
        <w:t>&gt;.</w:t>
      </w:r>
    </w:p>
  </w:footnote>
  <w:footnote w:id="13">
    <w:p w:rsidR="007015A7" w:rsidRPr="009F5D18" w:rsidRDefault="007015A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See, for example, Optus, Google Play Store Billing, “Frequently Asked Questions – How does it work”, available at &lt;</w:t>
      </w:r>
      <w:hyperlink r:id="rId11" w:history="1">
        <w:r w:rsidRPr="00F05A75">
          <w:rPr>
            <w:rStyle w:val="Hyperlink"/>
            <w:lang w:val="en-AU"/>
          </w:rPr>
          <w:t>http://www.optus.com.au/shop/mobile/apps/Google-Play-Store-Billing</w:t>
        </w:r>
      </w:hyperlink>
      <w:r>
        <w:rPr>
          <w:lang w:val="en-AU"/>
        </w:rPr>
        <w:t>&gt;.</w:t>
      </w:r>
    </w:p>
  </w:footnote>
  <w:footnote w:id="14">
    <w:p w:rsidR="007015A7" w:rsidRPr="007A63B5" w:rsidRDefault="007015A7" w:rsidP="000172E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Telecommunications Industry Ombudsman, ‘Managing Usage and Expenditure on a Service’, 11 March 2016, available at &lt;</w:t>
      </w:r>
      <w:hyperlink r:id="rId12" w:history="1">
        <w:r w:rsidRPr="00F05A75">
          <w:rPr>
            <w:rStyle w:val="Hyperlink"/>
            <w:lang w:val="en-AU"/>
          </w:rPr>
          <w:t>https://www.tio.com.au/__data/assets/pdf_file/0011/163397/Managing-usage-and-expenditure-on-a-service_Mar-2016.pdf</w:t>
        </w:r>
      </w:hyperlink>
      <w:r>
        <w:rPr>
          <w:lang w:val="en-AU"/>
        </w:rPr>
        <w:t>&gt; at p. 3.</w:t>
      </w:r>
    </w:p>
  </w:footnote>
  <w:footnote w:id="15">
    <w:p w:rsidR="007015A7" w:rsidRPr="00572957" w:rsidRDefault="007015A7" w:rsidP="00BB190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This reminder notification is required if the spend is less than $30 per month.  </w:t>
      </w:r>
      <w:r>
        <w:rPr>
          <w:lang w:val="en-AU"/>
        </w:rPr>
        <w:t xml:space="preserve">If the spend is more than $30, customers receive an “Expenditure Update” under section 4.4.11 of the Code. </w:t>
      </w:r>
    </w:p>
  </w:footnote>
  <w:footnote w:id="16">
    <w:p w:rsidR="007015A7" w:rsidRPr="00791EDB" w:rsidRDefault="007015A7" w:rsidP="000172E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TIO, ‘Submission on the Review of the Mobile Premium Service (MPS) Code, April 2014, available at &lt;</w:t>
      </w:r>
      <w:hyperlink r:id="rId13" w:history="1">
        <w:r w:rsidRPr="00742AA7">
          <w:rPr>
            <w:rStyle w:val="Hyperlink"/>
            <w:lang w:val="en-AU"/>
          </w:rPr>
          <w:t>https://www.tio.com.au/__data/assets/pdf_file/0003/156738/Mobile-Premium-Services-Code-C637_2011-Review.pdf</w:t>
        </w:r>
      </w:hyperlink>
      <w:r>
        <w:rPr>
          <w:lang w:val="en-AU"/>
        </w:rPr>
        <w:t>&gt; at page 6.</w:t>
      </w:r>
    </w:p>
  </w:footnote>
  <w:footnote w:id="17">
    <w:p w:rsidR="007015A7" w:rsidRPr="00791EDB" w:rsidRDefault="007015A7" w:rsidP="009F1D3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See, for example </w:t>
      </w:r>
      <w:r>
        <w:rPr>
          <w:lang w:val="en-AU"/>
        </w:rPr>
        <w:t>PhonepayPlus Code of Practice for Premium Rate Services 2016, 14</w:t>
      </w:r>
      <w:r w:rsidRPr="00B312DE">
        <w:rPr>
          <w:vertAlign w:val="superscript"/>
          <w:lang w:val="en-AU"/>
        </w:rPr>
        <w:t>th</w:t>
      </w:r>
      <w:r>
        <w:rPr>
          <w:lang w:val="en-AU"/>
        </w:rPr>
        <w:t xml:space="preserve"> edition, came into force 12 July 2016, available at &lt;</w:t>
      </w:r>
      <w:hyperlink r:id="rId14" w:history="1">
        <w:r w:rsidRPr="00F05A75">
          <w:rPr>
            <w:rStyle w:val="Hyperlink"/>
            <w:lang w:val="en-AU"/>
          </w:rPr>
          <w:t>http://www.phonepayplus.org.uk/~/media/Files/14th-Code-of-Practice/PhonepayPlus_Code_of_Practice_14th_Digital.pdf</w:t>
        </w:r>
      </w:hyperlink>
      <w:r>
        <w:rPr>
          <w:lang w:val="en-AU"/>
        </w:rPr>
        <w:t>&gt; at section 3.1.3; PhonepayPlus, ‘</w:t>
      </w:r>
      <w:r>
        <w:t>General Guidance Note: Due diligence; risk assessment, and control on clients’, available at &lt;</w:t>
      </w:r>
      <w:hyperlink r:id="rId15" w:history="1">
        <w:r w:rsidRPr="00F05A75">
          <w:rPr>
            <w:rStyle w:val="Hyperlink"/>
          </w:rPr>
          <w:t>http://www.phonepayplus.org.uk/~/media/Files/13th-Code-of-Practice/Guidance-and-Compliance/10_Due-diligence-risk-assessment-and-control.pdf</w:t>
        </w:r>
      </w:hyperlink>
      <w:r>
        <w:t>&gt;</w:t>
      </w:r>
      <w:r>
        <w:rPr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7" w:rsidRDefault="007015A7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0CE263" wp14:editId="07559A3A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7" w:rsidRDefault="007015A7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253"/>
    <w:multiLevelType w:val="hybridMultilevel"/>
    <w:tmpl w:val="4440ADF6"/>
    <w:lvl w:ilvl="0" w:tplc="7B5E390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4C4820"/>
    <w:multiLevelType w:val="hybridMultilevel"/>
    <w:tmpl w:val="C62C42CA"/>
    <w:lvl w:ilvl="0" w:tplc="8B1E9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2F9A"/>
    <w:multiLevelType w:val="hybridMultilevel"/>
    <w:tmpl w:val="323C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9E318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6DE"/>
    <w:multiLevelType w:val="hybridMultilevel"/>
    <w:tmpl w:val="EA62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30D"/>
    <w:multiLevelType w:val="hybridMultilevel"/>
    <w:tmpl w:val="6E8A0078"/>
    <w:lvl w:ilvl="0" w:tplc="66ECF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0BDF"/>
    <w:multiLevelType w:val="hybridMultilevel"/>
    <w:tmpl w:val="FB9E8666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6909"/>
    <w:multiLevelType w:val="hybridMultilevel"/>
    <w:tmpl w:val="7436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03AA"/>
    <w:multiLevelType w:val="hybridMultilevel"/>
    <w:tmpl w:val="5E1E188C"/>
    <w:lvl w:ilvl="0" w:tplc="B92E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011D1"/>
    <w:multiLevelType w:val="hybridMultilevel"/>
    <w:tmpl w:val="26783608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670C"/>
    <w:multiLevelType w:val="hybridMultilevel"/>
    <w:tmpl w:val="A1CA51B0"/>
    <w:lvl w:ilvl="0" w:tplc="89E473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71E5"/>
    <w:multiLevelType w:val="hybridMultilevel"/>
    <w:tmpl w:val="5E1E188C"/>
    <w:lvl w:ilvl="0" w:tplc="B92E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70F7"/>
    <w:multiLevelType w:val="hybridMultilevel"/>
    <w:tmpl w:val="E28CD31A"/>
    <w:lvl w:ilvl="0" w:tplc="7C402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10DDE"/>
    <w:multiLevelType w:val="hybridMultilevel"/>
    <w:tmpl w:val="37F059E6"/>
    <w:lvl w:ilvl="0" w:tplc="E05E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F4AD3"/>
    <w:multiLevelType w:val="hybridMultilevel"/>
    <w:tmpl w:val="7E04D9FA"/>
    <w:lvl w:ilvl="0" w:tplc="E05E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F3E41"/>
    <w:multiLevelType w:val="hybridMultilevel"/>
    <w:tmpl w:val="040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A4EB2"/>
    <w:multiLevelType w:val="hybridMultilevel"/>
    <w:tmpl w:val="78D2AE5C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478E8"/>
    <w:multiLevelType w:val="hybridMultilevel"/>
    <w:tmpl w:val="41EA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A5128"/>
    <w:multiLevelType w:val="hybridMultilevel"/>
    <w:tmpl w:val="7A50B22E"/>
    <w:lvl w:ilvl="0" w:tplc="0B5C057E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B52C1"/>
    <w:multiLevelType w:val="hybridMultilevel"/>
    <w:tmpl w:val="F66A039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59169C0"/>
    <w:multiLevelType w:val="hybridMultilevel"/>
    <w:tmpl w:val="EBDC0EFA"/>
    <w:lvl w:ilvl="0" w:tplc="E05E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F6A51"/>
    <w:multiLevelType w:val="hybridMultilevel"/>
    <w:tmpl w:val="C82C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A6985"/>
    <w:multiLevelType w:val="hybridMultilevel"/>
    <w:tmpl w:val="79BA7308"/>
    <w:lvl w:ilvl="0" w:tplc="6B9CA0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441EF"/>
    <w:multiLevelType w:val="hybridMultilevel"/>
    <w:tmpl w:val="98184A2C"/>
    <w:lvl w:ilvl="0" w:tplc="87B22BB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4E6569"/>
    <w:multiLevelType w:val="hybridMultilevel"/>
    <w:tmpl w:val="BBF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F4E77"/>
    <w:multiLevelType w:val="hybridMultilevel"/>
    <w:tmpl w:val="0B5052C4"/>
    <w:lvl w:ilvl="0" w:tplc="8B1E9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91870"/>
    <w:multiLevelType w:val="hybridMultilevel"/>
    <w:tmpl w:val="638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73CE1"/>
    <w:multiLevelType w:val="hybridMultilevel"/>
    <w:tmpl w:val="96A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F5527"/>
    <w:multiLevelType w:val="hybridMultilevel"/>
    <w:tmpl w:val="1160E8EA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91538"/>
    <w:multiLevelType w:val="hybridMultilevel"/>
    <w:tmpl w:val="60F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E3BB1"/>
    <w:multiLevelType w:val="hybridMultilevel"/>
    <w:tmpl w:val="47E8122A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1450E"/>
    <w:multiLevelType w:val="hybridMultilevel"/>
    <w:tmpl w:val="69CE6786"/>
    <w:lvl w:ilvl="0" w:tplc="E05E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D0BFD"/>
    <w:multiLevelType w:val="hybridMultilevel"/>
    <w:tmpl w:val="3732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22A34"/>
    <w:multiLevelType w:val="hybridMultilevel"/>
    <w:tmpl w:val="7E1A35EA"/>
    <w:lvl w:ilvl="0" w:tplc="B92E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73C8E"/>
    <w:multiLevelType w:val="hybridMultilevel"/>
    <w:tmpl w:val="810E6E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22FA3"/>
    <w:multiLevelType w:val="hybridMultilevel"/>
    <w:tmpl w:val="69463820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332A3"/>
    <w:multiLevelType w:val="hybridMultilevel"/>
    <w:tmpl w:val="73563B74"/>
    <w:lvl w:ilvl="0" w:tplc="4596FF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17375"/>
    <w:multiLevelType w:val="hybridMultilevel"/>
    <w:tmpl w:val="0544733A"/>
    <w:lvl w:ilvl="0" w:tplc="B9F8D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A6E2F"/>
    <w:multiLevelType w:val="hybridMultilevel"/>
    <w:tmpl w:val="7F5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9E318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9F421AF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96698"/>
    <w:multiLevelType w:val="hybridMultilevel"/>
    <w:tmpl w:val="71A2D838"/>
    <w:lvl w:ilvl="0" w:tplc="7C402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10116"/>
    <w:multiLevelType w:val="hybridMultilevel"/>
    <w:tmpl w:val="946EA4F2"/>
    <w:lvl w:ilvl="0" w:tplc="47B8D1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D4C5B"/>
    <w:multiLevelType w:val="hybridMultilevel"/>
    <w:tmpl w:val="2DBA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A41AD"/>
    <w:multiLevelType w:val="hybridMultilevel"/>
    <w:tmpl w:val="9856B4AE"/>
    <w:lvl w:ilvl="0" w:tplc="96DE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E62A7"/>
    <w:multiLevelType w:val="hybridMultilevel"/>
    <w:tmpl w:val="4DB0CB5E"/>
    <w:lvl w:ilvl="0" w:tplc="58CE37C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262F9"/>
    <w:multiLevelType w:val="hybridMultilevel"/>
    <w:tmpl w:val="D1043AE4"/>
    <w:lvl w:ilvl="0" w:tplc="B92E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F2391"/>
    <w:multiLevelType w:val="hybridMultilevel"/>
    <w:tmpl w:val="B8F4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3"/>
  </w:num>
  <w:num w:numId="5">
    <w:abstractNumId w:val="30"/>
  </w:num>
  <w:num w:numId="6">
    <w:abstractNumId w:val="7"/>
  </w:num>
  <w:num w:numId="7">
    <w:abstractNumId w:val="36"/>
  </w:num>
  <w:num w:numId="8">
    <w:abstractNumId w:val="32"/>
  </w:num>
  <w:num w:numId="9">
    <w:abstractNumId w:val="26"/>
  </w:num>
  <w:num w:numId="10">
    <w:abstractNumId w:val="38"/>
  </w:num>
  <w:num w:numId="11">
    <w:abstractNumId w:val="11"/>
  </w:num>
  <w:num w:numId="12">
    <w:abstractNumId w:val="37"/>
  </w:num>
  <w:num w:numId="13">
    <w:abstractNumId w:val="16"/>
  </w:num>
  <w:num w:numId="14">
    <w:abstractNumId w:val="18"/>
  </w:num>
  <w:num w:numId="15">
    <w:abstractNumId w:val="43"/>
  </w:num>
  <w:num w:numId="16">
    <w:abstractNumId w:val="41"/>
  </w:num>
  <w:num w:numId="17">
    <w:abstractNumId w:val="42"/>
  </w:num>
  <w:num w:numId="18">
    <w:abstractNumId w:val="31"/>
  </w:num>
  <w:num w:numId="19">
    <w:abstractNumId w:val="44"/>
  </w:num>
  <w:num w:numId="20">
    <w:abstractNumId w:val="10"/>
  </w:num>
  <w:num w:numId="21">
    <w:abstractNumId w:val="2"/>
  </w:num>
  <w:num w:numId="22">
    <w:abstractNumId w:val="27"/>
  </w:num>
  <w:num w:numId="23">
    <w:abstractNumId w:val="9"/>
  </w:num>
  <w:num w:numId="24">
    <w:abstractNumId w:val="35"/>
  </w:num>
  <w:num w:numId="25">
    <w:abstractNumId w:val="33"/>
  </w:num>
  <w:num w:numId="26">
    <w:abstractNumId w:val="6"/>
  </w:num>
  <w:num w:numId="27">
    <w:abstractNumId w:val="5"/>
  </w:num>
  <w:num w:numId="28">
    <w:abstractNumId w:val="29"/>
  </w:num>
  <w:num w:numId="29">
    <w:abstractNumId w:val="34"/>
  </w:num>
  <w:num w:numId="30">
    <w:abstractNumId w:val="39"/>
  </w:num>
  <w:num w:numId="31">
    <w:abstractNumId w:val="21"/>
  </w:num>
  <w:num w:numId="32">
    <w:abstractNumId w:val="17"/>
  </w:num>
  <w:num w:numId="33">
    <w:abstractNumId w:val="4"/>
  </w:num>
  <w:num w:numId="34">
    <w:abstractNumId w:val="8"/>
  </w:num>
  <w:num w:numId="35">
    <w:abstractNumId w:val="15"/>
  </w:num>
  <w:num w:numId="36">
    <w:abstractNumId w:val="20"/>
  </w:num>
  <w:num w:numId="37">
    <w:abstractNumId w:val="0"/>
  </w:num>
  <w:num w:numId="38">
    <w:abstractNumId w:val="22"/>
  </w:num>
  <w:num w:numId="39">
    <w:abstractNumId w:val="25"/>
  </w:num>
  <w:num w:numId="40">
    <w:abstractNumId w:val="14"/>
  </w:num>
  <w:num w:numId="41">
    <w:abstractNumId w:val="40"/>
  </w:num>
  <w:num w:numId="42">
    <w:abstractNumId w:val="28"/>
  </w:num>
  <w:num w:numId="43">
    <w:abstractNumId w:val="1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0NTCwtDAxMzAwtbRQ0lEKTi0uzszPAykwqgUAOJ4CZSwAAAA="/>
  </w:docVars>
  <w:rsids>
    <w:rsidRoot w:val="001526E6"/>
    <w:rsid w:val="00000ED6"/>
    <w:rsid w:val="00001646"/>
    <w:rsid w:val="000022F3"/>
    <w:rsid w:val="00002D94"/>
    <w:rsid w:val="00003DBB"/>
    <w:rsid w:val="0000506F"/>
    <w:rsid w:val="00007856"/>
    <w:rsid w:val="0001724D"/>
    <w:rsid w:val="000172E8"/>
    <w:rsid w:val="000178DA"/>
    <w:rsid w:val="00022993"/>
    <w:rsid w:val="00026A51"/>
    <w:rsid w:val="00027253"/>
    <w:rsid w:val="000318B1"/>
    <w:rsid w:val="00034671"/>
    <w:rsid w:val="000359A4"/>
    <w:rsid w:val="00035CB2"/>
    <w:rsid w:val="00036C51"/>
    <w:rsid w:val="00043765"/>
    <w:rsid w:val="00043AD4"/>
    <w:rsid w:val="00044DEB"/>
    <w:rsid w:val="00053E03"/>
    <w:rsid w:val="000653AC"/>
    <w:rsid w:val="0006562B"/>
    <w:rsid w:val="0006667B"/>
    <w:rsid w:val="00067746"/>
    <w:rsid w:val="000703F2"/>
    <w:rsid w:val="00071829"/>
    <w:rsid w:val="00082752"/>
    <w:rsid w:val="00084A5B"/>
    <w:rsid w:val="000903F2"/>
    <w:rsid w:val="00093A41"/>
    <w:rsid w:val="000A04EE"/>
    <w:rsid w:val="000A155C"/>
    <w:rsid w:val="000B613A"/>
    <w:rsid w:val="000B6F5F"/>
    <w:rsid w:val="000C6D56"/>
    <w:rsid w:val="000D0C98"/>
    <w:rsid w:val="000D2825"/>
    <w:rsid w:val="000D2FD8"/>
    <w:rsid w:val="000D455A"/>
    <w:rsid w:val="000D7B2E"/>
    <w:rsid w:val="000E19D5"/>
    <w:rsid w:val="000E76C1"/>
    <w:rsid w:val="000F03DE"/>
    <w:rsid w:val="000F0436"/>
    <w:rsid w:val="000F083C"/>
    <w:rsid w:val="000F73D0"/>
    <w:rsid w:val="00104202"/>
    <w:rsid w:val="00110BC6"/>
    <w:rsid w:val="00114479"/>
    <w:rsid w:val="00116861"/>
    <w:rsid w:val="0012043C"/>
    <w:rsid w:val="00123C01"/>
    <w:rsid w:val="00124B0D"/>
    <w:rsid w:val="00134C27"/>
    <w:rsid w:val="00141E26"/>
    <w:rsid w:val="001467B9"/>
    <w:rsid w:val="001526E6"/>
    <w:rsid w:val="00152D98"/>
    <w:rsid w:val="00153E63"/>
    <w:rsid w:val="001627E8"/>
    <w:rsid w:val="00181694"/>
    <w:rsid w:val="00184161"/>
    <w:rsid w:val="001851AE"/>
    <w:rsid w:val="0019142A"/>
    <w:rsid w:val="00191977"/>
    <w:rsid w:val="00192F47"/>
    <w:rsid w:val="00193D01"/>
    <w:rsid w:val="001A7E16"/>
    <w:rsid w:val="001B241E"/>
    <w:rsid w:val="001B5387"/>
    <w:rsid w:val="001C28E7"/>
    <w:rsid w:val="001D6BE6"/>
    <w:rsid w:val="001E0667"/>
    <w:rsid w:val="001E1869"/>
    <w:rsid w:val="001F3B93"/>
    <w:rsid w:val="0020199B"/>
    <w:rsid w:val="00203810"/>
    <w:rsid w:val="00222AD4"/>
    <w:rsid w:val="00234042"/>
    <w:rsid w:val="00240969"/>
    <w:rsid w:val="002413A8"/>
    <w:rsid w:val="00241C3E"/>
    <w:rsid w:val="00242058"/>
    <w:rsid w:val="00261E24"/>
    <w:rsid w:val="0026217A"/>
    <w:rsid w:val="00266612"/>
    <w:rsid w:val="0027061D"/>
    <w:rsid w:val="00271E91"/>
    <w:rsid w:val="0028464B"/>
    <w:rsid w:val="0028562E"/>
    <w:rsid w:val="00286637"/>
    <w:rsid w:val="00291D38"/>
    <w:rsid w:val="00295D70"/>
    <w:rsid w:val="00296866"/>
    <w:rsid w:val="0029689C"/>
    <w:rsid w:val="002A347E"/>
    <w:rsid w:val="002B28FA"/>
    <w:rsid w:val="002B30CA"/>
    <w:rsid w:val="002D45E1"/>
    <w:rsid w:val="002D5791"/>
    <w:rsid w:val="002E1D40"/>
    <w:rsid w:val="002F02C9"/>
    <w:rsid w:val="002F0672"/>
    <w:rsid w:val="00310C93"/>
    <w:rsid w:val="0031794C"/>
    <w:rsid w:val="0032224D"/>
    <w:rsid w:val="003247D9"/>
    <w:rsid w:val="00324F65"/>
    <w:rsid w:val="00326067"/>
    <w:rsid w:val="00332FF5"/>
    <w:rsid w:val="0034312D"/>
    <w:rsid w:val="003452E4"/>
    <w:rsid w:val="00347B28"/>
    <w:rsid w:val="00347EDC"/>
    <w:rsid w:val="00353C27"/>
    <w:rsid w:val="00362EE2"/>
    <w:rsid w:val="00364AE8"/>
    <w:rsid w:val="00370C3C"/>
    <w:rsid w:val="00385F34"/>
    <w:rsid w:val="00387855"/>
    <w:rsid w:val="0039382F"/>
    <w:rsid w:val="00394030"/>
    <w:rsid w:val="003A0CC2"/>
    <w:rsid w:val="003A6051"/>
    <w:rsid w:val="003A7C40"/>
    <w:rsid w:val="003B1499"/>
    <w:rsid w:val="003B24D6"/>
    <w:rsid w:val="003B5044"/>
    <w:rsid w:val="003D51B4"/>
    <w:rsid w:val="003E0C52"/>
    <w:rsid w:val="003E4D11"/>
    <w:rsid w:val="003E6503"/>
    <w:rsid w:val="003F0076"/>
    <w:rsid w:val="003F49FF"/>
    <w:rsid w:val="004013B6"/>
    <w:rsid w:val="00414A48"/>
    <w:rsid w:val="00420ACD"/>
    <w:rsid w:val="004353A4"/>
    <w:rsid w:val="00435845"/>
    <w:rsid w:val="004413B8"/>
    <w:rsid w:val="004515C1"/>
    <w:rsid w:val="004552EA"/>
    <w:rsid w:val="00460543"/>
    <w:rsid w:val="00460C4F"/>
    <w:rsid w:val="00460E1B"/>
    <w:rsid w:val="004624A1"/>
    <w:rsid w:val="0046380F"/>
    <w:rsid w:val="0046733E"/>
    <w:rsid w:val="00472C7E"/>
    <w:rsid w:val="004752AA"/>
    <w:rsid w:val="004815AE"/>
    <w:rsid w:val="004850E4"/>
    <w:rsid w:val="00497A54"/>
    <w:rsid w:val="004A01EB"/>
    <w:rsid w:val="004A2D75"/>
    <w:rsid w:val="004B5F63"/>
    <w:rsid w:val="004C2BC6"/>
    <w:rsid w:val="004C3886"/>
    <w:rsid w:val="004D3261"/>
    <w:rsid w:val="004D5615"/>
    <w:rsid w:val="004D7724"/>
    <w:rsid w:val="004E1708"/>
    <w:rsid w:val="004F4CDD"/>
    <w:rsid w:val="004F6426"/>
    <w:rsid w:val="004F71EE"/>
    <w:rsid w:val="004F7433"/>
    <w:rsid w:val="00510121"/>
    <w:rsid w:val="00513BF8"/>
    <w:rsid w:val="00524D76"/>
    <w:rsid w:val="0053075C"/>
    <w:rsid w:val="00530778"/>
    <w:rsid w:val="00535320"/>
    <w:rsid w:val="00537C3E"/>
    <w:rsid w:val="00540702"/>
    <w:rsid w:val="00543025"/>
    <w:rsid w:val="005549CF"/>
    <w:rsid w:val="005560DA"/>
    <w:rsid w:val="00563BC2"/>
    <w:rsid w:val="00572957"/>
    <w:rsid w:val="00572C19"/>
    <w:rsid w:val="005820C9"/>
    <w:rsid w:val="00582269"/>
    <w:rsid w:val="00585C87"/>
    <w:rsid w:val="00592672"/>
    <w:rsid w:val="00593C6A"/>
    <w:rsid w:val="00595619"/>
    <w:rsid w:val="005978F3"/>
    <w:rsid w:val="005A294B"/>
    <w:rsid w:val="005A3DAA"/>
    <w:rsid w:val="005A673E"/>
    <w:rsid w:val="005A6C63"/>
    <w:rsid w:val="005B08E5"/>
    <w:rsid w:val="005B5844"/>
    <w:rsid w:val="005C055D"/>
    <w:rsid w:val="005D22CC"/>
    <w:rsid w:val="005D2C92"/>
    <w:rsid w:val="005E06EA"/>
    <w:rsid w:val="005E15DB"/>
    <w:rsid w:val="00611714"/>
    <w:rsid w:val="0062183F"/>
    <w:rsid w:val="00640D38"/>
    <w:rsid w:val="00643479"/>
    <w:rsid w:val="006456D8"/>
    <w:rsid w:val="006478C1"/>
    <w:rsid w:val="0065359B"/>
    <w:rsid w:val="00656161"/>
    <w:rsid w:val="00674C21"/>
    <w:rsid w:val="006777B8"/>
    <w:rsid w:val="00681987"/>
    <w:rsid w:val="006862E4"/>
    <w:rsid w:val="00692181"/>
    <w:rsid w:val="00697BBD"/>
    <w:rsid w:val="006A10D0"/>
    <w:rsid w:val="006A353D"/>
    <w:rsid w:val="006A6000"/>
    <w:rsid w:val="006A6A6D"/>
    <w:rsid w:val="006B0C8B"/>
    <w:rsid w:val="006B2415"/>
    <w:rsid w:val="006C0BA4"/>
    <w:rsid w:val="006C1458"/>
    <w:rsid w:val="006C36FC"/>
    <w:rsid w:val="006C7E87"/>
    <w:rsid w:val="006E2B4D"/>
    <w:rsid w:val="006E60FF"/>
    <w:rsid w:val="007015A7"/>
    <w:rsid w:val="00703ADB"/>
    <w:rsid w:val="00703CF3"/>
    <w:rsid w:val="00704FEB"/>
    <w:rsid w:val="00705C03"/>
    <w:rsid w:val="00706CF2"/>
    <w:rsid w:val="007072BE"/>
    <w:rsid w:val="00710F79"/>
    <w:rsid w:val="00712FAA"/>
    <w:rsid w:val="0072510E"/>
    <w:rsid w:val="00733E3B"/>
    <w:rsid w:val="007368D7"/>
    <w:rsid w:val="00737BDA"/>
    <w:rsid w:val="00741137"/>
    <w:rsid w:val="007506AE"/>
    <w:rsid w:val="007660E9"/>
    <w:rsid w:val="00770D37"/>
    <w:rsid w:val="00773EA0"/>
    <w:rsid w:val="00783590"/>
    <w:rsid w:val="00791EDB"/>
    <w:rsid w:val="00797942"/>
    <w:rsid w:val="007A17FF"/>
    <w:rsid w:val="007A33A1"/>
    <w:rsid w:val="007A3E1A"/>
    <w:rsid w:val="007A5B4D"/>
    <w:rsid w:val="007A63B5"/>
    <w:rsid w:val="007A660D"/>
    <w:rsid w:val="007B386F"/>
    <w:rsid w:val="007C010C"/>
    <w:rsid w:val="007D14A9"/>
    <w:rsid w:val="007D3F16"/>
    <w:rsid w:val="007D549C"/>
    <w:rsid w:val="007E2E5B"/>
    <w:rsid w:val="007E6781"/>
    <w:rsid w:val="007E6C93"/>
    <w:rsid w:val="007E6D3E"/>
    <w:rsid w:val="007F0765"/>
    <w:rsid w:val="007F0F1A"/>
    <w:rsid w:val="007F6713"/>
    <w:rsid w:val="00801C1F"/>
    <w:rsid w:val="00812710"/>
    <w:rsid w:val="0082768A"/>
    <w:rsid w:val="008304A1"/>
    <w:rsid w:val="00841085"/>
    <w:rsid w:val="008410C4"/>
    <w:rsid w:val="008431AE"/>
    <w:rsid w:val="00847CB6"/>
    <w:rsid w:val="00856F50"/>
    <w:rsid w:val="00873AD5"/>
    <w:rsid w:val="00874727"/>
    <w:rsid w:val="008755AE"/>
    <w:rsid w:val="008837E0"/>
    <w:rsid w:val="008838C3"/>
    <w:rsid w:val="008858FD"/>
    <w:rsid w:val="00894542"/>
    <w:rsid w:val="00894F0A"/>
    <w:rsid w:val="008966FC"/>
    <w:rsid w:val="008A1597"/>
    <w:rsid w:val="008A19E7"/>
    <w:rsid w:val="008A40CB"/>
    <w:rsid w:val="008A5216"/>
    <w:rsid w:val="008A5F75"/>
    <w:rsid w:val="008A630D"/>
    <w:rsid w:val="008B21A2"/>
    <w:rsid w:val="008B2CDD"/>
    <w:rsid w:val="008C1938"/>
    <w:rsid w:val="008D06AA"/>
    <w:rsid w:val="008E0C2C"/>
    <w:rsid w:val="008E1A4A"/>
    <w:rsid w:val="008E7D74"/>
    <w:rsid w:val="008F01D3"/>
    <w:rsid w:val="008F0C4A"/>
    <w:rsid w:val="008F25A5"/>
    <w:rsid w:val="008F440B"/>
    <w:rsid w:val="008F7E90"/>
    <w:rsid w:val="0090290E"/>
    <w:rsid w:val="009204D0"/>
    <w:rsid w:val="009222AD"/>
    <w:rsid w:val="00925FB6"/>
    <w:rsid w:val="009348D2"/>
    <w:rsid w:val="0093608F"/>
    <w:rsid w:val="009374EA"/>
    <w:rsid w:val="00937DF6"/>
    <w:rsid w:val="00950C3A"/>
    <w:rsid w:val="00951BA9"/>
    <w:rsid w:val="009525AE"/>
    <w:rsid w:val="00966A75"/>
    <w:rsid w:val="0097706C"/>
    <w:rsid w:val="00987EE0"/>
    <w:rsid w:val="009A227B"/>
    <w:rsid w:val="009A3E38"/>
    <w:rsid w:val="009B34BE"/>
    <w:rsid w:val="009B3AE9"/>
    <w:rsid w:val="009B6657"/>
    <w:rsid w:val="009C3E55"/>
    <w:rsid w:val="009C6D81"/>
    <w:rsid w:val="009D2FF8"/>
    <w:rsid w:val="009D5B3A"/>
    <w:rsid w:val="009D6059"/>
    <w:rsid w:val="009E15F8"/>
    <w:rsid w:val="009E3CFB"/>
    <w:rsid w:val="009E43BB"/>
    <w:rsid w:val="009F1471"/>
    <w:rsid w:val="009F1D3A"/>
    <w:rsid w:val="009F21F7"/>
    <w:rsid w:val="009F3BFD"/>
    <w:rsid w:val="009F473D"/>
    <w:rsid w:val="009F5D18"/>
    <w:rsid w:val="009F6013"/>
    <w:rsid w:val="009F7B89"/>
    <w:rsid w:val="00A06693"/>
    <w:rsid w:val="00A12242"/>
    <w:rsid w:val="00A20D7E"/>
    <w:rsid w:val="00A246FA"/>
    <w:rsid w:val="00A24773"/>
    <w:rsid w:val="00A2763B"/>
    <w:rsid w:val="00A33D82"/>
    <w:rsid w:val="00A33FDA"/>
    <w:rsid w:val="00A4447D"/>
    <w:rsid w:val="00A4684D"/>
    <w:rsid w:val="00A57A4F"/>
    <w:rsid w:val="00A61626"/>
    <w:rsid w:val="00A64CFE"/>
    <w:rsid w:val="00A67A6D"/>
    <w:rsid w:val="00A768C5"/>
    <w:rsid w:val="00A85734"/>
    <w:rsid w:val="00A860DF"/>
    <w:rsid w:val="00A871EF"/>
    <w:rsid w:val="00A91366"/>
    <w:rsid w:val="00A93BB1"/>
    <w:rsid w:val="00A9639E"/>
    <w:rsid w:val="00AA1532"/>
    <w:rsid w:val="00AA686C"/>
    <w:rsid w:val="00AB78F5"/>
    <w:rsid w:val="00AC330A"/>
    <w:rsid w:val="00AC3D60"/>
    <w:rsid w:val="00AC66B8"/>
    <w:rsid w:val="00AD3396"/>
    <w:rsid w:val="00AD3767"/>
    <w:rsid w:val="00AD3EBC"/>
    <w:rsid w:val="00AE2840"/>
    <w:rsid w:val="00AF0DC5"/>
    <w:rsid w:val="00AF0E9C"/>
    <w:rsid w:val="00AF5F60"/>
    <w:rsid w:val="00B01EE5"/>
    <w:rsid w:val="00B06C2C"/>
    <w:rsid w:val="00B10845"/>
    <w:rsid w:val="00B12139"/>
    <w:rsid w:val="00B16935"/>
    <w:rsid w:val="00B215EC"/>
    <w:rsid w:val="00B25679"/>
    <w:rsid w:val="00B2739D"/>
    <w:rsid w:val="00B27F48"/>
    <w:rsid w:val="00B30CA4"/>
    <w:rsid w:val="00B312DE"/>
    <w:rsid w:val="00B32EE1"/>
    <w:rsid w:val="00B34240"/>
    <w:rsid w:val="00B4140A"/>
    <w:rsid w:val="00B418A0"/>
    <w:rsid w:val="00B51C80"/>
    <w:rsid w:val="00B5217E"/>
    <w:rsid w:val="00B62E62"/>
    <w:rsid w:val="00B64A42"/>
    <w:rsid w:val="00B71C9E"/>
    <w:rsid w:val="00B76E47"/>
    <w:rsid w:val="00B82AE2"/>
    <w:rsid w:val="00B85A58"/>
    <w:rsid w:val="00B87233"/>
    <w:rsid w:val="00B9313D"/>
    <w:rsid w:val="00B94449"/>
    <w:rsid w:val="00B97963"/>
    <w:rsid w:val="00BA4E79"/>
    <w:rsid w:val="00BA5670"/>
    <w:rsid w:val="00BB01D9"/>
    <w:rsid w:val="00BB1902"/>
    <w:rsid w:val="00BB1EFF"/>
    <w:rsid w:val="00BC788F"/>
    <w:rsid w:val="00BD1F2F"/>
    <w:rsid w:val="00BD4DF7"/>
    <w:rsid w:val="00BD594F"/>
    <w:rsid w:val="00BE3C8D"/>
    <w:rsid w:val="00BE466B"/>
    <w:rsid w:val="00BF0252"/>
    <w:rsid w:val="00BF34B1"/>
    <w:rsid w:val="00BF3F8D"/>
    <w:rsid w:val="00BF40B5"/>
    <w:rsid w:val="00C00D69"/>
    <w:rsid w:val="00C06526"/>
    <w:rsid w:val="00C24D34"/>
    <w:rsid w:val="00C27B23"/>
    <w:rsid w:val="00C32DD1"/>
    <w:rsid w:val="00C33F8F"/>
    <w:rsid w:val="00C34DE7"/>
    <w:rsid w:val="00C374BF"/>
    <w:rsid w:val="00C40070"/>
    <w:rsid w:val="00C41B56"/>
    <w:rsid w:val="00C4251E"/>
    <w:rsid w:val="00C42987"/>
    <w:rsid w:val="00C462EB"/>
    <w:rsid w:val="00C54421"/>
    <w:rsid w:val="00C613FC"/>
    <w:rsid w:val="00C67B8C"/>
    <w:rsid w:val="00C73F66"/>
    <w:rsid w:val="00C76A52"/>
    <w:rsid w:val="00C77241"/>
    <w:rsid w:val="00C81A83"/>
    <w:rsid w:val="00C86097"/>
    <w:rsid w:val="00C8783C"/>
    <w:rsid w:val="00C96E04"/>
    <w:rsid w:val="00CA1D1F"/>
    <w:rsid w:val="00CA2982"/>
    <w:rsid w:val="00CB24FD"/>
    <w:rsid w:val="00CC1D86"/>
    <w:rsid w:val="00CC325C"/>
    <w:rsid w:val="00CC4647"/>
    <w:rsid w:val="00CC57A5"/>
    <w:rsid w:val="00CD16A8"/>
    <w:rsid w:val="00CD23D0"/>
    <w:rsid w:val="00CD2ABE"/>
    <w:rsid w:val="00CD5F8C"/>
    <w:rsid w:val="00CD628F"/>
    <w:rsid w:val="00CD6767"/>
    <w:rsid w:val="00CE0BEF"/>
    <w:rsid w:val="00CE1847"/>
    <w:rsid w:val="00CE2DA6"/>
    <w:rsid w:val="00CF0684"/>
    <w:rsid w:val="00CF4C01"/>
    <w:rsid w:val="00CF5B31"/>
    <w:rsid w:val="00CF7532"/>
    <w:rsid w:val="00D004A4"/>
    <w:rsid w:val="00D12488"/>
    <w:rsid w:val="00D1424A"/>
    <w:rsid w:val="00D229D3"/>
    <w:rsid w:val="00D2743C"/>
    <w:rsid w:val="00D3636E"/>
    <w:rsid w:val="00D36D3E"/>
    <w:rsid w:val="00D41E9B"/>
    <w:rsid w:val="00D42DE4"/>
    <w:rsid w:val="00D51CB0"/>
    <w:rsid w:val="00D52311"/>
    <w:rsid w:val="00D6225C"/>
    <w:rsid w:val="00D624DA"/>
    <w:rsid w:val="00D65FC0"/>
    <w:rsid w:val="00D66D95"/>
    <w:rsid w:val="00D67161"/>
    <w:rsid w:val="00D6752E"/>
    <w:rsid w:val="00D70956"/>
    <w:rsid w:val="00D73607"/>
    <w:rsid w:val="00D852F2"/>
    <w:rsid w:val="00D85EBC"/>
    <w:rsid w:val="00D90322"/>
    <w:rsid w:val="00D91DD4"/>
    <w:rsid w:val="00D9460C"/>
    <w:rsid w:val="00D96863"/>
    <w:rsid w:val="00D97080"/>
    <w:rsid w:val="00DA2606"/>
    <w:rsid w:val="00DB1219"/>
    <w:rsid w:val="00DB1412"/>
    <w:rsid w:val="00DB302C"/>
    <w:rsid w:val="00DC602A"/>
    <w:rsid w:val="00DD1B6E"/>
    <w:rsid w:val="00DD7BBD"/>
    <w:rsid w:val="00DD7C1C"/>
    <w:rsid w:val="00DE2DF3"/>
    <w:rsid w:val="00DE5AF5"/>
    <w:rsid w:val="00DF0615"/>
    <w:rsid w:val="00DF50A2"/>
    <w:rsid w:val="00DF6C0A"/>
    <w:rsid w:val="00E05115"/>
    <w:rsid w:val="00E11052"/>
    <w:rsid w:val="00E11153"/>
    <w:rsid w:val="00E12F61"/>
    <w:rsid w:val="00E20400"/>
    <w:rsid w:val="00E257EE"/>
    <w:rsid w:val="00E30BFC"/>
    <w:rsid w:val="00E443E4"/>
    <w:rsid w:val="00E54047"/>
    <w:rsid w:val="00E54D75"/>
    <w:rsid w:val="00E579DF"/>
    <w:rsid w:val="00E609E2"/>
    <w:rsid w:val="00E61739"/>
    <w:rsid w:val="00E641C5"/>
    <w:rsid w:val="00E72CE2"/>
    <w:rsid w:val="00E779F0"/>
    <w:rsid w:val="00E81ECD"/>
    <w:rsid w:val="00E85230"/>
    <w:rsid w:val="00E85DF2"/>
    <w:rsid w:val="00E90EB5"/>
    <w:rsid w:val="00E97D87"/>
    <w:rsid w:val="00EA2855"/>
    <w:rsid w:val="00EA3363"/>
    <w:rsid w:val="00EB1533"/>
    <w:rsid w:val="00ED25DF"/>
    <w:rsid w:val="00ED4110"/>
    <w:rsid w:val="00EE0329"/>
    <w:rsid w:val="00EE3E2C"/>
    <w:rsid w:val="00EE7A0B"/>
    <w:rsid w:val="00EF1D42"/>
    <w:rsid w:val="00EF286C"/>
    <w:rsid w:val="00F01D31"/>
    <w:rsid w:val="00F03CCC"/>
    <w:rsid w:val="00F07315"/>
    <w:rsid w:val="00F12B97"/>
    <w:rsid w:val="00F15226"/>
    <w:rsid w:val="00F25776"/>
    <w:rsid w:val="00F25B7A"/>
    <w:rsid w:val="00F30C7E"/>
    <w:rsid w:val="00F3450B"/>
    <w:rsid w:val="00F37517"/>
    <w:rsid w:val="00F47C64"/>
    <w:rsid w:val="00F513F7"/>
    <w:rsid w:val="00F5705B"/>
    <w:rsid w:val="00F613BF"/>
    <w:rsid w:val="00F61950"/>
    <w:rsid w:val="00F64388"/>
    <w:rsid w:val="00F65099"/>
    <w:rsid w:val="00F70D02"/>
    <w:rsid w:val="00F70F05"/>
    <w:rsid w:val="00F76853"/>
    <w:rsid w:val="00F860D4"/>
    <w:rsid w:val="00F87987"/>
    <w:rsid w:val="00F95C3C"/>
    <w:rsid w:val="00FA5833"/>
    <w:rsid w:val="00FA5AFB"/>
    <w:rsid w:val="00FA62DB"/>
    <w:rsid w:val="00FB08DD"/>
    <w:rsid w:val="00FC2848"/>
    <w:rsid w:val="00FD2EC1"/>
    <w:rsid w:val="00FE7A80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3452E4"/>
  </w:style>
  <w:style w:type="paragraph" w:styleId="Heading1">
    <w:name w:val="heading 1"/>
    <w:basedOn w:val="Normal"/>
    <w:next w:val="Normal"/>
    <w:link w:val="Heading1Char"/>
    <w:uiPriority w:val="9"/>
    <w:qFormat/>
    <w:rsid w:val="0034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2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2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2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2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2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5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5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52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45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452E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45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2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2E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52E4"/>
    <w:pPr>
      <w:spacing w:after="0" w:line="240" w:lineRule="auto"/>
    </w:pPr>
  </w:style>
  <w:style w:type="paragraph" w:customStyle="1" w:styleId="BodyText1">
    <w:name w:val="Body Text1"/>
    <w:basedOn w:val="Normal"/>
    <w:rsid w:val="00353C27"/>
    <w:rPr>
      <w:rFonts w:ascii="Arial" w:eastAsia="Calibri" w:hAnsi="Arial" w:cs="Arial"/>
      <w:color w:val="000000"/>
    </w:rPr>
  </w:style>
  <w:style w:type="paragraph" w:customStyle="1" w:styleId="Default">
    <w:name w:val="Default"/>
    <w:rsid w:val="001526E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2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2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52E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452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52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2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52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2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2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2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2E4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6562B"/>
  </w:style>
  <w:style w:type="paragraph" w:customStyle="1" w:styleId="A3S">
    <w:name w:val="A3S"/>
    <w:aliases w:val="Schedule Amendment"/>
    <w:basedOn w:val="Normal"/>
    <w:next w:val="Normal"/>
    <w:uiPriority w:val="99"/>
    <w:rsid w:val="00F70F05"/>
    <w:pPr>
      <w:spacing w:before="60" w:after="0" w:line="260" w:lineRule="exact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uiPriority w:val="99"/>
    <w:rsid w:val="00F70F05"/>
    <w:rPr>
      <w:rFonts w:cs="Times New Roman"/>
    </w:rPr>
  </w:style>
  <w:style w:type="paragraph" w:customStyle="1" w:styleId="HR">
    <w:name w:val="HR"/>
    <w:aliases w:val="Regulation Heading"/>
    <w:basedOn w:val="Normal"/>
    <w:next w:val="R1"/>
    <w:uiPriority w:val="99"/>
    <w:rsid w:val="00F70F05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R">
    <w:name w:val="HSR"/>
    <w:aliases w:val="Subregulation Heading"/>
    <w:basedOn w:val="Normal"/>
    <w:next w:val="Normal"/>
    <w:uiPriority w:val="99"/>
    <w:rsid w:val="00F70F05"/>
    <w:pPr>
      <w:keepNext/>
      <w:spacing w:before="300" w:after="0" w:line="240" w:lineRule="auto"/>
      <w:ind w:left="964"/>
    </w:pPr>
    <w:rPr>
      <w:rFonts w:ascii="Arial" w:eastAsia="Times New Roman" w:hAnsi="Arial" w:cs="Times New Roman"/>
      <w:i/>
      <w:sz w:val="24"/>
      <w:szCs w:val="24"/>
      <w:lang w:eastAsia="en-AU"/>
    </w:rPr>
  </w:style>
  <w:style w:type="paragraph" w:customStyle="1" w:styleId="P1">
    <w:name w:val="P1"/>
    <w:aliases w:val="(a)"/>
    <w:basedOn w:val="Normal"/>
    <w:uiPriority w:val="99"/>
    <w:rsid w:val="00F70F05"/>
    <w:pPr>
      <w:keepLines/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uiPriority w:val="99"/>
    <w:rsid w:val="00F70F05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uiPriority w:val="99"/>
    <w:rsid w:val="00F70F05"/>
    <w:pPr>
      <w:keepLines/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3452E4"/>
  </w:style>
  <w:style w:type="paragraph" w:styleId="Heading1">
    <w:name w:val="heading 1"/>
    <w:basedOn w:val="Normal"/>
    <w:next w:val="Normal"/>
    <w:link w:val="Heading1Char"/>
    <w:uiPriority w:val="9"/>
    <w:qFormat/>
    <w:rsid w:val="0034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2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2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2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2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2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5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5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52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45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452E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45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2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2E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52E4"/>
    <w:pPr>
      <w:spacing w:after="0" w:line="240" w:lineRule="auto"/>
    </w:pPr>
  </w:style>
  <w:style w:type="paragraph" w:customStyle="1" w:styleId="BodyText1">
    <w:name w:val="Body Text1"/>
    <w:basedOn w:val="Normal"/>
    <w:rsid w:val="00353C27"/>
    <w:rPr>
      <w:rFonts w:ascii="Arial" w:eastAsia="Calibri" w:hAnsi="Arial" w:cs="Arial"/>
      <w:color w:val="000000"/>
    </w:rPr>
  </w:style>
  <w:style w:type="paragraph" w:customStyle="1" w:styleId="Default">
    <w:name w:val="Default"/>
    <w:rsid w:val="001526E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2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2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52E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452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52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2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52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2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2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2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2E4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6562B"/>
  </w:style>
  <w:style w:type="paragraph" w:customStyle="1" w:styleId="A3S">
    <w:name w:val="A3S"/>
    <w:aliases w:val="Schedule Amendment"/>
    <w:basedOn w:val="Normal"/>
    <w:next w:val="Normal"/>
    <w:uiPriority w:val="99"/>
    <w:rsid w:val="00F70F05"/>
    <w:pPr>
      <w:spacing w:before="60" w:after="0" w:line="260" w:lineRule="exact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uiPriority w:val="99"/>
    <w:rsid w:val="00F70F05"/>
    <w:rPr>
      <w:rFonts w:cs="Times New Roman"/>
    </w:rPr>
  </w:style>
  <w:style w:type="paragraph" w:customStyle="1" w:styleId="HR">
    <w:name w:val="HR"/>
    <w:aliases w:val="Regulation Heading"/>
    <w:basedOn w:val="Normal"/>
    <w:next w:val="R1"/>
    <w:uiPriority w:val="99"/>
    <w:rsid w:val="00F70F05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R">
    <w:name w:val="HSR"/>
    <w:aliases w:val="Subregulation Heading"/>
    <w:basedOn w:val="Normal"/>
    <w:next w:val="Normal"/>
    <w:uiPriority w:val="99"/>
    <w:rsid w:val="00F70F05"/>
    <w:pPr>
      <w:keepNext/>
      <w:spacing w:before="300" w:after="0" w:line="240" w:lineRule="auto"/>
      <w:ind w:left="964"/>
    </w:pPr>
    <w:rPr>
      <w:rFonts w:ascii="Arial" w:eastAsia="Times New Roman" w:hAnsi="Arial" w:cs="Times New Roman"/>
      <w:i/>
      <w:sz w:val="24"/>
      <w:szCs w:val="24"/>
      <w:lang w:eastAsia="en-AU"/>
    </w:rPr>
  </w:style>
  <w:style w:type="paragraph" w:customStyle="1" w:styleId="P1">
    <w:name w:val="P1"/>
    <w:aliases w:val="(a)"/>
    <w:basedOn w:val="Normal"/>
    <w:uiPriority w:val="99"/>
    <w:rsid w:val="00F70F05"/>
    <w:pPr>
      <w:keepLines/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uiPriority w:val="99"/>
    <w:rsid w:val="00F70F05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uiPriority w:val="99"/>
    <w:rsid w:val="00F70F05"/>
    <w:pPr>
      <w:keepLines/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ccan.org.au/files/Submissions/ACCAN%20Submission%20MPS%20Code.pdf" TargetMode="External"/><Relationship Id="rId13" Type="http://schemas.openxmlformats.org/officeDocument/2006/relationships/hyperlink" Target="https://www.tio.com.au/__data/assets/pdf_file/0003/156738/Mobile-Premium-Services-Code-C637_2011-Review.pdf" TargetMode="External"/><Relationship Id="rId3" Type="http://schemas.openxmlformats.org/officeDocument/2006/relationships/hyperlink" Target="http://accan.org.au/files/Submissions/ACCAN%20Submission%20MPS%20Code.pdf" TargetMode="External"/><Relationship Id="rId7" Type="http://schemas.openxmlformats.org/officeDocument/2006/relationships/hyperlink" Target="http://www.optus.com.au/shop/mobile/apps/Google-Play-Store-Billing" TargetMode="External"/><Relationship Id="rId12" Type="http://schemas.openxmlformats.org/officeDocument/2006/relationships/hyperlink" Target="https://www.tio.com.au/__data/assets/pdf_file/0011/163397/Managing-usage-and-expenditure-on-a-service_Mar-2016.pdf" TargetMode="External"/><Relationship Id="rId2" Type="http://schemas.openxmlformats.org/officeDocument/2006/relationships/hyperlink" Target="http://accan.org.au/files/Reports/ACCAN%20Galaxy%20Survey%20May%202015.pdf" TargetMode="External"/><Relationship Id="rId1" Type="http://schemas.openxmlformats.org/officeDocument/2006/relationships/hyperlink" Target="https://www.tio.com.au/__data/assets/pdf_file/0018/221265/June-2016-TIO-submission-to-the-Australian-Consumer-Law-Review.pdf" TargetMode="External"/><Relationship Id="rId6" Type="http://schemas.openxmlformats.org/officeDocument/2006/relationships/hyperlink" Target="http://eur-lex.europa.eu/legal-content/EN/TXT/?uri=CELEX:32009L0110" TargetMode="External"/><Relationship Id="rId11" Type="http://schemas.openxmlformats.org/officeDocument/2006/relationships/hyperlink" Target="http://www.optus.com.au/shop/mobile/apps/Google-Play-Store-Billing" TargetMode="External"/><Relationship Id="rId5" Type="http://schemas.openxmlformats.org/officeDocument/2006/relationships/hyperlink" Target="http://www.mobilepaymentstoday.com/articles/boku-brings-direct-carrier-billing-into-the-physical-world-thanks-to-license/" TargetMode="External"/><Relationship Id="rId15" Type="http://schemas.openxmlformats.org/officeDocument/2006/relationships/hyperlink" Target="http://www.phonepayplus.org.uk/~/media/Files/13th-Code-of-Practice/Guidance-and-Compliance/10_Due-diligence-risk-assessment-and-control.pdf" TargetMode="External"/><Relationship Id="rId10" Type="http://schemas.openxmlformats.org/officeDocument/2006/relationships/hyperlink" Target="https://www.legislation.gov.au/Details/F2013C00123" TargetMode="External"/><Relationship Id="rId4" Type="http://schemas.openxmlformats.org/officeDocument/2006/relationships/hyperlink" Target="http://accan.org.au/files/Submissions/ACMA%20reporting%20requirements%20ACCAN%20supplementary.pdf" TargetMode="External"/><Relationship Id="rId9" Type="http://schemas.openxmlformats.org/officeDocument/2006/relationships/hyperlink" Target="http://accan.org.au/files/Submissions/ACMA%20reporting%20requirements%20ACCAN%20supplementary.pdf" TargetMode="External"/><Relationship Id="rId14" Type="http://schemas.openxmlformats.org/officeDocument/2006/relationships/hyperlink" Target="http://www.phonepayplus.org.uk/~/media/Files/14th-Code-of-Practice/PhonepayPlus_Code_of_Practice_14th_Digit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5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9457-3554-4838-AEB4-68154006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0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 Arnold</dc:creator>
  <cp:lastModifiedBy>Jax Arnold</cp:lastModifiedBy>
  <cp:revision>2</cp:revision>
  <cp:lastPrinted>2016-10-14T02:00:00Z</cp:lastPrinted>
  <dcterms:created xsi:type="dcterms:W3CDTF">2016-10-17T23:17:00Z</dcterms:created>
  <dcterms:modified xsi:type="dcterms:W3CDTF">2016-10-17T23:17:00Z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