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Default="005451FC" w:rsidP="005262EE">
      <w:pPr>
        <w:rPr>
          <w:sz w:val="23"/>
          <w:szCs w:val="23"/>
        </w:rPr>
      </w:pPr>
      <w:r>
        <w:rPr>
          <w:sz w:val="23"/>
          <w:szCs w:val="23"/>
        </w:rPr>
        <w:lastRenderedPageBreak/>
        <w:t>20</w:t>
      </w:r>
      <w:r w:rsidR="00511879">
        <w:rPr>
          <w:sz w:val="23"/>
          <w:szCs w:val="23"/>
        </w:rPr>
        <w:t xml:space="preserve"> August </w:t>
      </w:r>
      <w:r w:rsidR="00133884">
        <w:rPr>
          <w:sz w:val="23"/>
          <w:szCs w:val="23"/>
        </w:rPr>
        <w:t>2015</w:t>
      </w:r>
    </w:p>
    <w:p w:rsidR="005451FC" w:rsidRDefault="005451FC" w:rsidP="002A0E88">
      <w:pPr>
        <w:rPr>
          <w:rFonts w:eastAsiaTheme="minorHAnsi"/>
          <w:lang w:val="en-US" w:eastAsia="en-US"/>
        </w:rPr>
      </w:pPr>
      <w:r>
        <w:t>Director</w:t>
      </w:r>
      <w:r>
        <w:br/>
        <w:t>NBN Migration</w:t>
      </w:r>
      <w:r>
        <w:br/>
        <w:t>Infrastructure Deployment Bran</w:t>
      </w:r>
      <w:r w:rsidR="002A0E88">
        <w:t>ch</w:t>
      </w:r>
      <w:r w:rsidR="002A0E88">
        <w:br/>
        <w:t>Department of Communications</w:t>
      </w:r>
    </w:p>
    <w:p w:rsidR="00511879" w:rsidRPr="00511879" w:rsidRDefault="00511879" w:rsidP="00511879">
      <w:pPr>
        <w:rPr>
          <w:rFonts w:eastAsiaTheme="minorHAnsi"/>
          <w:lang w:val="en-US" w:eastAsia="en-US"/>
        </w:rPr>
      </w:pPr>
      <w:r w:rsidRPr="00511879">
        <w:rPr>
          <w:rFonts w:eastAsiaTheme="minorHAnsi"/>
          <w:lang w:val="en-US" w:eastAsia="en-US"/>
        </w:rPr>
        <w:t xml:space="preserve">Via: </w:t>
      </w:r>
      <w:hyperlink r:id="rId11" w:history="1">
        <w:r w:rsidR="005451FC" w:rsidRPr="005451FC">
          <w:rPr>
            <w:color w:val="0000FF"/>
            <w:u w:val="single"/>
          </w:rPr>
          <w:t>migration@communications.gov.au</w:t>
        </w:r>
      </w:hyperlink>
      <w:r w:rsidR="005451FC" w:rsidRPr="00511879">
        <w:rPr>
          <w:rFonts w:eastAsiaTheme="minorHAnsi"/>
          <w:lang w:val="en-US" w:eastAsia="en-US"/>
        </w:rPr>
        <w:t xml:space="preserve"> </w:t>
      </w:r>
    </w:p>
    <w:p w:rsidR="00C97238" w:rsidRDefault="00DD1B6E" w:rsidP="000C2040">
      <w:pPr>
        <w:pStyle w:val="BodyText1"/>
        <w:jc w:val="both"/>
        <w:rPr>
          <w:rFonts w:asciiTheme="minorHAnsi" w:hAnsiTheme="minorHAnsi" w:cstheme="minorHAnsi"/>
        </w:rPr>
      </w:pPr>
      <w:r w:rsidRPr="00B41A57">
        <w:rPr>
          <w:rFonts w:asciiTheme="minorHAnsi" w:hAnsiTheme="minorHAnsi" w:cstheme="minorHAnsi"/>
        </w:rPr>
        <w:t xml:space="preserve">ACCAN thanks </w:t>
      </w:r>
      <w:r w:rsidR="005451FC">
        <w:rPr>
          <w:rFonts w:asciiTheme="minorHAnsi" w:hAnsiTheme="minorHAnsi" w:cstheme="minorHAnsi"/>
        </w:rPr>
        <w:t>the Department of Communications</w:t>
      </w:r>
      <w:r w:rsidR="00511879">
        <w:rPr>
          <w:rFonts w:asciiTheme="minorHAnsi" w:hAnsiTheme="minorHAnsi" w:cstheme="minorHAnsi"/>
        </w:rPr>
        <w:t xml:space="preserve"> </w:t>
      </w:r>
      <w:r w:rsidRPr="00B41A57">
        <w:rPr>
          <w:rFonts w:asciiTheme="minorHAnsi" w:hAnsiTheme="minorHAnsi" w:cstheme="minorHAnsi"/>
        </w:rPr>
        <w:t>for the opportunity</w:t>
      </w:r>
      <w:r w:rsidR="00133884" w:rsidRPr="00B41A57">
        <w:rPr>
          <w:rFonts w:asciiTheme="minorHAnsi" w:hAnsiTheme="minorHAnsi" w:cstheme="minorHAnsi"/>
        </w:rPr>
        <w:t xml:space="preserve"> to contribute to its </w:t>
      </w:r>
      <w:r w:rsidR="005451FC">
        <w:rPr>
          <w:rFonts w:asciiTheme="minorHAnsi" w:hAnsiTheme="minorHAnsi" w:cstheme="minorHAnsi"/>
        </w:rPr>
        <w:t>consultation on the Migration Assurance Policy</w:t>
      </w:r>
      <w:r w:rsidR="007C6F72">
        <w:rPr>
          <w:rFonts w:asciiTheme="minorHAnsi" w:hAnsiTheme="minorHAnsi" w:cstheme="minorHAnsi"/>
        </w:rPr>
        <w:t xml:space="preserve"> (MAP)</w:t>
      </w:r>
      <w:r w:rsidR="005451FC">
        <w:rPr>
          <w:rFonts w:asciiTheme="minorHAnsi" w:hAnsiTheme="minorHAnsi" w:cstheme="minorHAnsi"/>
        </w:rPr>
        <w:t xml:space="preserve">. </w:t>
      </w:r>
      <w:r w:rsidR="00511879">
        <w:rPr>
          <w:rFonts w:asciiTheme="minorHAnsi" w:hAnsiTheme="minorHAnsi" w:cstheme="minorHAnsi"/>
        </w:rPr>
        <w:t xml:space="preserve">ACCAN </w:t>
      </w:r>
      <w:r w:rsidR="005451FC">
        <w:rPr>
          <w:rFonts w:asciiTheme="minorHAnsi" w:hAnsiTheme="minorHAnsi" w:cstheme="minorHAnsi"/>
        </w:rPr>
        <w:t>is supportive of the M</w:t>
      </w:r>
      <w:r w:rsidR="007C6F72">
        <w:rPr>
          <w:rFonts w:asciiTheme="minorHAnsi" w:hAnsiTheme="minorHAnsi" w:cstheme="minorHAnsi"/>
        </w:rPr>
        <w:t xml:space="preserve">AP </w:t>
      </w:r>
      <w:r w:rsidR="005451FC">
        <w:rPr>
          <w:rFonts w:asciiTheme="minorHAnsi" w:hAnsiTheme="minorHAnsi" w:cstheme="minorHAnsi"/>
        </w:rPr>
        <w:t>and the approach that the department has taken in the development of the p</w:t>
      </w:r>
      <w:r w:rsidR="007C6F72">
        <w:rPr>
          <w:rFonts w:asciiTheme="minorHAnsi" w:hAnsiTheme="minorHAnsi" w:cstheme="minorHAnsi"/>
        </w:rPr>
        <w:t>olicy</w:t>
      </w:r>
      <w:r w:rsidR="005451FC">
        <w:rPr>
          <w:rFonts w:asciiTheme="minorHAnsi" w:hAnsiTheme="minorHAnsi" w:cstheme="minorHAnsi"/>
        </w:rPr>
        <w:t xml:space="preserve">. </w:t>
      </w:r>
      <w:r w:rsidR="00C97238">
        <w:rPr>
          <w:rFonts w:asciiTheme="minorHAnsi" w:hAnsiTheme="minorHAnsi" w:cstheme="minorHAnsi"/>
        </w:rPr>
        <w:t>The f</w:t>
      </w:r>
      <w:r w:rsidR="00D519E7">
        <w:rPr>
          <w:rFonts w:asciiTheme="minorHAnsi" w:hAnsiTheme="minorHAnsi" w:cstheme="minorHAnsi"/>
        </w:rPr>
        <w:t>ocus</w:t>
      </w:r>
      <w:r w:rsidR="00C97238">
        <w:rPr>
          <w:rFonts w:asciiTheme="minorHAnsi" w:hAnsiTheme="minorHAnsi" w:cstheme="minorHAnsi"/>
        </w:rPr>
        <w:t xml:space="preserve"> </w:t>
      </w:r>
      <w:r w:rsidR="00B07419">
        <w:rPr>
          <w:rFonts w:asciiTheme="minorHAnsi" w:hAnsiTheme="minorHAnsi" w:cstheme="minorHAnsi"/>
        </w:rPr>
        <w:t xml:space="preserve">of migration </w:t>
      </w:r>
      <w:r w:rsidR="00C97238">
        <w:rPr>
          <w:rFonts w:asciiTheme="minorHAnsi" w:hAnsiTheme="minorHAnsi" w:cstheme="minorHAnsi"/>
        </w:rPr>
        <w:t>should</w:t>
      </w:r>
      <w:r w:rsidR="003F3535">
        <w:rPr>
          <w:rFonts w:asciiTheme="minorHAnsi" w:hAnsiTheme="minorHAnsi" w:cstheme="minorHAnsi"/>
        </w:rPr>
        <w:t xml:space="preserve"> be</w:t>
      </w:r>
      <w:r w:rsidR="00C97238">
        <w:rPr>
          <w:rFonts w:asciiTheme="minorHAnsi" w:hAnsiTheme="minorHAnsi" w:cstheme="minorHAnsi"/>
        </w:rPr>
        <w:t xml:space="preserve">, and rightly </w:t>
      </w:r>
      <w:r w:rsidR="002A0E88">
        <w:rPr>
          <w:rFonts w:asciiTheme="minorHAnsi" w:hAnsiTheme="minorHAnsi" w:cstheme="minorHAnsi"/>
        </w:rPr>
        <w:t xml:space="preserve">so </w:t>
      </w:r>
      <w:r w:rsidR="00C97238">
        <w:rPr>
          <w:rFonts w:asciiTheme="minorHAnsi" w:hAnsiTheme="minorHAnsi" w:cstheme="minorHAnsi"/>
        </w:rPr>
        <w:t>in this policy,</w:t>
      </w:r>
      <w:r w:rsidR="002A0E88">
        <w:rPr>
          <w:rFonts w:asciiTheme="minorHAnsi" w:hAnsiTheme="minorHAnsi" w:cstheme="minorHAnsi"/>
        </w:rPr>
        <w:t xml:space="preserve"> </w:t>
      </w:r>
      <w:r w:rsidR="00C97238">
        <w:rPr>
          <w:rFonts w:asciiTheme="minorHAnsi" w:hAnsiTheme="minorHAnsi" w:cstheme="minorHAnsi"/>
        </w:rPr>
        <w:t>on the end user</w:t>
      </w:r>
      <w:r w:rsidR="002A0E88">
        <w:rPr>
          <w:rFonts w:asciiTheme="minorHAnsi" w:hAnsiTheme="minorHAnsi" w:cstheme="minorHAnsi"/>
        </w:rPr>
        <w:t xml:space="preserve"> experience</w:t>
      </w:r>
      <w:r w:rsidR="005451FC">
        <w:rPr>
          <w:rFonts w:asciiTheme="minorHAnsi" w:hAnsiTheme="minorHAnsi" w:cstheme="minorHAnsi"/>
        </w:rPr>
        <w:t xml:space="preserve">. </w:t>
      </w:r>
    </w:p>
    <w:p w:rsidR="007C6F72" w:rsidRDefault="00467759" w:rsidP="000C2040">
      <w:pPr>
        <w:pStyle w:val="BodyText1"/>
        <w:jc w:val="both"/>
        <w:rPr>
          <w:rFonts w:asciiTheme="minorHAnsi" w:hAnsiTheme="minorHAnsi" w:cstheme="minorHAnsi"/>
        </w:rPr>
      </w:pPr>
      <w:r>
        <w:rPr>
          <w:rFonts w:asciiTheme="minorHAnsi" w:hAnsiTheme="minorHAnsi" w:cstheme="minorHAnsi"/>
        </w:rPr>
        <w:t>ACCAN has a keen interest in the migration process and has provided fee</w:t>
      </w:r>
      <w:r w:rsidR="007C6F72">
        <w:rPr>
          <w:rFonts w:asciiTheme="minorHAnsi" w:hAnsiTheme="minorHAnsi" w:cstheme="minorHAnsi"/>
        </w:rPr>
        <w:t>dback to a number of</w:t>
      </w:r>
      <w:r w:rsidR="00D519E7">
        <w:rPr>
          <w:rFonts w:asciiTheme="minorHAnsi" w:hAnsiTheme="minorHAnsi" w:cstheme="minorHAnsi"/>
        </w:rPr>
        <w:t xml:space="preserve"> previous</w:t>
      </w:r>
      <w:r w:rsidR="007C6F72">
        <w:rPr>
          <w:rFonts w:asciiTheme="minorHAnsi" w:hAnsiTheme="minorHAnsi" w:cstheme="minorHAnsi"/>
        </w:rPr>
        <w:t xml:space="preserve"> consultations</w:t>
      </w:r>
      <w:r w:rsidR="002A0E88">
        <w:rPr>
          <w:rFonts w:asciiTheme="minorHAnsi" w:hAnsiTheme="minorHAnsi" w:cstheme="minorHAnsi"/>
        </w:rPr>
        <w:t xml:space="preserve"> on the subject</w:t>
      </w:r>
      <w:r w:rsidR="007C6F72">
        <w:rPr>
          <w:rFonts w:asciiTheme="minorHAnsi" w:hAnsiTheme="minorHAnsi" w:cstheme="minorHAnsi"/>
        </w:rPr>
        <w:t xml:space="preserve">. </w:t>
      </w:r>
      <w:r w:rsidR="00126104">
        <w:rPr>
          <w:rFonts w:asciiTheme="minorHAnsi" w:hAnsiTheme="minorHAnsi" w:cstheme="minorHAnsi"/>
        </w:rPr>
        <w:t>This</w:t>
      </w:r>
      <w:r w:rsidR="00D519E7">
        <w:rPr>
          <w:rFonts w:asciiTheme="minorHAnsi" w:hAnsiTheme="minorHAnsi" w:cstheme="minorHAnsi"/>
        </w:rPr>
        <w:t xml:space="preserve"> submission provides feedback in relation to end user responsibilities</w:t>
      </w:r>
      <w:r w:rsidR="002A0E88">
        <w:rPr>
          <w:rFonts w:asciiTheme="minorHAnsi" w:hAnsiTheme="minorHAnsi" w:cstheme="minorHAnsi"/>
        </w:rPr>
        <w:t>,</w:t>
      </w:r>
      <w:r w:rsidR="00126104">
        <w:rPr>
          <w:rFonts w:asciiTheme="minorHAnsi" w:hAnsiTheme="minorHAnsi" w:cstheme="minorHAnsi"/>
        </w:rPr>
        <w:t xml:space="preserve"> service continuity</w:t>
      </w:r>
      <w:r w:rsidR="002A0E88">
        <w:rPr>
          <w:rFonts w:asciiTheme="minorHAnsi" w:hAnsiTheme="minorHAnsi" w:cstheme="minorHAnsi"/>
        </w:rPr>
        <w:t xml:space="preserve"> and safety critical services</w:t>
      </w:r>
      <w:r w:rsidR="00D519E7">
        <w:rPr>
          <w:rFonts w:asciiTheme="minorHAnsi" w:hAnsiTheme="minorHAnsi" w:cstheme="minorHAnsi"/>
        </w:rPr>
        <w:t xml:space="preserve">. As the migration to the NBN is consumer led, it is important that the procedures in place support </w:t>
      </w:r>
      <w:r w:rsidR="00126104">
        <w:rPr>
          <w:rFonts w:asciiTheme="minorHAnsi" w:hAnsiTheme="minorHAnsi" w:cstheme="minorHAnsi"/>
        </w:rPr>
        <w:t xml:space="preserve">and empower </w:t>
      </w:r>
      <w:r w:rsidR="00D519E7">
        <w:rPr>
          <w:rFonts w:asciiTheme="minorHAnsi" w:hAnsiTheme="minorHAnsi" w:cstheme="minorHAnsi"/>
        </w:rPr>
        <w:t>end user decision making.</w:t>
      </w:r>
    </w:p>
    <w:p w:rsidR="00126104" w:rsidRPr="00126104" w:rsidRDefault="00126104" w:rsidP="002960E6">
      <w:pPr>
        <w:pStyle w:val="BodyText1"/>
        <w:jc w:val="both"/>
        <w:rPr>
          <w:rFonts w:asciiTheme="minorHAnsi" w:hAnsiTheme="minorHAnsi" w:cstheme="minorHAnsi"/>
          <w:u w:val="single"/>
        </w:rPr>
      </w:pPr>
      <w:r w:rsidRPr="00126104">
        <w:rPr>
          <w:rFonts w:asciiTheme="minorHAnsi" w:hAnsiTheme="minorHAnsi" w:cstheme="minorHAnsi"/>
          <w:u w:val="single"/>
        </w:rPr>
        <w:t>End User responsibilities</w:t>
      </w:r>
    </w:p>
    <w:p w:rsidR="0040750A" w:rsidRDefault="000C2040" w:rsidP="0040750A">
      <w:pPr>
        <w:pStyle w:val="BodyText1"/>
        <w:jc w:val="both"/>
        <w:rPr>
          <w:rFonts w:asciiTheme="minorHAnsi" w:hAnsiTheme="minorHAnsi" w:cstheme="minorHAnsi"/>
        </w:rPr>
      </w:pPr>
      <w:r>
        <w:rPr>
          <w:rFonts w:asciiTheme="minorHAnsi" w:hAnsiTheme="minorHAnsi" w:cstheme="minorHAnsi"/>
        </w:rPr>
        <w:t>Migration is a complex process for all concerned. In order for it to be successful everyone needs to understand their role</w:t>
      </w:r>
      <w:r w:rsidR="007C6F72">
        <w:rPr>
          <w:rFonts w:asciiTheme="minorHAnsi" w:hAnsiTheme="minorHAnsi" w:cstheme="minorHAnsi"/>
        </w:rPr>
        <w:t xml:space="preserve"> and ensure they fulfil it</w:t>
      </w:r>
      <w:r>
        <w:rPr>
          <w:rFonts w:asciiTheme="minorHAnsi" w:hAnsiTheme="minorHAnsi" w:cstheme="minorHAnsi"/>
        </w:rPr>
        <w:t xml:space="preserve">. </w:t>
      </w:r>
      <w:r w:rsidR="002960E6">
        <w:rPr>
          <w:rFonts w:asciiTheme="minorHAnsi" w:hAnsiTheme="minorHAnsi" w:cstheme="minorHAnsi"/>
        </w:rPr>
        <w:t>The MAP assigns a number of responsibilities to end users. Evidence suggests that</w:t>
      </w:r>
      <w:r w:rsidR="005E3161">
        <w:rPr>
          <w:rFonts w:asciiTheme="minorHAnsi" w:hAnsiTheme="minorHAnsi" w:cstheme="minorHAnsi"/>
        </w:rPr>
        <w:t xml:space="preserve"> end users</w:t>
      </w:r>
      <w:r w:rsidR="002960E6">
        <w:rPr>
          <w:rFonts w:asciiTheme="minorHAnsi" w:hAnsiTheme="minorHAnsi" w:cstheme="minorHAnsi"/>
        </w:rPr>
        <w:t xml:space="preserve"> may not have the interest, capacity or see the relevance in </w:t>
      </w:r>
      <w:r w:rsidR="005E3161">
        <w:rPr>
          <w:rFonts w:asciiTheme="minorHAnsi" w:hAnsiTheme="minorHAnsi" w:cstheme="minorHAnsi"/>
        </w:rPr>
        <w:t>the NBN</w:t>
      </w:r>
      <w:r w:rsidR="002960E6">
        <w:rPr>
          <w:rFonts w:asciiTheme="minorHAnsi" w:hAnsiTheme="minorHAnsi" w:cstheme="minorHAnsi"/>
        </w:rPr>
        <w:t xml:space="preserve">. Our Broadbanding Brunswick study showed that those that were more </w:t>
      </w:r>
      <w:r w:rsidR="005E3161">
        <w:rPr>
          <w:rFonts w:asciiTheme="minorHAnsi" w:hAnsiTheme="minorHAnsi" w:cstheme="minorHAnsi"/>
        </w:rPr>
        <w:t xml:space="preserve">interested in the NBN and </w:t>
      </w:r>
      <w:r w:rsidR="002960E6">
        <w:rPr>
          <w:rFonts w:asciiTheme="minorHAnsi" w:hAnsiTheme="minorHAnsi" w:cstheme="minorHAnsi"/>
        </w:rPr>
        <w:t>technical</w:t>
      </w:r>
      <w:r w:rsidR="005E3161">
        <w:rPr>
          <w:rFonts w:asciiTheme="minorHAnsi" w:hAnsiTheme="minorHAnsi" w:cstheme="minorHAnsi"/>
        </w:rPr>
        <w:t>ly</w:t>
      </w:r>
      <w:r w:rsidR="002960E6">
        <w:rPr>
          <w:rFonts w:asciiTheme="minorHAnsi" w:hAnsiTheme="minorHAnsi" w:cstheme="minorHAnsi"/>
        </w:rPr>
        <w:t xml:space="preserve"> savvy were quicker to migrate.</w:t>
      </w:r>
      <w:r w:rsidR="002960E6">
        <w:rPr>
          <w:rStyle w:val="FootnoteReference"/>
          <w:rFonts w:asciiTheme="minorHAnsi" w:hAnsiTheme="minorHAnsi" w:cstheme="minorHAnsi"/>
        </w:rPr>
        <w:footnoteReference w:id="1"/>
      </w:r>
      <w:r w:rsidR="002960E6">
        <w:rPr>
          <w:rFonts w:asciiTheme="minorHAnsi" w:hAnsiTheme="minorHAnsi" w:cstheme="minorHAnsi"/>
        </w:rPr>
        <w:t xml:space="preserve"> Those that were slow to migrate, or did not migrate, did so for a </w:t>
      </w:r>
      <w:r w:rsidR="0070249A">
        <w:rPr>
          <w:rFonts w:asciiTheme="minorHAnsi" w:hAnsiTheme="minorHAnsi" w:cstheme="minorHAnsi"/>
        </w:rPr>
        <w:t xml:space="preserve">number </w:t>
      </w:r>
      <w:r w:rsidR="002960E6">
        <w:rPr>
          <w:rFonts w:asciiTheme="minorHAnsi" w:hAnsiTheme="minorHAnsi" w:cstheme="minorHAnsi"/>
        </w:rPr>
        <w:t xml:space="preserve">of reasons including not knowing what the NBN is, factors relating to the installation process, perceived costs, and thinking their current household connection suited their needs. Participants surveyed referred to the literature sent to them as ‘junk mail’ and never really knowing what was happening. There was inertia among participants. </w:t>
      </w:r>
      <w:r w:rsidR="0040750A">
        <w:rPr>
          <w:rFonts w:asciiTheme="minorHAnsi" w:hAnsiTheme="minorHAnsi" w:cstheme="minorHAnsi"/>
        </w:rPr>
        <w:t>As this is a consumer led migration the responsibilities may rightfully lie with end users, however, we are concerned that there is a gap in how to get end users to understand and take on that responsibility. Furthermore</w:t>
      </w:r>
      <w:r w:rsidR="00E5620E">
        <w:rPr>
          <w:rFonts w:asciiTheme="minorHAnsi" w:hAnsiTheme="minorHAnsi" w:cstheme="minorHAnsi"/>
        </w:rPr>
        <w:t>,</w:t>
      </w:r>
      <w:r w:rsidR="0040750A">
        <w:rPr>
          <w:rFonts w:asciiTheme="minorHAnsi" w:hAnsiTheme="minorHAnsi" w:cstheme="minorHAnsi"/>
        </w:rPr>
        <w:t xml:space="preserve"> we are concerned that there are barriers for consumers in terms of taking on this responsibility.</w:t>
      </w:r>
    </w:p>
    <w:p w:rsidR="00FA6263" w:rsidRDefault="000A170A" w:rsidP="000A170A">
      <w:pPr>
        <w:pStyle w:val="BodyText1"/>
        <w:jc w:val="both"/>
        <w:rPr>
          <w:rFonts w:asciiTheme="minorHAnsi" w:hAnsiTheme="minorHAnsi" w:cstheme="minorHAnsi"/>
        </w:rPr>
      </w:pPr>
      <w:r>
        <w:rPr>
          <w:rFonts w:asciiTheme="minorHAnsi" w:hAnsiTheme="minorHAnsi" w:cstheme="minorHAnsi"/>
        </w:rPr>
        <w:t>While it may be in the long term benefit of end users to migrate early, in the short term there is</w:t>
      </w:r>
      <w:r w:rsidR="00126104">
        <w:rPr>
          <w:rFonts w:asciiTheme="minorHAnsi" w:hAnsiTheme="minorHAnsi" w:cstheme="minorHAnsi"/>
        </w:rPr>
        <w:t xml:space="preserve"> a</w:t>
      </w:r>
      <w:r>
        <w:rPr>
          <w:rFonts w:asciiTheme="minorHAnsi" w:hAnsiTheme="minorHAnsi" w:cstheme="minorHAnsi"/>
        </w:rPr>
        <w:t xml:space="preserve"> cost in terms of informing themselves of the process and making a decision.  Delaying the decision process is natural; overcoming procrastination is difficult for most. </w:t>
      </w:r>
      <w:r w:rsidR="005E3161">
        <w:rPr>
          <w:rFonts w:asciiTheme="minorHAnsi" w:hAnsiTheme="minorHAnsi" w:cstheme="minorHAnsi"/>
        </w:rPr>
        <w:t xml:space="preserve">The </w:t>
      </w:r>
      <w:r>
        <w:rPr>
          <w:rFonts w:asciiTheme="minorHAnsi" w:hAnsiTheme="minorHAnsi" w:cstheme="minorHAnsi"/>
        </w:rPr>
        <w:t>disconnection date</w:t>
      </w:r>
      <w:r w:rsidR="005E3161">
        <w:rPr>
          <w:rFonts w:asciiTheme="minorHAnsi" w:hAnsiTheme="minorHAnsi" w:cstheme="minorHAnsi"/>
        </w:rPr>
        <w:t xml:space="preserve"> for the fixed footprint p</w:t>
      </w:r>
      <w:r>
        <w:rPr>
          <w:rFonts w:asciiTheme="minorHAnsi" w:hAnsiTheme="minorHAnsi" w:cstheme="minorHAnsi"/>
        </w:rPr>
        <w:t>rovides</w:t>
      </w:r>
      <w:r w:rsidR="005E3161">
        <w:rPr>
          <w:rFonts w:asciiTheme="minorHAnsi" w:hAnsiTheme="minorHAnsi" w:cstheme="minorHAnsi"/>
        </w:rPr>
        <w:t xml:space="preserve"> an incentive</w:t>
      </w:r>
      <w:r>
        <w:rPr>
          <w:rFonts w:asciiTheme="minorHAnsi" w:hAnsiTheme="minorHAnsi" w:cstheme="minorHAnsi"/>
        </w:rPr>
        <w:t xml:space="preserve"> for consumers to act </w:t>
      </w:r>
      <w:r w:rsidR="005E3161">
        <w:rPr>
          <w:rFonts w:asciiTheme="minorHAnsi" w:hAnsiTheme="minorHAnsi" w:cstheme="minorHAnsi"/>
        </w:rPr>
        <w:t>within the timeframe. However,</w:t>
      </w:r>
      <w:r w:rsidR="00302966">
        <w:rPr>
          <w:rFonts w:asciiTheme="minorHAnsi" w:hAnsiTheme="minorHAnsi" w:cstheme="minorHAnsi"/>
        </w:rPr>
        <w:t xml:space="preserve"> to encourage early migration</w:t>
      </w:r>
      <w:r w:rsidR="005E3161">
        <w:rPr>
          <w:rFonts w:asciiTheme="minorHAnsi" w:hAnsiTheme="minorHAnsi" w:cstheme="minorHAnsi"/>
        </w:rPr>
        <w:t xml:space="preserve"> it</w:t>
      </w:r>
      <w:r>
        <w:rPr>
          <w:rFonts w:asciiTheme="minorHAnsi" w:hAnsiTheme="minorHAnsi" w:cstheme="minorHAnsi"/>
        </w:rPr>
        <w:t xml:space="preserve"> is </w:t>
      </w:r>
      <w:r w:rsidR="005E3161">
        <w:rPr>
          <w:rFonts w:asciiTheme="minorHAnsi" w:hAnsiTheme="minorHAnsi" w:cstheme="minorHAnsi"/>
        </w:rPr>
        <w:t xml:space="preserve">also </w:t>
      </w:r>
      <w:r>
        <w:rPr>
          <w:rFonts w:asciiTheme="minorHAnsi" w:hAnsiTheme="minorHAnsi" w:cstheme="minorHAnsi"/>
        </w:rPr>
        <w:t xml:space="preserve">important that end users think that </w:t>
      </w:r>
      <w:r w:rsidR="00302966">
        <w:rPr>
          <w:rFonts w:asciiTheme="minorHAnsi" w:hAnsiTheme="minorHAnsi" w:cstheme="minorHAnsi"/>
        </w:rPr>
        <w:t>process</w:t>
      </w:r>
      <w:r>
        <w:rPr>
          <w:rFonts w:asciiTheme="minorHAnsi" w:hAnsiTheme="minorHAnsi" w:cstheme="minorHAnsi"/>
        </w:rPr>
        <w:t xml:space="preserve"> is easy</w:t>
      </w:r>
      <w:r w:rsidR="005E3161">
        <w:rPr>
          <w:rFonts w:asciiTheme="minorHAnsi" w:hAnsiTheme="minorHAnsi" w:cstheme="minorHAnsi"/>
        </w:rPr>
        <w:t xml:space="preserve">, in their benefit </w:t>
      </w:r>
      <w:r>
        <w:rPr>
          <w:rFonts w:asciiTheme="minorHAnsi" w:hAnsiTheme="minorHAnsi" w:cstheme="minorHAnsi"/>
        </w:rPr>
        <w:t xml:space="preserve">and will not require a lot of their time to analyse the information, make the decision and migrate. </w:t>
      </w:r>
      <w:r w:rsidR="00D27FC1">
        <w:rPr>
          <w:rFonts w:asciiTheme="minorHAnsi" w:hAnsiTheme="minorHAnsi" w:cstheme="minorHAnsi"/>
        </w:rPr>
        <w:t xml:space="preserve">Consumers that have contacted ACCAN have expressed frustration with the complexities of </w:t>
      </w:r>
      <w:r w:rsidR="00D27FC1">
        <w:rPr>
          <w:rFonts w:asciiTheme="minorHAnsi" w:hAnsiTheme="minorHAnsi" w:cstheme="minorHAnsi"/>
        </w:rPr>
        <w:lastRenderedPageBreak/>
        <w:t>migrating; from the delay in the timeframe to get a connection</w:t>
      </w:r>
      <w:r w:rsidR="00E5620E">
        <w:rPr>
          <w:rFonts w:asciiTheme="minorHAnsi" w:hAnsiTheme="minorHAnsi" w:cstheme="minorHAnsi"/>
        </w:rPr>
        <w:t xml:space="preserve"> </w:t>
      </w:r>
      <w:r w:rsidR="00D27FC1">
        <w:rPr>
          <w:rFonts w:asciiTheme="minorHAnsi" w:hAnsiTheme="minorHAnsi" w:cstheme="minorHAnsi"/>
        </w:rPr>
        <w:t>to the number of steps required in the migration.</w:t>
      </w:r>
      <w:r w:rsidR="00E5620E">
        <w:rPr>
          <w:rStyle w:val="FootnoteReference"/>
          <w:rFonts w:asciiTheme="minorHAnsi" w:hAnsiTheme="minorHAnsi" w:cstheme="minorHAnsi"/>
        </w:rPr>
        <w:footnoteReference w:id="2"/>
      </w:r>
      <w:r w:rsidR="00E5620E">
        <w:rPr>
          <w:rFonts w:asciiTheme="minorHAnsi" w:hAnsiTheme="minorHAnsi" w:cstheme="minorHAnsi"/>
        </w:rPr>
        <w:t xml:space="preserve"> </w:t>
      </w:r>
      <w:r w:rsidR="00302966">
        <w:rPr>
          <w:rFonts w:asciiTheme="minorHAnsi" w:hAnsiTheme="minorHAnsi" w:cstheme="minorHAnsi"/>
        </w:rPr>
        <w:t>The MAP and standardisation of procedures by other bodies, such as Communications Alliance will aid this</w:t>
      </w:r>
      <w:r w:rsidR="003F3535">
        <w:rPr>
          <w:rFonts w:asciiTheme="minorHAnsi" w:hAnsiTheme="minorHAnsi" w:cstheme="minorHAnsi"/>
        </w:rPr>
        <w:t>. H</w:t>
      </w:r>
      <w:r w:rsidR="00302966">
        <w:rPr>
          <w:rFonts w:asciiTheme="minorHAnsi" w:hAnsiTheme="minorHAnsi" w:cstheme="minorHAnsi"/>
        </w:rPr>
        <w:t xml:space="preserve">owever, </w:t>
      </w:r>
      <w:r w:rsidR="00FA6263">
        <w:rPr>
          <w:rFonts w:asciiTheme="minorHAnsi" w:hAnsiTheme="minorHAnsi" w:cstheme="minorHAnsi"/>
        </w:rPr>
        <w:t>ACCAN questions whether there is a role for t</w:t>
      </w:r>
      <w:r w:rsidR="00D27FC1">
        <w:rPr>
          <w:rFonts w:asciiTheme="minorHAnsi" w:hAnsiTheme="minorHAnsi" w:cstheme="minorHAnsi"/>
        </w:rPr>
        <w:t>he Department</w:t>
      </w:r>
      <w:r w:rsidR="005E3161">
        <w:rPr>
          <w:rFonts w:asciiTheme="minorHAnsi" w:hAnsiTheme="minorHAnsi" w:cstheme="minorHAnsi"/>
        </w:rPr>
        <w:t xml:space="preserve"> and</w:t>
      </w:r>
      <w:r w:rsidR="00D27FC1">
        <w:rPr>
          <w:rFonts w:asciiTheme="minorHAnsi" w:hAnsiTheme="minorHAnsi" w:cstheme="minorHAnsi"/>
        </w:rPr>
        <w:t xml:space="preserve"> regulatory bod</w:t>
      </w:r>
      <w:r w:rsidR="005E3161">
        <w:rPr>
          <w:rFonts w:asciiTheme="minorHAnsi" w:hAnsiTheme="minorHAnsi" w:cstheme="minorHAnsi"/>
        </w:rPr>
        <w:t>ies</w:t>
      </w:r>
      <w:r w:rsidR="00FA6263">
        <w:rPr>
          <w:rFonts w:asciiTheme="minorHAnsi" w:hAnsiTheme="minorHAnsi" w:cstheme="minorHAnsi"/>
        </w:rPr>
        <w:t>, which has not been identified</w:t>
      </w:r>
      <w:r w:rsidR="00302966">
        <w:rPr>
          <w:rFonts w:asciiTheme="minorHAnsi" w:hAnsiTheme="minorHAnsi" w:cstheme="minorHAnsi"/>
        </w:rPr>
        <w:t xml:space="preserve"> in the MAP</w:t>
      </w:r>
      <w:r w:rsidR="005E3161">
        <w:rPr>
          <w:rFonts w:asciiTheme="minorHAnsi" w:hAnsiTheme="minorHAnsi" w:cstheme="minorHAnsi"/>
        </w:rPr>
        <w:t>.</w:t>
      </w:r>
      <w:r w:rsidR="0070249A">
        <w:rPr>
          <w:rStyle w:val="FootnoteReference"/>
          <w:rFonts w:asciiTheme="minorHAnsi" w:hAnsiTheme="minorHAnsi" w:cstheme="minorHAnsi"/>
        </w:rPr>
        <w:footnoteReference w:id="3"/>
      </w:r>
      <w:r w:rsidR="005E3161">
        <w:rPr>
          <w:rFonts w:asciiTheme="minorHAnsi" w:hAnsiTheme="minorHAnsi" w:cstheme="minorHAnsi"/>
        </w:rPr>
        <w:t xml:space="preserve"> The Department of Communications, ACMA and the ACCC </w:t>
      </w:r>
      <w:r w:rsidR="00E5620E">
        <w:rPr>
          <w:rFonts w:asciiTheme="minorHAnsi" w:hAnsiTheme="minorHAnsi" w:cstheme="minorHAnsi"/>
        </w:rPr>
        <w:t xml:space="preserve">already </w:t>
      </w:r>
      <w:r w:rsidR="005E3161">
        <w:rPr>
          <w:rFonts w:asciiTheme="minorHAnsi" w:hAnsiTheme="minorHAnsi" w:cstheme="minorHAnsi"/>
        </w:rPr>
        <w:t xml:space="preserve">all provide public information on the </w:t>
      </w:r>
      <w:proofErr w:type="spellStart"/>
      <w:r w:rsidR="005E3161">
        <w:rPr>
          <w:rFonts w:asciiTheme="minorHAnsi" w:hAnsiTheme="minorHAnsi" w:cstheme="minorHAnsi"/>
        </w:rPr>
        <w:t>nbn</w:t>
      </w:r>
      <w:proofErr w:type="spellEnd"/>
      <w:r w:rsidR="005E3161">
        <w:rPr>
          <w:rFonts w:asciiTheme="minorHAnsi" w:hAnsiTheme="minorHAnsi" w:cstheme="minorHAnsi"/>
        </w:rPr>
        <w:t xml:space="preserve"> and migration. They are in an ideal position, as independent and trustworthy bodies</w:t>
      </w:r>
      <w:r w:rsidR="00302966">
        <w:rPr>
          <w:rFonts w:asciiTheme="minorHAnsi" w:hAnsiTheme="minorHAnsi" w:cstheme="minorHAnsi"/>
        </w:rPr>
        <w:t xml:space="preserve"> acting in end users interest</w:t>
      </w:r>
      <w:r w:rsidR="005E3161">
        <w:rPr>
          <w:rFonts w:asciiTheme="minorHAnsi" w:hAnsiTheme="minorHAnsi" w:cstheme="minorHAnsi"/>
        </w:rPr>
        <w:t>, to promote</w:t>
      </w:r>
      <w:r w:rsidR="00FA6263">
        <w:rPr>
          <w:rFonts w:asciiTheme="minorHAnsi" w:hAnsiTheme="minorHAnsi" w:cstheme="minorHAnsi"/>
        </w:rPr>
        <w:t xml:space="preserve"> and empower</w:t>
      </w:r>
      <w:r w:rsidR="005E3161">
        <w:rPr>
          <w:rFonts w:asciiTheme="minorHAnsi" w:hAnsiTheme="minorHAnsi" w:cstheme="minorHAnsi"/>
        </w:rPr>
        <w:t xml:space="preserve"> </w:t>
      </w:r>
      <w:r w:rsidR="00FA6263">
        <w:rPr>
          <w:rFonts w:asciiTheme="minorHAnsi" w:hAnsiTheme="minorHAnsi" w:cstheme="minorHAnsi"/>
        </w:rPr>
        <w:t>end user</w:t>
      </w:r>
      <w:r w:rsidR="005E3161">
        <w:rPr>
          <w:rFonts w:asciiTheme="minorHAnsi" w:hAnsiTheme="minorHAnsi" w:cstheme="minorHAnsi"/>
        </w:rPr>
        <w:t>s, beyond that of nbn and the RSPs responsibilities</w:t>
      </w:r>
      <w:r w:rsidR="00302966">
        <w:rPr>
          <w:rFonts w:asciiTheme="minorHAnsi" w:hAnsiTheme="minorHAnsi" w:cstheme="minorHAnsi"/>
        </w:rPr>
        <w:t xml:space="preserve"> identified</w:t>
      </w:r>
      <w:r w:rsidR="00FA6263">
        <w:rPr>
          <w:rFonts w:asciiTheme="minorHAnsi" w:hAnsiTheme="minorHAnsi" w:cstheme="minorHAnsi"/>
        </w:rPr>
        <w:t>.</w:t>
      </w:r>
      <w:r w:rsidR="005E3161">
        <w:rPr>
          <w:rFonts w:asciiTheme="minorHAnsi" w:hAnsiTheme="minorHAnsi" w:cstheme="minorHAnsi"/>
        </w:rPr>
        <w:t xml:space="preserve"> </w:t>
      </w:r>
      <w:r w:rsidR="00FA6263">
        <w:rPr>
          <w:rFonts w:asciiTheme="minorHAnsi" w:hAnsiTheme="minorHAnsi" w:cstheme="minorHAnsi"/>
        </w:rPr>
        <w:t>Such a body would have responsibility to convey to</w:t>
      </w:r>
      <w:r w:rsidR="00D27FC1">
        <w:rPr>
          <w:rFonts w:asciiTheme="minorHAnsi" w:hAnsiTheme="minorHAnsi" w:cstheme="minorHAnsi"/>
        </w:rPr>
        <w:t xml:space="preserve"> consumers the ease of migration</w:t>
      </w:r>
      <w:r w:rsidR="000B312B">
        <w:rPr>
          <w:rFonts w:asciiTheme="minorHAnsi" w:hAnsiTheme="minorHAnsi" w:cstheme="minorHAnsi"/>
        </w:rPr>
        <w:t>,</w:t>
      </w:r>
      <w:r w:rsidR="00D27FC1">
        <w:rPr>
          <w:rFonts w:asciiTheme="minorHAnsi" w:hAnsiTheme="minorHAnsi" w:cstheme="minorHAnsi"/>
        </w:rPr>
        <w:t xml:space="preserve"> the services affected by the migration</w:t>
      </w:r>
      <w:r w:rsidR="000B312B">
        <w:rPr>
          <w:rFonts w:asciiTheme="minorHAnsi" w:hAnsiTheme="minorHAnsi" w:cstheme="minorHAnsi"/>
        </w:rPr>
        <w:t xml:space="preserve"> and the responsibilities as a consumer during the migration</w:t>
      </w:r>
      <w:r w:rsidR="00D27FC1">
        <w:rPr>
          <w:rFonts w:asciiTheme="minorHAnsi" w:hAnsiTheme="minorHAnsi" w:cstheme="minorHAnsi"/>
        </w:rPr>
        <w:t xml:space="preserve">. </w:t>
      </w:r>
      <w:r w:rsidR="00FA6263">
        <w:rPr>
          <w:rFonts w:asciiTheme="minorHAnsi" w:hAnsiTheme="minorHAnsi" w:cstheme="minorHAnsi"/>
        </w:rPr>
        <w:t xml:space="preserve">This </w:t>
      </w:r>
      <w:r w:rsidR="005E3161">
        <w:rPr>
          <w:rFonts w:asciiTheme="minorHAnsi" w:hAnsiTheme="minorHAnsi" w:cstheme="minorHAnsi"/>
        </w:rPr>
        <w:t xml:space="preserve">responsibility </w:t>
      </w:r>
      <w:r w:rsidR="00FA6263">
        <w:rPr>
          <w:rFonts w:asciiTheme="minorHAnsi" w:hAnsiTheme="minorHAnsi" w:cstheme="minorHAnsi"/>
        </w:rPr>
        <w:t xml:space="preserve">could </w:t>
      </w:r>
      <w:r w:rsidR="005E3161">
        <w:rPr>
          <w:rFonts w:asciiTheme="minorHAnsi" w:hAnsiTheme="minorHAnsi" w:cstheme="minorHAnsi"/>
        </w:rPr>
        <w:t xml:space="preserve">include actions such as information campaigns </w:t>
      </w:r>
      <w:r w:rsidR="00FA6263">
        <w:rPr>
          <w:rFonts w:asciiTheme="minorHAnsi" w:hAnsiTheme="minorHAnsi" w:cstheme="minorHAnsi"/>
        </w:rPr>
        <w:t xml:space="preserve">similar to the </w:t>
      </w:r>
      <w:r w:rsidR="0070249A">
        <w:rPr>
          <w:rFonts w:asciiTheme="minorHAnsi" w:hAnsiTheme="minorHAnsi" w:cstheme="minorHAnsi"/>
        </w:rPr>
        <w:t>digital television retune</w:t>
      </w:r>
      <w:r w:rsidR="00FA6263">
        <w:rPr>
          <w:rFonts w:asciiTheme="minorHAnsi" w:hAnsiTheme="minorHAnsi" w:cstheme="minorHAnsi"/>
        </w:rPr>
        <w:t xml:space="preserve"> or scam watch campaigns</w:t>
      </w:r>
      <w:r w:rsidR="00302966">
        <w:rPr>
          <w:rFonts w:asciiTheme="minorHAnsi" w:hAnsiTheme="minorHAnsi" w:cstheme="minorHAnsi"/>
        </w:rPr>
        <w:t xml:space="preserve"> which produced information and videos for consumers</w:t>
      </w:r>
      <w:r w:rsidR="00FA6263">
        <w:rPr>
          <w:rFonts w:asciiTheme="minorHAnsi" w:hAnsiTheme="minorHAnsi" w:cstheme="minorHAnsi"/>
        </w:rPr>
        <w:t>.</w:t>
      </w:r>
      <w:r w:rsidR="00302966">
        <w:rPr>
          <w:rStyle w:val="FootnoteReference"/>
          <w:rFonts w:asciiTheme="minorHAnsi" w:hAnsiTheme="minorHAnsi" w:cstheme="minorHAnsi"/>
        </w:rPr>
        <w:footnoteReference w:id="4"/>
      </w:r>
      <w:r w:rsidR="00FA6263">
        <w:rPr>
          <w:rFonts w:asciiTheme="minorHAnsi" w:hAnsiTheme="minorHAnsi" w:cstheme="minorHAnsi"/>
        </w:rPr>
        <w:t xml:space="preserve"> </w:t>
      </w:r>
      <w:r w:rsidR="0070249A">
        <w:rPr>
          <w:rFonts w:asciiTheme="minorHAnsi" w:hAnsiTheme="minorHAnsi" w:cstheme="minorHAnsi"/>
        </w:rPr>
        <w:t xml:space="preserve">The </w:t>
      </w:r>
      <w:r w:rsidR="00301E18">
        <w:rPr>
          <w:rFonts w:asciiTheme="minorHAnsi" w:hAnsiTheme="minorHAnsi" w:cstheme="minorHAnsi"/>
        </w:rPr>
        <w:t xml:space="preserve">model used by the </w:t>
      </w:r>
      <w:r w:rsidR="0070249A">
        <w:rPr>
          <w:rFonts w:asciiTheme="minorHAnsi" w:hAnsiTheme="minorHAnsi" w:cstheme="minorHAnsi"/>
        </w:rPr>
        <w:t>Digital Switchover Task Force would be ideal for a NBN awareness campaign.</w:t>
      </w:r>
    </w:p>
    <w:p w:rsidR="007C6F72" w:rsidRDefault="00475B32" w:rsidP="000A170A">
      <w:pPr>
        <w:pStyle w:val="BodyText1"/>
        <w:jc w:val="both"/>
        <w:rPr>
          <w:rFonts w:asciiTheme="minorHAnsi" w:hAnsiTheme="minorHAnsi" w:cstheme="minorHAnsi"/>
        </w:rPr>
      </w:pPr>
      <w:r>
        <w:rPr>
          <w:rFonts w:asciiTheme="minorHAnsi" w:hAnsiTheme="minorHAnsi" w:cstheme="minorHAnsi"/>
        </w:rPr>
        <w:t>I</w:t>
      </w:r>
      <w:r w:rsidR="002960E6">
        <w:rPr>
          <w:rFonts w:asciiTheme="minorHAnsi" w:hAnsiTheme="minorHAnsi" w:cstheme="minorHAnsi"/>
        </w:rPr>
        <w:t>t should also be accepted</w:t>
      </w:r>
      <w:r w:rsidR="00E5620E">
        <w:rPr>
          <w:rFonts w:asciiTheme="minorHAnsi" w:hAnsiTheme="minorHAnsi" w:cstheme="minorHAnsi"/>
        </w:rPr>
        <w:t>,</w:t>
      </w:r>
      <w:r w:rsidR="002960E6">
        <w:rPr>
          <w:rFonts w:asciiTheme="minorHAnsi" w:hAnsiTheme="minorHAnsi" w:cstheme="minorHAnsi"/>
        </w:rPr>
        <w:t xml:space="preserve"> </w:t>
      </w:r>
      <w:r w:rsidR="00302966">
        <w:rPr>
          <w:rFonts w:asciiTheme="minorHAnsi" w:hAnsiTheme="minorHAnsi" w:cstheme="minorHAnsi"/>
        </w:rPr>
        <w:t>as part of the MAP</w:t>
      </w:r>
      <w:r w:rsidR="00E5620E">
        <w:rPr>
          <w:rFonts w:asciiTheme="minorHAnsi" w:hAnsiTheme="minorHAnsi" w:cstheme="minorHAnsi"/>
        </w:rPr>
        <w:t>,</w:t>
      </w:r>
      <w:r w:rsidR="00302966">
        <w:rPr>
          <w:rFonts w:asciiTheme="minorHAnsi" w:hAnsiTheme="minorHAnsi" w:cstheme="minorHAnsi"/>
        </w:rPr>
        <w:t xml:space="preserve"> </w:t>
      </w:r>
      <w:r w:rsidR="002960E6">
        <w:rPr>
          <w:rFonts w:asciiTheme="minorHAnsi" w:hAnsiTheme="minorHAnsi" w:cstheme="minorHAnsi"/>
        </w:rPr>
        <w:t xml:space="preserve">that all parties have a role in ensuring that their actions aid, and not hinder, others performing their role. In terms of end users role, there are a number of potential impediments that can prevent an end user </w:t>
      </w:r>
      <w:r w:rsidR="00126104">
        <w:rPr>
          <w:rFonts w:asciiTheme="minorHAnsi" w:hAnsiTheme="minorHAnsi" w:cstheme="minorHAnsi"/>
        </w:rPr>
        <w:t xml:space="preserve">from </w:t>
      </w:r>
      <w:r w:rsidR="002960E6">
        <w:rPr>
          <w:rFonts w:asciiTheme="minorHAnsi" w:hAnsiTheme="minorHAnsi" w:cstheme="minorHAnsi"/>
        </w:rPr>
        <w:t xml:space="preserve">carrying out their role. </w:t>
      </w:r>
      <w:r w:rsidR="00A30643">
        <w:rPr>
          <w:rFonts w:asciiTheme="minorHAnsi" w:hAnsiTheme="minorHAnsi" w:cstheme="minorHAnsi"/>
        </w:rPr>
        <w:t xml:space="preserve">Firstly, the messages </w:t>
      </w:r>
      <w:r w:rsidR="00777945">
        <w:rPr>
          <w:rFonts w:asciiTheme="minorHAnsi" w:hAnsiTheme="minorHAnsi" w:cstheme="minorHAnsi"/>
        </w:rPr>
        <w:t>end users</w:t>
      </w:r>
      <w:r w:rsidR="00F55DD6">
        <w:rPr>
          <w:rFonts w:asciiTheme="minorHAnsi" w:hAnsiTheme="minorHAnsi" w:cstheme="minorHAnsi"/>
        </w:rPr>
        <w:t xml:space="preserve"> receive </w:t>
      </w:r>
      <w:r w:rsidR="00A30643">
        <w:rPr>
          <w:rFonts w:asciiTheme="minorHAnsi" w:hAnsiTheme="minorHAnsi" w:cstheme="minorHAnsi"/>
        </w:rPr>
        <w:t>ne</w:t>
      </w:r>
      <w:r w:rsidR="00F55DD6">
        <w:rPr>
          <w:rFonts w:asciiTheme="minorHAnsi" w:hAnsiTheme="minorHAnsi" w:cstheme="minorHAnsi"/>
        </w:rPr>
        <w:t>ed to be clear, delivered via the right medium,</w:t>
      </w:r>
      <w:r w:rsidR="00A30643">
        <w:rPr>
          <w:rFonts w:asciiTheme="minorHAnsi" w:hAnsiTheme="minorHAnsi" w:cstheme="minorHAnsi"/>
        </w:rPr>
        <w:t xml:space="preserve"> at the right time in the decision process and c</w:t>
      </w:r>
      <w:r w:rsidR="00F55DD6">
        <w:rPr>
          <w:rFonts w:asciiTheme="minorHAnsi" w:hAnsiTheme="minorHAnsi" w:cstheme="minorHAnsi"/>
        </w:rPr>
        <w:t>onsistent</w:t>
      </w:r>
      <w:r w:rsidR="00A30643">
        <w:rPr>
          <w:rFonts w:asciiTheme="minorHAnsi" w:hAnsiTheme="minorHAnsi" w:cstheme="minorHAnsi"/>
        </w:rPr>
        <w:t xml:space="preserve">. </w:t>
      </w:r>
      <w:r w:rsidR="007C6F72">
        <w:rPr>
          <w:rFonts w:asciiTheme="minorHAnsi" w:hAnsiTheme="minorHAnsi" w:cstheme="minorHAnsi"/>
        </w:rPr>
        <w:t xml:space="preserve">This is particularly important in the migrating of vulnerable end users, due to the potential consequences of an unsuccessful migration. As part of the information campaign nbn and RSPs should </w:t>
      </w:r>
      <w:r w:rsidR="00777945">
        <w:rPr>
          <w:rFonts w:asciiTheme="minorHAnsi" w:hAnsiTheme="minorHAnsi" w:cstheme="minorHAnsi"/>
        </w:rPr>
        <w:t xml:space="preserve">be required to produce </w:t>
      </w:r>
      <w:r w:rsidR="007C6F72">
        <w:rPr>
          <w:rFonts w:asciiTheme="minorHAnsi" w:hAnsiTheme="minorHAnsi" w:cstheme="minorHAnsi"/>
        </w:rPr>
        <w:t xml:space="preserve">easy or plain English </w:t>
      </w:r>
      <w:r w:rsidR="00777945">
        <w:rPr>
          <w:rFonts w:asciiTheme="minorHAnsi" w:hAnsiTheme="minorHAnsi" w:cstheme="minorHAnsi"/>
        </w:rPr>
        <w:t>versions of their documentation</w:t>
      </w:r>
      <w:r w:rsidR="007C6F72">
        <w:rPr>
          <w:rFonts w:asciiTheme="minorHAnsi" w:hAnsiTheme="minorHAnsi" w:cstheme="minorHAnsi"/>
        </w:rPr>
        <w:t>. End users may not identify as being vulnerable or want to request help. However, there are many for wh</w:t>
      </w:r>
      <w:r w:rsidR="003F3535">
        <w:rPr>
          <w:rFonts w:asciiTheme="minorHAnsi" w:hAnsiTheme="minorHAnsi" w:cstheme="minorHAnsi"/>
        </w:rPr>
        <w:t>om</w:t>
      </w:r>
      <w:r w:rsidR="007C6F72">
        <w:rPr>
          <w:rFonts w:asciiTheme="minorHAnsi" w:hAnsiTheme="minorHAnsi" w:cstheme="minorHAnsi"/>
        </w:rPr>
        <w:t xml:space="preserve"> understanding what is required of them may be too complicated. It is estimated that </w:t>
      </w:r>
      <w:r w:rsidR="0070249A">
        <w:rPr>
          <w:rFonts w:asciiTheme="minorHAnsi" w:hAnsiTheme="minorHAnsi" w:cstheme="minorHAnsi"/>
        </w:rPr>
        <w:t xml:space="preserve">forty four per cent </w:t>
      </w:r>
      <w:r w:rsidR="007C6F72">
        <w:rPr>
          <w:rFonts w:asciiTheme="minorHAnsi" w:hAnsiTheme="minorHAnsi" w:cstheme="minorHAnsi"/>
        </w:rPr>
        <w:t>of Australians have a low literacy level.</w:t>
      </w:r>
      <w:r w:rsidR="007C6F72">
        <w:rPr>
          <w:rStyle w:val="FootnoteReference"/>
          <w:rFonts w:asciiTheme="minorHAnsi" w:hAnsiTheme="minorHAnsi" w:cstheme="minorHAnsi"/>
        </w:rPr>
        <w:footnoteReference w:id="5"/>
      </w:r>
      <w:r w:rsidR="007C6F72">
        <w:rPr>
          <w:rFonts w:asciiTheme="minorHAnsi" w:hAnsiTheme="minorHAnsi" w:cstheme="minorHAnsi"/>
        </w:rPr>
        <w:t xml:space="preserve"> Being able to access information in easy </w:t>
      </w:r>
      <w:r w:rsidR="0070249A">
        <w:rPr>
          <w:rFonts w:asciiTheme="minorHAnsi" w:hAnsiTheme="minorHAnsi" w:cstheme="minorHAnsi"/>
        </w:rPr>
        <w:t xml:space="preserve">English </w:t>
      </w:r>
      <w:r w:rsidR="007C6F72">
        <w:rPr>
          <w:rFonts w:asciiTheme="minorHAnsi" w:hAnsiTheme="minorHAnsi" w:cstheme="minorHAnsi"/>
        </w:rPr>
        <w:t xml:space="preserve">could cater </w:t>
      </w:r>
      <w:r w:rsidR="00777945">
        <w:rPr>
          <w:rFonts w:asciiTheme="minorHAnsi" w:hAnsiTheme="minorHAnsi" w:cstheme="minorHAnsi"/>
        </w:rPr>
        <w:t xml:space="preserve">better </w:t>
      </w:r>
      <w:r w:rsidR="007C6F72">
        <w:rPr>
          <w:rFonts w:asciiTheme="minorHAnsi" w:hAnsiTheme="minorHAnsi" w:cstheme="minorHAnsi"/>
        </w:rPr>
        <w:t>for these</w:t>
      </w:r>
      <w:r w:rsidR="00777945">
        <w:rPr>
          <w:rFonts w:asciiTheme="minorHAnsi" w:hAnsiTheme="minorHAnsi" w:cstheme="minorHAnsi"/>
        </w:rPr>
        <w:t xml:space="preserve"> end users</w:t>
      </w:r>
      <w:r w:rsidR="007C6F72">
        <w:rPr>
          <w:rFonts w:asciiTheme="minorHAnsi" w:hAnsiTheme="minorHAnsi" w:cstheme="minorHAnsi"/>
        </w:rPr>
        <w:t xml:space="preserve">. </w:t>
      </w:r>
      <w:r w:rsidR="00777945">
        <w:rPr>
          <w:rFonts w:asciiTheme="minorHAnsi" w:hAnsiTheme="minorHAnsi" w:cstheme="minorHAnsi"/>
        </w:rPr>
        <w:t xml:space="preserve">Organisations, such as </w:t>
      </w:r>
      <w:r w:rsidR="007C6F72">
        <w:rPr>
          <w:rFonts w:asciiTheme="minorHAnsi" w:hAnsiTheme="minorHAnsi" w:cstheme="minorHAnsi"/>
        </w:rPr>
        <w:t>Media Access</w:t>
      </w:r>
      <w:r w:rsidR="0070249A">
        <w:rPr>
          <w:rFonts w:asciiTheme="minorHAnsi" w:hAnsiTheme="minorHAnsi" w:cstheme="minorHAnsi"/>
        </w:rPr>
        <w:t xml:space="preserve"> Australia</w:t>
      </w:r>
      <w:r w:rsidR="00777945">
        <w:rPr>
          <w:rFonts w:asciiTheme="minorHAnsi" w:hAnsiTheme="minorHAnsi" w:cstheme="minorHAnsi"/>
        </w:rPr>
        <w:t xml:space="preserve"> and Consumer Affairs Victoria</w:t>
      </w:r>
      <w:r w:rsidR="007C6F72">
        <w:rPr>
          <w:rStyle w:val="FootnoteReference"/>
          <w:rFonts w:asciiTheme="minorHAnsi" w:hAnsiTheme="minorHAnsi" w:cstheme="minorHAnsi"/>
        </w:rPr>
        <w:footnoteReference w:id="6"/>
      </w:r>
      <w:r w:rsidR="00777945">
        <w:rPr>
          <w:rFonts w:asciiTheme="minorHAnsi" w:hAnsiTheme="minorHAnsi" w:cstheme="minorHAnsi"/>
        </w:rPr>
        <w:t>, have</w:t>
      </w:r>
      <w:r w:rsidR="007C6F72">
        <w:rPr>
          <w:rFonts w:asciiTheme="minorHAnsi" w:hAnsiTheme="minorHAnsi" w:cstheme="minorHAnsi"/>
        </w:rPr>
        <w:t xml:space="preserve"> had success in producing accessible </w:t>
      </w:r>
      <w:r w:rsidR="00302966">
        <w:rPr>
          <w:rFonts w:asciiTheme="minorHAnsi" w:hAnsiTheme="minorHAnsi" w:cstheme="minorHAnsi"/>
        </w:rPr>
        <w:t xml:space="preserve">consumer </w:t>
      </w:r>
      <w:r w:rsidR="007C6F72">
        <w:rPr>
          <w:rFonts w:asciiTheme="minorHAnsi" w:hAnsiTheme="minorHAnsi" w:cstheme="minorHAnsi"/>
        </w:rPr>
        <w:t xml:space="preserve">material. </w:t>
      </w:r>
      <w:proofErr w:type="gramStart"/>
      <w:r w:rsidR="007C6F72">
        <w:rPr>
          <w:rFonts w:asciiTheme="minorHAnsi" w:hAnsiTheme="minorHAnsi" w:cstheme="minorHAnsi"/>
        </w:rPr>
        <w:t>nbn</w:t>
      </w:r>
      <w:proofErr w:type="gramEnd"/>
      <w:r w:rsidR="007C6F72">
        <w:rPr>
          <w:rFonts w:asciiTheme="minorHAnsi" w:hAnsiTheme="minorHAnsi" w:cstheme="minorHAnsi"/>
        </w:rPr>
        <w:t xml:space="preserve"> and RSPs could produce material in this format. </w:t>
      </w:r>
    </w:p>
    <w:p w:rsidR="0085133F" w:rsidRDefault="0085133F" w:rsidP="000C2040">
      <w:pPr>
        <w:pStyle w:val="BodyText1"/>
        <w:jc w:val="both"/>
        <w:rPr>
          <w:rFonts w:asciiTheme="minorHAnsi" w:hAnsiTheme="minorHAnsi" w:cstheme="minorHAnsi"/>
        </w:rPr>
      </w:pPr>
      <w:r>
        <w:rPr>
          <w:rFonts w:asciiTheme="minorHAnsi" w:hAnsiTheme="minorHAnsi" w:cstheme="minorHAnsi"/>
        </w:rPr>
        <w:t>Secondly, end users should</w:t>
      </w:r>
      <w:r w:rsidR="003F3535">
        <w:rPr>
          <w:rFonts w:asciiTheme="minorHAnsi" w:hAnsiTheme="minorHAnsi" w:cstheme="minorHAnsi"/>
        </w:rPr>
        <w:t xml:space="preserve"> </w:t>
      </w:r>
      <w:r>
        <w:rPr>
          <w:rFonts w:asciiTheme="minorHAnsi" w:hAnsiTheme="minorHAnsi" w:cstheme="minorHAnsi"/>
        </w:rPr>
        <w:t>n</w:t>
      </w:r>
      <w:r w:rsidR="003F3535">
        <w:rPr>
          <w:rFonts w:asciiTheme="minorHAnsi" w:hAnsiTheme="minorHAnsi" w:cstheme="minorHAnsi"/>
        </w:rPr>
        <w:t>o</w:t>
      </w:r>
      <w:r>
        <w:rPr>
          <w:rFonts w:asciiTheme="minorHAnsi" w:hAnsiTheme="minorHAnsi" w:cstheme="minorHAnsi"/>
        </w:rPr>
        <w:t xml:space="preserve">t be prevented from migrating. Fees and penalties, such as early termination fees, can prevent </w:t>
      </w:r>
      <w:r w:rsidR="00F61DA0">
        <w:rPr>
          <w:rFonts w:asciiTheme="minorHAnsi" w:hAnsiTheme="minorHAnsi" w:cstheme="minorHAnsi"/>
        </w:rPr>
        <w:t>end users</w:t>
      </w:r>
      <w:r>
        <w:rPr>
          <w:rFonts w:asciiTheme="minorHAnsi" w:hAnsiTheme="minorHAnsi" w:cstheme="minorHAnsi"/>
        </w:rPr>
        <w:t xml:space="preserve"> from migrating early in the process. </w:t>
      </w:r>
      <w:r w:rsidR="00B00462">
        <w:rPr>
          <w:rFonts w:asciiTheme="minorHAnsi" w:hAnsiTheme="minorHAnsi" w:cstheme="minorHAnsi"/>
        </w:rPr>
        <w:t>ACCAN strongly s</w:t>
      </w:r>
      <w:r w:rsidR="00F61DA0">
        <w:rPr>
          <w:rFonts w:asciiTheme="minorHAnsi" w:hAnsiTheme="minorHAnsi" w:cstheme="minorHAnsi"/>
        </w:rPr>
        <w:t>upports RSPs, in areas</w:t>
      </w:r>
      <w:r w:rsidR="00B00462">
        <w:rPr>
          <w:rFonts w:asciiTheme="minorHAnsi" w:hAnsiTheme="minorHAnsi" w:cstheme="minorHAnsi"/>
        </w:rPr>
        <w:t xml:space="preserve"> migrat</w:t>
      </w:r>
      <w:r w:rsidR="00F61DA0">
        <w:rPr>
          <w:rFonts w:asciiTheme="minorHAnsi" w:hAnsiTheme="minorHAnsi" w:cstheme="minorHAnsi"/>
        </w:rPr>
        <w:t xml:space="preserve">ing </w:t>
      </w:r>
      <w:r w:rsidR="00B00462">
        <w:rPr>
          <w:rFonts w:asciiTheme="minorHAnsi" w:hAnsiTheme="minorHAnsi" w:cstheme="minorHAnsi"/>
        </w:rPr>
        <w:t>to the NBN</w:t>
      </w:r>
      <w:r w:rsidR="00F61DA0">
        <w:rPr>
          <w:rFonts w:asciiTheme="minorHAnsi" w:hAnsiTheme="minorHAnsi" w:cstheme="minorHAnsi"/>
        </w:rPr>
        <w:t>, allow</w:t>
      </w:r>
      <w:r w:rsidR="00126104">
        <w:rPr>
          <w:rFonts w:asciiTheme="minorHAnsi" w:hAnsiTheme="minorHAnsi" w:cstheme="minorHAnsi"/>
        </w:rPr>
        <w:t>ing</w:t>
      </w:r>
      <w:r w:rsidR="00F61DA0">
        <w:rPr>
          <w:rFonts w:asciiTheme="minorHAnsi" w:hAnsiTheme="minorHAnsi" w:cstheme="minorHAnsi"/>
        </w:rPr>
        <w:t xml:space="preserve"> end users</w:t>
      </w:r>
      <w:r w:rsidR="00B00462">
        <w:rPr>
          <w:rFonts w:asciiTheme="minorHAnsi" w:hAnsiTheme="minorHAnsi" w:cstheme="minorHAnsi"/>
        </w:rPr>
        <w:t xml:space="preserve"> </w:t>
      </w:r>
      <w:r w:rsidR="00F61DA0">
        <w:rPr>
          <w:rFonts w:asciiTheme="minorHAnsi" w:hAnsiTheme="minorHAnsi" w:cstheme="minorHAnsi"/>
        </w:rPr>
        <w:t xml:space="preserve">to break contracts </w:t>
      </w:r>
      <w:r w:rsidR="00B00462">
        <w:rPr>
          <w:rFonts w:asciiTheme="minorHAnsi" w:hAnsiTheme="minorHAnsi" w:cstheme="minorHAnsi"/>
        </w:rPr>
        <w:t>without facing these charges.</w:t>
      </w:r>
      <w:r w:rsidR="000A170A">
        <w:rPr>
          <w:rFonts w:asciiTheme="minorHAnsi" w:hAnsiTheme="minorHAnsi" w:cstheme="minorHAnsi"/>
        </w:rPr>
        <w:t xml:space="preserve"> Such charges can result in delayed migration or can reduce competition by incentivising end users to stay with their current provider in order to avoid such fees. </w:t>
      </w:r>
    </w:p>
    <w:p w:rsidR="00126104" w:rsidRPr="00126104" w:rsidRDefault="00126104" w:rsidP="000C2040">
      <w:pPr>
        <w:pStyle w:val="BodyText1"/>
        <w:jc w:val="both"/>
        <w:rPr>
          <w:rFonts w:asciiTheme="minorHAnsi" w:hAnsiTheme="minorHAnsi" w:cstheme="minorHAnsi"/>
          <w:u w:val="single"/>
        </w:rPr>
      </w:pPr>
      <w:r w:rsidRPr="00126104">
        <w:rPr>
          <w:rFonts w:asciiTheme="minorHAnsi" w:hAnsiTheme="minorHAnsi" w:cstheme="minorHAnsi"/>
          <w:u w:val="single"/>
        </w:rPr>
        <w:t>Service continuity</w:t>
      </w:r>
    </w:p>
    <w:p w:rsidR="00717057" w:rsidRDefault="00717057" w:rsidP="000C2040">
      <w:pPr>
        <w:pStyle w:val="BodyText1"/>
        <w:jc w:val="both"/>
        <w:rPr>
          <w:rFonts w:asciiTheme="minorHAnsi" w:hAnsiTheme="minorHAnsi" w:cstheme="minorHAnsi"/>
        </w:rPr>
      </w:pPr>
      <w:r>
        <w:rPr>
          <w:rFonts w:asciiTheme="minorHAnsi" w:hAnsiTheme="minorHAnsi" w:cstheme="minorHAnsi"/>
        </w:rPr>
        <w:t xml:space="preserve">ACCAN is supportive of measures which ensure that end users maintain service continuity. The new commitments described in the framework are a step in the right direction, as </w:t>
      </w:r>
      <w:r w:rsidR="003F3535">
        <w:rPr>
          <w:rFonts w:asciiTheme="minorHAnsi" w:hAnsiTheme="minorHAnsi" w:cstheme="minorHAnsi"/>
        </w:rPr>
        <w:t>are</w:t>
      </w:r>
      <w:r>
        <w:rPr>
          <w:rFonts w:asciiTheme="minorHAnsi" w:hAnsiTheme="minorHAnsi" w:cstheme="minorHAnsi"/>
        </w:rPr>
        <w:t xml:space="preserve"> the</w:t>
      </w:r>
      <w:r w:rsidR="00126104">
        <w:rPr>
          <w:rFonts w:asciiTheme="minorHAnsi" w:hAnsiTheme="minorHAnsi" w:cstheme="minorHAnsi"/>
        </w:rPr>
        <w:t xml:space="preserve"> transitional </w:t>
      </w:r>
      <w:r w:rsidR="00126104">
        <w:rPr>
          <w:rFonts w:asciiTheme="minorHAnsi" w:hAnsiTheme="minorHAnsi" w:cstheme="minorHAnsi"/>
        </w:rPr>
        <w:lastRenderedPageBreak/>
        <w:t>arrangements for</w:t>
      </w:r>
      <w:r>
        <w:rPr>
          <w:rFonts w:asciiTheme="minorHAnsi" w:hAnsiTheme="minorHAnsi" w:cstheme="minorHAnsi"/>
        </w:rPr>
        <w:t xml:space="preserve"> In</w:t>
      </w:r>
      <w:r w:rsidR="00126104">
        <w:rPr>
          <w:rFonts w:asciiTheme="minorHAnsi" w:hAnsiTheme="minorHAnsi" w:cstheme="minorHAnsi"/>
        </w:rPr>
        <w:t>-</w:t>
      </w:r>
      <w:r>
        <w:rPr>
          <w:rFonts w:asciiTheme="minorHAnsi" w:hAnsiTheme="minorHAnsi" w:cstheme="minorHAnsi"/>
        </w:rPr>
        <w:t>Train Order</w:t>
      </w:r>
      <w:r w:rsidR="00EF2D49">
        <w:rPr>
          <w:rFonts w:asciiTheme="minorHAnsi" w:hAnsiTheme="minorHAnsi" w:cstheme="minorHAnsi"/>
        </w:rPr>
        <w:t xml:space="preserve"> (ITO)</w:t>
      </w:r>
      <w:r>
        <w:rPr>
          <w:rFonts w:asciiTheme="minorHAnsi" w:hAnsiTheme="minorHAnsi" w:cstheme="minorHAnsi"/>
        </w:rPr>
        <w:t>. ACCAN has previously supported extending the</w:t>
      </w:r>
      <w:r w:rsidR="00DA55B7">
        <w:rPr>
          <w:rFonts w:asciiTheme="minorHAnsi" w:hAnsiTheme="minorHAnsi" w:cstheme="minorHAnsi"/>
        </w:rPr>
        <w:t xml:space="preserve"> </w:t>
      </w:r>
      <w:r w:rsidR="00126104">
        <w:rPr>
          <w:rFonts w:asciiTheme="minorHAnsi" w:hAnsiTheme="minorHAnsi" w:cstheme="minorHAnsi"/>
        </w:rPr>
        <w:t>ITO</w:t>
      </w:r>
      <w:r>
        <w:rPr>
          <w:rFonts w:asciiTheme="minorHAnsi" w:hAnsiTheme="minorHAnsi" w:cstheme="minorHAnsi"/>
        </w:rPr>
        <w:t xml:space="preserve"> arrangements beyond the FSAM regions it applies to.</w:t>
      </w:r>
      <w:r>
        <w:rPr>
          <w:rStyle w:val="FootnoteReference"/>
          <w:rFonts w:asciiTheme="minorHAnsi" w:hAnsiTheme="minorHAnsi" w:cstheme="minorHAnsi"/>
        </w:rPr>
        <w:footnoteReference w:id="7"/>
      </w:r>
      <w:r>
        <w:rPr>
          <w:rFonts w:asciiTheme="minorHAnsi" w:hAnsiTheme="minorHAnsi" w:cstheme="minorHAnsi"/>
        </w:rPr>
        <w:t xml:space="preserve"> Where consumers would like, but have been unable to obtain services by the disconnection date then</w:t>
      </w:r>
      <w:r w:rsidR="0094244C">
        <w:rPr>
          <w:rFonts w:asciiTheme="minorHAnsi" w:hAnsiTheme="minorHAnsi" w:cstheme="minorHAnsi"/>
        </w:rPr>
        <w:t xml:space="preserve"> it is unfair for them to have a break in their service or to have to seek alternative services themselves. Through no fault of their own they are facing </w:t>
      </w:r>
      <w:r w:rsidR="003D183B">
        <w:rPr>
          <w:rFonts w:asciiTheme="minorHAnsi" w:hAnsiTheme="minorHAnsi" w:cstheme="minorHAnsi"/>
        </w:rPr>
        <w:t>disconnection</w:t>
      </w:r>
      <w:r w:rsidR="0094244C">
        <w:rPr>
          <w:rFonts w:asciiTheme="minorHAnsi" w:hAnsiTheme="minorHAnsi" w:cstheme="minorHAnsi"/>
        </w:rPr>
        <w:t xml:space="preserve">. ACCAN sees little detriment to </w:t>
      </w:r>
      <w:r w:rsidR="00DA55B7">
        <w:rPr>
          <w:rFonts w:asciiTheme="minorHAnsi" w:hAnsiTheme="minorHAnsi" w:cstheme="minorHAnsi"/>
        </w:rPr>
        <w:t xml:space="preserve">the </w:t>
      </w:r>
      <w:r w:rsidR="0094244C">
        <w:rPr>
          <w:rFonts w:asciiTheme="minorHAnsi" w:hAnsiTheme="minorHAnsi" w:cstheme="minorHAnsi"/>
        </w:rPr>
        <w:t xml:space="preserve">bodies concerned from ensuring that end users who have ordered an </w:t>
      </w:r>
      <w:proofErr w:type="spellStart"/>
      <w:r w:rsidR="0094244C">
        <w:rPr>
          <w:rFonts w:asciiTheme="minorHAnsi" w:hAnsiTheme="minorHAnsi" w:cstheme="minorHAnsi"/>
        </w:rPr>
        <w:t>nbn</w:t>
      </w:r>
      <w:proofErr w:type="spellEnd"/>
      <w:r w:rsidR="0094244C">
        <w:rPr>
          <w:rFonts w:asciiTheme="minorHAnsi" w:hAnsiTheme="minorHAnsi" w:cstheme="minorHAnsi"/>
        </w:rPr>
        <w:t xml:space="preserve"> service</w:t>
      </w:r>
      <w:r w:rsidR="00301E18">
        <w:rPr>
          <w:rFonts w:asciiTheme="minorHAnsi" w:hAnsiTheme="minorHAnsi" w:cstheme="minorHAnsi"/>
        </w:rPr>
        <w:t xml:space="preserve"> are</w:t>
      </w:r>
      <w:bookmarkStart w:id="0" w:name="_GoBack"/>
      <w:bookmarkEnd w:id="0"/>
      <w:r w:rsidR="003D183B">
        <w:rPr>
          <w:rFonts w:asciiTheme="minorHAnsi" w:hAnsiTheme="minorHAnsi" w:cstheme="minorHAnsi"/>
        </w:rPr>
        <w:t xml:space="preserve"> </w:t>
      </w:r>
      <w:r w:rsidR="0094244C">
        <w:rPr>
          <w:rFonts w:asciiTheme="minorHAnsi" w:hAnsiTheme="minorHAnsi" w:cstheme="minorHAnsi"/>
        </w:rPr>
        <w:t xml:space="preserve">accommodated until such a </w:t>
      </w:r>
      <w:r w:rsidR="003D183B">
        <w:rPr>
          <w:rFonts w:asciiTheme="minorHAnsi" w:hAnsiTheme="minorHAnsi" w:cstheme="minorHAnsi"/>
        </w:rPr>
        <w:t>time that their</w:t>
      </w:r>
      <w:r w:rsidR="0094244C">
        <w:rPr>
          <w:rFonts w:asciiTheme="minorHAnsi" w:hAnsiTheme="minorHAnsi" w:cstheme="minorHAnsi"/>
        </w:rPr>
        <w:t xml:space="preserve"> order can be fulfilled.  </w:t>
      </w:r>
    </w:p>
    <w:p w:rsidR="002A0E88" w:rsidRPr="002A0E88" w:rsidRDefault="002A0E88" w:rsidP="000C2040">
      <w:pPr>
        <w:pStyle w:val="BodyText1"/>
        <w:jc w:val="both"/>
        <w:rPr>
          <w:rFonts w:asciiTheme="minorHAnsi" w:hAnsiTheme="minorHAnsi" w:cstheme="minorHAnsi"/>
          <w:u w:val="single"/>
        </w:rPr>
      </w:pPr>
      <w:r w:rsidRPr="002A0E88">
        <w:rPr>
          <w:rFonts w:asciiTheme="minorHAnsi" w:hAnsiTheme="minorHAnsi" w:cstheme="minorHAnsi"/>
          <w:u w:val="single"/>
        </w:rPr>
        <w:t>Safety critical services</w:t>
      </w:r>
    </w:p>
    <w:p w:rsidR="00584DD8" w:rsidRDefault="00584DD8" w:rsidP="000C2040">
      <w:pPr>
        <w:pStyle w:val="BodyText1"/>
        <w:jc w:val="both"/>
        <w:rPr>
          <w:rFonts w:asciiTheme="minorHAnsi" w:hAnsiTheme="minorHAnsi" w:cstheme="minorHAnsi"/>
        </w:rPr>
      </w:pPr>
      <w:r>
        <w:rPr>
          <w:rFonts w:asciiTheme="minorHAnsi" w:hAnsiTheme="minorHAnsi" w:cstheme="minorHAnsi"/>
        </w:rPr>
        <w:t>Fire alarms and lift phone services are important safety features for all users. However, they are often not given much thought until they are required.</w:t>
      </w:r>
      <w:r w:rsidR="00D76321">
        <w:rPr>
          <w:rFonts w:asciiTheme="minorHAnsi" w:hAnsiTheme="minorHAnsi" w:cstheme="minorHAnsi"/>
        </w:rPr>
        <w:t xml:space="preserve"> Failure of such critical services can result in life threatening situations. </w:t>
      </w:r>
      <w:r w:rsidR="003D183B">
        <w:rPr>
          <w:rFonts w:asciiTheme="minorHAnsi" w:hAnsiTheme="minorHAnsi" w:cstheme="minorHAnsi"/>
        </w:rPr>
        <w:t>ACCAN supports the Department</w:t>
      </w:r>
      <w:r w:rsidR="00305B50">
        <w:rPr>
          <w:rFonts w:asciiTheme="minorHAnsi" w:hAnsiTheme="minorHAnsi" w:cstheme="minorHAnsi"/>
        </w:rPr>
        <w:t>’</w:t>
      </w:r>
      <w:r w:rsidR="003D183B">
        <w:rPr>
          <w:rFonts w:asciiTheme="minorHAnsi" w:hAnsiTheme="minorHAnsi" w:cstheme="minorHAnsi"/>
        </w:rPr>
        <w:t>s submission to the ACCC to exten</w:t>
      </w:r>
      <w:r w:rsidR="00305B50">
        <w:rPr>
          <w:rFonts w:asciiTheme="minorHAnsi" w:hAnsiTheme="minorHAnsi" w:cstheme="minorHAnsi"/>
        </w:rPr>
        <w:t>d</w:t>
      </w:r>
      <w:r w:rsidR="003D183B">
        <w:rPr>
          <w:rFonts w:asciiTheme="minorHAnsi" w:hAnsiTheme="minorHAnsi" w:cstheme="minorHAnsi"/>
        </w:rPr>
        <w:t xml:space="preserve"> the ITO arrangements to include these services.</w:t>
      </w:r>
      <w:r w:rsidR="003D183B">
        <w:rPr>
          <w:rStyle w:val="FootnoteReference"/>
          <w:rFonts w:asciiTheme="minorHAnsi" w:hAnsiTheme="minorHAnsi" w:cstheme="minorHAnsi"/>
        </w:rPr>
        <w:footnoteReference w:id="8"/>
      </w:r>
      <w:r w:rsidR="003D183B">
        <w:rPr>
          <w:rFonts w:asciiTheme="minorHAnsi" w:hAnsiTheme="minorHAnsi" w:cstheme="minorHAnsi"/>
        </w:rPr>
        <w:t xml:space="preserve"> </w:t>
      </w:r>
      <w:r w:rsidR="00EF2D49">
        <w:rPr>
          <w:rFonts w:asciiTheme="minorHAnsi" w:hAnsiTheme="minorHAnsi" w:cstheme="minorHAnsi"/>
        </w:rPr>
        <w:t>End users do</w:t>
      </w:r>
      <w:r w:rsidR="00DA55B7">
        <w:rPr>
          <w:rFonts w:asciiTheme="minorHAnsi" w:hAnsiTheme="minorHAnsi" w:cstheme="minorHAnsi"/>
        </w:rPr>
        <w:t xml:space="preserve"> </w:t>
      </w:r>
      <w:r w:rsidR="00EF2D49">
        <w:rPr>
          <w:rFonts w:asciiTheme="minorHAnsi" w:hAnsiTheme="minorHAnsi" w:cstheme="minorHAnsi"/>
        </w:rPr>
        <w:t>n</w:t>
      </w:r>
      <w:r w:rsidR="00DA55B7">
        <w:rPr>
          <w:rFonts w:asciiTheme="minorHAnsi" w:hAnsiTheme="minorHAnsi" w:cstheme="minorHAnsi"/>
        </w:rPr>
        <w:t>o</w:t>
      </w:r>
      <w:r w:rsidR="00EF2D49">
        <w:rPr>
          <w:rFonts w:asciiTheme="minorHAnsi" w:hAnsiTheme="minorHAnsi" w:cstheme="minorHAnsi"/>
        </w:rPr>
        <w:t>t see the NBN as affecting the variety of services that it will, often seeing it only as the delivery of broadband. A lot of work</w:t>
      </w:r>
      <w:r w:rsidR="003D183B">
        <w:rPr>
          <w:rFonts w:asciiTheme="minorHAnsi" w:hAnsiTheme="minorHAnsi" w:cstheme="minorHAnsi"/>
        </w:rPr>
        <w:t xml:space="preserve"> recently</w:t>
      </w:r>
      <w:r w:rsidR="00EF2D49">
        <w:rPr>
          <w:rFonts w:asciiTheme="minorHAnsi" w:hAnsiTheme="minorHAnsi" w:cstheme="minorHAnsi"/>
        </w:rPr>
        <w:t xml:space="preserve"> has been around informing consumers that NBN will also provide voice services. While</w:t>
      </w:r>
      <w:r w:rsidR="00DA55B7">
        <w:rPr>
          <w:rFonts w:asciiTheme="minorHAnsi" w:hAnsiTheme="minorHAnsi" w:cstheme="minorHAnsi"/>
        </w:rPr>
        <w:t xml:space="preserve"> the framework identifies responsibilities for t</w:t>
      </w:r>
      <w:r w:rsidR="00EF2D49">
        <w:rPr>
          <w:rFonts w:asciiTheme="minorHAnsi" w:hAnsiTheme="minorHAnsi" w:cstheme="minorHAnsi"/>
        </w:rPr>
        <w:t>enants and building occupants to express interest to their building managers that the services are migrated, it often w</w:t>
      </w:r>
      <w:r w:rsidR="00305B50">
        <w:rPr>
          <w:rFonts w:asciiTheme="minorHAnsi" w:hAnsiTheme="minorHAnsi" w:cstheme="minorHAnsi"/>
        </w:rPr>
        <w:t xml:space="preserve">ill not </w:t>
      </w:r>
      <w:r w:rsidR="00EF2D49">
        <w:rPr>
          <w:rFonts w:asciiTheme="minorHAnsi" w:hAnsiTheme="minorHAnsi" w:cstheme="minorHAnsi"/>
        </w:rPr>
        <w:t>cross their mind to do so.</w:t>
      </w:r>
      <w:r w:rsidR="007439BB" w:rsidRPr="007439BB">
        <w:rPr>
          <w:rFonts w:asciiTheme="minorHAnsi" w:hAnsiTheme="minorHAnsi" w:cstheme="minorHAnsi"/>
        </w:rPr>
        <w:t xml:space="preserve"> </w:t>
      </w:r>
      <w:r w:rsidR="007439BB">
        <w:rPr>
          <w:rFonts w:asciiTheme="minorHAnsi" w:hAnsiTheme="minorHAnsi" w:cstheme="minorHAnsi"/>
        </w:rPr>
        <w:t xml:space="preserve">Allocating resources to ensure end users are aware of this seems to be misguided and resources may be better targeted at building managers, where the responsibility lies. </w:t>
      </w:r>
      <w:r w:rsidR="00EF2D49">
        <w:rPr>
          <w:rFonts w:asciiTheme="minorHAnsi" w:hAnsiTheme="minorHAnsi" w:cstheme="minorHAnsi"/>
        </w:rPr>
        <w:t xml:space="preserve"> </w:t>
      </w:r>
    </w:p>
    <w:p w:rsidR="003B48F4" w:rsidRDefault="00DA3765" w:rsidP="000C2040">
      <w:pPr>
        <w:pStyle w:val="BodyText1"/>
        <w:jc w:val="both"/>
        <w:rPr>
          <w:rFonts w:asciiTheme="minorHAnsi" w:hAnsiTheme="minorHAnsi" w:cstheme="minorHAnsi"/>
        </w:rPr>
      </w:pPr>
      <w:r>
        <w:rPr>
          <w:rFonts w:asciiTheme="minorHAnsi" w:hAnsiTheme="minorHAnsi" w:cstheme="minorHAnsi"/>
        </w:rPr>
        <w:t xml:space="preserve">Finally </w:t>
      </w:r>
      <w:r w:rsidR="003B48F4">
        <w:rPr>
          <w:rFonts w:asciiTheme="minorHAnsi" w:hAnsiTheme="minorHAnsi" w:cstheme="minorHAnsi"/>
        </w:rPr>
        <w:t xml:space="preserve">ACCAN </w:t>
      </w:r>
      <w:r>
        <w:rPr>
          <w:rFonts w:asciiTheme="minorHAnsi" w:hAnsiTheme="minorHAnsi" w:cstheme="minorHAnsi"/>
        </w:rPr>
        <w:t xml:space="preserve">would like to add that it </w:t>
      </w:r>
      <w:r w:rsidR="003B48F4">
        <w:rPr>
          <w:rFonts w:asciiTheme="minorHAnsi" w:hAnsiTheme="minorHAnsi" w:cstheme="minorHAnsi"/>
        </w:rPr>
        <w:t xml:space="preserve">is supportive of </w:t>
      </w:r>
      <w:proofErr w:type="spellStart"/>
      <w:r w:rsidR="003B48F4">
        <w:rPr>
          <w:rFonts w:asciiTheme="minorHAnsi" w:hAnsiTheme="minorHAnsi" w:cstheme="minorHAnsi"/>
        </w:rPr>
        <w:t>nbn’s</w:t>
      </w:r>
      <w:proofErr w:type="spellEnd"/>
      <w:r w:rsidR="003B48F4">
        <w:rPr>
          <w:rFonts w:asciiTheme="minorHAnsi" w:hAnsiTheme="minorHAnsi" w:cstheme="minorHAnsi"/>
        </w:rPr>
        <w:t xml:space="preserve"> initiative to employ local community workers</w:t>
      </w:r>
      <w:r w:rsidR="00777945">
        <w:rPr>
          <w:rFonts w:asciiTheme="minorHAnsi" w:hAnsiTheme="minorHAnsi" w:cstheme="minorHAnsi"/>
        </w:rPr>
        <w:t xml:space="preserve"> and to work with community groups</w:t>
      </w:r>
      <w:r>
        <w:rPr>
          <w:rFonts w:asciiTheme="minorHAnsi" w:hAnsiTheme="minorHAnsi" w:cstheme="minorHAnsi"/>
        </w:rPr>
        <w:t xml:space="preserve"> in targeting </w:t>
      </w:r>
      <w:r w:rsidR="00756A5C">
        <w:rPr>
          <w:rFonts w:asciiTheme="minorHAnsi" w:hAnsiTheme="minorHAnsi" w:cstheme="minorHAnsi"/>
        </w:rPr>
        <w:t xml:space="preserve">information for </w:t>
      </w:r>
      <w:r>
        <w:rPr>
          <w:rFonts w:asciiTheme="minorHAnsi" w:hAnsiTheme="minorHAnsi" w:cstheme="minorHAnsi"/>
        </w:rPr>
        <w:t>vulnerable end users</w:t>
      </w:r>
      <w:r w:rsidR="003B48F4">
        <w:rPr>
          <w:rFonts w:asciiTheme="minorHAnsi" w:hAnsiTheme="minorHAnsi" w:cstheme="minorHAnsi"/>
        </w:rPr>
        <w:t>. This provides end users with access to support</w:t>
      </w:r>
      <w:r w:rsidR="00777945">
        <w:rPr>
          <w:rFonts w:asciiTheme="minorHAnsi" w:hAnsiTheme="minorHAnsi" w:cstheme="minorHAnsi"/>
        </w:rPr>
        <w:t xml:space="preserve"> at a local level and ensures that end users are receiving consistent advice from people that they trust</w:t>
      </w:r>
      <w:r w:rsidR="00FD5CD5">
        <w:rPr>
          <w:rFonts w:asciiTheme="minorHAnsi" w:hAnsiTheme="minorHAnsi" w:cstheme="minorHAnsi"/>
        </w:rPr>
        <w:t xml:space="preserve">. </w:t>
      </w:r>
      <w:r w:rsidR="003B48F4">
        <w:rPr>
          <w:rFonts w:asciiTheme="minorHAnsi" w:hAnsiTheme="minorHAnsi" w:cstheme="minorHAnsi"/>
        </w:rPr>
        <w:t xml:space="preserve"> </w:t>
      </w:r>
    </w:p>
    <w:p w:rsidR="00DD1B6E" w:rsidRDefault="007E757F" w:rsidP="005262EE">
      <w:pPr>
        <w:pStyle w:val="BodyText1"/>
        <w:spacing w:before="240" w:after="0"/>
        <w:rPr>
          <w:rFonts w:asciiTheme="minorHAnsi" w:hAnsiTheme="minorHAnsi" w:cstheme="minorHAnsi"/>
          <w:color w:val="auto"/>
        </w:rPr>
      </w:pPr>
      <w:r>
        <w:rPr>
          <w:rFonts w:asciiTheme="minorHAnsi" w:hAnsiTheme="minorHAnsi" w:cstheme="minorHAnsi"/>
          <w:color w:val="auto"/>
        </w:rPr>
        <w:t>Sincerely</w:t>
      </w:r>
    </w:p>
    <w:p w:rsidR="007E757F" w:rsidRDefault="00807FFE" w:rsidP="007E757F">
      <w:pPr>
        <w:spacing w:after="0"/>
        <w:rPr>
          <w:rFonts w:ascii="Arial" w:hAnsi="Arial" w:cs="Arial"/>
          <w:color w:val="1F497D"/>
          <w:lang w:val="en-US"/>
        </w:rPr>
      </w:pPr>
      <w:r>
        <w:rPr>
          <w:rFonts w:ascii="Arial" w:hAnsi="Arial" w:cs="Arial"/>
          <w:noProof/>
          <w:color w:val="1F497D"/>
          <w:lang w:val="en-US" w:eastAsia="en-US"/>
        </w:rPr>
        <w:drawing>
          <wp:inline distT="0" distB="0" distL="0" distR="0">
            <wp:extent cx="1581912" cy="4297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CD4B4F" w:rsidRPr="00436A0F" w:rsidRDefault="00CD4B4F" w:rsidP="00195739">
      <w:pPr>
        <w:pStyle w:val="BodyText1"/>
        <w:spacing w:after="0"/>
        <w:rPr>
          <w:rFonts w:asciiTheme="minorHAnsi" w:hAnsiTheme="minorHAnsi"/>
          <w:lang w:val="en-US"/>
        </w:rPr>
      </w:pPr>
      <w:r w:rsidRPr="00436A0F">
        <w:rPr>
          <w:rFonts w:asciiTheme="minorHAnsi" w:hAnsiTheme="minorHAnsi"/>
          <w:lang w:val="en-US"/>
        </w:rPr>
        <w:t>Rachel Thomas</w:t>
      </w:r>
    </w:p>
    <w:p w:rsidR="00CD4B4F" w:rsidRPr="00436A0F" w:rsidRDefault="00CD4B4F" w:rsidP="00195739">
      <w:pPr>
        <w:pStyle w:val="BodyText1"/>
        <w:spacing w:after="0"/>
        <w:rPr>
          <w:rFonts w:asciiTheme="minorHAnsi" w:hAnsiTheme="minorHAnsi"/>
          <w:lang w:val="en-US"/>
        </w:rPr>
      </w:pPr>
      <w:r w:rsidRPr="00436A0F">
        <w:rPr>
          <w:rFonts w:asciiTheme="minorHAnsi" w:hAnsiTheme="minorHAnsi"/>
          <w:lang w:val="en-US"/>
        </w:rPr>
        <w:t>Policy Officer</w:t>
      </w:r>
    </w:p>
    <w:sectPr w:rsidR="00CD4B4F" w:rsidRPr="00436A0F"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D5" w:rsidRDefault="00D254D5" w:rsidP="005820C9">
      <w:pPr>
        <w:spacing w:after="0" w:line="240" w:lineRule="auto"/>
      </w:pPr>
      <w:r>
        <w:separator/>
      </w:r>
    </w:p>
  </w:endnote>
  <w:endnote w:type="continuationSeparator" w:id="0">
    <w:p w:rsidR="00D254D5" w:rsidRDefault="00D254D5"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60" w:rsidRDefault="00BC4F60" w:rsidP="00002D94">
    <w:pPr>
      <w:pStyle w:val="Footer"/>
    </w:pPr>
    <w:r>
      <w:rPr>
        <w:noProof/>
        <w:lang w:val="en-US"/>
      </w:rPr>
      <mc:AlternateContent>
        <mc:Choice Requires="wpg">
          <w:drawing>
            <wp:anchor distT="0" distB="0" distL="114300" distR="114300" simplePos="0" relativeHeight="251659264" behindDoc="1" locked="0" layoutInCell="1" allowOverlap="1" wp14:anchorId="266DACF7" wp14:editId="5891518D">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BC4F60" w:rsidRDefault="00BC4F60" w:rsidP="001C28E7">
                            <w:pPr>
                              <w:spacing w:after="0" w:line="240" w:lineRule="auto"/>
                              <w:rPr>
                                <w:color w:val="23B0E6"/>
                                <w:sz w:val="20"/>
                                <w:szCs w:val="20"/>
                              </w:rPr>
                            </w:pPr>
                          </w:p>
                          <w:p w:rsidR="00BC4F60" w:rsidRPr="00002D94" w:rsidRDefault="00BC4F60" w:rsidP="001C28E7">
                            <w:pPr>
                              <w:spacing w:after="0" w:line="240" w:lineRule="auto"/>
                              <w:rPr>
                                <w:color w:val="23B0E6"/>
                                <w:sz w:val="20"/>
                                <w:szCs w:val="20"/>
                              </w:rPr>
                            </w:pPr>
                            <w:r w:rsidRPr="00002D94">
                              <w:rPr>
                                <w:color w:val="23B0E6"/>
                                <w:sz w:val="20"/>
                                <w:szCs w:val="20"/>
                              </w:rPr>
                              <w:t>Australian Communications Consumer Action Network (ACCAN)</w:t>
                            </w:r>
                          </w:p>
                          <w:p w:rsidR="00BC4F60" w:rsidRPr="00002D94" w:rsidRDefault="00BC4F60" w:rsidP="007D3F16">
                            <w:pPr>
                              <w:spacing w:after="0" w:line="240" w:lineRule="auto"/>
                              <w:rPr>
                                <w:i/>
                                <w:color w:val="23B0E6"/>
                                <w:sz w:val="20"/>
                                <w:szCs w:val="20"/>
                              </w:rPr>
                            </w:pPr>
                            <w:r w:rsidRPr="00002D94">
                              <w:rPr>
                                <w:i/>
                                <w:color w:val="23B0E6"/>
                                <w:sz w:val="20"/>
                                <w:szCs w:val="20"/>
                              </w:rPr>
                              <w:t>Australia’s peak telecommunications consumer organisation</w:t>
                            </w:r>
                          </w:p>
                          <w:p w:rsidR="00BC4F60" w:rsidRPr="00002D94" w:rsidRDefault="00BC4F60" w:rsidP="007D3F16">
                            <w:pPr>
                              <w:spacing w:after="0" w:line="240" w:lineRule="auto"/>
                              <w:rPr>
                                <w:sz w:val="20"/>
                                <w:szCs w:val="20"/>
                              </w:rPr>
                            </w:pPr>
                            <w:r w:rsidRPr="00002D94">
                              <w:rPr>
                                <w:sz w:val="20"/>
                                <w:szCs w:val="20"/>
                              </w:rPr>
                              <w:t>Suite 4.02, 55 Mountain St, Ultimo NSW 2007</w:t>
                            </w:r>
                          </w:p>
                          <w:p w:rsidR="00BC4F60" w:rsidRPr="00002D94" w:rsidRDefault="00BC4F60" w:rsidP="007D3F16">
                            <w:pPr>
                              <w:spacing w:after="0" w:line="240" w:lineRule="auto"/>
                              <w:rPr>
                                <w:sz w:val="20"/>
                                <w:szCs w:val="20"/>
                              </w:rPr>
                            </w:pPr>
                            <w:r w:rsidRPr="00002D94">
                              <w:rPr>
                                <w:sz w:val="20"/>
                                <w:szCs w:val="20"/>
                              </w:rPr>
                              <w:t>Tel: (02) 9288 4000 | TTY: (02) 9281 5322 | Fax: (02) 9288 4019</w:t>
                            </w:r>
                          </w:p>
                          <w:p w:rsidR="00BC4F60" w:rsidRPr="00002D94" w:rsidRDefault="00BC4F60"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C4F60" w:rsidRDefault="00BC4F60" w:rsidP="001C28E7">
                      <w:pPr>
                        <w:spacing w:after="0" w:line="240" w:lineRule="auto"/>
                        <w:rPr>
                          <w:color w:val="23B0E6"/>
                          <w:sz w:val="20"/>
                          <w:szCs w:val="20"/>
                        </w:rPr>
                      </w:pPr>
                    </w:p>
                    <w:p w:rsidR="00BC4F60" w:rsidRPr="00002D94" w:rsidRDefault="00BC4F60" w:rsidP="001C28E7">
                      <w:pPr>
                        <w:spacing w:after="0" w:line="240" w:lineRule="auto"/>
                        <w:rPr>
                          <w:color w:val="23B0E6"/>
                          <w:sz w:val="20"/>
                          <w:szCs w:val="20"/>
                        </w:rPr>
                      </w:pPr>
                      <w:r w:rsidRPr="00002D94">
                        <w:rPr>
                          <w:color w:val="23B0E6"/>
                          <w:sz w:val="20"/>
                          <w:szCs w:val="20"/>
                        </w:rPr>
                        <w:t>Australian Communications Consumer Action Network (ACCAN)</w:t>
                      </w:r>
                    </w:p>
                    <w:p w:rsidR="00BC4F60" w:rsidRPr="00002D94" w:rsidRDefault="00BC4F60" w:rsidP="007D3F16">
                      <w:pPr>
                        <w:spacing w:after="0" w:line="240" w:lineRule="auto"/>
                        <w:rPr>
                          <w:i/>
                          <w:color w:val="23B0E6"/>
                          <w:sz w:val="20"/>
                          <w:szCs w:val="20"/>
                        </w:rPr>
                      </w:pPr>
                      <w:r w:rsidRPr="00002D94">
                        <w:rPr>
                          <w:i/>
                          <w:color w:val="23B0E6"/>
                          <w:sz w:val="20"/>
                          <w:szCs w:val="20"/>
                        </w:rPr>
                        <w:t>Australia’s peak telecommunications consumer organisation</w:t>
                      </w:r>
                    </w:p>
                    <w:p w:rsidR="00BC4F60" w:rsidRPr="00002D94" w:rsidRDefault="00BC4F60" w:rsidP="007D3F16">
                      <w:pPr>
                        <w:spacing w:after="0" w:line="240" w:lineRule="auto"/>
                        <w:rPr>
                          <w:sz w:val="20"/>
                          <w:szCs w:val="20"/>
                        </w:rPr>
                      </w:pPr>
                      <w:r w:rsidRPr="00002D94">
                        <w:rPr>
                          <w:sz w:val="20"/>
                          <w:szCs w:val="20"/>
                        </w:rPr>
                        <w:t>Suite 4.02, 55 Mountain St, Ultimo NSW 2007</w:t>
                      </w:r>
                    </w:p>
                    <w:p w:rsidR="00BC4F60" w:rsidRPr="00002D94" w:rsidRDefault="00BC4F60" w:rsidP="007D3F16">
                      <w:pPr>
                        <w:spacing w:after="0" w:line="240" w:lineRule="auto"/>
                        <w:rPr>
                          <w:sz w:val="20"/>
                          <w:szCs w:val="20"/>
                        </w:rPr>
                      </w:pPr>
                      <w:r w:rsidRPr="00002D94">
                        <w:rPr>
                          <w:sz w:val="20"/>
                          <w:szCs w:val="20"/>
                        </w:rPr>
                        <w:t>Tel: (02) 9288 4000 | TTY: (02) 9281 5322 | Fax: (02) 9288 4019</w:t>
                      </w:r>
                    </w:p>
                    <w:p w:rsidR="00BC4F60" w:rsidRPr="00002D94" w:rsidRDefault="00BC4F60"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60" w:rsidRPr="00E05115" w:rsidRDefault="00BC4F60"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301E18">
      <w:rPr>
        <w:noProof/>
      </w:rPr>
      <w:t>3</w:t>
    </w:r>
    <w:r w:rsidRPr="00C4251E">
      <w:rPr>
        <w:noProof/>
      </w:rPr>
      <w:fldChar w:fldCharType="end"/>
    </w:r>
  </w:p>
  <w:p w:rsidR="00BC4F60" w:rsidRDefault="00BC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D5" w:rsidRDefault="00D254D5" w:rsidP="005820C9">
      <w:pPr>
        <w:spacing w:after="0" w:line="240" w:lineRule="auto"/>
      </w:pPr>
      <w:r>
        <w:separator/>
      </w:r>
    </w:p>
  </w:footnote>
  <w:footnote w:type="continuationSeparator" w:id="0">
    <w:p w:rsidR="00D254D5" w:rsidRDefault="00D254D5" w:rsidP="005820C9">
      <w:pPr>
        <w:spacing w:after="0" w:line="240" w:lineRule="auto"/>
      </w:pPr>
      <w:r>
        <w:continuationSeparator/>
      </w:r>
    </w:p>
  </w:footnote>
  <w:footnote w:id="1">
    <w:p w:rsidR="002960E6" w:rsidRPr="00F61DA0" w:rsidRDefault="002960E6" w:rsidP="002960E6">
      <w:pPr>
        <w:pStyle w:val="FootnoteText"/>
        <w:rPr>
          <w:lang w:val="en-US"/>
        </w:rPr>
      </w:pPr>
      <w:r>
        <w:rPr>
          <w:rStyle w:val="FootnoteReference"/>
        </w:rPr>
        <w:footnoteRef/>
      </w:r>
      <w:r>
        <w:t xml:space="preserve"> </w:t>
      </w:r>
      <w:hyperlink r:id="rId1" w:history="1">
        <w:r w:rsidRPr="004D2B17">
          <w:rPr>
            <w:rStyle w:val="Hyperlink"/>
          </w:rPr>
          <w:t>https://accan.org.au/files/Broadbanding_Brunswick.pdf</w:t>
        </w:r>
      </w:hyperlink>
    </w:p>
  </w:footnote>
  <w:footnote w:id="2">
    <w:p w:rsidR="00E5620E" w:rsidRPr="00D27FC1" w:rsidRDefault="00E5620E" w:rsidP="00E5620E">
      <w:pPr>
        <w:pStyle w:val="FootnoteText"/>
        <w:rPr>
          <w:lang w:val="en-US"/>
        </w:rPr>
      </w:pPr>
      <w:r>
        <w:rPr>
          <w:rStyle w:val="FootnoteReference"/>
        </w:rPr>
        <w:footnoteRef/>
      </w:r>
      <w:r>
        <w:t xml:space="preserve"> </w:t>
      </w:r>
      <w:r>
        <w:rPr>
          <w:lang w:val="en-US"/>
        </w:rPr>
        <w:t>Up to 30 working days, or 6 weeks</w:t>
      </w:r>
    </w:p>
  </w:footnote>
  <w:footnote w:id="3">
    <w:p w:rsidR="0070249A" w:rsidRPr="0070249A" w:rsidRDefault="0070249A">
      <w:pPr>
        <w:pStyle w:val="FootnoteText"/>
        <w:rPr>
          <w:lang w:val="en-US"/>
        </w:rPr>
      </w:pPr>
      <w:r>
        <w:rPr>
          <w:rStyle w:val="FootnoteReference"/>
        </w:rPr>
        <w:footnoteRef/>
      </w:r>
      <w:r>
        <w:t xml:space="preserve"> </w:t>
      </w:r>
      <w:r>
        <w:rPr>
          <w:lang w:val="en-US"/>
        </w:rPr>
        <w:t>TUSMA previously had responsibility for consumer awareness</w:t>
      </w:r>
      <w:r w:rsidR="00301E18">
        <w:rPr>
          <w:lang w:val="en-US"/>
        </w:rPr>
        <w:t xml:space="preserve"> for the migration of voice services</w:t>
      </w:r>
      <w:r>
        <w:rPr>
          <w:lang w:val="en-US"/>
        </w:rPr>
        <w:t>, but these functions transferred to the Department of Communications earlier this year.</w:t>
      </w:r>
    </w:p>
  </w:footnote>
  <w:footnote w:id="4">
    <w:p w:rsidR="00302966" w:rsidRPr="00302966" w:rsidRDefault="00302966">
      <w:pPr>
        <w:pStyle w:val="FootnoteText"/>
        <w:rPr>
          <w:lang w:val="en-US"/>
        </w:rPr>
      </w:pPr>
      <w:r>
        <w:rPr>
          <w:rStyle w:val="FootnoteReference"/>
        </w:rPr>
        <w:footnoteRef/>
      </w:r>
      <w:r>
        <w:t xml:space="preserve"> </w:t>
      </w:r>
      <w:hyperlink r:id="rId2" w:history="1">
        <w:r w:rsidRPr="00097062">
          <w:rPr>
            <w:rStyle w:val="Hyperlink"/>
          </w:rPr>
          <w:t>http://retune.digitalready.gov.au/</w:t>
        </w:r>
      </w:hyperlink>
      <w:r>
        <w:t xml:space="preserve">, </w:t>
      </w:r>
      <w:hyperlink r:id="rId3" w:history="1">
        <w:r w:rsidRPr="00097062">
          <w:rPr>
            <w:rStyle w:val="Hyperlink"/>
          </w:rPr>
          <w:t>https://www.scamwatch.gov.au/</w:t>
        </w:r>
      </w:hyperlink>
    </w:p>
  </w:footnote>
  <w:footnote w:id="5">
    <w:p w:rsidR="007C6F72" w:rsidRPr="007655E5" w:rsidRDefault="007C6F72" w:rsidP="007C6F72">
      <w:pPr>
        <w:pStyle w:val="FootnoteText"/>
        <w:rPr>
          <w:lang w:val="en-US"/>
        </w:rPr>
      </w:pPr>
      <w:r>
        <w:rPr>
          <w:rStyle w:val="FootnoteReference"/>
        </w:rPr>
        <w:footnoteRef/>
      </w:r>
      <w:r w:rsidR="00302966">
        <w:t xml:space="preserve"> The Programme for the International Assessment of Adult Competencies found that</w:t>
      </w:r>
      <w:r>
        <w:t xml:space="preserve"> </w:t>
      </w:r>
      <w:r w:rsidR="00302966">
        <w:t xml:space="preserve">44% of Australians had literacy skills at Level 1 or 2 </w:t>
      </w:r>
      <w:hyperlink r:id="rId4" w:history="1">
        <w:r w:rsidRPr="00252F9E">
          <w:rPr>
            <w:rStyle w:val="Hyperlink"/>
          </w:rPr>
          <w:t>http://www.abs.gov.au/ausstats/abs@.nsf/Lookup/4228.0main+features992011-2012</w:t>
        </w:r>
      </w:hyperlink>
    </w:p>
  </w:footnote>
  <w:footnote w:id="6">
    <w:p w:rsidR="007C6F72" w:rsidRPr="00DE0306" w:rsidRDefault="007C6F72" w:rsidP="007C6F72">
      <w:pPr>
        <w:pStyle w:val="FootnoteText"/>
        <w:rPr>
          <w:lang w:val="en-US"/>
        </w:rPr>
      </w:pPr>
      <w:r>
        <w:rPr>
          <w:rStyle w:val="FootnoteReference"/>
        </w:rPr>
        <w:footnoteRef/>
      </w:r>
      <w:r>
        <w:t xml:space="preserve"> </w:t>
      </w:r>
      <w:hyperlink r:id="rId5" w:history="1">
        <w:r w:rsidRPr="00252F9E">
          <w:rPr>
            <w:rStyle w:val="Hyperlink"/>
          </w:rPr>
          <w:t>http://www.mediaaccess.org.au/</w:t>
        </w:r>
      </w:hyperlink>
      <w:r w:rsidR="00DA55B7">
        <w:t>. F</w:t>
      </w:r>
      <w:r>
        <w:t xml:space="preserve">or example see Easy English Factsheets for Consumer Affairs Victoria. </w:t>
      </w:r>
      <w:hyperlink r:id="rId6" w:history="1">
        <w:r w:rsidRPr="00252F9E">
          <w:rPr>
            <w:rStyle w:val="Hyperlink"/>
          </w:rPr>
          <w:t>http://www.consumer.vic.gov.au/resources-and-education/consumers-with-a-disability/easy-english-factsheets</w:t>
        </w:r>
      </w:hyperlink>
    </w:p>
  </w:footnote>
  <w:footnote w:id="7">
    <w:p w:rsidR="00717057" w:rsidRPr="00717057" w:rsidRDefault="00717057">
      <w:pPr>
        <w:pStyle w:val="FootnoteText"/>
        <w:rPr>
          <w:lang w:val="en-US"/>
        </w:rPr>
      </w:pPr>
      <w:r>
        <w:rPr>
          <w:rStyle w:val="FootnoteReference"/>
        </w:rPr>
        <w:footnoteRef/>
      </w:r>
      <w:r>
        <w:t xml:space="preserve"> </w:t>
      </w:r>
      <w:hyperlink r:id="rId7" w:history="1">
        <w:r w:rsidRPr="004D2B17">
          <w:rPr>
            <w:rStyle w:val="Hyperlink"/>
          </w:rPr>
          <w:t>https://accc.gov.au/regulated-infrastructure/communications/industry-reform/telstras-migration-plan/transitional-arrangements-for-in-train-orders-fire-alarm-and-lift-phone-services</w:t>
        </w:r>
      </w:hyperlink>
    </w:p>
  </w:footnote>
  <w:footnote w:id="8">
    <w:p w:rsidR="003D183B" w:rsidRPr="00EF2D49" w:rsidRDefault="003D183B" w:rsidP="003D183B">
      <w:pPr>
        <w:pStyle w:val="FootnoteText"/>
        <w:rPr>
          <w:lang w:val="en-US"/>
        </w:rPr>
      </w:pPr>
      <w:r>
        <w:rPr>
          <w:rStyle w:val="FootnoteReference"/>
        </w:rPr>
        <w:footnoteRef/>
      </w:r>
      <w:r>
        <w:t xml:space="preserve"> </w:t>
      </w:r>
      <w:hyperlink r:id="rId8" w:history="1">
        <w:r w:rsidRPr="004D2B17">
          <w:rPr>
            <w:rStyle w:val="Hyperlink"/>
          </w:rPr>
          <w:t>https://accc.gov.au/system/files/Submission%20from%20Department%20of%20Communications.pdf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60" w:rsidRDefault="00BC4F60"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77F5E509" wp14:editId="2F608F7E">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60" w:rsidRDefault="00BC4F60"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7D53"/>
    <w:multiLevelType w:val="hybridMultilevel"/>
    <w:tmpl w:val="684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41370"/>
    <w:multiLevelType w:val="multilevel"/>
    <w:tmpl w:val="F2FC669E"/>
    <w:styleLink w:val="Recommendations"/>
    <w:lvl w:ilvl="0">
      <w:start w:val="1"/>
      <w:numFmt w:val="decimal"/>
      <w:pStyle w:val="Recommendation"/>
      <w:lvlText w:val="Recommendation %1:"/>
      <w:lvlJc w:val="left"/>
      <w:pPr>
        <w:ind w:left="851" w:firstLine="0"/>
      </w:pPr>
    </w:lvl>
    <w:lvl w:ilvl="1">
      <w:start w:val="1"/>
      <w:numFmt w:val="none"/>
      <w:lvlText w:val=""/>
      <w:lvlJc w:val="left"/>
      <w:pPr>
        <w:ind w:left="851" w:hanging="851"/>
      </w:pPr>
    </w:lvl>
    <w:lvl w:ilvl="2">
      <w:start w:val="1"/>
      <w:numFmt w:val="none"/>
      <w:lvlText w:val=""/>
      <w:lvlJc w:val="left"/>
      <w:pPr>
        <w:ind w:left="851" w:hanging="851"/>
      </w:pPr>
    </w:lvl>
    <w:lvl w:ilvl="3">
      <w:start w:val="1"/>
      <w:numFmt w:val="none"/>
      <w:lvlText w:val=""/>
      <w:lvlJc w:val="left"/>
      <w:pPr>
        <w:ind w:left="851" w:hanging="851"/>
      </w:pPr>
    </w:lvl>
    <w:lvl w:ilvl="4">
      <w:start w:val="1"/>
      <w:numFmt w:val="none"/>
      <w:lvlText w:val=""/>
      <w:lvlJc w:val="left"/>
      <w:pPr>
        <w:ind w:left="851" w:hanging="851"/>
      </w:pPr>
    </w:lvl>
    <w:lvl w:ilvl="5">
      <w:start w:val="1"/>
      <w:numFmt w:val="none"/>
      <w:lvlText w:val=""/>
      <w:lvlJc w:val="left"/>
      <w:pPr>
        <w:ind w:left="851" w:hanging="851"/>
      </w:pPr>
    </w:lvl>
    <w:lvl w:ilvl="6">
      <w:start w:val="1"/>
      <w:numFmt w:val="none"/>
      <w:lvlText w:val=""/>
      <w:lvlJc w:val="left"/>
      <w:pPr>
        <w:ind w:left="851" w:hanging="851"/>
      </w:pPr>
    </w:lvl>
    <w:lvl w:ilvl="7">
      <w:start w:val="1"/>
      <w:numFmt w:val="none"/>
      <w:lvlText w:val=""/>
      <w:lvlJc w:val="left"/>
      <w:pPr>
        <w:ind w:left="851" w:hanging="851"/>
      </w:pPr>
    </w:lvl>
    <w:lvl w:ilvl="8">
      <w:start w:val="1"/>
      <w:numFmt w:val="none"/>
      <w:lvlText w:val=""/>
      <w:lvlJc w:val="left"/>
      <w:pPr>
        <w:ind w:left="851" w:hanging="851"/>
      </w:pPr>
    </w:lvl>
  </w:abstractNum>
  <w:abstractNum w:abstractNumId="2">
    <w:nsid w:val="539B171B"/>
    <w:multiLevelType w:val="hybridMultilevel"/>
    <w:tmpl w:val="D28836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9D22438"/>
    <w:multiLevelType w:val="hybridMultilevel"/>
    <w:tmpl w:val="45E8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0D225D"/>
    <w:multiLevelType w:val="hybridMultilevel"/>
    <w:tmpl w:val="F8F8CB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7CD6231"/>
    <w:multiLevelType w:val="multilevel"/>
    <w:tmpl w:val="F2FC669E"/>
    <w:numStyleLink w:val="Recommendations"/>
  </w:abstractNum>
  <w:abstractNum w:abstractNumId="6">
    <w:nsid w:val="722D76D5"/>
    <w:multiLevelType w:val="hybridMultilevel"/>
    <w:tmpl w:val="AA448E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84"/>
    <w:rsid w:val="00001FE4"/>
    <w:rsid w:val="00002D94"/>
    <w:rsid w:val="00025CC4"/>
    <w:rsid w:val="00027253"/>
    <w:rsid w:val="00043933"/>
    <w:rsid w:val="000545EA"/>
    <w:rsid w:val="0006091E"/>
    <w:rsid w:val="00074908"/>
    <w:rsid w:val="00080068"/>
    <w:rsid w:val="00084A5B"/>
    <w:rsid w:val="00092361"/>
    <w:rsid w:val="000A170A"/>
    <w:rsid w:val="000A1751"/>
    <w:rsid w:val="000B2CD4"/>
    <w:rsid w:val="000B312B"/>
    <w:rsid w:val="000C2040"/>
    <w:rsid w:val="000D79C3"/>
    <w:rsid w:val="000F2AA0"/>
    <w:rsid w:val="00126104"/>
    <w:rsid w:val="00133884"/>
    <w:rsid w:val="001543F6"/>
    <w:rsid w:val="00155B50"/>
    <w:rsid w:val="001608AE"/>
    <w:rsid w:val="001627E8"/>
    <w:rsid w:val="00195739"/>
    <w:rsid w:val="001A3D49"/>
    <w:rsid w:val="001B2BCD"/>
    <w:rsid w:val="001C28E7"/>
    <w:rsid w:val="001D483F"/>
    <w:rsid w:val="001E22D2"/>
    <w:rsid w:val="001F03A8"/>
    <w:rsid w:val="001F3FD5"/>
    <w:rsid w:val="002102D9"/>
    <w:rsid w:val="00212008"/>
    <w:rsid w:val="002207E2"/>
    <w:rsid w:val="00234042"/>
    <w:rsid w:val="00270C63"/>
    <w:rsid w:val="00280C22"/>
    <w:rsid w:val="002960E6"/>
    <w:rsid w:val="002A0E88"/>
    <w:rsid w:val="002A0F0C"/>
    <w:rsid w:val="002A6ABB"/>
    <w:rsid w:val="002B6A92"/>
    <w:rsid w:val="002D3D38"/>
    <w:rsid w:val="002D4F26"/>
    <w:rsid w:val="002E3F20"/>
    <w:rsid w:val="002F7F47"/>
    <w:rsid w:val="00301E18"/>
    <w:rsid w:val="00302966"/>
    <w:rsid w:val="00305B50"/>
    <w:rsid w:val="003330E1"/>
    <w:rsid w:val="00341CD5"/>
    <w:rsid w:val="00342FE6"/>
    <w:rsid w:val="00345EE6"/>
    <w:rsid w:val="0035063D"/>
    <w:rsid w:val="0036022E"/>
    <w:rsid w:val="00362767"/>
    <w:rsid w:val="00364C44"/>
    <w:rsid w:val="00393C04"/>
    <w:rsid w:val="003B1499"/>
    <w:rsid w:val="003B48F4"/>
    <w:rsid w:val="003D183B"/>
    <w:rsid w:val="003E6503"/>
    <w:rsid w:val="003F1B33"/>
    <w:rsid w:val="003F3535"/>
    <w:rsid w:val="003F6BF4"/>
    <w:rsid w:val="00402BA9"/>
    <w:rsid w:val="0040750A"/>
    <w:rsid w:val="00415F60"/>
    <w:rsid w:val="004350A8"/>
    <w:rsid w:val="004363F8"/>
    <w:rsid w:val="00436A0F"/>
    <w:rsid w:val="004414CD"/>
    <w:rsid w:val="004520DE"/>
    <w:rsid w:val="004552EA"/>
    <w:rsid w:val="00467759"/>
    <w:rsid w:val="00472C7E"/>
    <w:rsid w:val="00474E32"/>
    <w:rsid w:val="00475B32"/>
    <w:rsid w:val="004850E4"/>
    <w:rsid w:val="00493FEC"/>
    <w:rsid w:val="004941E1"/>
    <w:rsid w:val="004A01EB"/>
    <w:rsid w:val="004A0510"/>
    <w:rsid w:val="004B5F63"/>
    <w:rsid w:val="004C3064"/>
    <w:rsid w:val="004C3886"/>
    <w:rsid w:val="00511879"/>
    <w:rsid w:val="00516D14"/>
    <w:rsid w:val="00520823"/>
    <w:rsid w:val="005262EE"/>
    <w:rsid w:val="00532A7A"/>
    <w:rsid w:val="00541039"/>
    <w:rsid w:val="00541DAF"/>
    <w:rsid w:val="005451FC"/>
    <w:rsid w:val="00554240"/>
    <w:rsid w:val="00565F76"/>
    <w:rsid w:val="005820C9"/>
    <w:rsid w:val="00583F61"/>
    <w:rsid w:val="0058413B"/>
    <w:rsid w:val="00584DD8"/>
    <w:rsid w:val="005A673E"/>
    <w:rsid w:val="005B6940"/>
    <w:rsid w:val="005C1BD0"/>
    <w:rsid w:val="005E3161"/>
    <w:rsid w:val="005F3F4D"/>
    <w:rsid w:val="0063106D"/>
    <w:rsid w:val="00642B57"/>
    <w:rsid w:val="00664186"/>
    <w:rsid w:val="00681F41"/>
    <w:rsid w:val="00691AE5"/>
    <w:rsid w:val="00693D45"/>
    <w:rsid w:val="0069746E"/>
    <w:rsid w:val="006B14B1"/>
    <w:rsid w:val="006C429A"/>
    <w:rsid w:val="006D6FE2"/>
    <w:rsid w:val="006D7528"/>
    <w:rsid w:val="006E3D80"/>
    <w:rsid w:val="006E5256"/>
    <w:rsid w:val="006F0D93"/>
    <w:rsid w:val="006F6B5C"/>
    <w:rsid w:val="0070249A"/>
    <w:rsid w:val="00717057"/>
    <w:rsid w:val="00736BA6"/>
    <w:rsid w:val="007379A1"/>
    <w:rsid w:val="007439BB"/>
    <w:rsid w:val="007471EF"/>
    <w:rsid w:val="007506AE"/>
    <w:rsid w:val="00754B57"/>
    <w:rsid w:val="00756A5C"/>
    <w:rsid w:val="007655E5"/>
    <w:rsid w:val="00777945"/>
    <w:rsid w:val="0078195E"/>
    <w:rsid w:val="007A09E1"/>
    <w:rsid w:val="007A3E1A"/>
    <w:rsid w:val="007B0A8B"/>
    <w:rsid w:val="007C14D6"/>
    <w:rsid w:val="007C6D20"/>
    <w:rsid w:val="007C6F72"/>
    <w:rsid w:val="007D3F16"/>
    <w:rsid w:val="007E2B72"/>
    <w:rsid w:val="007E757F"/>
    <w:rsid w:val="00807FFE"/>
    <w:rsid w:val="008404C6"/>
    <w:rsid w:val="00844A15"/>
    <w:rsid w:val="0085133F"/>
    <w:rsid w:val="00874727"/>
    <w:rsid w:val="00897BE7"/>
    <w:rsid w:val="008A19E7"/>
    <w:rsid w:val="008F7C47"/>
    <w:rsid w:val="008F7E90"/>
    <w:rsid w:val="00904C16"/>
    <w:rsid w:val="0094244C"/>
    <w:rsid w:val="0095619F"/>
    <w:rsid w:val="00963490"/>
    <w:rsid w:val="00977AF2"/>
    <w:rsid w:val="00980645"/>
    <w:rsid w:val="009A227B"/>
    <w:rsid w:val="009A3FA8"/>
    <w:rsid w:val="009D63D6"/>
    <w:rsid w:val="009F7FC6"/>
    <w:rsid w:val="00A05B67"/>
    <w:rsid w:val="00A11C91"/>
    <w:rsid w:val="00A11F3B"/>
    <w:rsid w:val="00A1451D"/>
    <w:rsid w:val="00A30643"/>
    <w:rsid w:val="00A4447D"/>
    <w:rsid w:val="00A5500A"/>
    <w:rsid w:val="00A7559B"/>
    <w:rsid w:val="00A93304"/>
    <w:rsid w:val="00AA686C"/>
    <w:rsid w:val="00AB287F"/>
    <w:rsid w:val="00AD4124"/>
    <w:rsid w:val="00AE2840"/>
    <w:rsid w:val="00AF1B7E"/>
    <w:rsid w:val="00AF33C3"/>
    <w:rsid w:val="00B00462"/>
    <w:rsid w:val="00B07419"/>
    <w:rsid w:val="00B27896"/>
    <w:rsid w:val="00B4140A"/>
    <w:rsid w:val="00B418A0"/>
    <w:rsid w:val="00B41A57"/>
    <w:rsid w:val="00B573BA"/>
    <w:rsid w:val="00B807C1"/>
    <w:rsid w:val="00B87233"/>
    <w:rsid w:val="00B94449"/>
    <w:rsid w:val="00BA6B0F"/>
    <w:rsid w:val="00BC4F60"/>
    <w:rsid w:val="00BC5A78"/>
    <w:rsid w:val="00BD3963"/>
    <w:rsid w:val="00BD5BF8"/>
    <w:rsid w:val="00BF27EA"/>
    <w:rsid w:val="00BF4199"/>
    <w:rsid w:val="00C32DD1"/>
    <w:rsid w:val="00C354EB"/>
    <w:rsid w:val="00C4251E"/>
    <w:rsid w:val="00C445CC"/>
    <w:rsid w:val="00C50F08"/>
    <w:rsid w:val="00C530BE"/>
    <w:rsid w:val="00C613FC"/>
    <w:rsid w:val="00C70205"/>
    <w:rsid w:val="00C83C9F"/>
    <w:rsid w:val="00C901E4"/>
    <w:rsid w:val="00C9618D"/>
    <w:rsid w:val="00C97238"/>
    <w:rsid w:val="00CA425B"/>
    <w:rsid w:val="00CD3AB6"/>
    <w:rsid w:val="00CD4B4F"/>
    <w:rsid w:val="00CF0B66"/>
    <w:rsid w:val="00CF197F"/>
    <w:rsid w:val="00CF5B31"/>
    <w:rsid w:val="00D17F54"/>
    <w:rsid w:val="00D254D5"/>
    <w:rsid w:val="00D27FC1"/>
    <w:rsid w:val="00D3636E"/>
    <w:rsid w:val="00D519E7"/>
    <w:rsid w:val="00D66D95"/>
    <w:rsid w:val="00D75584"/>
    <w:rsid w:val="00D76321"/>
    <w:rsid w:val="00D87281"/>
    <w:rsid w:val="00D87D95"/>
    <w:rsid w:val="00DA3765"/>
    <w:rsid w:val="00DA55B7"/>
    <w:rsid w:val="00DC0A62"/>
    <w:rsid w:val="00DD1B6E"/>
    <w:rsid w:val="00DD7C1C"/>
    <w:rsid w:val="00DE0306"/>
    <w:rsid w:val="00DE4296"/>
    <w:rsid w:val="00DF4221"/>
    <w:rsid w:val="00E0351F"/>
    <w:rsid w:val="00E05115"/>
    <w:rsid w:val="00E137C4"/>
    <w:rsid w:val="00E15D00"/>
    <w:rsid w:val="00E20C33"/>
    <w:rsid w:val="00E23568"/>
    <w:rsid w:val="00E25042"/>
    <w:rsid w:val="00E315EF"/>
    <w:rsid w:val="00E5148D"/>
    <w:rsid w:val="00E54047"/>
    <w:rsid w:val="00E5620E"/>
    <w:rsid w:val="00E73D3D"/>
    <w:rsid w:val="00E81ECD"/>
    <w:rsid w:val="00EC432D"/>
    <w:rsid w:val="00EC5BAA"/>
    <w:rsid w:val="00EF2D49"/>
    <w:rsid w:val="00EF4B2C"/>
    <w:rsid w:val="00F02755"/>
    <w:rsid w:val="00F42388"/>
    <w:rsid w:val="00F440CB"/>
    <w:rsid w:val="00F47C64"/>
    <w:rsid w:val="00F515E7"/>
    <w:rsid w:val="00F51C73"/>
    <w:rsid w:val="00F55DD6"/>
    <w:rsid w:val="00F61950"/>
    <w:rsid w:val="00F61DA0"/>
    <w:rsid w:val="00F76853"/>
    <w:rsid w:val="00F800C3"/>
    <w:rsid w:val="00F859E0"/>
    <w:rsid w:val="00F860D4"/>
    <w:rsid w:val="00FA1A0D"/>
    <w:rsid w:val="00FA6263"/>
    <w:rsid w:val="00FD5CD5"/>
    <w:rsid w:val="00FE2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 w:type="character" w:customStyle="1" w:styleId="RecommendationChar">
    <w:name w:val="Recommendation Char"/>
    <w:basedOn w:val="DefaultParagraphFont"/>
    <w:link w:val="Recommendation"/>
    <w:locked/>
    <w:rsid w:val="00402BA9"/>
    <w:rPr>
      <w:rFonts w:ascii="Calibri" w:eastAsiaTheme="minorEastAsia" w:hAnsi="Calibri"/>
      <w:sz w:val="24"/>
    </w:rPr>
  </w:style>
  <w:style w:type="paragraph" w:customStyle="1" w:styleId="Recommendation">
    <w:name w:val="Recommendation"/>
    <w:basedOn w:val="Normal"/>
    <w:link w:val="RecommendationChar"/>
    <w:qFormat/>
    <w:rsid w:val="00402BA9"/>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hAnsi="Calibri"/>
      <w:sz w:val="24"/>
      <w:lang w:eastAsia="en-US"/>
    </w:rPr>
  </w:style>
  <w:style w:type="numbering" w:customStyle="1" w:styleId="Recommendations">
    <w:name w:val="Recommendations"/>
    <w:uiPriority w:val="99"/>
    <w:rsid w:val="00402BA9"/>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 w:type="character" w:customStyle="1" w:styleId="RecommendationChar">
    <w:name w:val="Recommendation Char"/>
    <w:basedOn w:val="DefaultParagraphFont"/>
    <w:link w:val="Recommendation"/>
    <w:locked/>
    <w:rsid w:val="00402BA9"/>
    <w:rPr>
      <w:rFonts w:ascii="Calibri" w:eastAsiaTheme="minorEastAsia" w:hAnsi="Calibri"/>
      <w:sz w:val="24"/>
    </w:rPr>
  </w:style>
  <w:style w:type="paragraph" w:customStyle="1" w:styleId="Recommendation">
    <w:name w:val="Recommendation"/>
    <w:basedOn w:val="Normal"/>
    <w:link w:val="RecommendationChar"/>
    <w:qFormat/>
    <w:rsid w:val="00402BA9"/>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hAnsi="Calibri"/>
      <w:sz w:val="24"/>
      <w:lang w:eastAsia="en-US"/>
    </w:rPr>
  </w:style>
  <w:style w:type="numbering" w:customStyle="1" w:styleId="Recommendations">
    <w:name w:val="Recommendations"/>
    <w:uiPriority w:val="99"/>
    <w:rsid w:val="00402BA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392">
      <w:bodyDiv w:val="1"/>
      <w:marLeft w:val="0"/>
      <w:marRight w:val="0"/>
      <w:marTop w:val="0"/>
      <w:marBottom w:val="0"/>
      <w:divBdr>
        <w:top w:val="none" w:sz="0" w:space="0" w:color="auto"/>
        <w:left w:val="none" w:sz="0" w:space="0" w:color="auto"/>
        <w:bottom w:val="none" w:sz="0" w:space="0" w:color="auto"/>
        <w:right w:val="none" w:sz="0" w:space="0" w:color="auto"/>
      </w:divBdr>
    </w:div>
    <w:div w:id="120392828">
      <w:bodyDiv w:val="1"/>
      <w:marLeft w:val="0"/>
      <w:marRight w:val="0"/>
      <w:marTop w:val="0"/>
      <w:marBottom w:val="0"/>
      <w:divBdr>
        <w:top w:val="none" w:sz="0" w:space="0" w:color="auto"/>
        <w:left w:val="none" w:sz="0" w:space="0" w:color="auto"/>
        <w:bottom w:val="none" w:sz="0" w:space="0" w:color="auto"/>
        <w:right w:val="none" w:sz="0" w:space="0" w:color="auto"/>
      </w:divBdr>
      <w:divsChild>
        <w:div w:id="224029238">
          <w:marLeft w:val="0"/>
          <w:marRight w:val="0"/>
          <w:marTop w:val="0"/>
          <w:marBottom w:val="0"/>
          <w:divBdr>
            <w:top w:val="none" w:sz="0" w:space="0" w:color="auto"/>
            <w:left w:val="none" w:sz="0" w:space="0" w:color="auto"/>
            <w:bottom w:val="none" w:sz="0" w:space="0" w:color="auto"/>
            <w:right w:val="none" w:sz="0" w:space="0" w:color="auto"/>
          </w:divBdr>
        </w:div>
        <w:div w:id="481584280">
          <w:marLeft w:val="0"/>
          <w:marRight w:val="0"/>
          <w:marTop w:val="0"/>
          <w:marBottom w:val="0"/>
          <w:divBdr>
            <w:top w:val="none" w:sz="0" w:space="0" w:color="auto"/>
            <w:left w:val="none" w:sz="0" w:space="0" w:color="auto"/>
            <w:bottom w:val="none" w:sz="0" w:space="0" w:color="auto"/>
            <w:right w:val="none" w:sz="0" w:space="0" w:color="auto"/>
          </w:divBdr>
        </w:div>
        <w:div w:id="1041057198">
          <w:marLeft w:val="0"/>
          <w:marRight w:val="0"/>
          <w:marTop w:val="0"/>
          <w:marBottom w:val="0"/>
          <w:divBdr>
            <w:top w:val="none" w:sz="0" w:space="0" w:color="auto"/>
            <w:left w:val="none" w:sz="0" w:space="0" w:color="auto"/>
            <w:bottom w:val="none" w:sz="0" w:space="0" w:color="auto"/>
            <w:right w:val="none" w:sz="0" w:space="0" w:color="auto"/>
          </w:divBdr>
        </w:div>
        <w:div w:id="1314216553">
          <w:marLeft w:val="0"/>
          <w:marRight w:val="0"/>
          <w:marTop w:val="0"/>
          <w:marBottom w:val="0"/>
          <w:divBdr>
            <w:top w:val="none" w:sz="0" w:space="0" w:color="auto"/>
            <w:left w:val="none" w:sz="0" w:space="0" w:color="auto"/>
            <w:bottom w:val="none" w:sz="0" w:space="0" w:color="auto"/>
            <w:right w:val="none" w:sz="0" w:space="0" w:color="auto"/>
          </w:divBdr>
        </w:div>
        <w:div w:id="1341160386">
          <w:marLeft w:val="0"/>
          <w:marRight w:val="0"/>
          <w:marTop w:val="0"/>
          <w:marBottom w:val="0"/>
          <w:divBdr>
            <w:top w:val="none" w:sz="0" w:space="0" w:color="auto"/>
            <w:left w:val="none" w:sz="0" w:space="0" w:color="auto"/>
            <w:bottom w:val="none" w:sz="0" w:space="0" w:color="auto"/>
            <w:right w:val="none" w:sz="0" w:space="0" w:color="auto"/>
          </w:divBdr>
        </w:div>
        <w:div w:id="2122449497">
          <w:marLeft w:val="0"/>
          <w:marRight w:val="0"/>
          <w:marTop w:val="0"/>
          <w:marBottom w:val="0"/>
          <w:divBdr>
            <w:top w:val="none" w:sz="0" w:space="0" w:color="auto"/>
            <w:left w:val="none" w:sz="0" w:space="0" w:color="auto"/>
            <w:bottom w:val="none" w:sz="0" w:space="0" w:color="auto"/>
            <w:right w:val="none" w:sz="0" w:space="0" w:color="auto"/>
          </w:divBdr>
        </w:div>
      </w:divsChild>
    </w:div>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509371338">
      <w:bodyDiv w:val="1"/>
      <w:marLeft w:val="0"/>
      <w:marRight w:val="0"/>
      <w:marTop w:val="0"/>
      <w:marBottom w:val="0"/>
      <w:divBdr>
        <w:top w:val="none" w:sz="0" w:space="0" w:color="auto"/>
        <w:left w:val="none" w:sz="0" w:space="0" w:color="auto"/>
        <w:bottom w:val="none" w:sz="0" w:space="0" w:color="auto"/>
        <w:right w:val="none" w:sz="0" w:space="0" w:color="auto"/>
      </w:divBdr>
    </w:div>
    <w:div w:id="1076629588">
      <w:bodyDiv w:val="1"/>
      <w:marLeft w:val="0"/>
      <w:marRight w:val="0"/>
      <w:marTop w:val="0"/>
      <w:marBottom w:val="0"/>
      <w:divBdr>
        <w:top w:val="none" w:sz="0" w:space="0" w:color="auto"/>
        <w:left w:val="none" w:sz="0" w:space="0" w:color="auto"/>
        <w:bottom w:val="none" w:sz="0" w:space="0" w:color="auto"/>
        <w:right w:val="none" w:sz="0" w:space="0" w:color="auto"/>
      </w:divBdr>
    </w:div>
    <w:div w:id="1104768789">
      <w:bodyDiv w:val="1"/>
      <w:marLeft w:val="0"/>
      <w:marRight w:val="0"/>
      <w:marTop w:val="0"/>
      <w:marBottom w:val="0"/>
      <w:divBdr>
        <w:top w:val="none" w:sz="0" w:space="0" w:color="auto"/>
        <w:left w:val="none" w:sz="0" w:space="0" w:color="auto"/>
        <w:bottom w:val="none" w:sz="0" w:space="0" w:color="auto"/>
        <w:right w:val="none" w:sz="0" w:space="0" w:color="auto"/>
      </w:divBdr>
      <w:divsChild>
        <w:div w:id="775829517">
          <w:marLeft w:val="0"/>
          <w:marRight w:val="0"/>
          <w:marTop w:val="0"/>
          <w:marBottom w:val="0"/>
          <w:divBdr>
            <w:top w:val="none" w:sz="0" w:space="0" w:color="auto"/>
            <w:left w:val="none" w:sz="0" w:space="0" w:color="auto"/>
            <w:bottom w:val="none" w:sz="0" w:space="0" w:color="auto"/>
            <w:right w:val="none" w:sz="0" w:space="0" w:color="auto"/>
          </w:divBdr>
        </w:div>
        <w:div w:id="879364272">
          <w:marLeft w:val="0"/>
          <w:marRight w:val="0"/>
          <w:marTop w:val="0"/>
          <w:marBottom w:val="0"/>
          <w:divBdr>
            <w:top w:val="none" w:sz="0" w:space="0" w:color="auto"/>
            <w:left w:val="none" w:sz="0" w:space="0" w:color="auto"/>
            <w:bottom w:val="none" w:sz="0" w:space="0" w:color="auto"/>
            <w:right w:val="none" w:sz="0" w:space="0" w:color="auto"/>
          </w:divBdr>
        </w:div>
        <w:div w:id="933246480">
          <w:marLeft w:val="0"/>
          <w:marRight w:val="0"/>
          <w:marTop w:val="0"/>
          <w:marBottom w:val="0"/>
          <w:divBdr>
            <w:top w:val="none" w:sz="0" w:space="0" w:color="auto"/>
            <w:left w:val="none" w:sz="0" w:space="0" w:color="auto"/>
            <w:bottom w:val="none" w:sz="0" w:space="0" w:color="auto"/>
            <w:right w:val="none" w:sz="0" w:space="0" w:color="auto"/>
          </w:divBdr>
        </w:div>
        <w:div w:id="1683701509">
          <w:marLeft w:val="0"/>
          <w:marRight w:val="0"/>
          <w:marTop w:val="0"/>
          <w:marBottom w:val="0"/>
          <w:divBdr>
            <w:top w:val="none" w:sz="0" w:space="0" w:color="auto"/>
            <w:left w:val="none" w:sz="0" w:space="0" w:color="auto"/>
            <w:bottom w:val="none" w:sz="0" w:space="0" w:color="auto"/>
            <w:right w:val="none" w:sz="0" w:space="0" w:color="auto"/>
          </w:divBdr>
        </w:div>
        <w:div w:id="1842574789">
          <w:marLeft w:val="0"/>
          <w:marRight w:val="0"/>
          <w:marTop w:val="0"/>
          <w:marBottom w:val="0"/>
          <w:divBdr>
            <w:top w:val="none" w:sz="0" w:space="0" w:color="auto"/>
            <w:left w:val="none" w:sz="0" w:space="0" w:color="auto"/>
            <w:bottom w:val="none" w:sz="0" w:space="0" w:color="auto"/>
            <w:right w:val="none" w:sz="0" w:space="0" w:color="auto"/>
          </w:divBdr>
        </w:div>
        <w:div w:id="1978604185">
          <w:marLeft w:val="0"/>
          <w:marRight w:val="0"/>
          <w:marTop w:val="0"/>
          <w:marBottom w:val="0"/>
          <w:divBdr>
            <w:top w:val="none" w:sz="0" w:space="0" w:color="auto"/>
            <w:left w:val="none" w:sz="0" w:space="0" w:color="auto"/>
            <w:bottom w:val="none" w:sz="0" w:space="0" w:color="auto"/>
            <w:right w:val="none" w:sz="0" w:space="0" w:color="auto"/>
          </w:divBdr>
        </w:div>
      </w:divsChild>
    </w:div>
    <w:div w:id="1470971772">
      <w:bodyDiv w:val="1"/>
      <w:marLeft w:val="0"/>
      <w:marRight w:val="0"/>
      <w:marTop w:val="0"/>
      <w:marBottom w:val="0"/>
      <w:divBdr>
        <w:top w:val="none" w:sz="0" w:space="0" w:color="auto"/>
        <w:left w:val="none" w:sz="0" w:space="0" w:color="auto"/>
        <w:bottom w:val="none" w:sz="0" w:space="0" w:color="auto"/>
        <w:right w:val="none" w:sz="0" w:space="0" w:color="auto"/>
      </w:divBdr>
    </w:div>
    <w:div w:id="1975139888">
      <w:bodyDiv w:val="1"/>
      <w:marLeft w:val="0"/>
      <w:marRight w:val="0"/>
      <w:marTop w:val="0"/>
      <w:marBottom w:val="0"/>
      <w:divBdr>
        <w:top w:val="none" w:sz="0" w:space="0" w:color="auto"/>
        <w:left w:val="none" w:sz="0" w:space="0" w:color="auto"/>
        <w:bottom w:val="none" w:sz="0" w:space="0" w:color="auto"/>
        <w:right w:val="none" w:sz="0" w:space="0" w:color="auto"/>
      </w:divBdr>
    </w:div>
    <w:div w:id="20676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gration@communication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ccc.gov.au/system/files/Submission%20from%20Department%20of%20Communications.pdf" TargetMode="External"/><Relationship Id="rId3" Type="http://schemas.openxmlformats.org/officeDocument/2006/relationships/hyperlink" Target="https://www.scamwatch.gov.au/" TargetMode="External"/><Relationship Id="rId7" Type="http://schemas.openxmlformats.org/officeDocument/2006/relationships/hyperlink" Target="https://accc.gov.au/regulated-infrastructure/communications/industry-reform/telstras-migration-plan/transitional-arrangements-for-in-train-orders-fire-alarm-and-lift-phone-services" TargetMode="External"/><Relationship Id="rId2" Type="http://schemas.openxmlformats.org/officeDocument/2006/relationships/hyperlink" Target="http://retune.digitalready.gov.au/" TargetMode="External"/><Relationship Id="rId1" Type="http://schemas.openxmlformats.org/officeDocument/2006/relationships/hyperlink" Target="https://accan.org.au/files/Broadbanding_Brunswick.pdf" TargetMode="External"/><Relationship Id="rId6" Type="http://schemas.openxmlformats.org/officeDocument/2006/relationships/hyperlink" Target="http://www.consumer.vic.gov.au/resources-and-education/consumers-with-a-disability/easy-english-factsheets" TargetMode="External"/><Relationship Id="rId5" Type="http://schemas.openxmlformats.org/officeDocument/2006/relationships/hyperlink" Target="http://www.mediaaccess.org.au/" TargetMode="External"/><Relationship Id="rId4" Type="http://schemas.openxmlformats.org/officeDocument/2006/relationships/hyperlink" Target="http://www.abs.gov.au/ausstats/abs@.nsf/Lookup/4228.0main+features992011-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A432-3CDC-4C81-81A2-70D379A6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Template>
  <TotalTime>1</TotalTime>
  <Pages>3</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2</cp:revision>
  <cp:lastPrinted>2015-08-19T06:15:00Z</cp:lastPrinted>
  <dcterms:created xsi:type="dcterms:W3CDTF">2015-08-20T00:22:00Z</dcterms:created>
  <dcterms:modified xsi:type="dcterms:W3CDTF">2015-08-20T00:22:00Z</dcterms:modified>
</cp:coreProperties>
</file>