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C9" w:rsidRDefault="005820C9" w:rsidP="007D3F16">
      <w:pPr>
        <w:spacing w:after="0"/>
        <w:sectPr w:rsidR="005820C9" w:rsidSect="00002D94">
          <w:headerReference w:type="default" r:id="rId9"/>
          <w:footerReference w:type="default" r:id="rId10"/>
          <w:type w:val="continuous"/>
          <w:pgSz w:w="11906" w:h="16838" w:code="9"/>
          <w:pgMar w:top="1824" w:right="707" w:bottom="567" w:left="1134" w:header="567" w:footer="1474" w:gutter="0"/>
          <w:cols w:space="708"/>
          <w:docGrid w:linePitch="360"/>
        </w:sectPr>
      </w:pPr>
    </w:p>
    <w:p w:rsidR="00DD1B6E" w:rsidRDefault="00247C80" w:rsidP="00DD1B6E">
      <w:pPr>
        <w:spacing w:after="0"/>
        <w:rPr>
          <w:sz w:val="23"/>
          <w:szCs w:val="23"/>
        </w:rPr>
      </w:pPr>
      <w:r>
        <w:rPr>
          <w:sz w:val="23"/>
          <w:szCs w:val="23"/>
        </w:rPr>
        <w:lastRenderedPageBreak/>
        <w:t>12 August 2016</w:t>
      </w:r>
    </w:p>
    <w:p w:rsidR="00DD1B6E" w:rsidRDefault="00DD1B6E" w:rsidP="00DD1B6E">
      <w:pPr>
        <w:spacing w:after="0"/>
        <w:rPr>
          <w:sz w:val="23"/>
          <w:szCs w:val="23"/>
        </w:rPr>
      </w:pPr>
    </w:p>
    <w:p w:rsidR="00DD1B6E" w:rsidRDefault="00247C80" w:rsidP="00DD1B6E">
      <w:pPr>
        <w:spacing w:after="0"/>
        <w:rPr>
          <w:sz w:val="23"/>
          <w:szCs w:val="23"/>
        </w:rPr>
      </w:pPr>
      <w:r>
        <w:rPr>
          <w:sz w:val="23"/>
          <w:szCs w:val="23"/>
        </w:rPr>
        <w:t>Louise Courtney</w:t>
      </w:r>
    </w:p>
    <w:p w:rsidR="00247C80" w:rsidRDefault="00247C80" w:rsidP="00DD1B6E">
      <w:pPr>
        <w:spacing w:after="0"/>
        <w:rPr>
          <w:sz w:val="23"/>
          <w:szCs w:val="23"/>
        </w:rPr>
      </w:pPr>
      <w:r>
        <w:rPr>
          <w:sz w:val="23"/>
          <w:szCs w:val="23"/>
        </w:rPr>
        <w:t>Director, Unsolicited Communications</w:t>
      </w:r>
    </w:p>
    <w:p w:rsidR="00DD1B6E" w:rsidRDefault="00247C80" w:rsidP="00DD1B6E">
      <w:pPr>
        <w:spacing w:after="0"/>
        <w:rPr>
          <w:sz w:val="23"/>
          <w:szCs w:val="23"/>
        </w:rPr>
      </w:pPr>
      <w:r>
        <w:rPr>
          <w:sz w:val="23"/>
          <w:szCs w:val="23"/>
        </w:rPr>
        <w:t>Department of Communications and the Arts</w:t>
      </w:r>
    </w:p>
    <w:p w:rsidR="00DD1B6E" w:rsidRDefault="00247C80" w:rsidP="00DD1B6E">
      <w:pPr>
        <w:spacing w:after="0"/>
        <w:rPr>
          <w:sz w:val="23"/>
          <w:szCs w:val="23"/>
        </w:rPr>
      </w:pPr>
      <w:r>
        <w:rPr>
          <w:sz w:val="23"/>
          <w:szCs w:val="23"/>
        </w:rPr>
        <w:t>38 Sydney Avenue, Forrest ACT 2603</w:t>
      </w:r>
    </w:p>
    <w:p w:rsidR="00DD1B6E" w:rsidRDefault="00DD1B6E" w:rsidP="00DD1B6E">
      <w:pPr>
        <w:spacing w:after="0"/>
        <w:rPr>
          <w:sz w:val="23"/>
          <w:szCs w:val="23"/>
        </w:rPr>
      </w:pPr>
    </w:p>
    <w:p w:rsidR="00DD1B6E" w:rsidRDefault="00247C80" w:rsidP="00DD1B6E">
      <w:pPr>
        <w:spacing w:after="0"/>
        <w:rPr>
          <w:sz w:val="23"/>
          <w:szCs w:val="23"/>
        </w:rPr>
      </w:pPr>
      <w:r>
        <w:rPr>
          <w:sz w:val="23"/>
          <w:szCs w:val="23"/>
        </w:rPr>
        <w:t>Via email: Louise.Courtney@communications.gov.au</w:t>
      </w:r>
    </w:p>
    <w:p w:rsidR="00DD1B6E" w:rsidRDefault="00DD1B6E" w:rsidP="00DD1B6E">
      <w:pPr>
        <w:spacing w:after="0"/>
        <w:rPr>
          <w:rFonts w:cstheme="minorHAnsi"/>
        </w:rPr>
      </w:pPr>
    </w:p>
    <w:p w:rsidR="00EA1A1B" w:rsidRPr="00EA1A1B" w:rsidRDefault="00EA1A1B" w:rsidP="00DD1B6E">
      <w:pPr>
        <w:pStyle w:val="BodyText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Re: Do Not Call Register Regulations 2006</w:t>
      </w:r>
    </w:p>
    <w:p w:rsidR="00C250E2" w:rsidRDefault="00DD1B6E" w:rsidP="00DD1B6E">
      <w:pPr>
        <w:pStyle w:val="BodyText1"/>
        <w:rPr>
          <w:rFonts w:asciiTheme="minorHAnsi" w:hAnsiTheme="minorHAnsi"/>
        </w:rPr>
      </w:pPr>
      <w:r w:rsidRPr="00247C80">
        <w:rPr>
          <w:rFonts w:asciiTheme="minorHAnsi" w:hAnsiTheme="minorHAnsi"/>
        </w:rPr>
        <w:t xml:space="preserve">ACCAN thanks the </w:t>
      </w:r>
      <w:r w:rsidR="00247C80">
        <w:rPr>
          <w:rFonts w:asciiTheme="minorHAnsi" w:hAnsiTheme="minorHAnsi"/>
        </w:rPr>
        <w:t>Department of Communications and the Arts (the Department)</w:t>
      </w:r>
      <w:r w:rsidRPr="00247C80">
        <w:rPr>
          <w:rFonts w:asciiTheme="minorHAnsi" w:hAnsiTheme="minorHAnsi"/>
        </w:rPr>
        <w:t xml:space="preserve"> for the opportunity</w:t>
      </w:r>
      <w:r w:rsidR="00247C80">
        <w:rPr>
          <w:rFonts w:asciiTheme="minorHAnsi" w:hAnsiTheme="minorHAnsi"/>
        </w:rPr>
        <w:t xml:space="preserve"> to provide feedback on whether </w:t>
      </w:r>
      <w:proofErr w:type="spellStart"/>
      <w:r w:rsidR="00247C80">
        <w:rPr>
          <w:rFonts w:asciiTheme="minorHAnsi" w:hAnsiTheme="minorHAnsi"/>
        </w:rPr>
        <w:t>the</w:t>
      </w:r>
      <w:proofErr w:type="spellEnd"/>
      <w:r w:rsidR="00247C80">
        <w:rPr>
          <w:rFonts w:asciiTheme="minorHAnsi" w:hAnsiTheme="minorHAnsi"/>
        </w:rPr>
        <w:t xml:space="preserve"> </w:t>
      </w:r>
      <w:r w:rsidR="00247C80">
        <w:rPr>
          <w:rFonts w:asciiTheme="minorHAnsi" w:hAnsiTheme="minorHAnsi"/>
          <w:i/>
        </w:rPr>
        <w:t>Do Not Call Register Regulations 2006</w:t>
      </w:r>
      <w:r w:rsidR="00247C80">
        <w:rPr>
          <w:rFonts w:asciiTheme="minorHAnsi" w:hAnsiTheme="minorHAnsi"/>
        </w:rPr>
        <w:t xml:space="preserve"> (the Regulations) continue to play a valuable role in relation to telemarketing. ACCAN believes that the Regulations con</w:t>
      </w:r>
      <w:r w:rsidR="00B20508">
        <w:rPr>
          <w:rFonts w:asciiTheme="minorHAnsi" w:hAnsiTheme="minorHAnsi"/>
        </w:rPr>
        <w:t>tinue to play</w:t>
      </w:r>
      <w:r w:rsidR="003B0C95">
        <w:rPr>
          <w:rFonts w:asciiTheme="minorHAnsi" w:hAnsiTheme="minorHAnsi"/>
        </w:rPr>
        <w:t xml:space="preserve"> an important role</w:t>
      </w:r>
      <w:r w:rsidR="00F00441">
        <w:rPr>
          <w:rFonts w:asciiTheme="minorHAnsi" w:hAnsiTheme="minorHAnsi"/>
        </w:rPr>
        <w:t xml:space="preserve">, but that </w:t>
      </w:r>
      <w:r w:rsidR="00E907E7">
        <w:rPr>
          <w:rFonts w:asciiTheme="minorHAnsi" w:hAnsiTheme="minorHAnsi"/>
        </w:rPr>
        <w:t xml:space="preserve">certain amendments should be considered. </w:t>
      </w:r>
    </w:p>
    <w:p w:rsidR="00D32AB1" w:rsidRDefault="00D32AB1" w:rsidP="00D32AB1">
      <w:pPr>
        <w:pStyle w:val="BodyText1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Restrictions on the frequency and amount of calls</w:t>
      </w:r>
    </w:p>
    <w:p w:rsidR="00D32AB1" w:rsidRPr="00175538" w:rsidRDefault="00D32AB1" w:rsidP="00D32AB1">
      <w:pPr>
        <w:pStyle w:val="BodyText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ACCAN submits that the Regulations should be amended to limit the amount of times an organisation can call someone on the DNCR within a certain time period, unless there is good reason to make multiple calls (i.e. following up on a reported fault with a service) or unless the recipient has explicitly consented to receiving multiple calls. This restriction should also extend to those people and organisations exempted under Schedule 1 of the Act. This will prevent consumers getting multiple calls on the same topic or from the same charity, political party, or other organisation or individual.  </w:t>
      </w:r>
    </w:p>
    <w:p w:rsidR="00D32AB1" w:rsidRPr="000309B3" w:rsidRDefault="00D32AB1" w:rsidP="00D32AB1">
      <w:pPr>
        <w:pStyle w:val="BodyText1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Definition of the timeframe in which a call is permitted</w:t>
      </w:r>
    </w:p>
    <w:p w:rsidR="00D32AB1" w:rsidRPr="00247C80" w:rsidRDefault="00D32AB1" w:rsidP="00D32AB1">
      <w:pPr>
        <w:pStyle w:val="BodyText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ACCAN has concerns that section 7 of the Regulations (</w:t>
      </w:r>
      <w:r>
        <w:rPr>
          <w:rFonts w:asciiTheme="minorHAnsi" w:hAnsiTheme="minorHAnsi"/>
          <w:i/>
        </w:rPr>
        <w:t>Solicited calls)</w:t>
      </w:r>
      <w:r>
        <w:rPr>
          <w:rFonts w:asciiTheme="minorHAnsi" w:hAnsiTheme="minorHAnsi"/>
        </w:rPr>
        <w:t xml:space="preserve"> does not define in clear enough terms the timeframe in which a call can be made after the original inquiry or request from the customer. Section (7</w:t>
      </w:r>
      <w:proofErr w:type="gramStart"/>
      <w:r>
        <w:rPr>
          <w:rFonts w:asciiTheme="minorHAnsi" w:hAnsiTheme="minorHAnsi"/>
        </w:rPr>
        <w:t>)(</w:t>
      </w:r>
      <w:proofErr w:type="gramEnd"/>
      <w:r>
        <w:rPr>
          <w:rFonts w:asciiTheme="minorHAnsi" w:hAnsiTheme="minorHAnsi"/>
        </w:rPr>
        <w:t xml:space="preserve">d) requires that “the call is made within a reasonable time after the inquiry, order or request…” however the examples do not give any indication of what is a reasonable timeframe. This vagueness can lead to issues when telemarketers claim </w:t>
      </w:r>
      <w:r w:rsidR="00F018D9">
        <w:rPr>
          <w:rFonts w:asciiTheme="minorHAnsi" w:hAnsiTheme="minorHAnsi"/>
        </w:rPr>
        <w:t>they</w:t>
      </w:r>
      <w:r>
        <w:rPr>
          <w:rFonts w:asciiTheme="minorHAnsi" w:hAnsiTheme="minorHAnsi"/>
        </w:rPr>
        <w:t xml:space="preserve"> have a relationship with a customer even when the request is no longer current or valid. ACCAN suggests that the examples are amended to include examples of reasonable timeframes. </w:t>
      </w:r>
    </w:p>
    <w:p w:rsidR="000309B3" w:rsidRDefault="00E907E7" w:rsidP="00DD1B6E">
      <w:pPr>
        <w:pStyle w:val="BodyText1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Other issues for potential review: p</w:t>
      </w:r>
      <w:r w:rsidR="00F018D9">
        <w:rPr>
          <w:rFonts w:asciiTheme="minorHAnsi" w:hAnsiTheme="minorHAnsi"/>
          <w:i/>
        </w:rPr>
        <w:t>olitical and charity calls</w:t>
      </w:r>
    </w:p>
    <w:p w:rsidR="00F00441" w:rsidRDefault="00F00441" w:rsidP="00DD1B6E">
      <w:pPr>
        <w:pStyle w:val="BodyText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Although out of the scope of your request for feedback on the Regulations, ACCAN </w:t>
      </w:r>
      <w:r w:rsidR="004433C4">
        <w:rPr>
          <w:rFonts w:asciiTheme="minorHAnsi" w:hAnsiTheme="minorHAnsi"/>
        </w:rPr>
        <w:t>believes</w:t>
      </w:r>
      <w:r>
        <w:rPr>
          <w:rFonts w:asciiTheme="minorHAnsi" w:hAnsiTheme="minorHAnsi"/>
        </w:rPr>
        <w:t xml:space="preserve"> the ways in which calls are made by organisations exempt from the Act should also be reviewed. </w:t>
      </w:r>
    </w:p>
    <w:p w:rsidR="00FC71D2" w:rsidRDefault="00C62B4A" w:rsidP="00DD1B6E">
      <w:pPr>
        <w:pStyle w:val="BodyText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per Schedule 1 of the </w:t>
      </w:r>
      <w:r>
        <w:rPr>
          <w:rFonts w:asciiTheme="minorHAnsi" w:hAnsiTheme="minorHAnsi"/>
          <w:i/>
        </w:rPr>
        <w:t>Do Not Call Register Act 2006</w:t>
      </w:r>
      <w:r w:rsidR="005055D0">
        <w:rPr>
          <w:rFonts w:asciiTheme="minorHAnsi" w:hAnsiTheme="minorHAnsi"/>
          <w:i/>
        </w:rPr>
        <w:t xml:space="preserve"> </w:t>
      </w:r>
      <w:r w:rsidR="005055D0">
        <w:rPr>
          <w:rFonts w:asciiTheme="minorHAnsi" w:hAnsiTheme="minorHAnsi"/>
        </w:rPr>
        <w:t>(the Act)</w:t>
      </w:r>
      <w:r>
        <w:rPr>
          <w:rFonts w:asciiTheme="minorHAnsi" w:hAnsiTheme="minorHAnsi"/>
        </w:rPr>
        <w:t xml:space="preserve"> calls that are authorised by political parties, Members of Parliament, or parliamentary candidates can be deemed </w:t>
      </w:r>
      <w:r w:rsidR="006642AE">
        <w:rPr>
          <w:rFonts w:asciiTheme="minorHAnsi" w:hAnsiTheme="minorHAnsi"/>
        </w:rPr>
        <w:t>‘</w:t>
      </w:r>
      <w:r>
        <w:rPr>
          <w:rFonts w:asciiTheme="minorHAnsi" w:hAnsiTheme="minorHAnsi"/>
        </w:rPr>
        <w:t>designated telemarketing calls</w:t>
      </w:r>
      <w:r w:rsidR="006642AE">
        <w:rPr>
          <w:rFonts w:asciiTheme="minorHAnsi" w:hAnsiTheme="minorHAnsi"/>
        </w:rPr>
        <w:t>’</w:t>
      </w:r>
      <w:r>
        <w:rPr>
          <w:rFonts w:asciiTheme="minorHAnsi" w:hAnsiTheme="minorHAnsi"/>
        </w:rPr>
        <w:t>. However, the legislation does not restrict th</w:t>
      </w:r>
      <w:r w:rsidR="00930892">
        <w:rPr>
          <w:rFonts w:asciiTheme="minorHAnsi" w:hAnsiTheme="minorHAnsi"/>
        </w:rPr>
        <w:t>e use of pre-recorded calls or ‘</w:t>
      </w:r>
      <w:proofErr w:type="spellStart"/>
      <w:r w:rsidR="00930892">
        <w:rPr>
          <w:rFonts w:asciiTheme="minorHAnsi" w:hAnsiTheme="minorHAnsi"/>
        </w:rPr>
        <w:t>robo</w:t>
      </w:r>
      <w:proofErr w:type="spellEnd"/>
      <w:r w:rsidR="00930892">
        <w:rPr>
          <w:rFonts w:asciiTheme="minorHAnsi" w:hAnsiTheme="minorHAnsi"/>
        </w:rPr>
        <w:t>-</w:t>
      </w:r>
      <w:r w:rsidR="00930892">
        <w:rPr>
          <w:rFonts w:asciiTheme="minorHAnsi" w:hAnsiTheme="minorHAnsi"/>
        </w:rPr>
        <w:lastRenderedPageBreak/>
        <w:t>calls’</w:t>
      </w:r>
      <w:r>
        <w:rPr>
          <w:rFonts w:asciiTheme="minorHAnsi" w:hAnsiTheme="minorHAnsi"/>
        </w:rPr>
        <w:t xml:space="preserve"> being made to numbers on the DNCR. This issue was made apparent during this years’ election campaign</w:t>
      </w:r>
      <w:r w:rsidR="005055D0">
        <w:rPr>
          <w:rFonts w:asciiTheme="minorHAnsi" w:hAnsiTheme="minorHAnsi"/>
        </w:rPr>
        <w:t xml:space="preserve"> when </w:t>
      </w:r>
      <w:r w:rsidR="009C0013">
        <w:rPr>
          <w:rFonts w:asciiTheme="minorHAnsi" w:hAnsiTheme="minorHAnsi"/>
        </w:rPr>
        <w:t>political parties were able to contact consumers who had unlisted numbers and were on the DNCR.</w:t>
      </w:r>
      <w:r w:rsidR="005055D0">
        <w:rPr>
          <w:rFonts w:asciiTheme="minorHAnsi" w:hAnsiTheme="minorHAnsi"/>
        </w:rPr>
        <w:t xml:space="preserve"> </w:t>
      </w:r>
      <w:r w:rsidR="00F018D9">
        <w:rPr>
          <w:rFonts w:asciiTheme="minorHAnsi" w:hAnsiTheme="minorHAnsi"/>
        </w:rPr>
        <w:t xml:space="preserve">At the time </w:t>
      </w:r>
      <w:r w:rsidR="00FC71D2">
        <w:rPr>
          <w:rFonts w:asciiTheme="minorHAnsi" w:hAnsiTheme="minorHAnsi"/>
        </w:rPr>
        <w:t xml:space="preserve">Prime Minister Malcolm Turnbull </w:t>
      </w:r>
      <w:r w:rsidR="00F018D9">
        <w:rPr>
          <w:rFonts w:asciiTheme="minorHAnsi" w:hAnsiTheme="minorHAnsi"/>
        </w:rPr>
        <w:t>stated</w:t>
      </w:r>
      <w:r w:rsidR="00FC71D2">
        <w:rPr>
          <w:rFonts w:asciiTheme="minorHAnsi" w:hAnsiTheme="minorHAnsi"/>
        </w:rPr>
        <w:t xml:space="preserve"> that </w:t>
      </w:r>
      <w:proofErr w:type="spellStart"/>
      <w:r w:rsidR="00FC71D2">
        <w:rPr>
          <w:rFonts w:asciiTheme="minorHAnsi" w:hAnsiTheme="minorHAnsi"/>
        </w:rPr>
        <w:t>robo</w:t>
      </w:r>
      <w:proofErr w:type="spellEnd"/>
      <w:r w:rsidR="00FC71D2">
        <w:rPr>
          <w:rFonts w:asciiTheme="minorHAnsi" w:hAnsiTheme="minorHAnsi"/>
        </w:rPr>
        <w:t>-calls are a potential electoral reform</w:t>
      </w:r>
      <w:r w:rsidR="00F018D9">
        <w:rPr>
          <w:rFonts w:asciiTheme="minorHAnsi" w:hAnsiTheme="minorHAnsi"/>
        </w:rPr>
        <w:t xml:space="preserve"> issue, following the</w:t>
      </w:r>
      <w:r w:rsidR="00FC71D2">
        <w:rPr>
          <w:rFonts w:asciiTheme="minorHAnsi" w:hAnsiTheme="minorHAnsi"/>
        </w:rPr>
        <w:t xml:space="preserve"> SMS that was sent to voters on election night, allegedly from Medicare.</w:t>
      </w:r>
      <w:r w:rsidR="00FC71D2">
        <w:rPr>
          <w:rStyle w:val="FootnoteReference"/>
          <w:rFonts w:asciiTheme="minorHAnsi" w:hAnsiTheme="minorHAnsi"/>
        </w:rPr>
        <w:footnoteReference w:id="1"/>
      </w:r>
      <w:r w:rsidR="00FC71D2">
        <w:rPr>
          <w:rFonts w:asciiTheme="minorHAnsi" w:hAnsiTheme="minorHAnsi"/>
        </w:rPr>
        <w:t xml:space="preserve"> </w:t>
      </w:r>
    </w:p>
    <w:p w:rsidR="00F018D9" w:rsidRDefault="00395509" w:rsidP="00DD1B6E">
      <w:pPr>
        <w:pStyle w:val="BodyText1"/>
        <w:rPr>
          <w:rFonts w:asciiTheme="minorHAnsi" w:hAnsiTheme="minorHAnsi"/>
        </w:rPr>
      </w:pPr>
      <w:r>
        <w:rPr>
          <w:rFonts w:asciiTheme="minorHAnsi" w:hAnsiTheme="minorHAnsi"/>
        </w:rPr>
        <w:t>To ACCAN, t</w:t>
      </w:r>
      <w:r w:rsidR="00F018D9">
        <w:rPr>
          <w:rFonts w:asciiTheme="minorHAnsi" w:hAnsiTheme="minorHAnsi"/>
        </w:rPr>
        <w:t xml:space="preserve">wo of the major issues with pre-recorded calls are: </w:t>
      </w:r>
    </w:p>
    <w:p w:rsidR="00F018D9" w:rsidRDefault="00395509" w:rsidP="00DD1B6E">
      <w:pPr>
        <w:pStyle w:val="BodyText1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5055D0" w:rsidRPr="00F018D9">
        <w:rPr>
          <w:rFonts w:asciiTheme="minorHAnsi" w:hAnsiTheme="minorHAnsi"/>
        </w:rPr>
        <w:t xml:space="preserve">or the most part </w:t>
      </w:r>
      <w:r>
        <w:rPr>
          <w:rFonts w:asciiTheme="minorHAnsi" w:hAnsiTheme="minorHAnsi"/>
        </w:rPr>
        <w:t xml:space="preserve">they </w:t>
      </w:r>
      <w:r w:rsidR="005055D0" w:rsidRPr="00F018D9">
        <w:rPr>
          <w:rFonts w:asciiTheme="minorHAnsi" w:hAnsiTheme="minorHAnsi"/>
        </w:rPr>
        <w:t>do not all</w:t>
      </w:r>
      <w:r w:rsidR="006642AE" w:rsidRPr="00F018D9">
        <w:rPr>
          <w:rFonts w:asciiTheme="minorHAnsi" w:hAnsiTheme="minorHAnsi"/>
        </w:rPr>
        <w:t>ow the recipient to object</w:t>
      </w:r>
      <w:r w:rsidR="00F00441" w:rsidRPr="00F018D9">
        <w:rPr>
          <w:rFonts w:asciiTheme="minorHAnsi" w:hAnsiTheme="minorHAnsi"/>
        </w:rPr>
        <w:t xml:space="preserve"> or ask for their number</w:t>
      </w:r>
      <w:r w:rsidR="006642AE" w:rsidRPr="00F018D9">
        <w:rPr>
          <w:rFonts w:asciiTheme="minorHAnsi" w:hAnsiTheme="minorHAnsi"/>
        </w:rPr>
        <w:t xml:space="preserve"> to be removed from any list</w:t>
      </w:r>
      <w:r w:rsidR="005055D0" w:rsidRPr="00F018D9">
        <w:rPr>
          <w:rFonts w:asciiTheme="minorHAnsi" w:hAnsiTheme="minorHAnsi"/>
        </w:rPr>
        <w:t xml:space="preserve"> (</w:t>
      </w:r>
      <w:r w:rsidR="00F00441" w:rsidRPr="00F018D9">
        <w:rPr>
          <w:rFonts w:asciiTheme="minorHAnsi" w:hAnsiTheme="minorHAnsi"/>
        </w:rPr>
        <w:t>the only option being to hang up</w:t>
      </w:r>
      <w:r w:rsidR="005055D0" w:rsidRPr="00F018D9">
        <w:rPr>
          <w:rFonts w:asciiTheme="minorHAnsi" w:hAnsiTheme="minorHAnsi"/>
        </w:rPr>
        <w:t>). Consumer</w:t>
      </w:r>
      <w:r w:rsidR="00F00441" w:rsidRPr="00F018D9">
        <w:rPr>
          <w:rFonts w:asciiTheme="minorHAnsi" w:hAnsiTheme="minorHAnsi"/>
        </w:rPr>
        <w:t>s</w:t>
      </w:r>
      <w:r w:rsidR="005055D0" w:rsidRPr="00F018D9">
        <w:rPr>
          <w:rFonts w:asciiTheme="minorHAnsi" w:hAnsiTheme="minorHAnsi"/>
        </w:rPr>
        <w:t xml:space="preserve"> should be able to reject calls</w:t>
      </w:r>
      <w:r>
        <w:rPr>
          <w:rFonts w:asciiTheme="minorHAnsi" w:hAnsiTheme="minorHAnsi"/>
        </w:rPr>
        <w:t>, ask questions,</w:t>
      </w:r>
      <w:r w:rsidR="005055D0" w:rsidRPr="00F018D9">
        <w:rPr>
          <w:rFonts w:asciiTheme="minorHAnsi" w:hAnsiTheme="minorHAnsi"/>
        </w:rPr>
        <w:t xml:space="preserve"> and request that they are not contacted again. </w:t>
      </w:r>
    </w:p>
    <w:p w:rsidR="005055D0" w:rsidRPr="00F018D9" w:rsidRDefault="00F018D9" w:rsidP="00DD1B6E">
      <w:pPr>
        <w:pStyle w:val="BodyText1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They</w:t>
      </w:r>
      <w:r w:rsidR="00395509">
        <w:rPr>
          <w:rFonts w:asciiTheme="minorHAnsi" w:hAnsiTheme="minorHAnsi"/>
        </w:rPr>
        <w:t xml:space="preserve"> generally do not</w:t>
      </w:r>
      <w:r w:rsidR="00FC71D2" w:rsidRPr="00F018D9">
        <w:rPr>
          <w:rFonts w:asciiTheme="minorHAnsi" w:hAnsiTheme="minorHAnsi"/>
        </w:rPr>
        <w:t xml:space="preserve"> provide information as to who they were authorised by, as political television advertisements do. </w:t>
      </w:r>
      <w:r>
        <w:rPr>
          <w:rFonts w:asciiTheme="minorHAnsi" w:hAnsiTheme="minorHAnsi"/>
        </w:rPr>
        <w:t xml:space="preserve">This means recipients may find it difficult to contact the authorising party and to have their </w:t>
      </w:r>
      <w:r w:rsidR="00395509">
        <w:rPr>
          <w:rFonts w:asciiTheme="minorHAnsi" w:hAnsiTheme="minorHAnsi"/>
        </w:rPr>
        <w:t xml:space="preserve">number removed from any </w:t>
      </w:r>
      <w:r>
        <w:rPr>
          <w:rFonts w:asciiTheme="minorHAnsi" w:hAnsiTheme="minorHAnsi"/>
        </w:rPr>
        <w:t>list</w:t>
      </w:r>
      <w:r w:rsidR="00395509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. </w:t>
      </w:r>
    </w:p>
    <w:p w:rsidR="00C62B4A" w:rsidRDefault="005055D0" w:rsidP="00DD1B6E">
      <w:pPr>
        <w:pStyle w:val="BodyText1"/>
        <w:rPr>
          <w:rFonts w:asciiTheme="minorHAnsi" w:hAnsiTheme="minorHAnsi"/>
        </w:rPr>
      </w:pPr>
      <w:r>
        <w:rPr>
          <w:rFonts w:asciiTheme="minorHAnsi" w:hAnsiTheme="minorHAnsi"/>
        </w:rPr>
        <w:t>In addition</w:t>
      </w:r>
      <w:r w:rsidR="00F018D9">
        <w:rPr>
          <w:rFonts w:asciiTheme="minorHAnsi" w:hAnsiTheme="minorHAnsi"/>
        </w:rPr>
        <w:t xml:space="preserve"> to tightening restrictions on pre-recorded calls</w:t>
      </w:r>
      <w:r>
        <w:rPr>
          <w:rFonts w:asciiTheme="minorHAnsi" w:hAnsiTheme="minorHAnsi"/>
        </w:rPr>
        <w:t xml:space="preserve">, ACCAN </w:t>
      </w:r>
      <w:r w:rsidR="00930892">
        <w:rPr>
          <w:rFonts w:asciiTheme="minorHAnsi" w:hAnsiTheme="minorHAnsi"/>
        </w:rPr>
        <w:t>suggests a review of</w:t>
      </w:r>
      <w:r>
        <w:rPr>
          <w:rFonts w:asciiTheme="minorHAnsi" w:hAnsiTheme="minorHAnsi"/>
        </w:rPr>
        <w:t xml:space="preserve"> </w:t>
      </w:r>
      <w:r w:rsidR="006642AE">
        <w:rPr>
          <w:rFonts w:asciiTheme="minorHAnsi" w:hAnsiTheme="minorHAnsi"/>
        </w:rPr>
        <w:t xml:space="preserve">whether </w:t>
      </w:r>
      <w:r w:rsidR="00930892">
        <w:rPr>
          <w:rFonts w:asciiTheme="minorHAnsi" w:hAnsiTheme="minorHAnsi"/>
        </w:rPr>
        <w:t xml:space="preserve">or not </w:t>
      </w:r>
      <w:r>
        <w:rPr>
          <w:rFonts w:asciiTheme="minorHAnsi" w:hAnsiTheme="minorHAnsi"/>
        </w:rPr>
        <w:t>political marketing calls should be exempt from the provisions of the Act</w:t>
      </w:r>
      <w:r w:rsidR="00930892">
        <w:rPr>
          <w:rFonts w:asciiTheme="minorHAnsi" w:hAnsiTheme="minorHAnsi"/>
        </w:rPr>
        <w:t xml:space="preserve"> at all</w:t>
      </w:r>
      <w:r>
        <w:rPr>
          <w:rFonts w:asciiTheme="minorHAnsi" w:hAnsiTheme="minorHAnsi"/>
        </w:rPr>
        <w:t>. It is arguable whether in 2016 the exemption is still ju</w:t>
      </w:r>
      <w:r w:rsidR="00F018D9">
        <w:rPr>
          <w:rFonts w:asciiTheme="minorHAnsi" w:hAnsiTheme="minorHAnsi"/>
        </w:rPr>
        <w:t>stifiable</w:t>
      </w:r>
      <w:r>
        <w:rPr>
          <w:rFonts w:asciiTheme="minorHAnsi" w:hAnsiTheme="minorHAnsi"/>
        </w:rPr>
        <w:t xml:space="preserve"> given the broad access to multiple information sou</w:t>
      </w:r>
      <w:r w:rsidR="00F018D9">
        <w:rPr>
          <w:rFonts w:asciiTheme="minorHAnsi" w:hAnsiTheme="minorHAnsi"/>
        </w:rPr>
        <w:t>rces that consumers have today, and consequently the vast range methods available to communicate messages to them.</w:t>
      </w:r>
    </w:p>
    <w:p w:rsidR="005055D0" w:rsidRDefault="005055D0" w:rsidP="00DD1B6E">
      <w:pPr>
        <w:pStyle w:val="BodyText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Calls from charities can also be deemed as designated telemarketing calls under Schedule 1 of the Act. Charities </w:t>
      </w:r>
      <w:r w:rsidR="00175538">
        <w:rPr>
          <w:rFonts w:asciiTheme="minorHAnsi" w:hAnsiTheme="minorHAnsi"/>
        </w:rPr>
        <w:t>have</w:t>
      </w:r>
      <w:r>
        <w:rPr>
          <w:rFonts w:asciiTheme="minorHAnsi" w:hAnsiTheme="minorHAnsi"/>
        </w:rPr>
        <w:t xml:space="preserve"> also </w:t>
      </w:r>
      <w:r w:rsidR="00175538">
        <w:rPr>
          <w:rFonts w:asciiTheme="minorHAnsi" w:hAnsiTheme="minorHAnsi"/>
        </w:rPr>
        <w:t xml:space="preserve">been </w:t>
      </w:r>
      <w:r>
        <w:rPr>
          <w:rFonts w:asciiTheme="minorHAnsi" w:hAnsiTheme="minorHAnsi"/>
        </w:rPr>
        <w:t xml:space="preserve">known to use pre-recorded messages to contact consumers on the DNCR. ACCAN is of the view that they should not be allowed to do so on the same grounds as those given above. </w:t>
      </w:r>
    </w:p>
    <w:p w:rsidR="00F018D9" w:rsidRDefault="00175538" w:rsidP="00DD1B6E">
      <w:pPr>
        <w:pStyle w:val="BodyText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</w:t>
      </w:r>
      <w:r w:rsidR="00F018D9">
        <w:rPr>
          <w:rFonts w:asciiTheme="minorHAnsi" w:hAnsiTheme="minorHAnsi"/>
        </w:rPr>
        <w:t>should</w:t>
      </w:r>
      <w:r>
        <w:rPr>
          <w:rFonts w:asciiTheme="minorHAnsi" w:hAnsiTheme="minorHAnsi"/>
        </w:rPr>
        <w:t xml:space="preserve"> also be noted that the primary motivation for charity calls is financial. This presents a risk for more vulnerable consumers, and in particular older people, who may feel pressured or coerced into donating money that they otherwise would not have.  </w:t>
      </w:r>
      <w:r w:rsidR="006642AE">
        <w:rPr>
          <w:rFonts w:asciiTheme="minorHAnsi" w:hAnsiTheme="minorHAnsi"/>
        </w:rPr>
        <w:t>ACCAN is concerned that telemarketers could target vulnerable consumers on behalf of charities to increase their donations.</w:t>
      </w:r>
      <w:r w:rsidR="00A00FF8">
        <w:rPr>
          <w:rFonts w:asciiTheme="minorHAnsi" w:hAnsiTheme="minorHAnsi"/>
        </w:rPr>
        <w:t xml:space="preserve"> </w:t>
      </w:r>
    </w:p>
    <w:p w:rsidR="00175538" w:rsidRDefault="00F018D9" w:rsidP="00DD1B6E">
      <w:pPr>
        <w:pStyle w:val="BodyText1"/>
        <w:rPr>
          <w:rFonts w:asciiTheme="minorHAnsi" w:hAnsiTheme="minorHAnsi"/>
        </w:rPr>
      </w:pPr>
      <w:r>
        <w:rPr>
          <w:rFonts w:asciiTheme="minorHAnsi" w:hAnsiTheme="minorHAnsi"/>
        </w:rPr>
        <w:t>ACCAN is not opposed to the charity exemption</w:t>
      </w:r>
      <w:r w:rsidR="00A00FF8">
        <w:rPr>
          <w:rFonts w:asciiTheme="minorHAnsi" w:hAnsiTheme="minorHAnsi"/>
        </w:rPr>
        <w:t xml:space="preserve">, but </w:t>
      </w:r>
      <w:r>
        <w:rPr>
          <w:rFonts w:asciiTheme="minorHAnsi" w:hAnsiTheme="minorHAnsi"/>
        </w:rPr>
        <w:t>believes that</w:t>
      </w:r>
      <w:r w:rsidR="00A00FF8">
        <w:rPr>
          <w:rFonts w:asciiTheme="minorHAnsi" w:hAnsiTheme="minorHAnsi"/>
        </w:rPr>
        <w:t xml:space="preserve"> </w:t>
      </w:r>
      <w:r w:rsidR="001D6448">
        <w:rPr>
          <w:rFonts w:asciiTheme="minorHAnsi" w:hAnsiTheme="minorHAnsi"/>
        </w:rPr>
        <w:t>the methods charities are legally allowed to use to fundraise over the telephone must be reviewed</w:t>
      </w:r>
      <w:r w:rsidR="00A00FF8">
        <w:rPr>
          <w:rFonts w:asciiTheme="minorHAnsi" w:hAnsiTheme="minorHAnsi"/>
        </w:rPr>
        <w:t xml:space="preserve">. In the UK a new law was introduced to target aggressive charity fundraising, </w:t>
      </w:r>
      <w:r w:rsidR="001D6448">
        <w:rPr>
          <w:rFonts w:asciiTheme="minorHAnsi" w:hAnsiTheme="minorHAnsi"/>
        </w:rPr>
        <w:t>meaning</w:t>
      </w:r>
      <w:r w:rsidR="00A00FF8">
        <w:rPr>
          <w:rFonts w:asciiTheme="minorHAnsi" w:hAnsiTheme="minorHAnsi"/>
        </w:rPr>
        <w:t xml:space="preserve"> that charities must state in their contracts how they will protect vulnerable people.</w:t>
      </w:r>
      <w:r w:rsidR="00A00FF8">
        <w:rPr>
          <w:rStyle w:val="FootnoteReference"/>
          <w:rFonts w:asciiTheme="minorHAnsi" w:hAnsiTheme="minorHAnsi"/>
        </w:rPr>
        <w:footnoteReference w:id="2"/>
      </w:r>
    </w:p>
    <w:p w:rsidR="008A75FC" w:rsidRDefault="00BB7710" w:rsidP="00C32DD1">
      <w:pPr>
        <w:pStyle w:val="BodyText1"/>
        <w:rPr>
          <w:rFonts w:asciiTheme="minorHAnsi" w:eastAsiaTheme="minorEastAsia" w:hAnsiTheme="minorHAnsi" w:cstheme="minorHAnsi"/>
          <w:color w:val="auto"/>
          <w:lang w:eastAsia="en-AU"/>
        </w:rPr>
      </w:pPr>
      <w:r>
        <w:rPr>
          <w:rFonts w:asciiTheme="minorHAnsi" w:eastAsiaTheme="minorEastAsia" w:hAnsiTheme="minorHAnsi" w:cstheme="minorHAnsi"/>
          <w:color w:val="auto"/>
          <w:lang w:eastAsia="en-AU"/>
        </w:rPr>
        <w:t>Thank you again for giving ACCAN the opportunity to comment on the Regulations. If you would like to discuss our feedback please</w:t>
      </w:r>
      <w:r w:rsidR="00CF66F7">
        <w:rPr>
          <w:rFonts w:asciiTheme="minorHAnsi" w:eastAsiaTheme="minorEastAsia" w:hAnsiTheme="minorHAnsi" w:cstheme="minorHAnsi"/>
          <w:color w:val="auto"/>
          <w:lang w:eastAsia="en-AU"/>
        </w:rPr>
        <w:t xml:space="preserve"> don’t hesitate to contact us. </w:t>
      </w:r>
    </w:p>
    <w:p w:rsidR="008A75FC" w:rsidRDefault="00744322" w:rsidP="00C32DD1">
      <w:pPr>
        <w:pStyle w:val="BodyText1"/>
        <w:rPr>
          <w:rFonts w:asciiTheme="minorHAnsi" w:eastAsiaTheme="minorEastAsia" w:hAnsiTheme="minorHAnsi" w:cstheme="minorHAnsi"/>
          <w:color w:val="auto"/>
          <w:lang w:eastAsia="en-AU"/>
        </w:rPr>
      </w:pPr>
      <w:r>
        <w:rPr>
          <w:rFonts w:asciiTheme="minorHAnsi" w:eastAsiaTheme="minorEastAsia" w:hAnsiTheme="minorHAnsi" w:cstheme="minorHAnsi"/>
          <w:color w:val="auto"/>
          <w:lang w:eastAsia="en-AU"/>
        </w:rPr>
        <w:t xml:space="preserve">Yours sincerely, </w:t>
      </w:r>
    </w:p>
    <w:p w:rsidR="00306B29" w:rsidRDefault="00306B29" w:rsidP="00306B29">
      <w:pPr>
        <w:pStyle w:val="BodyText1"/>
        <w:spacing w:after="0"/>
        <w:rPr>
          <w:rFonts w:asciiTheme="minorHAnsi" w:eastAsiaTheme="minorEastAsia" w:hAnsiTheme="minorHAnsi" w:cstheme="minorHAnsi"/>
          <w:color w:val="auto"/>
          <w:lang w:eastAsia="en-AU"/>
        </w:rPr>
      </w:pPr>
      <w:r>
        <w:rPr>
          <w:rFonts w:asciiTheme="minorHAnsi" w:eastAsiaTheme="minorEastAsia" w:hAnsiTheme="minorHAnsi" w:cstheme="minorHAnsi"/>
          <w:noProof/>
          <w:color w:val="auto"/>
          <w:lang w:eastAsia="en-AU"/>
        </w:rPr>
        <w:drawing>
          <wp:inline distT="0" distB="0" distL="0" distR="0" wp14:anchorId="69BE843B" wp14:editId="4CE3AB1E">
            <wp:extent cx="1543050" cy="276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R Signa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5FC" w:rsidRDefault="00744322" w:rsidP="00306B29">
      <w:pPr>
        <w:pStyle w:val="BodyText1"/>
        <w:spacing w:after="0"/>
        <w:rPr>
          <w:rFonts w:asciiTheme="minorHAnsi" w:eastAsiaTheme="minorEastAsia" w:hAnsiTheme="minorHAnsi" w:cstheme="minorHAnsi"/>
          <w:color w:val="auto"/>
          <w:lang w:eastAsia="en-AU"/>
        </w:rPr>
      </w:pPr>
      <w:r>
        <w:rPr>
          <w:rFonts w:asciiTheme="minorHAnsi" w:eastAsiaTheme="minorEastAsia" w:hAnsiTheme="minorHAnsi" w:cstheme="minorHAnsi"/>
          <w:color w:val="auto"/>
          <w:lang w:eastAsia="en-AU"/>
        </w:rPr>
        <w:t>Jeremy Riddle</w:t>
      </w:r>
    </w:p>
    <w:p w:rsidR="00DD1B6E" w:rsidRPr="00306B29" w:rsidRDefault="00744322" w:rsidP="00DD1B6E">
      <w:pPr>
        <w:pStyle w:val="BodyText1"/>
        <w:rPr>
          <w:rFonts w:asciiTheme="minorHAnsi" w:eastAsiaTheme="minorEastAsia" w:hAnsiTheme="minorHAnsi" w:cstheme="minorHAnsi"/>
          <w:color w:val="auto"/>
          <w:lang w:eastAsia="en-AU"/>
        </w:rPr>
      </w:pPr>
      <w:r>
        <w:rPr>
          <w:rFonts w:asciiTheme="minorHAnsi" w:eastAsiaTheme="minorEastAsia" w:hAnsiTheme="minorHAnsi" w:cstheme="minorHAnsi"/>
          <w:color w:val="auto"/>
          <w:lang w:eastAsia="en-AU"/>
        </w:rPr>
        <w:lastRenderedPageBreak/>
        <w:t>Policy Officer</w:t>
      </w:r>
      <w:bookmarkStart w:id="0" w:name="_GoBack"/>
      <w:bookmarkEnd w:id="0"/>
    </w:p>
    <w:sectPr w:rsidR="00DD1B6E" w:rsidRPr="00306B29" w:rsidSect="00306B29">
      <w:headerReference w:type="default" r:id="rId12"/>
      <w:footerReference w:type="default" r:id="rId13"/>
      <w:type w:val="continuous"/>
      <w:pgSz w:w="11906" w:h="16838" w:code="9"/>
      <w:pgMar w:top="1276" w:right="1440" w:bottom="1440" w:left="1440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41" w:rsidRDefault="001B3B41" w:rsidP="005820C9">
      <w:pPr>
        <w:spacing w:after="0" w:line="240" w:lineRule="auto"/>
      </w:pPr>
      <w:r>
        <w:separator/>
      </w:r>
    </w:p>
  </w:endnote>
  <w:endnote w:type="continuationSeparator" w:id="0">
    <w:p w:rsidR="001B3B41" w:rsidRDefault="001B3B41" w:rsidP="0058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D9" w:rsidRDefault="00F018D9" w:rsidP="00002D94">
    <w:pPr>
      <w:pStyle w:val="Foot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9D75F90" wp14:editId="2679DD73">
              <wp:simplePos x="0" y="0"/>
              <wp:positionH relativeFrom="column">
                <wp:posOffset>-363830</wp:posOffset>
              </wp:positionH>
              <wp:positionV relativeFrom="paragraph">
                <wp:posOffset>-73190</wp:posOffset>
              </wp:positionV>
              <wp:extent cx="6971664" cy="1324082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1664" cy="1324082"/>
                        <a:chOff x="-49543" y="-26356"/>
                        <a:chExt cx="6971664" cy="124266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49543" y="-26356"/>
                          <a:ext cx="6971664" cy="12426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8D9" w:rsidRDefault="00F018D9" w:rsidP="001C28E7">
                            <w:pPr>
                              <w:spacing w:after="0" w:line="240" w:lineRule="auto"/>
                              <w:rPr>
                                <w:color w:val="23B0E6"/>
                                <w:sz w:val="20"/>
                                <w:szCs w:val="20"/>
                              </w:rPr>
                            </w:pPr>
                          </w:p>
                          <w:p w:rsidR="00F018D9" w:rsidRPr="00002D94" w:rsidRDefault="00F018D9" w:rsidP="001C28E7">
                            <w:pPr>
                              <w:spacing w:after="0" w:line="240" w:lineRule="auto"/>
                              <w:rPr>
                                <w:color w:val="23B0E6"/>
                                <w:sz w:val="20"/>
                                <w:szCs w:val="20"/>
                              </w:rPr>
                            </w:pPr>
                            <w:r w:rsidRPr="00002D94">
                              <w:rPr>
                                <w:color w:val="23B0E6"/>
                                <w:sz w:val="20"/>
                                <w:szCs w:val="20"/>
                              </w:rPr>
                              <w:t>Australian Communications Consumer Action Network (ACCAN)</w:t>
                            </w:r>
                          </w:p>
                          <w:p w:rsidR="00F018D9" w:rsidRPr="00002D94" w:rsidRDefault="00F018D9" w:rsidP="007D3F16">
                            <w:pPr>
                              <w:spacing w:after="0" w:line="240" w:lineRule="auto"/>
                              <w:rPr>
                                <w:i/>
                                <w:color w:val="23B0E6"/>
                                <w:sz w:val="20"/>
                                <w:szCs w:val="20"/>
                              </w:rPr>
                            </w:pPr>
                            <w:r w:rsidRPr="00002D94">
                              <w:rPr>
                                <w:i/>
                                <w:color w:val="23B0E6"/>
                                <w:sz w:val="20"/>
                                <w:szCs w:val="20"/>
                              </w:rPr>
                              <w:t>Australia’s peak telecommunications consumer organisation</w:t>
                            </w:r>
                          </w:p>
                          <w:p w:rsidR="00F018D9" w:rsidRPr="00002D94" w:rsidRDefault="00F018D9" w:rsidP="007D3F1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02D94">
                              <w:rPr>
                                <w:sz w:val="20"/>
                                <w:szCs w:val="20"/>
                              </w:rPr>
                              <w:t>Suite 4.02, 55 Mountain St, Ultimo NSW 2007</w:t>
                            </w:r>
                          </w:p>
                          <w:p w:rsidR="00F018D9" w:rsidRPr="00002D94" w:rsidRDefault="00F018D9" w:rsidP="007D3F1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02D94">
                              <w:rPr>
                                <w:sz w:val="20"/>
                                <w:szCs w:val="20"/>
                              </w:rPr>
                              <w:t>Tel: (02) 9288 4000 | TTY: (02) 9281 5322 | Fax: (02) 9288 4019</w:t>
                            </w:r>
                          </w:p>
                          <w:p w:rsidR="00F018D9" w:rsidRPr="00002D94" w:rsidRDefault="00F018D9" w:rsidP="007D3F16">
                            <w:pPr>
                              <w:spacing w:after="0" w:line="240" w:lineRule="auto"/>
                              <w:rPr>
                                <w:color w:val="23B0E6"/>
                                <w:sz w:val="20"/>
                                <w:szCs w:val="20"/>
                              </w:rPr>
                            </w:pPr>
                            <w:r w:rsidRPr="00002D94">
                              <w:rPr>
                                <w:color w:val="23B0E6"/>
                                <w:sz w:val="20"/>
                                <w:szCs w:val="20"/>
                              </w:rPr>
                              <w:t>www.accan.org.au | info@accan.org.au | twitter: @ACCAN_AU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" name="Straight Connector 1"/>
                      <wps:cNvCnPr/>
                      <wps:spPr>
                        <a:xfrm>
                          <a:off x="30738" y="316628"/>
                          <a:ext cx="670105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3B0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28.65pt;margin-top:-5.75pt;width:548.95pt;height:104.25pt;z-index:-251657216;mso-width-relative:margin;mso-height-relative:margin" coordorigin="-495,-263" coordsize="69716,1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-495;top:-263;width:69716;height:1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F018D9" w:rsidRDefault="00F018D9" w:rsidP="001C28E7">
                      <w:pPr>
                        <w:spacing w:after="0" w:line="240" w:lineRule="auto"/>
                        <w:rPr>
                          <w:color w:val="23B0E6"/>
                          <w:sz w:val="20"/>
                          <w:szCs w:val="20"/>
                        </w:rPr>
                      </w:pPr>
                    </w:p>
                    <w:p w:rsidR="00F018D9" w:rsidRPr="00002D94" w:rsidRDefault="00F018D9" w:rsidP="001C28E7">
                      <w:pPr>
                        <w:spacing w:after="0" w:line="240" w:lineRule="auto"/>
                        <w:rPr>
                          <w:color w:val="23B0E6"/>
                          <w:sz w:val="20"/>
                          <w:szCs w:val="20"/>
                        </w:rPr>
                      </w:pPr>
                      <w:r w:rsidRPr="00002D94">
                        <w:rPr>
                          <w:color w:val="23B0E6"/>
                          <w:sz w:val="20"/>
                          <w:szCs w:val="20"/>
                        </w:rPr>
                        <w:t>Australian Communications Consumer Action Network (ACCAN)</w:t>
                      </w:r>
                    </w:p>
                    <w:p w:rsidR="00F018D9" w:rsidRPr="00002D94" w:rsidRDefault="00F018D9" w:rsidP="007D3F16">
                      <w:pPr>
                        <w:spacing w:after="0" w:line="240" w:lineRule="auto"/>
                        <w:rPr>
                          <w:i/>
                          <w:color w:val="23B0E6"/>
                          <w:sz w:val="20"/>
                          <w:szCs w:val="20"/>
                        </w:rPr>
                      </w:pPr>
                      <w:r w:rsidRPr="00002D94">
                        <w:rPr>
                          <w:i/>
                          <w:color w:val="23B0E6"/>
                          <w:sz w:val="20"/>
                          <w:szCs w:val="20"/>
                        </w:rPr>
                        <w:t>Australia’s peak telecommunications consumer organisation</w:t>
                      </w:r>
                    </w:p>
                    <w:p w:rsidR="00F018D9" w:rsidRPr="00002D94" w:rsidRDefault="00F018D9" w:rsidP="007D3F1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02D94">
                        <w:rPr>
                          <w:sz w:val="20"/>
                          <w:szCs w:val="20"/>
                        </w:rPr>
                        <w:t>Suite 4.02, 55 Mountain St, Ultimo NSW 2007</w:t>
                      </w:r>
                    </w:p>
                    <w:p w:rsidR="00F018D9" w:rsidRPr="00002D94" w:rsidRDefault="00F018D9" w:rsidP="007D3F1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02D94">
                        <w:rPr>
                          <w:sz w:val="20"/>
                          <w:szCs w:val="20"/>
                        </w:rPr>
                        <w:t>Tel: (02) 9288 4000 | TTY: (02) 9281 5322 | Fax: (02) 9288 4019</w:t>
                      </w:r>
                    </w:p>
                    <w:p w:rsidR="00F018D9" w:rsidRPr="00002D94" w:rsidRDefault="00F018D9" w:rsidP="007D3F16">
                      <w:pPr>
                        <w:spacing w:after="0" w:line="240" w:lineRule="auto"/>
                        <w:rPr>
                          <w:color w:val="23B0E6"/>
                          <w:sz w:val="20"/>
                          <w:szCs w:val="20"/>
                        </w:rPr>
                      </w:pPr>
                      <w:r w:rsidRPr="00002D94">
                        <w:rPr>
                          <w:color w:val="23B0E6"/>
                          <w:sz w:val="20"/>
                          <w:szCs w:val="20"/>
                        </w:rPr>
                        <w:t>www.accan.org.au | info@accan.org.au | twitter: @ACCAN_AU</w:t>
                      </w:r>
                    </w:p>
                  </w:txbxContent>
                </v:textbox>
              </v:shape>
              <v:line id="Straight Connector 1" o:spid="_x0000_s1028" style="position:absolute;visibility:visible;mso-wrap-style:square" from="307,3166" to="67317,3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2chsEAAADaAAAADwAAAGRycy9kb3ducmV2LnhtbERPS2rDMBDdF3oHMYXuGjmhmOBaCU3A&#10;paumcXOAqTX+YGtkLDmxe/ooUMhqeLzvpNvJdOJMg2ssK1guIhDEhdUNVwpOP9nLGoTzyBo7y6Rg&#10;JgfbzeNDiom2Fz7SOfeVCCHsElRQe98nUrqiJoNuYXviwJV2MOgDHCqpB7yEcNPJVRTF0mDDoaHG&#10;nvY1FW0+GgUH2Y5/r8U8lr+ZNx+nr138LY9KPT9N728gPE3+Lv53f+owH26v3K7cX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nZyGwQAAANoAAAAPAAAAAAAAAAAAAAAA&#10;AKECAABkcnMvZG93bnJldi54bWxQSwUGAAAAAAQABAD5AAAAjwMAAAAA&#10;" strokecolor="#23b0e6" strokeweight="3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D9" w:rsidRPr="00E05115" w:rsidRDefault="00F018D9" w:rsidP="00C4251E">
    <w:pPr>
      <w:spacing w:after="0" w:line="240" w:lineRule="auto"/>
      <w:rPr>
        <w:color w:val="23B0E6"/>
      </w:rPr>
    </w:pPr>
    <w:r w:rsidRPr="00E05115">
      <w:rPr>
        <w:color w:val="23B0E6"/>
      </w:rPr>
      <w:t>www.accan.org.au | info@accan.org.au | twitter: @ACCAN_AU</w:t>
    </w:r>
    <w:r>
      <w:rPr>
        <w:color w:val="23B0E6"/>
      </w:rPr>
      <w:tab/>
    </w:r>
    <w:r>
      <w:rPr>
        <w:color w:val="23B0E6"/>
      </w:rPr>
      <w:tab/>
    </w:r>
    <w:r>
      <w:rPr>
        <w:color w:val="23B0E6"/>
      </w:rPr>
      <w:tab/>
    </w:r>
    <w:r>
      <w:rPr>
        <w:color w:val="23B0E6"/>
      </w:rPr>
      <w:tab/>
    </w:r>
    <w:r>
      <w:rPr>
        <w:color w:val="23B0E6"/>
      </w:rPr>
      <w:tab/>
    </w:r>
    <w:r w:rsidRPr="00C4251E">
      <w:fldChar w:fldCharType="begin"/>
    </w:r>
    <w:r w:rsidRPr="00C4251E">
      <w:instrText xml:space="preserve"> PAGE   \* MERGEFORMAT </w:instrText>
    </w:r>
    <w:r w:rsidRPr="00C4251E">
      <w:fldChar w:fldCharType="separate"/>
    </w:r>
    <w:r w:rsidR="00306B29">
      <w:rPr>
        <w:noProof/>
      </w:rPr>
      <w:t>2</w:t>
    </w:r>
    <w:r w:rsidRPr="00C4251E">
      <w:rPr>
        <w:noProof/>
      </w:rPr>
      <w:fldChar w:fldCharType="end"/>
    </w:r>
  </w:p>
  <w:p w:rsidR="00F018D9" w:rsidRDefault="00F01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41" w:rsidRDefault="001B3B41" w:rsidP="005820C9">
      <w:pPr>
        <w:spacing w:after="0" w:line="240" w:lineRule="auto"/>
      </w:pPr>
      <w:r>
        <w:separator/>
      </w:r>
    </w:p>
  </w:footnote>
  <w:footnote w:type="continuationSeparator" w:id="0">
    <w:p w:rsidR="001B3B41" w:rsidRDefault="001B3B41" w:rsidP="005820C9">
      <w:pPr>
        <w:spacing w:after="0" w:line="240" w:lineRule="auto"/>
      </w:pPr>
      <w:r>
        <w:continuationSeparator/>
      </w:r>
    </w:p>
  </w:footnote>
  <w:footnote w:id="1">
    <w:p w:rsidR="00F018D9" w:rsidRPr="009C0013" w:rsidRDefault="00F018D9" w:rsidP="00FC71D2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C0013">
        <w:t>http://www.abc.net.au/news/2016-07-12/how-did-political-parties-get-your-unlisted-phone-number/7586842</w:t>
      </w:r>
    </w:p>
  </w:footnote>
  <w:footnote w:id="2">
    <w:p w:rsidR="00F018D9" w:rsidRPr="00A00FF8" w:rsidRDefault="00F018D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A00FF8">
        <w:t>http://www.bbc.com/news/uk-33490964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D9" w:rsidRDefault="00F018D9" w:rsidP="00DD7C1C">
    <w:pPr>
      <w:pStyle w:val="Header"/>
      <w:tabs>
        <w:tab w:val="clear" w:pos="4513"/>
        <w:tab w:val="clear" w:pos="9026"/>
      </w:tabs>
      <w:ind w:right="-1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464FDAD1" wp14:editId="008A6AA8">
          <wp:simplePos x="0" y="0"/>
          <wp:positionH relativeFrom="column">
            <wp:posOffset>4785812</wp:posOffset>
          </wp:positionH>
          <wp:positionV relativeFrom="paragraph">
            <wp:posOffset>117807</wp:posOffset>
          </wp:positionV>
          <wp:extent cx="1630800" cy="756000"/>
          <wp:effectExtent l="0" t="0" r="762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AN_logo_BLUE_RGB Standalone 11x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D9" w:rsidRDefault="00F018D9" w:rsidP="005820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6481"/>
    <w:multiLevelType w:val="hybridMultilevel"/>
    <w:tmpl w:val="E6421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80"/>
    <w:rsid w:val="00002D94"/>
    <w:rsid w:val="00027253"/>
    <w:rsid w:val="000309B3"/>
    <w:rsid w:val="00084A5B"/>
    <w:rsid w:val="001627E8"/>
    <w:rsid w:val="00175538"/>
    <w:rsid w:val="001B3B41"/>
    <w:rsid w:val="001B7785"/>
    <w:rsid w:val="001C28E7"/>
    <w:rsid w:val="001D6448"/>
    <w:rsid w:val="00234042"/>
    <w:rsid w:val="00247C80"/>
    <w:rsid w:val="00306B29"/>
    <w:rsid w:val="00353C27"/>
    <w:rsid w:val="00395509"/>
    <w:rsid w:val="003B0C95"/>
    <w:rsid w:val="003B1499"/>
    <w:rsid w:val="003E6503"/>
    <w:rsid w:val="004433C4"/>
    <w:rsid w:val="004552EA"/>
    <w:rsid w:val="00472C7E"/>
    <w:rsid w:val="004850E4"/>
    <w:rsid w:val="004A01EB"/>
    <w:rsid w:val="004B5F63"/>
    <w:rsid w:val="004C3886"/>
    <w:rsid w:val="005055D0"/>
    <w:rsid w:val="005820C9"/>
    <w:rsid w:val="005A673E"/>
    <w:rsid w:val="005C7CD4"/>
    <w:rsid w:val="006642AE"/>
    <w:rsid w:val="006B0E1A"/>
    <w:rsid w:val="006C5173"/>
    <w:rsid w:val="00744322"/>
    <w:rsid w:val="007506AE"/>
    <w:rsid w:val="007A3E1A"/>
    <w:rsid w:val="007D3F16"/>
    <w:rsid w:val="007D549C"/>
    <w:rsid w:val="00807C7D"/>
    <w:rsid w:val="00874727"/>
    <w:rsid w:val="008A19E7"/>
    <w:rsid w:val="008A75FC"/>
    <w:rsid w:val="008F7E90"/>
    <w:rsid w:val="00930892"/>
    <w:rsid w:val="009A227B"/>
    <w:rsid w:val="009C0013"/>
    <w:rsid w:val="00A00FF8"/>
    <w:rsid w:val="00A4447D"/>
    <w:rsid w:val="00AA686C"/>
    <w:rsid w:val="00AE2840"/>
    <w:rsid w:val="00B20508"/>
    <w:rsid w:val="00B4140A"/>
    <w:rsid w:val="00B418A0"/>
    <w:rsid w:val="00B45263"/>
    <w:rsid w:val="00B87233"/>
    <w:rsid w:val="00B94449"/>
    <w:rsid w:val="00BB7710"/>
    <w:rsid w:val="00C250E2"/>
    <w:rsid w:val="00C32DD1"/>
    <w:rsid w:val="00C4251E"/>
    <w:rsid w:val="00C613FC"/>
    <w:rsid w:val="00C62B4A"/>
    <w:rsid w:val="00CA02C7"/>
    <w:rsid w:val="00CF5B31"/>
    <w:rsid w:val="00CF66F7"/>
    <w:rsid w:val="00D32AB1"/>
    <w:rsid w:val="00D3636E"/>
    <w:rsid w:val="00D66D95"/>
    <w:rsid w:val="00DD1B6E"/>
    <w:rsid w:val="00DD7C1C"/>
    <w:rsid w:val="00E05115"/>
    <w:rsid w:val="00E209CA"/>
    <w:rsid w:val="00E54047"/>
    <w:rsid w:val="00E81ECD"/>
    <w:rsid w:val="00E907E7"/>
    <w:rsid w:val="00EA1A1B"/>
    <w:rsid w:val="00F00441"/>
    <w:rsid w:val="00F018D9"/>
    <w:rsid w:val="00F47C64"/>
    <w:rsid w:val="00F61950"/>
    <w:rsid w:val="00F76853"/>
    <w:rsid w:val="00F860D4"/>
    <w:rsid w:val="00FC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Date/Address"/>
    <w:qFormat/>
    <w:rsid w:val="00353C27"/>
    <w:pPr>
      <w:spacing w:after="200" w:line="276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rsid w:val="008F7E90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aps/>
      <w:sz w:val="44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8F7E90"/>
    <w:pPr>
      <w:keepNext/>
      <w:spacing w:after="120" w:line="240" w:lineRule="auto"/>
      <w:outlineLvl w:val="1"/>
    </w:pPr>
    <w:rPr>
      <w:rFonts w:eastAsia="Times New Roman" w:cs="Times New Roman"/>
      <w:b/>
      <w:bCs/>
      <w:iCs/>
      <w:sz w:val="36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rsid w:val="008F7E90"/>
    <w:pPr>
      <w:keepNext/>
      <w:spacing w:after="0" w:line="240" w:lineRule="auto"/>
      <w:outlineLvl w:val="2"/>
    </w:pPr>
    <w:rPr>
      <w:rFonts w:eastAsia="Times New Roman" w:cs="Times New Roman"/>
      <w:b/>
      <w:bCs/>
      <w:iCs/>
      <w:sz w:val="28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F7E90"/>
    <w:pPr>
      <w:keepNext/>
      <w:keepLines/>
      <w:spacing w:before="120" w:after="0" w:line="240" w:lineRule="auto"/>
      <w:outlineLvl w:val="3"/>
    </w:pPr>
    <w:rPr>
      <w:rFonts w:eastAsiaTheme="majorEastAsia" w:cstheme="majorBidi"/>
      <w:bCs/>
      <w:iCs/>
      <w:sz w:val="24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F7E90"/>
    <w:pPr>
      <w:keepNext/>
      <w:keepLines/>
      <w:spacing w:before="200" w:after="0" w:line="240" w:lineRule="auto"/>
      <w:outlineLvl w:val="4"/>
    </w:pPr>
    <w:rPr>
      <w:rFonts w:eastAsiaTheme="majorEastAsia" w:cstheme="majorBidi"/>
      <w:u w:val="single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F7E90"/>
    <w:pPr>
      <w:keepNext/>
      <w:keepLines/>
      <w:spacing w:before="200" w:after="0" w:line="240" w:lineRule="auto"/>
      <w:outlineLvl w:val="5"/>
    </w:pPr>
    <w:rPr>
      <w:rFonts w:eastAsiaTheme="majorEastAsia" w:cstheme="majorBidi"/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E90"/>
    <w:rPr>
      <w:rFonts w:eastAsiaTheme="majorEastAsia" w:cstheme="majorBidi"/>
      <w:b/>
      <w:bCs/>
      <w:caps/>
      <w:sz w:val="4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8F7E90"/>
    <w:rPr>
      <w:rFonts w:eastAsia="Times New Roman" w:cs="Times New Roman"/>
      <w:b/>
      <w:bCs/>
      <w:iCs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8F7E90"/>
    <w:rPr>
      <w:rFonts w:eastAsia="Times New Roman" w:cs="Times New Roman"/>
      <w:b/>
      <w:bCs/>
      <w:i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F7E90"/>
    <w:rPr>
      <w:rFonts w:eastAsiaTheme="majorEastAsia" w:cstheme="majorBidi"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8F7E90"/>
    <w:rPr>
      <w:rFonts w:eastAsiaTheme="majorEastAsia" w:cstheme="majorBidi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F7E90"/>
    <w:rPr>
      <w:rFonts w:eastAsiaTheme="majorEastAsia" w:cstheme="majorBidi"/>
      <w:i/>
      <w:iCs/>
      <w:lang w:val="en-GB"/>
    </w:rPr>
  </w:style>
  <w:style w:type="paragraph" w:customStyle="1" w:styleId="Normal0">
    <w:name w:val="[Normal]"/>
    <w:uiPriority w:val="99"/>
    <w:rsid w:val="008F7E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DHSText10ptChar">
    <w:name w:val="DHS Text 10pt Char"/>
    <w:uiPriority w:val="99"/>
    <w:rsid w:val="008F7E90"/>
    <w:rPr>
      <w:rFonts w:ascii="Verdana" w:hAnsi="Verdana"/>
      <w:lang w:val="en-AU" w:eastAsia="en-US"/>
    </w:rPr>
  </w:style>
  <w:style w:type="character" w:customStyle="1" w:styleId="notranslate">
    <w:name w:val="notranslate"/>
    <w:basedOn w:val="DefaultParagraphFont"/>
    <w:rsid w:val="008F7E90"/>
  </w:style>
  <w:style w:type="paragraph" w:customStyle="1" w:styleId="LineLast">
    <w:name w:val="Line Last"/>
    <w:basedOn w:val="Normal"/>
    <w:rsid w:val="008F7E90"/>
    <w:pPr>
      <w:tabs>
        <w:tab w:val="left" w:leader="underscore" w:pos="8640"/>
      </w:tabs>
      <w:spacing w:before="60" w:after="360" w:line="240" w:lineRule="auto"/>
    </w:pPr>
    <w:rPr>
      <w:rFonts w:ascii="Tahoma" w:eastAsia="Times New Roman" w:hAnsi="Tahoma" w:cs="Times New Roman"/>
      <w:sz w:val="20"/>
      <w:szCs w:val="24"/>
      <w:lang w:val="en-US" w:eastAsia="en-US"/>
    </w:rPr>
  </w:style>
  <w:style w:type="paragraph" w:customStyle="1" w:styleId="SurveyquestionforLines">
    <w:name w:val="Survey question for Lines"/>
    <w:basedOn w:val="Normal"/>
    <w:rsid w:val="008F7E90"/>
    <w:pPr>
      <w:keepNext/>
      <w:spacing w:before="320" w:after="0" w:line="240" w:lineRule="auto"/>
    </w:pPr>
    <w:rPr>
      <w:rFonts w:ascii="Tahoma" w:eastAsia="Times New Roman" w:hAnsi="Tahoma" w:cs="Times New Roman"/>
      <w:b/>
      <w:sz w:val="20"/>
      <w:szCs w:val="24"/>
      <w:lang w:val="en-US" w:eastAsia="en-US"/>
    </w:rPr>
  </w:style>
  <w:style w:type="paragraph" w:customStyle="1" w:styleId="Line">
    <w:name w:val="Line"/>
    <w:basedOn w:val="Normal"/>
    <w:rsid w:val="008F7E90"/>
    <w:pPr>
      <w:tabs>
        <w:tab w:val="left" w:leader="underscore" w:pos="8640"/>
      </w:tabs>
      <w:spacing w:before="60" w:after="0" w:line="240" w:lineRule="auto"/>
    </w:pPr>
    <w:rPr>
      <w:rFonts w:ascii="Tahoma" w:eastAsia="Times New Roman" w:hAnsi="Tahoma" w:cs="Times New Roman"/>
      <w:sz w:val="20"/>
      <w:szCs w:val="24"/>
      <w:lang w:val="en-US" w:eastAsia="en-US"/>
    </w:rPr>
  </w:style>
  <w:style w:type="paragraph" w:customStyle="1" w:styleId="Thankyou">
    <w:name w:val="Thankyou"/>
    <w:basedOn w:val="Normal"/>
    <w:rsid w:val="008F7E90"/>
    <w:pPr>
      <w:keepNext/>
      <w:spacing w:before="240" w:after="0" w:line="240" w:lineRule="auto"/>
      <w:jc w:val="center"/>
    </w:pPr>
    <w:rPr>
      <w:rFonts w:ascii="Tahoma" w:eastAsia="Times New Roman" w:hAnsi="Tahoma" w:cs="Times New Roman"/>
      <w:sz w:val="20"/>
      <w:szCs w:val="24"/>
      <w:lang w:val="en-US" w:eastAsia="en-US"/>
    </w:rPr>
  </w:style>
  <w:style w:type="character" w:customStyle="1" w:styleId="maintitle">
    <w:name w:val="maintitle"/>
    <w:basedOn w:val="DefaultParagraphFont"/>
    <w:rsid w:val="008F7E90"/>
  </w:style>
  <w:style w:type="paragraph" w:customStyle="1" w:styleId="Tablecell">
    <w:name w:val="Table cell"/>
    <w:basedOn w:val="Header"/>
    <w:rsid w:val="008F7E90"/>
    <w:pPr>
      <w:keepLines/>
      <w:tabs>
        <w:tab w:val="clear" w:pos="4513"/>
        <w:tab w:val="clear" w:pos="9026"/>
      </w:tabs>
      <w:suppressAutoHyphens/>
      <w:spacing w:before="40" w:after="40"/>
    </w:pPr>
    <w:rPr>
      <w:rFonts w:ascii="Arial" w:eastAsia="Times New Roman" w:hAnsi="Arial" w:cs="Arial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7E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7E90"/>
    <w:rPr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8F7E90"/>
    <w:pPr>
      <w:spacing w:after="100" w:line="240" w:lineRule="auto"/>
    </w:pPr>
    <w:rPr>
      <w:rFonts w:eastAsiaTheme="minorHAnsi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F7E90"/>
    <w:pPr>
      <w:spacing w:after="100" w:line="240" w:lineRule="auto"/>
      <w:ind w:left="220"/>
    </w:pPr>
    <w:rPr>
      <w:rFonts w:eastAsiaTheme="minorHAnsi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F7E90"/>
    <w:pPr>
      <w:spacing w:after="100" w:line="240" w:lineRule="auto"/>
      <w:ind w:left="440"/>
    </w:pPr>
    <w:rPr>
      <w:rFonts w:eastAsiaTheme="minorHAnsi"/>
      <w:lang w:val="en-GB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8F7E90"/>
    <w:pPr>
      <w:spacing w:after="100" w:line="240" w:lineRule="auto"/>
      <w:ind w:left="660"/>
    </w:pPr>
    <w:rPr>
      <w:rFonts w:eastAsiaTheme="minorHAnsi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F7E90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7E90"/>
    <w:rPr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F7E90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E90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E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7E90"/>
    <w:rPr>
      <w:lang w:val="en-GB"/>
    </w:rPr>
  </w:style>
  <w:style w:type="paragraph" w:styleId="Caption">
    <w:name w:val="caption"/>
    <w:basedOn w:val="Normal"/>
    <w:next w:val="Normal"/>
    <w:uiPriority w:val="35"/>
    <w:unhideWhenUsed/>
    <w:rsid w:val="008F7E90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7E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7E90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8F7E9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7E90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E90"/>
    <w:rPr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rsid w:val="008F7E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rsid w:val="008F7E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BodyText">
    <w:name w:val="Body Text"/>
    <w:basedOn w:val="Normal"/>
    <w:link w:val="BodyTextChar"/>
    <w:rsid w:val="008F7E90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F7E90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F7E9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8F7E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7E90"/>
    <w:pPr>
      <w:spacing w:before="140" w:after="14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E9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E90"/>
    <w:pPr>
      <w:spacing w:after="0" w:line="240" w:lineRule="auto"/>
    </w:pPr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E9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F7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8F7E90"/>
    <w:pPr>
      <w:spacing w:after="0" w:line="240" w:lineRule="auto"/>
      <w:ind w:left="720"/>
      <w:contextualSpacing/>
    </w:pPr>
    <w:rPr>
      <w:rFonts w:eastAsiaTheme="minorHAnsi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C27"/>
    <w:pPr>
      <w:spacing w:line="276" w:lineRule="auto"/>
      <w:outlineLvl w:val="9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4047"/>
    <w:rPr>
      <w:color w:val="800080" w:themeColor="followedHyperlink"/>
      <w:u w:val="single"/>
    </w:rPr>
  </w:style>
  <w:style w:type="paragraph" w:styleId="NoSpacing">
    <w:name w:val="No Spacing"/>
    <w:rsid w:val="00084A5B"/>
    <w:rPr>
      <w:rFonts w:ascii="Arial" w:eastAsia="Calibri" w:hAnsi="Arial" w:cs="Times New Roman"/>
      <w:sz w:val="24"/>
    </w:rPr>
  </w:style>
  <w:style w:type="paragraph" w:customStyle="1" w:styleId="BodyText1">
    <w:name w:val="Body Text1"/>
    <w:basedOn w:val="Normal"/>
    <w:qFormat/>
    <w:rsid w:val="00353C27"/>
    <w:rPr>
      <w:rFonts w:ascii="Arial" w:eastAsia="Calibri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Date/Address"/>
    <w:qFormat/>
    <w:rsid w:val="00353C27"/>
    <w:pPr>
      <w:spacing w:after="200" w:line="276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rsid w:val="008F7E90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aps/>
      <w:sz w:val="44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8F7E90"/>
    <w:pPr>
      <w:keepNext/>
      <w:spacing w:after="120" w:line="240" w:lineRule="auto"/>
      <w:outlineLvl w:val="1"/>
    </w:pPr>
    <w:rPr>
      <w:rFonts w:eastAsia="Times New Roman" w:cs="Times New Roman"/>
      <w:b/>
      <w:bCs/>
      <w:iCs/>
      <w:sz w:val="36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rsid w:val="008F7E90"/>
    <w:pPr>
      <w:keepNext/>
      <w:spacing w:after="0" w:line="240" w:lineRule="auto"/>
      <w:outlineLvl w:val="2"/>
    </w:pPr>
    <w:rPr>
      <w:rFonts w:eastAsia="Times New Roman" w:cs="Times New Roman"/>
      <w:b/>
      <w:bCs/>
      <w:iCs/>
      <w:sz w:val="28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F7E90"/>
    <w:pPr>
      <w:keepNext/>
      <w:keepLines/>
      <w:spacing w:before="120" w:after="0" w:line="240" w:lineRule="auto"/>
      <w:outlineLvl w:val="3"/>
    </w:pPr>
    <w:rPr>
      <w:rFonts w:eastAsiaTheme="majorEastAsia" w:cstheme="majorBidi"/>
      <w:bCs/>
      <w:iCs/>
      <w:sz w:val="24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F7E90"/>
    <w:pPr>
      <w:keepNext/>
      <w:keepLines/>
      <w:spacing w:before="200" w:after="0" w:line="240" w:lineRule="auto"/>
      <w:outlineLvl w:val="4"/>
    </w:pPr>
    <w:rPr>
      <w:rFonts w:eastAsiaTheme="majorEastAsia" w:cstheme="majorBidi"/>
      <w:u w:val="single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F7E90"/>
    <w:pPr>
      <w:keepNext/>
      <w:keepLines/>
      <w:spacing w:before="200" w:after="0" w:line="240" w:lineRule="auto"/>
      <w:outlineLvl w:val="5"/>
    </w:pPr>
    <w:rPr>
      <w:rFonts w:eastAsiaTheme="majorEastAsia" w:cstheme="majorBidi"/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E90"/>
    <w:rPr>
      <w:rFonts w:eastAsiaTheme="majorEastAsia" w:cstheme="majorBidi"/>
      <w:b/>
      <w:bCs/>
      <w:caps/>
      <w:sz w:val="4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8F7E90"/>
    <w:rPr>
      <w:rFonts w:eastAsia="Times New Roman" w:cs="Times New Roman"/>
      <w:b/>
      <w:bCs/>
      <w:iCs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8F7E90"/>
    <w:rPr>
      <w:rFonts w:eastAsia="Times New Roman" w:cs="Times New Roman"/>
      <w:b/>
      <w:bCs/>
      <w:i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F7E90"/>
    <w:rPr>
      <w:rFonts w:eastAsiaTheme="majorEastAsia" w:cstheme="majorBidi"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8F7E90"/>
    <w:rPr>
      <w:rFonts w:eastAsiaTheme="majorEastAsia" w:cstheme="majorBidi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F7E90"/>
    <w:rPr>
      <w:rFonts w:eastAsiaTheme="majorEastAsia" w:cstheme="majorBidi"/>
      <w:i/>
      <w:iCs/>
      <w:lang w:val="en-GB"/>
    </w:rPr>
  </w:style>
  <w:style w:type="paragraph" w:customStyle="1" w:styleId="Normal0">
    <w:name w:val="[Normal]"/>
    <w:uiPriority w:val="99"/>
    <w:rsid w:val="008F7E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DHSText10ptChar">
    <w:name w:val="DHS Text 10pt Char"/>
    <w:uiPriority w:val="99"/>
    <w:rsid w:val="008F7E90"/>
    <w:rPr>
      <w:rFonts w:ascii="Verdana" w:hAnsi="Verdana"/>
      <w:lang w:val="en-AU" w:eastAsia="en-US"/>
    </w:rPr>
  </w:style>
  <w:style w:type="character" w:customStyle="1" w:styleId="notranslate">
    <w:name w:val="notranslate"/>
    <w:basedOn w:val="DefaultParagraphFont"/>
    <w:rsid w:val="008F7E90"/>
  </w:style>
  <w:style w:type="paragraph" w:customStyle="1" w:styleId="LineLast">
    <w:name w:val="Line Last"/>
    <w:basedOn w:val="Normal"/>
    <w:rsid w:val="008F7E90"/>
    <w:pPr>
      <w:tabs>
        <w:tab w:val="left" w:leader="underscore" w:pos="8640"/>
      </w:tabs>
      <w:spacing w:before="60" w:after="360" w:line="240" w:lineRule="auto"/>
    </w:pPr>
    <w:rPr>
      <w:rFonts w:ascii="Tahoma" w:eastAsia="Times New Roman" w:hAnsi="Tahoma" w:cs="Times New Roman"/>
      <w:sz w:val="20"/>
      <w:szCs w:val="24"/>
      <w:lang w:val="en-US" w:eastAsia="en-US"/>
    </w:rPr>
  </w:style>
  <w:style w:type="paragraph" w:customStyle="1" w:styleId="SurveyquestionforLines">
    <w:name w:val="Survey question for Lines"/>
    <w:basedOn w:val="Normal"/>
    <w:rsid w:val="008F7E90"/>
    <w:pPr>
      <w:keepNext/>
      <w:spacing w:before="320" w:after="0" w:line="240" w:lineRule="auto"/>
    </w:pPr>
    <w:rPr>
      <w:rFonts w:ascii="Tahoma" w:eastAsia="Times New Roman" w:hAnsi="Tahoma" w:cs="Times New Roman"/>
      <w:b/>
      <w:sz w:val="20"/>
      <w:szCs w:val="24"/>
      <w:lang w:val="en-US" w:eastAsia="en-US"/>
    </w:rPr>
  </w:style>
  <w:style w:type="paragraph" w:customStyle="1" w:styleId="Line">
    <w:name w:val="Line"/>
    <w:basedOn w:val="Normal"/>
    <w:rsid w:val="008F7E90"/>
    <w:pPr>
      <w:tabs>
        <w:tab w:val="left" w:leader="underscore" w:pos="8640"/>
      </w:tabs>
      <w:spacing w:before="60" w:after="0" w:line="240" w:lineRule="auto"/>
    </w:pPr>
    <w:rPr>
      <w:rFonts w:ascii="Tahoma" w:eastAsia="Times New Roman" w:hAnsi="Tahoma" w:cs="Times New Roman"/>
      <w:sz w:val="20"/>
      <w:szCs w:val="24"/>
      <w:lang w:val="en-US" w:eastAsia="en-US"/>
    </w:rPr>
  </w:style>
  <w:style w:type="paragraph" w:customStyle="1" w:styleId="Thankyou">
    <w:name w:val="Thankyou"/>
    <w:basedOn w:val="Normal"/>
    <w:rsid w:val="008F7E90"/>
    <w:pPr>
      <w:keepNext/>
      <w:spacing w:before="240" w:after="0" w:line="240" w:lineRule="auto"/>
      <w:jc w:val="center"/>
    </w:pPr>
    <w:rPr>
      <w:rFonts w:ascii="Tahoma" w:eastAsia="Times New Roman" w:hAnsi="Tahoma" w:cs="Times New Roman"/>
      <w:sz w:val="20"/>
      <w:szCs w:val="24"/>
      <w:lang w:val="en-US" w:eastAsia="en-US"/>
    </w:rPr>
  </w:style>
  <w:style w:type="character" w:customStyle="1" w:styleId="maintitle">
    <w:name w:val="maintitle"/>
    <w:basedOn w:val="DefaultParagraphFont"/>
    <w:rsid w:val="008F7E90"/>
  </w:style>
  <w:style w:type="paragraph" w:customStyle="1" w:styleId="Tablecell">
    <w:name w:val="Table cell"/>
    <w:basedOn w:val="Header"/>
    <w:rsid w:val="008F7E90"/>
    <w:pPr>
      <w:keepLines/>
      <w:tabs>
        <w:tab w:val="clear" w:pos="4513"/>
        <w:tab w:val="clear" w:pos="9026"/>
      </w:tabs>
      <w:suppressAutoHyphens/>
      <w:spacing w:before="40" w:after="40"/>
    </w:pPr>
    <w:rPr>
      <w:rFonts w:ascii="Arial" w:eastAsia="Times New Roman" w:hAnsi="Arial" w:cs="Arial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7E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7E90"/>
    <w:rPr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8F7E90"/>
    <w:pPr>
      <w:spacing w:after="100" w:line="240" w:lineRule="auto"/>
    </w:pPr>
    <w:rPr>
      <w:rFonts w:eastAsiaTheme="minorHAnsi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F7E90"/>
    <w:pPr>
      <w:spacing w:after="100" w:line="240" w:lineRule="auto"/>
      <w:ind w:left="220"/>
    </w:pPr>
    <w:rPr>
      <w:rFonts w:eastAsiaTheme="minorHAnsi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F7E90"/>
    <w:pPr>
      <w:spacing w:after="100" w:line="240" w:lineRule="auto"/>
      <w:ind w:left="440"/>
    </w:pPr>
    <w:rPr>
      <w:rFonts w:eastAsiaTheme="minorHAnsi"/>
      <w:lang w:val="en-GB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8F7E90"/>
    <w:pPr>
      <w:spacing w:after="100" w:line="240" w:lineRule="auto"/>
      <w:ind w:left="660"/>
    </w:pPr>
    <w:rPr>
      <w:rFonts w:eastAsiaTheme="minorHAnsi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F7E90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7E90"/>
    <w:rPr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F7E90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E90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E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7E90"/>
    <w:rPr>
      <w:lang w:val="en-GB"/>
    </w:rPr>
  </w:style>
  <w:style w:type="paragraph" w:styleId="Caption">
    <w:name w:val="caption"/>
    <w:basedOn w:val="Normal"/>
    <w:next w:val="Normal"/>
    <w:uiPriority w:val="35"/>
    <w:unhideWhenUsed/>
    <w:rsid w:val="008F7E90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7E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7E90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8F7E9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7E90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E90"/>
    <w:rPr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rsid w:val="008F7E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rsid w:val="008F7E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BodyText">
    <w:name w:val="Body Text"/>
    <w:basedOn w:val="Normal"/>
    <w:link w:val="BodyTextChar"/>
    <w:rsid w:val="008F7E90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F7E90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F7E9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8F7E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7E90"/>
    <w:pPr>
      <w:spacing w:before="140" w:after="14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E9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E90"/>
    <w:pPr>
      <w:spacing w:after="0" w:line="240" w:lineRule="auto"/>
    </w:pPr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E9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F7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8F7E90"/>
    <w:pPr>
      <w:spacing w:after="0" w:line="240" w:lineRule="auto"/>
      <w:ind w:left="720"/>
      <w:contextualSpacing/>
    </w:pPr>
    <w:rPr>
      <w:rFonts w:eastAsiaTheme="minorHAnsi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C27"/>
    <w:pPr>
      <w:spacing w:line="276" w:lineRule="auto"/>
      <w:outlineLvl w:val="9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4047"/>
    <w:rPr>
      <w:color w:val="800080" w:themeColor="followedHyperlink"/>
      <w:u w:val="single"/>
    </w:rPr>
  </w:style>
  <w:style w:type="paragraph" w:styleId="NoSpacing">
    <w:name w:val="No Spacing"/>
    <w:rsid w:val="00084A5B"/>
    <w:rPr>
      <w:rFonts w:ascii="Arial" w:eastAsia="Calibri" w:hAnsi="Arial" w:cs="Times New Roman"/>
      <w:sz w:val="24"/>
    </w:rPr>
  </w:style>
  <w:style w:type="paragraph" w:customStyle="1" w:styleId="BodyText1">
    <w:name w:val="Body Text1"/>
    <w:basedOn w:val="Normal"/>
    <w:qFormat/>
    <w:rsid w:val="00353C27"/>
    <w:rPr>
      <w:rFonts w:ascii="Arial" w:eastAsia="Calibr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%20&amp;%20Originals\Templates%202015\Short%20Submis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319D-6EEA-4FC3-8D6F-5D10156E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Submission Template</Template>
  <TotalTime>4</TotalTime>
  <Pages>2</Pages>
  <Words>765</Words>
  <Characters>4361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Riddle</dc:creator>
  <cp:lastModifiedBy>Jeremy Riddle</cp:lastModifiedBy>
  <cp:revision>2</cp:revision>
  <cp:lastPrinted>2012-12-11T06:08:00Z</cp:lastPrinted>
  <dcterms:created xsi:type="dcterms:W3CDTF">2016-08-12T05:09:00Z</dcterms:created>
  <dcterms:modified xsi:type="dcterms:W3CDTF">2016-08-12T05:09:00Z</dcterms:modified>
</cp:coreProperties>
</file>