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54FA9" w:rsidRDefault="00A27C56">
      <w:pPr>
        <w:pStyle w:val="Title"/>
        <w:jc w:val="center"/>
      </w:pPr>
      <w:r>
        <w:t>Consumer Law Enforcement and Administration</w:t>
      </w:r>
      <w:r>
        <w:br/>
      </w:r>
      <w:r>
        <w:br/>
        <w:t>Response to Productivity Commission Issues Paper</w:t>
      </w:r>
    </w:p>
    <w:p w:rsidR="00454FA9" w:rsidRDefault="00A27C56">
      <w:pPr>
        <w:pStyle w:val="Subtitle"/>
        <w:jc w:val="center"/>
      </w:pPr>
      <w:r>
        <w:t>Submission by the Australian Communications Consumer Action Network (ACCAN)</w:t>
      </w:r>
    </w:p>
    <w:p w:rsidR="00454FA9" w:rsidRDefault="00A27C56">
      <w:pPr>
        <w:pStyle w:val="Subtitle"/>
        <w:jc w:val="center"/>
      </w:pPr>
      <w:r>
        <w:t>August 2016</w:t>
      </w:r>
    </w:p>
    <w:p w:rsidR="00454FA9" w:rsidRDefault="00A27C56">
      <w:r>
        <w:br w:type="page"/>
      </w:r>
      <w:r>
        <w:rPr>
          <w:b/>
        </w:rPr>
        <w:lastRenderedPageBreak/>
        <w:t xml:space="preserve">About ACCAN </w:t>
      </w:r>
    </w:p>
    <w:p w:rsidR="00454FA9" w:rsidRDefault="00A27C56">
      <w:r>
        <w:t>The Australian Communications Consumer Action Network (ACCAN) is the peak body that represents all consumers on communications issues including telecommunications, broadband and emerging new services. ACCAN provides a strong unified voice to industry and government as consumers work towards availability, accessibility and affordability of communications services for all Australians.</w:t>
      </w:r>
    </w:p>
    <w:p w:rsidR="00454FA9" w:rsidRDefault="00A27C56">
      <w:r>
        <w:t>Consumers need ACCAN to promote better consumer protection outcomes ensuring speedy responses to complaints and issues. ACCAN aims to empower consumers so that they are well informed and can make good choices about products and services. As a peak body, ACCAN will represent the views of its broad and diverse membership base to policy makers, government and industry to get better outcomes for all communications consumers. </w:t>
      </w:r>
    </w:p>
    <w:p w:rsidR="00454FA9" w:rsidRDefault="00A27C56">
      <w:r>
        <w:rPr>
          <w:b/>
        </w:rPr>
        <w:t>Contact</w:t>
      </w:r>
    </w:p>
    <w:p w:rsidR="00454FA9" w:rsidRDefault="00A27C56">
      <w:pPr>
        <w:spacing w:after="0"/>
      </w:pPr>
      <w:r>
        <w:t>Jax Arnold, Policy Officer</w:t>
      </w:r>
    </w:p>
    <w:p w:rsidR="00454FA9" w:rsidRDefault="00A27C56">
      <w:pPr>
        <w:spacing w:after="0"/>
      </w:pPr>
      <w:r>
        <w:t>Una Lawrence, Director of Policy</w:t>
      </w:r>
    </w:p>
    <w:p w:rsidR="00454FA9" w:rsidRDefault="00454FA9">
      <w:pPr>
        <w:spacing w:after="0"/>
      </w:pPr>
    </w:p>
    <w:p w:rsidR="00454FA9" w:rsidRDefault="00A27C56">
      <w:r>
        <w:t>Suite 402, Level 4</w:t>
      </w:r>
      <w:r>
        <w:br/>
        <w:t>55 Mountain Street</w:t>
      </w:r>
      <w:r>
        <w:br/>
        <w:t>Ultimo NSW, 2007</w:t>
      </w:r>
      <w:r>
        <w:br/>
        <w:t xml:space="preserve">Email: </w:t>
      </w:r>
      <w:hyperlink r:id="rId9">
        <w:r>
          <w:rPr>
            <w:color w:val="0000FF"/>
            <w:u w:val="single"/>
          </w:rPr>
          <w:t>info@accan.org.au</w:t>
        </w:r>
      </w:hyperlink>
      <w:r>
        <w:rPr>
          <w:color w:val="0000FF"/>
          <w:u w:val="single"/>
        </w:rPr>
        <w:br/>
      </w:r>
      <w:r>
        <w:t>Phone: (02) 9288 4000</w:t>
      </w:r>
      <w:r>
        <w:br/>
        <w:t>Fax: (02) 9288 4019</w:t>
      </w:r>
      <w:r>
        <w:br/>
        <w:t>TTY: 9281 5322</w:t>
      </w:r>
    </w:p>
    <w:p w:rsidR="00454FA9" w:rsidRDefault="00A27C56">
      <w:r>
        <w:br w:type="page"/>
      </w:r>
    </w:p>
    <w:sdt>
      <w:sdtPr>
        <w:rPr>
          <w:rFonts w:ascii="Calibri" w:eastAsia="Calibri" w:hAnsi="Calibri" w:cs="Calibri"/>
          <w:b w:val="0"/>
          <w:bCs w:val="0"/>
          <w:color w:val="000000"/>
          <w:sz w:val="22"/>
          <w:szCs w:val="22"/>
          <w:lang w:eastAsia="en-US"/>
        </w:rPr>
        <w:id w:val="58758713"/>
        <w:docPartObj>
          <w:docPartGallery w:val="Table of Contents"/>
          <w:docPartUnique/>
        </w:docPartObj>
      </w:sdtPr>
      <w:sdtEndPr>
        <w:rPr>
          <w:noProof/>
        </w:rPr>
      </w:sdtEndPr>
      <w:sdtContent>
        <w:p w:rsidR="00173BD2" w:rsidRDefault="00173BD2">
          <w:pPr>
            <w:pStyle w:val="TOCHeading"/>
          </w:pPr>
          <w:r>
            <w:t>Contents</w:t>
          </w:r>
          <w:r w:rsidR="00331F05">
            <w:br/>
          </w:r>
        </w:p>
        <w:p w:rsidR="009E678E" w:rsidRDefault="00173BD2">
          <w:pPr>
            <w:pStyle w:val="TOC1"/>
            <w:tabs>
              <w:tab w:val="right" w:leader="dot" w:pos="9016"/>
            </w:tabs>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460323187" w:history="1">
            <w:r w:rsidR="009E678E" w:rsidRPr="00C87336">
              <w:rPr>
                <w:rStyle w:val="Hyperlink"/>
                <w:noProof/>
              </w:rPr>
              <w:t>Introduction</w:t>
            </w:r>
            <w:r w:rsidR="009E678E">
              <w:rPr>
                <w:noProof/>
                <w:webHidden/>
              </w:rPr>
              <w:tab/>
            </w:r>
            <w:r w:rsidR="009E678E">
              <w:rPr>
                <w:noProof/>
                <w:webHidden/>
              </w:rPr>
              <w:fldChar w:fldCharType="begin"/>
            </w:r>
            <w:r w:rsidR="009E678E">
              <w:rPr>
                <w:noProof/>
                <w:webHidden/>
              </w:rPr>
              <w:instrText xml:space="preserve"> PAGEREF _Toc460323187 \h </w:instrText>
            </w:r>
            <w:r w:rsidR="009E678E">
              <w:rPr>
                <w:noProof/>
                <w:webHidden/>
              </w:rPr>
            </w:r>
            <w:r w:rsidR="009E678E">
              <w:rPr>
                <w:noProof/>
                <w:webHidden/>
              </w:rPr>
              <w:fldChar w:fldCharType="separate"/>
            </w:r>
            <w:r w:rsidR="00EE264F">
              <w:rPr>
                <w:noProof/>
                <w:webHidden/>
              </w:rPr>
              <w:t>4</w:t>
            </w:r>
            <w:r w:rsidR="009E678E">
              <w:rPr>
                <w:noProof/>
                <w:webHidden/>
              </w:rPr>
              <w:fldChar w:fldCharType="end"/>
            </w:r>
          </w:hyperlink>
        </w:p>
        <w:p w:rsidR="009E678E" w:rsidRDefault="008E4EC4">
          <w:pPr>
            <w:pStyle w:val="TOC1"/>
            <w:tabs>
              <w:tab w:val="right" w:leader="dot" w:pos="9016"/>
            </w:tabs>
            <w:rPr>
              <w:rFonts w:asciiTheme="minorHAnsi" w:eastAsiaTheme="minorEastAsia" w:hAnsiTheme="minorHAnsi" w:cstheme="minorBidi"/>
              <w:noProof/>
              <w:color w:val="auto"/>
            </w:rPr>
          </w:pPr>
          <w:hyperlink w:anchor="_Toc460323188" w:history="1">
            <w:r w:rsidR="009E678E" w:rsidRPr="00C87336">
              <w:rPr>
                <w:rStyle w:val="Hyperlink"/>
                <w:noProof/>
              </w:rPr>
              <w:t>List of recommendations</w:t>
            </w:r>
            <w:r w:rsidR="009E678E">
              <w:rPr>
                <w:noProof/>
                <w:webHidden/>
              </w:rPr>
              <w:tab/>
            </w:r>
            <w:r w:rsidR="009E678E">
              <w:rPr>
                <w:noProof/>
                <w:webHidden/>
              </w:rPr>
              <w:fldChar w:fldCharType="begin"/>
            </w:r>
            <w:r w:rsidR="009E678E">
              <w:rPr>
                <w:noProof/>
                <w:webHidden/>
              </w:rPr>
              <w:instrText xml:space="preserve"> PAGEREF _Toc460323188 \h </w:instrText>
            </w:r>
            <w:r w:rsidR="009E678E">
              <w:rPr>
                <w:noProof/>
                <w:webHidden/>
              </w:rPr>
            </w:r>
            <w:r w:rsidR="009E678E">
              <w:rPr>
                <w:noProof/>
                <w:webHidden/>
              </w:rPr>
              <w:fldChar w:fldCharType="separate"/>
            </w:r>
            <w:r w:rsidR="00EE264F">
              <w:rPr>
                <w:noProof/>
                <w:webHidden/>
              </w:rPr>
              <w:t>5</w:t>
            </w:r>
            <w:r w:rsidR="009E678E">
              <w:rPr>
                <w:noProof/>
                <w:webHidden/>
              </w:rPr>
              <w:fldChar w:fldCharType="end"/>
            </w:r>
          </w:hyperlink>
        </w:p>
        <w:p w:rsidR="009E678E" w:rsidRDefault="008E4EC4">
          <w:pPr>
            <w:pStyle w:val="TOC1"/>
            <w:tabs>
              <w:tab w:val="right" w:leader="dot" w:pos="9016"/>
            </w:tabs>
            <w:rPr>
              <w:rFonts w:asciiTheme="minorHAnsi" w:eastAsiaTheme="minorEastAsia" w:hAnsiTheme="minorHAnsi" w:cstheme="minorBidi"/>
              <w:noProof/>
              <w:color w:val="auto"/>
            </w:rPr>
          </w:pPr>
          <w:hyperlink w:anchor="_Toc460323189" w:history="1">
            <w:r w:rsidR="009E678E" w:rsidRPr="00C87336">
              <w:rPr>
                <w:rStyle w:val="Hyperlink"/>
                <w:noProof/>
              </w:rPr>
              <w:t>Deterrent effect of financial penalties</w:t>
            </w:r>
            <w:r w:rsidR="009E678E">
              <w:rPr>
                <w:noProof/>
                <w:webHidden/>
              </w:rPr>
              <w:tab/>
            </w:r>
            <w:r w:rsidR="009E678E">
              <w:rPr>
                <w:noProof/>
                <w:webHidden/>
              </w:rPr>
              <w:fldChar w:fldCharType="begin"/>
            </w:r>
            <w:r w:rsidR="009E678E">
              <w:rPr>
                <w:noProof/>
                <w:webHidden/>
              </w:rPr>
              <w:instrText xml:space="preserve"> PAGEREF _Toc460323189 \h </w:instrText>
            </w:r>
            <w:r w:rsidR="009E678E">
              <w:rPr>
                <w:noProof/>
                <w:webHidden/>
              </w:rPr>
            </w:r>
            <w:r w:rsidR="009E678E">
              <w:rPr>
                <w:noProof/>
                <w:webHidden/>
              </w:rPr>
              <w:fldChar w:fldCharType="separate"/>
            </w:r>
            <w:r w:rsidR="00EE264F">
              <w:rPr>
                <w:noProof/>
                <w:webHidden/>
              </w:rPr>
              <w:t>5</w:t>
            </w:r>
            <w:r w:rsidR="009E678E">
              <w:rPr>
                <w:noProof/>
                <w:webHidden/>
              </w:rPr>
              <w:fldChar w:fldCharType="end"/>
            </w:r>
          </w:hyperlink>
        </w:p>
        <w:p w:rsidR="009E678E" w:rsidRDefault="008E4EC4">
          <w:pPr>
            <w:pStyle w:val="TOC1"/>
            <w:tabs>
              <w:tab w:val="right" w:leader="dot" w:pos="9016"/>
            </w:tabs>
            <w:rPr>
              <w:rFonts w:asciiTheme="minorHAnsi" w:eastAsiaTheme="minorEastAsia" w:hAnsiTheme="minorHAnsi" w:cstheme="minorBidi"/>
              <w:noProof/>
              <w:color w:val="auto"/>
            </w:rPr>
          </w:pPr>
          <w:hyperlink w:anchor="_Toc460323190" w:history="1">
            <w:r w:rsidR="009E678E" w:rsidRPr="00C87336">
              <w:rPr>
                <w:rStyle w:val="Hyperlink"/>
                <w:noProof/>
              </w:rPr>
              <w:t>Appropriate levels of regulator funding for effective, targeted and consistent enforcement</w:t>
            </w:r>
            <w:r w:rsidR="009E678E">
              <w:rPr>
                <w:noProof/>
                <w:webHidden/>
              </w:rPr>
              <w:tab/>
            </w:r>
            <w:r w:rsidR="009E678E">
              <w:rPr>
                <w:noProof/>
                <w:webHidden/>
              </w:rPr>
              <w:fldChar w:fldCharType="begin"/>
            </w:r>
            <w:r w:rsidR="009E678E">
              <w:rPr>
                <w:noProof/>
                <w:webHidden/>
              </w:rPr>
              <w:instrText xml:space="preserve"> PAGEREF _Toc460323190 \h </w:instrText>
            </w:r>
            <w:r w:rsidR="009E678E">
              <w:rPr>
                <w:noProof/>
                <w:webHidden/>
              </w:rPr>
            </w:r>
            <w:r w:rsidR="009E678E">
              <w:rPr>
                <w:noProof/>
                <w:webHidden/>
              </w:rPr>
              <w:fldChar w:fldCharType="separate"/>
            </w:r>
            <w:r w:rsidR="00EE264F">
              <w:rPr>
                <w:noProof/>
                <w:webHidden/>
              </w:rPr>
              <w:t>6</w:t>
            </w:r>
            <w:r w:rsidR="009E678E">
              <w:rPr>
                <w:noProof/>
                <w:webHidden/>
              </w:rPr>
              <w:fldChar w:fldCharType="end"/>
            </w:r>
          </w:hyperlink>
        </w:p>
        <w:p w:rsidR="009E678E" w:rsidRDefault="008E4EC4">
          <w:pPr>
            <w:pStyle w:val="TOC1"/>
            <w:tabs>
              <w:tab w:val="right" w:leader="dot" w:pos="9016"/>
            </w:tabs>
            <w:rPr>
              <w:rFonts w:asciiTheme="minorHAnsi" w:eastAsiaTheme="minorEastAsia" w:hAnsiTheme="minorHAnsi" w:cstheme="minorBidi"/>
              <w:noProof/>
              <w:color w:val="auto"/>
            </w:rPr>
          </w:pPr>
          <w:hyperlink w:anchor="_Toc460323191" w:history="1">
            <w:r w:rsidR="009E678E" w:rsidRPr="00C87336">
              <w:rPr>
                <w:rStyle w:val="Hyperlink"/>
                <w:noProof/>
              </w:rPr>
              <w:t>National complaints register and increased information sharing</w:t>
            </w:r>
            <w:r w:rsidR="009E678E">
              <w:rPr>
                <w:noProof/>
                <w:webHidden/>
              </w:rPr>
              <w:tab/>
            </w:r>
            <w:r w:rsidR="009E678E">
              <w:rPr>
                <w:noProof/>
                <w:webHidden/>
              </w:rPr>
              <w:fldChar w:fldCharType="begin"/>
            </w:r>
            <w:r w:rsidR="009E678E">
              <w:rPr>
                <w:noProof/>
                <w:webHidden/>
              </w:rPr>
              <w:instrText xml:space="preserve"> PAGEREF _Toc460323191 \h </w:instrText>
            </w:r>
            <w:r w:rsidR="009E678E">
              <w:rPr>
                <w:noProof/>
                <w:webHidden/>
              </w:rPr>
            </w:r>
            <w:r w:rsidR="009E678E">
              <w:rPr>
                <w:noProof/>
                <w:webHidden/>
              </w:rPr>
              <w:fldChar w:fldCharType="separate"/>
            </w:r>
            <w:r w:rsidR="00EE264F">
              <w:rPr>
                <w:noProof/>
                <w:webHidden/>
              </w:rPr>
              <w:t>8</w:t>
            </w:r>
            <w:r w:rsidR="009E678E">
              <w:rPr>
                <w:noProof/>
                <w:webHidden/>
              </w:rPr>
              <w:fldChar w:fldCharType="end"/>
            </w:r>
          </w:hyperlink>
        </w:p>
        <w:p w:rsidR="009E678E" w:rsidRDefault="008E4EC4">
          <w:pPr>
            <w:pStyle w:val="TOC1"/>
            <w:tabs>
              <w:tab w:val="right" w:leader="dot" w:pos="9016"/>
            </w:tabs>
            <w:rPr>
              <w:rFonts w:asciiTheme="minorHAnsi" w:eastAsiaTheme="minorEastAsia" w:hAnsiTheme="minorHAnsi" w:cstheme="minorBidi"/>
              <w:noProof/>
              <w:color w:val="auto"/>
            </w:rPr>
          </w:pPr>
          <w:hyperlink w:anchor="_Toc460323192" w:history="1">
            <w:r w:rsidR="009E678E" w:rsidRPr="00C87336">
              <w:rPr>
                <w:rStyle w:val="Hyperlink"/>
                <w:noProof/>
              </w:rPr>
              <w:t>Comprehensive, frequent and timely, consistent and accessible public reporting</w:t>
            </w:r>
            <w:r w:rsidR="009E678E">
              <w:rPr>
                <w:noProof/>
                <w:webHidden/>
              </w:rPr>
              <w:tab/>
            </w:r>
            <w:r w:rsidR="009E678E">
              <w:rPr>
                <w:noProof/>
                <w:webHidden/>
              </w:rPr>
              <w:fldChar w:fldCharType="begin"/>
            </w:r>
            <w:r w:rsidR="009E678E">
              <w:rPr>
                <w:noProof/>
                <w:webHidden/>
              </w:rPr>
              <w:instrText xml:space="preserve"> PAGEREF _Toc460323192 \h </w:instrText>
            </w:r>
            <w:r w:rsidR="009E678E">
              <w:rPr>
                <w:noProof/>
                <w:webHidden/>
              </w:rPr>
            </w:r>
            <w:r w:rsidR="009E678E">
              <w:rPr>
                <w:noProof/>
                <w:webHidden/>
              </w:rPr>
              <w:fldChar w:fldCharType="separate"/>
            </w:r>
            <w:r w:rsidR="00EE264F">
              <w:rPr>
                <w:noProof/>
                <w:webHidden/>
              </w:rPr>
              <w:t>9</w:t>
            </w:r>
            <w:r w:rsidR="009E678E">
              <w:rPr>
                <w:noProof/>
                <w:webHidden/>
              </w:rPr>
              <w:fldChar w:fldCharType="end"/>
            </w:r>
          </w:hyperlink>
        </w:p>
        <w:p w:rsidR="009E678E" w:rsidRDefault="008E4EC4">
          <w:pPr>
            <w:pStyle w:val="TOC2"/>
            <w:tabs>
              <w:tab w:val="right" w:leader="dot" w:pos="9016"/>
            </w:tabs>
            <w:rPr>
              <w:rFonts w:asciiTheme="minorHAnsi" w:eastAsiaTheme="minorEastAsia" w:hAnsiTheme="minorHAnsi" w:cstheme="minorBidi"/>
              <w:noProof/>
              <w:color w:val="auto"/>
            </w:rPr>
          </w:pPr>
          <w:hyperlink w:anchor="_Toc460323193" w:history="1">
            <w:r w:rsidR="009E678E">
              <w:rPr>
                <w:rStyle w:val="Hyperlink"/>
                <w:noProof/>
              </w:rPr>
              <w:t xml:space="preserve">(a) </w:t>
            </w:r>
            <w:r w:rsidR="009E678E" w:rsidRPr="00C87336">
              <w:rPr>
                <w:rStyle w:val="Hyperlink"/>
                <w:noProof/>
              </w:rPr>
              <w:t>Complaints reporting</w:t>
            </w:r>
            <w:r w:rsidR="009E678E">
              <w:rPr>
                <w:noProof/>
                <w:webHidden/>
              </w:rPr>
              <w:tab/>
            </w:r>
            <w:r w:rsidR="009E678E">
              <w:rPr>
                <w:noProof/>
                <w:webHidden/>
              </w:rPr>
              <w:fldChar w:fldCharType="begin"/>
            </w:r>
            <w:r w:rsidR="009E678E">
              <w:rPr>
                <w:noProof/>
                <w:webHidden/>
              </w:rPr>
              <w:instrText xml:space="preserve"> PAGEREF _Toc460323193 \h </w:instrText>
            </w:r>
            <w:r w:rsidR="009E678E">
              <w:rPr>
                <w:noProof/>
                <w:webHidden/>
              </w:rPr>
            </w:r>
            <w:r w:rsidR="009E678E">
              <w:rPr>
                <w:noProof/>
                <w:webHidden/>
              </w:rPr>
              <w:fldChar w:fldCharType="separate"/>
            </w:r>
            <w:r w:rsidR="00EE264F">
              <w:rPr>
                <w:noProof/>
                <w:webHidden/>
              </w:rPr>
              <w:t>9</w:t>
            </w:r>
            <w:r w:rsidR="009E678E">
              <w:rPr>
                <w:noProof/>
                <w:webHidden/>
              </w:rPr>
              <w:fldChar w:fldCharType="end"/>
            </w:r>
          </w:hyperlink>
        </w:p>
        <w:p w:rsidR="009E678E" w:rsidRDefault="008E4EC4">
          <w:pPr>
            <w:pStyle w:val="TOC2"/>
            <w:tabs>
              <w:tab w:val="right" w:leader="dot" w:pos="9016"/>
            </w:tabs>
            <w:rPr>
              <w:rFonts w:asciiTheme="minorHAnsi" w:eastAsiaTheme="minorEastAsia" w:hAnsiTheme="minorHAnsi" w:cstheme="minorBidi"/>
              <w:noProof/>
              <w:color w:val="auto"/>
            </w:rPr>
          </w:pPr>
          <w:hyperlink w:anchor="_Toc460323194" w:history="1">
            <w:r w:rsidR="009E678E" w:rsidRPr="00C87336">
              <w:rPr>
                <w:rStyle w:val="Hyperlink"/>
                <w:noProof/>
              </w:rPr>
              <w:t>(b) Enforcement reporting</w:t>
            </w:r>
            <w:r w:rsidR="009E678E">
              <w:rPr>
                <w:noProof/>
                <w:webHidden/>
              </w:rPr>
              <w:tab/>
            </w:r>
            <w:r w:rsidR="009E678E">
              <w:rPr>
                <w:noProof/>
                <w:webHidden/>
              </w:rPr>
              <w:fldChar w:fldCharType="begin"/>
            </w:r>
            <w:r w:rsidR="009E678E">
              <w:rPr>
                <w:noProof/>
                <w:webHidden/>
              </w:rPr>
              <w:instrText xml:space="preserve"> PAGEREF _Toc460323194 \h </w:instrText>
            </w:r>
            <w:r w:rsidR="009E678E">
              <w:rPr>
                <w:noProof/>
                <w:webHidden/>
              </w:rPr>
            </w:r>
            <w:r w:rsidR="009E678E">
              <w:rPr>
                <w:noProof/>
                <w:webHidden/>
              </w:rPr>
              <w:fldChar w:fldCharType="separate"/>
            </w:r>
            <w:r w:rsidR="00EE264F">
              <w:rPr>
                <w:noProof/>
                <w:webHidden/>
              </w:rPr>
              <w:t>10</w:t>
            </w:r>
            <w:r w:rsidR="009E678E">
              <w:rPr>
                <w:noProof/>
                <w:webHidden/>
              </w:rPr>
              <w:fldChar w:fldCharType="end"/>
            </w:r>
          </w:hyperlink>
        </w:p>
        <w:p w:rsidR="009E678E" w:rsidRDefault="008E4EC4">
          <w:pPr>
            <w:pStyle w:val="TOC1"/>
            <w:tabs>
              <w:tab w:val="right" w:leader="dot" w:pos="9016"/>
            </w:tabs>
            <w:rPr>
              <w:rFonts w:asciiTheme="minorHAnsi" w:eastAsiaTheme="minorEastAsia" w:hAnsiTheme="minorHAnsi" w:cstheme="minorBidi"/>
              <w:noProof/>
              <w:color w:val="auto"/>
            </w:rPr>
          </w:pPr>
          <w:hyperlink w:anchor="_Toc460323195" w:history="1">
            <w:r w:rsidR="009E678E" w:rsidRPr="00C87336">
              <w:rPr>
                <w:rStyle w:val="Hyperlink"/>
                <w:noProof/>
              </w:rPr>
              <w:t>Super complaints scheme</w:t>
            </w:r>
            <w:r w:rsidR="009E678E">
              <w:rPr>
                <w:noProof/>
                <w:webHidden/>
              </w:rPr>
              <w:tab/>
            </w:r>
            <w:r w:rsidR="009E678E">
              <w:rPr>
                <w:noProof/>
                <w:webHidden/>
              </w:rPr>
              <w:fldChar w:fldCharType="begin"/>
            </w:r>
            <w:r w:rsidR="009E678E">
              <w:rPr>
                <w:noProof/>
                <w:webHidden/>
              </w:rPr>
              <w:instrText xml:space="preserve"> PAGEREF _Toc460323195 \h </w:instrText>
            </w:r>
            <w:r w:rsidR="009E678E">
              <w:rPr>
                <w:noProof/>
                <w:webHidden/>
              </w:rPr>
            </w:r>
            <w:r w:rsidR="009E678E">
              <w:rPr>
                <w:noProof/>
                <w:webHidden/>
              </w:rPr>
              <w:fldChar w:fldCharType="separate"/>
            </w:r>
            <w:r w:rsidR="00EE264F">
              <w:rPr>
                <w:noProof/>
                <w:webHidden/>
              </w:rPr>
              <w:t>12</w:t>
            </w:r>
            <w:r w:rsidR="009E678E">
              <w:rPr>
                <w:noProof/>
                <w:webHidden/>
              </w:rPr>
              <w:fldChar w:fldCharType="end"/>
            </w:r>
          </w:hyperlink>
        </w:p>
        <w:p w:rsidR="00173BD2" w:rsidRDefault="00173BD2">
          <w:r>
            <w:rPr>
              <w:b/>
              <w:bCs/>
              <w:noProof/>
            </w:rPr>
            <w:fldChar w:fldCharType="end"/>
          </w:r>
        </w:p>
      </w:sdtContent>
    </w:sdt>
    <w:p w:rsidR="00454FA9" w:rsidRDefault="008E4EC4">
      <w:hyperlink w:anchor="_Toc459806961"/>
    </w:p>
    <w:p w:rsidR="00454FA9" w:rsidRDefault="00A27C56">
      <w:r>
        <w:br w:type="page"/>
      </w:r>
    </w:p>
    <w:p w:rsidR="00454FA9" w:rsidRDefault="00A27C56" w:rsidP="003C6991">
      <w:pPr>
        <w:pStyle w:val="Heading1"/>
      </w:pPr>
      <w:bookmarkStart w:id="0" w:name="_gjdgxs" w:colFirst="0" w:colLast="0"/>
      <w:bookmarkStart w:id="1" w:name="_Toc460323187"/>
      <w:bookmarkEnd w:id="0"/>
      <w:r>
        <w:lastRenderedPageBreak/>
        <w:t>Introduction</w:t>
      </w:r>
      <w:bookmarkEnd w:id="1"/>
    </w:p>
    <w:p w:rsidR="00AD55B1" w:rsidRDefault="001E6608" w:rsidP="00D826B5">
      <w:bookmarkStart w:id="2" w:name="_k0a5v95fbi0s" w:colFirst="0" w:colLast="0"/>
      <w:bookmarkEnd w:id="2"/>
      <w:r>
        <w:br/>
      </w:r>
      <w:r w:rsidR="00A27C56">
        <w:t xml:space="preserve">The Australian Communications Consumer Action Network (ACCAN) welcomes the Productivity Commission’s </w:t>
      </w:r>
      <w:r w:rsidR="005159E0">
        <w:t>Inquiry into</w:t>
      </w:r>
      <w:r w:rsidR="00A27C56">
        <w:t xml:space="preserve"> Consumer Law Enforcement and Administration.  </w:t>
      </w:r>
      <w:r w:rsidR="00A27C56">
        <w:rPr>
          <w:b/>
        </w:rPr>
        <w:br/>
      </w:r>
      <w:r w:rsidR="00A27C56">
        <w:rPr>
          <w:b/>
        </w:rPr>
        <w:br/>
      </w:r>
      <w:r w:rsidR="00A27C56">
        <w:t xml:space="preserve">Since the Australian Consumer Law </w:t>
      </w:r>
      <w:r w:rsidR="00BF74A3">
        <w:t>was introduced</w:t>
      </w:r>
      <w:r w:rsidR="00F51BB2">
        <w:t xml:space="preserve"> five years ago</w:t>
      </w:r>
      <w:r w:rsidR="00A27C56">
        <w:t>, there have been a number of developments in both the general consumer and telecommunications market</w:t>
      </w:r>
      <w:r>
        <w:t>s</w:t>
      </w:r>
      <w:r w:rsidR="00A27C56">
        <w:t xml:space="preserve">. </w:t>
      </w:r>
      <w:r w:rsidR="00F735E8">
        <w:t xml:space="preserve"> </w:t>
      </w:r>
      <w:r w:rsidR="00A27C56">
        <w:t>In January 2011, 49% of</w:t>
      </w:r>
      <w:r w:rsidR="001F110E">
        <w:t xml:space="preserve"> Australian</w:t>
      </w:r>
      <w:r w:rsidR="00A27C56">
        <w:t xml:space="preserve"> adults</w:t>
      </w:r>
      <w:r w:rsidR="001F110E">
        <w:t xml:space="preserve"> used a smartphone</w:t>
      </w:r>
      <w:r w:rsidR="00A27C56" w:rsidRPr="00AF5A48">
        <w:t>.</w:t>
      </w:r>
      <w:r w:rsidR="00A27C56" w:rsidRPr="00AF5A48">
        <w:rPr>
          <w:vertAlign w:val="superscript"/>
        </w:rPr>
        <w:footnoteReference w:id="2"/>
      </w:r>
      <w:r w:rsidR="00A27C56" w:rsidRPr="00AF5A48">
        <w:t xml:space="preserve"> </w:t>
      </w:r>
      <w:r w:rsidR="008F4684">
        <w:t>By</w:t>
      </w:r>
      <w:r w:rsidR="00A27C56" w:rsidRPr="00AF5A48">
        <w:t xml:space="preserve"> 2015, this</w:t>
      </w:r>
      <w:r w:rsidR="00E672BC" w:rsidRPr="00AF5A48">
        <w:t xml:space="preserve"> increased to almost 80%.</w:t>
      </w:r>
      <w:r w:rsidR="00A27C56">
        <w:rPr>
          <w:vertAlign w:val="superscript"/>
        </w:rPr>
        <w:footnoteReference w:id="3"/>
      </w:r>
      <w:r w:rsidR="00A27C56">
        <w:t xml:space="preserve">  </w:t>
      </w:r>
      <w:r w:rsidR="001A0D8C">
        <w:t>There has also been a 25% increase in broadband subscribers,</w:t>
      </w:r>
      <w:r w:rsidR="00A27C56">
        <w:t xml:space="preserve"> from 10.3 million to 12.8 million</w:t>
      </w:r>
      <w:r w:rsidR="001A0D8C">
        <w:t xml:space="preserve"> over the same period</w:t>
      </w:r>
      <w:r w:rsidR="00A27C56">
        <w:t>.</w:t>
      </w:r>
      <w:r w:rsidR="00A27C56">
        <w:rPr>
          <w:vertAlign w:val="superscript"/>
        </w:rPr>
        <w:footnoteReference w:id="4"/>
      </w:r>
      <w:r w:rsidR="00A27C56">
        <w:t xml:space="preserve"> </w:t>
      </w:r>
      <w:bookmarkStart w:id="3" w:name="_1fob9te" w:colFirst="0" w:colLast="0"/>
      <w:bookmarkEnd w:id="3"/>
      <w:r w:rsidR="008B531A">
        <w:t xml:space="preserve"> </w:t>
      </w:r>
    </w:p>
    <w:p w:rsidR="00D826B5" w:rsidRDefault="00BE1D2D" w:rsidP="00D826B5">
      <w:r>
        <w:t>At the same time, there has been a significant increase</w:t>
      </w:r>
      <w:r w:rsidR="00A27C56">
        <w:t xml:space="preserve"> in the number of goods and services </w:t>
      </w:r>
      <w:r w:rsidR="00D328C0">
        <w:t>consumed</w:t>
      </w:r>
      <w:r w:rsidR="00A27C56">
        <w:t xml:space="preserve"> by </w:t>
      </w:r>
      <w:r w:rsidR="009856A7">
        <w:t>users</w:t>
      </w:r>
      <w:r w:rsidR="00587430">
        <w:t xml:space="preserve">.  </w:t>
      </w:r>
      <w:r w:rsidR="00A27C56">
        <w:t xml:space="preserve">For each device used on a communications service (for example, a mobile phone), there </w:t>
      </w:r>
      <w:r w:rsidR="004E77D4">
        <w:t xml:space="preserve">are </w:t>
      </w:r>
      <w:r w:rsidR="00A27C56">
        <w:t>flow-on purchases, including app purchases, digit</w:t>
      </w:r>
      <w:r w:rsidR="002326D4">
        <w:t xml:space="preserve">al media content (such as </w:t>
      </w:r>
      <w:r w:rsidR="006B537F">
        <w:t>movies and TV shows purchased on iTunes</w:t>
      </w:r>
      <w:r w:rsidR="00587430">
        <w:t xml:space="preserve">) and subscription streaming </w:t>
      </w:r>
      <w:r w:rsidR="00A27C56">
        <w:t xml:space="preserve">services (for </w:t>
      </w:r>
      <w:r w:rsidR="00AF5A48">
        <w:t>example, Spotify and Netflix).</w:t>
      </w:r>
      <w:r w:rsidR="006A2D15">
        <w:t xml:space="preserve">  In addition, communications services are used to drive consumption of goods and</w:t>
      </w:r>
      <w:r w:rsidR="008B531A">
        <w:t xml:space="preserve"> services in the offline world by connecting </w:t>
      </w:r>
      <w:r w:rsidR="006A2D15">
        <w:t>consumers with bricks and mortar businesses</w:t>
      </w:r>
      <w:r w:rsidR="007B5E92">
        <w:t>. There is also a strong push from</w:t>
      </w:r>
      <w:r w:rsidR="00D826B5">
        <w:t xml:space="preserve"> government a</w:t>
      </w:r>
      <w:r w:rsidR="00682F74">
        <w:t>nd business to drive citizen/</w:t>
      </w:r>
      <w:r w:rsidR="00D826B5">
        <w:t xml:space="preserve">consumer interactions online.  </w:t>
      </w:r>
      <w:r w:rsidR="009D035D">
        <w:t>In a 2015 survey, 72% of public sector leaders said that digital technologies are disrupting the public sector.</w:t>
      </w:r>
      <w:r w:rsidR="009D035D">
        <w:rPr>
          <w:rStyle w:val="FootnoteReference"/>
        </w:rPr>
        <w:footnoteReference w:id="5"/>
      </w:r>
      <w:r w:rsidR="009D035D">
        <w:t xml:space="preserve"> </w:t>
      </w:r>
      <w:r w:rsidR="00CD5B5E">
        <w:t xml:space="preserve"> </w:t>
      </w:r>
      <w:r w:rsidR="00D826B5">
        <w:t>Examples of this trend include consumers being en</w:t>
      </w:r>
      <w:r w:rsidR="00A66853">
        <w:t xml:space="preserve">couraged to use online services to access Centrelink and Medicare, </w:t>
      </w:r>
      <w:r w:rsidR="00D826B5">
        <w:t xml:space="preserve">instead of making a phone call. </w:t>
      </w:r>
      <w:r w:rsidR="00BD57D9">
        <w:t xml:space="preserve">A </w:t>
      </w:r>
      <w:r w:rsidR="00F47D28">
        <w:t xml:space="preserve">basic </w:t>
      </w:r>
      <w:r w:rsidR="00BD57D9">
        <w:t xml:space="preserve">example of business use of technology is </w:t>
      </w:r>
      <w:r w:rsidR="00D826B5">
        <w:t xml:space="preserve">the use of electronic bills </w:t>
      </w:r>
      <w:r w:rsidR="00FF5515">
        <w:t xml:space="preserve">instead of </w:t>
      </w:r>
      <w:r w:rsidR="00D826B5">
        <w:t>paper</w:t>
      </w:r>
      <w:r w:rsidR="00FF5515">
        <w:t>-based</w:t>
      </w:r>
      <w:r w:rsidR="00D826B5">
        <w:t xml:space="preserve"> bills. </w:t>
      </w:r>
      <w:r w:rsidR="009D035D">
        <w:t xml:space="preserve"> </w:t>
      </w:r>
    </w:p>
    <w:p w:rsidR="00FE396B" w:rsidRDefault="008815AE">
      <w:r>
        <w:t>The increasing u</w:t>
      </w:r>
      <w:r w:rsidR="00CB564E">
        <w:t>se of technology</w:t>
      </w:r>
      <w:r>
        <w:t xml:space="preserve"> across all aspects of the economy</w:t>
      </w:r>
      <w:r w:rsidR="00D65F52">
        <w:t xml:space="preserve"> indicate</w:t>
      </w:r>
      <w:r>
        <w:t>s</w:t>
      </w:r>
      <w:r w:rsidR="00D65F52">
        <w:t xml:space="preserve"> the strategic importance of the </w:t>
      </w:r>
      <w:r w:rsidR="00A27C56">
        <w:t xml:space="preserve">underlying telecommunications service, </w:t>
      </w:r>
      <w:r w:rsidR="00D65F52">
        <w:t xml:space="preserve">and </w:t>
      </w:r>
      <w:r w:rsidR="001A7AC7">
        <w:t xml:space="preserve">for </w:t>
      </w:r>
      <w:r w:rsidR="00D65F52">
        <w:t xml:space="preserve">ensuring that consumers have access to affordable, accessible and available services.  </w:t>
      </w:r>
      <w:r w:rsidR="00B707B9">
        <w:t>A</w:t>
      </w:r>
      <w:r w:rsidR="00A27C56">
        <w:t>CCAN has provided feedback on a number of these emerging and ongoing issues.</w:t>
      </w:r>
      <w:r w:rsidR="00A93637">
        <w:t xml:space="preserve"> </w:t>
      </w:r>
      <w:r w:rsidR="00D826B5">
        <w:br/>
      </w:r>
    </w:p>
    <w:p w:rsidR="00454FA9" w:rsidRDefault="00A27C56" w:rsidP="003C6991">
      <w:pPr>
        <w:pStyle w:val="Heading1"/>
      </w:pPr>
      <w:bookmarkStart w:id="4" w:name="_3znysh7" w:colFirst="0" w:colLast="0"/>
      <w:bookmarkStart w:id="5" w:name="_Toc460323188"/>
      <w:bookmarkEnd w:id="4"/>
      <w:r>
        <w:lastRenderedPageBreak/>
        <w:t>List of recommendations</w:t>
      </w:r>
      <w:bookmarkEnd w:id="5"/>
      <w:r>
        <w:br/>
      </w:r>
    </w:p>
    <w:p w:rsidR="008848A1" w:rsidRDefault="00A27C56" w:rsidP="00064A29">
      <w:pPr>
        <w:pStyle w:val="ListParagraph"/>
        <w:numPr>
          <w:ilvl w:val="0"/>
          <w:numId w:val="3"/>
        </w:numPr>
        <w:pBdr>
          <w:top w:val="single" w:sz="12" w:space="1" w:color="00B0F0"/>
          <w:left w:val="single" w:sz="12" w:space="4" w:color="00B0F0"/>
          <w:bottom w:val="single" w:sz="12" w:space="1" w:color="00B0F0"/>
          <w:right w:val="single" w:sz="12" w:space="4" w:color="00B0F0"/>
        </w:pBdr>
        <w:ind w:right="851"/>
      </w:pPr>
      <w:bookmarkStart w:id="6" w:name="_2et92p0" w:colFirst="0" w:colLast="0"/>
      <w:bookmarkEnd w:id="6"/>
      <w:r>
        <w:t xml:space="preserve">Improve the deterrent effect of financial penalties by increasing caps, allowing judicial consideration of revenue earned and inflationary pegging. </w:t>
      </w:r>
      <w:r w:rsidR="008848A1">
        <w:br/>
      </w:r>
    </w:p>
    <w:p w:rsidR="008848A1" w:rsidRDefault="00E9401C" w:rsidP="00064A29">
      <w:pPr>
        <w:pStyle w:val="ListParagraph"/>
        <w:numPr>
          <w:ilvl w:val="0"/>
          <w:numId w:val="3"/>
        </w:numPr>
        <w:pBdr>
          <w:top w:val="single" w:sz="12" w:space="1" w:color="00B0F0"/>
          <w:left w:val="single" w:sz="12" w:space="4" w:color="00B0F0"/>
          <w:bottom w:val="single" w:sz="12" w:space="1" w:color="00B0F0"/>
          <w:right w:val="single" w:sz="12" w:space="4" w:color="00B0F0"/>
        </w:pBdr>
        <w:ind w:right="851"/>
      </w:pPr>
      <w:r>
        <w:t>That ACL regulators</w:t>
      </w:r>
      <w:r w:rsidRPr="00011183">
        <w:t xml:space="preserve"> should be appropriately funded to engage in effective monitoring and enforcement, includin</w:t>
      </w:r>
      <w:r>
        <w:t>g a greater use of test cases to clarify the application of the ACL.</w:t>
      </w:r>
      <w:r w:rsidR="008848A1">
        <w:br/>
      </w:r>
    </w:p>
    <w:p w:rsidR="008848A1" w:rsidRDefault="00D4721B" w:rsidP="00064A29">
      <w:pPr>
        <w:pStyle w:val="ListParagraph"/>
        <w:numPr>
          <w:ilvl w:val="0"/>
          <w:numId w:val="3"/>
        </w:numPr>
        <w:pBdr>
          <w:top w:val="single" w:sz="12" w:space="1" w:color="00B0F0"/>
          <w:left w:val="single" w:sz="12" w:space="4" w:color="00B0F0"/>
          <w:bottom w:val="single" w:sz="12" w:space="1" w:color="00B0F0"/>
          <w:right w:val="single" w:sz="12" w:space="4" w:color="00B0F0"/>
        </w:pBdr>
        <w:ind w:right="851"/>
      </w:pPr>
      <w:r w:rsidRPr="00011183">
        <w:t xml:space="preserve">That ACL regulators </w:t>
      </w:r>
      <w:r>
        <w:t xml:space="preserve">continue to work towards the establishment of a national complaints register and further </w:t>
      </w:r>
      <w:r w:rsidRPr="00011183">
        <w:t xml:space="preserve">broaden the use of </w:t>
      </w:r>
      <w:r>
        <w:t xml:space="preserve">existing </w:t>
      </w:r>
      <w:r w:rsidRPr="00011183">
        <w:t>information sharin</w:t>
      </w:r>
      <w:r>
        <w:t>g avenues</w:t>
      </w:r>
      <w:r w:rsidRPr="00011183">
        <w:t>.</w:t>
      </w:r>
      <w:r w:rsidR="008848A1">
        <w:br/>
      </w:r>
    </w:p>
    <w:p w:rsidR="008848A1" w:rsidRDefault="007256EF" w:rsidP="00064A29">
      <w:pPr>
        <w:pStyle w:val="ListParagraph"/>
        <w:numPr>
          <w:ilvl w:val="0"/>
          <w:numId w:val="3"/>
        </w:numPr>
        <w:pBdr>
          <w:top w:val="single" w:sz="12" w:space="1" w:color="00B0F0"/>
          <w:left w:val="single" w:sz="12" w:space="4" w:color="00B0F0"/>
          <w:bottom w:val="single" w:sz="12" w:space="1" w:color="00B0F0"/>
          <w:right w:val="single" w:sz="12" w:space="4" w:color="00B0F0"/>
        </w:pBdr>
        <w:ind w:right="851"/>
      </w:pPr>
      <w:r>
        <w:t xml:space="preserve">That </w:t>
      </w:r>
      <w:r w:rsidR="00F31412">
        <w:t>ACL regulators engage in c</w:t>
      </w:r>
      <w:r w:rsidR="00F36C63">
        <w:t>omprehensive, frequent and timely, consistent and accessible public reporting</w:t>
      </w:r>
      <w:r w:rsidR="00AB4CAA">
        <w:t xml:space="preserve"> of </w:t>
      </w:r>
      <w:r w:rsidR="001124E7">
        <w:t xml:space="preserve">(a) </w:t>
      </w:r>
      <w:r w:rsidR="00AB4CAA">
        <w:t xml:space="preserve">complaints and </w:t>
      </w:r>
      <w:r w:rsidR="001124E7">
        <w:t xml:space="preserve">(b) </w:t>
      </w:r>
      <w:r w:rsidR="00AB4CAA">
        <w:t>enforcement</w:t>
      </w:r>
      <w:r w:rsidR="00AD55B1">
        <w:t xml:space="preserve"> actions.</w:t>
      </w:r>
      <w:r w:rsidR="00F04F3E">
        <w:br/>
      </w:r>
    </w:p>
    <w:p w:rsidR="00E02F8C" w:rsidRDefault="00306AFF" w:rsidP="00064A29">
      <w:pPr>
        <w:pStyle w:val="ListParagraph"/>
        <w:numPr>
          <w:ilvl w:val="0"/>
          <w:numId w:val="3"/>
        </w:numPr>
        <w:pBdr>
          <w:top w:val="single" w:sz="12" w:space="1" w:color="00B0F0"/>
          <w:left w:val="single" w:sz="12" w:space="4" w:color="00B0F0"/>
          <w:bottom w:val="single" w:sz="12" w:space="1" w:color="00B0F0"/>
          <w:right w:val="single" w:sz="12" w:space="4" w:color="00B0F0"/>
        </w:pBdr>
        <w:ind w:right="851"/>
      </w:pPr>
      <w:r>
        <w:t>That the Commission investigate</w:t>
      </w:r>
      <w:r w:rsidR="009E678E">
        <w:t>s</w:t>
      </w:r>
      <w:r>
        <w:t xml:space="preserve"> the merits of a ‘super complaints’ scheme</w:t>
      </w:r>
      <w:r w:rsidR="008848A1">
        <w:t>.</w:t>
      </w:r>
    </w:p>
    <w:p w:rsidR="00454FA9" w:rsidRDefault="00A27C56" w:rsidP="003C6991">
      <w:pPr>
        <w:pStyle w:val="Heading1"/>
      </w:pPr>
      <w:bookmarkStart w:id="7" w:name="_tyjcwt" w:colFirst="0" w:colLast="0"/>
      <w:bookmarkStart w:id="8" w:name="_Toc460323189"/>
      <w:bookmarkEnd w:id="7"/>
      <w:r>
        <w:t>Deterrent effect of financial penalties</w:t>
      </w:r>
      <w:bookmarkEnd w:id="8"/>
      <w:r w:rsidR="00673485">
        <w:br/>
      </w:r>
    </w:p>
    <w:p w:rsidR="00454FA9" w:rsidRDefault="00A27C56">
      <w:r>
        <w:t>The maximum financial penalties currently available under the ACL ($1.1 million for companies and $220,000 for individuals) were set when the law was introduced in January 2011. They apply to breaches of false or misleading representations, unconscionable conduct, pyramid selling and product safety. Based on the circumstances it is up to the courts to determine the penalty amount up to these maximum limits.</w:t>
      </w:r>
    </w:p>
    <w:p w:rsidR="00454FA9" w:rsidRDefault="00A27C56">
      <w:r>
        <w:t>While fixed caps give some certainty to business, the deterrent effect can be undermined if profit from breaching behaviour outweighs the penalty. The Federal Court identified this as an issue in unconscionable conduct proceedings brought by the ACCC against Coles Supermarkets.</w:t>
      </w:r>
      <w:r>
        <w:rPr>
          <w:vertAlign w:val="superscript"/>
        </w:rPr>
        <w:footnoteReference w:id="6"/>
      </w:r>
      <w:r>
        <w:t xml:space="preserve"> For a company with annual revenue in excess of $22 billion, a $1.1 million penalty may be insufficient to change behaviour. The same could be said of large telecommunications operators, such as Telstra which has annual revenue in excess of $26 billion.</w:t>
      </w:r>
      <w:r>
        <w:rPr>
          <w:vertAlign w:val="superscript"/>
        </w:rPr>
        <w:footnoteReference w:id="7"/>
      </w:r>
      <w:r>
        <w:t xml:space="preserve"> </w:t>
      </w:r>
    </w:p>
    <w:p w:rsidR="00454FA9" w:rsidRDefault="00A27C56">
      <w:r>
        <w:t>In 2014 Telstra was issued a $102,000 penalty by the ACCC for advertisements which misrepresented the price of a new iPhone 6 phone plan bundle.</w:t>
      </w:r>
      <w:r>
        <w:rPr>
          <w:vertAlign w:val="superscript"/>
        </w:rPr>
        <w:footnoteReference w:id="8"/>
      </w:r>
      <w:r>
        <w:t xml:space="preserve"> According to Telstra’s 2014/15 Annual Report “Mobile hardware revenue grew by 26.3 per cent to $1,886 million due to an increase in average revenue per post-paid handset (higher average recommended retail price), together with </w:t>
      </w:r>
      <w:r>
        <w:lastRenderedPageBreak/>
        <w:t>an increase in handset recontracts as a result of the iPhone 6 launch during the year”.</w:t>
      </w:r>
      <w:r>
        <w:rPr>
          <w:vertAlign w:val="superscript"/>
        </w:rPr>
        <w:footnoteReference w:id="9"/>
      </w:r>
      <w:r>
        <w:t xml:space="preserve"> In the context of more than a $400 million increase in revenue, largely attributed to increased sales of the iPhone 6, the same product which was found to have misleading advertising, the deterrent effect of a $102,000 penalty is questionable. It should be noted that the ACCC did not seek the maximum penalty in this case. However, the ACL review is considering an approach to penalties which better reflects the revenues of an offending business.</w:t>
      </w:r>
      <w:r w:rsidR="00011183">
        <w:br/>
      </w:r>
    </w:p>
    <w:p w:rsidR="00454FA9" w:rsidRDefault="00A27C56" w:rsidP="00064A29">
      <w:pPr>
        <w:pBdr>
          <w:top w:val="single" w:sz="12" w:space="1" w:color="00B0F0"/>
          <w:left w:val="single" w:sz="12" w:space="4" w:color="00B0F0"/>
          <w:bottom w:val="single" w:sz="12" w:space="1" w:color="00B0F0"/>
          <w:right w:val="single" w:sz="12" w:space="4" w:color="00B0F0"/>
        </w:pBdr>
        <w:jc w:val="both"/>
      </w:pPr>
      <w:r w:rsidRPr="00064A29">
        <w:rPr>
          <w:b/>
        </w:rPr>
        <w:t>Recommendation 1:</w:t>
      </w:r>
      <w:r w:rsidRPr="00011183">
        <w:t xml:space="preserve"> Improve the deterrent effect of financial penalties by increasing caps, allowing judicial consideration of revenue earned and inflationary pegging.</w:t>
      </w:r>
      <w:r>
        <w:t xml:space="preserve"> </w:t>
      </w:r>
    </w:p>
    <w:p w:rsidR="00454FA9" w:rsidRDefault="00A27C56" w:rsidP="003C6991">
      <w:pPr>
        <w:pStyle w:val="Heading1"/>
      </w:pPr>
      <w:bookmarkStart w:id="10" w:name="_3dy6vkm" w:colFirst="0" w:colLast="0"/>
      <w:bookmarkStart w:id="11" w:name="_Toc460323190"/>
      <w:bookmarkEnd w:id="10"/>
      <w:r>
        <w:t>Appropr</w:t>
      </w:r>
      <w:r w:rsidR="0083066E">
        <w:t xml:space="preserve">iate levels of regulator funding for effective, targeted </w:t>
      </w:r>
      <w:r w:rsidR="005755BB">
        <w:t>and consistent enforcement</w:t>
      </w:r>
      <w:bookmarkEnd w:id="11"/>
      <w:r w:rsidR="007D1962">
        <w:br/>
      </w:r>
    </w:p>
    <w:p w:rsidR="00454FA9" w:rsidRDefault="00A27C56" w:rsidP="00257E43">
      <w:r>
        <w:t xml:space="preserve">An effective consumer protection system requires regulators </w:t>
      </w:r>
      <w:r w:rsidR="007D62A1">
        <w:t>to be properly funded</w:t>
      </w:r>
      <w:r>
        <w:t xml:space="preserve"> </w:t>
      </w:r>
      <w:r w:rsidR="007D62A1">
        <w:t>to enforce the law</w:t>
      </w:r>
      <w:r>
        <w:t xml:space="preserve">.  </w:t>
      </w:r>
      <w:r w:rsidR="00D826B5">
        <w:t xml:space="preserve">As outlined in the </w:t>
      </w:r>
      <w:r w:rsidR="00FC68EF">
        <w:t>introduction</w:t>
      </w:r>
      <w:r w:rsidR="00D826B5">
        <w:t xml:space="preserve">, there has been huge growth in the consumption of goods and services connected to an underlying telecommunications services.  This trend is only going to increase in future years.  </w:t>
      </w:r>
      <w:r w:rsidR="00DA3D3E">
        <w:t xml:space="preserve"> </w:t>
      </w:r>
      <w:r>
        <w:t xml:space="preserve">In addition to the increased </w:t>
      </w:r>
      <w:r w:rsidR="0072378B">
        <w:t>engagement with telecommunications services</w:t>
      </w:r>
      <w:r w:rsidR="00A873BA">
        <w:t>,</w:t>
      </w:r>
      <w:r>
        <w:t xml:space="preserve"> there has also been a general rise in the number of complaints received by consumer regulators. In the last year, </w:t>
      </w:r>
      <w:r w:rsidR="00A873BA">
        <w:t xml:space="preserve">ACL-related </w:t>
      </w:r>
      <w:r w:rsidR="00AB0AB5">
        <w:t>contacts</w:t>
      </w:r>
      <w:r w:rsidR="00A873BA">
        <w:t xml:space="preserve"> to the ACCC increased by</w:t>
      </w:r>
      <w:r>
        <w:t xml:space="preserve"> 15%.</w:t>
      </w:r>
      <w:r>
        <w:rPr>
          <w:vertAlign w:val="superscript"/>
        </w:rPr>
        <w:footnoteReference w:id="10"/>
      </w:r>
      <w:r>
        <w:t xml:space="preserve"> </w:t>
      </w:r>
      <w:r w:rsidR="00761201">
        <w:t xml:space="preserve"> </w:t>
      </w:r>
      <w:r>
        <w:t xml:space="preserve"> </w:t>
      </w:r>
      <w:r w:rsidR="001C66F0">
        <w:t xml:space="preserve">In order </w:t>
      </w:r>
      <w:r w:rsidR="003F4145">
        <w:t xml:space="preserve">to protect consumers, regulators must be adequately funded to deal with increased complaint levels and </w:t>
      </w:r>
      <w:r w:rsidR="00864E70">
        <w:t xml:space="preserve">to </w:t>
      </w:r>
      <w:r w:rsidR="003F4145">
        <w:t>engage in follow-up enforcement a</w:t>
      </w:r>
      <w:r w:rsidR="007D1962">
        <w:t>ctivities.</w:t>
      </w:r>
      <w:r w:rsidR="003950D6">
        <w:br/>
      </w:r>
      <w:r>
        <w:br/>
      </w:r>
      <w:r w:rsidR="00B41C7A">
        <w:t>Specifically,</w:t>
      </w:r>
      <w:r>
        <w:t xml:space="preserve"> ACCAN supports</w:t>
      </w:r>
      <w:r w:rsidR="004A7953">
        <w:t xml:space="preserve"> greater</w:t>
      </w:r>
      <w:r>
        <w:t xml:space="preserve"> court enforcement for breaches of the ACL</w:t>
      </w:r>
      <w:r w:rsidR="004A7953">
        <w:t xml:space="preserve"> in the telecommunications sector.  The reason for this is that the ACL has not been adequately tested in its application to new technologies.  For example, it is not clear what the scope of the word of “supply” means in the conte</w:t>
      </w:r>
      <w:r w:rsidR="00C20E3D">
        <w:t>xt of digital goods and services</w:t>
      </w:r>
      <w:r w:rsidR="007D2175">
        <w:t>, such as apps downloaded from Apple’s App Store and Google</w:t>
      </w:r>
      <w:r w:rsidR="004B1B48">
        <w:t>’s</w:t>
      </w:r>
      <w:r w:rsidR="007D2175">
        <w:t xml:space="preserve"> Play marketplaces</w:t>
      </w:r>
      <w:r w:rsidR="00C20E3D">
        <w:t>.</w:t>
      </w:r>
      <w:r w:rsidR="004A7953">
        <w:t xml:space="preserve"> </w:t>
      </w:r>
      <w:r w:rsidR="00543B5A">
        <w:t xml:space="preserve"> In order for the ACL to apply, an entity must be in the business of “supplying” a good or service.</w:t>
      </w:r>
      <w:r w:rsidR="00543B5A">
        <w:rPr>
          <w:rStyle w:val="FootnoteReference"/>
        </w:rPr>
        <w:footnoteReference w:id="11"/>
      </w:r>
      <w:r w:rsidR="004A7953">
        <w:t xml:space="preserve"> In </w:t>
      </w:r>
      <w:r w:rsidR="00257E43">
        <w:t xml:space="preserve">the case of Apple and Google, it is not clear if these entities </w:t>
      </w:r>
      <w:r w:rsidR="0074775A">
        <w:t>“</w:t>
      </w:r>
      <w:r w:rsidR="004A7953">
        <w:t>supply</w:t>
      </w:r>
      <w:r w:rsidR="0074775A">
        <w:t>”</w:t>
      </w:r>
      <w:r w:rsidR="004A7953">
        <w:t xml:space="preserve"> </w:t>
      </w:r>
      <w:r w:rsidR="00ED1EC8">
        <w:t>anything because the product itself (the app)</w:t>
      </w:r>
      <w:r w:rsidR="00257E43">
        <w:t xml:space="preserve"> is manufactured by a developer (who may be located offshore).  </w:t>
      </w:r>
      <w:r w:rsidR="00D314CF">
        <w:t xml:space="preserve">This uncertainty means that Australian consumers are not adequately protected when </w:t>
      </w:r>
      <w:r w:rsidR="00BC2AC1">
        <w:t>purchasing from these</w:t>
      </w:r>
      <w:r w:rsidR="005C2586">
        <w:t xml:space="preserve"> marketplaces</w:t>
      </w:r>
      <w:r w:rsidR="00D314CF">
        <w:t xml:space="preserve">.  In ACCAN’s view, this </w:t>
      </w:r>
      <w:r w:rsidR="005C2586">
        <w:t xml:space="preserve">situation is unacceptable, especially given that </w:t>
      </w:r>
      <w:r w:rsidR="00C20E3D">
        <w:t>Apple and Google receive</w:t>
      </w:r>
      <w:r w:rsidR="00A97D1F">
        <w:t xml:space="preserve"> a commission of</w:t>
      </w:r>
      <w:r w:rsidR="00C20E3D">
        <w:t xml:space="preserve"> 30% for every app that is sold.</w:t>
      </w:r>
      <w:r w:rsidR="00C20E3D">
        <w:rPr>
          <w:rStyle w:val="FootnoteReference"/>
        </w:rPr>
        <w:footnoteReference w:id="12"/>
      </w:r>
      <w:r w:rsidR="00C20E3D">
        <w:br/>
      </w:r>
      <w:r w:rsidR="00257E43">
        <w:br/>
        <w:t xml:space="preserve">Another example that </w:t>
      </w:r>
      <w:r w:rsidR="00A47E9A">
        <w:t xml:space="preserve">demonstrates the </w:t>
      </w:r>
      <w:r w:rsidR="00257E43">
        <w:t>uncertainty</w:t>
      </w:r>
      <w:r w:rsidR="00A47E9A">
        <w:t xml:space="preserve"> of how the</w:t>
      </w:r>
      <w:r w:rsidR="00257E43">
        <w:t xml:space="preserve"> ACL applies is the growing use of </w:t>
      </w:r>
      <w:r w:rsidR="00257E43">
        <w:lastRenderedPageBreak/>
        <w:t>“direct carrier billing”. Direct carrier billing is where mobile providers (such as Telstra, Optus or Vodafone) allow third party businesses to bill customers for services via the customer’s phone bill.</w:t>
      </w:r>
      <w:r w:rsidR="008D5EBC">
        <w:t xml:space="preserve">  The</w:t>
      </w:r>
      <w:r w:rsidR="00655588">
        <w:t xml:space="preserve"> apparent</w:t>
      </w:r>
      <w:r w:rsidR="008D5EBC">
        <w:t xml:space="preserve"> advantage is that the customer doesn’t </w:t>
      </w:r>
      <w:r w:rsidR="008E58D5">
        <w:t xml:space="preserve">need to </w:t>
      </w:r>
      <w:r w:rsidR="00DF4CE7">
        <w:t>enter credit card details, making the transaction more seamless.</w:t>
      </w:r>
      <w:r w:rsidR="008D5EBC">
        <w:t xml:space="preserve"> </w:t>
      </w:r>
      <w:r w:rsidR="00257E43">
        <w:t xml:space="preserve"> </w:t>
      </w:r>
      <w:r w:rsidR="00864E70">
        <w:t>As with the</w:t>
      </w:r>
      <w:r w:rsidR="00737D9A">
        <w:t xml:space="preserve"> Google Play</w:t>
      </w:r>
      <w:r w:rsidR="00257E43">
        <w:t xml:space="preserve"> and </w:t>
      </w:r>
      <w:r w:rsidR="001074CE">
        <w:t>Apple App</w:t>
      </w:r>
      <w:r w:rsidR="00257E43">
        <w:t xml:space="preserve"> stores, </w:t>
      </w:r>
      <w:r w:rsidR="008D5EBC">
        <w:t>services that are billed through direct carrier billing</w:t>
      </w:r>
      <w:r w:rsidR="00257E43">
        <w:t xml:space="preserve"> tend to be for mobile apps and games. When a customer seeks a refund for a faulty service or </w:t>
      </w:r>
      <w:r w:rsidR="00F60A20">
        <w:t xml:space="preserve">incorrect charge, </w:t>
      </w:r>
      <w:r w:rsidR="00257E43">
        <w:t xml:space="preserve">the mobile provider will direct the customer back to the third-party </w:t>
      </w:r>
      <w:r w:rsidR="00504942">
        <w:t>provider</w:t>
      </w:r>
      <w:r w:rsidR="00257E43">
        <w:t>. This is a confusing process for consumers; especially given these charges appear on their mobile bill. From a consumer perspective</w:t>
      </w:r>
      <w:r w:rsidR="008C1EEC">
        <w:t>, the</w:t>
      </w:r>
      <w:r w:rsidR="00257E43">
        <w:t xml:space="preserve"> </w:t>
      </w:r>
      <w:r w:rsidR="00A97D1F">
        <w:t xml:space="preserve">mobile phone provider seems to be the entity who is providing the service. </w:t>
      </w:r>
      <w:r w:rsidR="0074775A">
        <w:br/>
      </w:r>
      <w:r w:rsidR="0074775A">
        <w:br/>
      </w:r>
      <w:r w:rsidR="00305707">
        <w:t xml:space="preserve">Separate from the supply issue, another concern is how </w:t>
      </w:r>
      <w:r w:rsidR="005732D7">
        <w:t>consumer guarantees</w:t>
      </w:r>
      <w:r w:rsidR="00305707">
        <w:t xml:space="preserve"> apply to communications services</w:t>
      </w:r>
      <w:r w:rsidR="00EA008E">
        <w:t xml:space="preserve">.  </w:t>
      </w:r>
      <w:r w:rsidR="00FB0397">
        <w:t xml:space="preserve">For example </w:t>
      </w:r>
      <w:r w:rsidR="00021E8B">
        <w:t xml:space="preserve">under the ACL, </w:t>
      </w:r>
      <w:r w:rsidR="004A7953">
        <w:t xml:space="preserve">in the event of a </w:t>
      </w:r>
      <w:r w:rsidR="008B1179">
        <w:t>‘</w:t>
      </w:r>
      <w:r w:rsidR="004A7953">
        <w:t>major failure</w:t>
      </w:r>
      <w:r w:rsidR="008B1179">
        <w:t>’</w:t>
      </w:r>
      <w:r w:rsidR="004A7953">
        <w:t xml:space="preserve"> of a</w:t>
      </w:r>
      <w:r w:rsidR="00B56CEA">
        <w:t xml:space="preserve"> good or</w:t>
      </w:r>
      <w:r w:rsidR="004A7953">
        <w:t xml:space="preserve"> service, a consumer </w:t>
      </w:r>
      <w:r w:rsidR="008B1179">
        <w:t xml:space="preserve">is </w:t>
      </w:r>
      <w:r w:rsidR="004A7953">
        <w:t>entitled to either terminate the contract or obtain a refund for the reduction in the value of the service.</w:t>
      </w:r>
      <w:r w:rsidR="004A7953">
        <w:rPr>
          <w:vertAlign w:val="superscript"/>
        </w:rPr>
        <w:t xml:space="preserve"> </w:t>
      </w:r>
      <w:r w:rsidR="004A7953">
        <w:rPr>
          <w:vertAlign w:val="superscript"/>
        </w:rPr>
        <w:footnoteReference w:id="13"/>
      </w:r>
      <w:r w:rsidR="004A7953">
        <w:t xml:space="preserve">  However, </w:t>
      </w:r>
      <w:r w:rsidR="006956C0">
        <w:t xml:space="preserve">there is no legal guidance on what </w:t>
      </w:r>
      <w:r w:rsidR="00DD1CD8">
        <w:t xml:space="preserve">a </w:t>
      </w:r>
      <w:r w:rsidR="006956C0">
        <w:t>‘</w:t>
      </w:r>
      <w:r w:rsidR="004A7953">
        <w:t>major failure</w:t>
      </w:r>
      <w:r w:rsidR="006956C0">
        <w:t xml:space="preserve">’ means for a telecommunications service. </w:t>
      </w:r>
      <w:r w:rsidR="004A7953">
        <w:t xml:space="preserve"> </w:t>
      </w:r>
      <w:r w:rsidR="00791699">
        <w:t>These</w:t>
      </w:r>
      <w:r w:rsidR="005732D7">
        <w:t xml:space="preserve"> examples demonstrate the need for greater court enforcement to gain clarity on the actual effect of the law. </w:t>
      </w:r>
      <w:r w:rsidR="006956C0">
        <w:t xml:space="preserve"> This view is supported by the 2013 Regulator Watch report, which noted that active enforcement through test cases “avoids the need for debate and inquiry on the imposition of further regulation”.</w:t>
      </w:r>
      <w:r w:rsidR="006956C0">
        <w:rPr>
          <w:vertAlign w:val="superscript"/>
        </w:rPr>
        <w:t xml:space="preserve"> </w:t>
      </w:r>
      <w:r w:rsidR="006956C0">
        <w:rPr>
          <w:vertAlign w:val="superscript"/>
        </w:rPr>
        <w:footnoteReference w:id="14"/>
      </w:r>
      <w:r w:rsidR="006956C0">
        <w:t xml:space="preserve"> </w:t>
      </w:r>
      <w:r w:rsidR="004A7953">
        <w:t xml:space="preserve"> This </w:t>
      </w:r>
      <w:r w:rsidR="006956C0">
        <w:t xml:space="preserve">approach benefits consumers and their advocates such as ACCAN, and will </w:t>
      </w:r>
      <w:r w:rsidR="003447B8">
        <w:t>also</w:t>
      </w:r>
      <w:r w:rsidR="006956C0">
        <w:t xml:space="preserve"> provide certainty to industry </w:t>
      </w:r>
      <w:r w:rsidR="0002115D">
        <w:t>about</w:t>
      </w:r>
      <w:r w:rsidR="006956C0">
        <w:t xml:space="preserve"> their </w:t>
      </w:r>
      <w:r w:rsidR="003447B8">
        <w:t>responsibilities</w:t>
      </w:r>
      <w:r w:rsidR="006956C0">
        <w:t xml:space="preserve">. </w:t>
      </w:r>
      <w:r w:rsidR="004A7953">
        <w:t xml:space="preserve"> </w:t>
      </w:r>
    </w:p>
    <w:p w:rsidR="00AF0320" w:rsidRDefault="0083066E">
      <w:r>
        <w:t xml:space="preserve">In addition to representing general and small business consumers, ACCAN also advocates on behalf of more vulnerable groups including Aboriginal and Torres Strait Islander people, low income consumers, people with a disability, culturally and linguistically diverse </w:t>
      </w:r>
      <w:r w:rsidR="00B4474E">
        <w:t>people</w:t>
      </w:r>
      <w:r w:rsidR="008A3473">
        <w:t xml:space="preserve">, youth, seniors </w:t>
      </w:r>
      <w:r>
        <w:t xml:space="preserve">and those in rural, regional and remote areas.  These groups are often disproportionately affected by inadequate consumer protection </w:t>
      </w:r>
      <w:r w:rsidR="00DD1CD8">
        <w:t>and are more</w:t>
      </w:r>
      <w:r>
        <w:t xml:space="preserve"> dependent on telecommunications ser</w:t>
      </w:r>
      <w:r w:rsidR="005E2BF1">
        <w:t xml:space="preserve">vices for essential daily life.  </w:t>
      </w:r>
      <w:r>
        <w:t>For this reason, it is critical that regulators target</w:t>
      </w:r>
      <w:r w:rsidR="004B2B61">
        <w:t xml:space="preserve"> their</w:t>
      </w:r>
      <w:r>
        <w:t xml:space="preserve"> limited resources to </w:t>
      </w:r>
      <w:r w:rsidR="00FD12B4">
        <w:t>protect</w:t>
      </w:r>
      <w:r w:rsidR="00C51E31">
        <w:t xml:space="preserve"> the most vulnerable </w:t>
      </w:r>
      <w:r w:rsidR="007970CF">
        <w:t xml:space="preserve">in society.  </w:t>
      </w:r>
      <w:r w:rsidR="00FE0325">
        <w:t>A successful example of this is the ACCC’s enforcement to protect indigenous consumers from unsolicited commercial agreements.</w:t>
      </w:r>
      <w:r w:rsidR="00FE0325">
        <w:rPr>
          <w:rStyle w:val="FootnoteReference"/>
        </w:rPr>
        <w:footnoteReference w:id="15"/>
      </w:r>
      <w:r w:rsidR="007970CF">
        <w:t xml:space="preserve"> </w:t>
      </w:r>
      <w:r w:rsidR="00BD07C4">
        <w:br/>
      </w:r>
      <w:r w:rsidR="00BD07C4">
        <w:br/>
        <w:t>In addition to greater enforcement, ACCAN</w:t>
      </w:r>
      <w:r w:rsidR="00DB6FB4">
        <w:t xml:space="preserve"> </w:t>
      </w:r>
      <w:r w:rsidR="00B773ED">
        <w:t xml:space="preserve">supports </w:t>
      </w:r>
      <w:r w:rsidR="00DB6FB4">
        <w:t xml:space="preserve">greater regulator monitoring in areas </w:t>
      </w:r>
      <w:r w:rsidR="006C2D6B">
        <w:t xml:space="preserve">where complaints </w:t>
      </w:r>
      <w:r w:rsidR="006342F3">
        <w:t>levels are significant</w:t>
      </w:r>
      <w:r w:rsidR="006C2D6B">
        <w:t xml:space="preserve"> or </w:t>
      </w:r>
      <w:r w:rsidR="003952B8">
        <w:t>w</w:t>
      </w:r>
      <w:r w:rsidR="00B773ED">
        <w:t xml:space="preserve">here </w:t>
      </w:r>
      <w:r w:rsidR="00C3579A">
        <w:t xml:space="preserve">there are </w:t>
      </w:r>
      <w:r w:rsidR="00B773ED">
        <w:t xml:space="preserve">very serious allegations but </w:t>
      </w:r>
      <w:r w:rsidR="00C80570">
        <w:t>comparatively fewer</w:t>
      </w:r>
      <w:r w:rsidR="00B773ED">
        <w:t xml:space="preserve"> complaints</w:t>
      </w:r>
      <w:r w:rsidR="006C2D6B">
        <w:t xml:space="preserve">. </w:t>
      </w:r>
      <w:r w:rsidR="003E681B">
        <w:t xml:space="preserve"> </w:t>
      </w:r>
      <w:r w:rsidR="00DB6FB4">
        <w:t xml:space="preserve">Monitoring is a useful information gathering exercise </w:t>
      </w:r>
      <w:r w:rsidR="000529FC">
        <w:t xml:space="preserve">either </w:t>
      </w:r>
      <w:r w:rsidR="001A1723">
        <w:t xml:space="preserve">in its own right </w:t>
      </w:r>
      <w:r w:rsidR="000529FC">
        <w:t xml:space="preserve">or as a </w:t>
      </w:r>
      <w:r w:rsidR="0075332B">
        <w:t>precursor to enforcement.</w:t>
      </w:r>
      <w:r w:rsidR="00B702B7">
        <w:t xml:space="preserve">  Monitoring is critically important in the communications sector where product offerings are rapidly changing and </w:t>
      </w:r>
      <w:r w:rsidR="00CC6514">
        <w:t>where the</w:t>
      </w:r>
      <w:r w:rsidR="00B702B7">
        <w:t xml:space="preserve"> </w:t>
      </w:r>
      <w:r w:rsidR="00285234">
        <w:t>main</w:t>
      </w:r>
      <w:r w:rsidR="00B702B7">
        <w:t xml:space="preserve"> </w:t>
      </w:r>
      <w:r w:rsidR="00396FA6">
        <w:t>advertised features</w:t>
      </w:r>
      <w:r w:rsidR="00B702B7">
        <w:t xml:space="preserve"> </w:t>
      </w:r>
      <w:r w:rsidR="00CC6514">
        <w:t xml:space="preserve">of </w:t>
      </w:r>
      <w:r w:rsidR="00B702B7">
        <w:t xml:space="preserve">broadband services </w:t>
      </w:r>
      <w:r w:rsidR="00E25BB4">
        <w:t xml:space="preserve">(for example, speed) </w:t>
      </w:r>
      <w:r w:rsidR="00B702B7">
        <w:t xml:space="preserve">are often difficult to measure </w:t>
      </w:r>
      <w:r w:rsidR="00467AC7">
        <w:t>and report from a consumer standpoint.</w:t>
      </w:r>
      <w:r w:rsidR="00B702B7">
        <w:t xml:space="preserve"> </w:t>
      </w:r>
    </w:p>
    <w:p w:rsidR="00454FA9" w:rsidRDefault="00AF0320">
      <w:r>
        <w:t xml:space="preserve">Finally, ACCAN also reiterates the importance of consistent enforcement across states and territories.  The single-law, multi-regulator model can only be effective if that single law is enforced </w:t>
      </w:r>
      <w:r>
        <w:lastRenderedPageBreak/>
        <w:t>uniformly.  Australians have a right to receive the same protections regardless of their</w:t>
      </w:r>
      <w:r w:rsidR="00ED1D7A">
        <w:t xml:space="preserve"> state or territory</w:t>
      </w:r>
      <w:r>
        <w:t xml:space="preserve">.  </w:t>
      </w:r>
      <w:r w:rsidR="00ED1D7A">
        <w:t xml:space="preserve">This is particularly the case for </w:t>
      </w:r>
      <w:r w:rsidR="005E2BF1">
        <w:t>states and territories with large</w:t>
      </w:r>
      <w:r w:rsidR="00ED1D7A">
        <w:t xml:space="preserve"> rural, regional and remote </w:t>
      </w:r>
      <w:r w:rsidR="005E2BF1">
        <w:t xml:space="preserve">populations </w:t>
      </w:r>
      <w:r w:rsidR="00964B57">
        <w:t xml:space="preserve">as these </w:t>
      </w:r>
      <w:r w:rsidR="005E2BF1">
        <w:t xml:space="preserve">consumers are disproportionately affected by poor quality of service. </w:t>
      </w:r>
      <w:r w:rsidR="00011183">
        <w:br/>
      </w:r>
    </w:p>
    <w:p w:rsidR="00454FA9" w:rsidRDefault="00A27C56" w:rsidP="00064A29">
      <w:pPr>
        <w:pBdr>
          <w:top w:val="single" w:sz="12" w:space="1" w:color="00B0F0"/>
          <w:left w:val="single" w:sz="12" w:space="4" w:color="00B0F0"/>
          <w:bottom w:val="single" w:sz="12" w:space="1" w:color="00B0F0"/>
          <w:right w:val="single" w:sz="12" w:space="4" w:color="00B0F0"/>
        </w:pBdr>
      </w:pPr>
      <w:r w:rsidRPr="00064A29">
        <w:rPr>
          <w:b/>
        </w:rPr>
        <w:t>Recommendation 2:</w:t>
      </w:r>
      <w:r w:rsidRPr="00011183">
        <w:t xml:space="preserve"> </w:t>
      </w:r>
      <w:r w:rsidR="00DC3E85">
        <w:t>ACL</w:t>
      </w:r>
      <w:r w:rsidRPr="00011183">
        <w:t xml:space="preserve"> regulators should be appropriately funded to engage in effective monitoring and enforcement, includin</w:t>
      </w:r>
      <w:r w:rsidR="00EC305A">
        <w:t xml:space="preserve">g a greater use of test cases to clarify the </w:t>
      </w:r>
      <w:r w:rsidR="00DF7BEB">
        <w:t xml:space="preserve">application </w:t>
      </w:r>
      <w:r w:rsidR="00EC305A">
        <w:t xml:space="preserve">of the ACL. </w:t>
      </w:r>
    </w:p>
    <w:p w:rsidR="00454FA9" w:rsidRDefault="00803851" w:rsidP="003C6991">
      <w:pPr>
        <w:pStyle w:val="Heading1"/>
      </w:pPr>
      <w:bookmarkStart w:id="12" w:name="_1t3h5sf" w:colFirst="0" w:colLast="0"/>
      <w:bookmarkStart w:id="13" w:name="_Toc460323191"/>
      <w:bookmarkEnd w:id="12"/>
      <w:r>
        <w:t>National complaints register and increased information sharing</w:t>
      </w:r>
      <w:bookmarkEnd w:id="13"/>
      <w:r>
        <w:br/>
      </w:r>
    </w:p>
    <w:p w:rsidR="003B38D7" w:rsidRDefault="002875B1">
      <w:r>
        <w:t>One of the issues arising from the multiple-regulator</w:t>
      </w:r>
      <w:r w:rsidR="00A27C56">
        <w:t xml:space="preserve"> model </w:t>
      </w:r>
      <w:r w:rsidR="00EB65EE">
        <w:t>is that there is</w:t>
      </w:r>
      <w:r w:rsidR="00730237">
        <w:t xml:space="preserve"> </w:t>
      </w:r>
      <w:r w:rsidR="006F6E19">
        <w:t xml:space="preserve">no </w:t>
      </w:r>
      <w:r w:rsidR="00245798">
        <w:t>national complaints systems</w:t>
      </w:r>
      <w:r>
        <w:t xml:space="preserve"> </w:t>
      </w:r>
      <w:r w:rsidR="00E47D72">
        <w:t xml:space="preserve">across states and territories. </w:t>
      </w:r>
      <w:r w:rsidR="001357AD">
        <w:t xml:space="preserve"> That this</w:t>
      </w:r>
      <w:r w:rsidR="00C3579A">
        <w:t xml:space="preserve"> is</w:t>
      </w:r>
      <w:r w:rsidR="001357AD">
        <w:t xml:space="preserve"> </w:t>
      </w:r>
      <w:r w:rsidR="009024B5">
        <w:t>the case</w:t>
      </w:r>
      <w:r w:rsidR="001357AD">
        <w:t xml:space="preserve"> does not make sense in a country with a largely national (and often international) market for goods and services. </w:t>
      </w:r>
      <w:r w:rsidR="00325459">
        <w:rPr>
          <w:rStyle w:val="FootnoteReference"/>
        </w:rPr>
        <w:footnoteReference w:id="16"/>
      </w:r>
    </w:p>
    <w:p w:rsidR="003B38D7" w:rsidRDefault="003B38D7">
      <w:r>
        <w:t>In 2011, the ACCC recommended the establishment of a national complaints register as part of its submission to the Productivity Commission’s COAG Reform Inquiry.</w:t>
      </w:r>
      <w:r w:rsidR="00074969">
        <w:rPr>
          <w:rStyle w:val="FootnoteReference"/>
        </w:rPr>
        <w:footnoteReference w:id="17"/>
      </w:r>
      <w:r>
        <w:t xml:space="preserve">  5 years later, ACCAN understands that some steps have been taken to</w:t>
      </w:r>
      <w:r w:rsidR="00EC19D4">
        <w:t xml:space="preserve"> achieve this goal. Led by Fair Trading NSW, the National Sentinel Pilot Program aims to provide a national database of</w:t>
      </w:r>
      <w:r>
        <w:t xml:space="preserve"> compliance with safeguards in the automotive industry</w:t>
      </w:r>
      <w:r w:rsidR="00EC19D4">
        <w:t xml:space="preserve"> (legally a state matter)</w:t>
      </w:r>
      <w:r>
        <w:t xml:space="preserve">.  Following the outcome of the trial, ACCAN urges all ACL regulators to adopt the successful components of this pilot to </w:t>
      </w:r>
      <w:r w:rsidR="00702C35">
        <w:t>work towards a national consumer complaints register as soon as possible</w:t>
      </w:r>
      <w:r>
        <w:t xml:space="preserve">. </w:t>
      </w:r>
      <w:r w:rsidR="00D150F6">
        <w:br/>
      </w:r>
      <w:r w:rsidR="00D150F6">
        <w:br/>
        <w:t>ACCAN is also aware of the establishment of the</w:t>
      </w:r>
      <w:r w:rsidR="00D150F6" w:rsidRPr="00D150F6">
        <w:t xml:space="preserve"> </w:t>
      </w:r>
      <w:r w:rsidR="00D150F6">
        <w:t xml:space="preserve">Australian Consumer Law Intelligence Network Knowledge (ACLink).  ACCAN encourages </w:t>
      </w:r>
      <w:r w:rsidR="00715F2F">
        <w:t xml:space="preserve">the </w:t>
      </w:r>
      <w:r w:rsidR="00D150F6">
        <w:t xml:space="preserve">continued use of </w:t>
      </w:r>
      <w:r w:rsidR="00715F2F">
        <w:t>ACLink</w:t>
      </w:r>
      <w:r w:rsidR="00D150F6">
        <w:t xml:space="preserve"> </w:t>
      </w:r>
      <w:r w:rsidR="00490EE7">
        <w:t>by</w:t>
      </w:r>
      <w:r w:rsidR="00D150F6">
        <w:t xml:space="preserve"> regulators to </w:t>
      </w:r>
      <w:r>
        <w:t>share useful insights and identify national trends and emerging issues.</w:t>
      </w:r>
      <w:r>
        <w:rPr>
          <w:rStyle w:val="FootnoteReference"/>
        </w:rPr>
        <w:footnoteReference w:id="18"/>
      </w:r>
      <w:r w:rsidR="00F85967">
        <w:t xml:space="preserve">  In the absence of a national complaints register, ACCAN urges ACL regulators to share as much information as possible</w:t>
      </w:r>
      <w:r w:rsidR="00B53470">
        <w:t>, not only specific</w:t>
      </w:r>
      <w:r w:rsidR="00F85967">
        <w:t xml:space="preserve"> complaints and cases that individual regulators perceive to be important.</w:t>
      </w:r>
      <w:r w:rsidR="00F85967" w:rsidRPr="00F85967">
        <w:t xml:space="preserve"> </w:t>
      </w:r>
      <w:r w:rsidR="00F85967">
        <w:t xml:space="preserve">A successful, although small Local Court prosecution in one jurisdiction could provide very useful guidance to other regulators about whether they can </w:t>
      </w:r>
      <w:r w:rsidR="009115AD">
        <w:t xml:space="preserve">undertake similar enforcement activities. </w:t>
      </w:r>
    </w:p>
    <w:p w:rsidR="00011183" w:rsidRDefault="006E0C6D" w:rsidP="00064A29">
      <w:pPr>
        <w:pBdr>
          <w:top w:val="single" w:sz="12" w:space="1" w:color="00B0F0"/>
          <w:left w:val="single" w:sz="12" w:space="4" w:color="00B0F0"/>
          <w:bottom w:val="single" w:sz="12" w:space="1" w:color="00B0F0"/>
          <w:right w:val="single" w:sz="12" w:space="4" w:color="00B0F0"/>
        </w:pBdr>
      </w:pPr>
      <w:r w:rsidRPr="00064A29">
        <w:rPr>
          <w:b/>
        </w:rPr>
        <w:t>Recommendation 3:</w:t>
      </w:r>
      <w:r w:rsidRPr="00011183">
        <w:t xml:space="preserve"> </w:t>
      </w:r>
      <w:r w:rsidR="00011183">
        <w:t xml:space="preserve"> </w:t>
      </w:r>
      <w:r w:rsidRPr="00011183">
        <w:t xml:space="preserve">That ACL regulators </w:t>
      </w:r>
      <w:r w:rsidR="000579A5">
        <w:t>continue to work towards the establishment of</w:t>
      </w:r>
      <w:r w:rsidR="00803851">
        <w:t xml:space="preserve"> a national complaints register and further </w:t>
      </w:r>
      <w:r w:rsidR="00011183" w:rsidRPr="00011183">
        <w:t xml:space="preserve">broaden the use of </w:t>
      </w:r>
      <w:r w:rsidR="00E17AA4">
        <w:t xml:space="preserve">existing </w:t>
      </w:r>
      <w:r w:rsidR="00011183" w:rsidRPr="00011183">
        <w:t>information sharin</w:t>
      </w:r>
      <w:r w:rsidR="00E17AA4">
        <w:t>g avenues</w:t>
      </w:r>
      <w:r w:rsidR="00011183" w:rsidRPr="00011183">
        <w:t xml:space="preserve">. </w:t>
      </w:r>
    </w:p>
    <w:p w:rsidR="001C0AB8" w:rsidRDefault="00055350" w:rsidP="00392DBD">
      <w:pPr>
        <w:pStyle w:val="Heading1"/>
      </w:pPr>
      <w:r>
        <w:lastRenderedPageBreak/>
        <w:br/>
      </w:r>
      <w:bookmarkStart w:id="14" w:name="_Toc460323192"/>
      <w:r w:rsidR="00B03C06">
        <w:t>Comprehensive, frequent and timely, consistent and accessible public reporting</w:t>
      </w:r>
      <w:bookmarkEnd w:id="14"/>
    </w:p>
    <w:p w:rsidR="00392DBD" w:rsidRPr="00392DBD" w:rsidRDefault="00CD0318" w:rsidP="00CD0318">
      <w:pPr>
        <w:pStyle w:val="Heading2"/>
      </w:pPr>
      <w:bookmarkStart w:id="15" w:name="_Toc460323193"/>
      <w:r>
        <w:t xml:space="preserve">(a)  </w:t>
      </w:r>
      <w:r w:rsidR="00392DBD" w:rsidRPr="00392DBD">
        <w:t>Complaints reporting</w:t>
      </w:r>
      <w:bookmarkEnd w:id="15"/>
    </w:p>
    <w:p w:rsidR="004E041F" w:rsidRDefault="00392DBD" w:rsidP="00392DBD">
      <w:r>
        <w:br/>
      </w:r>
      <w:r w:rsidR="003C09CB">
        <w:t>ACCAN strongly</w:t>
      </w:r>
      <w:r w:rsidR="001C0AB8">
        <w:t xml:space="preserve"> believes that </w:t>
      </w:r>
      <w:r w:rsidR="002D399C">
        <w:t xml:space="preserve">having </w:t>
      </w:r>
      <w:r w:rsidR="001C0AB8">
        <w:t xml:space="preserve">better-informed consumers </w:t>
      </w:r>
      <w:r w:rsidR="00E92927">
        <w:t>increases</w:t>
      </w:r>
      <w:r w:rsidR="001C0AB8">
        <w:t xml:space="preserve"> competition in the marketplace</w:t>
      </w:r>
      <w:r w:rsidR="00EC14C0">
        <w:t xml:space="preserve">. The decrease in information asymmetry </w:t>
      </w:r>
      <w:r w:rsidR="001C0AB8">
        <w:t>between companies and consumers r</w:t>
      </w:r>
      <w:r w:rsidR="00EC14C0">
        <w:t>ewards</w:t>
      </w:r>
      <w:r w:rsidR="001C0AB8">
        <w:t xml:space="preserve"> companies who offer quality products and services and satisfactory complaints processes. </w:t>
      </w:r>
      <w:r w:rsidR="006E2886">
        <w:t xml:space="preserve"> </w:t>
      </w:r>
      <w:r w:rsidR="004E041F">
        <w:t xml:space="preserve"> </w:t>
      </w:r>
      <w:r w:rsidR="003123B4">
        <w:t xml:space="preserve">One way of </w:t>
      </w:r>
      <w:r w:rsidR="00A31C6C">
        <w:t xml:space="preserve">providing greater </w:t>
      </w:r>
      <w:r w:rsidR="00EC6492">
        <w:t>information</w:t>
      </w:r>
      <w:r w:rsidR="00A31C6C">
        <w:t xml:space="preserve"> to consumers</w:t>
      </w:r>
      <w:r w:rsidR="003123B4">
        <w:t xml:space="preserve"> is by providing p</w:t>
      </w:r>
      <w:r w:rsidR="00E50AA2">
        <w:t>ublic access to complaints data</w:t>
      </w:r>
      <w:r w:rsidR="006E2886">
        <w:t xml:space="preserve">. </w:t>
      </w:r>
      <w:r w:rsidR="00E50AA2">
        <w:t xml:space="preserve"> </w:t>
      </w:r>
      <w:r w:rsidR="00676970">
        <w:t xml:space="preserve">Not only does </w:t>
      </w:r>
      <w:r w:rsidR="00CB260C">
        <w:t>this assist consumers</w:t>
      </w:r>
      <w:r w:rsidR="00676970">
        <w:t xml:space="preserve">, but it </w:t>
      </w:r>
      <w:r w:rsidR="00DA6625">
        <w:t xml:space="preserve">also allows </w:t>
      </w:r>
      <w:r w:rsidR="00676970">
        <w:t>consumer advocates such as ACCAN to under</w:t>
      </w:r>
      <w:r w:rsidR="004A225A">
        <w:t xml:space="preserve">stand emerging consumer issues and engage </w:t>
      </w:r>
      <w:r w:rsidR="00676970">
        <w:t xml:space="preserve">with industry on key concerns.  In addition, </w:t>
      </w:r>
      <w:r w:rsidR="003826C3">
        <w:t>better</w:t>
      </w:r>
      <w:r w:rsidR="00676970">
        <w:t xml:space="preserve"> access </w:t>
      </w:r>
      <w:r w:rsidR="003826C3">
        <w:t xml:space="preserve">to </w:t>
      </w:r>
      <w:r w:rsidR="006D1A25">
        <w:t xml:space="preserve">publicly held </w:t>
      </w:r>
      <w:r w:rsidR="00676970">
        <w:t>data</w:t>
      </w:r>
      <w:r w:rsidR="006D1A25">
        <w:t xml:space="preserve"> </w:t>
      </w:r>
      <w:r w:rsidR="00676970">
        <w:t>is</w:t>
      </w:r>
      <w:r w:rsidR="00CC26C2">
        <w:t xml:space="preserve"> already</w:t>
      </w:r>
      <w:r w:rsidR="00676970">
        <w:t xml:space="preserve"> </w:t>
      </w:r>
      <w:r w:rsidR="006D1A25">
        <w:t>strongly encouraged</w:t>
      </w:r>
      <w:r w:rsidR="001843D2">
        <w:t xml:space="preserve"> through </w:t>
      </w:r>
      <w:r w:rsidR="00676970">
        <w:t>open data policies developed by the Commonwealth and all</w:t>
      </w:r>
      <w:r w:rsidR="00E23AF2">
        <w:t xml:space="preserve"> state and territory</w:t>
      </w:r>
      <w:r w:rsidR="00676970">
        <w:t xml:space="preserve"> governments</w:t>
      </w:r>
      <w:r w:rsidR="009B6977">
        <w:t xml:space="preserve">. At the Commonwealth level, this includes a commitment to </w:t>
      </w:r>
      <w:r w:rsidR="00EF50DA">
        <w:t>“making non-sensitive data open by default</w:t>
      </w:r>
      <w:r w:rsidR="00E24562">
        <w:t>”</w:t>
      </w:r>
      <w:r w:rsidR="00676970">
        <w:t>.</w:t>
      </w:r>
      <w:r w:rsidR="00676970">
        <w:rPr>
          <w:rStyle w:val="FootnoteReference"/>
        </w:rPr>
        <w:footnoteReference w:id="19"/>
      </w:r>
      <w:r w:rsidR="00EF50DA">
        <w:t xml:space="preserve">  </w:t>
      </w:r>
      <w:r w:rsidR="00B707B9">
        <w:t>Many</w:t>
      </w:r>
      <w:r w:rsidR="00E24562">
        <w:t xml:space="preserve"> states and territories </w:t>
      </w:r>
      <w:r w:rsidR="007E7ADF">
        <w:t>have adopted</w:t>
      </w:r>
      <w:r w:rsidR="00E24562">
        <w:t xml:space="preserve"> similar </w:t>
      </w:r>
      <w:r w:rsidR="006E5678">
        <w:t>policies</w:t>
      </w:r>
      <w:r w:rsidR="00E24562">
        <w:t>.</w:t>
      </w:r>
      <w:r w:rsidR="00E24562">
        <w:rPr>
          <w:rStyle w:val="FootnoteReference"/>
        </w:rPr>
        <w:footnoteReference w:id="20"/>
      </w:r>
      <w:r w:rsidR="00E24562">
        <w:t xml:space="preserve"> </w:t>
      </w:r>
    </w:p>
    <w:p w:rsidR="009A7406" w:rsidRDefault="00E160DB" w:rsidP="00392DBD">
      <w:r>
        <w:t>In 2015,</w:t>
      </w:r>
      <w:r w:rsidR="002E2C2C">
        <w:t xml:space="preserve"> the ACCC recorded</w:t>
      </w:r>
      <w:r w:rsidR="00A27C56">
        <w:t xml:space="preserve"> 60299</w:t>
      </w:r>
      <w:r w:rsidR="002E2C2C">
        <w:t xml:space="preserve"> contacts about</w:t>
      </w:r>
      <w:r w:rsidR="00A27C56">
        <w:t xml:space="preserve"> ACL matters.</w:t>
      </w:r>
      <w:r w:rsidR="00A27C56" w:rsidRPr="00392DBD">
        <w:rPr>
          <w:vertAlign w:val="superscript"/>
        </w:rPr>
        <w:t xml:space="preserve"> </w:t>
      </w:r>
      <w:r w:rsidR="00A27C56">
        <w:rPr>
          <w:vertAlign w:val="superscript"/>
        </w:rPr>
        <w:footnoteReference w:id="21"/>
      </w:r>
      <w:r w:rsidR="00F262F7">
        <w:t xml:space="preserve"> </w:t>
      </w:r>
      <w:r w:rsidR="002E2C2C">
        <w:t xml:space="preserve"> </w:t>
      </w:r>
      <w:r w:rsidR="00A27C56">
        <w:t xml:space="preserve">While the ACCC reports on aggregate complaints levels and the number of complaints per sector, it does not publish other raw data. </w:t>
      </w:r>
      <w:r w:rsidR="00ED577E">
        <w:t>F</w:t>
      </w:r>
      <w:r w:rsidR="00A27C56">
        <w:t>or example,</w:t>
      </w:r>
      <w:r w:rsidR="00AD3A09">
        <w:t xml:space="preserve"> ACCC reports do not include</w:t>
      </w:r>
      <w:r w:rsidR="00A27C56">
        <w:t xml:space="preserve"> the number of complaints per sector on a state-by-state basis, the key </w:t>
      </w:r>
      <w:r w:rsidR="00342F91">
        <w:t>complaint</w:t>
      </w:r>
      <w:r w:rsidR="00861DF7">
        <w:t xml:space="preserve"> issue on a sector by sector or state by state basis, and other information such as postcodes with the highest number of complaints. </w:t>
      </w:r>
      <w:r w:rsidR="00A27C56">
        <w:t xml:space="preserve"> Postcode reporting i</w:t>
      </w:r>
      <w:r w:rsidR="003F6E1E">
        <w:t>s particularly important in the tele</w:t>
      </w:r>
      <w:r w:rsidR="00A27C56">
        <w:t xml:space="preserve">communications </w:t>
      </w:r>
      <w:r w:rsidR="003F6E1E">
        <w:t xml:space="preserve">sector because of the </w:t>
      </w:r>
      <w:r w:rsidR="00C53C2E">
        <w:t xml:space="preserve">differences </w:t>
      </w:r>
      <w:r w:rsidR="003F6E1E">
        <w:t xml:space="preserve">in coverage and quality of service, especially in rural, regional and remote areas. </w:t>
      </w:r>
      <w:r w:rsidR="00A27C56">
        <w:br/>
      </w:r>
      <w:r w:rsidR="00A27C56">
        <w:br/>
        <w:t xml:space="preserve">ACCAN can point to a number of successful </w:t>
      </w:r>
      <w:r w:rsidR="00D01A13">
        <w:t>public</w:t>
      </w:r>
      <w:r w:rsidR="00A27C56">
        <w:t xml:space="preserve"> </w:t>
      </w:r>
      <w:r w:rsidR="00C43977">
        <w:t xml:space="preserve">complaint </w:t>
      </w:r>
      <w:r w:rsidR="00A27C56">
        <w:t xml:space="preserve">reporting </w:t>
      </w:r>
      <w:r w:rsidR="00711F8E">
        <w:t>systems</w:t>
      </w:r>
      <w:r w:rsidR="005B095B">
        <w:t xml:space="preserve"> that provide a </w:t>
      </w:r>
      <w:r w:rsidR="00405879">
        <w:t>useful</w:t>
      </w:r>
      <w:r w:rsidR="005B095B">
        <w:t xml:space="preserve"> </w:t>
      </w:r>
      <w:r w:rsidR="00E82DD3">
        <w:t xml:space="preserve">model </w:t>
      </w:r>
      <w:r w:rsidR="005B095B">
        <w:t xml:space="preserve">for </w:t>
      </w:r>
      <w:r w:rsidR="00405879">
        <w:t>the Commission to consider</w:t>
      </w:r>
      <w:r w:rsidR="005B095B">
        <w:t xml:space="preserve">. </w:t>
      </w:r>
      <w:r w:rsidR="00A27C56">
        <w:t xml:space="preserve">In August 2016, Fair Trading </w:t>
      </w:r>
      <w:r w:rsidR="00254157">
        <w:t xml:space="preserve">NSW </w:t>
      </w:r>
      <w:r w:rsidR="00A27C56">
        <w:t>introduced a new consumer complaints register.</w:t>
      </w:r>
      <w:r w:rsidR="00A27C56">
        <w:rPr>
          <w:vertAlign w:val="superscript"/>
        </w:rPr>
        <w:footnoteReference w:id="22"/>
      </w:r>
      <w:r w:rsidR="00A27C56">
        <w:t xml:space="preserve"> This register publishes the names of businesses</w:t>
      </w:r>
      <w:r w:rsidR="00763C68">
        <w:t xml:space="preserve"> that have received more than 10 complaints per month</w:t>
      </w:r>
      <w:r w:rsidR="00A27C56">
        <w:t>.</w:t>
      </w:r>
      <w:r w:rsidR="00A27C56">
        <w:rPr>
          <w:vertAlign w:val="superscript"/>
        </w:rPr>
        <w:footnoteReference w:id="23"/>
      </w:r>
      <w:r w:rsidR="00254157">
        <w:t xml:space="preserve"> </w:t>
      </w:r>
      <w:r w:rsidR="00E31B8B">
        <w:t xml:space="preserve"> The Register is </w:t>
      </w:r>
      <w:r w:rsidR="008D3F1C">
        <w:t>updated</w:t>
      </w:r>
      <w:r w:rsidR="00E31B8B">
        <w:t xml:space="preserve"> monthly and the data is presented on an interactive dashboard</w:t>
      </w:r>
      <w:r w:rsidR="008D3F1C">
        <w:t xml:space="preserve"> that can be </w:t>
      </w:r>
      <w:r w:rsidR="002A2D86">
        <w:t>exported</w:t>
      </w:r>
      <w:r w:rsidR="00C362EA">
        <w:t xml:space="preserve"> by users</w:t>
      </w:r>
      <w:r w:rsidR="008D3F1C">
        <w:t xml:space="preserve"> for further analysis</w:t>
      </w:r>
      <w:r w:rsidR="00E31B8B">
        <w:t xml:space="preserve">.  Although the dataset </w:t>
      </w:r>
      <w:r w:rsidR="00E31B8B">
        <w:lastRenderedPageBreak/>
        <w:t>is limited, it is a positive step towards the goal of comprehensive, frequent and timely, consistent and accessible reporting.</w:t>
      </w:r>
    </w:p>
    <w:p w:rsidR="002E5501" w:rsidRDefault="00E0117A" w:rsidP="009A7406">
      <w:r>
        <w:t xml:space="preserve">Another model for </w:t>
      </w:r>
      <w:r w:rsidR="00726AAA">
        <w:t xml:space="preserve">improved </w:t>
      </w:r>
      <w:r w:rsidR="00BA0155">
        <w:t xml:space="preserve">complaint </w:t>
      </w:r>
      <w:r w:rsidR="00726AAA">
        <w:t>reporting data</w:t>
      </w:r>
      <w:r>
        <w:t xml:space="preserve"> </w:t>
      </w:r>
      <w:r w:rsidR="009B6C66">
        <w:t>is from the</w:t>
      </w:r>
      <w:r w:rsidR="00BB2A0E">
        <w:t xml:space="preserve"> </w:t>
      </w:r>
      <w:r w:rsidR="00A27C56">
        <w:t>Teleco</w:t>
      </w:r>
      <w:r w:rsidR="001475AC">
        <w:t>mmunications Industry Ombudsmen (TIO). The TIO</w:t>
      </w:r>
      <w:r w:rsidR="00A27C56">
        <w:t xml:space="preserve"> publishes the number o</w:t>
      </w:r>
      <w:r w:rsidR="006707EC">
        <w:t xml:space="preserve">f complaints per named provider, </w:t>
      </w:r>
      <w:r w:rsidR="008E6235">
        <w:t>the</w:t>
      </w:r>
      <w:r w:rsidR="00A27C56">
        <w:t xml:space="preserve"> top complaint issues by postcode </w:t>
      </w:r>
      <w:r w:rsidR="006707EC">
        <w:t xml:space="preserve">and </w:t>
      </w:r>
      <w:r w:rsidR="00A27C56">
        <w:t>detailed spreadsheets</w:t>
      </w:r>
      <w:r w:rsidR="008E6235">
        <w:t xml:space="preserve"> with</w:t>
      </w:r>
      <w:r w:rsidR="003B4191">
        <w:t xml:space="preserve"> access to the</w:t>
      </w:r>
      <w:r w:rsidR="008E6235">
        <w:t xml:space="preserve"> raw data</w:t>
      </w:r>
      <w:r w:rsidR="00A27C56">
        <w:t>.</w:t>
      </w:r>
      <w:r w:rsidR="00A27C56">
        <w:rPr>
          <w:vertAlign w:val="superscript"/>
        </w:rPr>
        <w:footnoteReference w:id="24"/>
      </w:r>
      <w:r w:rsidR="00A27C56">
        <w:rPr>
          <w:vertAlign w:val="superscript"/>
        </w:rPr>
        <w:t xml:space="preserve"> </w:t>
      </w:r>
      <w:r w:rsidR="00A27C56">
        <w:rPr>
          <w:vertAlign w:val="superscript"/>
        </w:rPr>
        <w:footnoteReference w:id="25"/>
      </w:r>
      <w:r w:rsidR="002E5501">
        <w:rPr>
          <w:vertAlign w:val="superscript"/>
        </w:rPr>
        <w:t xml:space="preserve">  </w:t>
      </w:r>
      <w:r w:rsidR="002E5501">
        <w:t>The TIO also provides data on the complaints in context, that is, new complaints per 10,000 services in operation.</w:t>
      </w:r>
      <w:r w:rsidR="00A10CA9">
        <w:rPr>
          <w:rStyle w:val="FootnoteReference"/>
        </w:rPr>
        <w:footnoteReference w:id="26"/>
      </w:r>
      <w:r w:rsidR="002E5501">
        <w:t xml:space="preserve"> This gives consumers an easy to unde</w:t>
      </w:r>
      <w:r w:rsidR="004E041F">
        <w:t xml:space="preserve">rstand figure to </w:t>
      </w:r>
      <w:r w:rsidR="004E041F" w:rsidRPr="004E041F">
        <w:t>inform</w:t>
      </w:r>
      <w:r w:rsidR="008F4FB2">
        <w:t xml:space="preserve"> their</w:t>
      </w:r>
      <w:r w:rsidR="004E041F" w:rsidRPr="004E041F">
        <w:t xml:space="preserve"> decision making, especially when considering switching products to obtain improved services.</w:t>
      </w:r>
    </w:p>
    <w:p w:rsidR="009A7406" w:rsidRDefault="0012579E" w:rsidP="009A7406">
      <w:r>
        <w:t xml:space="preserve">Put simply, </w:t>
      </w:r>
      <w:r w:rsidR="005E48C1">
        <w:t>ACCAN believes that</w:t>
      </w:r>
      <w:r w:rsidR="00A27C56">
        <w:t xml:space="preserve"> regulators should </w:t>
      </w:r>
      <w:r w:rsidR="008E6235">
        <w:t>publish</w:t>
      </w:r>
      <w:r w:rsidR="009A7406">
        <w:t xml:space="preserve"> most data that is captured in their systems from </w:t>
      </w:r>
      <w:r w:rsidR="00DE6E58">
        <w:t>every single</w:t>
      </w:r>
      <w:r w:rsidR="009A7406">
        <w:t xml:space="preserve"> contact</w:t>
      </w:r>
      <w:r w:rsidR="005E48C1">
        <w:t xml:space="preserve"> (except</w:t>
      </w:r>
      <w:r w:rsidR="005B3F29">
        <w:t xml:space="preserve"> sensitive</w:t>
      </w:r>
      <w:r w:rsidR="005E48C1">
        <w:t xml:space="preserve"> information that identifies the complainant)</w:t>
      </w:r>
      <w:r w:rsidR="009A7406">
        <w:t xml:space="preserve">. </w:t>
      </w:r>
      <w:r w:rsidR="005E48C1">
        <w:br/>
      </w:r>
      <w:r w:rsidR="005E48C1">
        <w:br/>
      </w:r>
      <w:r w:rsidR="00C544EE">
        <w:t>This d</w:t>
      </w:r>
      <w:r w:rsidR="005E48C1">
        <w:t>ata should</w:t>
      </w:r>
      <w:r w:rsidR="009A7406">
        <w:t xml:space="preserve"> </w:t>
      </w:r>
      <w:r w:rsidR="00273E83">
        <w:t>include:</w:t>
      </w:r>
    </w:p>
    <w:p w:rsidR="00273E83" w:rsidRDefault="004016AA" w:rsidP="009A7406">
      <w:pPr>
        <w:pStyle w:val="ListParagraph"/>
        <w:numPr>
          <w:ilvl w:val="0"/>
          <w:numId w:val="2"/>
        </w:numPr>
      </w:pPr>
      <w:r>
        <w:t>t</w:t>
      </w:r>
      <w:r w:rsidR="009A7406">
        <w:t xml:space="preserve">he </w:t>
      </w:r>
      <w:r w:rsidR="00273E83">
        <w:t>complaint issue</w:t>
      </w:r>
    </w:p>
    <w:p w:rsidR="009A7406" w:rsidRDefault="00C544EE" w:rsidP="009A7406">
      <w:pPr>
        <w:pStyle w:val="ListParagraph"/>
        <w:numPr>
          <w:ilvl w:val="0"/>
          <w:numId w:val="2"/>
        </w:numPr>
      </w:pPr>
      <w:r>
        <w:t>any</w:t>
      </w:r>
      <w:r w:rsidR="00A27C56">
        <w:t xml:space="preserve"> relevant section of the ACL</w:t>
      </w:r>
      <w:r w:rsidR="00273E83">
        <w:t xml:space="preserve"> </w:t>
      </w:r>
      <w:r w:rsidR="00A27C56">
        <w:t>(</w:t>
      </w:r>
      <w:r w:rsidR="00273E83">
        <w:t>this data is already captured by the ACCC)</w:t>
      </w:r>
    </w:p>
    <w:p w:rsidR="009A7406" w:rsidRDefault="00A27C56" w:rsidP="009A7406">
      <w:pPr>
        <w:pStyle w:val="ListParagraph"/>
        <w:numPr>
          <w:ilvl w:val="0"/>
          <w:numId w:val="2"/>
        </w:numPr>
      </w:pPr>
      <w:r>
        <w:t>the postcode of the complaint (as per the TIO model)</w:t>
      </w:r>
    </w:p>
    <w:p w:rsidR="009A7406" w:rsidRDefault="00A27C56" w:rsidP="009A7406">
      <w:pPr>
        <w:pStyle w:val="ListParagraph"/>
        <w:numPr>
          <w:ilvl w:val="0"/>
          <w:numId w:val="2"/>
        </w:numPr>
      </w:pPr>
      <w:r>
        <w:t>the sector  (</w:t>
      </w:r>
      <w:r w:rsidR="00274923">
        <w:t>this data is already captured by the ACCC and NSW Fair Trading)</w:t>
      </w:r>
    </w:p>
    <w:p w:rsidR="005E48C1" w:rsidRDefault="00A10CA9" w:rsidP="009A7406">
      <w:pPr>
        <w:pStyle w:val="ListParagraph"/>
        <w:numPr>
          <w:ilvl w:val="0"/>
          <w:numId w:val="2"/>
        </w:numPr>
      </w:pPr>
      <w:r>
        <w:t>the type of consumer, for example business or private consumer</w:t>
      </w:r>
    </w:p>
    <w:p w:rsidR="008634F0" w:rsidRDefault="008634F0" w:rsidP="009A7406">
      <w:pPr>
        <w:pStyle w:val="ListParagraph"/>
        <w:numPr>
          <w:ilvl w:val="0"/>
          <w:numId w:val="2"/>
        </w:numPr>
      </w:pPr>
      <w:r>
        <w:t>complaints in context data</w:t>
      </w:r>
      <w:r w:rsidR="00C869D6">
        <w:t xml:space="preserve"> - </w:t>
      </w:r>
      <w:r w:rsidR="00E37359">
        <w:t>proportion</w:t>
      </w:r>
      <w:r w:rsidR="00C869D6">
        <w:t>ate complaint levels per capita</w:t>
      </w:r>
      <w:r>
        <w:t xml:space="preserve"> (as per the TIO model)</w:t>
      </w:r>
    </w:p>
    <w:p w:rsidR="009A7406" w:rsidRDefault="00A27C56" w:rsidP="009A7406">
      <w:pPr>
        <w:pStyle w:val="ListParagraph"/>
        <w:numPr>
          <w:ilvl w:val="0"/>
          <w:numId w:val="2"/>
        </w:numPr>
      </w:pPr>
      <w:r>
        <w:t>r</w:t>
      </w:r>
      <w:r w:rsidR="00835C0F">
        <w:t xml:space="preserve">eferral data - </w:t>
      </w:r>
      <w:r>
        <w:t xml:space="preserve">for example, </w:t>
      </w:r>
      <w:r w:rsidR="00B36462">
        <w:t xml:space="preserve">how many complaints were referred to other regulators or specialist </w:t>
      </w:r>
      <w:r w:rsidR="00066052">
        <w:t>resolution bodies</w:t>
      </w:r>
      <w:r w:rsidR="00835C0F">
        <w:t>, for example Ombudsmen offices</w:t>
      </w:r>
    </w:p>
    <w:p w:rsidR="00454FA9" w:rsidRDefault="00A27C56" w:rsidP="009A7406">
      <w:pPr>
        <w:pStyle w:val="ListParagraph"/>
        <w:numPr>
          <w:ilvl w:val="0"/>
          <w:numId w:val="2"/>
        </w:numPr>
      </w:pPr>
      <w:r>
        <w:t>the identities of frequen</w:t>
      </w:r>
      <w:r w:rsidR="00B36462">
        <w:t>tly complained about businesses</w:t>
      </w:r>
      <w:r>
        <w:t xml:space="preserve"> (as per the NSW register model).</w:t>
      </w:r>
    </w:p>
    <w:p w:rsidR="00454FA9" w:rsidRDefault="008E0364" w:rsidP="0005078D">
      <w:pPr>
        <w:spacing w:after="0" w:line="240" w:lineRule="auto"/>
        <w:jc w:val="both"/>
      </w:pPr>
      <w:r>
        <w:t>In order to reduce any reporting burden on regulators, this data can be published in spreadsheet format rather than requiring regulat</w:t>
      </w:r>
      <w:r w:rsidR="000A25EE">
        <w:t xml:space="preserve">ors to produce specific graphs. </w:t>
      </w:r>
      <w:r>
        <w:t>ACCAN strongly ACL regulators to work with their internal ICT resources and the Digital Transformation Office (or state and territory equivalent) in order to implement these simple data export functions.</w:t>
      </w:r>
    </w:p>
    <w:p w:rsidR="008E0364" w:rsidRDefault="008E0364" w:rsidP="0005078D">
      <w:pPr>
        <w:spacing w:after="0" w:line="240" w:lineRule="auto"/>
        <w:jc w:val="both"/>
      </w:pPr>
    </w:p>
    <w:p w:rsidR="00804FD1" w:rsidRDefault="006E0C6D" w:rsidP="00064A29">
      <w:pPr>
        <w:pBdr>
          <w:top w:val="single" w:sz="8" w:space="1" w:color="00B0F0"/>
          <w:left w:val="single" w:sz="8" w:space="4" w:color="00B0F0"/>
          <w:bottom w:val="single" w:sz="8" w:space="1" w:color="00B0F0"/>
          <w:right w:val="single" w:sz="8" w:space="4" w:color="00B0F0"/>
        </w:pBdr>
        <w:jc w:val="both"/>
        <w:rPr>
          <w:rFonts w:ascii="Cambria" w:eastAsia="Cambria" w:hAnsi="Cambria" w:cs="Cambria"/>
          <w:b/>
          <w:color w:val="4F81BD"/>
        </w:rPr>
      </w:pPr>
      <w:bookmarkStart w:id="16" w:name="_4d34og8" w:colFirst="0" w:colLast="0"/>
      <w:bookmarkEnd w:id="16"/>
      <w:r w:rsidRPr="00064A29">
        <w:rPr>
          <w:b/>
        </w:rPr>
        <w:t>Recommendation 4 (a)</w:t>
      </w:r>
      <w:r w:rsidR="00A27C56" w:rsidRPr="00064A29">
        <w:rPr>
          <w:b/>
        </w:rPr>
        <w:t>:</w:t>
      </w:r>
      <w:r w:rsidR="00FD241A" w:rsidRPr="00055350">
        <w:t xml:space="preserve"> ACL regulators should </w:t>
      </w:r>
      <w:r w:rsidR="00011183" w:rsidRPr="00055350">
        <w:t xml:space="preserve">increase </w:t>
      </w:r>
      <w:r w:rsidRPr="00055350">
        <w:t xml:space="preserve">public reporting of </w:t>
      </w:r>
      <w:r w:rsidR="00064A29">
        <w:t xml:space="preserve">all </w:t>
      </w:r>
      <w:r w:rsidRPr="00055350">
        <w:t>complaints</w:t>
      </w:r>
      <w:r w:rsidR="00B56CEA">
        <w:t>.</w:t>
      </w:r>
      <w:r w:rsidR="004E77D4">
        <w:br/>
      </w:r>
    </w:p>
    <w:p w:rsidR="00454FA9" w:rsidRDefault="00306AFF" w:rsidP="00392DBD">
      <w:pPr>
        <w:pStyle w:val="Heading2"/>
      </w:pPr>
      <w:r>
        <w:t xml:space="preserve"> </w:t>
      </w:r>
      <w:bookmarkStart w:id="17" w:name="_Toc460323194"/>
      <w:r w:rsidR="00582D70">
        <w:t>(b) Enforcement reporting</w:t>
      </w:r>
      <w:bookmarkEnd w:id="17"/>
      <w:r w:rsidR="00392DBD">
        <w:br/>
      </w:r>
    </w:p>
    <w:p w:rsidR="00A84135" w:rsidRDefault="00785B3E" w:rsidP="00A45787">
      <w:pPr>
        <w:pStyle w:val="NoSpacing"/>
      </w:pPr>
      <w:r>
        <w:t>In add</w:t>
      </w:r>
      <w:r w:rsidR="005F4C53">
        <w:t xml:space="preserve">ition </w:t>
      </w:r>
      <w:r w:rsidR="009706B7">
        <w:t>to improved access to complaint data</w:t>
      </w:r>
      <w:r w:rsidR="00A27C56">
        <w:t xml:space="preserve">, ACCAN also supports </w:t>
      </w:r>
      <w:r w:rsidR="00BD2AA6">
        <w:t>improved access to data on ACL</w:t>
      </w:r>
      <w:r w:rsidR="009F01B2">
        <w:t xml:space="preserve"> enforcement</w:t>
      </w:r>
      <w:r w:rsidR="00D33138">
        <w:t>.  Transparent information on enforcement i</w:t>
      </w:r>
      <w:r w:rsidR="00A84135">
        <w:t>ncreases public confidence by demonstrating specific cases where the regulator has</w:t>
      </w:r>
      <w:r w:rsidR="00A442FA">
        <w:t xml:space="preserve"> acted to</w:t>
      </w:r>
      <w:r w:rsidR="00A84135">
        <w:t xml:space="preserve"> </w:t>
      </w:r>
      <w:r w:rsidR="00A442FA">
        <w:t>protect</w:t>
      </w:r>
      <w:r w:rsidR="00A84135">
        <w:t xml:space="preserve"> consumers from harm. </w:t>
      </w:r>
      <w:r w:rsidR="009C0922">
        <w:t xml:space="preserve">It also provides transparency about how regulators are using taxpayer funds in their operations. </w:t>
      </w:r>
    </w:p>
    <w:p w:rsidR="005430A6" w:rsidRDefault="005430A6" w:rsidP="007A09E7">
      <w:pPr>
        <w:pStyle w:val="NoSpacing"/>
      </w:pPr>
    </w:p>
    <w:p w:rsidR="005532EE" w:rsidRDefault="005430A6" w:rsidP="007D19C5">
      <w:pPr>
        <w:pStyle w:val="NoSpacing"/>
      </w:pPr>
      <w:r>
        <w:t xml:space="preserve">The 2013 ‘Regulator Watch’ report highlighted significant </w:t>
      </w:r>
      <w:r w:rsidR="0075271E">
        <w:t xml:space="preserve">problems with reporting on enforcement </w:t>
      </w:r>
      <w:r w:rsidR="004B51AB">
        <w:t>across all state and territory</w:t>
      </w:r>
      <w:r w:rsidR="00D0406E">
        <w:t xml:space="preserve"> regulators.  </w:t>
      </w:r>
      <w:r w:rsidR="005532EE">
        <w:t xml:space="preserve">ACCAN strongly supports the Report’s </w:t>
      </w:r>
      <w:r w:rsidR="00D26DF9">
        <w:t>overall recommendation</w:t>
      </w:r>
      <w:r w:rsidR="005532EE">
        <w:t xml:space="preserve"> for “comprehensive, frequent and timely, consistent and accessible” reporting.</w:t>
      </w:r>
      <w:r w:rsidR="005532EE">
        <w:rPr>
          <w:vertAlign w:val="superscript"/>
        </w:rPr>
        <w:footnoteReference w:id="27"/>
      </w:r>
      <w:r w:rsidR="005532EE">
        <w:t xml:space="preserve">   </w:t>
      </w:r>
    </w:p>
    <w:p w:rsidR="005532EE" w:rsidRDefault="005532EE" w:rsidP="007D19C5">
      <w:pPr>
        <w:pStyle w:val="NoSpacing"/>
      </w:pPr>
    </w:p>
    <w:p w:rsidR="005532EE" w:rsidRDefault="00FF553E" w:rsidP="007D19C5">
      <w:pPr>
        <w:pStyle w:val="NoSpacing"/>
      </w:pPr>
      <w:r>
        <w:t>For example, f</w:t>
      </w:r>
      <w:r w:rsidR="009F1E8E">
        <w:t xml:space="preserve">or state and territory prosecutions of ACL cases, there are no written judgments because these cases occur in </w:t>
      </w:r>
      <w:r w:rsidR="009D7DC1">
        <w:t>lower level courts</w:t>
      </w:r>
      <w:r w:rsidR="009F1E8E">
        <w:t xml:space="preserve">.  </w:t>
      </w:r>
      <w:r w:rsidR="007D19C5">
        <w:t xml:space="preserve">This makes it impossible for the public to understand any precedent on what behavior is illegal and when complaining is appropriate.   </w:t>
      </w:r>
    </w:p>
    <w:p w:rsidR="005532EE" w:rsidRDefault="005532EE" w:rsidP="007D19C5">
      <w:pPr>
        <w:pStyle w:val="NoSpacing"/>
      </w:pPr>
    </w:p>
    <w:p w:rsidR="00BF17A4" w:rsidRDefault="007D19C5" w:rsidP="00BF17A4">
      <w:pPr>
        <w:pStyle w:val="NoSpacing"/>
      </w:pPr>
      <w:r>
        <w:t xml:space="preserve">When </w:t>
      </w:r>
      <w:r w:rsidR="006114AD">
        <w:t xml:space="preserve">cases are reported by ACL regulators, they do not include </w:t>
      </w:r>
      <w:r w:rsidR="00F041E7">
        <w:t>key</w:t>
      </w:r>
      <w:r w:rsidR="006114AD">
        <w:t xml:space="preserve"> information</w:t>
      </w:r>
      <w:r>
        <w:t xml:space="preserve">. For example, NSW Fair Trading publishes quarterly enforcement actions in a summary form register.  </w:t>
      </w:r>
      <w:r w:rsidR="006114AD">
        <w:t>The spreadsheet r</w:t>
      </w:r>
      <w:r>
        <w:t>ecently recorded a successful case for breach of the ACL. The only information was the amount of the fine and the words “False representation that goods are of a particular standard or quality”.</w:t>
      </w:r>
      <w:r>
        <w:rPr>
          <w:vertAlign w:val="superscript"/>
        </w:rPr>
        <w:footnoteReference w:id="28"/>
      </w:r>
      <w:r>
        <w:t xml:space="preserve">  It would be more useful to know qualitative information, such as the specific facts</w:t>
      </w:r>
      <w:r w:rsidR="00D10B1F">
        <w:t xml:space="preserve"> of the case</w:t>
      </w:r>
      <w:r>
        <w:t xml:space="preserve">. </w:t>
      </w:r>
      <w:r w:rsidR="005532EE">
        <w:br/>
      </w:r>
      <w:r w:rsidR="005532EE">
        <w:br/>
        <w:t xml:space="preserve">To address these issues, ACCAN supports the Regulator Watch recommendation that ACL regulators should publish qualitative information </w:t>
      </w:r>
      <w:r w:rsidR="005532EE" w:rsidRPr="00A45787">
        <w:t>for all court cases and fines, including “at least the type of action taken, section of law breached, size and type of the defendant and the amount of money involved”.</w:t>
      </w:r>
      <w:r w:rsidR="005532EE">
        <w:rPr>
          <w:rStyle w:val="FootnoteReference"/>
        </w:rPr>
        <w:footnoteReference w:id="29"/>
      </w:r>
      <w:r w:rsidR="005532EE">
        <w:t xml:space="preserve">  </w:t>
      </w:r>
      <w:r w:rsidR="00777176">
        <w:t>Including t</w:t>
      </w:r>
      <w:r w:rsidR="008E0700">
        <w:t xml:space="preserve">his information </w:t>
      </w:r>
      <w:r w:rsidR="005430A6">
        <w:t>do</w:t>
      </w:r>
      <w:r w:rsidR="008E0700">
        <w:t>es</w:t>
      </w:r>
      <w:r w:rsidR="005430A6">
        <w:t xml:space="preserve"> not place a significant additional reporting burden on re</w:t>
      </w:r>
      <w:r w:rsidR="000C4D3A">
        <w:t xml:space="preserve">gulators because this data has already been captured in internal departmental documents, including </w:t>
      </w:r>
      <w:r w:rsidR="00BF17A4">
        <w:t xml:space="preserve">legal </w:t>
      </w:r>
      <w:r w:rsidR="000C4D3A">
        <w:t xml:space="preserve">documents. It </w:t>
      </w:r>
      <w:r w:rsidR="00D068D3">
        <w:t>could</w:t>
      </w:r>
      <w:r w:rsidR="005812F6">
        <w:t xml:space="preserve"> be easily published with</w:t>
      </w:r>
      <w:r w:rsidR="000C4D3A">
        <w:t xml:space="preserve"> minimal effort. </w:t>
      </w:r>
    </w:p>
    <w:p w:rsidR="00454FA9" w:rsidRDefault="00454FA9" w:rsidP="00584826">
      <w:pPr>
        <w:pStyle w:val="NoSpacing"/>
      </w:pPr>
    </w:p>
    <w:p w:rsidR="00454FA9" w:rsidRDefault="00584826" w:rsidP="00C60397">
      <w:pPr>
        <w:spacing w:after="0" w:line="240" w:lineRule="auto"/>
      </w:pPr>
      <w:r>
        <w:t>The ACCC provides a good example of comprehensive</w:t>
      </w:r>
      <w:r w:rsidR="00EA331E">
        <w:t xml:space="preserve"> qualitative</w:t>
      </w:r>
      <w:r>
        <w:t xml:space="preserve"> reporting </w:t>
      </w:r>
      <w:r w:rsidR="001063A5">
        <w:t xml:space="preserve">enforcement actions. </w:t>
      </w:r>
      <w:r w:rsidR="00744917">
        <w:t xml:space="preserve"> </w:t>
      </w:r>
      <w:r w:rsidR="001063A5">
        <w:t xml:space="preserve">For each </w:t>
      </w:r>
      <w:r w:rsidR="002E465F">
        <w:t xml:space="preserve">successful </w:t>
      </w:r>
      <w:r w:rsidR="001063A5">
        <w:t>case and penalty notice</w:t>
      </w:r>
      <w:r w:rsidR="00B35F72">
        <w:t xml:space="preserve"> issu</w:t>
      </w:r>
      <w:r w:rsidR="00954019">
        <w:t>ed</w:t>
      </w:r>
      <w:r w:rsidR="001063A5">
        <w:t>,</w:t>
      </w:r>
      <w:r w:rsidR="00744917">
        <w:t xml:space="preserve"> </w:t>
      </w:r>
      <w:r w:rsidR="005812F6">
        <w:t xml:space="preserve">the </w:t>
      </w:r>
      <w:r w:rsidR="00744917">
        <w:t>ACCC</w:t>
      </w:r>
      <w:r w:rsidR="00772EEA">
        <w:t xml:space="preserve"> publishes </w:t>
      </w:r>
      <w:r w:rsidR="00381068">
        <w:t xml:space="preserve">a </w:t>
      </w:r>
      <w:r w:rsidR="00A27C56">
        <w:t>media release</w:t>
      </w:r>
      <w:r w:rsidR="00381068">
        <w:t xml:space="preserve"> that</w:t>
      </w:r>
      <w:r w:rsidR="00A27C56">
        <w:t xml:space="preserve"> specifically explains </w:t>
      </w:r>
      <w:r w:rsidR="00E62AA0">
        <w:t xml:space="preserve">the </w:t>
      </w:r>
      <w:r w:rsidR="00852351">
        <w:t>facts</w:t>
      </w:r>
      <w:r w:rsidR="00C60397">
        <w:t xml:space="preserve"> and</w:t>
      </w:r>
      <w:r w:rsidR="00852351">
        <w:t xml:space="preserve"> the secti</w:t>
      </w:r>
      <w:r w:rsidR="00C60397">
        <w:t>on of the ACL that was breached.</w:t>
      </w:r>
      <w:r w:rsidR="00C60397" w:rsidRPr="00C60397">
        <w:rPr>
          <w:vertAlign w:val="superscript"/>
        </w:rPr>
        <w:t xml:space="preserve"> </w:t>
      </w:r>
      <w:r w:rsidR="00C60397">
        <w:rPr>
          <w:vertAlign w:val="superscript"/>
        </w:rPr>
        <w:footnoteReference w:id="30"/>
      </w:r>
      <w:r w:rsidR="00C60397">
        <w:rPr>
          <w:vertAlign w:val="superscript"/>
        </w:rPr>
        <w:t xml:space="preserve"> </w:t>
      </w:r>
      <w:r w:rsidR="00C60397">
        <w:t xml:space="preserve"> </w:t>
      </w:r>
    </w:p>
    <w:p w:rsidR="00054B61" w:rsidRDefault="00054B61" w:rsidP="00054B61">
      <w:pPr>
        <w:pStyle w:val="NoSpacing"/>
      </w:pPr>
    </w:p>
    <w:p w:rsidR="00454FA9" w:rsidRDefault="00E62AA0">
      <w:pPr>
        <w:spacing w:after="0" w:line="240" w:lineRule="auto"/>
      </w:pPr>
      <w:r>
        <w:t xml:space="preserve">Finally, </w:t>
      </w:r>
      <w:r w:rsidR="00054B61">
        <w:t xml:space="preserve">ACCAN </w:t>
      </w:r>
      <w:r>
        <w:t>s</w:t>
      </w:r>
      <w:r w:rsidR="00054B61">
        <w:t>upports Regulator Watch’s recommendation for consistent reporting across jurisdictions and across time periods.</w:t>
      </w:r>
      <w:r w:rsidR="00054B61">
        <w:rPr>
          <w:rStyle w:val="FootnoteReference"/>
        </w:rPr>
        <w:footnoteReference w:id="31"/>
      </w:r>
      <w:r w:rsidR="00054B61">
        <w:t xml:space="preserve">  This will enable consumers, advocates and industry to develop insights into enforcement trends on a national basis. </w:t>
      </w:r>
      <w:r w:rsidR="00054B61">
        <w:br/>
      </w:r>
      <w:r w:rsidR="00952AF4">
        <w:br/>
      </w:r>
    </w:p>
    <w:p w:rsidR="00055350" w:rsidRDefault="00A27C56" w:rsidP="00064A29">
      <w:pPr>
        <w:pBdr>
          <w:top w:val="single" w:sz="12" w:space="1" w:color="00B0F0"/>
          <w:left w:val="single" w:sz="12" w:space="4" w:color="00B0F0"/>
          <w:bottom w:val="single" w:sz="12" w:space="1" w:color="00B0F0"/>
          <w:right w:val="single" w:sz="12" w:space="4" w:color="00B0F0"/>
        </w:pBdr>
      </w:pPr>
      <w:r w:rsidRPr="00064A29">
        <w:rPr>
          <w:b/>
        </w:rPr>
        <w:t>Recommendation 4</w:t>
      </w:r>
      <w:r w:rsidR="00CD0318" w:rsidRPr="00064A29">
        <w:rPr>
          <w:b/>
        </w:rPr>
        <w:t xml:space="preserve"> (b)</w:t>
      </w:r>
      <w:r w:rsidRPr="00064A29">
        <w:rPr>
          <w:b/>
        </w:rPr>
        <w:t>:</w:t>
      </w:r>
      <w:r w:rsidRPr="00055350">
        <w:t xml:space="preserve"> </w:t>
      </w:r>
      <w:r w:rsidR="00EC320F" w:rsidRPr="00055350">
        <w:t>ACL regulators</w:t>
      </w:r>
      <w:r w:rsidRPr="00055350">
        <w:t xml:space="preserve"> should </w:t>
      </w:r>
      <w:r w:rsidR="00EC320F" w:rsidRPr="00055350">
        <w:t>improve</w:t>
      </w:r>
      <w:r w:rsidRPr="00055350">
        <w:t xml:space="preserve"> reporting on all enforcement outcomes.</w:t>
      </w:r>
      <w:r w:rsidR="00411713">
        <w:t xml:space="preserve">   </w:t>
      </w:r>
      <w:r w:rsidR="003900FC">
        <w:br/>
      </w:r>
    </w:p>
    <w:p w:rsidR="00055350" w:rsidRPr="00E6349E" w:rsidRDefault="00182ED1" w:rsidP="003900FC">
      <w:pPr>
        <w:pStyle w:val="Heading1"/>
        <w:keepNext w:val="0"/>
      </w:pPr>
      <w:r>
        <w:lastRenderedPageBreak/>
        <w:br/>
      </w:r>
      <w:bookmarkStart w:id="18" w:name="_Toc460323195"/>
      <w:r w:rsidR="00E456DD" w:rsidRPr="00E6349E">
        <w:t>Super complaints scheme</w:t>
      </w:r>
      <w:bookmarkEnd w:id="18"/>
    </w:p>
    <w:p w:rsidR="00055350" w:rsidRDefault="00055350" w:rsidP="00673485">
      <w:pPr>
        <w:spacing w:after="0" w:line="240" w:lineRule="auto"/>
        <w:rPr>
          <w:b/>
        </w:rPr>
      </w:pPr>
    </w:p>
    <w:p w:rsidR="00486986" w:rsidRDefault="001443B4" w:rsidP="00673485">
      <w:pPr>
        <w:spacing w:after="0" w:line="240" w:lineRule="auto"/>
      </w:pPr>
      <w:r>
        <w:t xml:space="preserve">As a </w:t>
      </w:r>
      <w:r w:rsidR="00180ACF">
        <w:t>representative organisation</w:t>
      </w:r>
      <w:r>
        <w:t xml:space="preserve">, ACCAN </w:t>
      </w:r>
      <w:r w:rsidR="00232E90">
        <w:t>often hears from individual consumers who have problems with</w:t>
      </w:r>
      <w:r>
        <w:t xml:space="preserve"> specific products, services and providers</w:t>
      </w:r>
      <w:r w:rsidR="00F735E8">
        <w:t>.</w:t>
      </w:r>
      <w:r w:rsidR="00003E35">
        <w:t xml:space="preserve"> </w:t>
      </w:r>
      <w:r>
        <w:t xml:space="preserve"> ACCAN maintains a register of these cases</w:t>
      </w:r>
      <w:r w:rsidR="00003E35">
        <w:t xml:space="preserve"> to assist us with our ongoing advocacy and engagement with industry and government.  </w:t>
      </w:r>
      <w:r>
        <w:t xml:space="preserve">However, </w:t>
      </w:r>
      <w:r w:rsidR="00003E35">
        <w:t xml:space="preserve">there is no requirement </w:t>
      </w:r>
      <w:r w:rsidR="00FE7EF2">
        <w:t>for the</w:t>
      </w:r>
      <w:r w:rsidR="00003E35">
        <w:t xml:space="preserve"> government </w:t>
      </w:r>
      <w:r w:rsidR="00486986">
        <w:t xml:space="preserve">to respond to any issues that we </w:t>
      </w:r>
      <w:r w:rsidR="00B919DA">
        <w:t xml:space="preserve">may </w:t>
      </w:r>
      <w:proofErr w:type="gramStart"/>
      <w:r w:rsidR="00B919DA">
        <w:t>raise</w:t>
      </w:r>
      <w:proofErr w:type="gramEnd"/>
      <w:r w:rsidR="00486986">
        <w:t xml:space="preserve">. </w:t>
      </w:r>
      <w:r w:rsidR="00DF13C3">
        <w:t>It is up to the individual Department, or the Minister concerned, to decide wheth</w:t>
      </w:r>
      <w:r w:rsidR="00F655F7">
        <w:t xml:space="preserve">er to respond to issues raised. </w:t>
      </w:r>
      <w:r w:rsidR="00486986">
        <w:t xml:space="preserve"> </w:t>
      </w:r>
    </w:p>
    <w:p w:rsidR="000E716C" w:rsidRDefault="000E716C" w:rsidP="00673485">
      <w:pPr>
        <w:spacing w:after="0" w:line="240" w:lineRule="auto"/>
      </w:pPr>
    </w:p>
    <w:p w:rsidR="00F655F7" w:rsidRDefault="00EF1420" w:rsidP="00C9212E">
      <w:pPr>
        <w:spacing w:after="0" w:line="240" w:lineRule="auto"/>
      </w:pPr>
      <w:r>
        <w:t xml:space="preserve">To address this issue, ACCAN suggests that the Commission investigate the merits of a </w:t>
      </w:r>
      <w:r w:rsidR="009F78AB">
        <w:t>‘super complaints’</w:t>
      </w:r>
      <w:r>
        <w:t xml:space="preserve"> process. </w:t>
      </w:r>
      <w:r w:rsidR="00A44773">
        <w:t xml:space="preserve">This </w:t>
      </w:r>
      <w:r w:rsidR="005341B7">
        <w:t xml:space="preserve">would allow </w:t>
      </w:r>
      <w:proofErr w:type="spellStart"/>
      <w:r w:rsidR="00AA20EF">
        <w:t>recognised</w:t>
      </w:r>
      <w:proofErr w:type="spellEnd"/>
      <w:r w:rsidR="00B060DA">
        <w:t xml:space="preserve"> </w:t>
      </w:r>
      <w:r w:rsidR="00AA20EF">
        <w:t xml:space="preserve">representative </w:t>
      </w:r>
      <w:proofErr w:type="spellStart"/>
      <w:r w:rsidR="00AA20EF">
        <w:t>organisations</w:t>
      </w:r>
      <w:proofErr w:type="spellEnd"/>
      <w:r w:rsidR="005341B7">
        <w:t xml:space="preserve"> such as ACCAN to make a complaint to regulators</w:t>
      </w:r>
      <w:r w:rsidR="00A44773">
        <w:t xml:space="preserve"> on behalf of a group of consumers</w:t>
      </w:r>
      <w:r w:rsidR="00F53647">
        <w:t xml:space="preserve"> about systemic market problems</w:t>
      </w:r>
      <w:r w:rsidR="005341B7">
        <w:t>.</w:t>
      </w:r>
      <w:r w:rsidR="00A44773">
        <w:t xml:space="preserve"> </w:t>
      </w:r>
      <w:r w:rsidR="00A076CF">
        <w:t xml:space="preserve"> </w:t>
      </w:r>
      <w:r w:rsidR="00F655F7">
        <w:t>This model has been in place in the UK since 2003 and has been very successful.</w:t>
      </w:r>
      <w:r w:rsidR="00F655F7" w:rsidRPr="00F655F7">
        <w:rPr>
          <w:rStyle w:val="FootnoteReference"/>
        </w:rPr>
        <w:t xml:space="preserve"> </w:t>
      </w:r>
      <w:r w:rsidR="00F655F7">
        <w:rPr>
          <w:rStyle w:val="FootnoteReference"/>
        </w:rPr>
        <w:footnoteReference w:id="32"/>
      </w:r>
      <w:r w:rsidR="00F655F7">
        <w:t xml:space="preserve"> </w:t>
      </w:r>
    </w:p>
    <w:p w:rsidR="00F655F7" w:rsidRDefault="00F655F7" w:rsidP="00C9212E">
      <w:pPr>
        <w:spacing w:after="0" w:line="240" w:lineRule="auto"/>
      </w:pPr>
    </w:p>
    <w:p w:rsidR="004E77D4" w:rsidRDefault="00737D9A" w:rsidP="004E77D4">
      <w:pPr>
        <w:spacing w:after="0" w:line="240" w:lineRule="auto"/>
      </w:pPr>
      <w:r>
        <w:t>In the UK, t</w:t>
      </w:r>
      <w:r w:rsidR="00CF0016">
        <w:t>he law allows approved advocates to make a complaint about</w:t>
      </w:r>
      <w:r w:rsidR="00A076CF">
        <w:t xml:space="preserve"> a “feature(s) of a market in the UK for goods or services that is, or appears to be significantly harming the interests of UK consumers”.</w:t>
      </w:r>
      <w:r w:rsidR="00A076CF">
        <w:rPr>
          <w:rStyle w:val="FootnoteReference"/>
        </w:rPr>
        <w:footnoteReference w:id="33"/>
      </w:r>
      <w:r w:rsidR="00A076CF">
        <w:t xml:space="preserve">  The </w:t>
      </w:r>
      <w:r w:rsidR="00F655F7">
        <w:t>regulator</w:t>
      </w:r>
      <w:r w:rsidR="00A076CF">
        <w:t xml:space="preserve"> receiving the complaint must respond within 90 days, along with a written response of its decision to take some or no action, and the reasons for doing so.</w:t>
      </w:r>
      <w:r w:rsidR="00A076CF">
        <w:rPr>
          <w:rStyle w:val="FootnoteReference"/>
        </w:rPr>
        <w:footnoteReference w:id="34"/>
      </w:r>
      <w:r w:rsidR="00A076CF">
        <w:t xml:space="preserve">   Some of the responses can include taking enforcement action, conducting a market study, referral to other regulators or recommending legislative action by government.</w:t>
      </w:r>
      <w:r w:rsidR="00A076CF">
        <w:rPr>
          <w:rStyle w:val="FootnoteReference"/>
        </w:rPr>
        <w:footnoteReference w:id="35"/>
      </w:r>
      <w:r w:rsidR="00A076CF">
        <w:t xml:space="preserve"> </w:t>
      </w:r>
      <w:r w:rsidR="00A076CF">
        <w:br/>
      </w:r>
      <w:r w:rsidR="00A076CF">
        <w:br/>
        <w:t xml:space="preserve">The super complaints </w:t>
      </w:r>
      <w:r w:rsidR="00CE0771">
        <w:t>scheme in the UK</w:t>
      </w:r>
      <w:r w:rsidR="00A076CF">
        <w:t xml:space="preserve"> has been successfully used by energy consumer advocates to establish a redress s</w:t>
      </w:r>
      <w:r w:rsidR="005812F6">
        <w:t>cheme for poor billing practice, while a</w:t>
      </w:r>
      <w:r w:rsidR="00DA6A98">
        <w:t xml:space="preserve"> complaint from</w:t>
      </w:r>
      <w:r w:rsidR="00A076CF">
        <w:t xml:space="preserve"> a financial services advocate</w:t>
      </w:r>
      <w:r w:rsidR="00244AEC">
        <w:t xml:space="preserve"> ultimately</w:t>
      </w:r>
      <w:r w:rsidR="00A076CF">
        <w:t xml:space="preserve"> led to the banning of excess credit card payment fees.</w:t>
      </w:r>
      <w:r w:rsidR="00A076CF">
        <w:rPr>
          <w:rStyle w:val="FootnoteReference"/>
        </w:rPr>
        <w:footnoteReference w:id="36"/>
      </w:r>
      <w:r w:rsidR="003E41AE">
        <w:t xml:space="preserve"> In </w:t>
      </w:r>
      <w:r w:rsidR="007D3781">
        <w:t>many cases such as these</w:t>
      </w:r>
      <w:r w:rsidR="003501B5">
        <w:t>,</w:t>
      </w:r>
      <w:r w:rsidR="00E249AA">
        <w:t xml:space="preserve"> s</w:t>
      </w:r>
      <w:r w:rsidR="00C9212E">
        <w:t>uper complaints have also “undoubtedly been an invaluable source of preliminary information” for regulators before commencing market inquiries.</w:t>
      </w:r>
      <w:r w:rsidR="00C9212E">
        <w:rPr>
          <w:rStyle w:val="FootnoteReference"/>
        </w:rPr>
        <w:footnoteReference w:id="37"/>
      </w:r>
      <w:r w:rsidR="006B6C0A">
        <w:t xml:space="preserve">  </w:t>
      </w:r>
      <w:r w:rsidR="00507F76">
        <w:t xml:space="preserve">ACCAN broadly supports the introduction of a similar super complaints scheme in Australia.  </w:t>
      </w:r>
      <w:r w:rsidR="00A27C56">
        <w:t xml:space="preserve"> </w:t>
      </w:r>
      <w:r w:rsidR="00C31744">
        <w:br/>
      </w:r>
      <w:r w:rsidR="00CE0771">
        <w:br/>
      </w:r>
      <w:r w:rsidR="00E87C3F">
        <w:t xml:space="preserve">A </w:t>
      </w:r>
      <w:r w:rsidR="009F78AB">
        <w:t>‘super complaints’</w:t>
      </w:r>
      <w:r w:rsidR="00E87C3F">
        <w:t xml:space="preserve"> </w:t>
      </w:r>
      <w:r w:rsidR="00306AFF">
        <w:t xml:space="preserve">scheme </w:t>
      </w:r>
      <w:r w:rsidR="00E87C3F">
        <w:t xml:space="preserve">means that consumer harm is addressed more promptly than through the regular parliamentary and political processes.  This is </w:t>
      </w:r>
      <w:r w:rsidR="00684BB8">
        <w:t>particularly relevant when</w:t>
      </w:r>
      <w:r w:rsidR="003244C0">
        <w:t xml:space="preserve"> dealing with issues in</w:t>
      </w:r>
      <w:r w:rsidR="00FE09D1">
        <w:t xml:space="preserve"> communications services, which are critical</w:t>
      </w:r>
      <w:r w:rsidR="00B3033B">
        <w:t xml:space="preserve"> to the economy and society more broadly. </w:t>
      </w:r>
      <w:r w:rsidR="00C9212E">
        <w:t>As the UK experience demonstrates, the super complaint</w:t>
      </w:r>
      <w:r w:rsidR="000A0665">
        <w:t>s</w:t>
      </w:r>
      <w:r w:rsidR="00C9212E">
        <w:t xml:space="preserve"> process</w:t>
      </w:r>
      <w:r w:rsidR="00A305FD">
        <w:t xml:space="preserve"> also benefits government by giving </w:t>
      </w:r>
      <w:r w:rsidR="005812F6">
        <w:t>it</w:t>
      </w:r>
      <w:r w:rsidR="00A305FD">
        <w:t xml:space="preserve"> direct access to individual consumer experiences that consumer advocates have collected. </w:t>
      </w:r>
      <w:r w:rsidR="00C93684">
        <w:t xml:space="preserve">This offers increased efficiency to regulators who do not have to </w:t>
      </w:r>
      <w:r w:rsidR="00E13BAF">
        <w:t xml:space="preserve">collect individual submissions before </w:t>
      </w:r>
      <w:r w:rsidR="00E13BAF">
        <w:lastRenderedPageBreak/>
        <w:t xml:space="preserve">examining the issue further. </w:t>
      </w:r>
      <w:r w:rsidR="00A305FD">
        <w:t xml:space="preserve"> </w:t>
      </w:r>
      <w:r w:rsidR="005341B7">
        <w:br/>
      </w:r>
    </w:p>
    <w:p w:rsidR="00055350" w:rsidRPr="0076192F" w:rsidRDefault="00193DE8" w:rsidP="0076192F">
      <w:pPr>
        <w:pBdr>
          <w:top w:val="single" w:sz="12" w:space="1" w:color="00B0F0"/>
          <w:left w:val="single" w:sz="12" w:space="4" w:color="00B0F0"/>
          <w:bottom w:val="single" w:sz="12" w:space="1" w:color="00B0F0"/>
          <w:right w:val="single" w:sz="12" w:space="4" w:color="00B0F0"/>
        </w:pBdr>
      </w:pPr>
      <w:r w:rsidRPr="00064A29">
        <w:rPr>
          <w:b/>
        </w:rPr>
        <w:t>Recommendation 5:</w:t>
      </w:r>
      <w:r>
        <w:t xml:space="preserve"> That the Commission investigate</w:t>
      </w:r>
      <w:r w:rsidR="009E678E">
        <w:t>s</w:t>
      </w:r>
      <w:r>
        <w:t xml:space="preserve"> the merits of a </w:t>
      </w:r>
      <w:r w:rsidR="00E456DD">
        <w:t>‘</w:t>
      </w:r>
      <w:r>
        <w:t>super complaints</w:t>
      </w:r>
      <w:r w:rsidR="00E456DD">
        <w:t>’</w:t>
      </w:r>
      <w:r>
        <w:t xml:space="preserve"> scheme</w:t>
      </w:r>
      <w:r w:rsidR="0076192F">
        <w:t>.</w:t>
      </w:r>
      <w:r w:rsidR="004E77D4">
        <w:br/>
      </w:r>
    </w:p>
    <w:sectPr w:rsidR="00055350" w:rsidRPr="0076192F" w:rsidSect="00B50D81">
      <w:headerReference w:type="default" r:id="rId10"/>
      <w:footerReference w:type="default" r:id="rId11"/>
      <w:headerReference w:type="first" r:id="rId12"/>
      <w:footerReference w:type="first" r:id="rId13"/>
      <w:pgSz w:w="11906" w:h="16838"/>
      <w:pgMar w:top="851"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EC4" w:rsidRDefault="008E4EC4">
      <w:pPr>
        <w:spacing w:after="0" w:line="240" w:lineRule="auto"/>
      </w:pPr>
      <w:r>
        <w:separator/>
      </w:r>
    </w:p>
  </w:endnote>
  <w:endnote w:type="continuationSeparator" w:id="0">
    <w:p w:rsidR="008E4EC4" w:rsidRDefault="008E4EC4">
      <w:pPr>
        <w:spacing w:after="0" w:line="240" w:lineRule="auto"/>
      </w:pPr>
      <w:r>
        <w:continuationSeparator/>
      </w:r>
    </w:p>
  </w:endnote>
  <w:endnote w:type="continuationNotice" w:id="1">
    <w:p w:rsidR="008E4EC4" w:rsidRDefault="008E4E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C56" w:rsidRDefault="00064A29" w:rsidP="00B5067E">
    <w:pPr>
      <w:spacing w:after="0"/>
      <w:jc w:val="center"/>
    </w:pPr>
    <w:r w:rsidRPr="00E05115">
      <w:rPr>
        <w:color w:val="23B0E6"/>
      </w:rPr>
      <w:t>www.accan.org.au | info@accan.org.au | twitter: @ACCAN_AU</w:t>
    </w:r>
    <w:r>
      <w:t xml:space="preserve">                                                              </w:t>
    </w:r>
    <w:r w:rsidR="00A27C56">
      <w:fldChar w:fldCharType="begin"/>
    </w:r>
    <w:r w:rsidR="00A27C56">
      <w:instrText>PAGE</w:instrText>
    </w:r>
    <w:r w:rsidR="00A27C56">
      <w:fldChar w:fldCharType="separate"/>
    </w:r>
    <w:r w:rsidR="00F1230C">
      <w:rPr>
        <w:noProof/>
      </w:rPr>
      <w:t>6</w:t>
    </w:r>
    <w:r w:rsidR="00A27C56">
      <w:fldChar w:fldCharType="end"/>
    </w:r>
  </w:p>
  <w:p w:rsidR="00A27C56" w:rsidRDefault="00A27C5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C56" w:rsidRDefault="00A27C56">
    <w:pPr>
      <w:spacing w:after="0"/>
      <w:ind w:left="-754"/>
    </w:pPr>
    <w:r>
      <w:rPr>
        <w:color w:val="44C8F5"/>
        <w:sz w:val="20"/>
        <w:szCs w:val="20"/>
      </w:rPr>
      <w:t>Australian Communications Consumer Action Network (ACCAN)</w:t>
    </w:r>
  </w:p>
  <w:p w:rsidR="00A27C56" w:rsidRDefault="00A27C56">
    <w:pPr>
      <w:spacing w:after="0"/>
      <w:ind w:left="-754"/>
    </w:pPr>
    <w:r>
      <w:rPr>
        <w:i/>
        <w:color w:val="44C8F5"/>
        <w:sz w:val="20"/>
        <w:szCs w:val="20"/>
      </w:rPr>
      <w:t>Australia’s peak telecommunications consumer organisation</w:t>
    </w:r>
  </w:p>
  <w:p w:rsidR="00A27C56" w:rsidRDefault="00A27C56">
    <w:pPr>
      <w:spacing w:after="0"/>
      <w:ind w:left="-754"/>
    </w:pPr>
    <w:r>
      <w:rPr>
        <w:noProof/>
      </w:rPr>
      <mc:AlternateContent>
        <mc:Choice Requires="wps">
          <w:drawing>
            <wp:inline distT="0" distB="0" distL="0" distR="0" wp14:anchorId="5EB75771" wp14:editId="3AA26CDF">
              <wp:extent cx="6692900" cy="38100"/>
              <wp:effectExtent l="0" t="0" r="0" b="0"/>
              <wp:docPr id="3" name="Straight Arrow Connector 3"/>
              <wp:cNvGraphicFramePr/>
              <a:graphic xmlns:a="http://schemas.openxmlformats.org/drawingml/2006/main">
                <a:graphicData uri="http://schemas.microsoft.com/office/word/2010/wordprocessingShape">
                  <wps:wsp>
                    <wps:cNvCnPr/>
                    <wps:spPr>
                      <a:xfrm>
                        <a:off x="1996200" y="3780000"/>
                        <a:ext cx="6699600" cy="0"/>
                      </a:xfrm>
                      <a:prstGeom prst="straightConnector1">
                        <a:avLst/>
                      </a:prstGeom>
                      <a:noFill/>
                      <a:ln w="38100" cap="flat" cmpd="sng">
                        <a:solidFill>
                          <a:srgbClr val="23B0E6"/>
                        </a:solidFill>
                        <a:prstDash val="solid"/>
                        <a:round/>
                        <a:headEnd type="none" w="med" len="med"/>
                        <a:tailEnd type="none" w="med" len="med"/>
                      </a:ln>
                    </wps:spPr>
                    <wps:bodyPr/>
                  </wps:wsp>
                </a:graphicData>
              </a:graphic>
            </wp:inline>
          </w:drawing>
        </mc:Choice>
        <mc:Fallback>
          <w:pict>
            <v:shapetype id="_x0000_t32" coordsize="21600,21600" o:spt="32" o:oned="t" path="m,l21600,21600e" filled="f">
              <v:path arrowok="t" fillok="f" o:connecttype="none"/>
              <o:lock v:ext="edit" shapetype="t"/>
            </v:shapetype>
            <v:shape id="Straight Arrow Connector 3" o:spid="_x0000_s1026" type="#_x0000_t32" style="width:527pt;height:3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Re75wEAAMMDAAAOAAAAZHJzL2Uyb0RvYy54bWysU02P0zAQvSPxHyzfadJWCt2o6QraXS4I&#10;Ki38ANd2Ekv+0oy3af89Y7d0WbggRA6O7Zl5897MeH1/cpYdNaAJvuPzWc2Z9jIo44eOf//2+G7F&#10;GSbhlbDB646fNfL7zds36ym2ehHGYJUGRiAe2yl2fEwptlWFctRO4CxE7cnYB3Ai0RGGSoGYCN3Z&#10;alHXTTUFUBGC1Ih0u7sY+abg972W6Wvfo07Mdpy4pbJCWQ95rTZr0Q4g4mjklYb4BxZOGE9Jb1A7&#10;kQR7BvMHlDMSAoY+zWRwVeh7I3XRQGrm9W9qnkYRddFCxcF4KxP+P1j55bgHZlTHl5x54ahFTwmE&#10;GcbEPgCEiW2D91TGAGyZqzVFbClo6/dwPWHcQ5Z+6sHlP4liJ5qFu7uGOsTZmbDfr2r6LtXWp8Qk&#10;OTQNeWQHSR7FVr2ARMD0SQfH8qbjeOV0IzMv1RbHz5iIBgX+DMgMfHg01pbWWs8myr+al0SCJqy3&#10;IlFOF0kz+qHgYLBG5ZgcjTActhbYUdDMLJYf64cmE6ccr9xywp3A8eJXTBd9EJ69KslHLdSDVyyd&#10;I9XV0wPgmY3TijOr6b3kXfFMwti/8SQS1hOX3IVL3fPuENS5tKPc06QUttepzqP467lEv7y9zQ8A&#10;AAD//wMAUEsDBBQABgAIAAAAIQAAa5yJ2gAAAAQBAAAPAAAAZHJzL2Rvd25yZXYueG1sTI/BbsIw&#10;EETvlfgHa5F6KzZVG6E0DqJRq16QEGk/YImXJCVeR7GBtF+P6aVcRhrNauZtthxtJ040+NaxhvlM&#10;gSCunGm51vD1+f6wAOEDssHOMWn4IQ/LfHKXYWrcmbd0KkMtYgn7FDU0IfSplL5qyKKfuZ44Zns3&#10;WAzRDrU0A55jue3ko1KJtNhyXGiwp6Kh6lAerYZvX/z6Bb+uijcTth/lepOsca/1/XRcvYAINIb/&#10;Y7jiR3TII9POHdl40WmIj4Q/vWbq+Sn6nYZEgcwzeQufXwAAAP//AwBQSwECLQAUAAYACAAAACEA&#10;toM4kv4AAADhAQAAEwAAAAAAAAAAAAAAAAAAAAAAW0NvbnRlbnRfVHlwZXNdLnhtbFBLAQItABQA&#10;BgAIAAAAIQA4/SH/1gAAAJQBAAALAAAAAAAAAAAAAAAAAC8BAABfcmVscy8ucmVsc1BLAQItABQA&#10;BgAIAAAAIQD0hRe75wEAAMMDAAAOAAAAAAAAAAAAAAAAAC4CAABkcnMvZTJvRG9jLnhtbFBLAQIt&#10;ABQABgAIAAAAIQAAa5yJ2gAAAAQBAAAPAAAAAAAAAAAAAAAAAEEEAABkcnMvZG93bnJldi54bWxQ&#10;SwUGAAAAAAQABADzAAAASAUAAAAA&#10;" strokecolor="#23b0e6" strokeweight="3pt">
              <w10:anchorlock/>
            </v:shape>
          </w:pict>
        </mc:Fallback>
      </mc:AlternateContent>
    </w:r>
    <w:r>
      <w:rPr>
        <w:sz w:val="20"/>
        <w:szCs w:val="20"/>
      </w:rPr>
      <w:t>Suite 4.02, 55 Mountain St, Ultimo NSW 2007</w:t>
    </w:r>
  </w:p>
  <w:p w:rsidR="00A27C56" w:rsidRDefault="00A27C56">
    <w:pPr>
      <w:spacing w:after="0"/>
      <w:ind w:left="-754"/>
    </w:pPr>
    <w:r>
      <w:rPr>
        <w:sz w:val="20"/>
        <w:szCs w:val="20"/>
      </w:rPr>
      <w:t>Tel: (02) 9288 4000 | TTY: (02) 9281 5322 | Fax: (02) 9288 4019</w:t>
    </w:r>
  </w:p>
  <w:p w:rsidR="00A27C56" w:rsidRDefault="00A27C56">
    <w:pPr>
      <w:spacing w:after="0"/>
      <w:ind w:left="-754"/>
    </w:pPr>
    <w:r>
      <w:rPr>
        <w:color w:val="44C8F5"/>
        <w:sz w:val="20"/>
        <w:szCs w:val="20"/>
      </w:rPr>
      <w:t>www.accan.org.au | info@accan.org.au | twitter: @ACCAN_AU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EC4" w:rsidRDefault="008E4EC4">
      <w:pPr>
        <w:spacing w:after="0" w:line="240" w:lineRule="auto"/>
      </w:pPr>
      <w:r>
        <w:separator/>
      </w:r>
    </w:p>
  </w:footnote>
  <w:footnote w:type="continuationSeparator" w:id="0">
    <w:p w:rsidR="008E4EC4" w:rsidRDefault="008E4EC4">
      <w:pPr>
        <w:spacing w:after="0" w:line="240" w:lineRule="auto"/>
      </w:pPr>
      <w:r>
        <w:continuationSeparator/>
      </w:r>
    </w:p>
  </w:footnote>
  <w:footnote w:type="continuationNotice" w:id="1">
    <w:p w:rsidR="008E4EC4" w:rsidRDefault="008E4EC4">
      <w:pPr>
        <w:spacing w:after="0" w:line="240" w:lineRule="auto"/>
      </w:pPr>
    </w:p>
  </w:footnote>
  <w:footnote w:id="2">
    <w:p w:rsidR="00A27C56" w:rsidRPr="00CD0318" w:rsidRDefault="00A27C56" w:rsidP="00CD0318">
      <w:pPr>
        <w:pStyle w:val="NoSpacing"/>
        <w:contextualSpacing/>
        <w:rPr>
          <w:sz w:val="20"/>
          <w:szCs w:val="20"/>
        </w:rPr>
      </w:pPr>
      <w:r w:rsidRPr="00CD0318">
        <w:rPr>
          <w:sz w:val="20"/>
          <w:szCs w:val="20"/>
          <w:vertAlign w:val="superscript"/>
        </w:rPr>
        <w:footnoteRef/>
      </w:r>
      <w:r w:rsidRPr="00CD0318">
        <w:rPr>
          <w:sz w:val="20"/>
          <w:szCs w:val="20"/>
        </w:rPr>
        <w:t xml:space="preserve"> </w:t>
      </w:r>
      <w:proofErr w:type="gramStart"/>
      <w:r w:rsidRPr="00CD0318">
        <w:rPr>
          <w:sz w:val="20"/>
          <w:szCs w:val="20"/>
        </w:rPr>
        <w:t>Australian Communications and Media Authority, ‘Communications report 2011–12 series Report 3— Smartphones and tablets Take-up and use in Australia Summary report’, &lt;</w:t>
      </w:r>
      <w:hyperlink r:id="rId1">
        <w:r w:rsidRPr="00CD0318">
          <w:rPr>
            <w:color w:val="0000FF"/>
            <w:sz w:val="20"/>
            <w:szCs w:val="20"/>
            <w:u w:val="single"/>
          </w:rPr>
          <w:t>http://www.acma.gov.au/webwr/_assets/main/lib310665/report-3-smartphones_tablets-summary.pdf</w:t>
        </w:r>
      </w:hyperlink>
      <w:r w:rsidRPr="00CD0318">
        <w:rPr>
          <w:sz w:val="20"/>
          <w:szCs w:val="20"/>
        </w:rPr>
        <w:t>&gt;.</w:t>
      </w:r>
      <w:proofErr w:type="gramEnd"/>
    </w:p>
  </w:footnote>
  <w:footnote w:id="3">
    <w:p w:rsidR="00A27C56" w:rsidRPr="00CD0318" w:rsidRDefault="00A27C56" w:rsidP="00CD0318">
      <w:pPr>
        <w:pStyle w:val="NoSpacing"/>
        <w:contextualSpacing/>
        <w:rPr>
          <w:sz w:val="20"/>
          <w:szCs w:val="20"/>
        </w:rPr>
      </w:pPr>
      <w:r w:rsidRPr="00CD0318">
        <w:rPr>
          <w:sz w:val="20"/>
          <w:szCs w:val="20"/>
          <w:vertAlign w:val="superscript"/>
        </w:rPr>
        <w:footnoteRef/>
      </w:r>
      <w:r w:rsidRPr="00CD0318">
        <w:rPr>
          <w:sz w:val="20"/>
          <w:szCs w:val="20"/>
        </w:rPr>
        <w:t xml:space="preserve"> Similar trends have also been seen in tablet ownership. See Deloitte, ‘Mobile Consumer Survey 2015 – The Australian Cut, October 2015, p. 2, 9, &lt;</w:t>
      </w:r>
      <w:hyperlink r:id="rId2">
        <w:r w:rsidRPr="00CD0318">
          <w:rPr>
            <w:color w:val="0000FF"/>
            <w:sz w:val="20"/>
            <w:szCs w:val="20"/>
            <w:u w:val="single"/>
          </w:rPr>
          <w:t>http://landing.deloitte.com.au/rs/761-IBL-328/images/deloitte-au-tmt-mobile-consumer-survey-2015-291015.pdf</w:t>
        </w:r>
      </w:hyperlink>
      <w:r w:rsidRPr="00CD0318">
        <w:rPr>
          <w:sz w:val="20"/>
          <w:szCs w:val="20"/>
        </w:rPr>
        <w:t>&gt;</w:t>
      </w:r>
    </w:p>
  </w:footnote>
  <w:footnote w:id="4">
    <w:p w:rsidR="00A27C56" w:rsidRPr="00CD0318" w:rsidRDefault="00A27C56" w:rsidP="00CD0318">
      <w:pPr>
        <w:pStyle w:val="NoSpacing"/>
        <w:contextualSpacing/>
        <w:rPr>
          <w:sz w:val="20"/>
          <w:szCs w:val="20"/>
        </w:rPr>
      </w:pPr>
      <w:r w:rsidRPr="00CD0318">
        <w:rPr>
          <w:sz w:val="20"/>
          <w:szCs w:val="20"/>
          <w:vertAlign w:val="superscript"/>
        </w:rPr>
        <w:footnoteRef/>
      </w:r>
      <w:r w:rsidRPr="00CD0318">
        <w:rPr>
          <w:sz w:val="20"/>
          <w:szCs w:val="20"/>
        </w:rPr>
        <w:t xml:space="preserve"> Australian Bureau of Statistics, ‘8153.0 - Internet Activity, Australia, June 2011’ – Section: </w:t>
      </w:r>
      <w:r w:rsidR="00B129EF">
        <w:rPr>
          <w:sz w:val="20"/>
          <w:szCs w:val="20"/>
        </w:rPr>
        <w:t>‘Type of Access Connection’, &lt;</w:t>
      </w:r>
      <w:hyperlink r:id="rId3">
        <w:r w:rsidRPr="00CD0318">
          <w:rPr>
            <w:color w:val="0000FF"/>
            <w:sz w:val="20"/>
            <w:szCs w:val="20"/>
            <w:u w:val="single"/>
          </w:rPr>
          <w:t>http://www.abs.gov.au/AUSSTATS/abs@.nsf/allprimarymainfeatures/91A5539B10732B1CCA2579D0000C0B28?opendocument</w:t>
        </w:r>
      </w:hyperlink>
      <w:r w:rsidRPr="00CD0318">
        <w:rPr>
          <w:sz w:val="20"/>
          <w:szCs w:val="20"/>
        </w:rPr>
        <w:t>&gt;; Australian Bureau of Statistics, ‘8153.0 - Internet Activity, Australia, December 2</w:t>
      </w:r>
      <w:r w:rsidR="00B129EF">
        <w:rPr>
          <w:sz w:val="20"/>
          <w:szCs w:val="20"/>
        </w:rPr>
        <w:t xml:space="preserve">015’ – Section: ‘Type of Access </w:t>
      </w:r>
      <w:r w:rsidRPr="00CD0318">
        <w:rPr>
          <w:sz w:val="20"/>
          <w:szCs w:val="20"/>
        </w:rPr>
        <w:t>Connection’,&lt;</w:t>
      </w:r>
      <w:hyperlink r:id="rId4">
        <w:r w:rsidRPr="00CD0318">
          <w:rPr>
            <w:color w:val="0000FF"/>
            <w:sz w:val="20"/>
            <w:szCs w:val="20"/>
            <w:u w:val="single"/>
          </w:rPr>
          <w:t>http://www.abs.gov.au/AUSSTATS/abs@.nsf/allprimarymainfeatures/00FD2E732C939C06CA257E19000FB410?opendocument</w:t>
        </w:r>
      </w:hyperlink>
      <w:r w:rsidRPr="00CD0318">
        <w:rPr>
          <w:sz w:val="20"/>
          <w:szCs w:val="20"/>
        </w:rPr>
        <w:t>&gt;</w:t>
      </w:r>
    </w:p>
  </w:footnote>
  <w:footnote w:id="5">
    <w:p w:rsidR="009D035D" w:rsidRDefault="009D035D">
      <w:pPr>
        <w:pStyle w:val="FootnoteText"/>
        <w:rPr>
          <w:lang w:val="en-AU"/>
        </w:rPr>
      </w:pPr>
      <w:r>
        <w:rPr>
          <w:rStyle w:val="FootnoteReference"/>
        </w:rPr>
        <w:footnoteRef/>
      </w:r>
      <w:r>
        <w:t xml:space="preserve"> </w:t>
      </w:r>
      <w:proofErr w:type="gramStart"/>
      <w:r>
        <w:rPr>
          <w:lang w:val="en-AU"/>
        </w:rPr>
        <w:t xml:space="preserve">Deloitte University Press, </w:t>
      </w:r>
      <w:r>
        <w:rPr>
          <w:i/>
          <w:lang w:val="en-AU"/>
        </w:rPr>
        <w:t xml:space="preserve">Transforming Government through Digital, </w:t>
      </w:r>
      <w:r>
        <w:rPr>
          <w:lang w:val="en-AU"/>
        </w:rPr>
        <w:t>2015, &lt;</w:t>
      </w:r>
      <w:hyperlink r:id="rId5" w:history="1">
        <w:r w:rsidRPr="00E01D67">
          <w:rPr>
            <w:rStyle w:val="Hyperlink"/>
            <w:lang w:val="en-AU"/>
          </w:rPr>
          <w:t>http://dupress.com/articles/digital-transformation-in-government-infographic/?top=4</w:t>
        </w:r>
      </w:hyperlink>
      <w:r>
        <w:rPr>
          <w:lang w:val="en-AU"/>
        </w:rPr>
        <w:t>&gt;.</w:t>
      </w:r>
      <w:proofErr w:type="gramEnd"/>
      <w:r>
        <w:rPr>
          <w:lang w:val="en-AU"/>
        </w:rPr>
        <w:t xml:space="preserve"> Full report available at: &lt;</w:t>
      </w:r>
      <w:hyperlink r:id="rId6" w:history="1">
        <w:r w:rsidRPr="00E01D67">
          <w:rPr>
            <w:rStyle w:val="Hyperlink"/>
            <w:lang w:val="en-AU"/>
          </w:rPr>
          <w:t>http://dupress.com/articles/digital-transformation-in-government/</w:t>
        </w:r>
      </w:hyperlink>
      <w:r>
        <w:rPr>
          <w:lang w:val="en-AU"/>
        </w:rPr>
        <w:t>&gt;</w:t>
      </w:r>
    </w:p>
    <w:p w:rsidR="009D035D" w:rsidRDefault="009D035D">
      <w:pPr>
        <w:pStyle w:val="FootnoteText"/>
        <w:rPr>
          <w:lang w:val="en-AU"/>
        </w:rPr>
      </w:pPr>
    </w:p>
    <w:p w:rsidR="009D035D" w:rsidRPr="009D035D" w:rsidRDefault="009D035D">
      <w:pPr>
        <w:pStyle w:val="FootnoteText"/>
        <w:rPr>
          <w:lang w:val="en-AU"/>
        </w:rPr>
      </w:pPr>
    </w:p>
  </w:footnote>
  <w:footnote w:id="6">
    <w:p w:rsidR="00A27C56" w:rsidRPr="00CD0318" w:rsidRDefault="00A27C56" w:rsidP="00CD0318">
      <w:pPr>
        <w:pStyle w:val="NoSpacing"/>
        <w:contextualSpacing/>
        <w:rPr>
          <w:sz w:val="20"/>
          <w:szCs w:val="20"/>
        </w:rPr>
      </w:pPr>
      <w:r w:rsidRPr="00CD0318">
        <w:rPr>
          <w:sz w:val="20"/>
          <w:szCs w:val="20"/>
          <w:vertAlign w:val="superscript"/>
        </w:rPr>
        <w:footnoteRef/>
      </w:r>
      <w:r w:rsidRPr="00CD0318">
        <w:rPr>
          <w:sz w:val="20"/>
          <w:szCs w:val="20"/>
        </w:rPr>
        <w:t xml:space="preserve"> </w:t>
      </w:r>
      <w:r w:rsidRPr="00CD0318">
        <w:rPr>
          <w:i/>
          <w:sz w:val="20"/>
          <w:szCs w:val="20"/>
        </w:rPr>
        <w:t>Australian Competition and Consumer Commission v Coles Supermarkets Australia Pty Ltd</w:t>
      </w:r>
      <w:r w:rsidRPr="00CD0318">
        <w:rPr>
          <w:sz w:val="20"/>
          <w:szCs w:val="20"/>
        </w:rPr>
        <w:t xml:space="preserve"> [2014] FCA 1405 (22 December 2014)</w:t>
      </w:r>
    </w:p>
  </w:footnote>
  <w:footnote w:id="7">
    <w:p w:rsidR="00731991" w:rsidRPr="00CD0318" w:rsidRDefault="00A27C56" w:rsidP="00CD0318">
      <w:pPr>
        <w:pStyle w:val="NoSpacing"/>
        <w:contextualSpacing/>
        <w:rPr>
          <w:sz w:val="20"/>
          <w:szCs w:val="20"/>
        </w:rPr>
      </w:pPr>
      <w:r w:rsidRPr="00CD0318">
        <w:rPr>
          <w:sz w:val="20"/>
          <w:szCs w:val="20"/>
          <w:vertAlign w:val="superscript"/>
        </w:rPr>
        <w:footnoteRef/>
      </w:r>
      <w:r w:rsidRPr="00CD0318">
        <w:rPr>
          <w:sz w:val="20"/>
          <w:szCs w:val="20"/>
        </w:rPr>
        <w:t xml:space="preserve"> T</w:t>
      </w:r>
      <w:r w:rsidR="00731991">
        <w:rPr>
          <w:sz w:val="20"/>
          <w:szCs w:val="20"/>
        </w:rPr>
        <w:t>elstra, Annual Report 2015, p. 4, &lt;</w:t>
      </w:r>
      <w:hyperlink r:id="rId7" w:history="1">
        <w:r w:rsidR="00731991" w:rsidRPr="00892B4A">
          <w:rPr>
            <w:rStyle w:val="Hyperlink"/>
            <w:sz w:val="20"/>
            <w:szCs w:val="20"/>
          </w:rPr>
          <w:t>https://www.telstra.com.au/content/dam/tcom/about-us/investors/pdf%20D/2015-ANNUAL-REPORT.pdf</w:t>
        </w:r>
      </w:hyperlink>
      <w:r w:rsidR="00F735E8">
        <w:rPr>
          <w:sz w:val="20"/>
          <w:szCs w:val="20"/>
        </w:rPr>
        <w:t>&gt;</w:t>
      </w:r>
      <w:bookmarkStart w:id="9" w:name="_GoBack"/>
      <w:bookmarkEnd w:id="9"/>
      <w:r w:rsidR="00731991">
        <w:rPr>
          <w:sz w:val="20"/>
          <w:szCs w:val="20"/>
        </w:rPr>
        <w:t>.</w:t>
      </w:r>
    </w:p>
  </w:footnote>
  <w:footnote w:id="8">
    <w:p w:rsidR="007576AC" w:rsidRPr="00594457" w:rsidRDefault="00A27C56" w:rsidP="00CD0318">
      <w:pPr>
        <w:pStyle w:val="NoSpacing"/>
        <w:contextualSpacing/>
        <w:rPr>
          <w:color w:val="0000FF"/>
          <w:sz w:val="20"/>
          <w:u w:val="single"/>
        </w:rPr>
      </w:pPr>
      <w:r w:rsidRPr="00CD0318">
        <w:rPr>
          <w:sz w:val="20"/>
          <w:szCs w:val="20"/>
          <w:vertAlign w:val="superscript"/>
        </w:rPr>
        <w:footnoteRef/>
      </w:r>
      <w:r w:rsidRPr="00CD0318">
        <w:rPr>
          <w:sz w:val="20"/>
          <w:szCs w:val="20"/>
        </w:rPr>
        <w:t xml:space="preserve"> ACCC, 2014, ‘Telstra pays $102,000 penalty following ACCC infringement notice for iPhone 6 advertisement’, available at: </w:t>
      </w:r>
      <w:r w:rsidR="00B129EF">
        <w:rPr>
          <w:sz w:val="20"/>
          <w:szCs w:val="20"/>
        </w:rPr>
        <w:t>&lt;</w:t>
      </w:r>
      <w:hyperlink r:id="rId8" w:history="1">
        <w:r w:rsidRPr="007576AC">
          <w:rPr>
            <w:rStyle w:val="Hyperlink"/>
            <w:sz w:val="20"/>
            <w:szCs w:val="20"/>
          </w:rPr>
          <w:t>https://www.accc.gov.au/media-release/telstra-pays-102000-penalty-following-accc-infringement-notice-for-iphone-6-advertisement</w:t>
        </w:r>
        <w:r w:rsidR="007576AC" w:rsidRPr="007576AC">
          <w:rPr>
            <w:rStyle w:val="Hyperlink"/>
            <w:sz w:val="20"/>
            <w:szCs w:val="20"/>
          </w:rPr>
          <w:t>&gt;</w:t>
        </w:r>
      </w:hyperlink>
    </w:p>
  </w:footnote>
  <w:footnote w:id="9">
    <w:p w:rsidR="00A27C56" w:rsidRPr="00CD0318" w:rsidRDefault="00A27C56" w:rsidP="00CD0318">
      <w:pPr>
        <w:pStyle w:val="NoSpacing"/>
        <w:contextualSpacing/>
        <w:rPr>
          <w:sz w:val="20"/>
          <w:szCs w:val="20"/>
        </w:rPr>
      </w:pPr>
      <w:r w:rsidRPr="00CD0318">
        <w:rPr>
          <w:sz w:val="20"/>
          <w:szCs w:val="20"/>
          <w:vertAlign w:val="superscript"/>
        </w:rPr>
        <w:footnoteRef/>
      </w:r>
      <w:r w:rsidRPr="00CD0318">
        <w:rPr>
          <w:sz w:val="20"/>
          <w:szCs w:val="20"/>
        </w:rPr>
        <w:t xml:space="preserve"> Telstra Annual Report 2015 page 23, </w:t>
      </w:r>
    </w:p>
  </w:footnote>
  <w:footnote w:id="10">
    <w:p w:rsidR="00A27C56" w:rsidRPr="00CD0318" w:rsidRDefault="00A27C56" w:rsidP="00CD0318">
      <w:pPr>
        <w:pStyle w:val="NoSpacing"/>
        <w:contextualSpacing/>
        <w:rPr>
          <w:sz w:val="20"/>
          <w:szCs w:val="20"/>
        </w:rPr>
      </w:pPr>
      <w:r w:rsidRPr="00CD0318">
        <w:rPr>
          <w:sz w:val="20"/>
          <w:szCs w:val="20"/>
          <w:vertAlign w:val="superscript"/>
        </w:rPr>
        <w:footnoteRef/>
      </w:r>
      <w:r w:rsidRPr="00CD0318">
        <w:rPr>
          <w:sz w:val="20"/>
          <w:szCs w:val="20"/>
        </w:rPr>
        <w:t xml:space="preserve"> Australian Competition and Consumer Commission and Australian Energy Regulator, Annual Report 2013-2014, p. 143 at Table 3.6, </w:t>
      </w:r>
    </w:p>
    <w:p w:rsidR="00A27C56" w:rsidRPr="00CD0318" w:rsidRDefault="00F735E8" w:rsidP="00CD0318">
      <w:pPr>
        <w:pStyle w:val="NoSpacing"/>
        <w:contextualSpacing/>
        <w:rPr>
          <w:sz w:val="20"/>
          <w:szCs w:val="20"/>
        </w:rPr>
      </w:pPr>
      <w:r>
        <w:rPr>
          <w:sz w:val="20"/>
          <w:szCs w:val="20"/>
        </w:rPr>
        <w:t>&lt;</w:t>
      </w:r>
      <w:hyperlink r:id="rId9" w:history="1">
        <w:r w:rsidRPr="002D580F">
          <w:rPr>
            <w:rStyle w:val="Hyperlink"/>
            <w:sz w:val="20"/>
            <w:szCs w:val="20"/>
          </w:rPr>
          <w:t>https://www.accc.gov.au/publications/accc-aer-annual-report/accc-aer-annual-report-2013-14</w:t>
        </w:r>
      </w:hyperlink>
      <w:r w:rsidR="00A27C56" w:rsidRPr="00CD0318">
        <w:rPr>
          <w:sz w:val="20"/>
          <w:szCs w:val="20"/>
        </w:rPr>
        <w:t>&gt;</w:t>
      </w:r>
      <w:r w:rsidR="007576AC">
        <w:rPr>
          <w:sz w:val="20"/>
          <w:szCs w:val="20"/>
        </w:rPr>
        <w:t xml:space="preserve">; </w:t>
      </w:r>
      <w:r w:rsidR="00A27C56" w:rsidRPr="00CD0318">
        <w:rPr>
          <w:sz w:val="20"/>
          <w:szCs w:val="20"/>
        </w:rPr>
        <w:t>Australian Competition and Consumer Commission and Australian Energy Regulator, Annual Report 2014-2015, p. 119 at Table 3.7,&lt;</w:t>
      </w:r>
      <w:hyperlink r:id="rId10">
        <w:r w:rsidR="00A27C56" w:rsidRPr="00CD0318">
          <w:rPr>
            <w:color w:val="0000FF"/>
            <w:sz w:val="20"/>
            <w:szCs w:val="20"/>
            <w:u w:val="single"/>
          </w:rPr>
          <w:t>https://www.accc.gov.au/publications/accc-aer-annual-report/accc-aer-annual-report-2014-15</w:t>
        </w:r>
      </w:hyperlink>
      <w:r w:rsidR="00A27C56" w:rsidRPr="00CD0318">
        <w:rPr>
          <w:sz w:val="20"/>
          <w:szCs w:val="20"/>
        </w:rPr>
        <w:t>&gt;</w:t>
      </w:r>
    </w:p>
  </w:footnote>
  <w:footnote w:id="11">
    <w:p w:rsidR="00543B5A" w:rsidRPr="00543B5A" w:rsidRDefault="00543B5A">
      <w:pPr>
        <w:pStyle w:val="FootnoteText"/>
        <w:rPr>
          <w:lang w:val="en-AU"/>
        </w:rPr>
      </w:pPr>
      <w:r>
        <w:rPr>
          <w:rStyle w:val="FootnoteReference"/>
        </w:rPr>
        <w:footnoteRef/>
      </w:r>
      <w:r>
        <w:t xml:space="preserve"> </w:t>
      </w:r>
      <w:proofErr w:type="gramStart"/>
      <w:r w:rsidRPr="00CD0318">
        <w:rPr>
          <w:i/>
        </w:rPr>
        <w:t xml:space="preserve">Competition and Consumer Act 2010 </w:t>
      </w:r>
      <w:r w:rsidRPr="00CD0318">
        <w:t>(</w:t>
      </w:r>
      <w:proofErr w:type="spellStart"/>
      <w:r w:rsidRPr="00CD0318">
        <w:t>Cth</w:t>
      </w:r>
      <w:proofErr w:type="spellEnd"/>
      <w:r w:rsidRPr="00CD0318">
        <w:t xml:space="preserve">) </w:t>
      </w:r>
      <w:proofErr w:type="spellStart"/>
      <w:r w:rsidRPr="00CD0318">
        <w:t>sch</w:t>
      </w:r>
      <w:proofErr w:type="spellEnd"/>
      <w:r w:rsidRPr="00CD0318">
        <w:t xml:space="preserve"> 2 (“</w:t>
      </w:r>
      <w:r w:rsidRPr="00CD0318">
        <w:rPr>
          <w:i/>
        </w:rPr>
        <w:t>Australian Consumer Law</w:t>
      </w:r>
      <w:r w:rsidRPr="00CD0318">
        <w:t xml:space="preserve">”) </w:t>
      </w:r>
      <w:r>
        <w:t>cl 2 (definition of “supply”).</w:t>
      </w:r>
      <w:proofErr w:type="gramEnd"/>
      <w:r>
        <w:t xml:space="preserve"> </w:t>
      </w:r>
    </w:p>
  </w:footnote>
  <w:footnote w:id="12">
    <w:p w:rsidR="00C20E3D" w:rsidRPr="00C20E3D" w:rsidRDefault="00C20E3D">
      <w:pPr>
        <w:pStyle w:val="FootnoteText"/>
        <w:rPr>
          <w:lang w:val="en-AU"/>
        </w:rPr>
      </w:pPr>
      <w:r>
        <w:rPr>
          <w:rStyle w:val="FootnoteReference"/>
        </w:rPr>
        <w:footnoteRef/>
      </w:r>
      <w:r>
        <w:t xml:space="preserve"> </w:t>
      </w:r>
      <w:r>
        <w:rPr>
          <w:lang w:val="en-AU"/>
        </w:rPr>
        <w:t xml:space="preserve">Apple, </w:t>
      </w:r>
      <w:r w:rsidRPr="00C20E3D">
        <w:rPr>
          <w:i/>
          <w:lang w:val="en-AU"/>
        </w:rPr>
        <w:t>Apple Developer Program</w:t>
      </w:r>
      <w:r>
        <w:rPr>
          <w:lang w:val="en-AU"/>
        </w:rPr>
        <w:t>, &lt;</w:t>
      </w:r>
      <w:hyperlink r:id="rId11" w:history="1">
        <w:r w:rsidRPr="00E01D67">
          <w:rPr>
            <w:rStyle w:val="Hyperlink"/>
            <w:lang w:val="en-AU"/>
          </w:rPr>
          <w:t>https://developer.apple.com/programs/</w:t>
        </w:r>
      </w:hyperlink>
      <w:r>
        <w:rPr>
          <w:lang w:val="en-AU"/>
        </w:rPr>
        <w:t xml:space="preserve">&gt;; Google, </w:t>
      </w:r>
      <w:r>
        <w:rPr>
          <w:i/>
          <w:lang w:val="en-AU"/>
        </w:rPr>
        <w:t>Transaction fees</w:t>
      </w:r>
      <w:r>
        <w:rPr>
          <w:lang w:val="en-AU"/>
        </w:rPr>
        <w:t>, &lt;</w:t>
      </w:r>
      <w:hyperlink r:id="rId12" w:history="1">
        <w:r w:rsidRPr="00E01D67">
          <w:rPr>
            <w:rStyle w:val="Hyperlink"/>
            <w:lang w:val="en-AU"/>
          </w:rPr>
          <w:t>https://support.google.com/googleplay/android-developer/answer/112622?hl=en</w:t>
        </w:r>
      </w:hyperlink>
      <w:r>
        <w:rPr>
          <w:lang w:val="en-AU"/>
        </w:rPr>
        <w:t>&gt;</w:t>
      </w:r>
    </w:p>
  </w:footnote>
  <w:footnote w:id="13">
    <w:p w:rsidR="00A27C56" w:rsidRPr="00CD0318" w:rsidRDefault="00A27C56" w:rsidP="00CD0318">
      <w:pPr>
        <w:pStyle w:val="NoSpacing"/>
        <w:contextualSpacing/>
        <w:rPr>
          <w:sz w:val="20"/>
          <w:szCs w:val="20"/>
        </w:rPr>
      </w:pPr>
      <w:r w:rsidRPr="00CD0318">
        <w:rPr>
          <w:sz w:val="20"/>
          <w:szCs w:val="20"/>
          <w:vertAlign w:val="superscript"/>
        </w:rPr>
        <w:footnoteRef/>
      </w:r>
      <w:r w:rsidRPr="00CD0318">
        <w:rPr>
          <w:sz w:val="20"/>
          <w:szCs w:val="20"/>
        </w:rPr>
        <w:t xml:space="preserve"> </w:t>
      </w:r>
      <w:r w:rsidRPr="00CD0318">
        <w:rPr>
          <w:i/>
          <w:sz w:val="20"/>
          <w:szCs w:val="20"/>
        </w:rPr>
        <w:t xml:space="preserve">Competition and Consumer Act 2010 </w:t>
      </w:r>
      <w:r w:rsidRPr="00CD0318">
        <w:rPr>
          <w:sz w:val="20"/>
          <w:szCs w:val="20"/>
        </w:rPr>
        <w:t>(</w:t>
      </w:r>
      <w:proofErr w:type="spellStart"/>
      <w:r w:rsidRPr="00CD0318">
        <w:rPr>
          <w:sz w:val="20"/>
          <w:szCs w:val="20"/>
        </w:rPr>
        <w:t>Cth</w:t>
      </w:r>
      <w:proofErr w:type="spellEnd"/>
      <w:r w:rsidRPr="00CD0318">
        <w:rPr>
          <w:sz w:val="20"/>
          <w:szCs w:val="20"/>
        </w:rPr>
        <w:t xml:space="preserve">) </w:t>
      </w:r>
      <w:proofErr w:type="spellStart"/>
      <w:r w:rsidRPr="00CD0318">
        <w:rPr>
          <w:sz w:val="20"/>
          <w:szCs w:val="20"/>
        </w:rPr>
        <w:t>sch</w:t>
      </w:r>
      <w:proofErr w:type="spellEnd"/>
      <w:r w:rsidRPr="00CD0318">
        <w:rPr>
          <w:sz w:val="20"/>
          <w:szCs w:val="20"/>
        </w:rPr>
        <w:t xml:space="preserve"> 2 (“</w:t>
      </w:r>
      <w:r w:rsidRPr="00CD0318">
        <w:rPr>
          <w:i/>
          <w:sz w:val="20"/>
          <w:szCs w:val="20"/>
        </w:rPr>
        <w:t>Australian Consumer Law</w:t>
      </w:r>
      <w:r w:rsidRPr="00CD0318">
        <w:rPr>
          <w:sz w:val="20"/>
          <w:szCs w:val="20"/>
        </w:rPr>
        <w:t xml:space="preserve">”) </w:t>
      </w:r>
      <w:r w:rsidR="00543B5A">
        <w:rPr>
          <w:sz w:val="20"/>
          <w:szCs w:val="20"/>
        </w:rPr>
        <w:t>cl</w:t>
      </w:r>
      <w:r w:rsidRPr="00CD0318">
        <w:rPr>
          <w:sz w:val="20"/>
          <w:szCs w:val="20"/>
        </w:rPr>
        <w:t xml:space="preserve"> 267(3</w:t>
      </w:r>
      <w:proofErr w:type="gramStart"/>
      <w:r w:rsidRPr="00CD0318">
        <w:rPr>
          <w:sz w:val="20"/>
          <w:szCs w:val="20"/>
        </w:rPr>
        <w:t>)(</w:t>
      </w:r>
      <w:proofErr w:type="gramEnd"/>
      <w:r w:rsidRPr="00CD0318">
        <w:rPr>
          <w:sz w:val="20"/>
          <w:szCs w:val="20"/>
        </w:rPr>
        <w:t>b).</w:t>
      </w:r>
    </w:p>
  </w:footnote>
  <w:footnote w:id="14">
    <w:p w:rsidR="00A27C56" w:rsidRPr="00CD0318" w:rsidRDefault="00A27C56" w:rsidP="00CD0318">
      <w:pPr>
        <w:pStyle w:val="NoSpacing"/>
        <w:contextualSpacing/>
        <w:rPr>
          <w:sz w:val="20"/>
          <w:szCs w:val="20"/>
        </w:rPr>
      </w:pPr>
      <w:r w:rsidRPr="00CD0318">
        <w:rPr>
          <w:sz w:val="20"/>
          <w:szCs w:val="20"/>
          <w:vertAlign w:val="superscript"/>
        </w:rPr>
        <w:footnoteRef/>
      </w:r>
      <w:r w:rsidRPr="00CD0318">
        <w:rPr>
          <w:sz w:val="20"/>
          <w:szCs w:val="20"/>
        </w:rPr>
        <w:t xml:space="preserve"> Gordon </w:t>
      </w:r>
      <w:proofErr w:type="spellStart"/>
      <w:r w:rsidRPr="00CD0318">
        <w:rPr>
          <w:sz w:val="20"/>
          <w:szCs w:val="20"/>
        </w:rPr>
        <w:t>Renouf</w:t>
      </w:r>
      <w:proofErr w:type="spellEnd"/>
      <w:r w:rsidRPr="00CD0318">
        <w:rPr>
          <w:sz w:val="20"/>
          <w:szCs w:val="20"/>
        </w:rPr>
        <w:t xml:space="preserve">, </w:t>
      </w:r>
      <w:proofErr w:type="spellStart"/>
      <w:r w:rsidRPr="00CD0318">
        <w:rPr>
          <w:sz w:val="20"/>
          <w:szCs w:val="20"/>
        </w:rPr>
        <w:t>Teena</w:t>
      </w:r>
      <w:proofErr w:type="spellEnd"/>
      <w:r w:rsidRPr="00CD0318">
        <w:rPr>
          <w:sz w:val="20"/>
          <w:szCs w:val="20"/>
        </w:rPr>
        <w:t xml:space="preserve"> </w:t>
      </w:r>
      <w:proofErr w:type="spellStart"/>
      <w:r w:rsidRPr="00CD0318">
        <w:rPr>
          <w:sz w:val="20"/>
          <w:szCs w:val="20"/>
        </w:rPr>
        <w:t>Balgi</w:t>
      </w:r>
      <w:proofErr w:type="spellEnd"/>
      <w:r w:rsidRPr="00CD0318">
        <w:rPr>
          <w:sz w:val="20"/>
          <w:szCs w:val="20"/>
        </w:rPr>
        <w:t xml:space="preserve"> and the Consumer Action Law Centre, ‘"Regulator </w:t>
      </w:r>
      <w:proofErr w:type="spellStart"/>
      <w:r w:rsidRPr="00CD0318">
        <w:rPr>
          <w:sz w:val="20"/>
          <w:szCs w:val="20"/>
        </w:rPr>
        <w:t>Watch”:The</w:t>
      </w:r>
      <w:proofErr w:type="spellEnd"/>
      <w:r w:rsidRPr="00CD0318">
        <w:rPr>
          <w:sz w:val="20"/>
          <w:szCs w:val="20"/>
        </w:rPr>
        <w:t xml:space="preserve"> Enforcement Performance of Australian Consumer Protection Regulators’, March 2013, pp. 18-19, &lt;</w:t>
      </w:r>
      <w:hyperlink r:id="rId13">
        <w:r w:rsidRPr="00CD0318">
          <w:rPr>
            <w:color w:val="0000FF"/>
            <w:sz w:val="20"/>
            <w:szCs w:val="20"/>
            <w:u w:val="single"/>
          </w:rPr>
          <w:t>http://consumeraction.org.au/wp-content/uploads/2013/04/CALC-Regulator-Report-FINAL-eVersion.pdf</w:t>
        </w:r>
      </w:hyperlink>
      <w:r w:rsidRPr="00CD0318">
        <w:rPr>
          <w:sz w:val="20"/>
          <w:szCs w:val="20"/>
        </w:rPr>
        <w:t>&gt;</w:t>
      </w:r>
    </w:p>
  </w:footnote>
  <w:footnote w:id="15">
    <w:p w:rsidR="00E61F57" w:rsidRPr="00CD0318" w:rsidRDefault="00A27C56" w:rsidP="00CD0318">
      <w:pPr>
        <w:pStyle w:val="NoSpacing"/>
        <w:contextualSpacing/>
        <w:rPr>
          <w:sz w:val="20"/>
          <w:szCs w:val="20"/>
          <w:lang w:val="en-AU"/>
        </w:rPr>
      </w:pPr>
      <w:r w:rsidRPr="00CD0318">
        <w:rPr>
          <w:rStyle w:val="FootnoteReference"/>
          <w:sz w:val="20"/>
          <w:szCs w:val="20"/>
        </w:rPr>
        <w:footnoteRef/>
      </w:r>
      <w:r w:rsidRPr="00CD0318">
        <w:rPr>
          <w:sz w:val="20"/>
          <w:szCs w:val="20"/>
        </w:rPr>
        <w:t xml:space="preserve"> </w:t>
      </w:r>
      <w:r w:rsidR="00E61F57" w:rsidRPr="00CD0318">
        <w:rPr>
          <w:sz w:val="20"/>
          <w:szCs w:val="20"/>
          <w:lang w:val="en-AU"/>
        </w:rPr>
        <w:t xml:space="preserve">Australian Competition and Consumer Commission, ‘Jackson </w:t>
      </w:r>
      <w:proofErr w:type="spellStart"/>
      <w:r w:rsidR="00E61F57" w:rsidRPr="00CD0318">
        <w:rPr>
          <w:sz w:val="20"/>
          <w:szCs w:val="20"/>
          <w:lang w:val="en-AU"/>
        </w:rPr>
        <w:t>Anni</w:t>
      </w:r>
      <w:proofErr w:type="spellEnd"/>
      <w:r w:rsidR="00E61F57" w:rsidRPr="00CD0318">
        <w:rPr>
          <w:sz w:val="20"/>
          <w:szCs w:val="20"/>
          <w:lang w:val="en-AU"/>
        </w:rPr>
        <w:t xml:space="preserve"> and FDRA sales agents not to enter Indigenous communities to sell goods or services’, 6 May 2016, &lt;</w:t>
      </w:r>
      <w:hyperlink r:id="rId14" w:history="1">
        <w:r w:rsidR="00E61F57" w:rsidRPr="00CD0318">
          <w:rPr>
            <w:rStyle w:val="Hyperlink"/>
            <w:sz w:val="20"/>
            <w:szCs w:val="20"/>
            <w:lang w:val="en-AU"/>
          </w:rPr>
          <w:t>http://www.accc.gov.au/media-release/jackson-anni-and-fdra-sales-agents-not-to-enter-indigenous-communities-to-sell-goods-or-services</w:t>
        </w:r>
      </w:hyperlink>
      <w:r w:rsidR="00E61F57" w:rsidRPr="00CD0318">
        <w:rPr>
          <w:sz w:val="20"/>
          <w:szCs w:val="20"/>
          <w:lang w:val="en-AU"/>
        </w:rPr>
        <w:t>&gt;</w:t>
      </w:r>
    </w:p>
  </w:footnote>
  <w:footnote w:id="16">
    <w:p w:rsidR="00A27C56" w:rsidRPr="00CD0318" w:rsidRDefault="00A27C56" w:rsidP="00CD0318">
      <w:pPr>
        <w:pStyle w:val="NoSpacing"/>
        <w:contextualSpacing/>
        <w:rPr>
          <w:sz w:val="20"/>
          <w:szCs w:val="20"/>
          <w:lang w:val="en-AU"/>
        </w:rPr>
      </w:pPr>
      <w:r w:rsidRPr="00CD0318">
        <w:rPr>
          <w:rStyle w:val="FootnoteReference"/>
          <w:sz w:val="20"/>
          <w:szCs w:val="20"/>
        </w:rPr>
        <w:footnoteRef/>
      </w:r>
      <w:r w:rsidRPr="00CD0318">
        <w:rPr>
          <w:sz w:val="20"/>
          <w:szCs w:val="20"/>
        </w:rPr>
        <w:t xml:space="preserve"> Gordon </w:t>
      </w:r>
      <w:proofErr w:type="spellStart"/>
      <w:r w:rsidRPr="00CD0318">
        <w:rPr>
          <w:sz w:val="20"/>
          <w:szCs w:val="20"/>
        </w:rPr>
        <w:t>Renouf</w:t>
      </w:r>
      <w:proofErr w:type="spellEnd"/>
      <w:r w:rsidRPr="00CD0318">
        <w:rPr>
          <w:sz w:val="20"/>
          <w:szCs w:val="20"/>
        </w:rPr>
        <w:t xml:space="preserve">, </w:t>
      </w:r>
      <w:proofErr w:type="spellStart"/>
      <w:r w:rsidRPr="00CD0318">
        <w:rPr>
          <w:sz w:val="20"/>
          <w:szCs w:val="20"/>
        </w:rPr>
        <w:t>Teena</w:t>
      </w:r>
      <w:proofErr w:type="spellEnd"/>
      <w:r w:rsidRPr="00CD0318">
        <w:rPr>
          <w:sz w:val="20"/>
          <w:szCs w:val="20"/>
        </w:rPr>
        <w:t xml:space="preserve"> </w:t>
      </w:r>
      <w:proofErr w:type="spellStart"/>
      <w:r w:rsidRPr="00CD0318">
        <w:rPr>
          <w:sz w:val="20"/>
          <w:szCs w:val="20"/>
        </w:rPr>
        <w:t>Balgi</w:t>
      </w:r>
      <w:proofErr w:type="spellEnd"/>
      <w:r w:rsidRPr="00CD0318">
        <w:rPr>
          <w:sz w:val="20"/>
          <w:szCs w:val="20"/>
        </w:rPr>
        <w:t xml:space="preserve"> and the Consumer Action Law Centre, ‘"Regulator </w:t>
      </w:r>
      <w:proofErr w:type="spellStart"/>
      <w:r w:rsidRPr="00CD0318">
        <w:rPr>
          <w:sz w:val="20"/>
          <w:szCs w:val="20"/>
        </w:rPr>
        <w:t>Watch”:The</w:t>
      </w:r>
      <w:proofErr w:type="spellEnd"/>
      <w:r w:rsidRPr="00CD0318">
        <w:rPr>
          <w:sz w:val="20"/>
          <w:szCs w:val="20"/>
        </w:rPr>
        <w:t xml:space="preserve"> Enforcement Performance of Australian Consumer Protection Regulators’, March 2013, p. 40, &lt;</w:t>
      </w:r>
      <w:hyperlink r:id="rId15">
        <w:r w:rsidRPr="00CD0318">
          <w:rPr>
            <w:color w:val="0000FF"/>
            <w:sz w:val="20"/>
            <w:szCs w:val="20"/>
            <w:u w:val="single"/>
          </w:rPr>
          <w:t>http://consumeraction.org.au/wp-content/uploads/2013/04/CALC-Regulator-Report-FINAL-eVersion.pdf</w:t>
        </w:r>
      </w:hyperlink>
      <w:r w:rsidRPr="00CD0318">
        <w:rPr>
          <w:sz w:val="20"/>
          <w:szCs w:val="20"/>
        </w:rPr>
        <w:t>&gt;</w:t>
      </w:r>
    </w:p>
  </w:footnote>
  <w:footnote w:id="17">
    <w:p w:rsidR="00074969" w:rsidRPr="00CD0318" w:rsidRDefault="00074969" w:rsidP="00CD0318">
      <w:pPr>
        <w:pStyle w:val="NoSpacing"/>
        <w:contextualSpacing/>
        <w:rPr>
          <w:sz w:val="20"/>
          <w:szCs w:val="20"/>
          <w:lang w:val="en-AU"/>
        </w:rPr>
      </w:pPr>
      <w:r w:rsidRPr="00CD0318">
        <w:rPr>
          <w:rStyle w:val="FootnoteReference"/>
          <w:sz w:val="20"/>
          <w:szCs w:val="20"/>
        </w:rPr>
        <w:footnoteRef/>
      </w:r>
      <w:r w:rsidRPr="00CD0318">
        <w:rPr>
          <w:sz w:val="20"/>
          <w:szCs w:val="20"/>
        </w:rPr>
        <w:t xml:space="preserve"> </w:t>
      </w:r>
      <w:r w:rsidRPr="00CD0318">
        <w:rPr>
          <w:sz w:val="20"/>
          <w:szCs w:val="20"/>
          <w:lang w:val="en-AU"/>
        </w:rPr>
        <w:t xml:space="preserve">Australian Competition and Consumer Commission, ‘Submission to Productivity Commission Inquiry into Council of Australian Government Deregulation Reforms’, 27 October 2011, p. 5, </w:t>
      </w:r>
    </w:p>
    <w:p w:rsidR="00074969" w:rsidRPr="00CD0318" w:rsidRDefault="00074969" w:rsidP="00CD0318">
      <w:pPr>
        <w:pStyle w:val="NoSpacing"/>
        <w:contextualSpacing/>
        <w:rPr>
          <w:sz w:val="20"/>
          <w:szCs w:val="20"/>
          <w:lang w:val="en-AU"/>
        </w:rPr>
      </w:pPr>
      <w:r w:rsidRPr="00CD0318">
        <w:rPr>
          <w:sz w:val="20"/>
          <w:szCs w:val="20"/>
          <w:lang w:val="en-AU"/>
        </w:rPr>
        <w:t>&lt;</w:t>
      </w:r>
      <w:hyperlink r:id="rId16" w:history="1">
        <w:r w:rsidRPr="00CD0318">
          <w:rPr>
            <w:rStyle w:val="Hyperlink"/>
            <w:sz w:val="20"/>
            <w:szCs w:val="20"/>
            <w:lang w:val="en-AU"/>
          </w:rPr>
          <w:t>http://www.pc.gov.au/inquiries/completed/coag-reporting-busines-vet/submissions/R008.pdf</w:t>
        </w:r>
      </w:hyperlink>
      <w:r w:rsidRPr="00CD0318">
        <w:rPr>
          <w:sz w:val="20"/>
          <w:szCs w:val="20"/>
          <w:lang w:val="en-AU"/>
        </w:rPr>
        <w:t>&gt;</w:t>
      </w:r>
    </w:p>
  </w:footnote>
  <w:footnote w:id="18">
    <w:p w:rsidR="003B38D7" w:rsidRPr="00CD0318" w:rsidRDefault="003B38D7" w:rsidP="00CD0318">
      <w:pPr>
        <w:pStyle w:val="NoSpacing"/>
        <w:contextualSpacing/>
        <w:rPr>
          <w:sz w:val="20"/>
          <w:szCs w:val="20"/>
          <w:lang w:val="en-AU"/>
        </w:rPr>
      </w:pPr>
      <w:r w:rsidRPr="00CD0318">
        <w:rPr>
          <w:rStyle w:val="FootnoteReference"/>
          <w:sz w:val="20"/>
          <w:szCs w:val="20"/>
        </w:rPr>
        <w:footnoteRef/>
      </w:r>
      <w:r w:rsidRPr="00CD0318">
        <w:rPr>
          <w:sz w:val="20"/>
          <w:szCs w:val="20"/>
        </w:rPr>
        <w:t xml:space="preserve"> </w:t>
      </w:r>
      <w:r w:rsidRPr="00CD0318">
        <w:rPr>
          <w:sz w:val="20"/>
          <w:szCs w:val="20"/>
          <w:lang w:val="en-AU"/>
        </w:rPr>
        <w:t>Commonwealth Treasury, ‘The Australian Consumer Law – National Projects’, &lt;</w:t>
      </w:r>
      <w:hyperlink r:id="rId17" w:history="1">
        <w:r w:rsidRPr="00CD0318">
          <w:rPr>
            <w:rStyle w:val="Hyperlink"/>
            <w:sz w:val="20"/>
            <w:szCs w:val="20"/>
            <w:lang w:val="en-AU"/>
          </w:rPr>
          <w:t>http://consumerlaw.gov.au/the-australian-consumer-law/acl-national-projects</w:t>
        </w:r>
      </w:hyperlink>
      <w:r w:rsidRPr="00CD0318">
        <w:rPr>
          <w:sz w:val="20"/>
          <w:szCs w:val="20"/>
          <w:lang w:val="en-AU"/>
        </w:rPr>
        <w:t>&gt;</w:t>
      </w:r>
    </w:p>
  </w:footnote>
  <w:footnote w:id="19">
    <w:p w:rsidR="00EF50DA" w:rsidRPr="00CD0318" w:rsidRDefault="00A27C56" w:rsidP="00CD0318">
      <w:pPr>
        <w:pStyle w:val="NoSpacing"/>
        <w:contextualSpacing/>
        <w:rPr>
          <w:sz w:val="20"/>
          <w:szCs w:val="20"/>
        </w:rPr>
      </w:pPr>
      <w:r w:rsidRPr="00CD0318">
        <w:rPr>
          <w:rStyle w:val="FootnoteReference"/>
          <w:sz w:val="20"/>
          <w:szCs w:val="20"/>
        </w:rPr>
        <w:footnoteRef/>
      </w:r>
      <w:r w:rsidRPr="00CD0318">
        <w:rPr>
          <w:sz w:val="20"/>
          <w:szCs w:val="20"/>
        </w:rPr>
        <w:t xml:space="preserve"> </w:t>
      </w:r>
      <w:r w:rsidR="00EF50DA" w:rsidRPr="00CD0318">
        <w:rPr>
          <w:sz w:val="20"/>
          <w:szCs w:val="20"/>
        </w:rPr>
        <w:t>Department of the Prime Minister and Cabinet, ‘Australian Government Public Data Policy Statement’, 7 December 2015</w:t>
      </w:r>
      <w:proofErr w:type="gramStart"/>
      <w:r w:rsidR="00EF50DA" w:rsidRPr="00CD0318">
        <w:rPr>
          <w:sz w:val="20"/>
          <w:szCs w:val="20"/>
        </w:rPr>
        <w:t>,  &lt;</w:t>
      </w:r>
      <w:proofErr w:type="gramEnd"/>
      <w:r w:rsidR="00F04F3E">
        <w:fldChar w:fldCharType="begin"/>
      </w:r>
      <w:r w:rsidR="00F04F3E">
        <w:instrText xml:space="preserve"> HYPERLINK "https://www.dpmc.gov.au/sites/default/files/publications/aust_govt_public_data_policy_statement_1.pdf" </w:instrText>
      </w:r>
      <w:r w:rsidR="00F04F3E">
        <w:fldChar w:fldCharType="separate"/>
      </w:r>
      <w:r w:rsidR="00EF50DA" w:rsidRPr="00CD0318">
        <w:rPr>
          <w:rStyle w:val="Hyperlink"/>
          <w:sz w:val="20"/>
          <w:szCs w:val="20"/>
        </w:rPr>
        <w:t>https://www.dpmc.gov.au/sites/default/files/publications/aust_govt_public_data_policy_statement_1.pdf</w:t>
      </w:r>
      <w:r w:rsidR="00F04F3E">
        <w:rPr>
          <w:rStyle w:val="Hyperlink"/>
          <w:sz w:val="20"/>
          <w:szCs w:val="20"/>
        </w:rPr>
        <w:fldChar w:fldCharType="end"/>
      </w:r>
      <w:r w:rsidR="00EF50DA" w:rsidRPr="00CD0318">
        <w:rPr>
          <w:sz w:val="20"/>
          <w:szCs w:val="20"/>
        </w:rPr>
        <w:t xml:space="preserve">&gt;. </w:t>
      </w:r>
    </w:p>
  </w:footnote>
  <w:footnote w:id="20">
    <w:p w:rsidR="00E24562" w:rsidRPr="00E24562" w:rsidRDefault="00E24562" w:rsidP="00E24562">
      <w:pPr>
        <w:pStyle w:val="FootnoteText"/>
      </w:pPr>
      <w:r>
        <w:rPr>
          <w:rStyle w:val="FootnoteReference"/>
        </w:rPr>
        <w:footnoteRef/>
      </w:r>
      <w:r>
        <w:t xml:space="preserve"> </w:t>
      </w:r>
      <w:r w:rsidR="00570357">
        <w:t xml:space="preserve">See, for example: </w:t>
      </w:r>
      <w:r>
        <w:t xml:space="preserve">ACT: Office of the Chief Digital Officer, </w:t>
      </w:r>
      <w:r w:rsidRPr="00E24562">
        <w:rPr>
          <w:i/>
        </w:rPr>
        <w:t>ACT Government’s Open Data Policy</w:t>
      </w:r>
      <w:r>
        <w:t>, &lt;</w:t>
      </w:r>
      <w:hyperlink r:id="rId18" w:history="1">
        <w:r w:rsidRPr="00E01D67">
          <w:rPr>
            <w:rStyle w:val="Hyperlink"/>
          </w:rPr>
          <w:t>http://www.cmd.act.gov.au/__data/assets/pdf_file/0011/859430/2016-Proactive-Release-of-Data-Open-Data-Policy.pdf</w:t>
        </w:r>
      </w:hyperlink>
      <w:r w:rsidR="0076192F">
        <w:t xml:space="preserve">; </w:t>
      </w:r>
      <w:r>
        <w:t xml:space="preserve">NSW: Department of Finance, Services and Innovation, </w:t>
      </w:r>
      <w:r>
        <w:rPr>
          <w:i/>
        </w:rPr>
        <w:t>NSW Government Open Data Policy</w:t>
      </w:r>
      <w:r>
        <w:t>, &lt;</w:t>
      </w:r>
      <w:hyperlink r:id="rId19" w:history="1">
        <w:r w:rsidRPr="00E01D67">
          <w:rPr>
            <w:rStyle w:val="Hyperlink"/>
          </w:rPr>
          <w:t>https://www.finance.nsw.gov.au/ict/sites/default/files/resources/NSW_Government_Open_Data_Policy_2016.pdf</w:t>
        </w:r>
      </w:hyperlink>
      <w:r w:rsidR="0076192F">
        <w:t xml:space="preserve">&gt;; </w:t>
      </w:r>
      <w:r>
        <w:rPr>
          <w:lang w:val="en-AU"/>
        </w:rPr>
        <w:t>Tasmania:</w:t>
      </w:r>
      <w:r w:rsidRPr="00E24562">
        <w:t xml:space="preserve"> </w:t>
      </w:r>
      <w:r>
        <w:rPr>
          <w:lang w:val="en-AU"/>
        </w:rPr>
        <w:t xml:space="preserve">Department of Premier and Cabinet </w:t>
      </w:r>
      <w:r w:rsidRPr="00E24562">
        <w:rPr>
          <w:lang w:val="en-AU"/>
        </w:rPr>
        <w:t xml:space="preserve">Office of </w:t>
      </w:r>
      <w:proofErr w:type="spellStart"/>
      <w:r w:rsidRPr="00E24562">
        <w:rPr>
          <w:lang w:val="en-AU"/>
        </w:rPr>
        <w:t>eGovernment</w:t>
      </w:r>
      <w:proofErr w:type="spellEnd"/>
      <w:r>
        <w:rPr>
          <w:lang w:val="en-AU"/>
        </w:rPr>
        <w:t xml:space="preserve">,  </w:t>
      </w:r>
      <w:r w:rsidRPr="00E24562">
        <w:rPr>
          <w:i/>
          <w:lang w:val="en-AU"/>
        </w:rPr>
        <w:t>Tasmanian Government Open Data Policy 2016</w:t>
      </w:r>
      <w:r>
        <w:rPr>
          <w:lang w:val="en-AU"/>
        </w:rPr>
        <w:t>, &lt;</w:t>
      </w:r>
      <w:hyperlink r:id="rId20" w:history="1">
        <w:r w:rsidRPr="00E01D67">
          <w:rPr>
            <w:rStyle w:val="Hyperlink"/>
            <w:lang w:val="en-AU"/>
          </w:rPr>
          <w:t>http://www.egovernment.tas.gov.au/stats_matter/open_data/tasmanian_government_open_data_policy</w:t>
        </w:r>
      </w:hyperlink>
      <w:r>
        <w:rPr>
          <w:lang w:val="en-AU"/>
        </w:rPr>
        <w:t xml:space="preserve">&gt; </w:t>
      </w:r>
    </w:p>
  </w:footnote>
  <w:footnote w:id="21">
    <w:p w:rsidR="00A27C56" w:rsidRPr="00CD0318" w:rsidRDefault="00A27C56" w:rsidP="00CD0318">
      <w:pPr>
        <w:pStyle w:val="NoSpacing"/>
        <w:contextualSpacing/>
        <w:rPr>
          <w:sz w:val="20"/>
          <w:szCs w:val="20"/>
        </w:rPr>
      </w:pPr>
      <w:r w:rsidRPr="00CD0318">
        <w:rPr>
          <w:sz w:val="20"/>
          <w:szCs w:val="20"/>
          <w:vertAlign w:val="superscript"/>
        </w:rPr>
        <w:footnoteRef/>
      </w:r>
      <w:r w:rsidRPr="00CD0318">
        <w:rPr>
          <w:sz w:val="20"/>
          <w:szCs w:val="20"/>
        </w:rPr>
        <w:t xml:space="preserve"> See, e.g. Australian Competition and Consumer Commission and Australian Energy Regulator, Annual Report 2014-2015, p. 117-118, &lt;</w:t>
      </w:r>
      <w:hyperlink r:id="rId21">
        <w:r w:rsidRPr="00CD0318">
          <w:rPr>
            <w:color w:val="0000FF"/>
            <w:sz w:val="20"/>
            <w:szCs w:val="20"/>
            <w:u w:val="single"/>
          </w:rPr>
          <w:t>https://www.accc.gov.au/system/files/979_Annual%20Report_2014-15_web_FA_1.pdf</w:t>
        </w:r>
      </w:hyperlink>
      <w:r w:rsidRPr="00CD0318">
        <w:rPr>
          <w:sz w:val="20"/>
          <w:szCs w:val="20"/>
        </w:rPr>
        <w:t>&gt;</w:t>
      </w:r>
    </w:p>
  </w:footnote>
  <w:footnote w:id="22">
    <w:p w:rsidR="00A27C56" w:rsidRPr="00CD0318" w:rsidRDefault="00A27C56" w:rsidP="00CD0318">
      <w:pPr>
        <w:pStyle w:val="NoSpacing"/>
        <w:contextualSpacing/>
        <w:rPr>
          <w:sz w:val="20"/>
          <w:szCs w:val="20"/>
        </w:rPr>
      </w:pPr>
      <w:r w:rsidRPr="00CD0318">
        <w:rPr>
          <w:sz w:val="20"/>
          <w:szCs w:val="20"/>
          <w:vertAlign w:val="superscript"/>
        </w:rPr>
        <w:footnoteRef/>
      </w:r>
      <w:r w:rsidRPr="00CD0318">
        <w:rPr>
          <w:sz w:val="20"/>
          <w:szCs w:val="20"/>
        </w:rPr>
        <w:t xml:space="preserve"> NSW Fair Trading, ‘NSW Fair Trading Complaints Register Guidelines’, March 2016, p. 8, &lt;</w:t>
      </w:r>
      <w:hyperlink r:id="rId22">
        <w:r w:rsidRPr="00CD0318">
          <w:rPr>
            <w:color w:val="0000FF"/>
            <w:sz w:val="20"/>
            <w:szCs w:val="20"/>
            <w:u w:val="single"/>
          </w:rPr>
          <w:t>http://www.fairtrading.nsw.gov.au/biz_res/ftweb/pdfs/About_us/Complaints_Register_Guidelines.pdf</w:t>
        </w:r>
      </w:hyperlink>
      <w:r w:rsidRPr="00CD0318">
        <w:rPr>
          <w:sz w:val="20"/>
          <w:szCs w:val="20"/>
        </w:rPr>
        <w:t xml:space="preserve">&gt; </w:t>
      </w:r>
    </w:p>
  </w:footnote>
  <w:footnote w:id="23">
    <w:p w:rsidR="00A27C56" w:rsidRPr="00CD0318" w:rsidRDefault="00A27C56" w:rsidP="00CD0318">
      <w:pPr>
        <w:pStyle w:val="NoSpacing"/>
        <w:contextualSpacing/>
        <w:rPr>
          <w:sz w:val="20"/>
          <w:szCs w:val="20"/>
        </w:rPr>
      </w:pPr>
      <w:r w:rsidRPr="00CD0318">
        <w:rPr>
          <w:sz w:val="20"/>
          <w:szCs w:val="20"/>
          <w:vertAlign w:val="superscript"/>
        </w:rPr>
        <w:footnoteRef/>
      </w:r>
      <w:r w:rsidRPr="00CD0318">
        <w:rPr>
          <w:sz w:val="20"/>
          <w:szCs w:val="20"/>
        </w:rPr>
        <w:t xml:space="preserve"> NSW Fair Trading, ‘NSW Fair Trading Complaints Register Guidelines’, March 2016, p. 8, &lt;</w:t>
      </w:r>
      <w:hyperlink r:id="rId23">
        <w:r w:rsidRPr="00CD0318">
          <w:rPr>
            <w:color w:val="0000FF"/>
            <w:sz w:val="20"/>
            <w:szCs w:val="20"/>
            <w:u w:val="single"/>
          </w:rPr>
          <w:t>http://www.fairtrading.nsw.gov.au/biz_res/ftweb/pdfs/About_us/Complaints_Register_Guidelines.pdf</w:t>
        </w:r>
      </w:hyperlink>
      <w:r w:rsidRPr="00CD0318">
        <w:rPr>
          <w:sz w:val="20"/>
          <w:szCs w:val="20"/>
        </w:rPr>
        <w:t>&gt;</w:t>
      </w:r>
    </w:p>
  </w:footnote>
  <w:footnote w:id="24">
    <w:p w:rsidR="00A27C56" w:rsidRPr="00CD0318" w:rsidRDefault="00A27C56" w:rsidP="00CD0318">
      <w:pPr>
        <w:pStyle w:val="NoSpacing"/>
        <w:contextualSpacing/>
        <w:rPr>
          <w:sz w:val="20"/>
          <w:szCs w:val="20"/>
        </w:rPr>
      </w:pPr>
      <w:r w:rsidRPr="00CD0318">
        <w:rPr>
          <w:sz w:val="20"/>
          <w:szCs w:val="20"/>
          <w:vertAlign w:val="superscript"/>
        </w:rPr>
        <w:footnoteRef/>
      </w:r>
      <w:r w:rsidRPr="00CD0318">
        <w:rPr>
          <w:sz w:val="20"/>
          <w:szCs w:val="20"/>
        </w:rPr>
        <w:t xml:space="preserve"> See for example Telecommunications Industry Ombudsman, ‘New complaint issues by service provider with more than 25 new complaints - January-March 2016‘, &lt;</w:t>
      </w:r>
      <w:hyperlink r:id="rId24">
        <w:r w:rsidRPr="00CD0318">
          <w:rPr>
            <w:color w:val="0000FF"/>
            <w:sz w:val="20"/>
            <w:szCs w:val="20"/>
            <w:u w:val="single"/>
          </w:rPr>
          <w:t>https://www.tio.com.au/__data/assets/excel_doc/0011/200081/Issues-by-provider-with-more-than-25-new-complaints-January-March-2016.xlsx</w:t>
        </w:r>
      </w:hyperlink>
      <w:r w:rsidRPr="00CD0318">
        <w:rPr>
          <w:sz w:val="20"/>
          <w:szCs w:val="20"/>
        </w:rPr>
        <w:t>&gt;</w:t>
      </w:r>
    </w:p>
  </w:footnote>
  <w:footnote w:id="25">
    <w:p w:rsidR="00A27C56" w:rsidRPr="00CD0318" w:rsidRDefault="00A27C56" w:rsidP="00CD0318">
      <w:pPr>
        <w:pStyle w:val="NoSpacing"/>
        <w:contextualSpacing/>
        <w:rPr>
          <w:sz w:val="20"/>
          <w:szCs w:val="20"/>
        </w:rPr>
      </w:pPr>
      <w:r w:rsidRPr="00CD0318">
        <w:rPr>
          <w:sz w:val="20"/>
          <w:szCs w:val="20"/>
          <w:vertAlign w:val="superscript"/>
        </w:rPr>
        <w:footnoteRef/>
      </w:r>
      <w:r w:rsidRPr="00CD0318">
        <w:rPr>
          <w:sz w:val="20"/>
          <w:szCs w:val="20"/>
        </w:rPr>
        <w:t xml:space="preserve"> Telecommunications Industry Ombudsman, ‘Detailed statistics by quarter’, &lt;</w:t>
      </w:r>
      <w:hyperlink r:id="rId25" w:anchor="quarterly">
        <w:r w:rsidRPr="00CD0318">
          <w:rPr>
            <w:color w:val="0000FF"/>
            <w:sz w:val="20"/>
            <w:szCs w:val="20"/>
            <w:u w:val="single"/>
          </w:rPr>
          <w:t>https://www.tio.com.au/publications/statistics#quarterly</w:t>
        </w:r>
      </w:hyperlink>
      <w:r w:rsidRPr="00CD0318">
        <w:rPr>
          <w:sz w:val="20"/>
          <w:szCs w:val="20"/>
        </w:rPr>
        <w:t>&gt;</w:t>
      </w:r>
    </w:p>
  </w:footnote>
  <w:footnote w:id="26">
    <w:p w:rsidR="00A10CA9" w:rsidRPr="00A10CA9" w:rsidRDefault="00A10CA9">
      <w:pPr>
        <w:pStyle w:val="FootnoteText"/>
        <w:rPr>
          <w:lang w:val="en-AU"/>
        </w:rPr>
      </w:pPr>
      <w:r>
        <w:rPr>
          <w:rStyle w:val="FootnoteReference"/>
        </w:rPr>
        <w:footnoteRef/>
      </w:r>
      <w:r>
        <w:t xml:space="preserve"> </w:t>
      </w:r>
      <w:proofErr w:type="gramStart"/>
      <w:r>
        <w:rPr>
          <w:lang w:val="en-AU"/>
        </w:rPr>
        <w:t>Telecommunications Industry Ombudsman, ‘</w:t>
      </w:r>
      <w:r>
        <w:t xml:space="preserve">Telecommunications Complaints in Context’, </w:t>
      </w:r>
      <w:r w:rsidR="00732F99">
        <w:br/>
      </w:r>
      <w:r>
        <w:t>&lt;</w:t>
      </w:r>
      <w:hyperlink r:id="rId26" w:history="1">
        <w:r w:rsidRPr="00E01D67">
          <w:rPr>
            <w:rStyle w:val="Hyperlink"/>
          </w:rPr>
          <w:t>https://www.tio.com.au/__data/assets/pdf_file/0003/199713/Complaints-in-context-April-2016-FINAL.pdf</w:t>
        </w:r>
      </w:hyperlink>
      <w:r>
        <w:t>&gt;.</w:t>
      </w:r>
      <w:proofErr w:type="gramEnd"/>
      <w:r>
        <w:t xml:space="preserve"> </w:t>
      </w:r>
    </w:p>
  </w:footnote>
  <w:footnote w:id="27">
    <w:p w:rsidR="00A27C56" w:rsidRPr="00CD0318" w:rsidRDefault="00A27C56" w:rsidP="00CD0318">
      <w:pPr>
        <w:pStyle w:val="NoSpacing"/>
        <w:contextualSpacing/>
        <w:rPr>
          <w:sz w:val="20"/>
          <w:szCs w:val="20"/>
        </w:rPr>
      </w:pPr>
      <w:r w:rsidRPr="00CD0318">
        <w:rPr>
          <w:sz w:val="20"/>
          <w:szCs w:val="20"/>
          <w:vertAlign w:val="superscript"/>
        </w:rPr>
        <w:footnoteRef/>
      </w:r>
      <w:r w:rsidRPr="00CD0318">
        <w:rPr>
          <w:sz w:val="20"/>
          <w:szCs w:val="20"/>
        </w:rPr>
        <w:t xml:space="preserve"> Gordon </w:t>
      </w:r>
      <w:proofErr w:type="spellStart"/>
      <w:r w:rsidRPr="00CD0318">
        <w:rPr>
          <w:sz w:val="20"/>
          <w:szCs w:val="20"/>
        </w:rPr>
        <w:t>Renouf</w:t>
      </w:r>
      <w:proofErr w:type="spellEnd"/>
      <w:r w:rsidRPr="00CD0318">
        <w:rPr>
          <w:sz w:val="20"/>
          <w:szCs w:val="20"/>
        </w:rPr>
        <w:t xml:space="preserve">, </w:t>
      </w:r>
      <w:proofErr w:type="spellStart"/>
      <w:r w:rsidRPr="00CD0318">
        <w:rPr>
          <w:sz w:val="20"/>
          <w:szCs w:val="20"/>
        </w:rPr>
        <w:t>Teena</w:t>
      </w:r>
      <w:proofErr w:type="spellEnd"/>
      <w:r w:rsidRPr="00CD0318">
        <w:rPr>
          <w:sz w:val="20"/>
          <w:szCs w:val="20"/>
        </w:rPr>
        <w:t xml:space="preserve"> </w:t>
      </w:r>
      <w:proofErr w:type="spellStart"/>
      <w:r w:rsidRPr="00CD0318">
        <w:rPr>
          <w:sz w:val="20"/>
          <w:szCs w:val="20"/>
        </w:rPr>
        <w:t>Balgi</w:t>
      </w:r>
      <w:proofErr w:type="spellEnd"/>
      <w:r w:rsidRPr="00CD0318">
        <w:rPr>
          <w:sz w:val="20"/>
          <w:szCs w:val="20"/>
        </w:rPr>
        <w:t xml:space="preserve"> and the Consumer Action Law Centre, ‘"Regulator </w:t>
      </w:r>
      <w:proofErr w:type="spellStart"/>
      <w:r w:rsidRPr="00CD0318">
        <w:rPr>
          <w:sz w:val="20"/>
          <w:szCs w:val="20"/>
        </w:rPr>
        <w:t>Watch”:The</w:t>
      </w:r>
      <w:proofErr w:type="spellEnd"/>
      <w:r w:rsidRPr="00CD0318">
        <w:rPr>
          <w:sz w:val="20"/>
          <w:szCs w:val="20"/>
        </w:rPr>
        <w:t xml:space="preserve"> Enforcement Performance of Australian Consumer Protection Regulators’, March 2013, p. 19, &lt;</w:t>
      </w:r>
      <w:hyperlink r:id="rId27">
        <w:r w:rsidRPr="00CD0318">
          <w:rPr>
            <w:color w:val="0000FF"/>
            <w:sz w:val="20"/>
            <w:szCs w:val="20"/>
            <w:u w:val="single"/>
          </w:rPr>
          <w:t>http://consumeraction.org.au/wp-content/uploads/2013/04/CALC-Regulator-Report-FINAL-eVersion.pdf</w:t>
        </w:r>
      </w:hyperlink>
      <w:r w:rsidRPr="00CD0318">
        <w:rPr>
          <w:sz w:val="20"/>
          <w:szCs w:val="20"/>
        </w:rPr>
        <w:t>&gt;</w:t>
      </w:r>
    </w:p>
  </w:footnote>
  <w:footnote w:id="28">
    <w:p w:rsidR="00A27C56" w:rsidRPr="00CD0318" w:rsidRDefault="00A27C56" w:rsidP="00CD0318">
      <w:pPr>
        <w:pStyle w:val="NoSpacing"/>
        <w:contextualSpacing/>
        <w:rPr>
          <w:sz w:val="20"/>
          <w:szCs w:val="20"/>
        </w:rPr>
      </w:pPr>
      <w:r w:rsidRPr="00CD0318">
        <w:rPr>
          <w:sz w:val="20"/>
          <w:szCs w:val="20"/>
          <w:vertAlign w:val="superscript"/>
        </w:rPr>
        <w:footnoteRef/>
      </w:r>
      <w:r w:rsidRPr="00CD0318">
        <w:rPr>
          <w:sz w:val="20"/>
          <w:szCs w:val="20"/>
        </w:rPr>
        <w:t xml:space="preserve"> See, for example, Fair Trading NSW, ‘Enforcement Actions Report: January - March 2016 Quarter’, p. 2, </w:t>
      </w:r>
      <w:hyperlink r:id="rId28">
        <w:r w:rsidRPr="00CD0318">
          <w:rPr>
            <w:color w:val="0000FF"/>
            <w:sz w:val="20"/>
            <w:szCs w:val="20"/>
            <w:u w:val="single"/>
          </w:rPr>
          <w:t>http://www.fairtrading.nsw.gov.au/biz_res/ftweb/pdfs/About_us/Enforcement_actions_report_Jan_Mar_2016.pdf</w:t>
        </w:r>
      </w:hyperlink>
      <w:hyperlink r:id="rId29"/>
    </w:p>
  </w:footnote>
  <w:footnote w:id="29">
    <w:p w:rsidR="00A27C56" w:rsidRPr="00CD0318" w:rsidRDefault="00A27C56" w:rsidP="00CD0318">
      <w:pPr>
        <w:pStyle w:val="NoSpacing"/>
        <w:contextualSpacing/>
        <w:rPr>
          <w:sz w:val="20"/>
          <w:szCs w:val="20"/>
          <w:lang w:val="en-AU"/>
        </w:rPr>
      </w:pPr>
      <w:r w:rsidRPr="00CD0318">
        <w:rPr>
          <w:rStyle w:val="FootnoteReference"/>
          <w:sz w:val="20"/>
          <w:szCs w:val="20"/>
        </w:rPr>
        <w:footnoteRef/>
      </w:r>
      <w:r w:rsidRPr="00CD0318">
        <w:rPr>
          <w:sz w:val="20"/>
          <w:szCs w:val="20"/>
        </w:rPr>
        <w:t xml:space="preserve"> Gordon </w:t>
      </w:r>
      <w:proofErr w:type="spellStart"/>
      <w:r w:rsidRPr="00CD0318">
        <w:rPr>
          <w:sz w:val="20"/>
          <w:szCs w:val="20"/>
        </w:rPr>
        <w:t>Renouf</w:t>
      </w:r>
      <w:proofErr w:type="spellEnd"/>
      <w:r w:rsidRPr="00CD0318">
        <w:rPr>
          <w:sz w:val="20"/>
          <w:szCs w:val="20"/>
        </w:rPr>
        <w:t xml:space="preserve">, </w:t>
      </w:r>
      <w:proofErr w:type="spellStart"/>
      <w:r w:rsidRPr="00CD0318">
        <w:rPr>
          <w:sz w:val="20"/>
          <w:szCs w:val="20"/>
        </w:rPr>
        <w:t>Teena</w:t>
      </w:r>
      <w:proofErr w:type="spellEnd"/>
      <w:r w:rsidRPr="00CD0318">
        <w:rPr>
          <w:sz w:val="20"/>
          <w:szCs w:val="20"/>
        </w:rPr>
        <w:t xml:space="preserve"> </w:t>
      </w:r>
      <w:proofErr w:type="spellStart"/>
      <w:r w:rsidRPr="00CD0318">
        <w:rPr>
          <w:sz w:val="20"/>
          <w:szCs w:val="20"/>
        </w:rPr>
        <w:t>Balgi</w:t>
      </w:r>
      <w:proofErr w:type="spellEnd"/>
      <w:r w:rsidRPr="00CD0318">
        <w:rPr>
          <w:sz w:val="20"/>
          <w:szCs w:val="20"/>
        </w:rPr>
        <w:t xml:space="preserve"> and the Consumer Action Law Centre, ‘"Regulator </w:t>
      </w:r>
      <w:proofErr w:type="spellStart"/>
      <w:r w:rsidRPr="00CD0318">
        <w:rPr>
          <w:sz w:val="20"/>
          <w:szCs w:val="20"/>
        </w:rPr>
        <w:t>Watch”:The</w:t>
      </w:r>
      <w:proofErr w:type="spellEnd"/>
      <w:r w:rsidRPr="00CD0318">
        <w:rPr>
          <w:sz w:val="20"/>
          <w:szCs w:val="20"/>
        </w:rPr>
        <w:t xml:space="preserve"> Enforcement Performance of Australian Consumer Protection Regulators’, March 2013, p. 57, &lt;</w:t>
      </w:r>
      <w:hyperlink r:id="rId30">
        <w:r w:rsidRPr="00CD0318">
          <w:rPr>
            <w:color w:val="0000FF"/>
            <w:sz w:val="20"/>
            <w:szCs w:val="20"/>
            <w:u w:val="single"/>
          </w:rPr>
          <w:t>http://consumeraction.org.au/wp-content/uploads/2013/04/CALC-Regulator-Report-FINAL-eVersion.pdf</w:t>
        </w:r>
      </w:hyperlink>
      <w:r w:rsidRPr="00CD0318">
        <w:rPr>
          <w:sz w:val="20"/>
          <w:szCs w:val="20"/>
        </w:rPr>
        <w:t>&gt;</w:t>
      </w:r>
    </w:p>
  </w:footnote>
  <w:footnote w:id="30">
    <w:p w:rsidR="00A27C56" w:rsidRPr="00CD0318" w:rsidRDefault="00A27C56" w:rsidP="00CD0318">
      <w:pPr>
        <w:pStyle w:val="NoSpacing"/>
        <w:contextualSpacing/>
        <w:rPr>
          <w:sz w:val="20"/>
          <w:szCs w:val="20"/>
        </w:rPr>
      </w:pPr>
      <w:r w:rsidRPr="00CD0318">
        <w:rPr>
          <w:sz w:val="20"/>
          <w:szCs w:val="20"/>
          <w:vertAlign w:val="superscript"/>
        </w:rPr>
        <w:footnoteRef/>
      </w:r>
      <w:r w:rsidRPr="00CD0318">
        <w:rPr>
          <w:sz w:val="20"/>
          <w:szCs w:val="20"/>
        </w:rPr>
        <w:t xml:space="preserve"> See, for example, Australian Competition and Consumer Commission, ‘Dodo pays infringement notices’, 6 January 2011, &lt;</w:t>
      </w:r>
      <w:hyperlink r:id="rId31">
        <w:r w:rsidRPr="00CD0318">
          <w:rPr>
            <w:color w:val="0000FF"/>
            <w:sz w:val="20"/>
            <w:szCs w:val="20"/>
            <w:u w:val="single"/>
          </w:rPr>
          <w:t>http://www.accc.gov.au/media-release/dodo-pays-infringement-notices</w:t>
        </w:r>
      </w:hyperlink>
      <w:r w:rsidRPr="00CD0318">
        <w:rPr>
          <w:sz w:val="20"/>
          <w:szCs w:val="20"/>
        </w:rPr>
        <w:t>&gt;</w:t>
      </w:r>
    </w:p>
  </w:footnote>
  <w:footnote w:id="31">
    <w:p w:rsidR="00A27C56" w:rsidRPr="00CD0318" w:rsidRDefault="00A27C56" w:rsidP="00CD0318">
      <w:pPr>
        <w:pStyle w:val="NoSpacing"/>
        <w:contextualSpacing/>
        <w:rPr>
          <w:sz w:val="20"/>
          <w:szCs w:val="20"/>
          <w:lang w:val="en-AU"/>
        </w:rPr>
      </w:pPr>
      <w:r w:rsidRPr="00CD0318">
        <w:rPr>
          <w:rStyle w:val="FootnoteReference"/>
          <w:sz w:val="20"/>
          <w:szCs w:val="20"/>
        </w:rPr>
        <w:footnoteRef/>
      </w:r>
      <w:r w:rsidRPr="00CD0318">
        <w:rPr>
          <w:sz w:val="20"/>
          <w:szCs w:val="20"/>
        </w:rPr>
        <w:t xml:space="preserve"> Gordon </w:t>
      </w:r>
      <w:proofErr w:type="spellStart"/>
      <w:r w:rsidRPr="00CD0318">
        <w:rPr>
          <w:sz w:val="20"/>
          <w:szCs w:val="20"/>
        </w:rPr>
        <w:t>Renouf</w:t>
      </w:r>
      <w:proofErr w:type="spellEnd"/>
      <w:r w:rsidRPr="00CD0318">
        <w:rPr>
          <w:sz w:val="20"/>
          <w:szCs w:val="20"/>
        </w:rPr>
        <w:t xml:space="preserve">, </w:t>
      </w:r>
      <w:proofErr w:type="spellStart"/>
      <w:r w:rsidRPr="00CD0318">
        <w:rPr>
          <w:sz w:val="20"/>
          <w:szCs w:val="20"/>
        </w:rPr>
        <w:t>Teena</w:t>
      </w:r>
      <w:proofErr w:type="spellEnd"/>
      <w:r w:rsidRPr="00CD0318">
        <w:rPr>
          <w:sz w:val="20"/>
          <w:szCs w:val="20"/>
        </w:rPr>
        <w:t xml:space="preserve"> </w:t>
      </w:r>
      <w:proofErr w:type="spellStart"/>
      <w:r w:rsidRPr="00CD0318">
        <w:rPr>
          <w:sz w:val="20"/>
          <w:szCs w:val="20"/>
        </w:rPr>
        <w:t>Balgi</w:t>
      </w:r>
      <w:proofErr w:type="spellEnd"/>
      <w:r w:rsidRPr="00CD0318">
        <w:rPr>
          <w:sz w:val="20"/>
          <w:szCs w:val="20"/>
        </w:rPr>
        <w:t xml:space="preserve"> and the Consumer Action Law Centre, ‘"Regulator </w:t>
      </w:r>
      <w:proofErr w:type="spellStart"/>
      <w:r w:rsidRPr="00CD0318">
        <w:rPr>
          <w:sz w:val="20"/>
          <w:szCs w:val="20"/>
        </w:rPr>
        <w:t>Watch”:The</w:t>
      </w:r>
      <w:proofErr w:type="spellEnd"/>
      <w:r w:rsidRPr="00CD0318">
        <w:rPr>
          <w:sz w:val="20"/>
          <w:szCs w:val="20"/>
        </w:rPr>
        <w:t xml:space="preserve"> Enforcement Performance of Australian Consumer Protection Regulators’, March 2013, p. 14, &lt;</w:t>
      </w:r>
      <w:hyperlink r:id="rId32">
        <w:r w:rsidRPr="00CD0318">
          <w:rPr>
            <w:color w:val="0000FF"/>
            <w:sz w:val="20"/>
            <w:szCs w:val="20"/>
            <w:u w:val="single"/>
          </w:rPr>
          <w:t>http://consumeraction.org.au/wp-content/uploads/2013/04/CALC-Regulator-Report-FINAL-eVersion.pdf</w:t>
        </w:r>
      </w:hyperlink>
      <w:r w:rsidRPr="00CD0318">
        <w:rPr>
          <w:sz w:val="20"/>
          <w:szCs w:val="20"/>
        </w:rPr>
        <w:t>&gt;</w:t>
      </w:r>
    </w:p>
  </w:footnote>
  <w:footnote w:id="32">
    <w:p w:rsidR="00F655F7" w:rsidRPr="00CD0318" w:rsidRDefault="00F655F7" w:rsidP="00CD0318">
      <w:pPr>
        <w:pStyle w:val="NoSpacing"/>
        <w:contextualSpacing/>
        <w:rPr>
          <w:sz w:val="20"/>
          <w:szCs w:val="20"/>
          <w:lang w:val="en-AU"/>
        </w:rPr>
      </w:pPr>
      <w:r w:rsidRPr="00CD0318">
        <w:rPr>
          <w:rStyle w:val="FootnoteReference"/>
          <w:sz w:val="20"/>
          <w:szCs w:val="20"/>
        </w:rPr>
        <w:footnoteRef/>
      </w:r>
      <w:r w:rsidRPr="00CD0318">
        <w:rPr>
          <w:sz w:val="20"/>
          <w:szCs w:val="20"/>
        </w:rPr>
        <w:t xml:space="preserve"> </w:t>
      </w:r>
      <w:r w:rsidRPr="00CD0318">
        <w:rPr>
          <w:sz w:val="20"/>
          <w:szCs w:val="20"/>
          <w:lang w:val="en-AU"/>
        </w:rPr>
        <w:t xml:space="preserve">See </w:t>
      </w:r>
      <w:r w:rsidRPr="00CD0318">
        <w:rPr>
          <w:i/>
          <w:sz w:val="20"/>
          <w:szCs w:val="20"/>
          <w:lang w:val="en-AU"/>
        </w:rPr>
        <w:t>Enterprise Act 2002</w:t>
      </w:r>
      <w:r w:rsidRPr="00CD0318">
        <w:rPr>
          <w:sz w:val="20"/>
          <w:szCs w:val="20"/>
          <w:lang w:val="en-AU"/>
        </w:rPr>
        <w:t xml:space="preserve"> (UK), section 11, &lt;</w:t>
      </w:r>
      <w:hyperlink r:id="rId33" w:history="1">
        <w:r w:rsidRPr="00CD0318">
          <w:rPr>
            <w:rStyle w:val="Hyperlink"/>
            <w:sz w:val="20"/>
            <w:szCs w:val="20"/>
            <w:lang w:val="en-AU"/>
          </w:rPr>
          <w:t>http://www.legislation.gov.uk/ukpga/2002/40/section/11</w:t>
        </w:r>
      </w:hyperlink>
      <w:r w:rsidRPr="00CD0318">
        <w:rPr>
          <w:sz w:val="20"/>
          <w:szCs w:val="20"/>
          <w:lang w:val="en-AU"/>
        </w:rPr>
        <w:t>&gt; and accompanying guidelines: Office of Fair Trading United Kingdom, ‘Super-complaints: Guidance for designated consumer bodies’, &lt;</w:t>
      </w:r>
      <w:r w:rsidRPr="00CD0318">
        <w:rPr>
          <w:sz w:val="20"/>
          <w:szCs w:val="20"/>
        </w:rPr>
        <w:t xml:space="preserve"> </w:t>
      </w:r>
      <w:hyperlink r:id="rId34" w:history="1">
        <w:r w:rsidRPr="00CD0318">
          <w:rPr>
            <w:rStyle w:val="Hyperlink"/>
            <w:sz w:val="20"/>
            <w:szCs w:val="20"/>
            <w:lang w:val="en-AU"/>
          </w:rPr>
          <w:t>http://www.oft.gov.uk/shared_oft/business_leaflets/enterprise_act/oft514.pdf</w:t>
        </w:r>
      </w:hyperlink>
      <w:r w:rsidRPr="00CD0318">
        <w:rPr>
          <w:sz w:val="20"/>
          <w:szCs w:val="20"/>
          <w:lang w:val="en-AU"/>
        </w:rPr>
        <w:t>&gt;</w:t>
      </w:r>
    </w:p>
  </w:footnote>
  <w:footnote w:id="33">
    <w:p w:rsidR="00A27C56" w:rsidRPr="00CD0318" w:rsidRDefault="00A27C56" w:rsidP="00CD0318">
      <w:pPr>
        <w:pStyle w:val="NoSpacing"/>
        <w:contextualSpacing/>
        <w:rPr>
          <w:sz w:val="20"/>
          <w:szCs w:val="20"/>
          <w:lang w:val="en-AU"/>
        </w:rPr>
      </w:pPr>
      <w:r w:rsidRPr="00CD0318">
        <w:rPr>
          <w:rStyle w:val="FootnoteReference"/>
          <w:sz w:val="20"/>
          <w:szCs w:val="20"/>
        </w:rPr>
        <w:footnoteRef/>
      </w:r>
      <w:r w:rsidRPr="00CD0318">
        <w:rPr>
          <w:sz w:val="20"/>
          <w:szCs w:val="20"/>
        </w:rPr>
        <w:t xml:space="preserve"> </w:t>
      </w:r>
      <w:r w:rsidRPr="00CD0318">
        <w:rPr>
          <w:sz w:val="20"/>
          <w:szCs w:val="20"/>
          <w:lang w:val="en-AU"/>
        </w:rPr>
        <w:t xml:space="preserve">See </w:t>
      </w:r>
      <w:r w:rsidRPr="00CD0318">
        <w:rPr>
          <w:i/>
          <w:sz w:val="20"/>
          <w:szCs w:val="20"/>
          <w:lang w:val="en-AU"/>
        </w:rPr>
        <w:t>Enterprise Act 2002</w:t>
      </w:r>
      <w:r w:rsidR="003900FC">
        <w:rPr>
          <w:sz w:val="20"/>
          <w:szCs w:val="20"/>
          <w:lang w:val="en-AU"/>
        </w:rPr>
        <w:t xml:space="preserve"> (UK), section 11(1), </w:t>
      </w:r>
      <w:r w:rsidRPr="00CD0318">
        <w:rPr>
          <w:sz w:val="20"/>
          <w:szCs w:val="20"/>
          <w:lang w:val="en-AU"/>
        </w:rPr>
        <w:t>&lt;</w:t>
      </w:r>
      <w:hyperlink r:id="rId35" w:history="1">
        <w:r w:rsidRPr="00CD0318">
          <w:rPr>
            <w:rStyle w:val="Hyperlink"/>
            <w:sz w:val="20"/>
            <w:szCs w:val="20"/>
            <w:lang w:val="en-AU"/>
          </w:rPr>
          <w:t>http://www.legislation.gov.uk/ukpga/2002/40/section/11</w:t>
        </w:r>
      </w:hyperlink>
      <w:r w:rsidRPr="00CD0318">
        <w:rPr>
          <w:sz w:val="20"/>
          <w:szCs w:val="20"/>
          <w:lang w:val="en-AU"/>
        </w:rPr>
        <w:t>&gt;</w:t>
      </w:r>
    </w:p>
  </w:footnote>
  <w:footnote w:id="34">
    <w:p w:rsidR="00A27C56" w:rsidRPr="00CD0318" w:rsidRDefault="00A27C56" w:rsidP="00CD0318">
      <w:pPr>
        <w:pStyle w:val="NoSpacing"/>
        <w:contextualSpacing/>
        <w:rPr>
          <w:sz w:val="20"/>
          <w:szCs w:val="20"/>
          <w:lang w:val="en-AU"/>
        </w:rPr>
      </w:pPr>
      <w:r w:rsidRPr="00CD0318">
        <w:rPr>
          <w:rStyle w:val="FootnoteReference"/>
          <w:sz w:val="20"/>
          <w:szCs w:val="20"/>
        </w:rPr>
        <w:footnoteRef/>
      </w:r>
      <w:r w:rsidRPr="00CD0318">
        <w:rPr>
          <w:sz w:val="20"/>
          <w:szCs w:val="20"/>
        </w:rPr>
        <w:t xml:space="preserve"> </w:t>
      </w:r>
      <w:r w:rsidRPr="00CD0318">
        <w:rPr>
          <w:i/>
          <w:sz w:val="20"/>
          <w:szCs w:val="20"/>
          <w:lang w:val="en-AU"/>
        </w:rPr>
        <w:t xml:space="preserve">Enterprise Act 2002 </w:t>
      </w:r>
      <w:r w:rsidRPr="00CD0318">
        <w:rPr>
          <w:sz w:val="20"/>
          <w:szCs w:val="20"/>
          <w:lang w:val="en-AU"/>
        </w:rPr>
        <w:t>(UK) section 11(2), &lt;</w:t>
      </w:r>
      <w:hyperlink r:id="rId36" w:history="1">
        <w:r w:rsidRPr="00CD0318">
          <w:rPr>
            <w:rStyle w:val="Hyperlink"/>
            <w:sz w:val="20"/>
            <w:szCs w:val="20"/>
            <w:lang w:val="en-AU"/>
          </w:rPr>
          <w:t>http://www.legislation.gov.uk/ukpga/2002/40/section/11</w:t>
        </w:r>
      </w:hyperlink>
    </w:p>
  </w:footnote>
  <w:footnote w:id="35">
    <w:p w:rsidR="00A27C56" w:rsidRPr="00CD0318" w:rsidRDefault="00A27C56" w:rsidP="00CD0318">
      <w:pPr>
        <w:pStyle w:val="NoSpacing"/>
        <w:contextualSpacing/>
        <w:rPr>
          <w:sz w:val="20"/>
          <w:szCs w:val="20"/>
          <w:lang w:val="en-AU"/>
        </w:rPr>
      </w:pPr>
      <w:r w:rsidRPr="00CD0318">
        <w:rPr>
          <w:rStyle w:val="FootnoteReference"/>
          <w:sz w:val="20"/>
          <w:szCs w:val="20"/>
        </w:rPr>
        <w:footnoteRef/>
      </w:r>
      <w:r w:rsidRPr="00CD0318">
        <w:rPr>
          <w:sz w:val="20"/>
          <w:szCs w:val="20"/>
        </w:rPr>
        <w:t xml:space="preserve"> </w:t>
      </w:r>
      <w:r w:rsidRPr="00CD0318">
        <w:rPr>
          <w:sz w:val="20"/>
          <w:szCs w:val="20"/>
          <w:lang w:val="en-AU"/>
        </w:rPr>
        <w:t>Competition and Markets Authority UK, ‘What are super-complaints’, 7 May 2015, &lt;</w:t>
      </w:r>
      <w:hyperlink r:id="rId37" w:history="1">
        <w:r w:rsidRPr="00CD0318">
          <w:rPr>
            <w:rStyle w:val="Hyperlink"/>
            <w:sz w:val="20"/>
            <w:szCs w:val="20"/>
            <w:lang w:val="en-AU"/>
          </w:rPr>
          <w:t>https://www.gov.uk/government/publications/what-are-super-complaints/what-are-super-complaints</w:t>
        </w:r>
      </w:hyperlink>
      <w:r w:rsidRPr="00CD0318">
        <w:rPr>
          <w:sz w:val="20"/>
          <w:szCs w:val="20"/>
          <w:lang w:val="en-AU"/>
        </w:rPr>
        <w:t xml:space="preserve">&gt; </w:t>
      </w:r>
    </w:p>
  </w:footnote>
  <w:footnote w:id="36">
    <w:p w:rsidR="00A27C56" w:rsidRPr="00CD0318" w:rsidRDefault="00A27C56" w:rsidP="00CD0318">
      <w:pPr>
        <w:pStyle w:val="NoSpacing"/>
        <w:contextualSpacing/>
        <w:rPr>
          <w:sz w:val="20"/>
          <w:szCs w:val="20"/>
          <w:lang w:val="en-AU"/>
        </w:rPr>
      </w:pPr>
      <w:r w:rsidRPr="00CD0318">
        <w:rPr>
          <w:rStyle w:val="FootnoteReference"/>
          <w:sz w:val="20"/>
          <w:szCs w:val="20"/>
        </w:rPr>
        <w:footnoteRef/>
      </w:r>
      <w:r w:rsidRPr="00CD0318">
        <w:rPr>
          <w:sz w:val="20"/>
          <w:szCs w:val="20"/>
        </w:rPr>
        <w:t xml:space="preserve"> </w:t>
      </w:r>
      <w:r w:rsidRPr="00CD0318">
        <w:rPr>
          <w:sz w:val="20"/>
          <w:szCs w:val="20"/>
          <w:lang w:val="en-AU"/>
        </w:rPr>
        <w:t xml:space="preserve">See, HM Treasury and The </w:t>
      </w:r>
      <w:proofErr w:type="spellStart"/>
      <w:r w:rsidRPr="00CD0318">
        <w:rPr>
          <w:sz w:val="20"/>
          <w:szCs w:val="20"/>
          <w:lang w:val="en-AU"/>
        </w:rPr>
        <w:t>Rt</w:t>
      </w:r>
      <w:proofErr w:type="spellEnd"/>
      <w:r w:rsidRPr="00CD0318">
        <w:rPr>
          <w:sz w:val="20"/>
          <w:szCs w:val="20"/>
          <w:lang w:val="en-AU"/>
        </w:rPr>
        <w:t xml:space="preserve"> Hon </w:t>
      </w:r>
      <w:proofErr w:type="spellStart"/>
      <w:r w:rsidRPr="00CD0318">
        <w:rPr>
          <w:sz w:val="20"/>
          <w:szCs w:val="20"/>
          <w:lang w:val="en-AU"/>
        </w:rPr>
        <w:t>Sajid</w:t>
      </w:r>
      <w:proofErr w:type="spellEnd"/>
      <w:r w:rsidRPr="00CD0318">
        <w:rPr>
          <w:sz w:val="20"/>
          <w:szCs w:val="20"/>
          <w:lang w:val="en-AU"/>
        </w:rPr>
        <w:t xml:space="preserve"> </w:t>
      </w:r>
      <w:proofErr w:type="spellStart"/>
      <w:r w:rsidRPr="00CD0318">
        <w:rPr>
          <w:sz w:val="20"/>
          <w:szCs w:val="20"/>
          <w:lang w:val="en-AU"/>
        </w:rPr>
        <w:t>Javid</w:t>
      </w:r>
      <w:proofErr w:type="spellEnd"/>
      <w:r w:rsidRPr="00CD0318">
        <w:rPr>
          <w:sz w:val="20"/>
          <w:szCs w:val="20"/>
          <w:lang w:val="en-AU"/>
        </w:rPr>
        <w:t xml:space="preserve"> MP, ‘Financial services super-complainants confirmed by government’, 19 December 2013, &lt;</w:t>
      </w:r>
      <w:hyperlink r:id="rId38" w:history="1">
        <w:r w:rsidRPr="00CD0318">
          <w:rPr>
            <w:rStyle w:val="Hyperlink"/>
            <w:sz w:val="20"/>
            <w:szCs w:val="20"/>
            <w:lang w:val="en-AU"/>
          </w:rPr>
          <w:t>https://www.gov.uk/government/news/financial-services-super-complainants-confirmed-by-government</w:t>
        </w:r>
      </w:hyperlink>
      <w:r w:rsidRPr="00CD0318">
        <w:rPr>
          <w:sz w:val="20"/>
          <w:szCs w:val="20"/>
          <w:lang w:val="en-AU"/>
        </w:rPr>
        <w:t xml:space="preserve">&gt; and </w:t>
      </w:r>
      <w:r w:rsidRPr="00CD0318">
        <w:rPr>
          <w:sz w:val="20"/>
          <w:szCs w:val="20"/>
        </w:rPr>
        <w:t>Mike George, Professor Cosmo Graham, and Linda Lennard , ‘Complaint handling: Principles and Best Practice’, April 2007, p. 6, &lt;</w:t>
      </w:r>
      <w:hyperlink r:id="rId39" w:history="1">
        <w:r w:rsidRPr="00CD0318">
          <w:rPr>
            <w:rStyle w:val="Hyperlink"/>
            <w:sz w:val="20"/>
            <w:szCs w:val="20"/>
            <w:lang w:val="en-AU"/>
          </w:rPr>
          <w:t>http://webarchive.nationalarchives.gov.uk/20080814090336/http://www.energywatch.org.uk/uploads/Complaint_handling_Principles_and_Best_Practice_April_2007.PDF</w:t>
        </w:r>
      </w:hyperlink>
      <w:r w:rsidR="008F4684" w:rsidRPr="00CD0318">
        <w:rPr>
          <w:sz w:val="20"/>
          <w:szCs w:val="20"/>
          <w:lang w:val="en-AU"/>
        </w:rPr>
        <w:t>&gt;</w:t>
      </w:r>
    </w:p>
  </w:footnote>
  <w:footnote w:id="37">
    <w:p w:rsidR="00A27C56" w:rsidRPr="00CD0318" w:rsidRDefault="00A27C56" w:rsidP="00CD0318">
      <w:pPr>
        <w:pStyle w:val="NoSpacing"/>
        <w:contextualSpacing/>
        <w:rPr>
          <w:sz w:val="20"/>
          <w:szCs w:val="20"/>
          <w:lang w:val="en-AU"/>
        </w:rPr>
      </w:pPr>
      <w:r w:rsidRPr="00CD0318">
        <w:rPr>
          <w:rStyle w:val="FootnoteReference"/>
          <w:sz w:val="20"/>
          <w:szCs w:val="20"/>
        </w:rPr>
        <w:footnoteRef/>
      </w:r>
      <w:r w:rsidRPr="00CD0318">
        <w:rPr>
          <w:sz w:val="20"/>
          <w:szCs w:val="20"/>
        </w:rPr>
        <w:t xml:space="preserve"> Barry Rodger and Angus </w:t>
      </w:r>
      <w:proofErr w:type="spellStart"/>
      <w:proofErr w:type="gramStart"/>
      <w:r w:rsidRPr="00CD0318">
        <w:rPr>
          <w:sz w:val="20"/>
          <w:szCs w:val="20"/>
        </w:rPr>
        <w:t>MacCulloch</w:t>
      </w:r>
      <w:proofErr w:type="spellEnd"/>
      <w:r w:rsidRPr="00CD0318">
        <w:rPr>
          <w:sz w:val="20"/>
          <w:szCs w:val="20"/>
        </w:rPr>
        <w:t xml:space="preserve"> ,</w:t>
      </w:r>
      <w:proofErr w:type="gramEnd"/>
      <w:r w:rsidRPr="00CD0318">
        <w:rPr>
          <w:sz w:val="20"/>
          <w:szCs w:val="20"/>
        </w:rPr>
        <w:t xml:space="preserve"> </w:t>
      </w:r>
      <w:r w:rsidRPr="00CD0318">
        <w:rPr>
          <w:i/>
          <w:sz w:val="20"/>
          <w:szCs w:val="20"/>
          <w:lang w:val="en-AU"/>
        </w:rPr>
        <w:t>Competition Law</w:t>
      </w:r>
      <w:r w:rsidR="00C073D3" w:rsidRPr="00CD0318">
        <w:rPr>
          <w:i/>
          <w:sz w:val="20"/>
          <w:szCs w:val="20"/>
          <w:lang w:val="en-AU"/>
        </w:rPr>
        <w:t xml:space="preserve"> and Policy in the EC and the UK</w:t>
      </w:r>
      <w:r w:rsidR="00C073D3" w:rsidRPr="00CD0318">
        <w:rPr>
          <w:sz w:val="20"/>
          <w:szCs w:val="20"/>
          <w:lang w:val="en-AU"/>
        </w:rPr>
        <w:t xml:space="preserve"> (Routledge and </w:t>
      </w:r>
      <w:proofErr w:type="spellStart"/>
      <w:r w:rsidR="00C073D3" w:rsidRPr="00CD0318">
        <w:rPr>
          <w:sz w:val="20"/>
          <w:szCs w:val="20"/>
          <w:lang w:val="en-AU"/>
        </w:rPr>
        <w:t>Covendish</w:t>
      </w:r>
      <w:proofErr w:type="spellEnd"/>
      <w:r w:rsidR="00C073D3" w:rsidRPr="00CD0318">
        <w:rPr>
          <w:sz w:val="20"/>
          <w:szCs w:val="20"/>
          <w:lang w:val="en-AU"/>
        </w:rPr>
        <w:t>,</w:t>
      </w:r>
      <w:r w:rsidR="00A351DB" w:rsidRPr="00CD0318">
        <w:rPr>
          <w:sz w:val="20"/>
          <w:szCs w:val="20"/>
          <w:lang w:val="en-AU"/>
        </w:rPr>
        <w:t xml:space="preserve"> 4</w:t>
      </w:r>
      <w:r w:rsidR="00A351DB" w:rsidRPr="00CD0318">
        <w:rPr>
          <w:sz w:val="20"/>
          <w:szCs w:val="20"/>
          <w:vertAlign w:val="superscript"/>
          <w:lang w:val="en-AU"/>
        </w:rPr>
        <w:t>th</w:t>
      </w:r>
      <w:r w:rsidR="00A351DB" w:rsidRPr="00CD0318">
        <w:rPr>
          <w:sz w:val="20"/>
          <w:szCs w:val="20"/>
          <w:lang w:val="en-AU"/>
        </w:rPr>
        <w:t xml:space="preserve"> </w:t>
      </w:r>
      <w:proofErr w:type="spellStart"/>
      <w:r w:rsidR="00A351DB" w:rsidRPr="00CD0318">
        <w:rPr>
          <w:sz w:val="20"/>
          <w:szCs w:val="20"/>
          <w:lang w:val="en-AU"/>
        </w:rPr>
        <w:t>ed</w:t>
      </w:r>
      <w:proofErr w:type="spellEnd"/>
      <w:r w:rsidR="00A351DB" w:rsidRPr="00CD0318">
        <w:rPr>
          <w:sz w:val="20"/>
          <w:szCs w:val="20"/>
          <w:lang w:val="en-AU"/>
        </w:rPr>
        <w:t>, 2008</w:t>
      </w:r>
      <w:r w:rsidR="00C073D3" w:rsidRPr="00CD0318">
        <w:rPr>
          <w:sz w:val="20"/>
          <w:szCs w:val="20"/>
          <w:lang w:val="en-AU"/>
        </w:rPr>
        <w:t xml:space="preserve">), </w:t>
      </w:r>
      <w:r w:rsidR="00A351DB" w:rsidRPr="00CD0318">
        <w:rPr>
          <w:sz w:val="20"/>
          <w:szCs w:val="20"/>
          <w:lang w:val="en-AU"/>
        </w:rPr>
        <w:t>p. 156.</w:t>
      </w:r>
      <w:r w:rsidRPr="00CD0318">
        <w:rPr>
          <w:sz w:val="20"/>
          <w:szCs w:val="20"/>
          <w:lang w:val="en-A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C56" w:rsidRDefault="00A27C56">
    <w:pPr>
      <w:tabs>
        <w:tab w:val="center" w:pos="4513"/>
        <w:tab w:val="right" w:pos="9026"/>
      </w:tabs>
      <w:spacing w:before="709" w:after="240"/>
      <w:jc w:val="right"/>
    </w:pPr>
    <w:r>
      <w:rPr>
        <w:noProof/>
      </w:rPr>
      <w:drawing>
        <wp:anchor distT="0" distB="0" distL="114300" distR="114300" simplePos="0" relativeHeight="251658240" behindDoc="1" locked="0" layoutInCell="1" allowOverlap="1" wp14:anchorId="45F1C70D" wp14:editId="676E080D">
          <wp:simplePos x="0" y="0"/>
          <wp:positionH relativeFrom="column">
            <wp:posOffset>5049520</wp:posOffset>
          </wp:positionH>
          <wp:positionV relativeFrom="paragraph">
            <wp:posOffset>343857</wp:posOffset>
          </wp:positionV>
          <wp:extent cx="677108" cy="295334"/>
          <wp:effectExtent l="0" t="0" r="8890" b="0"/>
          <wp:wrapNone/>
          <wp:docPr id="14" name="image01.jpg" descr="ACCAN_logo_BLACK_viewing_only"/>
          <wp:cNvGraphicFramePr/>
          <a:graphic xmlns:a="http://schemas.openxmlformats.org/drawingml/2006/main">
            <a:graphicData uri="http://schemas.openxmlformats.org/drawingml/2006/picture">
              <pic:pic xmlns:pic="http://schemas.openxmlformats.org/drawingml/2006/picture">
                <pic:nvPicPr>
                  <pic:cNvPr id="0" name="image01.jpg" descr="ACCAN_logo_BLACK_viewing_only"/>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677108" cy="295334"/>
                  </a:xfrm>
                  <a:prstGeom prst="rect">
                    <a:avLst/>
                  </a:prstGeom>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C56" w:rsidRDefault="00A27C56">
    <w:pPr>
      <w:tabs>
        <w:tab w:val="center" w:pos="4513"/>
        <w:tab w:val="right" w:pos="9026"/>
      </w:tabs>
      <w:spacing w:before="709" w:after="240"/>
      <w:jc w:val="center"/>
    </w:pPr>
    <w:r>
      <w:rPr>
        <w:noProof/>
      </w:rPr>
      <w:drawing>
        <wp:inline distT="0" distB="0" distL="0" distR="0" wp14:anchorId="0337BBC2" wp14:editId="0C2ABD93">
          <wp:extent cx="3057525" cy="1581150"/>
          <wp:effectExtent l="0" t="0" r="0" b="0"/>
          <wp:docPr id="15" name="image03.jpg" descr="ACCAN_logo_BLUE_viewing_only.jpg"/>
          <wp:cNvGraphicFramePr/>
          <a:graphic xmlns:a="http://schemas.openxmlformats.org/drawingml/2006/main">
            <a:graphicData uri="http://schemas.openxmlformats.org/drawingml/2006/picture">
              <pic:pic xmlns:pic="http://schemas.openxmlformats.org/drawingml/2006/picture">
                <pic:nvPicPr>
                  <pic:cNvPr id="0" name="image03.jpg" descr="ACCAN_logo_BLUE_viewing_only.jpg"/>
                  <pic:cNvPicPr preferRelativeResize="0"/>
                </pic:nvPicPr>
                <pic:blipFill>
                  <a:blip r:embed="rId1"/>
                  <a:srcRect/>
                  <a:stretch>
                    <a:fillRect/>
                  </a:stretch>
                </pic:blipFill>
                <pic:spPr>
                  <a:xfrm>
                    <a:off x="0" y="0"/>
                    <a:ext cx="3057525" cy="158115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E73EF"/>
    <w:multiLevelType w:val="hybridMultilevel"/>
    <w:tmpl w:val="0A301442"/>
    <w:lvl w:ilvl="0" w:tplc="94AC20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896652"/>
    <w:multiLevelType w:val="hybridMultilevel"/>
    <w:tmpl w:val="42FE5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BF299D"/>
    <w:multiLevelType w:val="multilevel"/>
    <w:tmpl w:val="6136E59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68624298"/>
    <w:multiLevelType w:val="hybridMultilevel"/>
    <w:tmpl w:val="D4A08614"/>
    <w:lvl w:ilvl="0" w:tplc="4B4894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97E6799"/>
    <w:multiLevelType w:val="hybridMultilevel"/>
    <w:tmpl w:val="DA8E0E94"/>
    <w:lvl w:ilvl="0" w:tplc="C7882CD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
  <w:rsids>
    <w:rsidRoot w:val="00454FA9"/>
    <w:rsid w:val="00003A52"/>
    <w:rsid w:val="00003E35"/>
    <w:rsid w:val="00007402"/>
    <w:rsid w:val="00011183"/>
    <w:rsid w:val="0002055B"/>
    <w:rsid w:val="0002115D"/>
    <w:rsid w:val="00021E8B"/>
    <w:rsid w:val="00030426"/>
    <w:rsid w:val="0003076C"/>
    <w:rsid w:val="000406FA"/>
    <w:rsid w:val="00042976"/>
    <w:rsid w:val="000442C4"/>
    <w:rsid w:val="00050610"/>
    <w:rsid w:val="0005078D"/>
    <w:rsid w:val="000529FC"/>
    <w:rsid w:val="00054B61"/>
    <w:rsid w:val="00055350"/>
    <w:rsid w:val="00055567"/>
    <w:rsid w:val="000556AC"/>
    <w:rsid w:val="000579A5"/>
    <w:rsid w:val="000629AA"/>
    <w:rsid w:val="0006415C"/>
    <w:rsid w:val="00064A29"/>
    <w:rsid w:val="00066052"/>
    <w:rsid w:val="0007176C"/>
    <w:rsid w:val="0007378E"/>
    <w:rsid w:val="00074969"/>
    <w:rsid w:val="00084272"/>
    <w:rsid w:val="00090B45"/>
    <w:rsid w:val="00092A70"/>
    <w:rsid w:val="000959C0"/>
    <w:rsid w:val="00096E17"/>
    <w:rsid w:val="000A0511"/>
    <w:rsid w:val="000A05DB"/>
    <w:rsid w:val="000A0665"/>
    <w:rsid w:val="000A25EE"/>
    <w:rsid w:val="000A6D57"/>
    <w:rsid w:val="000B0238"/>
    <w:rsid w:val="000C4D3A"/>
    <w:rsid w:val="000E24D6"/>
    <w:rsid w:val="000E716C"/>
    <w:rsid w:val="001025E3"/>
    <w:rsid w:val="001063A5"/>
    <w:rsid w:val="001074CE"/>
    <w:rsid w:val="001124E7"/>
    <w:rsid w:val="00114A4C"/>
    <w:rsid w:val="00120228"/>
    <w:rsid w:val="0012579E"/>
    <w:rsid w:val="00130D3E"/>
    <w:rsid w:val="001357AD"/>
    <w:rsid w:val="00136C5E"/>
    <w:rsid w:val="001413D7"/>
    <w:rsid w:val="0014224A"/>
    <w:rsid w:val="001443B4"/>
    <w:rsid w:val="001475AC"/>
    <w:rsid w:val="00157B91"/>
    <w:rsid w:val="00173BD2"/>
    <w:rsid w:val="00173FCA"/>
    <w:rsid w:val="00180ACF"/>
    <w:rsid w:val="00182ED1"/>
    <w:rsid w:val="0018335B"/>
    <w:rsid w:val="001843D2"/>
    <w:rsid w:val="00185D57"/>
    <w:rsid w:val="00193DE8"/>
    <w:rsid w:val="001A0D8C"/>
    <w:rsid w:val="001A1723"/>
    <w:rsid w:val="001A2739"/>
    <w:rsid w:val="001A7AC7"/>
    <w:rsid w:val="001C0AB8"/>
    <w:rsid w:val="001C1732"/>
    <w:rsid w:val="001C66F0"/>
    <w:rsid w:val="001D2901"/>
    <w:rsid w:val="001D4CBB"/>
    <w:rsid w:val="001E6608"/>
    <w:rsid w:val="001F110E"/>
    <w:rsid w:val="001F4F5A"/>
    <w:rsid w:val="0021306F"/>
    <w:rsid w:val="0022713F"/>
    <w:rsid w:val="002326D4"/>
    <w:rsid w:val="0023275A"/>
    <w:rsid w:val="00232E90"/>
    <w:rsid w:val="002420EC"/>
    <w:rsid w:val="00243577"/>
    <w:rsid w:val="00244AEC"/>
    <w:rsid w:val="002454F8"/>
    <w:rsid w:val="00245798"/>
    <w:rsid w:val="00251FEA"/>
    <w:rsid w:val="00254157"/>
    <w:rsid w:val="00257E43"/>
    <w:rsid w:val="00273E83"/>
    <w:rsid w:val="00274923"/>
    <w:rsid w:val="00280F90"/>
    <w:rsid w:val="0028157C"/>
    <w:rsid w:val="00281AD8"/>
    <w:rsid w:val="00284CB2"/>
    <w:rsid w:val="00285234"/>
    <w:rsid w:val="002875B1"/>
    <w:rsid w:val="002A291A"/>
    <w:rsid w:val="002A2D86"/>
    <w:rsid w:val="002B2072"/>
    <w:rsid w:val="002C2527"/>
    <w:rsid w:val="002C71CF"/>
    <w:rsid w:val="002D18AD"/>
    <w:rsid w:val="002D399C"/>
    <w:rsid w:val="002E2C2C"/>
    <w:rsid w:val="002E465F"/>
    <w:rsid w:val="002E5501"/>
    <w:rsid w:val="002F0FB4"/>
    <w:rsid w:val="002F2398"/>
    <w:rsid w:val="002F3E1C"/>
    <w:rsid w:val="00305707"/>
    <w:rsid w:val="00306AFF"/>
    <w:rsid w:val="0030701D"/>
    <w:rsid w:val="00307CA1"/>
    <w:rsid w:val="003123B4"/>
    <w:rsid w:val="00313F2D"/>
    <w:rsid w:val="003178A1"/>
    <w:rsid w:val="003228AB"/>
    <w:rsid w:val="003244C0"/>
    <w:rsid w:val="00325459"/>
    <w:rsid w:val="00331F05"/>
    <w:rsid w:val="003337DD"/>
    <w:rsid w:val="00336A22"/>
    <w:rsid w:val="00342F91"/>
    <w:rsid w:val="003447B8"/>
    <w:rsid w:val="003501B5"/>
    <w:rsid w:val="00351B7A"/>
    <w:rsid w:val="00354A1F"/>
    <w:rsid w:val="00364878"/>
    <w:rsid w:val="0037027C"/>
    <w:rsid w:val="00372319"/>
    <w:rsid w:val="00381068"/>
    <w:rsid w:val="003826C3"/>
    <w:rsid w:val="003831D2"/>
    <w:rsid w:val="00384279"/>
    <w:rsid w:val="003900FC"/>
    <w:rsid w:val="00392DBD"/>
    <w:rsid w:val="003950D6"/>
    <w:rsid w:val="003952B8"/>
    <w:rsid w:val="00396FA6"/>
    <w:rsid w:val="003A053C"/>
    <w:rsid w:val="003A4AE5"/>
    <w:rsid w:val="003A57BD"/>
    <w:rsid w:val="003B348A"/>
    <w:rsid w:val="003B38D7"/>
    <w:rsid w:val="003B4191"/>
    <w:rsid w:val="003B5E24"/>
    <w:rsid w:val="003C09CB"/>
    <w:rsid w:val="003C451A"/>
    <w:rsid w:val="003C6991"/>
    <w:rsid w:val="003D7E9E"/>
    <w:rsid w:val="003E41AE"/>
    <w:rsid w:val="003E4281"/>
    <w:rsid w:val="003E665D"/>
    <w:rsid w:val="003E681B"/>
    <w:rsid w:val="003F32A6"/>
    <w:rsid w:val="003F4145"/>
    <w:rsid w:val="003F4B1D"/>
    <w:rsid w:val="003F6E1E"/>
    <w:rsid w:val="003F7A25"/>
    <w:rsid w:val="004016AA"/>
    <w:rsid w:val="004028D5"/>
    <w:rsid w:val="00404DF2"/>
    <w:rsid w:val="00405879"/>
    <w:rsid w:val="00411713"/>
    <w:rsid w:val="004173B4"/>
    <w:rsid w:val="0042289E"/>
    <w:rsid w:val="00424430"/>
    <w:rsid w:val="00424733"/>
    <w:rsid w:val="00424A0A"/>
    <w:rsid w:val="00424CA5"/>
    <w:rsid w:val="00431561"/>
    <w:rsid w:val="004370ED"/>
    <w:rsid w:val="004410E7"/>
    <w:rsid w:val="00441774"/>
    <w:rsid w:val="00454FA9"/>
    <w:rsid w:val="0046223A"/>
    <w:rsid w:val="0046479C"/>
    <w:rsid w:val="00467AC7"/>
    <w:rsid w:val="00470BFA"/>
    <w:rsid w:val="00473F17"/>
    <w:rsid w:val="004765C6"/>
    <w:rsid w:val="0047783E"/>
    <w:rsid w:val="0048587D"/>
    <w:rsid w:val="00486986"/>
    <w:rsid w:val="00490EE7"/>
    <w:rsid w:val="00492601"/>
    <w:rsid w:val="00492D17"/>
    <w:rsid w:val="004955BB"/>
    <w:rsid w:val="00497312"/>
    <w:rsid w:val="004A225A"/>
    <w:rsid w:val="004A7953"/>
    <w:rsid w:val="004B1B48"/>
    <w:rsid w:val="004B2B61"/>
    <w:rsid w:val="004B4623"/>
    <w:rsid w:val="004B49A7"/>
    <w:rsid w:val="004B51AB"/>
    <w:rsid w:val="004B6F08"/>
    <w:rsid w:val="004C16D4"/>
    <w:rsid w:val="004C4473"/>
    <w:rsid w:val="004E041F"/>
    <w:rsid w:val="004E44DF"/>
    <w:rsid w:val="004E77D4"/>
    <w:rsid w:val="004E7CA0"/>
    <w:rsid w:val="004F3068"/>
    <w:rsid w:val="004F4230"/>
    <w:rsid w:val="005012B4"/>
    <w:rsid w:val="00504942"/>
    <w:rsid w:val="00507D34"/>
    <w:rsid w:val="00507F76"/>
    <w:rsid w:val="005159E0"/>
    <w:rsid w:val="00531078"/>
    <w:rsid w:val="005341B7"/>
    <w:rsid w:val="005430A6"/>
    <w:rsid w:val="00543B5A"/>
    <w:rsid w:val="00546141"/>
    <w:rsid w:val="005532EE"/>
    <w:rsid w:val="0055350A"/>
    <w:rsid w:val="00570357"/>
    <w:rsid w:val="00572EBE"/>
    <w:rsid w:val="005732D7"/>
    <w:rsid w:val="00574266"/>
    <w:rsid w:val="005755BB"/>
    <w:rsid w:val="005812F6"/>
    <w:rsid w:val="0058296D"/>
    <w:rsid w:val="00582D70"/>
    <w:rsid w:val="00584826"/>
    <w:rsid w:val="00587430"/>
    <w:rsid w:val="00594457"/>
    <w:rsid w:val="0059472E"/>
    <w:rsid w:val="005A7211"/>
    <w:rsid w:val="005A7C1F"/>
    <w:rsid w:val="005B095B"/>
    <w:rsid w:val="005B3F29"/>
    <w:rsid w:val="005B5D3B"/>
    <w:rsid w:val="005C2586"/>
    <w:rsid w:val="005C6FA0"/>
    <w:rsid w:val="005D1FE6"/>
    <w:rsid w:val="005E2BF1"/>
    <w:rsid w:val="005E48C1"/>
    <w:rsid w:val="005E7D88"/>
    <w:rsid w:val="005F4C53"/>
    <w:rsid w:val="006114AD"/>
    <w:rsid w:val="00611544"/>
    <w:rsid w:val="00620B8C"/>
    <w:rsid w:val="00621FC3"/>
    <w:rsid w:val="006224D7"/>
    <w:rsid w:val="006277AF"/>
    <w:rsid w:val="006310E2"/>
    <w:rsid w:val="006342F3"/>
    <w:rsid w:val="006349B8"/>
    <w:rsid w:val="006353B1"/>
    <w:rsid w:val="006432CC"/>
    <w:rsid w:val="00644C46"/>
    <w:rsid w:val="006508D1"/>
    <w:rsid w:val="00654AFE"/>
    <w:rsid w:val="00654F9E"/>
    <w:rsid w:val="00655588"/>
    <w:rsid w:val="0065797E"/>
    <w:rsid w:val="00660E0B"/>
    <w:rsid w:val="006641EE"/>
    <w:rsid w:val="006653CA"/>
    <w:rsid w:val="006707EC"/>
    <w:rsid w:val="00673485"/>
    <w:rsid w:val="00674A16"/>
    <w:rsid w:val="00676970"/>
    <w:rsid w:val="006778B7"/>
    <w:rsid w:val="006820CE"/>
    <w:rsid w:val="00682F74"/>
    <w:rsid w:val="00684BB8"/>
    <w:rsid w:val="006937D8"/>
    <w:rsid w:val="006956C0"/>
    <w:rsid w:val="00697C05"/>
    <w:rsid w:val="006A0A24"/>
    <w:rsid w:val="006A2D15"/>
    <w:rsid w:val="006B537F"/>
    <w:rsid w:val="006B5F25"/>
    <w:rsid w:val="006B6C0A"/>
    <w:rsid w:val="006C1296"/>
    <w:rsid w:val="006C2D6B"/>
    <w:rsid w:val="006C7D19"/>
    <w:rsid w:val="006D1A25"/>
    <w:rsid w:val="006D1DFD"/>
    <w:rsid w:val="006D4F8B"/>
    <w:rsid w:val="006E0C6D"/>
    <w:rsid w:val="006E2886"/>
    <w:rsid w:val="006E5678"/>
    <w:rsid w:val="006F0F55"/>
    <w:rsid w:val="006F149C"/>
    <w:rsid w:val="006F6E19"/>
    <w:rsid w:val="00702C35"/>
    <w:rsid w:val="00711F8E"/>
    <w:rsid w:val="00715F2F"/>
    <w:rsid w:val="00717444"/>
    <w:rsid w:val="0072378B"/>
    <w:rsid w:val="007256EF"/>
    <w:rsid w:val="00726AAA"/>
    <w:rsid w:val="00730237"/>
    <w:rsid w:val="00731991"/>
    <w:rsid w:val="00732F99"/>
    <w:rsid w:val="0073342F"/>
    <w:rsid w:val="00733A81"/>
    <w:rsid w:val="00734C81"/>
    <w:rsid w:val="00737D9A"/>
    <w:rsid w:val="007439F1"/>
    <w:rsid w:val="00744917"/>
    <w:rsid w:val="007455FD"/>
    <w:rsid w:val="00745D09"/>
    <w:rsid w:val="007471F9"/>
    <w:rsid w:val="0074775A"/>
    <w:rsid w:val="0075271E"/>
    <w:rsid w:val="0075332B"/>
    <w:rsid w:val="00755A96"/>
    <w:rsid w:val="007576AC"/>
    <w:rsid w:val="00760196"/>
    <w:rsid w:val="00761201"/>
    <w:rsid w:val="0076192F"/>
    <w:rsid w:val="00763C68"/>
    <w:rsid w:val="0076547F"/>
    <w:rsid w:val="00765E5F"/>
    <w:rsid w:val="00771272"/>
    <w:rsid w:val="00772A1F"/>
    <w:rsid w:val="00772EEA"/>
    <w:rsid w:val="00777176"/>
    <w:rsid w:val="00785B3E"/>
    <w:rsid w:val="00785F97"/>
    <w:rsid w:val="00790F13"/>
    <w:rsid w:val="00791699"/>
    <w:rsid w:val="00791D54"/>
    <w:rsid w:val="007970CF"/>
    <w:rsid w:val="007A09E7"/>
    <w:rsid w:val="007A56D2"/>
    <w:rsid w:val="007A7803"/>
    <w:rsid w:val="007B5E92"/>
    <w:rsid w:val="007C4BE1"/>
    <w:rsid w:val="007D1378"/>
    <w:rsid w:val="007D1962"/>
    <w:rsid w:val="007D19C5"/>
    <w:rsid w:val="007D2175"/>
    <w:rsid w:val="007D2501"/>
    <w:rsid w:val="007D3781"/>
    <w:rsid w:val="007D62A1"/>
    <w:rsid w:val="007E7ADF"/>
    <w:rsid w:val="007F18D9"/>
    <w:rsid w:val="007F5631"/>
    <w:rsid w:val="00803851"/>
    <w:rsid w:val="00804FD1"/>
    <w:rsid w:val="00815AA0"/>
    <w:rsid w:val="008205FA"/>
    <w:rsid w:val="0083066E"/>
    <w:rsid w:val="0083484F"/>
    <w:rsid w:val="00835C0F"/>
    <w:rsid w:val="00842018"/>
    <w:rsid w:val="00852351"/>
    <w:rsid w:val="00861488"/>
    <w:rsid w:val="00861DF7"/>
    <w:rsid w:val="008634F0"/>
    <w:rsid w:val="00864E70"/>
    <w:rsid w:val="008717BA"/>
    <w:rsid w:val="008815AE"/>
    <w:rsid w:val="008848A1"/>
    <w:rsid w:val="00895D55"/>
    <w:rsid w:val="008976B7"/>
    <w:rsid w:val="008A3473"/>
    <w:rsid w:val="008B1179"/>
    <w:rsid w:val="008B4AED"/>
    <w:rsid w:val="008B531A"/>
    <w:rsid w:val="008C0F32"/>
    <w:rsid w:val="008C1EEC"/>
    <w:rsid w:val="008C3DE9"/>
    <w:rsid w:val="008D0B71"/>
    <w:rsid w:val="008D3F1C"/>
    <w:rsid w:val="008D40E4"/>
    <w:rsid w:val="008D5EBC"/>
    <w:rsid w:val="008E0364"/>
    <w:rsid w:val="008E0700"/>
    <w:rsid w:val="008E0DAA"/>
    <w:rsid w:val="008E4EC4"/>
    <w:rsid w:val="008E58D5"/>
    <w:rsid w:val="008E6235"/>
    <w:rsid w:val="008E78D9"/>
    <w:rsid w:val="008F4684"/>
    <w:rsid w:val="008F4FB2"/>
    <w:rsid w:val="00902408"/>
    <w:rsid w:val="009024B5"/>
    <w:rsid w:val="00903D23"/>
    <w:rsid w:val="00907088"/>
    <w:rsid w:val="009115AD"/>
    <w:rsid w:val="00912FC5"/>
    <w:rsid w:val="0092263E"/>
    <w:rsid w:val="009450CA"/>
    <w:rsid w:val="00952AF4"/>
    <w:rsid w:val="00954019"/>
    <w:rsid w:val="009554E8"/>
    <w:rsid w:val="00964B57"/>
    <w:rsid w:val="009706B7"/>
    <w:rsid w:val="009856A7"/>
    <w:rsid w:val="009A2EB9"/>
    <w:rsid w:val="009A7406"/>
    <w:rsid w:val="009A78A3"/>
    <w:rsid w:val="009B6977"/>
    <w:rsid w:val="009B6C66"/>
    <w:rsid w:val="009C0922"/>
    <w:rsid w:val="009C4F55"/>
    <w:rsid w:val="009C54CC"/>
    <w:rsid w:val="009C5FF1"/>
    <w:rsid w:val="009D035D"/>
    <w:rsid w:val="009D60FA"/>
    <w:rsid w:val="009D7DC1"/>
    <w:rsid w:val="009E678E"/>
    <w:rsid w:val="009F01B2"/>
    <w:rsid w:val="009F1E8E"/>
    <w:rsid w:val="009F78AB"/>
    <w:rsid w:val="00A057D9"/>
    <w:rsid w:val="00A076CF"/>
    <w:rsid w:val="00A10CA9"/>
    <w:rsid w:val="00A27C56"/>
    <w:rsid w:val="00A305FD"/>
    <w:rsid w:val="00A31C6C"/>
    <w:rsid w:val="00A351DB"/>
    <w:rsid w:val="00A442FA"/>
    <w:rsid w:val="00A44773"/>
    <w:rsid w:val="00A45787"/>
    <w:rsid w:val="00A47E9A"/>
    <w:rsid w:val="00A53335"/>
    <w:rsid w:val="00A54C9C"/>
    <w:rsid w:val="00A60FA5"/>
    <w:rsid w:val="00A66853"/>
    <w:rsid w:val="00A66E67"/>
    <w:rsid w:val="00A67F1D"/>
    <w:rsid w:val="00A7603D"/>
    <w:rsid w:val="00A812E8"/>
    <w:rsid w:val="00A84135"/>
    <w:rsid w:val="00A8418E"/>
    <w:rsid w:val="00A85625"/>
    <w:rsid w:val="00A873BA"/>
    <w:rsid w:val="00A918F5"/>
    <w:rsid w:val="00A92299"/>
    <w:rsid w:val="00A93637"/>
    <w:rsid w:val="00A974E1"/>
    <w:rsid w:val="00A97D1F"/>
    <w:rsid w:val="00AA20EF"/>
    <w:rsid w:val="00AB0AB5"/>
    <w:rsid w:val="00AB4CAA"/>
    <w:rsid w:val="00AB7D32"/>
    <w:rsid w:val="00AC26EB"/>
    <w:rsid w:val="00AD3A09"/>
    <w:rsid w:val="00AD55B1"/>
    <w:rsid w:val="00AF0320"/>
    <w:rsid w:val="00AF21F4"/>
    <w:rsid w:val="00AF395E"/>
    <w:rsid w:val="00AF5092"/>
    <w:rsid w:val="00AF5A48"/>
    <w:rsid w:val="00AF76B8"/>
    <w:rsid w:val="00B03C06"/>
    <w:rsid w:val="00B0513C"/>
    <w:rsid w:val="00B05D79"/>
    <w:rsid w:val="00B060DA"/>
    <w:rsid w:val="00B129EF"/>
    <w:rsid w:val="00B3033B"/>
    <w:rsid w:val="00B30770"/>
    <w:rsid w:val="00B32540"/>
    <w:rsid w:val="00B35F72"/>
    <w:rsid w:val="00B36462"/>
    <w:rsid w:val="00B41C7A"/>
    <w:rsid w:val="00B4474E"/>
    <w:rsid w:val="00B502DF"/>
    <w:rsid w:val="00B5067E"/>
    <w:rsid w:val="00B50A42"/>
    <w:rsid w:val="00B50D81"/>
    <w:rsid w:val="00B53470"/>
    <w:rsid w:val="00B54686"/>
    <w:rsid w:val="00B56CEA"/>
    <w:rsid w:val="00B702B7"/>
    <w:rsid w:val="00B707B9"/>
    <w:rsid w:val="00B73AF4"/>
    <w:rsid w:val="00B773ED"/>
    <w:rsid w:val="00B8222D"/>
    <w:rsid w:val="00B836B1"/>
    <w:rsid w:val="00B8522B"/>
    <w:rsid w:val="00B85A9A"/>
    <w:rsid w:val="00B91693"/>
    <w:rsid w:val="00B919DA"/>
    <w:rsid w:val="00BA0155"/>
    <w:rsid w:val="00BB2A0E"/>
    <w:rsid w:val="00BB6983"/>
    <w:rsid w:val="00BB759F"/>
    <w:rsid w:val="00BC0DBE"/>
    <w:rsid w:val="00BC2AC1"/>
    <w:rsid w:val="00BD07C4"/>
    <w:rsid w:val="00BD2AA6"/>
    <w:rsid w:val="00BD57D9"/>
    <w:rsid w:val="00BE1D2D"/>
    <w:rsid w:val="00BF04D3"/>
    <w:rsid w:val="00BF17A4"/>
    <w:rsid w:val="00BF2125"/>
    <w:rsid w:val="00BF2A8F"/>
    <w:rsid w:val="00BF4EF5"/>
    <w:rsid w:val="00BF74A3"/>
    <w:rsid w:val="00C0053B"/>
    <w:rsid w:val="00C021F4"/>
    <w:rsid w:val="00C073D3"/>
    <w:rsid w:val="00C10CC8"/>
    <w:rsid w:val="00C16B34"/>
    <w:rsid w:val="00C20E3D"/>
    <w:rsid w:val="00C246E7"/>
    <w:rsid w:val="00C25023"/>
    <w:rsid w:val="00C257EB"/>
    <w:rsid w:val="00C31744"/>
    <w:rsid w:val="00C31FFF"/>
    <w:rsid w:val="00C3579A"/>
    <w:rsid w:val="00C362EA"/>
    <w:rsid w:val="00C43977"/>
    <w:rsid w:val="00C465C3"/>
    <w:rsid w:val="00C51E31"/>
    <w:rsid w:val="00C53C2E"/>
    <w:rsid w:val="00C53E23"/>
    <w:rsid w:val="00C544EE"/>
    <w:rsid w:val="00C60397"/>
    <w:rsid w:val="00C7275C"/>
    <w:rsid w:val="00C80570"/>
    <w:rsid w:val="00C85431"/>
    <w:rsid w:val="00C869D6"/>
    <w:rsid w:val="00C9212E"/>
    <w:rsid w:val="00C92F42"/>
    <w:rsid w:val="00C93684"/>
    <w:rsid w:val="00CA2246"/>
    <w:rsid w:val="00CB0F0A"/>
    <w:rsid w:val="00CB260C"/>
    <w:rsid w:val="00CB3074"/>
    <w:rsid w:val="00CB564E"/>
    <w:rsid w:val="00CC26C2"/>
    <w:rsid w:val="00CC3304"/>
    <w:rsid w:val="00CC5E57"/>
    <w:rsid w:val="00CC6514"/>
    <w:rsid w:val="00CD0318"/>
    <w:rsid w:val="00CD22B9"/>
    <w:rsid w:val="00CD386E"/>
    <w:rsid w:val="00CD5B5E"/>
    <w:rsid w:val="00CE0771"/>
    <w:rsid w:val="00CE141F"/>
    <w:rsid w:val="00CE7BA3"/>
    <w:rsid w:val="00CF0016"/>
    <w:rsid w:val="00CF132F"/>
    <w:rsid w:val="00CF16A1"/>
    <w:rsid w:val="00CF18C4"/>
    <w:rsid w:val="00CF3B3D"/>
    <w:rsid w:val="00D01A13"/>
    <w:rsid w:val="00D0406E"/>
    <w:rsid w:val="00D068D3"/>
    <w:rsid w:val="00D10B1F"/>
    <w:rsid w:val="00D127C4"/>
    <w:rsid w:val="00D150F6"/>
    <w:rsid w:val="00D15980"/>
    <w:rsid w:val="00D2063D"/>
    <w:rsid w:val="00D22C01"/>
    <w:rsid w:val="00D26DF9"/>
    <w:rsid w:val="00D314CF"/>
    <w:rsid w:val="00D328C0"/>
    <w:rsid w:val="00D33138"/>
    <w:rsid w:val="00D33317"/>
    <w:rsid w:val="00D35769"/>
    <w:rsid w:val="00D447ED"/>
    <w:rsid w:val="00D4721B"/>
    <w:rsid w:val="00D51FE9"/>
    <w:rsid w:val="00D65F52"/>
    <w:rsid w:val="00D808A7"/>
    <w:rsid w:val="00D826B5"/>
    <w:rsid w:val="00DA209B"/>
    <w:rsid w:val="00DA3D3E"/>
    <w:rsid w:val="00DA6625"/>
    <w:rsid w:val="00DA6A98"/>
    <w:rsid w:val="00DB5A64"/>
    <w:rsid w:val="00DB6FB4"/>
    <w:rsid w:val="00DC291A"/>
    <w:rsid w:val="00DC2CB8"/>
    <w:rsid w:val="00DC3E85"/>
    <w:rsid w:val="00DD1CD8"/>
    <w:rsid w:val="00DD3AAA"/>
    <w:rsid w:val="00DD50DF"/>
    <w:rsid w:val="00DE0C74"/>
    <w:rsid w:val="00DE389B"/>
    <w:rsid w:val="00DE6E58"/>
    <w:rsid w:val="00DF13C3"/>
    <w:rsid w:val="00DF2320"/>
    <w:rsid w:val="00DF2596"/>
    <w:rsid w:val="00DF2E6D"/>
    <w:rsid w:val="00DF4CE7"/>
    <w:rsid w:val="00DF7BEB"/>
    <w:rsid w:val="00E0093F"/>
    <w:rsid w:val="00E0117A"/>
    <w:rsid w:val="00E02F8C"/>
    <w:rsid w:val="00E071EE"/>
    <w:rsid w:val="00E10242"/>
    <w:rsid w:val="00E11C6C"/>
    <w:rsid w:val="00E13BAF"/>
    <w:rsid w:val="00E160DB"/>
    <w:rsid w:val="00E17AA4"/>
    <w:rsid w:val="00E23AF2"/>
    <w:rsid w:val="00E24562"/>
    <w:rsid w:val="00E249AA"/>
    <w:rsid w:val="00E25BB4"/>
    <w:rsid w:val="00E2654C"/>
    <w:rsid w:val="00E31B8B"/>
    <w:rsid w:val="00E37359"/>
    <w:rsid w:val="00E40374"/>
    <w:rsid w:val="00E41602"/>
    <w:rsid w:val="00E435F1"/>
    <w:rsid w:val="00E456DD"/>
    <w:rsid w:val="00E4721E"/>
    <w:rsid w:val="00E47D72"/>
    <w:rsid w:val="00E50AA2"/>
    <w:rsid w:val="00E51791"/>
    <w:rsid w:val="00E5466B"/>
    <w:rsid w:val="00E548A1"/>
    <w:rsid w:val="00E61F57"/>
    <w:rsid w:val="00E62AA0"/>
    <w:rsid w:val="00E6349E"/>
    <w:rsid w:val="00E672BC"/>
    <w:rsid w:val="00E678B2"/>
    <w:rsid w:val="00E67A01"/>
    <w:rsid w:val="00E76DD3"/>
    <w:rsid w:val="00E8254E"/>
    <w:rsid w:val="00E82DD3"/>
    <w:rsid w:val="00E87C3F"/>
    <w:rsid w:val="00E92927"/>
    <w:rsid w:val="00E9401C"/>
    <w:rsid w:val="00EA008E"/>
    <w:rsid w:val="00EA331E"/>
    <w:rsid w:val="00EA3DD0"/>
    <w:rsid w:val="00EB65EE"/>
    <w:rsid w:val="00EC14C0"/>
    <w:rsid w:val="00EC19D4"/>
    <w:rsid w:val="00EC305A"/>
    <w:rsid w:val="00EC320F"/>
    <w:rsid w:val="00EC6492"/>
    <w:rsid w:val="00ED0ADE"/>
    <w:rsid w:val="00ED1D7A"/>
    <w:rsid w:val="00ED1EC8"/>
    <w:rsid w:val="00ED2BDE"/>
    <w:rsid w:val="00ED577E"/>
    <w:rsid w:val="00ED60A8"/>
    <w:rsid w:val="00EE264F"/>
    <w:rsid w:val="00EE4469"/>
    <w:rsid w:val="00EE7146"/>
    <w:rsid w:val="00EF1420"/>
    <w:rsid w:val="00EF4ABA"/>
    <w:rsid w:val="00EF50DA"/>
    <w:rsid w:val="00F02BD5"/>
    <w:rsid w:val="00F041E7"/>
    <w:rsid w:val="00F04F3E"/>
    <w:rsid w:val="00F07B3A"/>
    <w:rsid w:val="00F1230C"/>
    <w:rsid w:val="00F245AD"/>
    <w:rsid w:val="00F262F7"/>
    <w:rsid w:val="00F27CF5"/>
    <w:rsid w:val="00F31412"/>
    <w:rsid w:val="00F31882"/>
    <w:rsid w:val="00F36C63"/>
    <w:rsid w:val="00F4691B"/>
    <w:rsid w:val="00F47D28"/>
    <w:rsid w:val="00F51BB2"/>
    <w:rsid w:val="00F53647"/>
    <w:rsid w:val="00F60A20"/>
    <w:rsid w:val="00F6231F"/>
    <w:rsid w:val="00F655F7"/>
    <w:rsid w:val="00F735E8"/>
    <w:rsid w:val="00F76177"/>
    <w:rsid w:val="00F81B9F"/>
    <w:rsid w:val="00F85967"/>
    <w:rsid w:val="00F86C8A"/>
    <w:rsid w:val="00F96111"/>
    <w:rsid w:val="00FA3EC1"/>
    <w:rsid w:val="00FA6F7F"/>
    <w:rsid w:val="00FB0397"/>
    <w:rsid w:val="00FB129F"/>
    <w:rsid w:val="00FC24F1"/>
    <w:rsid w:val="00FC68EF"/>
    <w:rsid w:val="00FC7558"/>
    <w:rsid w:val="00FD12B4"/>
    <w:rsid w:val="00FD241A"/>
    <w:rsid w:val="00FD4139"/>
    <w:rsid w:val="00FD5FE1"/>
    <w:rsid w:val="00FE0325"/>
    <w:rsid w:val="00FE09D1"/>
    <w:rsid w:val="00FE1D20"/>
    <w:rsid w:val="00FE396B"/>
    <w:rsid w:val="00FE56F9"/>
    <w:rsid w:val="00FE7EF2"/>
    <w:rsid w:val="00FF5515"/>
    <w:rsid w:val="00FF5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pPr>
      <w:keepNext/>
      <w:keepLines/>
      <w:spacing w:before="200" w:after="0"/>
      <w:outlineLvl w:val="4"/>
    </w:pPr>
    <w:rPr>
      <w:rFonts w:ascii="Cambria" w:eastAsia="Cambria" w:hAnsi="Cambria" w:cs="Cambria"/>
      <w:color w:val="243F61"/>
    </w:rPr>
  </w:style>
  <w:style w:type="paragraph" w:styleId="Heading6">
    <w:name w:val="heading 6"/>
    <w:basedOn w:val="Normal"/>
    <w:next w:val="Normal"/>
    <w:pPr>
      <w:keepNext/>
      <w:keepLines/>
      <w:spacing w:before="200" w:after="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line="240" w:lineRule="auto"/>
    </w:pPr>
    <w:rPr>
      <w:rFonts w:ascii="Cambria" w:eastAsia="Cambria" w:hAnsi="Cambria" w:cs="Cambria"/>
      <w:sz w:val="52"/>
      <w:szCs w:val="52"/>
    </w:rPr>
  </w:style>
  <w:style w:type="paragraph" w:styleId="Subtitle">
    <w:name w:val="Subtitle"/>
    <w:basedOn w:val="Normal"/>
    <w:next w:val="Normal"/>
    <w:pPr>
      <w:keepNext/>
      <w:keepLines/>
    </w:pPr>
    <w:rPr>
      <w:rFonts w:ascii="Cambria" w:eastAsia="Cambria" w:hAnsi="Cambria" w:cs="Cambria"/>
      <w:i/>
      <w:color w:val="4F81BD"/>
      <w:sz w:val="24"/>
      <w:szCs w:val="24"/>
    </w:rPr>
  </w:style>
  <w:style w:type="paragraph" w:styleId="BalloonText">
    <w:name w:val="Balloon Text"/>
    <w:basedOn w:val="Normal"/>
    <w:link w:val="BalloonTextChar"/>
    <w:uiPriority w:val="99"/>
    <w:semiHidden/>
    <w:unhideWhenUsed/>
    <w:rsid w:val="00B506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67E"/>
    <w:rPr>
      <w:rFonts w:ascii="Tahoma" w:hAnsi="Tahoma" w:cs="Tahoma"/>
      <w:sz w:val="16"/>
      <w:szCs w:val="16"/>
    </w:rPr>
  </w:style>
  <w:style w:type="paragraph" w:styleId="Header">
    <w:name w:val="header"/>
    <w:basedOn w:val="Normal"/>
    <w:link w:val="HeaderChar"/>
    <w:uiPriority w:val="99"/>
    <w:unhideWhenUsed/>
    <w:rsid w:val="00B506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67E"/>
  </w:style>
  <w:style w:type="paragraph" w:styleId="Footer">
    <w:name w:val="footer"/>
    <w:basedOn w:val="Normal"/>
    <w:link w:val="FooterChar"/>
    <w:uiPriority w:val="99"/>
    <w:unhideWhenUsed/>
    <w:rsid w:val="00B506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67E"/>
  </w:style>
  <w:style w:type="table" w:styleId="TableGrid">
    <w:name w:val="Table Grid"/>
    <w:basedOn w:val="TableNormal"/>
    <w:uiPriority w:val="59"/>
    <w:rsid w:val="00157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E2C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2C2C"/>
    <w:rPr>
      <w:sz w:val="20"/>
      <w:szCs w:val="20"/>
    </w:rPr>
  </w:style>
  <w:style w:type="character" w:styleId="FootnoteReference">
    <w:name w:val="footnote reference"/>
    <w:basedOn w:val="DefaultParagraphFont"/>
    <w:uiPriority w:val="99"/>
    <w:semiHidden/>
    <w:unhideWhenUsed/>
    <w:rsid w:val="002E2C2C"/>
    <w:rPr>
      <w:vertAlign w:val="superscript"/>
    </w:rPr>
  </w:style>
  <w:style w:type="paragraph" w:styleId="NoSpacing">
    <w:name w:val="No Spacing"/>
    <w:uiPriority w:val="1"/>
    <w:qFormat/>
    <w:rsid w:val="00A45787"/>
    <w:pPr>
      <w:spacing w:after="0" w:line="240" w:lineRule="auto"/>
    </w:pPr>
  </w:style>
  <w:style w:type="character" w:styleId="Hyperlink">
    <w:name w:val="Hyperlink"/>
    <w:basedOn w:val="DefaultParagraphFont"/>
    <w:uiPriority w:val="99"/>
    <w:unhideWhenUsed/>
    <w:rsid w:val="00254157"/>
    <w:rPr>
      <w:color w:val="0000FF" w:themeColor="hyperlink"/>
      <w:u w:val="single"/>
    </w:rPr>
  </w:style>
  <w:style w:type="paragraph" w:styleId="ListParagraph">
    <w:name w:val="List Paragraph"/>
    <w:basedOn w:val="Normal"/>
    <w:uiPriority w:val="34"/>
    <w:qFormat/>
    <w:rsid w:val="009A7406"/>
    <w:pPr>
      <w:ind w:left="720"/>
      <w:contextualSpacing/>
    </w:pPr>
  </w:style>
  <w:style w:type="paragraph" w:styleId="TOCHeading">
    <w:name w:val="TOC Heading"/>
    <w:basedOn w:val="Heading1"/>
    <w:next w:val="Normal"/>
    <w:uiPriority w:val="39"/>
    <w:semiHidden/>
    <w:unhideWhenUsed/>
    <w:qFormat/>
    <w:rsid w:val="00173BD2"/>
    <w:pPr>
      <w:outlineLvl w:val="9"/>
    </w:pPr>
    <w:rPr>
      <w:rFonts w:asciiTheme="majorHAnsi" w:eastAsiaTheme="majorEastAsia" w:hAnsiTheme="majorHAnsi" w:cstheme="majorBidi"/>
      <w:bCs/>
      <w:color w:val="365F91" w:themeColor="accent1" w:themeShade="BF"/>
      <w:lang w:eastAsia="ja-JP"/>
    </w:rPr>
  </w:style>
  <w:style w:type="paragraph" w:styleId="TOC1">
    <w:name w:val="toc 1"/>
    <w:basedOn w:val="Normal"/>
    <w:next w:val="Normal"/>
    <w:autoRedefine/>
    <w:uiPriority w:val="39"/>
    <w:unhideWhenUsed/>
    <w:rsid w:val="00173BD2"/>
    <w:pPr>
      <w:spacing w:after="100"/>
    </w:pPr>
  </w:style>
  <w:style w:type="paragraph" w:styleId="TOC2">
    <w:name w:val="toc 2"/>
    <w:basedOn w:val="Normal"/>
    <w:next w:val="Normal"/>
    <w:autoRedefine/>
    <w:uiPriority w:val="39"/>
    <w:unhideWhenUsed/>
    <w:rsid w:val="00173BD2"/>
    <w:pPr>
      <w:spacing w:after="100"/>
      <w:ind w:left="220"/>
    </w:pPr>
  </w:style>
  <w:style w:type="paragraph" w:styleId="TOC3">
    <w:name w:val="toc 3"/>
    <w:basedOn w:val="Normal"/>
    <w:next w:val="Normal"/>
    <w:autoRedefine/>
    <w:uiPriority w:val="39"/>
    <w:unhideWhenUsed/>
    <w:rsid w:val="00173BD2"/>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pPr>
      <w:keepNext/>
      <w:keepLines/>
      <w:spacing w:before="200" w:after="0"/>
      <w:outlineLvl w:val="4"/>
    </w:pPr>
    <w:rPr>
      <w:rFonts w:ascii="Cambria" w:eastAsia="Cambria" w:hAnsi="Cambria" w:cs="Cambria"/>
      <w:color w:val="243F61"/>
    </w:rPr>
  </w:style>
  <w:style w:type="paragraph" w:styleId="Heading6">
    <w:name w:val="heading 6"/>
    <w:basedOn w:val="Normal"/>
    <w:next w:val="Normal"/>
    <w:pPr>
      <w:keepNext/>
      <w:keepLines/>
      <w:spacing w:before="200" w:after="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line="240" w:lineRule="auto"/>
    </w:pPr>
    <w:rPr>
      <w:rFonts w:ascii="Cambria" w:eastAsia="Cambria" w:hAnsi="Cambria" w:cs="Cambria"/>
      <w:sz w:val="52"/>
      <w:szCs w:val="52"/>
    </w:rPr>
  </w:style>
  <w:style w:type="paragraph" w:styleId="Subtitle">
    <w:name w:val="Subtitle"/>
    <w:basedOn w:val="Normal"/>
    <w:next w:val="Normal"/>
    <w:pPr>
      <w:keepNext/>
      <w:keepLines/>
    </w:pPr>
    <w:rPr>
      <w:rFonts w:ascii="Cambria" w:eastAsia="Cambria" w:hAnsi="Cambria" w:cs="Cambria"/>
      <w:i/>
      <w:color w:val="4F81BD"/>
      <w:sz w:val="24"/>
      <w:szCs w:val="24"/>
    </w:rPr>
  </w:style>
  <w:style w:type="paragraph" w:styleId="BalloonText">
    <w:name w:val="Balloon Text"/>
    <w:basedOn w:val="Normal"/>
    <w:link w:val="BalloonTextChar"/>
    <w:uiPriority w:val="99"/>
    <w:semiHidden/>
    <w:unhideWhenUsed/>
    <w:rsid w:val="00B506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67E"/>
    <w:rPr>
      <w:rFonts w:ascii="Tahoma" w:hAnsi="Tahoma" w:cs="Tahoma"/>
      <w:sz w:val="16"/>
      <w:szCs w:val="16"/>
    </w:rPr>
  </w:style>
  <w:style w:type="paragraph" w:styleId="Header">
    <w:name w:val="header"/>
    <w:basedOn w:val="Normal"/>
    <w:link w:val="HeaderChar"/>
    <w:uiPriority w:val="99"/>
    <w:unhideWhenUsed/>
    <w:rsid w:val="00B506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67E"/>
  </w:style>
  <w:style w:type="paragraph" w:styleId="Footer">
    <w:name w:val="footer"/>
    <w:basedOn w:val="Normal"/>
    <w:link w:val="FooterChar"/>
    <w:uiPriority w:val="99"/>
    <w:unhideWhenUsed/>
    <w:rsid w:val="00B506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67E"/>
  </w:style>
  <w:style w:type="table" w:styleId="TableGrid">
    <w:name w:val="Table Grid"/>
    <w:basedOn w:val="TableNormal"/>
    <w:uiPriority w:val="59"/>
    <w:rsid w:val="00157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E2C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2C2C"/>
    <w:rPr>
      <w:sz w:val="20"/>
      <w:szCs w:val="20"/>
    </w:rPr>
  </w:style>
  <w:style w:type="character" w:styleId="FootnoteReference">
    <w:name w:val="footnote reference"/>
    <w:basedOn w:val="DefaultParagraphFont"/>
    <w:uiPriority w:val="99"/>
    <w:semiHidden/>
    <w:unhideWhenUsed/>
    <w:rsid w:val="002E2C2C"/>
    <w:rPr>
      <w:vertAlign w:val="superscript"/>
    </w:rPr>
  </w:style>
  <w:style w:type="paragraph" w:styleId="NoSpacing">
    <w:name w:val="No Spacing"/>
    <w:uiPriority w:val="1"/>
    <w:qFormat/>
    <w:rsid w:val="00A45787"/>
    <w:pPr>
      <w:spacing w:after="0" w:line="240" w:lineRule="auto"/>
    </w:pPr>
  </w:style>
  <w:style w:type="character" w:styleId="Hyperlink">
    <w:name w:val="Hyperlink"/>
    <w:basedOn w:val="DefaultParagraphFont"/>
    <w:uiPriority w:val="99"/>
    <w:unhideWhenUsed/>
    <w:rsid w:val="00254157"/>
    <w:rPr>
      <w:color w:val="0000FF" w:themeColor="hyperlink"/>
      <w:u w:val="single"/>
    </w:rPr>
  </w:style>
  <w:style w:type="paragraph" w:styleId="ListParagraph">
    <w:name w:val="List Paragraph"/>
    <w:basedOn w:val="Normal"/>
    <w:uiPriority w:val="34"/>
    <w:qFormat/>
    <w:rsid w:val="009A7406"/>
    <w:pPr>
      <w:ind w:left="720"/>
      <w:contextualSpacing/>
    </w:pPr>
  </w:style>
  <w:style w:type="paragraph" w:styleId="TOCHeading">
    <w:name w:val="TOC Heading"/>
    <w:basedOn w:val="Heading1"/>
    <w:next w:val="Normal"/>
    <w:uiPriority w:val="39"/>
    <w:semiHidden/>
    <w:unhideWhenUsed/>
    <w:qFormat/>
    <w:rsid w:val="00173BD2"/>
    <w:pPr>
      <w:outlineLvl w:val="9"/>
    </w:pPr>
    <w:rPr>
      <w:rFonts w:asciiTheme="majorHAnsi" w:eastAsiaTheme="majorEastAsia" w:hAnsiTheme="majorHAnsi" w:cstheme="majorBidi"/>
      <w:bCs/>
      <w:color w:val="365F91" w:themeColor="accent1" w:themeShade="BF"/>
      <w:lang w:eastAsia="ja-JP"/>
    </w:rPr>
  </w:style>
  <w:style w:type="paragraph" w:styleId="TOC1">
    <w:name w:val="toc 1"/>
    <w:basedOn w:val="Normal"/>
    <w:next w:val="Normal"/>
    <w:autoRedefine/>
    <w:uiPriority w:val="39"/>
    <w:unhideWhenUsed/>
    <w:rsid w:val="00173BD2"/>
    <w:pPr>
      <w:spacing w:after="100"/>
    </w:pPr>
  </w:style>
  <w:style w:type="paragraph" w:styleId="TOC2">
    <w:name w:val="toc 2"/>
    <w:basedOn w:val="Normal"/>
    <w:next w:val="Normal"/>
    <w:autoRedefine/>
    <w:uiPriority w:val="39"/>
    <w:unhideWhenUsed/>
    <w:rsid w:val="00173BD2"/>
    <w:pPr>
      <w:spacing w:after="100"/>
      <w:ind w:left="220"/>
    </w:pPr>
  </w:style>
  <w:style w:type="paragraph" w:styleId="TOC3">
    <w:name w:val="toc 3"/>
    <w:basedOn w:val="Normal"/>
    <w:next w:val="Normal"/>
    <w:autoRedefine/>
    <w:uiPriority w:val="39"/>
    <w:unhideWhenUsed/>
    <w:rsid w:val="00173BD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3588">
      <w:bodyDiv w:val="1"/>
      <w:marLeft w:val="0"/>
      <w:marRight w:val="0"/>
      <w:marTop w:val="0"/>
      <w:marBottom w:val="0"/>
      <w:divBdr>
        <w:top w:val="none" w:sz="0" w:space="0" w:color="auto"/>
        <w:left w:val="none" w:sz="0" w:space="0" w:color="auto"/>
        <w:bottom w:val="none" w:sz="0" w:space="0" w:color="auto"/>
        <w:right w:val="none" w:sz="0" w:space="0" w:color="auto"/>
      </w:divBdr>
    </w:div>
    <w:div w:id="1259873581">
      <w:bodyDiv w:val="1"/>
      <w:marLeft w:val="0"/>
      <w:marRight w:val="0"/>
      <w:marTop w:val="0"/>
      <w:marBottom w:val="0"/>
      <w:divBdr>
        <w:top w:val="none" w:sz="0" w:space="0" w:color="auto"/>
        <w:left w:val="none" w:sz="0" w:space="0" w:color="auto"/>
        <w:bottom w:val="none" w:sz="0" w:space="0" w:color="auto"/>
        <w:right w:val="none" w:sz="0" w:space="0" w:color="auto"/>
      </w:divBdr>
    </w:div>
    <w:div w:id="1716151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accan.org.a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accc.gov.au/media-release/telstra-pays-102000-penalty-following-accc-infringement-notice-for-iphone-6-advertisement" TargetMode="External"/><Relationship Id="rId13" Type="http://schemas.openxmlformats.org/officeDocument/2006/relationships/hyperlink" Target="http://consumeraction.org.au/wp-content/uploads/2013/04/CALC-Regulator-Report-FINAL-eVersion.pdf" TargetMode="External"/><Relationship Id="rId18" Type="http://schemas.openxmlformats.org/officeDocument/2006/relationships/hyperlink" Target="http://www.cmd.act.gov.au/__data/assets/pdf_file/0011/859430/2016-Proactive-Release-of-Data-Open-Data-Policy.pdf" TargetMode="External"/><Relationship Id="rId26" Type="http://schemas.openxmlformats.org/officeDocument/2006/relationships/hyperlink" Target="https://www.tio.com.au/__data/assets/pdf_file/0003/199713/Complaints-in-context-April-2016-FINAL.pdf" TargetMode="External"/><Relationship Id="rId39" Type="http://schemas.openxmlformats.org/officeDocument/2006/relationships/hyperlink" Target="http://webarchive.nationalarchives.gov.uk/20080814090336/http://www.energywatch.org.uk/uploads/Complaint_handling_Principles_and_Best_Practice_April_2007.PDF" TargetMode="External"/><Relationship Id="rId3" Type="http://schemas.openxmlformats.org/officeDocument/2006/relationships/hyperlink" Target="http://www.abs.gov.au/AUSSTATS/abs@.nsf/allprimarymainfeatures/91A5539B10732B1CCA2579D0000C0B28?opendocument" TargetMode="External"/><Relationship Id="rId21" Type="http://schemas.openxmlformats.org/officeDocument/2006/relationships/hyperlink" Target="https://www.accc.gov.au/system/files/979_Annual%20Report_2014-15_web_FA_1.pdf" TargetMode="External"/><Relationship Id="rId34" Type="http://schemas.openxmlformats.org/officeDocument/2006/relationships/hyperlink" Target="http://www.oft.gov.uk/shared_oft/business_leaflets/enterprise_act/oft514.pdf" TargetMode="External"/><Relationship Id="rId7" Type="http://schemas.openxmlformats.org/officeDocument/2006/relationships/hyperlink" Target="https://www.telstra.com.au/content/dam/tcom/about-us/investors/pdf%20D/2015-ANNUAL-REPORT.pdf" TargetMode="External"/><Relationship Id="rId12" Type="http://schemas.openxmlformats.org/officeDocument/2006/relationships/hyperlink" Target="https://support.google.com/googleplay/android-developer/answer/112622?hl=en" TargetMode="External"/><Relationship Id="rId17" Type="http://schemas.openxmlformats.org/officeDocument/2006/relationships/hyperlink" Target="http://consumerlaw.gov.au/the-australian-consumer-law/acl-national-projects" TargetMode="External"/><Relationship Id="rId25" Type="http://schemas.openxmlformats.org/officeDocument/2006/relationships/hyperlink" Target="https://www.tio.com.au/publications/statistics" TargetMode="External"/><Relationship Id="rId33" Type="http://schemas.openxmlformats.org/officeDocument/2006/relationships/hyperlink" Target="http://www.legislation.gov.uk/ukpga/2002/40/section/11" TargetMode="External"/><Relationship Id="rId38" Type="http://schemas.openxmlformats.org/officeDocument/2006/relationships/hyperlink" Target="https://www.gov.uk/government/news/financial-services-super-complainants-confirmed-by-government" TargetMode="External"/><Relationship Id="rId2" Type="http://schemas.openxmlformats.org/officeDocument/2006/relationships/hyperlink" Target="http://landing.deloitte.com.au/rs/761-IBL-328/images/deloitte-au-tmt-mobile-consumer-survey-2015-291015.pdf" TargetMode="External"/><Relationship Id="rId16" Type="http://schemas.openxmlformats.org/officeDocument/2006/relationships/hyperlink" Target="http://www.pc.gov.au/inquiries/completed/coag-reporting-busines-vet/submissions/R008.pdf" TargetMode="External"/><Relationship Id="rId20" Type="http://schemas.openxmlformats.org/officeDocument/2006/relationships/hyperlink" Target="http://www.egovernment.tas.gov.au/stats_matter/open_data/tasmanian_government_open_data_policy" TargetMode="External"/><Relationship Id="rId29" Type="http://schemas.openxmlformats.org/officeDocument/2006/relationships/hyperlink" Target="http://www.fairtrading.nsw.gov.au/biz_res/ftweb/pdfs/About_us/Enforcement_actions_report_Jan_Mar_2016.pdf" TargetMode="External"/><Relationship Id="rId1" Type="http://schemas.openxmlformats.org/officeDocument/2006/relationships/hyperlink" Target="http://www.acma.gov.au/webwr/_assets/main/lib310665/report-3-smartphones_tablets-summary.pdf" TargetMode="External"/><Relationship Id="rId6" Type="http://schemas.openxmlformats.org/officeDocument/2006/relationships/hyperlink" Target="http://dupress.com/articles/digital-transformation-in-government/" TargetMode="External"/><Relationship Id="rId11" Type="http://schemas.openxmlformats.org/officeDocument/2006/relationships/hyperlink" Target="https://developer.apple.com/programs/" TargetMode="External"/><Relationship Id="rId24" Type="http://schemas.openxmlformats.org/officeDocument/2006/relationships/hyperlink" Target="https://www.tio.com.au/__data/assets/excel_doc/0011/200081/Issues-by-provider-with-more-than-25-new-complaints-January-March-2016.xlsx" TargetMode="External"/><Relationship Id="rId32" Type="http://schemas.openxmlformats.org/officeDocument/2006/relationships/hyperlink" Target="http://consumeraction.org.au/wp-content/uploads/2013/04/CALC-Regulator-Report-FINAL-eVersion.pdf" TargetMode="External"/><Relationship Id="rId37" Type="http://schemas.openxmlformats.org/officeDocument/2006/relationships/hyperlink" Target="https://www.gov.uk/government/publications/what-are-super-complaints/what-are-super-complaints" TargetMode="External"/><Relationship Id="rId5" Type="http://schemas.openxmlformats.org/officeDocument/2006/relationships/hyperlink" Target="http://dupress.com/articles/digital-transformation-in-government-infographic/?top=4" TargetMode="External"/><Relationship Id="rId15" Type="http://schemas.openxmlformats.org/officeDocument/2006/relationships/hyperlink" Target="http://consumeraction.org.au/wp-content/uploads/2013/04/CALC-Regulator-Report-FINAL-eVersion.pdf" TargetMode="External"/><Relationship Id="rId23" Type="http://schemas.openxmlformats.org/officeDocument/2006/relationships/hyperlink" Target="http://www.fairtrading.nsw.gov.au/biz_res/ftweb/pdfs/About_us/Complaints_Register_Guidelines.pdf" TargetMode="External"/><Relationship Id="rId28" Type="http://schemas.openxmlformats.org/officeDocument/2006/relationships/hyperlink" Target="http://www.fairtrading.nsw.gov.au/biz_res/ftweb/pdfs/About_us/Enforcement_actions_report_Jan_Mar_2016.pdf" TargetMode="External"/><Relationship Id="rId36" Type="http://schemas.openxmlformats.org/officeDocument/2006/relationships/hyperlink" Target="http://www.legislation.gov.uk/ukpga/2002/40/section/11" TargetMode="External"/><Relationship Id="rId10" Type="http://schemas.openxmlformats.org/officeDocument/2006/relationships/hyperlink" Target="https://www.accc.gov.au/publications/accc-aer-annual-report/accc-aer-annual-report-2014-15" TargetMode="External"/><Relationship Id="rId19" Type="http://schemas.openxmlformats.org/officeDocument/2006/relationships/hyperlink" Target="https://www.finance.nsw.gov.au/ict/sites/default/files/resources/NSW_Government_Open_Data_Policy_2016.pdf" TargetMode="External"/><Relationship Id="rId31" Type="http://schemas.openxmlformats.org/officeDocument/2006/relationships/hyperlink" Target="http://www.accc.gov.au/media-release/dodo-pays-infringement-notices" TargetMode="External"/><Relationship Id="rId4" Type="http://schemas.openxmlformats.org/officeDocument/2006/relationships/hyperlink" Target="http://www.abs.gov.au/AUSSTATS/abs@.nsf/allprimarymainfeatures/00FD2E732C939C06CA257E19000FB410?opendocument" TargetMode="External"/><Relationship Id="rId9" Type="http://schemas.openxmlformats.org/officeDocument/2006/relationships/hyperlink" Target="https://www.accc.gov.au/publications/accc-aer-annual-report/accc-aer-annual-report-2013-14" TargetMode="External"/><Relationship Id="rId14" Type="http://schemas.openxmlformats.org/officeDocument/2006/relationships/hyperlink" Target="http://www.accc.gov.au/media-release/jackson-anni-and-fdra-sales-agents-not-to-enter-indigenous-communities-to-sell-goods-or-services" TargetMode="External"/><Relationship Id="rId22" Type="http://schemas.openxmlformats.org/officeDocument/2006/relationships/hyperlink" Target="http://www.fairtrading.nsw.gov.au/biz_res/ftweb/pdfs/About_us/Complaints_Register_Guidelines.pdf" TargetMode="External"/><Relationship Id="rId27" Type="http://schemas.openxmlformats.org/officeDocument/2006/relationships/hyperlink" Target="http://consumeraction.org.au/wp-content/uploads/2013/04/CALC-Regulator-Report-FINAL-eVersion.pdf" TargetMode="External"/><Relationship Id="rId30" Type="http://schemas.openxmlformats.org/officeDocument/2006/relationships/hyperlink" Target="http://consumeraction.org.au/wp-content/uploads/2013/04/CALC-Regulator-Report-FINAL-eVersion.pdf" TargetMode="External"/><Relationship Id="rId35" Type="http://schemas.openxmlformats.org/officeDocument/2006/relationships/hyperlink" Target="http://www.legislation.gov.uk/ukpga/2002/40/section/1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DB526-5110-4373-8E39-B7059AAA5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3567</Words>
  <Characters>20333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Jax Arnold</dc:creator>
  <cp:lastModifiedBy>Jax Arnold</cp:lastModifiedBy>
  <cp:revision>3</cp:revision>
  <cp:lastPrinted>2016-09-16T06:05:00Z</cp:lastPrinted>
  <dcterms:created xsi:type="dcterms:W3CDTF">2016-09-16T06:05:00Z</dcterms:created>
  <dcterms:modified xsi:type="dcterms:W3CDTF">2016-09-16T06:16:00Z</dcterms:modified>
</cp:coreProperties>
</file>