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Default="005820C9" w:rsidP="007D3F16">
      <w:pPr>
        <w:spacing w:after="0"/>
        <w:sectPr w:rsidR="005820C9" w:rsidSect="00002D94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Default="005451FC" w:rsidP="005262EE">
      <w:pPr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D07120">
        <w:rPr>
          <w:sz w:val="23"/>
          <w:szCs w:val="23"/>
        </w:rPr>
        <w:t>4</w:t>
      </w:r>
      <w:bookmarkStart w:id="0" w:name="_GoBack"/>
      <w:bookmarkEnd w:id="0"/>
      <w:r w:rsidR="00511879">
        <w:rPr>
          <w:sz w:val="23"/>
          <w:szCs w:val="23"/>
        </w:rPr>
        <w:t xml:space="preserve"> August </w:t>
      </w:r>
      <w:r w:rsidR="00133884">
        <w:rPr>
          <w:sz w:val="23"/>
          <w:szCs w:val="23"/>
        </w:rPr>
        <w:t>2015</w:t>
      </w:r>
    </w:p>
    <w:p w:rsidR="00F269EB" w:rsidRDefault="00F269EB" w:rsidP="00F269EB">
      <w:pPr>
        <w:spacing w:after="0"/>
      </w:pPr>
      <w:r>
        <w:t>Mr Sean Riordan</w:t>
      </w:r>
    </w:p>
    <w:p w:rsidR="00F269EB" w:rsidRDefault="00F269EB" w:rsidP="00F269EB">
      <w:pPr>
        <w:spacing w:after="0"/>
      </w:pPr>
      <w:r>
        <w:t>General Manager – Industry Structure and Compliance</w:t>
      </w:r>
    </w:p>
    <w:p w:rsidR="00F269EB" w:rsidRDefault="00F269EB" w:rsidP="00F269EB">
      <w:pPr>
        <w:spacing w:after="0"/>
      </w:pPr>
      <w:r>
        <w:t>Australian Competition and Consumer Commission</w:t>
      </w:r>
    </w:p>
    <w:p w:rsidR="00511879" w:rsidRPr="00511879" w:rsidRDefault="00511879" w:rsidP="00F269EB">
      <w:pPr>
        <w:rPr>
          <w:rFonts w:eastAsiaTheme="minorHAnsi"/>
          <w:lang w:val="en-US" w:eastAsia="en-US"/>
        </w:rPr>
      </w:pPr>
      <w:r w:rsidRPr="00511879">
        <w:rPr>
          <w:rFonts w:eastAsiaTheme="minorHAnsi"/>
          <w:lang w:val="en-US" w:eastAsia="en-US"/>
        </w:rPr>
        <w:t xml:space="preserve">Via: </w:t>
      </w:r>
      <w:hyperlink r:id="rId11" w:history="1">
        <w:r w:rsidR="00F269EB" w:rsidRPr="005B1804">
          <w:rPr>
            <w:rStyle w:val="Hyperlink"/>
            <w:rFonts w:eastAsiaTheme="minorHAnsi"/>
            <w:lang w:val="en-US" w:eastAsia="en-US"/>
          </w:rPr>
          <w:t>market.indicators@accc.gov.au</w:t>
        </w:r>
      </w:hyperlink>
      <w:r w:rsidR="00F269EB">
        <w:rPr>
          <w:rFonts w:eastAsiaTheme="minorHAnsi"/>
          <w:lang w:val="en-US" w:eastAsia="en-US"/>
        </w:rPr>
        <w:t xml:space="preserve"> </w:t>
      </w:r>
    </w:p>
    <w:p w:rsidR="00B3229F" w:rsidRDefault="00DD1B6E" w:rsidP="00DB065E">
      <w:pPr>
        <w:pStyle w:val="BodyText1"/>
        <w:jc w:val="both"/>
        <w:rPr>
          <w:rFonts w:asciiTheme="minorHAnsi" w:hAnsiTheme="minorHAnsi" w:cstheme="minorHAnsi"/>
          <w:color w:val="auto"/>
        </w:rPr>
      </w:pPr>
      <w:r w:rsidRPr="00B41A57">
        <w:rPr>
          <w:rFonts w:asciiTheme="minorHAnsi" w:hAnsiTheme="minorHAnsi" w:cstheme="minorHAnsi"/>
        </w:rPr>
        <w:t xml:space="preserve">ACCAN thanks </w:t>
      </w:r>
      <w:r w:rsidR="005451FC">
        <w:rPr>
          <w:rFonts w:asciiTheme="minorHAnsi" w:hAnsiTheme="minorHAnsi" w:cstheme="minorHAnsi"/>
        </w:rPr>
        <w:t xml:space="preserve">the </w:t>
      </w:r>
      <w:r w:rsidR="00F269EB">
        <w:rPr>
          <w:rFonts w:asciiTheme="minorHAnsi" w:hAnsiTheme="minorHAnsi" w:cstheme="minorHAnsi"/>
        </w:rPr>
        <w:t>Australian Competition and Consumer Commission</w:t>
      </w:r>
      <w:r w:rsidR="001039D9">
        <w:rPr>
          <w:rFonts w:asciiTheme="minorHAnsi" w:hAnsiTheme="minorHAnsi" w:cstheme="minorHAnsi"/>
        </w:rPr>
        <w:t xml:space="preserve"> (ACCC)</w:t>
      </w:r>
      <w:r w:rsidR="00F269EB">
        <w:rPr>
          <w:rFonts w:asciiTheme="minorHAnsi" w:hAnsiTheme="minorHAnsi" w:cstheme="minorHAnsi"/>
        </w:rPr>
        <w:t xml:space="preserve"> for </w:t>
      </w:r>
      <w:r w:rsidRPr="00B41A57">
        <w:rPr>
          <w:rFonts w:asciiTheme="minorHAnsi" w:hAnsiTheme="minorHAnsi" w:cstheme="minorHAnsi"/>
        </w:rPr>
        <w:t>the opportunity</w:t>
      </w:r>
      <w:r w:rsidR="00133884" w:rsidRPr="00B41A57">
        <w:rPr>
          <w:rFonts w:asciiTheme="minorHAnsi" w:hAnsiTheme="minorHAnsi" w:cstheme="minorHAnsi"/>
        </w:rPr>
        <w:t xml:space="preserve"> to contribute to its </w:t>
      </w:r>
      <w:r w:rsidR="00F269EB">
        <w:rPr>
          <w:rFonts w:asciiTheme="minorHAnsi" w:hAnsiTheme="minorHAnsi" w:cstheme="minorHAnsi"/>
        </w:rPr>
        <w:t xml:space="preserve">consultation on </w:t>
      </w:r>
      <w:r w:rsidR="00954C5D">
        <w:rPr>
          <w:rFonts w:asciiTheme="minorHAnsi" w:hAnsiTheme="minorHAnsi" w:cstheme="minorHAnsi"/>
        </w:rPr>
        <w:t>the</w:t>
      </w:r>
      <w:r w:rsidR="00F269EB">
        <w:rPr>
          <w:rFonts w:asciiTheme="minorHAnsi" w:hAnsiTheme="minorHAnsi" w:cstheme="minorHAnsi"/>
        </w:rPr>
        <w:t xml:space="preserve"> proposed NBN Wholesale Market Indicators Report. </w:t>
      </w:r>
      <w:r w:rsidR="007E02C5">
        <w:rPr>
          <w:rFonts w:asciiTheme="minorHAnsi" w:hAnsiTheme="minorHAnsi" w:cstheme="minorHAnsi"/>
          <w:color w:val="auto"/>
        </w:rPr>
        <w:t>ACCAN is supportive of the ACCC</w:t>
      </w:r>
      <w:r w:rsidR="00736374">
        <w:rPr>
          <w:rFonts w:asciiTheme="minorHAnsi" w:hAnsiTheme="minorHAnsi" w:cstheme="minorHAnsi"/>
          <w:color w:val="auto"/>
        </w:rPr>
        <w:t>’s</w:t>
      </w:r>
      <w:r w:rsidR="007E02C5">
        <w:rPr>
          <w:rFonts w:asciiTheme="minorHAnsi" w:hAnsiTheme="minorHAnsi" w:cstheme="minorHAnsi"/>
          <w:color w:val="auto"/>
        </w:rPr>
        <w:t xml:space="preserve"> proposal to provide a quarterly overview of the wholesale marke</w:t>
      </w:r>
      <w:r w:rsidR="006C24D0">
        <w:rPr>
          <w:rFonts w:asciiTheme="minorHAnsi" w:hAnsiTheme="minorHAnsi" w:cstheme="minorHAnsi"/>
          <w:color w:val="auto"/>
        </w:rPr>
        <w:t xml:space="preserve">t for NBN access services. </w:t>
      </w:r>
    </w:p>
    <w:p w:rsidR="00F269EB" w:rsidRDefault="00705A2B" w:rsidP="00DB065E">
      <w:pPr>
        <w:pStyle w:val="BodyText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ACCAN agrees that through reducing the barriers to entry and the information asymmetries present in the wholesale network, end users will </w:t>
      </w:r>
      <w:r w:rsidR="00D5113F">
        <w:rPr>
          <w:rFonts w:asciiTheme="minorHAnsi" w:hAnsiTheme="minorHAnsi" w:cstheme="minorHAnsi"/>
          <w:color w:val="auto"/>
        </w:rPr>
        <w:t xml:space="preserve">ultimately </w:t>
      </w:r>
      <w:r>
        <w:rPr>
          <w:rFonts w:asciiTheme="minorHAnsi" w:hAnsiTheme="minorHAnsi" w:cstheme="minorHAnsi"/>
          <w:color w:val="auto"/>
        </w:rPr>
        <w:t xml:space="preserve">benefit from an increased availability of a greater range of products and services. </w:t>
      </w:r>
      <w:r w:rsidR="00954C5D">
        <w:rPr>
          <w:rFonts w:asciiTheme="minorHAnsi" w:hAnsiTheme="minorHAnsi" w:cstheme="minorHAnsi"/>
          <w:color w:val="auto"/>
        </w:rPr>
        <w:t>We are</w:t>
      </w:r>
      <w:r w:rsidR="009E19F4">
        <w:rPr>
          <w:rFonts w:asciiTheme="minorHAnsi" w:hAnsiTheme="minorHAnsi" w:cstheme="minorHAnsi"/>
          <w:color w:val="auto"/>
        </w:rPr>
        <w:t xml:space="preserve"> supportive of the ACCC reporting a count of services in operation by NBN access seeker</w:t>
      </w:r>
      <w:r w:rsidR="00155B40">
        <w:rPr>
          <w:rFonts w:asciiTheme="minorHAnsi" w:hAnsiTheme="minorHAnsi" w:cstheme="minorHAnsi"/>
          <w:color w:val="auto"/>
        </w:rPr>
        <w:t>s</w:t>
      </w:r>
      <w:r w:rsidR="009E19F4">
        <w:rPr>
          <w:rFonts w:asciiTheme="minorHAnsi" w:hAnsiTheme="minorHAnsi" w:cstheme="minorHAnsi"/>
          <w:color w:val="auto"/>
        </w:rPr>
        <w:t xml:space="preserve">. </w:t>
      </w:r>
      <w:r w:rsidR="00736374">
        <w:rPr>
          <w:rFonts w:asciiTheme="minorHAnsi" w:hAnsiTheme="minorHAnsi" w:cstheme="minorHAnsi"/>
          <w:color w:val="auto"/>
        </w:rPr>
        <w:t>Providing such information will aid transparency and the development of public policy</w:t>
      </w:r>
      <w:r w:rsidR="00672C43">
        <w:rPr>
          <w:rFonts w:asciiTheme="minorHAnsi" w:hAnsiTheme="minorHAnsi" w:cstheme="minorHAnsi"/>
          <w:color w:val="auto"/>
        </w:rPr>
        <w:t xml:space="preserve"> and</w:t>
      </w:r>
      <w:r w:rsidR="006448C6">
        <w:rPr>
          <w:rFonts w:asciiTheme="minorHAnsi" w:hAnsiTheme="minorHAnsi" w:cstheme="minorHAnsi"/>
          <w:color w:val="auto"/>
        </w:rPr>
        <w:t xml:space="preserve"> benefit </w:t>
      </w:r>
      <w:r w:rsidR="00160DED">
        <w:rPr>
          <w:rFonts w:asciiTheme="minorHAnsi" w:hAnsiTheme="minorHAnsi" w:cstheme="minorHAnsi"/>
          <w:color w:val="auto"/>
        </w:rPr>
        <w:t>competition i</w:t>
      </w:r>
      <w:r w:rsidR="009E19F4">
        <w:rPr>
          <w:rFonts w:asciiTheme="minorHAnsi" w:hAnsiTheme="minorHAnsi" w:cstheme="minorHAnsi"/>
          <w:color w:val="auto"/>
        </w:rPr>
        <w:t>n the wholesale market</w:t>
      </w:r>
      <w:r w:rsidR="00672C43">
        <w:rPr>
          <w:rFonts w:asciiTheme="minorHAnsi" w:hAnsiTheme="minorHAnsi" w:cstheme="minorHAnsi"/>
          <w:color w:val="auto"/>
        </w:rPr>
        <w:t xml:space="preserve">. </w:t>
      </w:r>
      <w:r w:rsidR="00200118">
        <w:rPr>
          <w:rFonts w:asciiTheme="minorHAnsi" w:hAnsiTheme="minorHAnsi" w:cstheme="minorHAnsi"/>
          <w:color w:val="auto"/>
        </w:rPr>
        <w:t>Furthermore ACCAN supports the ACCC</w:t>
      </w:r>
      <w:r>
        <w:rPr>
          <w:rFonts w:asciiTheme="minorHAnsi" w:hAnsiTheme="minorHAnsi" w:cstheme="minorHAnsi"/>
          <w:color w:val="auto"/>
        </w:rPr>
        <w:t>’s</w:t>
      </w:r>
      <w:r w:rsidR="00200118">
        <w:rPr>
          <w:rFonts w:asciiTheme="minorHAnsi" w:hAnsiTheme="minorHAnsi" w:cstheme="minorHAnsi"/>
          <w:color w:val="auto"/>
        </w:rPr>
        <w:t xml:space="preserve"> assessment that the disclosure is unlikely to harm the legitimate commercial interests of carriage service providers. </w:t>
      </w:r>
      <w:r w:rsidR="000C758C">
        <w:rPr>
          <w:rFonts w:asciiTheme="minorHAnsi" w:hAnsiTheme="minorHAnsi" w:cstheme="minorHAnsi"/>
          <w:color w:val="auto"/>
        </w:rPr>
        <w:t>Rather, it is likely to aid in commercial decision making</w:t>
      </w:r>
      <w:r w:rsidR="00160DED">
        <w:rPr>
          <w:rFonts w:asciiTheme="minorHAnsi" w:hAnsiTheme="minorHAnsi" w:cstheme="minorHAnsi"/>
          <w:color w:val="auto"/>
        </w:rPr>
        <w:t xml:space="preserve"> and promote competition between retail providers</w:t>
      </w:r>
      <w:r w:rsidR="000C758C">
        <w:rPr>
          <w:rFonts w:asciiTheme="minorHAnsi" w:hAnsiTheme="minorHAnsi" w:cstheme="minorHAnsi"/>
          <w:color w:val="auto"/>
        </w:rPr>
        <w:t>.</w:t>
      </w:r>
      <w:r w:rsidR="009E19F4">
        <w:rPr>
          <w:rFonts w:asciiTheme="minorHAnsi" w:hAnsiTheme="minorHAnsi" w:cstheme="minorHAnsi"/>
          <w:color w:val="auto"/>
        </w:rPr>
        <w:t xml:space="preserve"> </w:t>
      </w:r>
      <w:r w:rsidR="00672C43">
        <w:rPr>
          <w:rFonts w:asciiTheme="minorHAnsi" w:hAnsiTheme="minorHAnsi" w:cstheme="minorHAnsi"/>
          <w:color w:val="auto"/>
        </w:rPr>
        <w:t>ACCAN notes the limitations outlined by the ACCC in interpreting the data.</w:t>
      </w:r>
    </w:p>
    <w:p w:rsidR="000C758C" w:rsidRDefault="00705A2B" w:rsidP="005569EF">
      <w:pPr>
        <w:pStyle w:val="BodyText1"/>
        <w:spacing w:before="240"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 response to question 5, </w:t>
      </w:r>
      <w:r w:rsidR="000C758C">
        <w:rPr>
          <w:rFonts w:asciiTheme="minorHAnsi" w:hAnsiTheme="minorHAnsi" w:cstheme="minorHAnsi"/>
          <w:color w:val="auto"/>
        </w:rPr>
        <w:t xml:space="preserve">ACCAN is supportive of reporting on utilised CVC figures. </w:t>
      </w:r>
      <w:r w:rsidR="00DB065E">
        <w:rPr>
          <w:rFonts w:asciiTheme="minorHAnsi" w:hAnsiTheme="minorHAnsi" w:cstheme="minorHAnsi"/>
          <w:color w:val="auto"/>
        </w:rPr>
        <w:t>T</w:t>
      </w:r>
      <w:r w:rsidR="00EF0DF8">
        <w:rPr>
          <w:rFonts w:asciiTheme="minorHAnsi" w:hAnsiTheme="minorHAnsi" w:cstheme="minorHAnsi"/>
          <w:color w:val="auto"/>
        </w:rPr>
        <w:t xml:space="preserve">he release of this information </w:t>
      </w:r>
      <w:r w:rsidR="00FA7D72">
        <w:rPr>
          <w:rFonts w:asciiTheme="minorHAnsi" w:hAnsiTheme="minorHAnsi" w:cstheme="minorHAnsi"/>
          <w:color w:val="auto"/>
        </w:rPr>
        <w:t>will ensure the economically effic</w:t>
      </w:r>
      <w:r w:rsidR="00DB065E">
        <w:rPr>
          <w:rFonts w:asciiTheme="minorHAnsi" w:hAnsiTheme="minorHAnsi" w:cstheme="minorHAnsi"/>
          <w:color w:val="auto"/>
        </w:rPr>
        <w:t>ient use of and investment in t</w:t>
      </w:r>
      <w:r w:rsidR="00FA7D72">
        <w:rPr>
          <w:rFonts w:asciiTheme="minorHAnsi" w:hAnsiTheme="minorHAnsi" w:cstheme="minorHAnsi"/>
          <w:color w:val="auto"/>
        </w:rPr>
        <w:t>e</w:t>
      </w:r>
      <w:r w:rsidR="00DB065E">
        <w:rPr>
          <w:rFonts w:asciiTheme="minorHAnsi" w:hAnsiTheme="minorHAnsi" w:cstheme="minorHAnsi"/>
          <w:color w:val="auto"/>
        </w:rPr>
        <w:t>lecommunications</w:t>
      </w:r>
      <w:r w:rsidR="00EF0DF8">
        <w:rPr>
          <w:rFonts w:asciiTheme="minorHAnsi" w:hAnsiTheme="minorHAnsi" w:cstheme="minorHAnsi"/>
          <w:color w:val="auto"/>
        </w:rPr>
        <w:t xml:space="preserve"> infrastructure</w:t>
      </w:r>
      <w:r w:rsidR="00FA7D72">
        <w:rPr>
          <w:rFonts w:asciiTheme="minorHAnsi" w:hAnsiTheme="minorHAnsi" w:cstheme="minorHAnsi"/>
          <w:color w:val="auto"/>
        </w:rPr>
        <w:t xml:space="preserve">. </w:t>
      </w:r>
      <w:r w:rsidR="009859AE">
        <w:rPr>
          <w:rFonts w:asciiTheme="minorHAnsi" w:hAnsiTheme="minorHAnsi" w:cstheme="minorHAnsi"/>
          <w:color w:val="auto"/>
        </w:rPr>
        <w:t xml:space="preserve">Sourcing information on the wholesale market can be costly for access seekers, providing this information will improve decisions and reduce market entry barriers. </w:t>
      </w:r>
      <w:r w:rsidR="00DB065E">
        <w:rPr>
          <w:rFonts w:asciiTheme="minorHAnsi" w:hAnsiTheme="minorHAnsi" w:cstheme="minorHAnsi"/>
          <w:color w:val="auto"/>
        </w:rPr>
        <w:t>Access seekers have previously expressed concern with the pricing model having an inappropriate balance between access and capacity charges.</w:t>
      </w:r>
      <w:r w:rsidR="00DB065E">
        <w:rPr>
          <w:rStyle w:val="FootnoteReference"/>
          <w:rFonts w:asciiTheme="minorHAnsi" w:hAnsiTheme="minorHAnsi" w:cstheme="minorHAnsi"/>
          <w:color w:val="auto"/>
        </w:rPr>
        <w:footnoteReference w:id="1"/>
      </w:r>
      <w:r w:rsidR="00DB065E">
        <w:rPr>
          <w:rFonts w:asciiTheme="minorHAnsi" w:hAnsiTheme="minorHAnsi" w:cstheme="minorHAnsi"/>
          <w:color w:val="auto"/>
        </w:rPr>
        <w:t xml:space="preserve"> </w:t>
      </w:r>
      <w:r w:rsidR="00160DED">
        <w:rPr>
          <w:rFonts w:asciiTheme="minorHAnsi" w:hAnsiTheme="minorHAnsi" w:cstheme="minorHAnsi"/>
          <w:color w:val="auto"/>
        </w:rPr>
        <w:t xml:space="preserve">By reporting on CVC utilisation, </w:t>
      </w:r>
      <w:r w:rsidR="00C1199F">
        <w:rPr>
          <w:rFonts w:asciiTheme="minorHAnsi" w:hAnsiTheme="minorHAnsi" w:cstheme="minorHAnsi"/>
          <w:color w:val="auto"/>
        </w:rPr>
        <w:t>it may be possible to identify areas</w:t>
      </w:r>
      <w:r w:rsidR="009859AE">
        <w:rPr>
          <w:rFonts w:asciiTheme="minorHAnsi" w:hAnsiTheme="minorHAnsi" w:cstheme="minorHAnsi"/>
          <w:color w:val="auto"/>
        </w:rPr>
        <w:t xml:space="preserve"> that</w:t>
      </w:r>
      <w:r w:rsidR="006448C6">
        <w:rPr>
          <w:rFonts w:asciiTheme="minorHAnsi" w:hAnsiTheme="minorHAnsi" w:cstheme="minorHAnsi"/>
          <w:color w:val="auto"/>
        </w:rPr>
        <w:t xml:space="preserve"> demonstrate these concerns and</w:t>
      </w:r>
      <w:r w:rsidR="00C1199F">
        <w:rPr>
          <w:rFonts w:asciiTheme="minorHAnsi" w:hAnsiTheme="minorHAnsi" w:cstheme="minorHAnsi"/>
          <w:color w:val="auto"/>
        </w:rPr>
        <w:t xml:space="preserve"> could </w:t>
      </w:r>
      <w:r w:rsidR="00160DED">
        <w:rPr>
          <w:rFonts w:asciiTheme="minorHAnsi" w:hAnsiTheme="minorHAnsi" w:cstheme="minorHAnsi"/>
          <w:color w:val="auto"/>
        </w:rPr>
        <w:t>benefit from greater investment and competition</w:t>
      </w:r>
      <w:r w:rsidR="00C1199F">
        <w:rPr>
          <w:rFonts w:asciiTheme="minorHAnsi" w:hAnsiTheme="minorHAnsi" w:cstheme="minorHAnsi"/>
          <w:color w:val="auto"/>
        </w:rPr>
        <w:t xml:space="preserve">. </w:t>
      </w:r>
      <w:r w:rsidR="00F224F2">
        <w:rPr>
          <w:rFonts w:asciiTheme="minorHAnsi" w:hAnsiTheme="minorHAnsi" w:cstheme="minorHAnsi"/>
          <w:color w:val="auto"/>
        </w:rPr>
        <w:t xml:space="preserve"> </w:t>
      </w:r>
      <w:r w:rsidR="00695698">
        <w:rPr>
          <w:rFonts w:asciiTheme="minorHAnsi" w:hAnsiTheme="minorHAnsi" w:cstheme="minorHAnsi"/>
          <w:color w:val="auto"/>
        </w:rPr>
        <w:t>In re</w:t>
      </w:r>
      <w:r>
        <w:rPr>
          <w:rFonts w:asciiTheme="minorHAnsi" w:hAnsiTheme="minorHAnsi" w:cstheme="minorHAnsi"/>
          <w:color w:val="auto"/>
        </w:rPr>
        <w:t xml:space="preserve">sponse to </w:t>
      </w:r>
      <w:r w:rsidR="00695698">
        <w:rPr>
          <w:rFonts w:asciiTheme="minorHAnsi" w:hAnsiTheme="minorHAnsi" w:cstheme="minorHAnsi"/>
          <w:color w:val="auto"/>
        </w:rPr>
        <w:t>question 6</w:t>
      </w:r>
      <w:r w:rsidR="006448C6">
        <w:rPr>
          <w:rFonts w:asciiTheme="minorHAnsi" w:hAnsiTheme="minorHAnsi" w:cstheme="minorHAnsi"/>
          <w:color w:val="auto"/>
        </w:rPr>
        <w:t>,</w:t>
      </w:r>
      <w:r w:rsidR="00695698">
        <w:rPr>
          <w:rFonts w:asciiTheme="minorHAnsi" w:hAnsiTheme="minorHAnsi" w:cstheme="minorHAnsi"/>
          <w:color w:val="auto"/>
        </w:rPr>
        <w:t xml:space="preserve"> ACCAN is supportive of reporting by all speed tiers</w:t>
      </w:r>
      <w:r w:rsidR="00AF52DA">
        <w:rPr>
          <w:rFonts w:asciiTheme="minorHAnsi" w:hAnsiTheme="minorHAnsi" w:cstheme="minorHAnsi"/>
          <w:color w:val="auto"/>
        </w:rPr>
        <w:t xml:space="preserve"> </w:t>
      </w:r>
      <w:r w:rsidR="00DB065E">
        <w:rPr>
          <w:rFonts w:asciiTheme="minorHAnsi" w:hAnsiTheme="minorHAnsi" w:cstheme="minorHAnsi"/>
          <w:color w:val="auto"/>
        </w:rPr>
        <w:t xml:space="preserve">rather than grouping the speed tiers </w:t>
      </w:r>
      <w:r w:rsidR="00AF52DA">
        <w:rPr>
          <w:rFonts w:asciiTheme="minorHAnsi" w:hAnsiTheme="minorHAnsi" w:cstheme="minorHAnsi"/>
          <w:color w:val="auto"/>
        </w:rPr>
        <w:t xml:space="preserve">as it provides greater transparency of the services in the market. </w:t>
      </w:r>
      <w:r w:rsidR="00F224F2">
        <w:rPr>
          <w:rFonts w:asciiTheme="minorHAnsi" w:hAnsiTheme="minorHAnsi" w:cstheme="minorHAnsi"/>
          <w:color w:val="auto"/>
        </w:rPr>
        <w:t xml:space="preserve">This information would aid decisions about the demand for wholesale NBN services. </w:t>
      </w:r>
    </w:p>
    <w:p w:rsidR="00DD1B6E" w:rsidRDefault="007E757F" w:rsidP="005262EE">
      <w:pPr>
        <w:pStyle w:val="BodyText1"/>
        <w:spacing w:before="240"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Sincerely</w:t>
      </w:r>
    </w:p>
    <w:p w:rsidR="007E757F" w:rsidRDefault="00807FFE" w:rsidP="007E757F">
      <w:pPr>
        <w:spacing w:after="0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noProof/>
          <w:color w:val="1F497D"/>
          <w:lang w:val="en-US" w:eastAsia="en-US"/>
        </w:rPr>
        <w:drawing>
          <wp:inline distT="0" distB="0" distL="0" distR="0">
            <wp:extent cx="1581912" cy="4297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4F" w:rsidRPr="00436A0F" w:rsidRDefault="00CD4B4F" w:rsidP="00195739">
      <w:pPr>
        <w:pStyle w:val="BodyText1"/>
        <w:spacing w:after="0"/>
        <w:rPr>
          <w:rFonts w:asciiTheme="minorHAnsi" w:hAnsiTheme="minorHAnsi"/>
          <w:lang w:val="en-US"/>
        </w:rPr>
      </w:pPr>
      <w:r w:rsidRPr="00436A0F">
        <w:rPr>
          <w:rFonts w:asciiTheme="minorHAnsi" w:hAnsiTheme="minorHAnsi"/>
          <w:lang w:val="en-US"/>
        </w:rPr>
        <w:t>Rachel Thomas</w:t>
      </w:r>
    </w:p>
    <w:p w:rsidR="00CD4B4F" w:rsidRPr="00436A0F" w:rsidRDefault="00CD4B4F" w:rsidP="00195739">
      <w:pPr>
        <w:pStyle w:val="BodyText1"/>
        <w:spacing w:after="0"/>
        <w:rPr>
          <w:rFonts w:asciiTheme="minorHAnsi" w:hAnsiTheme="minorHAnsi"/>
          <w:lang w:val="en-US"/>
        </w:rPr>
      </w:pPr>
      <w:r w:rsidRPr="00436A0F">
        <w:rPr>
          <w:rFonts w:asciiTheme="minorHAnsi" w:hAnsiTheme="minorHAnsi"/>
          <w:lang w:val="en-US"/>
        </w:rPr>
        <w:t>Policy Officer</w:t>
      </w:r>
    </w:p>
    <w:sectPr w:rsidR="00CD4B4F" w:rsidRPr="00436A0F" w:rsidSect="00084A5B">
      <w:headerReference w:type="default" r:id="rId13"/>
      <w:footerReference w:type="default" r:id="rId14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83" w:rsidRDefault="00AF4183" w:rsidP="005820C9">
      <w:pPr>
        <w:spacing w:after="0" w:line="240" w:lineRule="auto"/>
      </w:pPr>
      <w:r>
        <w:separator/>
      </w:r>
    </w:p>
  </w:endnote>
  <w:endnote w:type="continuationSeparator" w:id="0">
    <w:p w:rsidR="00AF4183" w:rsidRDefault="00AF4183" w:rsidP="005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60" w:rsidRDefault="00BC4F60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6DACF7" wp14:editId="5891518D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60" w:rsidRDefault="00BC4F60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BC4F60" w:rsidRPr="00002D94" w:rsidRDefault="00BC4F60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BC4F60" w:rsidRPr="00002D94" w:rsidRDefault="00BC4F60" w:rsidP="007D3F1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:rsidR="00BC4F60" w:rsidRPr="00002D94" w:rsidRDefault="00BC4F60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BC4F60" w:rsidRPr="00002D94" w:rsidRDefault="00BC4F60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BC4F60" w:rsidRPr="00002D94" w:rsidRDefault="00BC4F60" w:rsidP="007D3F16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C4F60" w:rsidRDefault="00BC4F60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BC4F60" w:rsidRPr="00002D94" w:rsidRDefault="00BC4F60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BC4F60" w:rsidRPr="00002D94" w:rsidRDefault="00BC4F60" w:rsidP="007D3F16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:rsidR="00BC4F60" w:rsidRPr="00002D94" w:rsidRDefault="00BC4F60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BC4F60" w:rsidRPr="00002D94" w:rsidRDefault="00BC4F60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BC4F60" w:rsidRPr="00002D94" w:rsidRDefault="00BC4F60" w:rsidP="007D3F16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60" w:rsidRPr="00E05115" w:rsidRDefault="00BC4F60" w:rsidP="00C4251E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F11948">
      <w:rPr>
        <w:noProof/>
      </w:rPr>
      <w:t>2</w:t>
    </w:r>
    <w:r w:rsidRPr="00C4251E">
      <w:rPr>
        <w:noProof/>
      </w:rPr>
      <w:fldChar w:fldCharType="end"/>
    </w:r>
  </w:p>
  <w:p w:rsidR="00BC4F60" w:rsidRDefault="00BC4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83" w:rsidRDefault="00AF4183" w:rsidP="005820C9">
      <w:pPr>
        <w:spacing w:after="0" w:line="240" w:lineRule="auto"/>
      </w:pPr>
      <w:r>
        <w:separator/>
      </w:r>
    </w:p>
  </w:footnote>
  <w:footnote w:type="continuationSeparator" w:id="0">
    <w:p w:rsidR="00AF4183" w:rsidRDefault="00AF4183" w:rsidP="005820C9">
      <w:pPr>
        <w:spacing w:after="0" w:line="240" w:lineRule="auto"/>
      </w:pPr>
      <w:r>
        <w:continuationSeparator/>
      </w:r>
    </w:p>
  </w:footnote>
  <w:footnote w:id="1">
    <w:p w:rsidR="00DB065E" w:rsidRPr="00DB065E" w:rsidRDefault="00DB06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02627">
          <w:rPr>
            <w:rStyle w:val="Hyperlink"/>
          </w:rPr>
          <w:t>https://www.accc.gov.au/regulated-infrastructure/communications/monitoring-reporting/nbn-services-in-operation-record-keeping-rules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60" w:rsidRDefault="00BC4F60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F5E509" wp14:editId="2F608F7E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60" w:rsidRDefault="00BC4F60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D53"/>
    <w:multiLevelType w:val="hybridMultilevel"/>
    <w:tmpl w:val="6842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1370"/>
    <w:multiLevelType w:val="multilevel"/>
    <w:tmpl w:val="F2FC669E"/>
    <w:styleLink w:val="Recommendations"/>
    <w:lvl w:ilvl="0">
      <w:start w:val="1"/>
      <w:numFmt w:val="decimal"/>
      <w:pStyle w:val="Recommendation"/>
      <w:lvlText w:val="Recommendation %1:"/>
      <w:lvlJc w:val="left"/>
      <w:pPr>
        <w:ind w:left="851" w:firstLine="0"/>
      </w:pPr>
    </w:lvl>
    <w:lvl w:ilvl="1">
      <w:start w:val="1"/>
      <w:numFmt w:val="none"/>
      <w:lvlText w:val=""/>
      <w:lvlJc w:val="left"/>
      <w:pPr>
        <w:ind w:left="851" w:hanging="851"/>
      </w:pPr>
    </w:lvl>
    <w:lvl w:ilvl="2">
      <w:start w:val="1"/>
      <w:numFmt w:val="none"/>
      <w:lvlText w:val=""/>
      <w:lvlJc w:val="left"/>
      <w:pPr>
        <w:ind w:left="851" w:hanging="851"/>
      </w:pPr>
    </w:lvl>
    <w:lvl w:ilvl="3">
      <w:start w:val="1"/>
      <w:numFmt w:val="none"/>
      <w:lvlText w:val=""/>
      <w:lvlJc w:val="left"/>
      <w:pPr>
        <w:ind w:left="851" w:hanging="851"/>
      </w:pPr>
    </w:lvl>
    <w:lvl w:ilvl="4">
      <w:start w:val="1"/>
      <w:numFmt w:val="none"/>
      <w:lvlText w:val=""/>
      <w:lvlJc w:val="left"/>
      <w:pPr>
        <w:ind w:left="851" w:hanging="851"/>
      </w:pPr>
    </w:lvl>
    <w:lvl w:ilvl="5">
      <w:start w:val="1"/>
      <w:numFmt w:val="none"/>
      <w:lvlText w:val=""/>
      <w:lvlJc w:val="left"/>
      <w:pPr>
        <w:ind w:left="851" w:hanging="851"/>
      </w:pPr>
    </w:lvl>
    <w:lvl w:ilvl="6">
      <w:start w:val="1"/>
      <w:numFmt w:val="none"/>
      <w:lvlText w:val=""/>
      <w:lvlJc w:val="left"/>
      <w:pPr>
        <w:ind w:left="851" w:hanging="851"/>
      </w:pPr>
    </w:lvl>
    <w:lvl w:ilvl="7">
      <w:start w:val="1"/>
      <w:numFmt w:val="none"/>
      <w:lvlText w:val=""/>
      <w:lvlJc w:val="left"/>
      <w:pPr>
        <w:ind w:left="851" w:hanging="851"/>
      </w:pPr>
    </w:lvl>
    <w:lvl w:ilvl="8">
      <w:start w:val="1"/>
      <w:numFmt w:val="none"/>
      <w:lvlText w:val=""/>
      <w:lvlJc w:val="left"/>
      <w:pPr>
        <w:ind w:left="851" w:hanging="851"/>
      </w:pPr>
    </w:lvl>
  </w:abstractNum>
  <w:abstractNum w:abstractNumId="2">
    <w:nsid w:val="539B171B"/>
    <w:multiLevelType w:val="hybridMultilevel"/>
    <w:tmpl w:val="D28836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2438"/>
    <w:multiLevelType w:val="hybridMultilevel"/>
    <w:tmpl w:val="45E84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225D"/>
    <w:multiLevelType w:val="hybridMultilevel"/>
    <w:tmpl w:val="F8F8CB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D6231"/>
    <w:multiLevelType w:val="multilevel"/>
    <w:tmpl w:val="F2FC669E"/>
    <w:numStyleLink w:val="Recommendations"/>
  </w:abstractNum>
  <w:abstractNum w:abstractNumId="6">
    <w:nsid w:val="722D76D5"/>
    <w:multiLevelType w:val="hybridMultilevel"/>
    <w:tmpl w:val="AA448E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4"/>
    <w:rsid w:val="00001FE4"/>
    <w:rsid w:val="00002D94"/>
    <w:rsid w:val="00022E8A"/>
    <w:rsid w:val="00025CC4"/>
    <w:rsid w:val="00027253"/>
    <w:rsid w:val="00035295"/>
    <w:rsid w:val="00043933"/>
    <w:rsid w:val="000545EA"/>
    <w:rsid w:val="0006091E"/>
    <w:rsid w:val="00074908"/>
    <w:rsid w:val="00080068"/>
    <w:rsid w:val="00084A5B"/>
    <w:rsid w:val="00092361"/>
    <w:rsid w:val="000A170A"/>
    <w:rsid w:val="000A1751"/>
    <w:rsid w:val="000B2CD4"/>
    <w:rsid w:val="000B312B"/>
    <w:rsid w:val="000C2040"/>
    <w:rsid w:val="000C758C"/>
    <w:rsid w:val="000D79C3"/>
    <w:rsid w:val="000F2AA0"/>
    <w:rsid w:val="001039D9"/>
    <w:rsid w:val="00126104"/>
    <w:rsid w:val="00133884"/>
    <w:rsid w:val="001451EF"/>
    <w:rsid w:val="001543F6"/>
    <w:rsid w:val="00155B40"/>
    <w:rsid w:val="00155B50"/>
    <w:rsid w:val="001608AE"/>
    <w:rsid w:val="00160DED"/>
    <w:rsid w:val="001627E8"/>
    <w:rsid w:val="00181DAD"/>
    <w:rsid w:val="00195739"/>
    <w:rsid w:val="001A3D49"/>
    <w:rsid w:val="001B2BCD"/>
    <w:rsid w:val="001C28E7"/>
    <w:rsid w:val="001D483F"/>
    <w:rsid w:val="001E22D2"/>
    <w:rsid w:val="001F03A8"/>
    <w:rsid w:val="001F3FD5"/>
    <w:rsid w:val="00200118"/>
    <w:rsid w:val="002102D9"/>
    <w:rsid w:val="00212008"/>
    <w:rsid w:val="002207E2"/>
    <w:rsid w:val="00234042"/>
    <w:rsid w:val="00270C63"/>
    <w:rsid w:val="00280C22"/>
    <w:rsid w:val="002960E6"/>
    <w:rsid w:val="002A0E88"/>
    <w:rsid w:val="002A0F0C"/>
    <w:rsid w:val="002A6ABB"/>
    <w:rsid w:val="002B6911"/>
    <w:rsid w:val="002B6A92"/>
    <w:rsid w:val="002D3D38"/>
    <w:rsid w:val="002D4F26"/>
    <w:rsid w:val="002E3F20"/>
    <w:rsid w:val="002F7F47"/>
    <w:rsid w:val="00302966"/>
    <w:rsid w:val="00314CC8"/>
    <w:rsid w:val="003330E1"/>
    <w:rsid w:val="00341CD5"/>
    <w:rsid w:val="00342FE6"/>
    <w:rsid w:val="00345EE6"/>
    <w:rsid w:val="0035063D"/>
    <w:rsid w:val="0036022E"/>
    <w:rsid w:val="00362767"/>
    <w:rsid w:val="00364C44"/>
    <w:rsid w:val="00393C04"/>
    <w:rsid w:val="003B1499"/>
    <w:rsid w:val="003B48F4"/>
    <w:rsid w:val="003D183B"/>
    <w:rsid w:val="003E6503"/>
    <w:rsid w:val="003F1B33"/>
    <w:rsid w:val="003F6BF4"/>
    <w:rsid w:val="00402BA9"/>
    <w:rsid w:val="0040750A"/>
    <w:rsid w:val="00415F60"/>
    <w:rsid w:val="004175E9"/>
    <w:rsid w:val="004350A8"/>
    <w:rsid w:val="004363F8"/>
    <w:rsid w:val="00436A0F"/>
    <w:rsid w:val="004414CD"/>
    <w:rsid w:val="004520DE"/>
    <w:rsid w:val="004552EA"/>
    <w:rsid w:val="00467759"/>
    <w:rsid w:val="00472C7E"/>
    <w:rsid w:val="00474E32"/>
    <w:rsid w:val="00475B32"/>
    <w:rsid w:val="004850E4"/>
    <w:rsid w:val="00493FEC"/>
    <w:rsid w:val="004941E1"/>
    <w:rsid w:val="004A01EB"/>
    <w:rsid w:val="004A0510"/>
    <w:rsid w:val="004B2119"/>
    <w:rsid w:val="004B5F63"/>
    <w:rsid w:val="004C3064"/>
    <w:rsid w:val="004C3886"/>
    <w:rsid w:val="004F72CC"/>
    <w:rsid w:val="00511879"/>
    <w:rsid w:val="00516D14"/>
    <w:rsid w:val="00520823"/>
    <w:rsid w:val="005262EE"/>
    <w:rsid w:val="00532A7A"/>
    <w:rsid w:val="00541039"/>
    <w:rsid w:val="00541DAF"/>
    <w:rsid w:val="005451FC"/>
    <w:rsid w:val="00554240"/>
    <w:rsid w:val="005569EF"/>
    <w:rsid w:val="00565F76"/>
    <w:rsid w:val="00575E98"/>
    <w:rsid w:val="005820C9"/>
    <w:rsid w:val="00583F61"/>
    <w:rsid w:val="0058413B"/>
    <w:rsid w:val="00584DD8"/>
    <w:rsid w:val="005A673E"/>
    <w:rsid w:val="005B139D"/>
    <w:rsid w:val="005B6940"/>
    <w:rsid w:val="005C1BD0"/>
    <w:rsid w:val="005E3161"/>
    <w:rsid w:val="005F3F4D"/>
    <w:rsid w:val="00624C69"/>
    <w:rsid w:val="0063106D"/>
    <w:rsid w:val="006448C6"/>
    <w:rsid w:val="00664186"/>
    <w:rsid w:val="00672C43"/>
    <w:rsid w:val="00681F41"/>
    <w:rsid w:val="00691AE5"/>
    <w:rsid w:val="00693D45"/>
    <w:rsid w:val="00695698"/>
    <w:rsid w:val="0069746E"/>
    <w:rsid w:val="006B14B1"/>
    <w:rsid w:val="006C24D0"/>
    <w:rsid w:val="006C429A"/>
    <w:rsid w:val="006D6FE2"/>
    <w:rsid w:val="006D7528"/>
    <w:rsid w:val="006E3D80"/>
    <w:rsid w:val="006E5256"/>
    <w:rsid w:val="006F0D93"/>
    <w:rsid w:val="006F6B5C"/>
    <w:rsid w:val="0070249A"/>
    <w:rsid w:val="00705A2B"/>
    <w:rsid w:val="00717057"/>
    <w:rsid w:val="00736374"/>
    <w:rsid w:val="00736BA6"/>
    <w:rsid w:val="007379A1"/>
    <w:rsid w:val="007439BB"/>
    <w:rsid w:val="007471EF"/>
    <w:rsid w:val="007506AE"/>
    <w:rsid w:val="00754B57"/>
    <w:rsid w:val="00756A5C"/>
    <w:rsid w:val="007655E5"/>
    <w:rsid w:val="00777945"/>
    <w:rsid w:val="0078195E"/>
    <w:rsid w:val="00792D58"/>
    <w:rsid w:val="007A09E1"/>
    <w:rsid w:val="007A3E1A"/>
    <w:rsid w:val="007B0A8B"/>
    <w:rsid w:val="007C14D6"/>
    <w:rsid w:val="007C6D20"/>
    <w:rsid w:val="007C6F72"/>
    <w:rsid w:val="007D3F16"/>
    <w:rsid w:val="007E02C5"/>
    <w:rsid w:val="007E2B72"/>
    <w:rsid w:val="007E757F"/>
    <w:rsid w:val="00807FFE"/>
    <w:rsid w:val="00844A15"/>
    <w:rsid w:val="0085133F"/>
    <w:rsid w:val="00866FC3"/>
    <w:rsid w:val="00874727"/>
    <w:rsid w:val="008A19E7"/>
    <w:rsid w:val="008F7C47"/>
    <w:rsid w:val="008F7E90"/>
    <w:rsid w:val="00904C16"/>
    <w:rsid w:val="0094244C"/>
    <w:rsid w:val="00954C5D"/>
    <w:rsid w:val="0095619F"/>
    <w:rsid w:val="00963490"/>
    <w:rsid w:val="00977AF2"/>
    <w:rsid w:val="00980645"/>
    <w:rsid w:val="009859AE"/>
    <w:rsid w:val="009A227B"/>
    <w:rsid w:val="009A3FA8"/>
    <w:rsid w:val="009D63D6"/>
    <w:rsid w:val="009E19F4"/>
    <w:rsid w:val="009F7FC6"/>
    <w:rsid w:val="00A05B67"/>
    <w:rsid w:val="00A11C91"/>
    <w:rsid w:val="00A11F3B"/>
    <w:rsid w:val="00A1451D"/>
    <w:rsid w:val="00A300BA"/>
    <w:rsid w:val="00A30643"/>
    <w:rsid w:val="00A4447D"/>
    <w:rsid w:val="00A5500A"/>
    <w:rsid w:val="00A7559B"/>
    <w:rsid w:val="00A93304"/>
    <w:rsid w:val="00AA686C"/>
    <w:rsid w:val="00AB287F"/>
    <w:rsid w:val="00AD4124"/>
    <w:rsid w:val="00AE2840"/>
    <w:rsid w:val="00AF1B7E"/>
    <w:rsid w:val="00AF33C3"/>
    <w:rsid w:val="00AF4183"/>
    <w:rsid w:val="00AF52DA"/>
    <w:rsid w:val="00B00462"/>
    <w:rsid w:val="00B07419"/>
    <w:rsid w:val="00B24A2B"/>
    <w:rsid w:val="00B27896"/>
    <w:rsid w:val="00B3229F"/>
    <w:rsid w:val="00B4140A"/>
    <w:rsid w:val="00B418A0"/>
    <w:rsid w:val="00B41A57"/>
    <w:rsid w:val="00B573BA"/>
    <w:rsid w:val="00B807C1"/>
    <w:rsid w:val="00B87233"/>
    <w:rsid w:val="00B94449"/>
    <w:rsid w:val="00BA6B0F"/>
    <w:rsid w:val="00BC4F60"/>
    <w:rsid w:val="00BC5A78"/>
    <w:rsid w:val="00BD3963"/>
    <w:rsid w:val="00BD5BF8"/>
    <w:rsid w:val="00BF27EA"/>
    <w:rsid w:val="00BF4199"/>
    <w:rsid w:val="00C1199F"/>
    <w:rsid w:val="00C32DD1"/>
    <w:rsid w:val="00C354EB"/>
    <w:rsid w:val="00C4251E"/>
    <w:rsid w:val="00C445CC"/>
    <w:rsid w:val="00C50F08"/>
    <w:rsid w:val="00C530BE"/>
    <w:rsid w:val="00C613FC"/>
    <w:rsid w:val="00C70205"/>
    <w:rsid w:val="00C83C9F"/>
    <w:rsid w:val="00C901E4"/>
    <w:rsid w:val="00C9618D"/>
    <w:rsid w:val="00C97238"/>
    <w:rsid w:val="00CA425B"/>
    <w:rsid w:val="00CD3AB6"/>
    <w:rsid w:val="00CD4B4F"/>
    <w:rsid w:val="00CF0B66"/>
    <w:rsid w:val="00CF197F"/>
    <w:rsid w:val="00CF5B31"/>
    <w:rsid w:val="00D07120"/>
    <w:rsid w:val="00D14D16"/>
    <w:rsid w:val="00D17F54"/>
    <w:rsid w:val="00D27FC1"/>
    <w:rsid w:val="00D3636E"/>
    <w:rsid w:val="00D5113F"/>
    <w:rsid w:val="00D519E7"/>
    <w:rsid w:val="00D66D95"/>
    <w:rsid w:val="00D7274F"/>
    <w:rsid w:val="00D75584"/>
    <w:rsid w:val="00D76321"/>
    <w:rsid w:val="00D868C9"/>
    <w:rsid w:val="00D87281"/>
    <w:rsid w:val="00D87D95"/>
    <w:rsid w:val="00DA3765"/>
    <w:rsid w:val="00DA55B7"/>
    <w:rsid w:val="00DB065E"/>
    <w:rsid w:val="00DC0A62"/>
    <w:rsid w:val="00DD1B6E"/>
    <w:rsid w:val="00DD7C1C"/>
    <w:rsid w:val="00DE0306"/>
    <w:rsid w:val="00DE4296"/>
    <w:rsid w:val="00DF4221"/>
    <w:rsid w:val="00E0351F"/>
    <w:rsid w:val="00E05115"/>
    <w:rsid w:val="00E137C4"/>
    <w:rsid w:val="00E15D00"/>
    <w:rsid w:val="00E20C33"/>
    <w:rsid w:val="00E23568"/>
    <w:rsid w:val="00E25042"/>
    <w:rsid w:val="00E315EF"/>
    <w:rsid w:val="00E5148D"/>
    <w:rsid w:val="00E54047"/>
    <w:rsid w:val="00E5620E"/>
    <w:rsid w:val="00E73D3D"/>
    <w:rsid w:val="00E81ECD"/>
    <w:rsid w:val="00EC432D"/>
    <w:rsid w:val="00EC5BAA"/>
    <w:rsid w:val="00EF0DF8"/>
    <w:rsid w:val="00EF2D49"/>
    <w:rsid w:val="00EF4B2C"/>
    <w:rsid w:val="00F02755"/>
    <w:rsid w:val="00F11948"/>
    <w:rsid w:val="00F224F2"/>
    <w:rsid w:val="00F269EB"/>
    <w:rsid w:val="00F34484"/>
    <w:rsid w:val="00F42388"/>
    <w:rsid w:val="00F440CB"/>
    <w:rsid w:val="00F47C64"/>
    <w:rsid w:val="00F515E7"/>
    <w:rsid w:val="00F51C73"/>
    <w:rsid w:val="00F55DD6"/>
    <w:rsid w:val="00F61950"/>
    <w:rsid w:val="00F61DA0"/>
    <w:rsid w:val="00F76853"/>
    <w:rsid w:val="00F800C3"/>
    <w:rsid w:val="00F859E0"/>
    <w:rsid w:val="00F860D4"/>
    <w:rsid w:val="00FA1A0D"/>
    <w:rsid w:val="00FA6263"/>
    <w:rsid w:val="00FA7D72"/>
    <w:rsid w:val="00FD5CD5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  <w:style w:type="character" w:customStyle="1" w:styleId="RecommendationChar">
    <w:name w:val="Recommendation Char"/>
    <w:basedOn w:val="DefaultParagraphFont"/>
    <w:link w:val="Recommendation"/>
    <w:locked/>
    <w:rsid w:val="00402BA9"/>
    <w:rPr>
      <w:rFonts w:ascii="Calibri" w:eastAsiaTheme="minorEastAsia" w:hAnsi="Calibri"/>
      <w:sz w:val="24"/>
    </w:rPr>
  </w:style>
  <w:style w:type="paragraph" w:customStyle="1" w:styleId="Recommendation">
    <w:name w:val="Recommendation"/>
    <w:basedOn w:val="Normal"/>
    <w:link w:val="RecommendationChar"/>
    <w:qFormat/>
    <w:rsid w:val="00402BA9"/>
    <w:pPr>
      <w:numPr>
        <w:numId w:val="7"/>
      </w:numPr>
      <w:pBdr>
        <w:top w:val="single" w:sz="8" w:space="6" w:color="44C8F5"/>
        <w:left w:val="single" w:sz="8" w:space="5" w:color="44C8F5"/>
        <w:bottom w:val="single" w:sz="8" w:space="6" w:color="44C8F5"/>
        <w:right w:val="single" w:sz="8" w:space="5" w:color="44C8F5"/>
      </w:pBdr>
      <w:spacing w:before="100" w:beforeAutospacing="1" w:after="100" w:afterAutospacing="1" w:line="240" w:lineRule="auto"/>
      <w:ind w:right="851"/>
      <w:jc w:val="both"/>
    </w:pPr>
    <w:rPr>
      <w:rFonts w:ascii="Calibri" w:hAnsi="Calibri"/>
      <w:sz w:val="24"/>
      <w:lang w:eastAsia="en-US"/>
    </w:rPr>
  </w:style>
  <w:style w:type="numbering" w:customStyle="1" w:styleId="Recommendations">
    <w:name w:val="Recommendations"/>
    <w:uiPriority w:val="99"/>
    <w:rsid w:val="00402BA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  <w:style w:type="character" w:customStyle="1" w:styleId="RecommendationChar">
    <w:name w:val="Recommendation Char"/>
    <w:basedOn w:val="DefaultParagraphFont"/>
    <w:link w:val="Recommendation"/>
    <w:locked/>
    <w:rsid w:val="00402BA9"/>
    <w:rPr>
      <w:rFonts w:ascii="Calibri" w:eastAsiaTheme="minorEastAsia" w:hAnsi="Calibri"/>
      <w:sz w:val="24"/>
    </w:rPr>
  </w:style>
  <w:style w:type="paragraph" w:customStyle="1" w:styleId="Recommendation">
    <w:name w:val="Recommendation"/>
    <w:basedOn w:val="Normal"/>
    <w:link w:val="RecommendationChar"/>
    <w:qFormat/>
    <w:rsid w:val="00402BA9"/>
    <w:pPr>
      <w:numPr>
        <w:numId w:val="7"/>
      </w:numPr>
      <w:pBdr>
        <w:top w:val="single" w:sz="8" w:space="6" w:color="44C8F5"/>
        <w:left w:val="single" w:sz="8" w:space="5" w:color="44C8F5"/>
        <w:bottom w:val="single" w:sz="8" w:space="6" w:color="44C8F5"/>
        <w:right w:val="single" w:sz="8" w:space="5" w:color="44C8F5"/>
      </w:pBdr>
      <w:spacing w:before="100" w:beforeAutospacing="1" w:after="100" w:afterAutospacing="1" w:line="240" w:lineRule="auto"/>
      <w:ind w:right="851"/>
      <w:jc w:val="both"/>
    </w:pPr>
    <w:rPr>
      <w:rFonts w:ascii="Calibri" w:hAnsi="Calibri"/>
      <w:sz w:val="24"/>
      <w:lang w:eastAsia="en-US"/>
    </w:rPr>
  </w:style>
  <w:style w:type="numbering" w:customStyle="1" w:styleId="Recommendations">
    <w:name w:val="Recommendations"/>
    <w:uiPriority w:val="99"/>
    <w:rsid w:val="00402BA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.indicators@acc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c.gov.au/regulated-infrastructure/communications/monitoring-reporting/nbn-services-in-operation-record-keeping-r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4%20-%20sans%20advocacy\Short%20submissio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3437-4FA6-4DD3-BEBF-889D75BA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2014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2</cp:revision>
  <cp:lastPrinted>2015-08-24T07:29:00Z</cp:lastPrinted>
  <dcterms:created xsi:type="dcterms:W3CDTF">2015-08-31T04:08:00Z</dcterms:created>
  <dcterms:modified xsi:type="dcterms:W3CDTF">2015-08-31T04:08:00Z</dcterms:modified>
</cp:coreProperties>
</file>