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4A0DD" w14:textId="77777777" w:rsidR="00BF21BC" w:rsidRDefault="00BF21BC" w:rsidP="004619F7">
      <w:pPr>
        <w:spacing w:after="0"/>
      </w:pPr>
      <w:r>
        <w:t>Friday 10</w:t>
      </w:r>
      <w:r w:rsidRPr="00402B7E">
        <w:rPr>
          <w:vertAlign w:val="superscript"/>
        </w:rPr>
        <w:t>th</w:t>
      </w:r>
      <w:r>
        <w:t xml:space="preserve"> July 2020</w:t>
      </w:r>
    </w:p>
    <w:p w14:paraId="041C0ACA" w14:textId="77777777" w:rsidR="00BF21BC" w:rsidRDefault="00BF21BC" w:rsidP="004619F7">
      <w:pPr>
        <w:spacing w:after="0"/>
      </w:pPr>
      <w:r>
        <w:t>Tara Morice</w:t>
      </w:r>
    </w:p>
    <w:p w14:paraId="42D6AC51" w14:textId="77777777" w:rsidR="00BF21BC" w:rsidRDefault="00BF21BC" w:rsidP="004619F7">
      <w:pPr>
        <w:spacing w:after="0"/>
      </w:pPr>
      <w:r>
        <w:t xml:space="preserve">Director </w:t>
      </w:r>
    </w:p>
    <w:p w14:paraId="409D7D76" w14:textId="77777777" w:rsidR="00BF21BC" w:rsidRDefault="00BF21BC" w:rsidP="004619F7">
      <w:pPr>
        <w:spacing w:after="0"/>
      </w:pPr>
      <w:r>
        <w:t>Infrastructure Regulation Division</w:t>
      </w:r>
    </w:p>
    <w:p w14:paraId="74E2F021" w14:textId="77777777" w:rsidR="00BF21BC" w:rsidRDefault="00BF21BC" w:rsidP="004619F7">
      <w:pPr>
        <w:spacing w:after="0"/>
      </w:pPr>
      <w:r>
        <w:t>Domestic Mobile Terminating Access Service Declaration Inquiry</w:t>
      </w:r>
    </w:p>
    <w:p w14:paraId="41232124" w14:textId="77777777" w:rsidR="00BF21BC" w:rsidRDefault="00BF21BC" w:rsidP="004619F7">
      <w:pPr>
        <w:spacing w:after="0"/>
      </w:pPr>
      <w:r>
        <w:t>Australian Competition and Consumer Commission</w:t>
      </w:r>
    </w:p>
    <w:p w14:paraId="7BBB455B" w14:textId="77777777" w:rsidR="00BF21BC" w:rsidRDefault="00BF7342" w:rsidP="004619F7">
      <w:pPr>
        <w:spacing w:after="0"/>
      </w:pPr>
      <w:hyperlink r:id="rId7" w:history="1">
        <w:r w:rsidR="00BF21BC" w:rsidRPr="001C08B3">
          <w:rPr>
            <w:rStyle w:val="Hyperlink"/>
          </w:rPr>
          <w:t>MTASInquiry@accc.gov.au</w:t>
        </w:r>
      </w:hyperlink>
      <w:r w:rsidR="00BF21BC">
        <w:t xml:space="preserve"> </w:t>
      </w:r>
    </w:p>
    <w:p w14:paraId="5A60A7BF" w14:textId="77777777" w:rsidR="00BF21BC" w:rsidRDefault="00BF21BC" w:rsidP="004619F7">
      <w:pPr>
        <w:spacing w:after="0"/>
      </w:pPr>
    </w:p>
    <w:p w14:paraId="0DE578BE" w14:textId="2593E70F" w:rsidR="00BF21BC" w:rsidRPr="00BF21BC" w:rsidRDefault="00BF21BC" w:rsidP="00BF21BC">
      <w:pPr>
        <w:rPr>
          <w:b/>
          <w:bCs/>
        </w:rPr>
      </w:pPr>
      <w:r>
        <w:rPr>
          <w:b/>
          <w:bCs/>
        </w:rPr>
        <w:t>RE: Public inquiry on the access determination for the Domestic Mobile Terminating Access Service</w:t>
      </w:r>
    </w:p>
    <w:p w14:paraId="5017A83E" w14:textId="77777777" w:rsidR="004619F7" w:rsidRDefault="00BF21BC" w:rsidP="00BF21BC">
      <w:pPr>
        <w:jc w:val="both"/>
      </w:pPr>
      <w:r>
        <w:t xml:space="preserve">ACCAN thanks the ACCC for the opportunity to comment on the public inquiry on the access determination for the Domestic Mobile Terminating Access Service (MTAS) draft report. </w:t>
      </w:r>
    </w:p>
    <w:p w14:paraId="5B1865A8" w14:textId="5B330A1C" w:rsidR="00BF21BC" w:rsidRDefault="00BF21BC" w:rsidP="00BF21BC">
      <w:pPr>
        <w:jc w:val="both"/>
      </w:pPr>
      <w:r>
        <w:t xml:space="preserve">As mentioned in our previous submission, ACCAN is supportive of the approach taken by </w:t>
      </w:r>
      <w:r w:rsidR="00A72866">
        <w:t xml:space="preserve">Analyses Mason </w:t>
      </w:r>
      <w:r>
        <w:t>and the methodology used is broadly appropriate.</w:t>
      </w:r>
      <w:r>
        <w:rPr>
          <w:rStyle w:val="FootnoteReference"/>
        </w:rPr>
        <w:footnoteReference w:id="1"/>
      </w:r>
      <w:r>
        <w:t xml:space="preserve">  We believe the benchmarking exercise has produced reliable outputs which are reflective of the cost of providing the MTAS in Australia. However, we have concerns regarding the decision to price the MTAS at a flat rate of 1.22 cent per minute, effective from 1</w:t>
      </w:r>
      <w:r w:rsidRPr="007A3199">
        <w:rPr>
          <w:vertAlign w:val="superscript"/>
        </w:rPr>
        <w:t>st</w:t>
      </w:r>
      <w:r>
        <w:t xml:space="preserve"> January 2012 to the 30</w:t>
      </w:r>
      <w:r w:rsidRPr="007A3199">
        <w:rPr>
          <w:vertAlign w:val="superscript"/>
        </w:rPr>
        <w:t>th</w:t>
      </w:r>
      <w:r>
        <w:t xml:space="preserve"> June 2024. While this is a decrease in price from the current 1.7 cent per minute, </w:t>
      </w:r>
      <w:r w:rsidR="00697268">
        <w:t>more could be done to protect the interests of consumers</w:t>
      </w:r>
      <w:r>
        <w:t>.</w:t>
      </w:r>
    </w:p>
    <w:p w14:paraId="5200B911" w14:textId="121115F5" w:rsidR="00BF21BC" w:rsidRDefault="00BF21BC" w:rsidP="00BF21BC">
      <w:pPr>
        <w:jc w:val="both"/>
      </w:pPr>
      <w:r>
        <w:t>The table below is presented by the ACCC in the MTAS draft report and is used to provide a range between the upper bound and lower bound in which the MTAS price will lie. The upper bound of th</w:t>
      </w:r>
      <w:r w:rsidR="00A72866">
        <w:t>e</w:t>
      </w:r>
      <w:r>
        <w:t xml:space="preserve"> range reflects the average costs per minute from Sweden, Peru and Portugal only, whilst the lower bound includes the UK and France as well. </w:t>
      </w:r>
      <w:r w:rsidR="00CC6A6E">
        <w:t xml:space="preserve">The UK and French models produced relatively </w:t>
      </w:r>
      <w:r w:rsidR="00DD58B8">
        <w:t>low-cost</w:t>
      </w:r>
      <w:r w:rsidR="00CC6A6E">
        <w:t xml:space="preserve"> outputs </w:t>
      </w:r>
      <w:r w:rsidR="00697268">
        <w:t>which</w:t>
      </w:r>
      <w:r w:rsidR="00D71A1D">
        <w:t xml:space="preserve"> could be </w:t>
      </w:r>
      <w:r w:rsidR="00697268">
        <w:t xml:space="preserve">regarded as outliers, </w:t>
      </w:r>
      <w:r w:rsidR="00CC6A6E">
        <w:t xml:space="preserve">so whilst it is appropriate to consider the results, less weight should be placed on these models. </w:t>
      </w:r>
      <w:r w:rsidR="00697268">
        <w:t xml:space="preserve"> ACCAN supports the decision to choose a MTAS price within the range presented below.</w:t>
      </w:r>
    </w:p>
    <w:p w14:paraId="00C8B59E" w14:textId="77777777" w:rsidR="00BF21BC" w:rsidRPr="00BF21BC" w:rsidRDefault="00BF21BC" w:rsidP="00BF21BC">
      <w:pPr>
        <w:rPr>
          <w:rStyle w:val="SubtleEmphasis"/>
        </w:rPr>
      </w:pPr>
      <w:r w:rsidRPr="00BF21BC">
        <w:rPr>
          <w:rStyle w:val="SubtleEmphasis"/>
        </w:rPr>
        <w:t>Table 1:  Estimated MTAS cost range for 2020 to 2024 (nominal AUD cent, including spectrum costs).</w:t>
      </w:r>
      <w:r w:rsidRPr="00BF21BC">
        <w:rPr>
          <w:rStyle w:val="SubtleEmphasis"/>
          <w:vertAlign w:val="superscript"/>
        </w:rPr>
        <w:footnoteReference w:id="2"/>
      </w:r>
    </w:p>
    <w:tbl>
      <w:tblPr>
        <w:tblStyle w:val="TableGrid"/>
        <w:tblW w:w="5000" w:type="pct"/>
        <w:tblLook w:val="04A0" w:firstRow="1" w:lastRow="0" w:firstColumn="1" w:lastColumn="0" w:noHBand="0" w:noVBand="1"/>
      </w:tblPr>
      <w:tblGrid>
        <w:gridCol w:w="5065"/>
        <w:gridCol w:w="790"/>
        <w:gridCol w:w="790"/>
        <w:gridCol w:w="790"/>
        <w:gridCol w:w="790"/>
        <w:gridCol w:w="791"/>
      </w:tblGrid>
      <w:tr w:rsidR="00BF21BC" w:rsidRPr="007A3199" w14:paraId="4A12178C" w14:textId="77777777" w:rsidTr="00BF21BC">
        <w:trPr>
          <w:trHeight w:val="290"/>
        </w:trPr>
        <w:tc>
          <w:tcPr>
            <w:tcW w:w="2509" w:type="pct"/>
            <w:noWrap/>
            <w:hideMark/>
          </w:tcPr>
          <w:p w14:paraId="2EEC2C37" w14:textId="77777777" w:rsidR="00BF21BC" w:rsidRPr="005A4845" w:rsidRDefault="00BF21BC" w:rsidP="006F6971">
            <w:pPr>
              <w:rPr>
                <w:b/>
                <w:bCs/>
              </w:rPr>
            </w:pPr>
            <w:r w:rsidRPr="005A4845">
              <w:rPr>
                <w:b/>
                <w:bCs/>
              </w:rPr>
              <w:t>Years</w:t>
            </w:r>
          </w:p>
        </w:tc>
        <w:tc>
          <w:tcPr>
            <w:tcW w:w="498" w:type="pct"/>
            <w:noWrap/>
            <w:hideMark/>
          </w:tcPr>
          <w:p w14:paraId="35690E34" w14:textId="77777777" w:rsidR="00BF21BC" w:rsidRPr="005A4845" w:rsidRDefault="00BF21BC" w:rsidP="006F6971">
            <w:pPr>
              <w:rPr>
                <w:b/>
                <w:bCs/>
              </w:rPr>
            </w:pPr>
            <w:r w:rsidRPr="005A4845">
              <w:rPr>
                <w:b/>
                <w:bCs/>
              </w:rPr>
              <w:t>2020</w:t>
            </w:r>
          </w:p>
        </w:tc>
        <w:tc>
          <w:tcPr>
            <w:tcW w:w="498" w:type="pct"/>
            <w:noWrap/>
            <w:hideMark/>
          </w:tcPr>
          <w:p w14:paraId="1A52A62A" w14:textId="77777777" w:rsidR="00BF21BC" w:rsidRPr="005A4845" w:rsidRDefault="00BF21BC" w:rsidP="006F6971">
            <w:pPr>
              <w:rPr>
                <w:b/>
                <w:bCs/>
              </w:rPr>
            </w:pPr>
            <w:r w:rsidRPr="005A4845">
              <w:rPr>
                <w:b/>
                <w:bCs/>
              </w:rPr>
              <w:t>2021</w:t>
            </w:r>
          </w:p>
        </w:tc>
        <w:tc>
          <w:tcPr>
            <w:tcW w:w="498" w:type="pct"/>
            <w:noWrap/>
            <w:hideMark/>
          </w:tcPr>
          <w:p w14:paraId="6FBD5D24" w14:textId="77777777" w:rsidR="00BF21BC" w:rsidRPr="005A4845" w:rsidRDefault="00BF21BC" w:rsidP="006F6971">
            <w:pPr>
              <w:rPr>
                <w:b/>
                <w:bCs/>
              </w:rPr>
            </w:pPr>
            <w:r w:rsidRPr="005A4845">
              <w:rPr>
                <w:b/>
                <w:bCs/>
              </w:rPr>
              <w:t>2022</w:t>
            </w:r>
          </w:p>
        </w:tc>
        <w:tc>
          <w:tcPr>
            <w:tcW w:w="498" w:type="pct"/>
            <w:noWrap/>
            <w:hideMark/>
          </w:tcPr>
          <w:p w14:paraId="4EAB1DA5" w14:textId="77777777" w:rsidR="00BF21BC" w:rsidRPr="005A4845" w:rsidRDefault="00BF21BC" w:rsidP="006F6971">
            <w:pPr>
              <w:rPr>
                <w:b/>
                <w:bCs/>
              </w:rPr>
            </w:pPr>
            <w:r w:rsidRPr="005A4845">
              <w:rPr>
                <w:b/>
                <w:bCs/>
              </w:rPr>
              <w:t>2023</w:t>
            </w:r>
          </w:p>
        </w:tc>
        <w:tc>
          <w:tcPr>
            <w:tcW w:w="498" w:type="pct"/>
            <w:noWrap/>
            <w:hideMark/>
          </w:tcPr>
          <w:p w14:paraId="159D2E9E" w14:textId="77777777" w:rsidR="00BF21BC" w:rsidRPr="005A4845" w:rsidRDefault="00BF21BC" w:rsidP="006F6971">
            <w:pPr>
              <w:rPr>
                <w:b/>
                <w:bCs/>
              </w:rPr>
            </w:pPr>
            <w:r w:rsidRPr="005A4845">
              <w:rPr>
                <w:b/>
                <w:bCs/>
              </w:rPr>
              <w:t>2024</w:t>
            </w:r>
          </w:p>
        </w:tc>
      </w:tr>
      <w:tr w:rsidR="00BF21BC" w:rsidRPr="007A3199" w14:paraId="76084216" w14:textId="77777777" w:rsidTr="00BF21BC">
        <w:trPr>
          <w:trHeight w:val="290"/>
        </w:trPr>
        <w:tc>
          <w:tcPr>
            <w:tcW w:w="2509" w:type="pct"/>
            <w:noWrap/>
            <w:hideMark/>
          </w:tcPr>
          <w:p w14:paraId="331E3FE2" w14:textId="77777777" w:rsidR="00BF21BC" w:rsidRPr="007A3199" w:rsidRDefault="00BF21BC" w:rsidP="006F6971">
            <w:r w:rsidRPr="007A3199">
              <w:t xml:space="preserve">Upper bound (Sweden, </w:t>
            </w:r>
            <w:r>
              <w:t>P</w:t>
            </w:r>
            <w:r w:rsidRPr="007A3199">
              <w:t xml:space="preserve">eru and </w:t>
            </w:r>
            <w:r>
              <w:t>P</w:t>
            </w:r>
            <w:r w:rsidRPr="007A3199">
              <w:t>ortugal)</w:t>
            </w:r>
          </w:p>
        </w:tc>
        <w:tc>
          <w:tcPr>
            <w:tcW w:w="498" w:type="pct"/>
            <w:noWrap/>
            <w:hideMark/>
          </w:tcPr>
          <w:p w14:paraId="2A859BC4" w14:textId="77777777" w:rsidR="00BF21BC" w:rsidRPr="007A3199" w:rsidRDefault="00BF21BC" w:rsidP="006F6971">
            <w:r w:rsidRPr="007A3199">
              <w:t>1.28</w:t>
            </w:r>
          </w:p>
        </w:tc>
        <w:tc>
          <w:tcPr>
            <w:tcW w:w="498" w:type="pct"/>
            <w:noWrap/>
            <w:hideMark/>
          </w:tcPr>
          <w:p w14:paraId="62B57FCC" w14:textId="77777777" w:rsidR="00BF21BC" w:rsidRPr="007A3199" w:rsidRDefault="00BF21BC" w:rsidP="006F6971">
            <w:r w:rsidRPr="007A3199">
              <w:t>1.24</w:t>
            </w:r>
          </w:p>
        </w:tc>
        <w:tc>
          <w:tcPr>
            <w:tcW w:w="498" w:type="pct"/>
            <w:noWrap/>
            <w:hideMark/>
          </w:tcPr>
          <w:p w14:paraId="67F4ADE4" w14:textId="77777777" w:rsidR="00BF21BC" w:rsidRPr="007A3199" w:rsidRDefault="00BF21BC" w:rsidP="006F6971">
            <w:r w:rsidRPr="007A3199">
              <w:t>1.22</w:t>
            </w:r>
          </w:p>
        </w:tc>
        <w:tc>
          <w:tcPr>
            <w:tcW w:w="498" w:type="pct"/>
            <w:noWrap/>
            <w:hideMark/>
          </w:tcPr>
          <w:p w14:paraId="30BFFC8A" w14:textId="77777777" w:rsidR="00BF21BC" w:rsidRPr="007A3199" w:rsidRDefault="00BF21BC" w:rsidP="006F6971">
            <w:r w:rsidRPr="007A3199">
              <w:t>1.2</w:t>
            </w:r>
          </w:p>
        </w:tc>
        <w:tc>
          <w:tcPr>
            <w:tcW w:w="498" w:type="pct"/>
            <w:noWrap/>
            <w:hideMark/>
          </w:tcPr>
          <w:p w14:paraId="50480583" w14:textId="77777777" w:rsidR="00BF21BC" w:rsidRPr="007A3199" w:rsidRDefault="00BF21BC" w:rsidP="006F6971">
            <w:r w:rsidRPr="007A3199">
              <w:t>1.2</w:t>
            </w:r>
          </w:p>
        </w:tc>
      </w:tr>
      <w:tr w:rsidR="00BF21BC" w:rsidRPr="007A3199" w14:paraId="650796EE" w14:textId="77777777" w:rsidTr="00BF21BC">
        <w:trPr>
          <w:trHeight w:val="290"/>
        </w:trPr>
        <w:tc>
          <w:tcPr>
            <w:tcW w:w="2509" w:type="pct"/>
            <w:noWrap/>
            <w:hideMark/>
          </w:tcPr>
          <w:p w14:paraId="35DC3B7B" w14:textId="77777777" w:rsidR="00BF21BC" w:rsidRPr="007A3199" w:rsidRDefault="00BF21BC" w:rsidP="006F6971">
            <w:r w:rsidRPr="007A3199">
              <w:t>Lower bound (UK, France, Sweden, Peru and Portugal)</w:t>
            </w:r>
          </w:p>
        </w:tc>
        <w:tc>
          <w:tcPr>
            <w:tcW w:w="498" w:type="pct"/>
            <w:noWrap/>
            <w:hideMark/>
          </w:tcPr>
          <w:p w14:paraId="5CE2B054" w14:textId="77777777" w:rsidR="00BF21BC" w:rsidRPr="007A3199" w:rsidRDefault="00BF21BC" w:rsidP="006F6971">
            <w:r w:rsidRPr="007A3199">
              <w:t>1.02</w:t>
            </w:r>
          </w:p>
        </w:tc>
        <w:tc>
          <w:tcPr>
            <w:tcW w:w="498" w:type="pct"/>
            <w:noWrap/>
            <w:hideMark/>
          </w:tcPr>
          <w:p w14:paraId="7F936DC3" w14:textId="77777777" w:rsidR="00BF21BC" w:rsidRPr="007A3199" w:rsidRDefault="00BF21BC" w:rsidP="006F6971">
            <w:r w:rsidRPr="007A3199">
              <w:t>0.97</w:t>
            </w:r>
          </w:p>
        </w:tc>
        <w:tc>
          <w:tcPr>
            <w:tcW w:w="498" w:type="pct"/>
            <w:noWrap/>
            <w:hideMark/>
          </w:tcPr>
          <w:p w14:paraId="55E6DD95" w14:textId="77777777" w:rsidR="00BF21BC" w:rsidRPr="007A3199" w:rsidRDefault="00BF21BC" w:rsidP="006F6971">
            <w:r w:rsidRPr="007A3199">
              <w:t>0.95</w:t>
            </w:r>
          </w:p>
        </w:tc>
        <w:tc>
          <w:tcPr>
            <w:tcW w:w="498" w:type="pct"/>
            <w:noWrap/>
            <w:hideMark/>
          </w:tcPr>
          <w:p w14:paraId="14CF6DD4" w14:textId="77777777" w:rsidR="00BF21BC" w:rsidRPr="007A3199" w:rsidRDefault="00BF21BC" w:rsidP="006F6971">
            <w:r w:rsidRPr="007A3199">
              <w:t>0.92</w:t>
            </w:r>
          </w:p>
        </w:tc>
        <w:tc>
          <w:tcPr>
            <w:tcW w:w="498" w:type="pct"/>
            <w:noWrap/>
            <w:hideMark/>
          </w:tcPr>
          <w:p w14:paraId="74B5298A" w14:textId="77777777" w:rsidR="00BF21BC" w:rsidRPr="007A3199" w:rsidRDefault="00BF21BC" w:rsidP="006F6971">
            <w:r w:rsidRPr="007A3199">
              <w:t>0.93</w:t>
            </w:r>
          </w:p>
        </w:tc>
      </w:tr>
    </w:tbl>
    <w:p w14:paraId="7A42C771" w14:textId="4DCEE3E9" w:rsidR="00A72866" w:rsidRDefault="00AF630D" w:rsidP="00E24A4A">
      <w:pPr>
        <w:spacing w:before="240"/>
        <w:jc w:val="both"/>
      </w:pPr>
      <w:r>
        <w:t>However, i</w:t>
      </w:r>
      <w:r w:rsidR="00BF21BC">
        <w:t>t is unclear to ACCAN why the ACCC has made the decision to take a conservative approach in setting the MTAS price and has adopted the 7</w:t>
      </w:r>
      <w:r w:rsidR="00A72866">
        <w:t>5</w:t>
      </w:r>
      <w:r w:rsidR="00BF21BC" w:rsidRPr="00887BAD">
        <w:rPr>
          <w:vertAlign w:val="superscript"/>
        </w:rPr>
        <w:t>th</w:t>
      </w:r>
      <w:r w:rsidR="00BF21BC">
        <w:t xml:space="preserve"> percentile of the estimated cost range, given that usually a midpoint between the range would be appropriate.</w:t>
      </w:r>
      <w:r w:rsidR="000F3C47">
        <w:rPr>
          <w:rStyle w:val="FootnoteReference"/>
        </w:rPr>
        <w:footnoteReference w:id="3"/>
      </w:r>
      <w:r w:rsidR="00BF21BC">
        <w:t xml:space="preserve"> ACCAN </w:t>
      </w:r>
      <w:r w:rsidR="00E24A4A">
        <w:t>believes</w:t>
      </w:r>
      <w:r w:rsidR="00BF21BC">
        <w:t xml:space="preserve"> that this does not </w:t>
      </w:r>
      <w:r w:rsidR="00BF21BC">
        <w:lastRenderedPageBreak/>
        <w:t>balance the interest of access providers and access seekers</w:t>
      </w:r>
      <w:r w:rsidR="00E24A4A">
        <w:t>, and will ultimately disadvantage consumers.</w:t>
      </w:r>
    </w:p>
    <w:p w14:paraId="289941DF" w14:textId="34840530" w:rsidR="00AF630D" w:rsidRDefault="00BF21BC" w:rsidP="00BF21BC">
      <w:pPr>
        <w:jc w:val="both"/>
      </w:pPr>
      <w:r>
        <w:t>Choosing a price at the higher end of the range supports the interests of access providers and w</w:t>
      </w:r>
      <w:r w:rsidR="00AF630D">
        <w:t>ill</w:t>
      </w:r>
      <w:r>
        <w:t xml:space="preserve"> </w:t>
      </w:r>
      <w:r w:rsidR="0057431C">
        <w:t>disadvantage</w:t>
      </w:r>
      <w:r>
        <w:t xml:space="preserve"> downstream markets. </w:t>
      </w:r>
      <w:r w:rsidR="0057431C">
        <w:t xml:space="preserve">A higher price protects the legitimate interests of access seekers as they can recover higher costs of providing the service. </w:t>
      </w:r>
      <w:r>
        <w:t xml:space="preserve">This will have the consequence of preventing smaller fixed line operators and mobile virtual network operators (MNVOs) from providing more </w:t>
      </w:r>
      <w:r w:rsidRPr="00062D6B">
        <w:t>competitive offerings.</w:t>
      </w:r>
      <w:r w:rsidRPr="00062D6B">
        <w:rPr>
          <w:rStyle w:val="FootnoteReference"/>
        </w:rPr>
        <w:footnoteReference w:id="4"/>
      </w:r>
      <w:r w:rsidR="00A72866" w:rsidRPr="00062D6B">
        <w:t xml:space="preserve"> </w:t>
      </w:r>
    </w:p>
    <w:p w14:paraId="04A79B77" w14:textId="3DD2B006" w:rsidR="00062D6B" w:rsidRDefault="00062D6B" w:rsidP="00BF21BC">
      <w:pPr>
        <w:jc w:val="both"/>
      </w:pPr>
      <w:r>
        <w:t xml:space="preserve">Ultimately, lower MTAS prices benefit consumers, particularly those who continue to use fixed line voice services, as lower MTAS prices can be passed through to the retail market. Reductions in wholesale costs are likely to benefit elderly consumers and consumers in rural, regional and remote </w:t>
      </w:r>
      <w:proofErr w:type="gramStart"/>
      <w:r>
        <w:t>areas</w:t>
      </w:r>
      <w:r w:rsidR="00AF630D">
        <w:t xml:space="preserve"> in particular</w:t>
      </w:r>
      <w:r>
        <w:t>, who</w:t>
      </w:r>
      <w:proofErr w:type="gramEnd"/>
      <w:r>
        <w:t xml:space="preserve"> disproportionately us</w:t>
      </w:r>
      <w:r w:rsidR="00AF630D">
        <w:t>e</w:t>
      </w:r>
      <w:r>
        <w:t xml:space="preserve"> fixed line voice services as well as those on low incomes who continue to purchase usage-based charging plans.</w:t>
      </w:r>
    </w:p>
    <w:p w14:paraId="42571E1A" w14:textId="77777777" w:rsidR="000F3C47" w:rsidRDefault="000F3C47" w:rsidP="000F3C47">
      <w:pPr>
        <w:jc w:val="both"/>
      </w:pPr>
      <w:r>
        <w:t>In addition to the choice of the 75</w:t>
      </w:r>
      <w:r w:rsidRPr="00F53919">
        <w:rPr>
          <w:vertAlign w:val="superscript"/>
        </w:rPr>
        <w:t>th</w:t>
      </w:r>
      <w:r>
        <w:t xml:space="preserve"> percentile, it is unclear to ACCAN why the MTAS does not decrease over time between 2020 – 2024, given that the benchmarking exercise shows the cost of providing the service falling consecutively. </w:t>
      </w:r>
    </w:p>
    <w:p w14:paraId="00515C9E" w14:textId="56029517" w:rsidR="000F3C47" w:rsidRPr="00BF21BC" w:rsidRDefault="000F3C47" w:rsidP="004619F7">
      <w:pPr>
        <w:spacing w:after="0"/>
        <w:jc w:val="both"/>
        <w:rPr>
          <w:rStyle w:val="SubtleEmphasis"/>
        </w:rPr>
      </w:pPr>
      <w:r w:rsidRPr="00BF21BC">
        <w:rPr>
          <w:rStyle w:val="SubtleEmphasis"/>
        </w:rPr>
        <w:t>Table 2: 50th and 75th percentile</w:t>
      </w:r>
      <w:r w:rsidR="00D71A1D">
        <w:rPr>
          <w:rStyle w:val="SubtleEmphasis"/>
        </w:rPr>
        <w:t xml:space="preserve"> of estimated MTAS cost range for </w:t>
      </w:r>
      <w:r w:rsidRPr="00BF21BC">
        <w:rPr>
          <w:rStyle w:val="SubtleEmphasis"/>
        </w:rPr>
        <w:t>2020 to 2024 (nominal AUD cent, including spectrum costs)</w:t>
      </w:r>
    </w:p>
    <w:tbl>
      <w:tblPr>
        <w:tblStyle w:val="TableGrid"/>
        <w:tblpPr w:leftFromText="180" w:rightFromText="180" w:vertAnchor="text" w:horzAnchor="margin" w:tblpY="56"/>
        <w:tblW w:w="5000" w:type="pct"/>
        <w:tblLook w:val="04A0" w:firstRow="1" w:lastRow="0" w:firstColumn="1" w:lastColumn="0" w:noHBand="0" w:noVBand="1"/>
      </w:tblPr>
      <w:tblGrid>
        <w:gridCol w:w="4526"/>
        <w:gridCol w:w="898"/>
        <w:gridCol w:w="898"/>
        <w:gridCol w:w="898"/>
        <w:gridCol w:w="898"/>
        <w:gridCol w:w="898"/>
      </w:tblGrid>
      <w:tr w:rsidR="000F3C47" w:rsidRPr="007A3199" w14:paraId="2FFFC75F" w14:textId="77777777" w:rsidTr="00945A99">
        <w:trPr>
          <w:trHeight w:val="290"/>
        </w:trPr>
        <w:tc>
          <w:tcPr>
            <w:tcW w:w="2509" w:type="pct"/>
            <w:noWrap/>
          </w:tcPr>
          <w:p w14:paraId="4C5AD2F1" w14:textId="77777777" w:rsidR="000F3C47" w:rsidRPr="000F3C47" w:rsidRDefault="000F3C47" w:rsidP="00945A99">
            <w:pPr>
              <w:rPr>
                <w:b/>
                <w:bCs/>
              </w:rPr>
            </w:pPr>
            <w:r w:rsidRPr="000F3C47">
              <w:rPr>
                <w:b/>
                <w:bCs/>
              </w:rPr>
              <w:t>Years</w:t>
            </w:r>
          </w:p>
        </w:tc>
        <w:tc>
          <w:tcPr>
            <w:tcW w:w="498" w:type="pct"/>
            <w:noWrap/>
          </w:tcPr>
          <w:p w14:paraId="535B5492" w14:textId="77777777" w:rsidR="000F3C47" w:rsidRPr="000F3C47" w:rsidRDefault="000F3C47" w:rsidP="00945A99">
            <w:pPr>
              <w:rPr>
                <w:b/>
                <w:bCs/>
              </w:rPr>
            </w:pPr>
            <w:r w:rsidRPr="000F3C47">
              <w:rPr>
                <w:b/>
                <w:bCs/>
              </w:rPr>
              <w:t>2020</w:t>
            </w:r>
          </w:p>
        </w:tc>
        <w:tc>
          <w:tcPr>
            <w:tcW w:w="498" w:type="pct"/>
            <w:noWrap/>
          </w:tcPr>
          <w:p w14:paraId="71C85847" w14:textId="77777777" w:rsidR="000F3C47" w:rsidRPr="000F3C47" w:rsidRDefault="000F3C47" w:rsidP="00945A99">
            <w:pPr>
              <w:rPr>
                <w:b/>
                <w:bCs/>
              </w:rPr>
            </w:pPr>
            <w:r w:rsidRPr="000F3C47">
              <w:rPr>
                <w:b/>
                <w:bCs/>
              </w:rPr>
              <w:t>2021</w:t>
            </w:r>
          </w:p>
        </w:tc>
        <w:tc>
          <w:tcPr>
            <w:tcW w:w="498" w:type="pct"/>
            <w:noWrap/>
          </w:tcPr>
          <w:p w14:paraId="2DEF8392" w14:textId="77777777" w:rsidR="000F3C47" w:rsidRPr="000F3C47" w:rsidRDefault="000F3C47" w:rsidP="00945A99">
            <w:pPr>
              <w:rPr>
                <w:b/>
                <w:bCs/>
              </w:rPr>
            </w:pPr>
            <w:r w:rsidRPr="000F3C47">
              <w:rPr>
                <w:b/>
                <w:bCs/>
              </w:rPr>
              <w:t>2022</w:t>
            </w:r>
          </w:p>
        </w:tc>
        <w:tc>
          <w:tcPr>
            <w:tcW w:w="498" w:type="pct"/>
            <w:noWrap/>
          </w:tcPr>
          <w:p w14:paraId="5897418B" w14:textId="77777777" w:rsidR="000F3C47" w:rsidRPr="000F3C47" w:rsidRDefault="000F3C47" w:rsidP="00945A99">
            <w:pPr>
              <w:rPr>
                <w:b/>
                <w:bCs/>
              </w:rPr>
            </w:pPr>
            <w:r w:rsidRPr="000F3C47">
              <w:rPr>
                <w:b/>
                <w:bCs/>
              </w:rPr>
              <w:t>2023</w:t>
            </w:r>
          </w:p>
        </w:tc>
        <w:tc>
          <w:tcPr>
            <w:tcW w:w="498" w:type="pct"/>
            <w:noWrap/>
          </w:tcPr>
          <w:p w14:paraId="3DBA529B" w14:textId="77777777" w:rsidR="000F3C47" w:rsidRPr="000F3C47" w:rsidRDefault="000F3C47" w:rsidP="00945A99">
            <w:pPr>
              <w:rPr>
                <w:b/>
                <w:bCs/>
              </w:rPr>
            </w:pPr>
            <w:r w:rsidRPr="000F3C47">
              <w:rPr>
                <w:b/>
                <w:bCs/>
              </w:rPr>
              <w:t>2024</w:t>
            </w:r>
          </w:p>
        </w:tc>
      </w:tr>
      <w:tr w:rsidR="000F3C47" w:rsidRPr="007A3199" w14:paraId="3DAE465A" w14:textId="77777777" w:rsidTr="00945A99">
        <w:trPr>
          <w:trHeight w:val="290"/>
        </w:trPr>
        <w:tc>
          <w:tcPr>
            <w:tcW w:w="2509" w:type="pct"/>
            <w:noWrap/>
            <w:hideMark/>
          </w:tcPr>
          <w:p w14:paraId="029050CC" w14:textId="77777777" w:rsidR="000F3C47" w:rsidRPr="007A3199" w:rsidRDefault="000F3C47" w:rsidP="00945A99">
            <w:r w:rsidRPr="007A3199">
              <w:t xml:space="preserve">Conservative </w:t>
            </w:r>
            <w:r>
              <w:t xml:space="preserve">approach </w:t>
            </w:r>
            <w:r w:rsidRPr="007A3199">
              <w:t>(</w:t>
            </w:r>
            <w:r>
              <w:t>75</w:t>
            </w:r>
            <w:r w:rsidRPr="00A54C41">
              <w:rPr>
                <w:vertAlign w:val="superscript"/>
              </w:rPr>
              <w:t>th</w:t>
            </w:r>
            <w:r>
              <w:t xml:space="preserve"> percentile</w:t>
            </w:r>
            <w:r w:rsidRPr="007A3199">
              <w:t>)</w:t>
            </w:r>
          </w:p>
        </w:tc>
        <w:tc>
          <w:tcPr>
            <w:tcW w:w="498" w:type="pct"/>
            <w:noWrap/>
            <w:hideMark/>
          </w:tcPr>
          <w:p w14:paraId="757847F2" w14:textId="77777777" w:rsidR="000F3C47" w:rsidRPr="007A3199" w:rsidRDefault="000F3C47" w:rsidP="00945A99">
            <w:r w:rsidRPr="007A3199">
              <w:t>1.22</w:t>
            </w:r>
          </w:p>
        </w:tc>
        <w:tc>
          <w:tcPr>
            <w:tcW w:w="498" w:type="pct"/>
            <w:noWrap/>
            <w:hideMark/>
          </w:tcPr>
          <w:p w14:paraId="226D04B5" w14:textId="77777777" w:rsidR="000F3C47" w:rsidRPr="007A3199" w:rsidRDefault="000F3C47" w:rsidP="00945A99">
            <w:r w:rsidRPr="007A3199">
              <w:t>1.17</w:t>
            </w:r>
          </w:p>
        </w:tc>
        <w:tc>
          <w:tcPr>
            <w:tcW w:w="498" w:type="pct"/>
            <w:noWrap/>
            <w:hideMark/>
          </w:tcPr>
          <w:p w14:paraId="4B5A4CA0" w14:textId="77777777" w:rsidR="000F3C47" w:rsidRPr="007A3199" w:rsidRDefault="000F3C47" w:rsidP="00945A99">
            <w:r w:rsidRPr="007A3199">
              <w:t>1.15</w:t>
            </w:r>
          </w:p>
        </w:tc>
        <w:tc>
          <w:tcPr>
            <w:tcW w:w="498" w:type="pct"/>
            <w:noWrap/>
            <w:hideMark/>
          </w:tcPr>
          <w:p w14:paraId="623A6ACB" w14:textId="77777777" w:rsidR="000F3C47" w:rsidRPr="007A3199" w:rsidRDefault="000F3C47" w:rsidP="00945A99">
            <w:r w:rsidRPr="007A3199">
              <w:t>1.13</w:t>
            </w:r>
          </w:p>
        </w:tc>
        <w:tc>
          <w:tcPr>
            <w:tcW w:w="498" w:type="pct"/>
            <w:noWrap/>
            <w:hideMark/>
          </w:tcPr>
          <w:p w14:paraId="761FD153" w14:textId="77777777" w:rsidR="000F3C47" w:rsidRPr="007A3199" w:rsidRDefault="000F3C47" w:rsidP="00945A99">
            <w:r w:rsidRPr="007A3199">
              <w:t>1.13</w:t>
            </w:r>
          </w:p>
        </w:tc>
      </w:tr>
      <w:tr w:rsidR="000F3C47" w:rsidRPr="007A3199" w14:paraId="74C08B7A" w14:textId="77777777" w:rsidTr="00945A99">
        <w:trPr>
          <w:trHeight w:val="290"/>
        </w:trPr>
        <w:tc>
          <w:tcPr>
            <w:tcW w:w="2509" w:type="pct"/>
            <w:noWrap/>
          </w:tcPr>
          <w:p w14:paraId="61CDC56F" w14:textId="6D4E1B42" w:rsidR="000F3C47" w:rsidRPr="007A3199" w:rsidRDefault="000F3C47" w:rsidP="00945A99">
            <w:r>
              <w:t>‘</w:t>
            </w:r>
            <w:r w:rsidRPr="007A3199">
              <w:t>Normal</w:t>
            </w:r>
            <w:r>
              <w:t>’</w:t>
            </w:r>
            <w:r w:rsidRPr="007A3199">
              <w:t xml:space="preserve"> </w:t>
            </w:r>
            <w:r>
              <w:t xml:space="preserve">approach </w:t>
            </w:r>
            <w:r w:rsidRPr="007A3199">
              <w:t>(</w:t>
            </w:r>
            <w:r>
              <w:t>50</w:t>
            </w:r>
            <w:r w:rsidRPr="00A54C41">
              <w:rPr>
                <w:vertAlign w:val="superscript"/>
              </w:rPr>
              <w:t>th</w:t>
            </w:r>
            <w:r>
              <w:t xml:space="preserve"> </w:t>
            </w:r>
            <w:r w:rsidR="00FA5E45">
              <w:t>percentile</w:t>
            </w:r>
            <w:r w:rsidR="00FA5E45" w:rsidRPr="007A3199">
              <w:t>)</w:t>
            </w:r>
            <w:r w:rsidR="00FA5E45">
              <w:t xml:space="preserve"> </w:t>
            </w:r>
          </w:p>
        </w:tc>
        <w:tc>
          <w:tcPr>
            <w:tcW w:w="498" w:type="pct"/>
            <w:noWrap/>
          </w:tcPr>
          <w:p w14:paraId="2E1C0BE4" w14:textId="77777777" w:rsidR="000F3C47" w:rsidRPr="007A3199" w:rsidRDefault="000F3C47" w:rsidP="00945A99">
            <w:r w:rsidRPr="007A3199">
              <w:t>1.15</w:t>
            </w:r>
          </w:p>
        </w:tc>
        <w:tc>
          <w:tcPr>
            <w:tcW w:w="498" w:type="pct"/>
            <w:noWrap/>
          </w:tcPr>
          <w:p w14:paraId="0500F822" w14:textId="77777777" w:rsidR="000F3C47" w:rsidRPr="007A3199" w:rsidRDefault="000F3C47" w:rsidP="00945A99">
            <w:r w:rsidRPr="007A3199">
              <w:t>1.11</w:t>
            </w:r>
          </w:p>
        </w:tc>
        <w:tc>
          <w:tcPr>
            <w:tcW w:w="498" w:type="pct"/>
            <w:noWrap/>
          </w:tcPr>
          <w:p w14:paraId="113BDCB6" w14:textId="77777777" w:rsidR="000F3C47" w:rsidRPr="007A3199" w:rsidRDefault="000F3C47" w:rsidP="00945A99">
            <w:r w:rsidRPr="007A3199">
              <w:t>1.09</w:t>
            </w:r>
          </w:p>
        </w:tc>
        <w:tc>
          <w:tcPr>
            <w:tcW w:w="498" w:type="pct"/>
            <w:noWrap/>
          </w:tcPr>
          <w:p w14:paraId="408EF9F9" w14:textId="77777777" w:rsidR="000F3C47" w:rsidRPr="007A3199" w:rsidRDefault="000F3C47" w:rsidP="00945A99">
            <w:r w:rsidRPr="007A3199">
              <w:t>1.06</w:t>
            </w:r>
          </w:p>
        </w:tc>
        <w:tc>
          <w:tcPr>
            <w:tcW w:w="498" w:type="pct"/>
            <w:noWrap/>
          </w:tcPr>
          <w:p w14:paraId="4818A6B7" w14:textId="77777777" w:rsidR="000F3C47" w:rsidRPr="007A3199" w:rsidRDefault="000F3C47" w:rsidP="00945A99">
            <w:r w:rsidRPr="007A3199">
              <w:t>1.07</w:t>
            </w:r>
          </w:p>
        </w:tc>
      </w:tr>
    </w:tbl>
    <w:p w14:paraId="496FCB84" w14:textId="59C8C586" w:rsidR="000F3C47" w:rsidRDefault="00862115" w:rsidP="00697268">
      <w:pPr>
        <w:spacing w:before="240"/>
        <w:jc w:val="both"/>
      </w:pPr>
      <w:r>
        <w:t xml:space="preserve">ACCAN has produced </w:t>
      </w:r>
      <w:r w:rsidR="00950FFC">
        <w:t>the table above</w:t>
      </w:r>
      <w:r>
        <w:t xml:space="preserve"> using data from the ACCC’s draft report, showing</w:t>
      </w:r>
      <w:r w:rsidR="000F3C47">
        <w:t xml:space="preserve"> the MTAs price between 2020 to 2024, where a 75</w:t>
      </w:r>
      <w:r w:rsidR="000F3C47" w:rsidRPr="00A54C41">
        <w:rPr>
          <w:vertAlign w:val="superscript"/>
        </w:rPr>
        <w:t>th</w:t>
      </w:r>
      <w:r w:rsidR="000F3C47">
        <w:t xml:space="preserve"> percentile and a 50</w:t>
      </w:r>
      <w:r w:rsidR="000F3C47" w:rsidRPr="00A54C41">
        <w:rPr>
          <w:vertAlign w:val="superscript"/>
        </w:rPr>
        <w:t>th</w:t>
      </w:r>
      <w:r w:rsidR="000F3C47">
        <w:t xml:space="preserve"> percentile is adopted. </w:t>
      </w:r>
      <w:r w:rsidR="00D71A1D">
        <w:t>There</w:t>
      </w:r>
      <w:r w:rsidR="000F3C47">
        <w:t xml:space="preserve"> is a material difference between the approach the ACCC takes in its regulatory decision</w:t>
      </w:r>
      <w:r w:rsidR="00282B4C">
        <w:t>, p</w:t>
      </w:r>
      <w:r w:rsidR="000F3C47">
        <w:t xml:space="preserve">articularly when the price </w:t>
      </w:r>
      <w:r w:rsidR="004619F7">
        <w:t xml:space="preserve">is set </w:t>
      </w:r>
      <w:r w:rsidR="000F3C47">
        <w:t>at a flat rate for the entire time period. By 2024, the estimated MTAS cost of 1.07 cent per minute is substantially different from the 1.22 cent per minute MNO’s will be able to charge</w:t>
      </w:r>
      <w:r w:rsidR="00950FFC">
        <w:t>, as proposed by the ACCC’s draft report</w:t>
      </w:r>
      <w:r w:rsidR="000F3C47">
        <w:t xml:space="preserve">. </w:t>
      </w:r>
    </w:p>
    <w:p w14:paraId="6660BA47" w14:textId="1B83B7AB" w:rsidR="00BF21BC" w:rsidRDefault="00BF21BC" w:rsidP="00BF21BC">
      <w:pPr>
        <w:jc w:val="both"/>
      </w:pPr>
      <w:r>
        <w:t xml:space="preserve">As ACCAN understands, the ACCC’s decision to take a conservative approach is based on future matters, where there is the intention to consider a holistic review of the MTAS and the Fixed Terminating Access Service (FTAS) prior to the expiry of the current FTAS and MTAS declaration. In addition, there is intent to develop a cost model once 5G is deployed. ACCAN agrees that these forward-looking matters are significant and important, however it is unclear to us how these issues necessitate a conservative approach in the interim. </w:t>
      </w:r>
    </w:p>
    <w:p w14:paraId="2AF3088F" w14:textId="27230D31" w:rsidR="00C7127B" w:rsidRPr="00D71A1D" w:rsidRDefault="00BF21BC" w:rsidP="00D71A1D">
      <w:pPr>
        <w:jc w:val="both"/>
      </w:pPr>
      <w:r>
        <w:t>The justification for this decision is largely unclear, w</w:t>
      </w:r>
      <w:r w:rsidR="00D71A1D">
        <w:t xml:space="preserve">hilst we </w:t>
      </w:r>
      <w:r>
        <w:t>appreciate that there will be a further review in 2024 which is more holistic and considers 5G,</w:t>
      </w:r>
      <w:r w:rsidR="00D71A1D">
        <w:t xml:space="preserve"> </w:t>
      </w:r>
      <w:r>
        <w:t>this does not prevent a 50</w:t>
      </w:r>
      <w:r w:rsidRPr="00F53919">
        <w:rPr>
          <w:vertAlign w:val="superscript"/>
        </w:rPr>
        <w:t>th</w:t>
      </w:r>
      <w:r>
        <w:t xml:space="preserve"> percentile figure being used in the short term or for the MTAS to decrease over the coming years.</w:t>
      </w:r>
    </w:p>
    <w:p w14:paraId="0206B845" w14:textId="56D7D08F" w:rsidR="00BF7342" w:rsidRDefault="00480F62" w:rsidP="004619F7">
      <w:pPr>
        <w:pStyle w:val="BodyText1"/>
        <w:spacing w:after="0"/>
        <w:rPr>
          <w:rFonts w:asciiTheme="minorHAnsi" w:hAnsiTheme="minorHAnsi" w:cstheme="minorHAnsi"/>
          <w:color w:val="auto"/>
        </w:rPr>
      </w:pPr>
      <w:r>
        <w:rPr>
          <w:rFonts w:asciiTheme="minorHAnsi" w:hAnsiTheme="minorHAnsi" w:cstheme="minorHAnsi"/>
          <w:color w:val="auto"/>
        </w:rPr>
        <w:t>Sincerely,</w:t>
      </w:r>
      <w:bookmarkStart w:id="0" w:name="_GoBack"/>
      <w:bookmarkEnd w:id="0"/>
    </w:p>
    <w:p w14:paraId="263EFF78" w14:textId="12BB04F7" w:rsidR="00C7127B" w:rsidRDefault="00480F62" w:rsidP="004619F7">
      <w:pPr>
        <w:pStyle w:val="BodyText1"/>
        <w:spacing w:after="0"/>
        <w:rPr>
          <w:rFonts w:asciiTheme="minorHAnsi" w:hAnsiTheme="minorHAnsi" w:cstheme="minorHAnsi"/>
          <w:color w:val="auto"/>
        </w:rPr>
      </w:pPr>
      <w:r>
        <w:rPr>
          <w:rFonts w:asciiTheme="minorHAnsi" w:hAnsiTheme="minorHAnsi" w:cstheme="minorHAnsi"/>
          <w:color w:val="auto"/>
        </w:rPr>
        <w:t>Megan Ward</w:t>
      </w:r>
    </w:p>
    <w:p w14:paraId="5BD62537" w14:textId="2AFBEA57" w:rsidR="00545597" w:rsidRPr="00D71A1D" w:rsidRDefault="00480F62" w:rsidP="004619F7">
      <w:pPr>
        <w:pStyle w:val="BodyText1"/>
        <w:spacing w:after="0"/>
        <w:rPr>
          <w:rFonts w:asciiTheme="minorHAnsi" w:hAnsiTheme="minorHAnsi" w:cstheme="minorHAnsi"/>
          <w:color w:val="auto"/>
        </w:rPr>
      </w:pPr>
      <w:r>
        <w:rPr>
          <w:rFonts w:asciiTheme="minorHAnsi" w:hAnsiTheme="minorHAnsi" w:cstheme="minorHAnsi"/>
          <w:color w:val="auto"/>
        </w:rPr>
        <w:t>Economic Adviser.</w:t>
      </w:r>
    </w:p>
    <w:sectPr w:rsidR="00545597" w:rsidRPr="00D71A1D" w:rsidSect="00C7127B">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6B9F6" w14:textId="77777777" w:rsidR="007949B6" w:rsidRDefault="007949B6" w:rsidP="00C7127B">
      <w:pPr>
        <w:spacing w:after="0" w:line="240" w:lineRule="auto"/>
      </w:pPr>
      <w:r>
        <w:separator/>
      </w:r>
    </w:p>
  </w:endnote>
  <w:endnote w:type="continuationSeparator" w:id="0">
    <w:p w14:paraId="379DA984" w14:textId="77777777" w:rsidR="007949B6" w:rsidRDefault="007949B6" w:rsidP="00C71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1CEB6" w14:textId="77777777" w:rsidR="00C7127B" w:rsidRPr="00E05115" w:rsidRDefault="00C7127B" w:rsidP="00C7127B">
    <w:pPr>
      <w:spacing w:after="0" w:line="240" w:lineRule="auto"/>
      <w:rPr>
        <w:color w:val="23B0E6"/>
      </w:rPr>
    </w:pPr>
    <w:r w:rsidRPr="00E05115">
      <w:rPr>
        <w:color w:val="23B0E6"/>
      </w:rPr>
      <w:t>www.accan.org.au | info@accan.org.au | twitter: @ACCAN_AU</w:t>
    </w:r>
    <w:r>
      <w:rPr>
        <w:color w:val="23B0E6"/>
      </w:rPr>
      <w:tab/>
    </w:r>
    <w:r>
      <w:rPr>
        <w:color w:val="23B0E6"/>
      </w:rPr>
      <w:tab/>
    </w:r>
    <w:r>
      <w:rPr>
        <w:color w:val="23B0E6"/>
      </w:rPr>
      <w:tab/>
    </w:r>
    <w:r>
      <w:rPr>
        <w:color w:val="23B0E6"/>
      </w:rPr>
      <w:tab/>
    </w:r>
    <w:r>
      <w:rPr>
        <w:color w:val="23B0E6"/>
      </w:rPr>
      <w:tab/>
    </w:r>
    <w:r w:rsidRPr="00C4251E">
      <w:fldChar w:fldCharType="begin"/>
    </w:r>
    <w:r w:rsidRPr="00C4251E">
      <w:instrText xml:space="preserve"> PAGE   \* MERGEFORMAT </w:instrText>
    </w:r>
    <w:r w:rsidRPr="00C4251E">
      <w:fldChar w:fldCharType="separate"/>
    </w:r>
    <w:r w:rsidR="00A265E3">
      <w:rPr>
        <w:noProof/>
      </w:rPr>
      <w:t>2</w:t>
    </w:r>
    <w:r w:rsidRPr="00C4251E">
      <w:rPr>
        <w:noProof/>
      </w:rPr>
      <w:fldChar w:fldCharType="end"/>
    </w:r>
  </w:p>
  <w:p w14:paraId="3863E074" w14:textId="77777777" w:rsidR="00C7127B" w:rsidRDefault="00C712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43BD1" w14:textId="77777777" w:rsidR="007949B6" w:rsidRPr="00E05115" w:rsidRDefault="007949B6" w:rsidP="007949B6">
    <w:pPr>
      <w:spacing w:after="0"/>
      <w:ind w:hanging="567"/>
      <w:rPr>
        <w:color w:val="23B0E6"/>
      </w:rPr>
    </w:pPr>
    <w:r w:rsidRPr="00E05115">
      <w:rPr>
        <w:color w:val="23B0E6"/>
      </w:rPr>
      <w:t>Australian Communications Consumer Action Network (ACCAN)</w:t>
    </w:r>
  </w:p>
  <w:p w14:paraId="316792AC" w14:textId="77777777" w:rsidR="007949B6" w:rsidRDefault="007949B6" w:rsidP="007949B6">
    <w:pPr>
      <w:spacing w:after="0"/>
      <w:ind w:hanging="567"/>
      <w:rPr>
        <w:i/>
        <w:color w:val="23B0E6"/>
      </w:rPr>
    </w:pPr>
    <w:r w:rsidRPr="00E05115">
      <w:rPr>
        <w:i/>
        <w:color w:val="23B0E6"/>
      </w:rPr>
      <w:t xml:space="preserve">Australia’s peak </w:t>
    </w:r>
    <w:r>
      <w:rPr>
        <w:i/>
        <w:color w:val="23B0E6"/>
      </w:rPr>
      <w:t>body representing communications consumers</w:t>
    </w:r>
  </w:p>
  <w:p w14:paraId="6D72B0D7" w14:textId="77777777" w:rsidR="007949B6" w:rsidRPr="00E05115" w:rsidRDefault="007949B6" w:rsidP="007949B6">
    <w:pPr>
      <w:spacing w:after="0"/>
      <w:ind w:left="-567" w:hanging="567"/>
      <w:rPr>
        <w:i/>
        <w:color w:val="23B0E6"/>
      </w:rPr>
    </w:pPr>
    <w:r>
      <w:rPr>
        <w:noProof/>
      </w:rPr>
      <mc:AlternateContent>
        <mc:Choice Requires="wps">
          <w:drawing>
            <wp:anchor distT="0" distB="0" distL="114300" distR="114300" simplePos="0" relativeHeight="251665408" behindDoc="0" locked="0" layoutInCell="1" allowOverlap="1" wp14:anchorId="4548D06A" wp14:editId="15705604">
              <wp:simplePos x="0" y="0"/>
              <wp:positionH relativeFrom="column">
                <wp:posOffset>-396240</wp:posOffset>
              </wp:positionH>
              <wp:positionV relativeFrom="paragraph">
                <wp:posOffset>97155</wp:posOffset>
              </wp:positionV>
              <wp:extent cx="6461760" cy="0"/>
              <wp:effectExtent l="0" t="19050" r="15240" b="19050"/>
              <wp:wrapNone/>
              <wp:docPr id="1" name="Straight Connector 1"/>
              <wp:cNvGraphicFramePr/>
              <a:graphic xmlns:a="http://schemas.openxmlformats.org/drawingml/2006/main">
                <a:graphicData uri="http://schemas.microsoft.com/office/word/2010/wordprocessingShape">
                  <wps:wsp>
                    <wps:cNvCnPr/>
                    <wps:spPr>
                      <a:xfrm>
                        <a:off x="0" y="0"/>
                        <a:ext cx="6461760"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036C91" id="Straight Connector 1"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2pt,7.65pt" to="477.6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f+h3gEAAA4EAAAOAAAAZHJzL2Uyb0RvYy54bWysU9uO0zAQfUfiHyy/0yRdFFZR05Xosrwg&#10;qFj4ANexE0u+aWya9O8ZO2l2tSAkEC9Oxp45c84Ze3c3GU3OAoJytqXVpqREWO46ZfuWfv/28OaW&#10;khCZ7Zh2VrT0IgK9279+tRt9I7ZucLoTQBDEhmb0LR1i9E1RBD4Iw8LGeWHxUDowLGIIfdEBGxHd&#10;6GJblnUxOug8OC5CwN37+ZDuM76UgscvUgYRiW4pcot5hbye0lrsd6zpgflB8YUG+wcWhimLTVeo&#10;exYZ+QHqFyijOLjgZNxwZwonpeIia0A1VflCzePAvMha0JzgV5vC/4Pln89HIKrD2VFimcERPUZg&#10;qh8iOThr0UAHpEo+jT40mH6wR1ii4I+QRE8STPqiHDJlby+rt2KKhONm/bau3tU4An49K54KPYT4&#10;UThD0k9LtbJJNmvY+VOI2AxTrylpW1sytvTmtirLnBacVt2D0jodBuhPBw3kzHDk25v35Yc6sUeI&#10;Z2kYaYubSdOsIv/FixZzg69CoivIu5o7pPsoVljGubAxu5KRMDuVSaSwFi7U/lS45KdSke/q3xSv&#10;Fbmzs3EtNso6+B3tOF0pyzn/6sCsO1lwct0lzzdbg5cuO7c8kHSrn8e5/OkZ738CAAD//wMAUEsD&#10;BBQABgAIAAAAIQDrZFnD3gAAAAkBAAAPAAAAZHJzL2Rvd25yZXYueG1sTI/BTsJAEIbvJrzDZky8&#10;wdZCCdZuCSFgYmIiIN6X7tA2dGdrd4H69o7xIMeZ/8s/32Tz3jbigp2vHSl4HEUgkApnaioV7D/W&#10;wxkIHzQZ3ThCBd/oYZ4P7jKdGnelLV52oRRcQj7VCqoQ2lRKX1RotR+5Fomzo+usDjx2pTSdvnK5&#10;bWQcRVNpdU18odItLissTruzVbB+XbxtWv+1XFkr6Th+X31OXvZKPdz3i2cQAfvwD8OvPqtDzk4H&#10;dybjRaNgOI0njHKQjEEw8JQkMYjD30Lmmbz9IP8BAAD//wMAUEsBAi0AFAAGAAgAAAAhALaDOJL+&#10;AAAA4QEAABMAAAAAAAAAAAAAAAAAAAAAAFtDb250ZW50X1R5cGVzXS54bWxQSwECLQAUAAYACAAA&#10;ACEAOP0h/9YAAACUAQAACwAAAAAAAAAAAAAAAAAvAQAAX3JlbHMvLnJlbHNQSwECLQAUAAYACAAA&#10;ACEAe5H/od4BAAAOBAAADgAAAAAAAAAAAAAAAAAuAgAAZHJzL2Uyb0RvYy54bWxQSwECLQAUAAYA&#10;CAAAACEA62RZw94AAAAJAQAADwAAAAAAAAAAAAAAAAA4BAAAZHJzL2Rvd25yZXYueG1sUEsFBgAA&#10;AAAEAAQA8wAAAEMFAAAAAA==&#10;" strokecolor="#23b0e6" strokeweight="3pt"/>
          </w:pict>
        </mc:Fallback>
      </mc:AlternateContent>
    </w:r>
  </w:p>
  <w:p w14:paraId="63F71892" w14:textId="77777777" w:rsidR="007949B6" w:rsidRDefault="007949B6" w:rsidP="007949B6">
    <w:pPr>
      <w:spacing w:after="0"/>
      <w:ind w:hanging="567"/>
    </w:pPr>
    <w:r>
      <w:t>PO Box 639, Broadway NSW 2007</w:t>
    </w:r>
  </w:p>
  <w:p w14:paraId="19768B9B" w14:textId="77777777" w:rsidR="007949B6" w:rsidRDefault="007949B6" w:rsidP="007949B6">
    <w:pPr>
      <w:spacing w:after="0"/>
      <w:ind w:hanging="567"/>
    </w:pPr>
    <w:r>
      <w:t xml:space="preserve">Tel: (02) 9288 4000 | Fax: (02) 9288 4019 | Contact us through the </w:t>
    </w:r>
    <w:hyperlink r:id="rId1" w:history="1">
      <w:r w:rsidRPr="00FE6EAF">
        <w:rPr>
          <w:rStyle w:val="Hyperlink"/>
        </w:rPr>
        <w:t>National Relay Service</w:t>
      </w:r>
    </w:hyperlink>
  </w:p>
  <w:p w14:paraId="73D688BB" w14:textId="77777777" w:rsidR="00C7127B" w:rsidRPr="007949B6" w:rsidRDefault="007949B6" w:rsidP="007949B6">
    <w:pPr>
      <w:spacing w:after="0"/>
      <w:ind w:hanging="567"/>
      <w:rPr>
        <w:color w:val="23B0E6"/>
      </w:rPr>
    </w:pPr>
    <w:r w:rsidRPr="00E05115">
      <w:rPr>
        <w:color w:val="23B0E6"/>
      </w:rPr>
      <w:t>www.accan.org.au | info@accan.org.au | twitter: @ACCAN_AU</w:t>
    </w:r>
    <w:r>
      <w:rPr>
        <w:color w:val="23B0E6"/>
      </w:rPr>
      <w:t xml:space="preserve"> | www.facebook.com/accanau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E9AA7" w14:textId="77777777" w:rsidR="007949B6" w:rsidRDefault="007949B6" w:rsidP="00C7127B">
      <w:pPr>
        <w:spacing w:after="0" w:line="240" w:lineRule="auto"/>
      </w:pPr>
      <w:r>
        <w:separator/>
      </w:r>
    </w:p>
  </w:footnote>
  <w:footnote w:type="continuationSeparator" w:id="0">
    <w:p w14:paraId="283575BC" w14:textId="77777777" w:rsidR="007949B6" w:rsidRDefault="007949B6" w:rsidP="00C7127B">
      <w:pPr>
        <w:spacing w:after="0" w:line="240" w:lineRule="auto"/>
      </w:pPr>
      <w:r>
        <w:continuationSeparator/>
      </w:r>
    </w:p>
  </w:footnote>
  <w:footnote w:id="1">
    <w:p w14:paraId="00D6B6A0" w14:textId="6C659F5C" w:rsidR="00BF21BC" w:rsidRPr="004619F7" w:rsidRDefault="00BF21BC" w:rsidP="00BF21BC">
      <w:pPr>
        <w:pStyle w:val="FootnoteText"/>
        <w:rPr>
          <w:sz w:val="18"/>
          <w:szCs w:val="18"/>
          <w:lang w:val="en-US"/>
        </w:rPr>
      </w:pPr>
      <w:r w:rsidRPr="004619F7">
        <w:rPr>
          <w:rStyle w:val="FootnoteReference"/>
          <w:sz w:val="18"/>
          <w:szCs w:val="18"/>
        </w:rPr>
        <w:footnoteRef/>
      </w:r>
      <w:r w:rsidR="00950FFC" w:rsidRPr="004619F7">
        <w:rPr>
          <w:sz w:val="18"/>
          <w:szCs w:val="18"/>
        </w:rPr>
        <w:t xml:space="preserve"> ACCAN, </w:t>
      </w:r>
      <w:r w:rsidR="00950FFC" w:rsidRPr="004619F7">
        <w:rPr>
          <w:i/>
          <w:iCs/>
          <w:sz w:val="18"/>
          <w:szCs w:val="18"/>
        </w:rPr>
        <w:t>Submission to the Public inquiry on the access determination for Domestic Mobile Terminating Access Service position and consultation paper</w:t>
      </w:r>
      <w:r w:rsidR="00950FFC" w:rsidRPr="004619F7">
        <w:rPr>
          <w:sz w:val="18"/>
          <w:szCs w:val="18"/>
        </w:rPr>
        <w:t>, 10 January 2020. P.2. (ACCAN Submission)</w:t>
      </w:r>
      <w:r w:rsidR="00950FFC" w:rsidRPr="004619F7">
        <w:rPr>
          <w:sz w:val="18"/>
          <w:szCs w:val="18"/>
          <w:lang w:val="en-US"/>
        </w:rPr>
        <w:t xml:space="preserve"> </w:t>
      </w:r>
    </w:p>
  </w:footnote>
  <w:footnote w:id="2">
    <w:p w14:paraId="4828B8F2" w14:textId="0F670B65" w:rsidR="00BF21BC" w:rsidRPr="004619F7" w:rsidRDefault="00BF21BC" w:rsidP="00BF21BC">
      <w:pPr>
        <w:pStyle w:val="FootnoteText"/>
        <w:rPr>
          <w:sz w:val="18"/>
          <w:szCs w:val="18"/>
          <w:lang w:val="en-US"/>
        </w:rPr>
      </w:pPr>
      <w:r w:rsidRPr="004619F7">
        <w:rPr>
          <w:rStyle w:val="FootnoteReference"/>
          <w:sz w:val="18"/>
          <w:szCs w:val="18"/>
        </w:rPr>
        <w:footnoteRef/>
      </w:r>
      <w:r w:rsidRPr="004619F7">
        <w:rPr>
          <w:sz w:val="18"/>
          <w:szCs w:val="18"/>
        </w:rPr>
        <w:t xml:space="preserve"> </w:t>
      </w:r>
      <w:r w:rsidRPr="004619F7">
        <w:rPr>
          <w:sz w:val="18"/>
          <w:szCs w:val="18"/>
          <w:lang w:val="en-US"/>
        </w:rPr>
        <w:t xml:space="preserve">The ACCC, </w:t>
      </w:r>
      <w:r w:rsidR="00950FFC" w:rsidRPr="004619F7">
        <w:rPr>
          <w:i/>
          <w:iCs/>
          <w:sz w:val="18"/>
          <w:szCs w:val="18"/>
          <w:lang w:val="en-US"/>
        </w:rPr>
        <w:t xml:space="preserve">Public inquiry on the access determination for the Domestic Mobile Terminating Access Service Draft Report. </w:t>
      </w:r>
      <w:r w:rsidR="00950FFC" w:rsidRPr="004619F7">
        <w:rPr>
          <w:sz w:val="18"/>
          <w:szCs w:val="18"/>
          <w:lang w:val="en-US"/>
        </w:rPr>
        <w:t xml:space="preserve">May 2020. </w:t>
      </w:r>
      <w:r w:rsidR="004619F7" w:rsidRPr="004619F7">
        <w:rPr>
          <w:sz w:val="18"/>
          <w:szCs w:val="18"/>
          <w:lang w:val="en-US"/>
        </w:rPr>
        <w:t>P.48.</w:t>
      </w:r>
    </w:p>
  </w:footnote>
  <w:footnote w:id="3">
    <w:p w14:paraId="692CBF7E" w14:textId="399AA105" w:rsidR="000F3C47" w:rsidRPr="000F3C47" w:rsidRDefault="000F3C47">
      <w:pPr>
        <w:pStyle w:val="FootnoteText"/>
        <w:rPr>
          <w:lang w:val="en-US"/>
        </w:rPr>
      </w:pPr>
      <w:r w:rsidRPr="004619F7">
        <w:rPr>
          <w:rStyle w:val="FootnoteReference"/>
          <w:sz w:val="18"/>
          <w:szCs w:val="18"/>
        </w:rPr>
        <w:footnoteRef/>
      </w:r>
      <w:r w:rsidRPr="004619F7">
        <w:rPr>
          <w:sz w:val="18"/>
          <w:szCs w:val="18"/>
        </w:rPr>
        <w:t xml:space="preserve"> </w:t>
      </w:r>
      <w:r w:rsidRPr="004619F7">
        <w:rPr>
          <w:sz w:val="18"/>
          <w:szCs w:val="18"/>
          <w:lang w:val="en-US"/>
        </w:rPr>
        <w:t>The ACCC</w:t>
      </w:r>
      <w:r w:rsidR="004619F7" w:rsidRPr="004619F7">
        <w:rPr>
          <w:sz w:val="18"/>
          <w:szCs w:val="18"/>
          <w:lang w:val="en-US"/>
        </w:rPr>
        <w:t>, 2020. P.48</w:t>
      </w:r>
      <w:r w:rsidR="004619F7">
        <w:rPr>
          <w:lang w:val="en-US"/>
        </w:rPr>
        <w:t>.</w:t>
      </w:r>
    </w:p>
  </w:footnote>
  <w:footnote w:id="4">
    <w:p w14:paraId="5D4BE4D2" w14:textId="1B392D5C" w:rsidR="00BF21BC" w:rsidRPr="00F53919" w:rsidRDefault="00BF21BC" w:rsidP="00BF21BC">
      <w:pPr>
        <w:pStyle w:val="FootnoteText"/>
        <w:rPr>
          <w:lang w:val="en-US"/>
        </w:rPr>
      </w:pPr>
      <w:r w:rsidRPr="004619F7">
        <w:rPr>
          <w:rStyle w:val="FootnoteReference"/>
          <w:sz w:val="18"/>
          <w:szCs w:val="18"/>
        </w:rPr>
        <w:footnoteRef/>
      </w:r>
      <w:r w:rsidRPr="004619F7">
        <w:rPr>
          <w:sz w:val="18"/>
          <w:szCs w:val="18"/>
        </w:rPr>
        <w:t xml:space="preserve"> </w:t>
      </w:r>
      <w:r w:rsidR="004619F7" w:rsidRPr="004619F7">
        <w:rPr>
          <w:sz w:val="18"/>
          <w:szCs w:val="18"/>
          <w:lang w:val="en-US"/>
        </w:rPr>
        <w:t>The ACCC, 2020. P.</w:t>
      </w:r>
      <w:r w:rsidR="004619F7" w:rsidRPr="004619F7">
        <w:rPr>
          <w:sz w:val="18"/>
          <w:szCs w:val="18"/>
          <w:lang w:val="en-US"/>
        </w:rPr>
        <w:t>2</w:t>
      </w:r>
      <w:r w:rsidR="004619F7" w:rsidRPr="004619F7">
        <w:rPr>
          <w:sz w:val="18"/>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2843F" w14:textId="77777777" w:rsidR="00C7127B" w:rsidRDefault="00C7127B" w:rsidP="00983739">
    <w:pPr>
      <w:pStyle w:val="Header"/>
    </w:pPr>
    <w:r>
      <w:rPr>
        <w:noProof/>
      </w:rPr>
      <w:drawing>
        <wp:anchor distT="0" distB="0" distL="114300" distR="114300" simplePos="0" relativeHeight="251659264" behindDoc="1" locked="0" layoutInCell="1" allowOverlap="1" wp14:anchorId="02391F08" wp14:editId="64683452">
          <wp:simplePos x="0" y="0"/>
          <wp:positionH relativeFrom="column">
            <wp:posOffset>5029200</wp:posOffset>
          </wp:positionH>
          <wp:positionV relativeFrom="paragraph">
            <wp:posOffset>175260</wp:posOffset>
          </wp:positionV>
          <wp:extent cx="664682" cy="308131"/>
          <wp:effectExtent l="0" t="0" r="254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669899" cy="31054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0D49F" w14:textId="77777777" w:rsidR="00C7127B" w:rsidRDefault="00C7127B" w:rsidP="007949B6">
    <w:pPr>
      <w:pStyle w:val="Header"/>
      <w:jc w:val="right"/>
    </w:pPr>
    <w:r>
      <w:rPr>
        <w:noProof/>
      </w:rPr>
      <w:drawing>
        <wp:anchor distT="0" distB="0" distL="114300" distR="114300" simplePos="0" relativeHeight="251663360" behindDoc="1" locked="0" layoutInCell="1" allowOverlap="1" wp14:anchorId="0CAC1366" wp14:editId="4070DFDC">
          <wp:simplePos x="0" y="0"/>
          <wp:positionH relativeFrom="column">
            <wp:posOffset>4072890</wp:posOffset>
          </wp:positionH>
          <wp:positionV relativeFrom="paragraph">
            <wp:posOffset>332740</wp:posOffset>
          </wp:positionV>
          <wp:extent cx="1630800" cy="756000"/>
          <wp:effectExtent l="0" t="0" r="762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9B6"/>
    <w:rsid w:val="00002290"/>
    <w:rsid w:val="00062D6B"/>
    <w:rsid w:val="000F3C47"/>
    <w:rsid w:val="00155FA9"/>
    <w:rsid w:val="00282B4C"/>
    <w:rsid w:val="0042661C"/>
    <w:rsid w:val="004619F7"/>
    <w:rsid w:val="00480F62"/>
    <w:rsid w:val="00545597"/>
    <w:rsid w:val="0057431C"/>
    <w:rsid w:val="005A4845"/>
    <w:rsid w:val="006667CA"/>
    <w:rsid w:val="00697268"/>
    <w:rsid w:val="007949B6"/>
    <w:rsid w:val="00862115"/>
    <w:rsid w:val="00950FFC"/>
    <w:rsid w:val="00983739"/>
    <w:rsid w:val="00A265E3"/>
    <w:rsid w:val="00A72866"/>
    <w:rsid w:val="00AF630D"/>
    <w:rsid w:val="00BF21BC"/>
    <w:rsid w:val="00BF7342"/>
    <w:rsid w:val="00C7127B"/>
    <w:rsid w:val="00CC6A6E"/>
    <w:rsid w:val="00D71A1D"/>
    <w:rsid w:val="00DD58B8"/>
    <w:rsid w:val="00E24A4A"/>
    <w:rsid w:val="00FA5E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8408FA6"/>
  <w15:docId w15:val="{EC96D103-6B39-480D-A08D-5C8F7BD5C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2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27B"/>
  </w:style>
  <w:style w:type="paragraph" w:styleId="Footer">
    <w:name w:val="footer"/>
    <w:basedOn w:val="Normal"/>
    <w:link w:val="FooterChar"/>
    <w:uiPriority w:val="99"/>
    <w:unhideWhenUsed/>
    <w:rsid w:val="00C712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27B"/>
  </w:style>
  <w:style w:type="paragraph" w:customStyle="1" w:styleId="BodyText1">
    <w:name w:val="Body Text1"/>
    <w:basedOn w:val="Normal"/>
    <w:qFormat/>
    <w:rsid w:val="00C7127B"/>
    <w:rPr>
      <w:rFonts w:ascii="Arial" w:eastAsia="Calibri" w:hAnsi="Arial" w:cs="Arial"/>
      <w:color w:val="000000"/>
      <w:lang w:eastAsia="en-US"/>
    </w:rPr>
  </w:style>
  <w:style w:type="character" w:styleId="Hyperlink">
    <w:name w:val="Hyperlink"/>
    <w:basedOn w:val="DefaultParagraphFont"/>
    <w:uiPriority w:val="99"/>
    <w:unhideWhenUsed/>
    <w:rsid w:val="00C7127B"/>
    <w:rPr>
      <w:color w:val="0000FF" w:themeColor="hyperlink"/>
      <w:u w:val="single"/>
    </w:rPr>
  </w:style>
  <w:style w:type="table" w:styleId="TableGrid">
    <w:name w:val="Table Grid"/>
    <w:basedOn w:val="TableNormal"/>
    <w:uiPriority w:val="39"/>
    <w:rsid w:val="00BF21B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F21BC"/>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BF21BC"/>
    <w:rPr>
      <w:rFonts w:eastAsiaTheme="minorHAnsi"/>
      <w:sz w:val="20"/>
      <w:szCs w:val="20"/>
      <w:lang w:eastAsia="en-US"/>
    </w:rPr>
  </w:style>
  <w:style w:type="character" w:styleId="FootnoteReference">
    <w:name w:val="footnote reference"/>
    <w:basedOn w:val="DefaultParagraphFont"/>
    <w:uiPriority w:val="99"/>
    <w:semiHidden/>
    <w:unhideWhenUsed/>
    <w:rsid w:val="00BF21BC"/>
    <w:rPr>
      <w:vertAlign w:val="superscript"/>
    </w:rPr>
  </w:style>
  <w:style w:type="character" w:styleId="SubtleEmphasis">
    <w:name w:val="Subtle Emphasis"/>
    <w:basedOn w:val="DefaultParagraphFont"/>
    <w:uiPriority w:val="19"/>
    <w:qFormat/>
    <w:rsid w:val="00BF21BC"/>
    <w:rPr>
      <w:i/>
      <w:iCs/>
      <w:color w:val="404040" w:themeColor="text1" w:themeTint="BF"/>
    </w:rPr>
  </w:style>
  <w:style w:type="paragraph" w:styleId="BalloonText">
    <w:name w:val="Balloon Text"/>
    <w:basedOn w:val="Normal"/>
    <w:link w:val="BalloonTextChar"/>
    <w:uiPriority w:val="99"/>
    <w:semiHidden/>
    <w:unhideWhenUsed/>
    <w:rsid w:val="00950F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FFC"/>
    <w:rPr>
      <w:rFonts w:ascii="Segoe UI" w:hAnsi="Segoe UI" w:cs="Segoe UI"/>
      <w:sz w:val="18"/>
      <w:szCs w:val="18"/>
    </w:rPr>
  </w:style>
  <w:style w:type="character" w:styleId="UnresolvedMention">
    <w:name w:val="Unresolved Mention"/>
    <w:basedOn w:val="DefaultParagraphFont"/>
    <w:uiPriority w:val="99"/>
    <w:semiHidden/>
    <w:unhideWhenUsed/>
    <w:rsid w:val="00950F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50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TASInquiry@accc.gov.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relayservic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8\Short%20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1EF7F-2478-41D3-AE0B-D5BB4F7E8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 Submission Template</Template>
  <TotalTime>48</TotalTime>
  <Pages>2</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 Sarkoezy</dc:creator>
  <cp:lastModifiedBy>Megan Ward</cp:lastModifiedBy>
  <cp:revision>7</cp:revision>
  <dcterms:created xsi:type="dcterms:W3CDTF">2020-07-07T02:15:00Z</dcterms:created>
  <dcterms:modified xsi:type="dcterms:W3CDTF">2020-07-09T06:30:00Z</dcterms:modified>
</cp:coreProperties>
</file>