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670F" w14:textId="6550BD51" w:rsidR="002C0AE1" w:rsidRPr="00222CB4" w:rsidRDefault="002C0AE1" w:rsidP="0001711C">
      <w:pPr>
        <w:pStyle w:val="Letterhead1"/>
        <w:jc w:val="center"/>
        <w:rPr>
          <w:rFonts w:ascii="Calibri" w:hAnsi="Calibri" w:cs="Calibri"/>
        </w:rPr>
      </w:pPr>
      <w:bookmarkStart w:id="0" w:name="_Hlk95835868"/>
    </w:p>
    <w:p w14:paraId="1F7AD08C" w14:textId="1D755E7A" w:rsidR="00F120E2" w:rsidRPr="00222CB4" w:rsidRDefault="00F120E2" w:rsidP="00802B08">
      <w:pPr>
        <w:tabs>
          <w:tab w:val="left" w:pos="5070"/>
        </w:tabs>
        <w:rPr>
          <w:rFonts w:ascii="Calibri" w:hAnsi="Calibri" w:cs="Calibri"/>
          <w:b/>
          <w:bCs/>
          <w:lang w:val="en-US"/>
        </w:rPr>
      </w:pPr>
    </w:p>
    <w:p w14:paraId="09AE54D7" w14:textId="08D840D0" w:rsidR="00F120E2" w:rsidRPr="00222CB4" w:rsidRDefault="00F120E2" w:rsidP="002C0AE1">
      <w:pPr>
        <w:tabs>
          <w:tab w:val="left" w:pos="3855"/>
        </w:tabs>
        <w:rPr>
          <w:rFonts w:ascii="Calibri" w:hAnsi="Calibri" w:cs="Calibri"/>
          <w:b/>
          <w:bCs/>
          <w:lang w:val="en-US"/>
        </w:rPr>
      </w:pPr>
    </w:p>
    <w:p w14:paraId="701EADE9" w14:textId="77777777" w:rsidR="009E1508" w:rsidRPr="00222CB4" w:rsidRDefault="009E1508" w:rsidP="002C0AE1">
      <w:pPr>
        <w:tabs>
          <w:tab w:val="left" w:pos="3855"/>
        </w:tabs>
        <w:rPr>
          <w:rFonts w:ascii="Calibri" w:hAnsi="Calibri" w:cs="Calibri"/>
          <w:b/>
          <w:bCs/>
          <w:lang w:val="en-US"/>
        </w:rPr>
      </w:pPr>
    </w:p>
    <w:p w14:paraId="3CB2278F" w14:textId="77777777" w:rsidR="009E1508" w:rsidRPr="00222CB4" w:rsidRDefault="009E1508" w:rsidP="002C0AE1">
      <w:pPr>
        <w:tabs>
          <w:tab w:val="left" w:pos="3855"/>
        </w:tabs>
        <w:rPr>
          <w:rFonts w:ascii="Calibri" w:hAnsi="Calibri" w:cs="Calibri"/>
          <w:b/>
          <w:bCs/>
          <w:lang w:val="en-US"/>
        </w:rPr>
      </w:pPr>
    </w:p>
    <w:p w14:paraId="54C341D4" w14:textId="77777777" w:rsidR="009E1508" w:rsidRPr="00222CB4" w:rsidRDefault="009E1508" w:rsidP="002C0AE1">
      <w:pPr>
        <w:tabs>
          <w:tab w:val="left" w:pos="3855"/>
        </w:tabs>
        <w:rPr>
          <w:rFonts w:ascii="Calibri" w:hAnsi="Calibri" w:cs="Calibri"/>
          <w:b/>
          <w:bCs/>
          <w:lang w:val="en-US"/>
        </w:rPr>
      </w:pPr>
    </w:p>
    <w:p w14:paraId="50C56854" w14:textId="3F41AC1F" w:rsidR="009E1508" w:rsidRPr="00222CB4" w:rsidRDefault="009E1508" w:rsidP="002C0AE1">
      <w:pPr>
        <w:tabs>
          <w:tab w:val="left" w:pos="3855"/>
        </w:tabs>
        <w:rPr>
          <w:rFonts w:ascii="Calibri" w:hAnsi="Calibri" w:cs="Calibri"/>
          <w:b/>
          <w:bCs/>
          <w:lang w:val="en-US"/>
        </w:rPr>
      </w:pPr>
    </w:p>
    <w:bookmarkEnd w:id="0"/>
    <w:p w14:paraId="7172375D" w14:textId="7E482AC6" w:rsidR="006D0220" w:rsidRDefault="00FA0250" w:rsidP="00222CB4">
      <w:pPr>
        <w:tabs>
          <w:tab w:val="right" w:pos="9026"/>
        </w:tabs>
        <w:spacing w:before="120"/>
        <w:rPr>
          <w:b/>
          <w:bCs/>
          <w:color w:val="FFFFFF" w:themeColor="background1"/>
          <w:sz w:val="36"/>
          <w:szCs w:val="36"/>
          <w:lang w:val="en-US"/>
        </w:rPr>
      </w:pPr>
      <w:r w:rsidRPr="00FA0250">
        <w:rPr>
          <w:b/>
          <w:bCs/>
          <w:color w:val="FFFFFF" w:themeColor="background1"/>
          <w:sz w:val="36"/>
          <w:szCs w:val="36"/>
          <w:lang w:val="en-US"/>
        </w:rPr>
        <w:t xml:space="preserve">2025–26 Pre-Budget </w:t>
      </w:r>
      <w:r w:rsidR="000A7642">
        <w:rPr>
          <w:b/>
          <w:bCs/>
          <w:color w:val="FFFFFF" w:themeColor="background1"/>
          <w:sz w:val="36"/>
          <w:szCs w:val="36"/>
          <w:lang w:val="en-US"/>
        </w:rPr>
        <w:t>S</w:t>
      </w:r>
      <w:r w:rsidRPr="00FA0250">
        <w:rPr>
          <w:b/>
          <w:bCs/>
          <w:color w:val="FFFFFF" w:themeColor="background1"/>
          <w:sz w:val="36"/>
          <w:szCs w:val="36"/>
          <w:lang w:val="en-US"/>
        </w:rPr>
        <w:t>ubmission</w:t>
      </w:r>
    </w:p>
    <w:p w14:paraId="2E57FC7B" w14:textId="7EF1A6C3" w:rsidR="00FA0250" w:rsidRPr="00FA0250" w:rsidRDefault="00FA0250" w:rsidP="00222CB4">
      <w:pPr>
        <w:tabs>
          <w:tab w:val="right" w:pos="9026"/>
        </w:tabs>
        <w:spacing w:before="120"/>
        <w:rPr>
          <w:b/>
          <w:bCs/>
          <w:color w:val="FFFFFF" w:themeColor="background1"/>
          <w:sz w:val="36"/>
          <w:szCs w:val="36"/>
          <w:lang w:val="en-US"/>
        </w:rPr>
      </w:pPr>
    </w:p>
    <w:p w14:paraId="59DBF927" w14:textId="21834577" w:rsidR="007B3CF0" w:rsidRDefault="00B67AD3" w:rsidP="007B3CF0">
      <w:pPr>
        <w:tabs>
          <w:tab w:val="right" w:pos="9026"/>
        </w:tabs>
        <w:spacing w:before="120"/>
        <w:rPr>
          <w:rFonts w:cstheme="minorHAnsi"/>
        </w:rPr>
      </w:pPr>
      <w:r>
        <w:rPr>
          <w:rFonts w:cstheme="minorHAnsi"/>
          <w:b/>
          <w:bCs/>
          <w:sz w:val="28"/>
          <w:szCs w:val="28"/>
          <w:lang w:val="en-US"/>
        </w:rPr>
        <w:t>11</w:t>
      </w:r>
      <w:r w:rsidR="00394DDB">
        <w:rPr>
          <w:rFonts w:cstheme="minorHAnsi"/>
          <w:b/>
          <w:bCs/>
          <w:sz w:val="28"/>
          <w:szCs w:val="28"/>
          <w:lang w:val="en-US"/>
        </w:rPr>
        <w:t xml:space="preserve"> December</w:t>
      </w:r>
      <w:r w:rsidR="004E79CE" w:rsidRPr="00222CB4">
        <w:rPr>
          <w:rFonts w:cstheme="minorHAnsi"/>
          <w:b/>
          <w:bCs/>
          <w:sz w:val="28"/>
          <w:szCs w:val="28"/>
          <w:lang w:val="en-US"/>
        </w:rPr>
        <w:t xml:space="preserve"> 2024</w:t>
      </w:r>
    </w:p>
    <w:p w14:paraId="415E2AB3" w14:textId="77777777" w:rsidR="007B3CF0" w:rsidRPr="007B3CF0" w:rsidRDefault="007B3CF0" w:rsidP="007B3CF0">
      <w:pPr>
        <w:tabs>
          <w:tab w:val="right" w:pos="9026"/>
        </w:tabs>
        <w:spacing w:before="120"/>
        <w:rPr>
          <w:rFonts w:cstheme="minorHAnsi"/>
        </w:rPr>
      </w:pPr>
    </w:p>
    <w:p w14:paraId="605DAC72" w14:textId="7A243396" w:rsidR="001562DE" w:rsidRPr="009555C0" w:rsidRDefault="007B3CF0" w:rsidP="001562DE">
      <w:pPr>
        <w:rPr>
          <w:b/>
          <w:bCs/>
          <w:sz w:val="36"/>
          <w:szCs w:val="36"/>
        </w:rPr>
      </w:pPr>
      <w:r>
        <w:rPr>
          <w:b/>
          <w:bCs/>
          <w:sz w:val="36"/>
          <w:szCs w:val="36"/>
        </w:rPr>
        <w:t>R</w:t>
      </w:r>
      <w:r w:rsidR="00813AC5" w:rsidRPr="79B1E982">
        <w:rPr>
          <w:b/>
          <w:bCs/>
          <w:sz w:val="36"/>
          <w:szCs w:val="36"/>
        </w:rPr>
        <w:t>ecommendations</w:t>
      </w:r>
    </w:p>
    <w:p w14:paraId="3076E710" w14:textId="2D935CFC" w:rsidR="001562DE" w:rsidRDefault="00813AC5" w:rsidP="0021296C">
      <w:pPr>
        <w:pStyle w:val="Titlepagerecs"/>
      </w:pPr>
      <w:r>
        <w:t xml:space="preserve">This submission </w:t>
      </w:r>
      <w:r w:rsidR="00852733">
        <w:t>recommends</w:t>
      </w:r>
      <w:r w:rsidR="005C015C">
        <w:t xml:space="preserve"> the </w:t>
      </w:r>
      <w:r w:rsidR="00262E3F">
        <w:t xml:space="preserve">Australian </w:t>
      </w:r>
      <w:r w:rsidR="005C015C">
        <w:t xml:space="preserve">Government: </w:t>
      </w:r>
    </w:p>
    <w:p w14:paraId="5DD88A86" w14:textId="4196E598" w:rsidR="003905D5" w:rsidRPr="003F221C" w:rsidRDefault="003905D5" w:rsidP="79B1E982">
      <w:pPr>
        <w:rPr>
          <w:sz w:val="4"/>
          <w:szCs w:val="4"/>
        </w:rPr>
      </w:pPr>
    </w:p>
    <w:p w14:paraId="7609FA03" w14:textId="565383C3" w:rsidR="0092303D" w:rsidRDefault="005C015C" w:rsidP="0092303D">
      <w:pPr>
        <w:pStyle w:val="Titlepagerecs"/>
        <w:numPr>
          <w:ilvl w:val="0"/>
          <w:numId w:val="5"/>
        </w:numPr>
        <w:spacing w:line="240" w:lineRule="auto"/>
      </w:pPr>
      <w:r>
        <w:t>Allocate funding to</w:t>
      </w:r>
      <w:r w:rsidR="003F221C">
        <w:t xml:space="preserve"> establish a concessional broadband service for households receiving Commonwealth financial support.</w:t>
      </w:r>
    </w:p>
    <w:p w14:paraId="21FB8E77" w14:textId="77777777" w:rsidR="0092303D" w:rsidRPr="00E970B5" w:rsidRDefault="0092303D" w:rsidP="0092303D">
      <w:pPr>
        <w:rPr>
          <w:sz w:val="2"/>
          <w:szCs w:val="2"/>
        </w:rPr>
      </w:pPr>
    </w:p>
    <w:p w14:paraId="1B171057" w14:textId="48890C7B" w:rsidR="0092303D" w:rsidRDefault="0092303D" w:rsidP="0092303D">
      <w:pPr>
        <w:pStyle w:val="Titlepagerecs"/>
        <w:numPr>
          <w:ilvl w:val="0"/>
          <w:numId w:val="5"/>
        </w:numPr>
        <w:spacing w:line="240" w:lineRule="auto"/>
        <w:rPr>
          <w:lang w:val="en-US"/>
        </w:rPr>
      </w:pPr>
      <w:r w:rsidRPr="0092303D">
        <w:rPr>
          <w:lang w:val="en-US"/>
        </w:rPr>
        <w:t xml:space="preserve">Allocate funding to establish an independent </w:t>
      </w:r>
      <w:r w:rsidR="003D282F">
        <w:rPr>
          <w:lang w:val="en-US"/>
        </w:rPr>
        <w:t xml:space="preserve">plan </w:t>
      </w:r>
      <w:r w:rsidRPr="0092303D">
        <w:rPr>
          <w:lang w:val="en-US"/>
        </w:rPr>
        <w:t>comparison tool for the telecommunications market to assist consumers in finding a</w:t>
      </w:r>
      <w:r w:rsidR="00A20B28">
        <w:rPr>
          <w:lang w:val="en-US"/>
        </w:rPr>
        <w:t>n</w:t>
      </w:r>
      <w:r w:rsidRPr="0092303D">
        <w:rPr>
          <w:lang w:val="en-US"/>
        </w:rPr>
        <w:t xml:space="preserve"> affordable telecommunications service. </w:t>
      </w:r>
    </w:p>
    <w:p w14:paraId="56ADCD14" w14:textId="77777777" w:rsidR="0092303D" w:rsidRPr="00E970B5" w:rsidRDefault="0092303D" w:rsidP="0092303D">
      <w:pPr>
        <w:rPr>
          <w:sz w:val="2"/>
          <w:szCs w:val="2"/>
          <w:lang w:val="en-US"/>
        </w:rPr>
      </w:pPr>
    </w:p>
    <w:p w14:paraId="630244B3" w14:textId="5F564BCC" w:rsidR="0092303D" w:rsidRDefault="0092303D" w:rsidP="0092303D">
      <w:pPr>
        <w:pStyle w:val="Titlepagerecs"/>
        <w:numPr>
          <w:ilvl w:val="0"/>
          <w:numId w:val="5"/>
        </w:numPr>
        <w:spacing w:line="240" w:lineRule="auto"/>
        <w:rPr>
          <w:lang w:val="en-US"/>
        </w:rPr>
      </w:pPr>
      <w:r w:rsidRPr="0092303D">
        <w:rPr>
          <w:lang w:val="en-US"/>
        </w:rPr>
        <w:t>Establish a National Device Bank to provide free refurbished internet devices to a wide range of consumers</w:t>
      </w:r>
      <w:r w:rsidR="002B7CF0">
        <w:rPr>
          <w:lang w:val="en-US"/>
        </w:rPr>
        <w:t xml:space="preserve">. </w:t>
      </w:r>
    </w:p>
    <w:p w14:paraId="1E1C4D5C" w14:textId="77777777" w:rsidR="0092303D" w:rsidRPr="00E970B5" w:rsidRDefault="0092303D" w:rsidP="0092303D">
      <w:pPr>
        <w:rPr>
          <w:sz w:val="2"/>
          <w:szCs w:val="2"/>
          <w:lang w:val="en-US"/>
        </w:rPr>
      </w:pPr>
    </w:p>
    <w:p w14:paraId="07EE19B1" w14:textId="2595B858" w:rsidR="00FB15BC" w:rsidRDefault="00394DDB" w:rsidP="00FB15BC">
      <w:pPr>
        <w:pStyle w:val="Titlepagerecs"/>
        <w:numPr>
          <w:ilvl w:val="0"/>
          <w:numId w:val="5"/>
        </w:numPr>
        <w:spacing w:line="240" w:lineRule="auto"/>
        <w:rPr>
          <w:lang w:val="en-US"/>
        </w:rPr>
      </w:pPr>
      <w:r>
        <w:rPr>
          <w:lang w:val="en-US"/>
        </w:rPr>
        <w:t>Resource</w:t>
      </w:r>
      <w:r w:rsidRPr="0092303D">
        <w:rPr>
          <w:lang w:val="en-US"/>
        </w:rPr>
        <w:t xml:space="preserve"> </w:t>
      </w:r>
      <w:r w:rsidR="0092303D" w:rsidRPr="0092303D">
        <w:rPr>
          <w:lang w:val="en-US"/>
        </w:rPr>
        <w:t>and expand the Telecommunications Industry Ombudsman to become a Digital Communications Industry Ombudsman Scheme</w:t>
      </w:r>
      <w:r w:rsidR="00035B18">
        <w:rPr>
          <w:lang w:val="en-US"/>
        </w:rPr>
        <w:t>.</w:t>
      </w:r>
    </w:p>
    <w:p w14:paraId="33349DCD" w14:textId="77777777" w:rsidR="00FB15BC" w:rsidRPr="00F41910" w:rsidRDefault="00FB15BC" w:rsidP="00F41910">
      <w:pPr>
        <w:rPr>
          <w:sz w:val="2"/>
          <w:szCs w:val="2"/>
          <w:lang w:val="en-US"/>
        </w:rPr>
      </w:pPr>
    </w:p>
    <w:p w14:paraId="373C6CEC" w14:textId="7B38AC35" w:rsidR="00FB15BC" w:rsidRPr="00FB15BC" w:rsidRDefault="001301A2" w:rsidP="00FB15BC">
      <w:pPr>
        <w:pStyle w:val="Titlepagerecs"/>
        <w:numPr>
          <w:ilvl w:val="0"/>
          <w:numId w:val="5"/>
        </w:numPr>
        <w:spacing w:line="240" w:lineRule="auto"/>
        <w:rPr>
          <w:lang w:val="en-US"/>
        </w:rPr>
      </w:pPr>
      <w:r>
        <w:rPr>
          <w:lang w:val="en-US"/>
        </w:rPr>
        <w:t>Allocate funding to a</w:t>
      </w:r>
      <w:r w:rsidR="00FB15BC">
        <w:rPr>
          <w:lang w:val="en-US"/>
        </w:rPr>
        <w:t xml:space="preserve"> consumer voice for digital communications policy matters. </w:t>
      </w:r>
    </w:p>
    <w:p w14:paraId="21D1F6E9" w14:textId="77777777" w:rsidR="00035B18" w:rsidRPr="00AF5417" w:rsidRDefault="00035B18" w:rsidP="00AF5417">
      <w:pPr>
        <w:rPr>
          <w:sz w:val="2"/>
          <w:szCs w:val="2"/>
          <w:lang w:val="en-US"/>
        </w:rPr>
      </w:pPr>
    </w:p>
    <w:p w14:paraId="3C518512" w14:textId="04EB5621" w:rsidR="00035B18" w:rsidRPr="00035B18" w:rsidRDefault="00035B18" w:rsidP="00035B18">
      <w:pPr>
        <w:pStyle w:val="Titlepagerecs"/>
        <w:numPr>
          <w:ilvl w:val="0"/>
          <w:numId w:val="5"/>
        </w:numPr>
        <w:spacing w:line="240" w:lineRule="auto"/>
        <w:rPr>
          <w:lang w:val="en-US"/>
        </w:rPr>
      </w:pPr>
      <w:r>
        <w:rPr>
          <w:lang w:val="en-US"/>
        </w:rPr>
        <w:t>Continue and expand</w:t>
      </w:r>
      <w:r w:rsidR="00E804A9">
        <w:rPr>
          <w:lang w:val="en-US"/>
        </w:rPr>
        <w:t xml:space="preserve"> co-designed</w:t>
      </w:r>
      <w:r>
        <w:rPr>
          <w:lang w:val="en-US"/>
        </w:rPr>
        <w:t xml:space="preserve"> </w:t>
      </w:r>
      <w:r w:rsidR="00E804A9">
        <w:rPr>
          <w:lang w:val="en-US"/>
        </w:rPr>
        <w:t>c</w:t>
      </w:r>
      <w:r>
        <w:rPr>
          <w:lang w:val="en-US"/>
        </w:rPr>
        <w:t>ommunity Wi</w:t>
      </w:r>
      <w:r w:rsidR="00E804A9">
        <w:rPr>
          <w:lang w:val="en-US"/>
        </w:rPr>
        <w:t>-</w:t>
      </w:r>
      <w:r w:rsidR="0093367D">
        <w:rPr>
          <w:lang w:val="en-US"/>
        </w:rPr>
        <w:t>F</w:t>
      </w:r>
      <w:r>
        <w:rPr>
          <w:lang w:val="en-US"/>
        </w:rPr>
        <w:t xml:space="preserve">i </w:t>
      </w:r>
      <w:r w:rsidR="00E804A9">
        <w:rPr>
          <w:lang w:val="en-US"/>
        </w:rPr>
        <w:t>programs to support</w:t>
      </w:r>
      <w:r>
        <w:rPr>
          <w:lang w:val="en-US"/>
        </w:rPr>
        <w:t xml:space="preserve"> remote First Nations communities</w:t>
      </w:r>
      <w:r w:rsidR="00E804A9">
        <w:rPr>
          <w:lang w:val="en-US"/>
        </w:rPr>
        <w:t xml:space="preserve">. </w:t>
      </w:r>
    </w:p>
    <w:p w14:paraId="2DA8F5F0" w14:textId="77777777" w:rsidR="00E970B5" w:rsidRPr="00DE0D9A" w:rsidRDefault="00E970B5" w:rsidP="003F221C">
      <w:pPr>
        <w:rPr>
          <w:sz w:val="2"/>
          <w:szCs w:val="2"/>
        </w:rPr>
      </w:pPr>
    </w:p>
    <w:p w14:paraId="4A08C5E4" w14:textId="550D951B" w:rsidR="00DE0D9A" w:rsidRDefault="00203C4A" w:rsidP="00203C4A">
      <w:pPr>
        <w:pStyle w:val="Titlepagerecs"/>
        <w:numPr>
          <w:ilvl w:val="0"/>
          <w:numId w:val="5"/>
        </w:numPr>
        <w:spacing w:line="240" w:lineRule="auto"/>
        <w:rPr>
          <w:lang w:val="en-US"/>
        </w:rPr>
      </w:pPr>
      <w:bookmarkStart w:id="1" w:name="_Hlk183684603"/>
      <w:r>
        <w:rPr>
          <w:lang w:val="en-US"/>
        </w:rPr>
        <w:t>E</w:t>
      </w:r>
      <w:r w:rsidRPr="00203C4A">
        <w:rPr>
          <w:lang w:val="en-US"/>
        </w:rPr>
        <w:t xml:space="preserve">xpand </w:t>
      </w:r>
      <w:r>
        <w:rPr>
          <w:lang w:val="en-US"/>
        </w:rPr>
        <w:t>the</w:t>
      </w:r>
      <w:r w:rsidRPr="00203C4A">
        <w:rPr>
          <w:lang w:val="en-US"/>
        </w:rPr>
        <w:t xml:space="preserve"> Peri-Urban Mobile Program </w:t>
      </w:r>
      <w:r>
        <w:rPr>
          <w:lang w:val="en-US"/>
        </w:rPr>
        <w:t>and</w:t>
      </w:r>
      <w:r w:rsidRPr="00203C4A">
        <w:rPr>
          <w:lang w:val="en-US"/>
        </w:rPr>
        <w:t xml:space="preserve"> Mobile Black Spot Program to support more regions and communities</w:t>
      </w:r>
      <w:r w:rsidR="00AA35E7">
        <w:rPr>
          <w:lang w:val="en-US"/>
        </w:rPr>
        <w:t xml:space="preserve">. </w:t>
      </w:r>
    </w:p>
    <w:bookmarkEnd w:id="1"/>
    <w:p w14:paraId="2DC5C044" w14:textId="77777777" w:rsidR="00EA2CBE" w:rsidRPr="002B7CF0" w:rsidRDefault="00EA2CBE" w:rsidP="00EA2CBE">
      <w:pPr>
        <w:rPr>
          <w:sz w:val="2"/>
          <w:szCs w:val="2"/>
          <w:lang w:val="en-US"/>
        </w:rPr>
      </w:pPr>
    </w:p>
    <w:p w14:paraId="1AF2C01F" w14:textId="468EA507" w:rsidR="008C61B1" w:rsidRDefault="00EA2CBE" w:rsidP="008C61B1">
      <w:pPr>
        <w:pStyle w:val="Titlepagerecs"/>
        <w:numPr>
          <w:ilvl w:val="0"/>
          <w:numId w:val="5"/>
        </w:numPr>
        <w:spacing w:line="240" w:lineRule="auto"/>
        <w:rPr>
          <w:lang w:val="en-US"/>
        </w:rPr>
      </w:pPr>
      <w:r w:rsidRPr="431360AC">
        <w:rPr>
          <w:lang w:val="en-US"/>
        </w:rPr>
        <w:t>Establish direct regulation for telecommunications sales practices</w:t>
      </w:r>
      <w:r w:rsidR="00F41910" w:rsidRPr="431360AC">
        <w:rPr>
          <w:lang w:val="en-US"/>
        </w:rPr>
        <w:t xml:space="preserve">. </w:t>
      </w:r>
    </w:p>
    <w:p w14:paraId="3C83DB1E" w14:textId="77777777" w:rsidR="008C61B1" w:rsidRPr="008C61B1" w:rsidRDefault="008C61B1" w:rsidP="008C61B1">
      <w:pPr>
        <w:rPr>
          <w:sz w:val="2"/>
          <w:szCs w:val="2"/>
          <w:lang w:val="en-US"/>
        </w:rPr>
      </w:pPr>
    </w:p>
    <w:p w14:paraId="277A0EFA" w14:textId="769A07B5" w:rsidR="00B25C88" w:rsidRDefault="00BD5FDA" w:rsidP="00B25C88">
      <w:pPr>
        <w:pStyle w:val="Titlepagerecs"/>
        <w:numPr>
          <w:ilvl w:val="0"/>
          <w:numId w:val="5"/>
        </w:numPr>
        <w:spacing w:line="240" w:lineRule="auto"/>
        <w:rPr>
          <w:lang w:val="en-US"/>
        </w:rPr>
      </w:pPr>
      <w:r>
        <w:rPr>
          <w:lang w:val="en-US"/>
        </w:rPr>
        <w:t>D</w:t>
      </w:r>
      <w:r w:rsidRPr="00BD5FDA">
        <w:rPr>
          <w:lang w:val="en-US"/>
        </w:rPr>
        <w:t>evelop a long-term funding</w:t>
      </w:r>
      <w:r>
        <w:rPr>
          <w:lang w:val="en-US"/>
        </w:rPr>
        <w:t xml:space="preserve"> </w:t>
      </w:r>
      <w:r w:rsidRPr="00BD5FDA">
        <w:rPr>
          <w:lang w:val="en-US"/>
        </w:rPr>
        <w:t>arrangement for the Accessible Telecoms service</w:t>
      </w:r>
      <w:r>
        <w:rPr>
          <w:lang w:val="en-US"/>
        </w:rPr>
        <w:t xml:space="preserve">. </w:t>
      </w:r>
    </w:p>
    <w:p w14:paraId="45AD7A45" w14:textId="77777777" w:rsidR="00B25C88" w:rsidRPr="00F41910" w:rsidRDefault="00B25C88" w:rsidP="00F41910">
      <w:pPr>
        <w:rPr>
          <w:sz w:val="2"/>
          <w:szCs w:val="2"/>
          <w:lang w:val="en-US"/>
        </w:rPr>
      </w:pPr>
    </w:p>
    <w:p w14:paraId="17FC34FA" w14:textId="40FA8725" w:rsidR="00FB15BC" w:rsidRPr="00FB15BC" w:rsidRDefault="00B25C88" w:rsidP="00F41910">
      <w:pPr>
        <w:pStyle w:val="Titlepagerecs"/>
        <w:numPr>
          <w:ilvl w:val="0"/>
          <w:numId w:val="5"/>
        </w:numPr>
        <w:spacing w:line="240" w:lineRule="auto"/>
        <w:rPr>
          <w:lang w:val="en-US"/>
        </w:rPr>
      </w:pPr>
      <w:r>
        <w:t>A</w:t>
      </w:r>
      <w:r w:rsidRPr="00B25C88">
        <w:t>llocate funding to ensure government websites are compliant with the WCAG 2.1 AA and successor standards</w:t>
      </w:r>
      <w:r w:rsidR="08A7DC91">
        <w:t>.</w:t>
      </w:r>
    </w:p>
    <w:p w14:paraId="3A3EB986" w14:textId="77777777" w:rsidR="008C61B1" w:rsidRPr="008C61B1" w:rsidRDefault="008C61B1" w:rsidP="008C61B1">
      <w:pPr>
        <w:rPr>
          <w:lang w:val="en-US"/>
        </w:rPr>
      </w:pPr>
    </w:p>
    <w:p w14:paraId="3FE0C891" w14:textId="6BA59692" w:rsidR="38ED7F1F" w:rsidRPr="002D1FF6" w:rsidRDefault="38ED7F1F" w:rsidP="002D1FF6">
      <w:pPr>
        <w:spacing w:before="240"/>
        <w:rPr>
          <w:b/>
          <w:bCs/>
          <w:sz w:val="36"/>
          <w:szCs w:val="36"/>
        </w:rPr>
        <w:sectPr w:rsidR="38ED7F1F" w:rsidRPr="002D1FF6" w:rsidSect="00E53D5F">
          <w:headerReference w:type="even" r:id="rId11"/>
          <w:headerReference w:type="default" r:id="rId12"/>
          <w:footerReference w:type="default" r:id="rId13"/>
          <w:footerReference w:type="first" r:id="rId14"/>
          <w:pgSz w:w="11906" w:h="16838"/>
          <w:pgMar w:top="1418" w:right="1440" w:bottom="568" w:left="1440" w:header="454" w:footer="227" w:gutter="0"/>
          <w:cols w:space="708"/>
          <w:docGrid w:linePitch="360"/>
        </w:sectPr>
      </w:pPr>
    </w:p>
    <w:sdt>
      <w:sdtPr>
        <w:rPr>
          <w:rFonts w:eastAsiaTheme="minorEastAsia" w:cstheme="minorBidi"/>
          <w:b w:val="0"/>
          <w:color w:val="auto"/>
          <w:sz w:val="22"/>
          <w:szCs w:val="22"/>
          <w:lang w:val="en-AU" w:eastAsia="en-AU"/>
        </w:rPr>
        <w:id w:val="-1348175451"/>
        <w:docPartObj>
          <w:docPartGallery w:val="Table of Contents"/>
          <w:docPartUnique/>
        </w:docPartObj>
      </w:sdtPr>
      <w:sdtEndPr/>
      <w:sdtContent>
        <w:p w14:paraId="792FA81E" w14:textId="77777777" w:rsidR="009A28AC" w:rsidRPr="00AF5417" w:rsidRDefault="009A28AC" w:rsidP="009A28AC">
          <w:pPr>
            <w:pStyle w:val="TOCHeading"/>
            <w:rPr>
              <w:b w:val="0"/>
              <w:bCs/>
            </w:rPr>
          </w:pPr>
          <w:r w:rsidRPr="00AF5417">
            <w:rPr>
              <w:b w:val="0"/>
              <w:bCs/>
            </w:rPr>
            <w:t>Contents</w:t>
          </w:r>
        </w:p>
        <w:p w14:paraId="5AC0CD28" w14:textId="1E1B3A49" w:rsidR="00FB15BC" w:rsidRPr="001301A2" w:rsidRDefault="009A28AC">
          <w:pPr>
            <w:pStyle w:val="TOC1"/>
            <w:tabs>
              <w:tab w:val="right" w:leader="dot" w:pos="9016"/>
            </w:tabs>
            <w:rPr>
              <w:noProof/>
              <w:kern w:val="2"/>
              <w:sz w:val="24"/>
              <w:szCs w:val="24"/>
              <w:lang w:val="en-US" w:eastAsia="en-US"/>
              <w14:ligatures w14:val="standardContextual"/>
            </w:rPr>
          </w:pPr>
          <w:r w:rsidRPr="00AF5417">
            <w:rPr>
              <w:bCs/>
            </w:rPr>
            <w:fldChar w:fldCharType="begin"/>
          </w:r>
          <w:r w:rsidRPr="004D72FB">
            <w:rPr>
              <w:bCs/>
            </w:rPr>
            <w:instrText xml:space="preserve"> TOC \o "1-3" \h \z \u </w:instrText>
          </w:r>
          <w:r w:rsidRPr="00AF5417">
            <w:rPr>
              <w:bCs/>
            </w:rPr>
            <w:fldChar w:fldCharType="separate"/>
          </w:r>
          <w:hyperlink w:anchor="_Toc184811973" w:history="1">
            <w:r w:rsidR="00FB15BC" w:rsidRPr="001301A2">
              <w:rPr>
                <w:rStyle w:val="Hyperlink"/>
                <w:noProof/>
              </w:rPr>
              <w:t>About this submission</w:t>
            </w:r>
            <w:r w:rsidR="00FB15BC" w:rsidRPr="001301A2">
              <w:rPr>
                <w:noProof/>
                <w:webHidden/>
              </w:rPr>
              <w:tab/>
            </w:r>
            <w:r w:rsidR="00FB15BC" w:rsidRPr="001301A2">
              <w:rPr>
                <w:noProof/>
                <w:webHidden/>
              </w:rPr>
              <w:fldChar w:fldCharType="begin"/>
            </w:r>
            <w:r w:rsidR="00FB15BC" w:rsidRPr="001301A2">
              <w:rPr>
                <w:noProof/>
                <w:webHidden/>
              </w:rPr>
              <w:instrText xml:space="preserve"> PAGEREF _Toc184811973 \h </w:instrText>
            </w:r>
            <w:r w:rsidR="00FB15BC" w:rsidRPr="001301A2">
              <w:rPr>
                <w:noProof/>
                <w:webHidden/>
              </w:rPr>
            </w:r>
            <w:r w:rsidR="00FB15BC" w:rsidRPr="001301A2">
              <w:rPr>
                <w:noProof/>
                <w:webHidden/>
              </w:rPr>
              <w:fldChar w:fldCharType="separate"/>
            </w:r>
            <w:r w:rsidR="00EF0262">
              <w:rPr>
                <w:noProof/>
                <w:webHidden/>
              </w:rPr>
              <w:t>3</w:t>
            </w:r>
            <w:r w:rsidR="00FB15BC" w:rsidRPr="001301A2">
              <w:rPr>
                <w:noProof/>
                <w:webHidden/>
              </w:rPr>
              <w:fldChar w:fldCharType="end"/>
            </w:r>
          </w:hyperlink>
        </w:p>
        <w:p w14:paraId="318B5139" w14:textId="06762BA3"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74" w:history="1">
            <w:r w:rsidRPr="001301A2">
              <w:rPr>
                <w:rStyle w:val="Hyperlink"/>
                <w:noProof/>
                <w:lang w:val="en-US"/>
              </w:rPr>
              <w:t>Introduction</w:t>
            </w:r>
            <w:r w:rsidRPr="001301A2">
              <w:rPr>
                <w:noProof/>
                <w:webHidden/>
              </w:rPr>
              <w:tab/>
            </w:r>
            <w:r w:rsidRPr="001301A2">
              <w:rPr>
                <w:noProof/>
                <w:webHidden/>
              </w:rPr>
              <w:fldChar w:fldCharType="begin"/>
            </w:r>
            <w:r w:rsidRPr="001301A2">
              <w:rPr>
                <w:noProof/>
                <w:webHidden/>
              </w:rPr>
              <w:instrText xml:space="preserve"> PAGEREF _Toc184811974 \h </w:instrText>
            </w:r>
            <w:r w:rsidRPr="001301A2">
              <w:rPr>
                <w:noProof/>
                <w:webHidden/>
              </w:rPr>
            </w:r>
            <w:r w:rsidRPr="001301A2">
              <w:rPr>
                <w:noProof/>
                <w:webHidden/>
              </w:rPr>
              <w:fldChar w:fldCharType="separate"/>
            </w:r>
            <w:r w:rsidR="00EF0262">
              <w:rPr>
                <w:noProof/>
                <w:webHidden/>
              </w:rPr>
              <w:t>3</w:t>
            </w:r>
            <w:r w:rsidRPr="001301A2">
              <w:rPr>
                <w:noProof/>
                <w:webHidden/>
              </w:rPr>
              <w:fldChar w:fldCharType="end"/>
            </w:r>
          </w:hyperlink>
        </w:p>
        <w:p w14:paraId="48B7BB71" w14:textId="60D9503D"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75" w:history="1">
            <w:r w:rsidRPr="001301A2">
              <w:rPr>
                <w:rStyle w:val="Hyperlink"/>
                <w:noProof/>
              </w:rPr>
              <w:t>Action on communications affordability</w:t>
            </w:r>
            <w:r w:rsidRPr="001301A2">
              <w:rPr>
                <w:noProof/>
                <w:webHidden/>
              </w:rPr>
              <w:tab/>
            </w:r>
            <w:r w:rsidRPr="001301A2">
              <w:rPr>
                <w:noProof/>
                <w:webHidden/>
              </w:rPr>
              <w:fldChar w:fldCharType="begin"/>
            </w:r>
            <w:r w:rsidRPr="001301A2">
              <w:rPr>
                <w:noProof/>
                <w:webHidden/>
              </w:rPr>
              <w:instrText xml:space="preserve"> PAGEREF _Toc184811975 \h </w:instrText>
            </w:r>
            <w:r w:rsidRPr="001301A2">
              <w:rPr>
                <w:noProof/>
                <w:webHidden/>
              </w:rPr>
            </w:r>
            <w:r w:rsidRPr="001301A2">
              <w:rPr>
                <w:noProof/>
                <w:webHidden/>
              </w:rPr>
              <w:fldChar w:fldCharType="separate"/>
            </w:r>
            <w:r w:rsidR="00EF0262">
              <w:rPr>
                <w:noProof/>
                <w:webHidden/>
              </w:rPr>
              <w:t>3</w:t>
            </w:r>
            <w:r w:rsidRPr="001301A2">
              <w:rPr>
                <w:noProof/>
                <w:webHidden/>
              </w:rPr>
              <w:fldChar w:fldCharType="end"/>
            </w:r>
          </w:hyperlink>
        </w:p>
        <w:p w14:paraId="4B9EBFAF" w14:textId="60DB22C1" w:rsidR="00FB15BC" w:rsidRPr="001301A2" w:rsidRDefault="00FB15BC">
          <w:pPr>
            <w:pStyle w:val="TOC3"/>
            <w:tabs>
              <w:tab w:val="right" w:leader="dot" w:pos="9016"/>
            </w:tabs>
            <w:rPr>
              <w:rFonts w:cstheme="minorBidi"/>
              <w:noProof/>
              <w:kern w:val="2"/>
              <w:sz w:val="24"/>
              <w:szCs w:val="24"/>
              <w14:ligatures w14:val="standardContextual"/>
            </w:rPr>
          </w:pPr>
          <w:hyperlink w:anchor="_Toc184811976" w:history="1">
            <w:r w:rsidRPr="00F41910">
              <w:rPr>
                <w:rStyle w:val="Hyperlink"/>
                <w:noProof/>
              </w:rPr>
              <w:t>Establishing a concessional broadband product</w:t>
            </w:r>
            <w:r w:rsidRPr="001301A2">
              <w:rPr>
                <w:noProof/>
                <w:webHidden/>
              </w:rPr>
              <w:tab/>
            </w:r>
            <w:r w:rsidRPr="001301A2">
              <w:rPr>
                <w:noProof/>
                <w:webHidden/>
              </w:rPr>
              <w:fldChar w:fldCharType="begin"/>
            </w:r>
            <w:r w:rsidRPr="001301A2">
              <w:rPr>
                <w:noProof/>
                <w:webHidden/>
              </w:rPr>
              <w:instrText xml:space="preserve"> PAGEREF _Toc184811976 \h </w:instrText>
            </w:r>
            <w:r w:rsidRPr="001301A2">
              <w:rPr>
                <w:noProof/>
                <w:webHidden/>
              </w:rPr>
            </w:r>
            <w:r w:rsidRPr="001301A2">
              <w:rPr>
                <w:noProof/>
                <w:webHidden/>
              </w:rPr>
              <w:fldChar w:fldCharType="separate"/>
            </w:r>
            <w:r w:rsidR="00EF0262">
              <w:rPr>
                <w:noProof/>
                <w:webHidden/>
              </w:rPr>
              <w:t>3</w:t>
            </w:r>
            <w:r w:rsidRPr="001301A2">
              <w:rPr>
                <w:noProof/>
                <w:webHidden/>
              </w:rPr>
              <w:fldChar w:fldCharType="end"/>
            </w:r>
          </w:hyperlink>
        </w:p>
        <w:p w14:paraId="242C6A0D" w14:textId="63F9694E" w:rsidR="00FB15BC" w:rsidRPr="001301A2" w:rsidRDefault="00FB15BC">
          <w:pPr>
            <w:pStyle w:val="TOC3"/>
            <w:tabs>
              <w:tab w:val="right" w:leader="dot" w:pos="9016"/>
            </w:tabs>
            <w:rPr>
              <w:rFonts w:cstheme="minorBidi"/>
              <w:noProof/>
              <w:kern w:val="2"/>
              <w:sz w:val="24"/>
              <w:szCs w:val="24"/>
              <w14:ligatures w14:val="standardContextual"/>
            </w:rPr>
          </w:pPr>
          <w:hyperlink w:anchor="_Toc184811977" w:history="1">
            <w:r w:rsidRPr="00F41910">
              <w:rPr>
                <w:rStyle w:val="Hyperlink"/>
                <w:noProof/>
              </w:rPr>
              <w:t>Establishing an independent plan comparison tool for the telecommunications sector</w:t>
            </w:r>
            <w:r w:rsidRPr="001301A2">
              <w:rPr>
                <w:noProof/>
                <w:webHidden/>
              </w:rPr>
              <w:tab/>
            </w:r>
            <w:r w:rsidRPr="001301A2">
              <w:rPr>
                <w:noProof/>
                <w:webHidden/>
              </w:rPr>
              <w:fldChar w:fldCharType="begin"/>
            </w:r>
            <w:r w:rsidRPr="001301A2">
              <w:rPr>
                <w:noProof/>
                <w:webHidden/>
              </w:rPr>
              <w:instrText xml:space="preserve"> PAGEREF _Toc184811977 \h </w:instrText>
            </w:r>
            <w:r w:rsidRPr="001301A2">
              <w:rPr>
                <w:noProof/>
                <w:webHidden/>
              </w:rPr>
            </w:r>
            <w:r w:rsidRPr="001301A2">
              <w:rPr>
                <w:noProof/>
                <w:webHidden/>
              </w:rPr>
              <w:fldChar w:fldCharType="separate"/>
            </w:r>
            <w:r w:rsidR="00EF0262">
              <w:rPr>
                <w:noProof/>
                <w:webHidden/>
              </w:rPr>
              <w:t>5</w:t>
            </w:r>
            <w:r w:rsidRPr="001301A2">
              <w:rPr>
                <w:noProof/>
                <w:webHidden/>
              </w:rPr>
              <w:fldChar w:fldCharType="end"/>
            </w:r>
          </w:hyperlink>
        </w:p>
        <w:p w14:paraId="56ED4784" w14:textId="10A6D974" w:rsidR="00FB15BC" w:rsidRPr="001301A2" w:rsidRDefault="00FB15BC">
          <w:pPr>
            <w:pStyle w:val="TOC3"/>
            <w:tabs>
              <w:tab w:val="right" w:leader="dot" w:pos="9016"/>
            </w:tabs>
            <w:rPr>
              <w:rFonts w:cstheme="minorBidi"/>
              <w:noProof/>
              <w:kern w:val="2"/>
              <w:sz w:val="24"/>
              <w:szCs w:val="24"/>
              <w14:ligatures w14:val="standardContextual"/>
            </w:rPr>
          </w:pPr>
          <w:hyperlink w:anchor="_Toc184811978" w:history="1">
            <w:r w:rsidRPr="00F41910">
              <w:rPr>
                <w:rStyle w:val="Hyperlink"/>
                <w:noProof/>
              </w:rPr>
              <w:t>Establishing a national device bank to assist a broad range of consumer cohorts</w:t>
            </w:r>
            <w:r w:rsidRPr="001301A2">
              <w:rPr>
                <w:noProof/>
                <w:webHidden/>
              </w:rPr>
              <w:tab/>
            </w:r>
            <w:r w:rsidRPr="001301A2">
              <w:rPr>
                <w:noProof/>
                <w:webHidden/>
              </w:rPr>
              <w:fldChar w:fldCharType="begin"/>
            </w:r>
            <w:r w:rsidRPr="001301A2">
              <w:rPr>
                <w:noProof/>
                <w:webHidden/>
              </w:rPr>
              <w:instrText xml:space="preserve"> PAGEREF _Toc184811978 \h </w:instrText>
            </w:r>
            <w:r w:rsidRPr="001301A2">
              <w:rPr>
                <w:noProof/>
                <w:webHidden/>
              </w:rPr>
            </w:r>
            <w:r w:rsidRPr="001301A2">
              <w:rPr>
                <w:noProof/>
                <w:webHidden/>
              </w:rPr>
              <w:fldChar w:fldCharType="separate"/>
            </w:r>
            <w:r w:rsidR="00EF0262">
              <w:rPr>
                <w:noProof/>
                <w:webHidden/>
              </w:rPr>
              <w:t>6</w:t>
            </w:r>
            <w:r w:rsidRPr="001301A2">
              <w:rPr>
                <w:noProof/>
                <w:webHidden/>
              </w:rPr>
              <w:fldChar w:fldCharType="end"/>
            </w:r>
          </w:hyperlink>
        </w:p>
        <w:p w14:paraId="67DD8824" w14:textId="149EFE7D"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79" w:history="1">
            <w:r w:rsidRPr="001301A2">
              <w:rPr>
                <w:rStyle w:val="Hyperlink"/>
                <w:noProof/>
              </w:rPr>
              <w:t>Expand the TIO to become a Digital Communications Industry Ombudsman Scheme</w:t>
            </w:r>
            <w:r w:rsidRPr="001301A2">
              <w:rPr>
                <w:noProof/>
                <w:webHidden/>
              </w:rPr>
              <w:tab/>
            </w:r>
            <w:r w:rsidRPr="001301A2">
              <w:rPr>
                <w:noProof/>
                <w:webHidden/>
              </w:rPr>
              <w:fldChar w:fldCharType="begin"/>
            </w:r>
            <w:r w:rsidRPr="001301A2">
              <w:rPr>
                <w:noProof/>
                <w:webHidden/>
              </w:rPr>
              <w:instrText xml:space="preserve"> PAGEREF _Toc184811979 \h </w:instrText>
            </w:r>
            <w:r w:rsidRPr="001301A2">
              <w:rPr>
                <w:noProof/>
                <w:webHidden/>
              </w:rPr>
            </w:r>
            <w:r w:rsidRPr="001301A2">
              <w:rPr>
                <w:noProof/>
                <w:webHidden/>
              </w:rPr>
              <w:fldChar w:fldCharType="separate"/>
            </w:r>
            <w:r w:rsidR="00EF0262">
              <w:rPr>
                <w:noProof/>
                <w:webHidden/>
              </w:rPr>
              <w:t>8</w:t>
            </w:r>
            <w:r w:rsidRPr="001301A2">
              <w:rPr>
                <w:noProof/>
                <w:webHidden/>
              </w:rPr>
              <w:fldChar w:fldCharType="end"/>
            </w:r>
          </w:hyperlink>
        </w:p>
        <w:p w14:paraId="38BCAA37" w14:textId="3363447C"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80" w:history="1">
            <w:r w:rsidRPr="001301A2">
              <w:rPr>
                <w:rStyle w:val="Hyperlink"/>
                <w:noProof/>
              </w:rPr>
              <w:t>Supporting consumer representation in digital platforms policy</w:t>
            </w:r>
            <w:r w:rsidRPr="001301A2">
              <w:rPr>
                <w:noProof/>
                <w:webHidden/>
              </w:rPr>
              <w:tab/>
            </w:r>
            <w:r w:rsidRPr="001301A2">
              <w:rPr>
                <w:noProof/>
                <w:webHidden/>
              </w:rPr>
              <w:fldChar w:fldCharType="begin"/>
            </w:r>
            <w:r w:rsidRPr="001301A2">
              <w:rPr>
                <w:noProof/>
                <w:webHidden/>
              </w:rPr>
              <w:instrText xml:space="preserve"> PAGEREF _Toc184811980 \h </w:instrText>
            </w:r>
            <w:r w:rsidRPr="001301A2">
              <w:rPr>
                <w:noProof/>
                <w:webHidden/>
              </w:rPr>
            </w:r>
            <w:r w:rsidRPr="001301A2">
              <w:rPr>
                <w:noProof/>
                <w:webHidden/>
              </w:rPr>
              <w:fldChar w:fldCharType="separate"/>
            </w:r>
            <w:r w:rsidR="00EF0262">
              <w:rPr>
                <w:noProof/>
                <w:webHidden/>
              </w:rPr>
              <w:t>9</w:t>
            </w:r>
            <w:r w:rsidRPr="001301A2">
              <w:rPr>
                <w:noProof/>
                <w:webHidden/>
              </w:rPr>
              <w:fldChar w:fldCharType="end"/>
            </w:r>
          </w:hyperlink>
        </w:p>
        <w:p w14:paraId="38DAD15A" w14:textId="7BAB0BCF"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81" w:history="1">
            <w:r w:rsidRPr="001301A2">
              <w:rPr>
                <w:rStyle w:val="Hyperlink"/>
                <w:noProof/>
              </w:rPr>
              <w:t>Consumers need fit-for-purpose and reliable communications</w:t>
            </w:r>
            <w:r w:rsidRPr="001301A2">
              <w:rPr>
                <w:noProof/>
                <w:webHidden/>
              </w:rPr>
              <w:tab/>
            </w:r>
            <w:r w:rsidRPr="001301A2">
              <w:rPr>
                <w:noProof/>
                <w:webHidden/>
              </w:rPr>
              <w:fldChar w:fldCharType="begin"/>
            </w:r>
            <w:r w:rsidRPr="001301A2">
              <w:rPr>
                <w:noProof/>
                <w:webHidden/>
              </w:rPr>
              <w:instrText xml:space="preserve"> PAGEREF _Toc184811981 \h </w:instrText>
            </w:r>
            <w:r w:rsidRPr="001301A2">
              <w:rPr>
                <w:noProof/>
                <w:webHidden/>
              </w:rPr>
            </w:r>
            <w:r w:rsidRPr="001301A2">
              <w:rPr>
                <w:noProof/>
                <w:webHidden/>
              </w:rPr>
              <w:fldChar w:fldCharType="separate"/>
            </w:r>
            <w:r w:rsidR="00EF0262">
              <w:rPr>
                <w:noProof/>
                <w:webHidden/>
              </w:rPr>
              <w:t>9</w:t>
            </w:r>
            <w:r w:rsidRPr="001301A2">
              <w:rPr>
                <w:noProof/>
                <w:webHidden/>
              </w:rPr>
              <w:fldChar w:fldCharType="end"/>
            </w:r>
          </w:hyperlink>
        </w:p>
        <w:p w14:paraId="3D9E4D93" w14:textId="18204DA6" w:rsidR="00FB15BC" w:rsidRPr="001301A2" w:rsidRDefault="00FB15BC">
          <w:pPr>
            <w:pStyle w:val="TOC3"/>
            <w:tabs>
              <w:tab w:val="right" w:leader="dot" w:pos="9016"/>
            </w:tabs>
            <w:rPr>
              <w:rFonts w:cstheme="minorBidi"/>
              <w:noProof/>
              <w:kern w:val="2"/>
              <w:sz w:val="24"/>
              <w:szCs w:val="24"/>
              <w14:ligatures w14:val="standardContextual"/>
            </w:rPr>
          </w:pPr>
          <w:hyperlink w:anchor="_Toc184811982" w:history="1">
            <w:r w:rsidRPr="00F41910">
              <w:rPr>
                <w:rStyle w:val="Hyperlink"/>
                <w:noProof/>
              </w:rPr>
              <w:t>Improving communications resilience</w:t>
            </w:r>
            <w:r w:rsidRPr="001301A2">
              <w:rPr>
                <w:noProof/>
                <w:webHidden/>
              </w:rPr>
              <w:tab/>
            </w:r>
            <w:r w:rsidRPr="001301A2">
              <w:rPr>
                <w:noProof/>
                <w:webHidden/>
              </w:rPr>
              <w:fldChar w:fldCharType="begin"/>
            </w:r>
            <w:r w:rsidRPr="001301A2">
              <w:rPr>
                <w:noProof/>
                <w:webHidden/>
              </w:rPr>
              <w:instrText xml:space="preserve"> PAGEREF _Toc184811982 \h </w:instrText>
            </w:r>
            <w:r w:rsidRPr="001301A2">
              <w:rPr>
                <w:noProof/>
                <w:webHidden/>
              </w:rPr>
            </w:r>
            <w:r w:rsidRPr="001301A2">
              <w:rPr>
                <w:noProof/>
                <w:webHidden/>
              </w:rPr>
              <w:fldChar w:fldCharType="separate"/>
            </w:r>
            <w:r w:rsidR="00EF0262">
              <w:rPr>
                <w:noProof/>
                <w:webHidden/>
              </w:rPr>
              <w:t>10</w:t>
            </w:r>
            <w:r w:rsidRPr="001301A2">
              <w:rPr>
                <w:noProof/>
                <w:webHidden/>
              </w:rPr>
              <w:fldChar w:fldCharType="end"/>
            </w:r>
          </w:hyperlink>
        </w:p>
        <w:p w14:paraId="7D12DF1C" w14:textId="4917E37C" w:rsidR="00FB15BC" w:rsidRPr="001301A2" w:rsidRDefault="00FB15BC">
          <w:pPr>
            <w:pStyle w:val="TOC3"/>
            <w:tabs>
              <w:tab w:val="right" w:leader="dot" w:pos="9016"/>
            </w:tabs>
            <w:rPr>
              <w:rFonts w:cstheme="minorBidi"/>
              <w:noProof/>
              <w:kern w:val="2"/>
              <w:sz w:val="24"/>
              <w:szCs w:val="24"/>
              <w14:ligatures w14:val="standardContextual"/>
            </w:rPr>
          </w:pPr>
          <w:hyperlink w:anchor="_Toc184811983" w:history="1">
            <w:r w:rsidRPr="00F41910">
              <w:rPr>
                <w:rStyle w:val="Hyperlink"/>
                <w:noProof/>
              </w:rPr>
              <w:t>Supporting remote First Nations communities</w:t>
            </w:r>
            <w:r w:rsidRPr="001301A2">
              <w:rPr>
                <w:noProof/>
                <w:webHidden/>
              </w:rPr>
              <w:tab/>
            </w:r>
            <w:r w:rsidRPr="001301A2">
              <w:rPr>
                <w:noProof/>
                <w:webHidden/>
              </w:rPr>
              <w:fldChar w:fldCharType="begin"/>
            </w:r>
            <w:r w:rsidRPr="001301A2">
              <w:rPr>
                <w:noProof/>
                <w:webHidden/>
              </w:rPr>
              <w:instrText xml:space="preserve"> PAGEREF _Toc184811983 \h </w:instrText>
            </w:r>
            <w:r w:rsidRPr="001301A2">
              <w:rPr>
                <w:noProof/>
                <w:webHidden/>
              </w:rPr>
            </w:r>
            <w:r w:rsidRPr="001301A2">
              <w:rPr>
                <w:noProof/>
                <w:webHidden/>
              </w:rPr>
              <w:fldChar w:fldCharType="separate"/>
            </w:r>
            <w:r w:rsidR="00EF0262">
              <w:rPr>
                <w:noProof/>
                <w:webHidden/>
              </w:rPr>
              <w:t>11</w:t>
            </w:r>
            <w:r w:rsidRPr="001301A2">
              <w:rPr>
                <w:noProof/>
                <w:webHidden/>
              </w:rPr>
              <w:fldChar w:fldCharType="end"/>
            </w:r>
          </w:hyperlink>
        </w:p>
        <w:p w14:paraId="580625CA" w14:textId="011E1FF9"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84" w:history="1">
            <w:r w:rsidRPr="001301A2">
              <w:rPr>
                <w:rStyle w:val="Hyperlink"/>
                <w:noProof/>
                <w:lang w:eastAsia="en-US"/>
              </w:rPr>
              <w:t>Direct regulation for telecommunications sales practices will provide savings and benefits for consumers and telcos</w:t>
            </w:r>
            <w:r w:rsidRPr="001301A2">
              <w:rPr>
                <w:noProof/>
                <w:webHidden/>
              </w:rPr>
              <w:tab/>
            </w:r>
            <w:r w:rsidRPr="001301A2">
              <w:rPr>
                <w:noProof/>
                <w:webHidden/>
              </w:rPr>
              <w:fldChar w:fldCharType="begin"/>
            </w:r>
            <w:r w:rsidRPr="001301A2">
              <w:rPr>
                <w:noProof/>
                <w:webHidden/>
              </w:rPr>
              <w:instrText xml:space="preserve"> PAGEREF _Toc184811984 \h </w:instrText>
            </w:r>
            <w:r w:rsidRPr="001301A2">
              <w:rPr>
                <w:noProof/>
                <w:webHidden/>
              </w:rPr>
            </w:r>
            <w:r w:rsidRPr="001301A2">
              <w:rPr>
                <w:noProof/>
                <w:webHidden/>
              </w:rPr>
              <w:fldChar w:fldCharType="separate"/>
            </w:r>
            <w:r w:rsidR="00EF0262">
              <w:rPr>
                <w:noProof/>
                <w:webHidden/>
              </w:rPr>
              <w:t>11</w:t>
            </w:r>
            <w:r w:rsidRPr="001301A2">
              <w:rPr>
                <w:noProof/>
                <w:webHidden/>
              </w:rPr>
              <w:fldChar w:fldCharType="end"/>
            </w:r>
          </w:hyperlink>
        </w:p>
        <w:p w14:paraId="7EE49085" w14:textId="251DEA1B"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85" w:history="1">
            <w:r w:rsidRPr="001301A2">
              <w:rPr>
                <w:rStyle w:val="Hyperlink"/>
                <w:noProof/>
                <w:lang w:val="en-US" w:eastAsia="en-US"/>
              </w:rPr>
              <w:t>Supporting accessible and inclusive communications</w:t>
            </w:r>
            <w:r w:rsidRPr="001301A2">
              <w:rPr>
                <w:noProof/>
                <w:webHidden/>
              </w:rPr>
              <w:tab/>
            </w:r>
            <w:r w:rsidRPr="001301A2">
              <w:rPr>
                <w:noProof/>
                <w:webHidden/>
              </w:rPr>
              <w:fldChar w:fldCharType="begin"/>
            </w:r>
            <w:r w:rsidRPr="001301A2">
              <w:rPr>
                <w:noProof/>
                <w:webHidden/>
              </w:rPr>
              <w:instrText xml:space="preserve"> PAGEREF _Toc184811985 \h </w:instrText>
            </w:r>
            <w:r w:rsidRPr="001301A2">
              <w:rPr>
                <w:noProof/>
                <w:webHidden/>
              </w:rPr>
            </w:r>
            <w:r w:rsidRPr="001301A2">
              <w:rPr>
                <w:noProof/>
                <w:webHidden/>
              </w:rPr>
              <w:fldChar w:fldCharType="separate"/>
            </w:r>
            <w:r w:rsidR="00EF0262">
              <w:rPr>
                <w:noProof/>
                <w:webHidden/>
              </w:rPr>
              <w:t>13</w:t>
            </w:r>
            <w:r w:rsidRPr="001301A2">
              <w:rPr>
                <w:noProof/>
                <w:webHidden/>
              </w:rPr>
              <w:fldChar w:fldCharType="end"/>
            </w:r>
          </w:hyperlink>
        </w:p>
        <w:p w14:paraId="21892BDD" w14:textId="3FFBFA34" w:rsidR="00FB15BC" w:rsidRPr="001301A2" w:rsidRDefault="00FB15BC">
          <w:pPr>
            <w:pStyle w:val="TOC3"/>
            <w:tabs>
              <w:tab w:val="right" w:leader="dot" w:pos="9016"/>
            </w:tabs>
            <w:rPr>
              <w:rFonts w:cstheme="minorBidi"/>
              <w:noProof/>
              <w:kern w:val="2"/>
              <w:sz w:val="24"/>
              <w:szCs w:val="24"/>
              <w14:ligatures w14:val="standardContextual"/>
            </w:rPr>
          </w:pPr>
          <w:hyperlink w:anchor="_Toc184811986" w:history="1">
            <w:r w:rsidRPr="00F41910">
              <w:rPr>
                <w:rStyle w:val="Hyperlink"/>
                <w:noProof/>
              </w:rPr>
              <w:t>Accessible Telecoms</w:t>
            </w:r>
            <w:r w:rsidRPr="001301A2">
              <w:rPr>
                <w:noProof/>
                <w:webHidden/>
              </w:rPr>
              <w:tab/>
            </w:r>
            <w:r w:rsidRPr="001301A2">
              <w:rPr>
                <w:noProof/>
                <w:webHidden/>
              </w:rPr>
              <w:fldChar w:fldCharType="begin"/>
            </w:r>
            <w:r w:rsidRPr="001301A2">
              <w:rPr>
                <w:noProof/>
                <w:webHidden/>
              </w:rPr>
              <w:instrText xml:space="preserve"> PAGEREF _Toc184811986 \h </w:instrText>
            </w:r>
            <w:r w:rsidRPr="001301A2">
              <w:rPr>
                <w:noProof/>
                <w:webHidden/>
              </w:rPr>
            </w:r>
            <w:r w:rsidRPr="001301A2">
              <w:rPr>
                <w:noProof/>
                <w:webHidden/>
              </w:rPr>
              <w:fldChar w:fldCharType="separate"/>
            </w:r>
            <w:r w:rsidR="00EF0262">
              <w:rPr>
                <w:noProof/>
                <w:webHidden/>
              </w:rPr>
              <w:t>13</w:t>
            </w:r>
            <w:r w:rsidRPr="001301A2">
              <w:rPr>
                <w:noProof/>
                <w:webHidden/>
              </w:rPr>
              <w:fldChar w:fldCharType="end"/>
            </w:r>
          </w:hyperlink>
        </w:p>
        <w:p w14:paraId="26648658" w14:textId="4DF0A404" w:rsidR="00FB15BC" w:rsidRPr="001301A2" w:rsidRDefault="00FB15BC">
          <w:pPr>
            <w:pStyle w:val="TOC3"/>
            <w:tabs>
              <w:tab w:val="right" w:leader="dot" w:pos="9016"/>
            </w:tabs>
            <w:rPr>
              <w:rFonts w:cstheme="minorBidi"/>
              <w:noProof/>
              <w:kern w:val="2"/>
              <w:sz w:val="24"/>
              <w:szCs w:val="24"/>
              <w14:ligatures w14:val="standardContextual"/>
            </w:rPr>
          </w:pPr>
          <w:hyperlink w:anchor="_Toc184811987" w:history="1">
            <w:r w:rsidRPr="00F41910">
              <w:rPr>
                <w:rStyle w:val="Hyperlink"/>
                <w:noProof/>
              </w:rPr>
              <w:t>Accessible online services</w:t>
            </w:r>
            <w:r w:rsidRPr="001301A2">
              <w:rPr>
                <w:noProof/>
                <w:webHidden/>
              </w:rPr>
              <w:tab/>
            </w:r>
            <w:r w:rsidRPr="001301A2">
              <w:rPr>
                <w:noProof/>
                <w:webHidden/>
              </w:rPr>
              <w:fldChar w:fldCharType="begin"/>
            </w:r>
            <w:r w:rsidRPr="001301A2">
              <w:rPr>
                <w:noProof/>
                <w:webHidden/>
              </w:rPr>
              <w:instrText xml:space="preserve"> PAGEREF _Toc184811987 \h </w:instrText>
            </w:r>
            <w:r w:rsidRPr="001301A2">
              <w:rPr>
                <w:noProof/>
                <w:webHidden/>
              </w:rPr>
            </w:r>
            <w:r w:rsidRPr="001301A2">
              <w:rPr>
                <w:noProof/>
                <w:webHidden/>
              </w:rPr>
              <w:fldChar w:fldCharType="separate"/>
            </w:r>
            <w:r w:rsidR="00EF0262">
              <w:rPr>
                <w:noProof/>
                <w:webHidden/>
              </w:rPr>
              <w:t>13</w:t>
            </w:r>
            <w:r w:rsidRPr="001301A2">
              <w:rPr>
                <w:noProof/>
                <w:webHidden/>
              </w:rPr>
              <w:fldChar w:fldCharType="end"/>
            </w:r>
          </w:hyperlink>
        </w:p>
        <w:p w14:paraId="79829543" w14:textId="273F40D5" w:rsidR="00FB15BC" w:rsidRPr="001301A2" w:rsidRDefault="00FB15BC">
          <w:pPr>
            <w:pStyle w:val="TOC1"/>
            <w:tabs>
              <w:tab w:val="right" w:leader="dot" w:pos="9016"/>
            </w:tabs>
            <w:rPr>
              <w:noProof/>
              <w:kern w:val="2"/>
              <w:sz w:val="24"/>
              <w:szCs w:val="24"/>
              <w:lang w:val="en-US" w:eastAsia="en-US"/>
              <w14:ligatures w14:val="standardContextual"/>
            </w:rPr>
          </w:pPr>
          <w:hyperlink w:anchor="_Toc184811988" w:history="1">
            <w:r w:rsidRPr="001301A2">
              <w:rPr>
                <w:rStyle w:val="Hyperlink"/>
                <w:noProof/>
              </w:rPr>
              <w:t>Conclusion</w:t>
            </w:r>
            <w:r w:rsidRPr="001301A2">
              <w:rPr>
                <w:noProof/>
                <w:webHidden/>
              </w:rPr>
              <w:tab/>
            </w:r>
            <w:r w:rsidRPr="001301A2">
              <w:rPr>
                <w:noProof/>
                <w:webHidden/>
              </w:rPr>
              <w:fldChar w:fldCharType="begin"/>
            </w:r>
            <w:r w:rsidRPr="001301A2">
              <w:rPr>
                <w:noProof/>
                <w:webHidden/>
              </w:rPr>
              <w:instrText xml:space="preserve"> PAGEREF _Toc184811988 \h </w:instrText>
            </w:r>
            <w:r w:rsidRPr="001301A2">
              <w:rPr>
                <w:noProof/>
                <w:webHidden/>
              </w:rPr>
            </w:r>
            <w:r w:rsidRPr="001301A2">
              <w:rPr>
                <w:noProof/>
                <w:webHidden/>
              </w:rPr>
              <w:fldChar w:fldCharType="separate"/>
            </w:r>
            <w:r w:rsidR="00EF0262">
              <w:rPr>
                <w:noProof/>
                <w:webHidden/>
              </w:rPr>
              <w:t>14</w:t>
            </w:r>
            <w:r w:rsidRPr="001301A2">
              <w:rPr>
                <w:noProof/>
                <w:webHidden/>
              </w:rPr>
              <w:fldChar w:fldCharType="end"/>
            </w:r>
          </w:hyperlink>
        </w:p>
        <w:p w14:paraId="0B9A8B07" w14:textId="77777777" w:rsidR="002D1FF6" w:rsidRDefault="009A28AC" w:rsidP="002C0AE1">
          <w:r w:rsidRPr="00AF5417">
            <w:rPr>
              <w:bCs/>
              <w:noProof/>
            </w:rPr>
            <w:fldChar w:fldCharType="end"/>
          </w:r>
        </w:p>
      </w:sdtContent>
    </w:sdt>
    <w:p w14:paraId="784DF357" w14:textId="34C1D87A" w:rsidR="001D7EA1" w:rsidRDefault="001D7EA1" w:rsidP="002C0AE1">
      <w:r>
        <w:rPr>
          <w:noProof/>
        </w:rPr>
        <mc:AlternateContent>
          <mc:Choice Requires="wpg">
            <w:drawing>
              <wp:anchor distT="0" distB="0" distL="114300" distR="114300" simplePos="0" relativeHeight="251658240" behindDoc="0" locked="0" layoutInCell="1" allowOverlap="1" wp14:anchorId="1B5BD74A" wp14:editId="14198472">
                <wp:simplePos x="0" y="0"/>
                <wp:positionH relativeFrom="column">
                  <wp:posOffset>-699715</wp:posOffset>
                </wp:positionH>
                <wp:positionV relativeFrom="paragraph">
                  <wp:posOffset>245745</wp:posOffset>
                </wp:positionV>
                <wp:extent cx="7038975" cy="3190875"/>
                <wp:effectExtent l="0" t="0" r="9525" b="9525"/>
                <wp:wrapTopAndBottom/>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7351C7CF" w14:textId="77777777" w:rsidR="0061729E" w:rsidRPr="0061729E" w:rsidRDefault="0061729E" w:rsidP="0061729E">
                              <w:pPr>
                                <w:rPr>
                                  <w:lang w:val="en-US"/>
                                </w:rPr>
                              </w:pPr>
                              <w:r w:rsidRPr="0061729E">
                                <w:rPr>
                                  <w:lang w:val="en-US"/>
                                </w:rPr>
                                <w:t>ACCAN is the peak national consumer advocacy organisation for communications working to achieve t</w:t>
                              </w:r>
                              <w:r w:rsidRPr="0061729E">
                                <w:t>rusted, accessible, inclusive, affordable and available communications and digital services for all Australians.</w:t>
                              </w:r>
                            </w:p>
                            <w:p w14:paraId="38E5B98F" w14:textId="3C45B4BA" w:rsidR="00333FFA" w:rsidRDefault="00333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5BD74A" id="Group 10" o:spid="_x0000_s1026" style="position:absolute;margin-left:-55.1pt;margin-top:19.35pt;width:554.25pt;height:251.25pt;z-index:251658240"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20"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4114464F" w14:textId="73494AA3" w:rsidR="001C3C4F" w:rsidRPr="00D108C9" w:rsidRDefault="001C3C4F" w:rsidP="00D108C9">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47C9F247" w14:textId="221E1FE3" w:rsidR="00333FFA" w:rsidRPr="00187AF9" w:rsidRDefault="00333FFA" w:rsidP="00333FFA">
                        <w:pPr>
                          <w:rPr>
                            <w:b/>
                            <w:bCs/>
                            <w:sz w:val="28"/>
                            <w:szCs w:val="28"/>
                          </w:rPr>
                        </w:pPr>
                        <w:r w:rsidRPr="00187AF9">
                          <w:rPr>
                            <w:b/>
                            <w:bCs/>
                            <w:sz w:val="28"/>
                            <w:szCs w:val="28"/>
                          </w:rPr>
                          <w:t xml:space="preserve">Australian Communications </w:t>
                        </w:r>
                        <w:r w:rsidR="00187AF9" w:rsidRPr="00187AF9">
                          <w:rPr>
                            <w:b/>
                            <w:bCs/>
                            <w:sz w:val="28"/>
                            <w:szCs w:val="28"/>
                          </w:rPr>
                          <w:br/>
                        </w:r>
                        <w:r w:rsidRPr="00187AF9">
                          <w:rPr>
                            <w:b/>
                            <w:bCs/>
                            <w:sz w:val="28"/>
                            <w:szCs w:val="28"/>
                          </w:rPr>
                          <w:t>Consumer Action Network</w:t>
                        </w:r>
                      </w:p>
                      <w:p w14:paraId="76A3B973" w14:textId="77777777" w:rsidR="00333FFA" w:rsidRDefault="00333FFA"/>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7351C7CF" w14:textId="77777777" w:rsidR="0061729E" w:rsidRPr="0061729E" w:rsidRDefault="0061729E" w:rsidP="0061729E">
                        <w:pPr>
                          <w:rPr>
                            <w:lang w:val="en-US"/>
                          </w:rPr>
                        </w:pPr>
                        <w:r w:rsidRPr="0061729E">
                          <w:rPr>
                            <w:lang w:val="en-US"/>
                          </w:rPr>
                          <w:t>ACCAN is the peak national consumer advocacy organisation for communications working to achieve t</w:t>
                        </w:r>
                        <w:r w:rsidRPr="0061729E">
                          <w:t>rusted, accessible, inclusive, affordable and available communications and digital services for all Australians.</w:t>
                        </w:r>
                      </w:p>
                      <w:p w14:paraId="38E5B98F" w14:textId="3C45B4BA" w:rsidR="00333FFA" w:rsidRDefault="00333FFA"/>
                    </w:txbxContent>
                  </v:textbox>
                </v:shape>
                <w10:wrap type="topAndBottom"/>
              </v:group>
            </w:pict>
          </mc:Fallback>
        </mc:AlternateContent>
      </w:r>
    </w:p>
    <w:p w14:paraId="1EFC6DAC" w14:textId="7893A3DE" w:rsidR="001D7EA1" w:rsidRDefault="001D7EA1" w:rsidP="002C0AE1"/>
    <w:p w14:paraId="70B2F876" w14:textId="6D023501" w:rsidR="79B1E982" w:rsidRDefault="79B1E982"/>
    <w:p w14:paraId="7209FDD7" w14:textId="77777777" w:rsidR="003A6968" w:rsidRDefault="003A6968"/>
    <w:p w14:paraId="7D1F9B44" w14:textId="77777777" w:rsidR="002D1FF6" w:rsidRDefault="002D1FF6" w:rsidP="002D1FF6">
      <w:pPr>
        <w:pStyle w:val="Heading1"/>
      </w:pPr>
      <w:bookmarkStart w:id="2" w:name="_Toc184811973"/>
      <w:r>
        <w:lastRenderedPageBreak/>
        <w:t>About this submission</w:t>
      </w:r>
      <w:bookmarkEnd w:id="2"/>
    </w:p>
    <w:p w14:paraId="5D8224ED" w14:textId="3A10A339" w:rsidR="003A6968" w:rsidRDefault="003A6968">
      <w:r>
        <w:t>The Australian Communications Consumer Action Network (</w:t>
      </w:r>
      <w:r w:rsidRPr="140513FC">
        <w:rPr>
          <w:b/>
          <w:bCs/>
        </w:rPr>
        <w:t>ACCAN</w:t>
      </w:r>
      <w:r>
        <w:t>) is pleased to provide this submission to the Treasury in response to the Treasury’s call for 2025–26 Pre-Budget submissions.</w:t>
      </w:r>
    </w:p>
    <w:p w14:paraId="2781C3D2" w14:textId="671D4879" w:rsidR="005B4707" w:rsidRPr="005B4707" w:rsidRDefault="30122EC6" w:rsidP="005B4707">
      <w:pPr>
        <w:pStyle w:val="Heading1"/>
        <w:rPr>
          <w:lang w:val="en-US"/>
        </w:rPr>
      </w:pPr>
      <w:bookmarkStart w:id="3" w:name="_Toc184811974"/>
      <w:r w:rsidRPr="79B1E982">
        <w:rPr>
          <w:lang w:val="en-US"/>
        </w:rPr>
        <w:t>Introduction</w:t>
      </w:r>
      <w:bookmarkEnd w:id="3"/>
    </w:p>
    <w:p w14:paraId="15CAB479" w14:textId="30750107" w:rsidR="79B1E982" w:rsidRDefault="30122EC6" w:rsidP="0087468B">
      <w:r>
        <w:t xml:space="preserve">ACCAN thanks the Treasury for the opportunity to submit to the </w:t>
      </w:r>
      <w:r w:rsidR="00970756">
        <w:t xml:space="preserve">2025-26 </w:t>
      </w:r>
      <w:r w:rsidR="00052B5E">
        <w:t>Pre-Budget</w:t>
      </w:r>
      <w:r>
        <w:t xml:space="preserve"> consultation</w:t>
      </w:r>
      <w:r w:rsidR="3BF7495F">
        <w:t>.</w:t>
      </w:r>
      <w:r>
        <w:t xml:space="preserve"> </w:t>
      </w:r>
      <w:r w:rsidR="00602083">
        <w:t xml:space="preserve">Communications consumers are presently facing </w:t>
      </w:r>
      <w:r w:rsidR="001D57C5">
        <w:t>barriers to accessing affordable, quality and reliable communications</w:t>
      </w:r>
      <w:r w:rsidR="00117EFB">
        <w:t xml:space="preserve">. </w:t>
      </w:r>
      <w:r w:rsidR="00EF6035">
        <w:t xml:space="preserve">The affordability challenges </w:t>
      </w:r>
      <w:r w:rsidR="00460B43">
        <w:t>faced by communications consumers can limit the</w:t>
      </w:r>
      <w:r w:rsidR="000D75E2">
        <w:t>ir</w:t>
      </w:r>
      <w:r w:rsidR="00460B43">
        <w:t xml:space="preserve"> ability to productively engage in the economic and social opportunities offered by the digital economy. </w:t>
      </w:r>
      <w:r w:rsidR="00D00760">
        <w:t xml:space="preserve">ACCAN’s submission addresses the difficulties experienced by communications </w:t>
      </w:r>
      <w:r w:rsidR="00AF34D8">
        <w:t>consumers</w:t>
      </w:r>
      <w:r w:rsidR="00D1640A">
        <w:t xml:space="preserve">, including consumers </w:t>
      </w:r>
      <w:r w:rsidR="007C66BA">
        <w:t>of</w:t>
      </w:r>
      <w:r w:rsidR="00D1640A">
        <w:t xml:space="preserve"> digital platforms. </w:t>
      </w:r>
      <w:r w:rsidR="007175B6">
        <w:t xml:space="preserve">Communications </w:t>
      </w:r>
      <w:r w:rsidR="63793CC3">
        <w:t xml:space="preserve">access has become an essential </w:t>
      </w:r>
      <w:r w:rsidR="00F41910">
        <w:t>service,</w:t>
      </w:r>
      <w:r w:rsidR="5AD65EFE">
        <w:t xml:space="preserve"> and </w:t>
      </w:r>
      <w:r w:rsidR="31530123">
        <w:t xml:space="preserve">consumers </w:t>
      </w:r>
      <w:r w:rsidR="007175B6">
        <w:t xml:space="preserve">should be </w:t>
      </w:r>
      <w:r w:rsidR="52D676D8">
        <w:t xml:space="preserve">supported </w:t>
      </w:r>
      <w:r w:rsidR="007175B6">
        <w:t>to engage in a fair and competitive communications market which caters to their needs.</w:t>
      </w:r>
    </w:p>
    <w:p w14:paraId="5450BE98" w14:textId="119E673F" w:rsidR="0B8DEE88" w:rsidRDefault="00FC6318" w:rsidP="005B4707">
      <w:pPr>
        <w:pStyle w:val="Heading1"/>
      </w:pPr>
      <w:bookmarkStart w:id="4" w:name="_Toc184811975"/>
      <w:r w:rsidRPr="00FC6318">
        <w:t xml:space="preserve">Action on </w:t>
      </w:r>
      <w:r w:rsidR="004A7265">
        <w:t xml:space="preserve">communications </w:t>
      </w:r>
      <w:r w:rsidRPr="00FC6318">
        <w:t>affordability</w:t>
      </w:r>
      <w:bookmarkEnd w:id="4"/>
    </w:p>
    <w:p w14:paraId="55BA5FBB" w14:textId="0BEB334E" w:rsidR="00A87631" w:rsidRPr="00A87631" w:rsidRDefault="00A87631" w:rsidP="00A87631">
      <w:r>
        <w:t xml:space="preserve">To address the persistent affordability challenges faced by communications consumers, ACCAN recommends the </w:t>
      </w:r>
      <w:r w:rsidR="00262E3F">
        <w:t>Australian</w:t>
      </w:r>
      <w:r>
        <w:t xml:space="preserve"> Government: </w:t>
      </w:r>
    </w:p>
    <w:p w14:paraId="1761C41B" w14:textId="2BCCD702" w:rsidR="0B8DEE88" w:rsidRDefault="0B8DEE88" w:rsidP="79B1E982">
      <w:pPr>
        <w:pStyle w:val="ListParagraph"/>
        <w:numPr>
          <w:ilvl w:val="0"/>
          <w:numId w:val="1"/>
        </w:numPr>
        <w:rPr>
          <w:rFonts w:ascii="Calibri" w:eastAsia="Calibri" w:hAnsi="Calibri" w:cs="Calibri"/>
          <w:color w:val="000000" w:themeColor="text1"/>
        </w:rPr>
      </w:pPr>
      <w:r w:rsidRPr="79B1E982">
        <w:rPr>
          <w:rFonts w:ascii="Calibri" w:eastAsia="Calibri" w:hAnsi="Calibri" w:cs="Calibri"/>
          <w:color w:val="000000" w:themeColor="text1"/>
          <w:lang w:val="en-US"/>
        </w:rPr>
        <w:t>Allocat</w:t>
      </w:r>
      <w:r w:rsidR="00A87631">
        <w:rPr>
          <w:rFonts w:ascii="Calibri" w:eastAsia="Calibri" w:hAnsi="Calibri" w:cs="Calibri"/>
          <w:color w:val="000000" w:themeColor="text1"/>
          <w:lang w:val="en-US"/>
        </w:rPr>
        <w:t>e</w:t>
      </w:r>
      <w:r w:rsidRPr="79B1E982">
        <w:rPr>
          <w:rFonts w:ascii="Calibri" w:eastAsia="Calibri" w:hAnsi="Calibri" w:cs="Calibri"/>
          <w:color w:val="000000" w:themeColor="text1"/>
          <w:lang w:val="en-US"/>
        </w:rPr>
        <w:t xml:space="preserve"> funding to establish a concessional broadband service to improve the affordability of NBN services for consumers receiving </w:t>
      </w:r>
      <w:r w:rsidR="005C066C">
        <w:rPr>
          <w:rFonts w:ascii="Calibri" w:eastAsia="Calibri" w:hAnsi="Calibri" w:cs="Calibri"/>
          <w:color w:val="000000" w:themeColor="text1"/>
          <w:lang w:val="en-US"/>
        </w:rPr>
        <w:t>Commonwealth financial support</w:t>
      </w:r>
      <w:r w:rsidRPr="79B1E982">
        <w:rPr>
          <w:rFonts w:ascii="Calibri" w:eastAsia="Calibri" w:hAnsi="Calibri" w:cs="Calibri"/>
          <w:color w:val="000000" w:themeColor="text1"/>
          <w:lang w:val="en-US"/>
        </w:rPr>
        <w:t xml:space="preserve">. </w:t>
      </w:r>
    </w:p>
    <w:p w14:paraId="7D0DF5B2" w14:textId="307023EF" w:rsidR="0B8DEE88" w:rsidRDefault="0B8DEE88" w:rsidP="79B1E982">
      <w:pPr>
        <w:pStyle w:val="ListParagraph"/>
        <w:numPr>
          <w:ilvl w:val="0"/>
          <w:numId w:val="1"/>
        </w:numPr>
        <w:rPr>
          <w:rFonts w:ascii="Calibri" w:eastAsia="Calibri" w:hAnsi="Calibri" w:cs="Calibri"/>
          <w:color w:val="000000" w:themeColor="text1"/>
        </w:rPr>
      </w:pPr>
      <w:r w:rsidRPr="79B1E982">
        <w:rPr>
          <w:rFonts w:ascii="Calibri" w:eastAsia="Calibri" w:hAnsi="Calibri" w:cs="Calibri"/>
          <w:color w:val="000000" w:themeColor="text1"/>
          <w:lang w:val="en-US"/>
        </w:rPr>
        <w:t>Allocat</w:t>
      </w:r>
      <w:r w:rsidR="00A87631">
        <w:rPr>
          <w:rFonts w:ascii="Calibri" w:eastAsia="Calibri" w:hAnsi="Calibri" w:cs="Calibri"/>
          <w:color w:val="000000" w:themeColor="text1"/>
          <w:lang w:val="en-US"/>
        </w:rPr>
        <w:t>e</w:t>
      </w:r>
      <w:r w:rsidRPr="79B1E982">
        <w:rPr>
          <w:rFonts w:ascii="Calibri" w:eastAsia="Calibri" w:hAnsi="Calibri" w:cs="Calibri"/>
          <w:color w:val="000000" w:themeColor="text1"/>
          <w:lang w:val="en-US"/>
        </w:rPr>
        <w:t xml:space="preserve"> funding to establish an independent </w:t>
      </w:r>
      <w:r w:rsidR="003D282F">
        <w:rPr>
          <w:rFonts w:ascii="Calibri" w:eastAsia="Calibri" w:hAnsi="Calibri" w:cs="Calibri"/>
          <w:color w:val="000000" w:themeColor="text1"/>
          <w:lang w:val="en-US"/>
        </w:rPr>
        <w:t xml:space="preserve">plan </w:t>
      </w:r>
      <w:r w:rsidRPr="79B1E982">
        <w:rPr>
          <w:rFonts w:ascii="Calibri" w:eastAsia="Calibri" w:hAnsi="Calibri" w:cs="Calibri"/>
          <w:color w:val="000000" w:themeColor="text1"/>
          <w:lang w:val="en-US"/>
        </w:rPr>
        <w:t>comparison tool for the telecommunications market to assist consumers in finding a</w:t>
      </w:r>
      <w:r w:rsidR="005C066C">
        <w:rPr>
          <w:rFonts w:ascii="Calibri" w:eastAsia="Calibri" w:hAnsi="Calibri" w:cs="Calibri"/>
          <w:color w:val="000000" w:themeColor="text1"/>
          <w:lang w:val="en-US"/>
        </w:rPr>
        <w:t xml:space="preserve">n </w:t>
      </w:r>
      <w:r w:rsidRPr="79B1E982">
        <w:rPr>
          <w:rFonts w:ascii="Calibri" w:eastAsia="Calibri" w:hAnsi="Calibri" w:cs="Calibri"/>
          <w:color w:val="000000" w:themeColor="text1"/>
          <w:lang w:val="en-US"/>
        </w:rPr>
        <w:t xml:space="preserve">affordable telecommunications service. </w:t>
      </w:r>
    </w:p>
    <w:p w14:paraId="0793E6F9" w14:textId="043138E9" w:rsidR="00134E47" w:rsidRPr="00A87631" w:rsidRDefault="0B8DEE88">
      <w:pPr>
        <w:pStyle w:val="ListParagraph"/>
        <w:numPr>
          <w:ilvl w:val="0"/>
          <w:numId w:val="1"/>
        </w:numPr>
      </w:pPr>
      <w:r w:rsidRPr="00134E47">
        <w:rPr>
          <w:rFonts w:ascii="Calibri" w:eastAsia="Calibri" w:hAnsi="Calibri" w:cs="Calibri"/>
          <w:color w:val="000000" w:themeColor="text1"/>
          <w:lang w:val="en-US"/>
        </w:rPr>
        <w:t>Establis</w:t>
      </w:r>
      <w:r w:rsidR="00A87631">
        <w:rPr>
          <w:rFonts w:ascii="Calibri" w:eastAsia="Calibri" w:hAnsi="Calibri" w:cs="Calibri"/>
          <w:color w:val="000000" w:themeColor="text1"/>
          <w:lang w:val="en-US"/>
        </w:rPr>
        <w:t>h</w:t>
      </w:r>
      <w:r w:rsidRPr="11DE9358">
        <w:rPr>
          <w:rFonts w:ascii="Calibri" w:eastAsia="Calibri" w:hAnsi="Calibri" w:cs="Calibri"/>
          <w:color w:val="000000" w:themeColor="text1"/>
          <w:lang w:val="en-US"/>
        </w:rPr>
        <w:t xml:space="preserve"> </w:t>
      </w:r>
      <w:r w:rsidR="2F6D807B" w:rsidRPr="11DE9358">
        <w:rPr>
          <w:rFonts w:ascii="Calibri" w:eastAsia="Calibri" w:hAnsi="Calibri" w:cs="Calibri"/>
          <w:color w:val="000000" w:themeColor="text1"/>
          <w:lang w:val="en-US"/>
        </w:rPr>
        <w:t>and fund</w:t>
      </w:r>
      <w:r w:rsidRPr="00134E47">
        <w:rPr>
          <w:rFonts w:ascii="Calibri" w:eastAsia="Calibri" w:hAnsi="Calibri" w:cs="Calibri"/>
          <w:color w:val="000000" w:themeColor="text1"/>
          <w:lang w:val="en-US"/>
        </w:rPr>
        <w:t xml:space="preserve"> a </w:t>
      </w:r>
      <w:r w:rsidR="00134E47">
        <w:rPr>
          <w:rFonts w:ascii="Calibri" w:eastAsia="Calibri" w:hAnsi="Calibri" w:cs="Calibri"/>
          <w:color w:val="000000" w:themeColor="text1"/>
          <w:lang w:val="en-US"/>
        </w:rPr>
        <w:t>National Device Bank</w:t>
      </w:r>
      <w:r w:rsidR="00751724">
        <w:rPr>
          <w:rFonts w:ascii="Calibri" w:eastAsia="Calibri" w:hAnsi="Calibri" w:cs="Calibri"/>
          <w:color w:val="000000" w:themeColor="text1"/>
          <w:lang w:val="en-US"/>
        </w:rPr>
        <w:t xml:space="preserve"> </w:t>
      </w:r>
      <w:r w:rsidR="00751724" w:rsidRPr="00751724">
        <w:rPr>
          <w:rFonts w:ascii="Calibri" w:eastAsia="Calibri" w:hAnsi="Calibri" w:cs="Calibri"/>
          <w:color w:val="000000" w:themeColor="text1"/>
          <w:lang w:val="en-US"/>
        </w:rPr>
        <w:t>to provide free refurbished internet devices to a wide range of consumers, including consumers on low-incomes, consumers experiencing vulnerability and students.</w:t>
      </w:r>
    </w:p>
    <w:p w14:paraId="34A95E32" w14:textId="591F6363" w:rsidR="00A87631" w:rsidRPr="005E2BD2" w:rsidRDefault="004A7265" w:rsidP="004A7265">
      <w:pPr>
        <w:pStyle w:val="Heading3"/>
        <w:rPr>
          <w:b/>
          <w:bCs w:val="0"/>
        </w:rPr>
      </w:pPr>
      <w:bookmarkStart w:id="5" w:name="_Toc184811976"/>
      <w:r w:rsidRPr="005E2BD2">
        <w:rPr>
          <w:b/>
          <w:bCs w:val="0"/>
        </w:rPr>
        <w:t xml:space="preserve">Establishing a concessional broadband </w:t>
      </w:r>
      <w:r w:rsidR="000312AF">
        <w:rPr>
          <w:b/>
          <w:bCs w:val="0"/>
        </w:rPr>
        <w:t>product</w:t>
      </w:r>
      <w:bookmarkEnd w:id="5"/>
    </w:p>
    <w:p w14:paraId="5A1C7C90" w14:textId="6C6135A6" w:rsidR="00F759DE" w:rsidRPr="00F759DE" w:rsidRDefault="0191BE22" w:rsidP="140513FC">
      <w:r>
        <w:t>In Australia, 27.6% of households spend over 5% of their income on a standard internet bundle, while 48% spend 2-5% of their household income on internet connectivity.</w:t>
      </w:r>
      <w:r w:rsidR="00F759DE" w:rsidRPr="140513FC">
        <w:rPr>
          <w:vertAlign w:val="superscript"/>
        </w:rPr>
        <w:footnoteReference w:id="2"/>
      </w:r>
      <w:r>
        <w:t xml:space="preserve"> </w:t>
      </w:r>
    </w:p>
    <w:p w14:paraId="344EC0C9" w14:textId="77777777" w:rsidR="00F759DE" w:rsidRPr="00F759DE" w:rsidRDefault="0191BE22" w:rsidP="00F759DE">
      <w:r>
        <w:t xml:space="preserve">Australian consumers have expressed that they feel the pressure of broadband affordability. </w:t>
      </w:r>
    </w:p>
    <w:p w14:paraId="78F41FBE" w14:textId="12BC40D7" w:rsidR="00F759DE" w:rsidRPr="00F759DE" w:rsidRDefault="0191BE22" w:rsidP="140513FC">
      <w:pPr>
        <w:numPr>
          <w:ilvl w:val="0"/>
          <w:numId w:val="8"/>
        </w:numPr>
        <w:spacing w:afterAutospacing="1"/>
        <w:rPr>
          <w:rFonts w:ascii="Calibri" w:hAnsi="Calibri"/>
        </w:rPr>
      </w:pPr>
      <w:r w:rsidRPr="140513FC">
        <w:rPr>
          <w:rFonts w:ascii="Calibri" w:hAnsi="Calibri"/>
        </w:rPr>
        <w:t>26% of communications consumers find their phone and internet costs are not affordable.</w:t>
      </w:r>
      <w:r w:rsidR="00F759DE" w:rsidRPr="140513FC">
        <w:rPr>
          <w:rFonts w:ascii="Calibri" w:hAnsi="Calibri"/>
          <w:vertAlign w:val="superscript"/>
        </w:rPr>
        <w:footnoteReference w:id="3"/>
      </w:r>
    </w:p>
    <w:p w14:paraId="10A66F8B" w14:textId="77777777" w:rsidR="00F759DE" w:rsidRPr="00F759DE" w:rsidRDefault="0191BE22" w:rsidP="140513FC">
      <w:pPr>
        <w:numPr>
          <w:ilvl w:val="0"/>
          <w:numId w:val="8"/>
        </w:numPr>
        <w:spacing w:beforeAutospacing="1" w:afterAutospacing="1"/>
        <w:rPr>
          <w:rFonts w:ascii="Calibri" w:hAnsi="Calibri"/>
        </w:rPr>
      </w:pPr>
      <w:r w:rsidRPr="140513FC">
        <w:rPr>
          <w:rFonts w:ascii="Calibri" w:hAnsi="Calibri"/>
        </w:rPr>
        <w:t>57% of low-income households and individuals struggle to pay for an NBN service.</w:t>
      </w:r>
      <w:r w:rsidR="00F759DE" w:rsidRPr="140513FC">
        <w:rPr>
          <w:rFonts w:ascii="Calibri" w:hAnsi="Calibri"/>
          <w:vertAlign w:val="superscript"/>
        </w:rPr>
        <w:footnoteReference w:id="4"/>
      </w:r>
    </w:p>
    <w:p w14:paraId="6854BC07" w14:textId="77777777" w:rsidR="00F759DE" w:rsidRPr="00F759DE" w:rsidRDefault="0191BE22" w:rsidP="140513FC">
      <w:pPr>
        <w:numPr>
          <w:ilvl w:val="0"/>
          <w:numId w:val="8"/>
        </w:numPr>
        <w:spacing w:beforeAutospacing="1" w:afterAutospacing="1"/>
        <w:rPr>
          <w:rFonts w:ascii="Calibri" w:hAnsi="Calibri"/>
        </w:rPr>
      </w:pPr>
      <w:r w:rsidRPr="140513FC">
        <w:rPr>
          <w:rFonts w:ascii="Calibri" w:hAnsi="Calibri"/>
        </w:rPr>
        <w:t>92% of communications consumers believe that all telecommunications companies should offer an affordable (base level) internet plan.</w:t>
      </w:r>
      <w:r w:rsidR="00F759DE" w:rsidRPr="140513FC">
        <w:rPr>
          <w:rFonts w:ascii="Calibri" w:hAnsi="Calibri"/>
          <w:vertAlign w:val="superscript"/>
        </w:rPr>
        <w:footnoteReference w:id="5"/>
      </w:r>
    </w:p>
    <w:p w14:paraId="388358CD" w14:textId="6D0538DD" w:rsidR="00687DC1" w:rsidRDefault="0191BE22" w:rsidP="00900DEC">
      <w:pPr>
        <w:spacing w:beforeAutospacing="1" w:afterAutospacing="1"/>
        <w:rPr>
          <w:rFonts w:ascii="Calibri" w:hAnsi="Calibri"/>
        </w:rPr>
      </w:pPr>
      <w:r w:rsidRPr="140513FC">
        <w:rPr>
          <w:rFonts w:ascii="Calibri" w:hAnsi="Calibri"/>
        </w:rPr>
        <w:lastRenderedPageBreak/>
        <w:t xml:space="preserve">Consumer prices for NBN services have increased materially in recent years, compounding the cost-of-living pressures experienced by consumers. </w:t>
      </w:r>
      <w:r w:rsidRPr="20C15C02">
        <w:rPr>
          <w:rFonts w:ascii="Calibri" w:hAnsi="Calibri"/>
        </w:rPr>
        <w:t>According to the Australian Competition and Consumer Commission (</w:t>
      </w:r>
      <w:r w:rsidRPr="20C15C02">
        <w:rPr>
          <w:rFonts w:ascii="Calibri" w:hAnsi="Calibri"/>
          <w:b/>
          <w:bCs/>
        </w:rPr>
        <w:t>ACCC</w:t>
      </w:r>
      <w:r w:rsidRPr="20C15C02">
        <w:rPr>
          <w:rFonts w:ascii="Calibri" w:hAnsi="Calibri"/>
        </w:rPr>
        <w:t>), the cost of median price point and higher priced broadband plans have increased, while entry level NBN plans remain at $75 per month.</w:t>
      </w:r>
      <w:r w:rsidR="00F759DE" w:rsidRPr="140513FC">
        <w:rPr>
          <w:rFonts w:ascii="Calibri" w:hAnsi="Calibri"/>
          <w:vertAlign w:val="superscript"/>
        </w:rPr>
        <w:footnoteReference w:id="6"/>
      </w:r>
      <w:r w:rsidRPr="20C15C02">
        <w:rPr>
          <w:rFonts w:ascii="Calibri" w:hAnsi="Calibri"/>
        </w:rPr>
        <w:t xml:space="preserve"> </w:t>
      </w:r>
      <w:r w:rsidR="00B71F07">
        <w:rPr>
          <w:rFonts w:ascii="Calibri" w:hAnsi="Calibri"/>
        </w:rPr>
        <w:t>There is a</w:t>
      </w:r>
      <w:r w:rsidR="00F759DE" w:rsidRPr="00F759DE">
        <w:rPr>
          <w:rFonts w:ascii="Calibri" w:hAnsi="Calibri"/>
        </w:rPr>
        <w:t xml:space="preserve"> persistent lack of affordable entry level NBN offering</w:t>
      </w:r>
      <w:r w:rsidR="00B71F07">
        <w:rPr>
          <w:rFonts w:ascii="Calibri" w:hAnsi="Calibri"/>
        </w:rPr>
        <w:t>s</w:t>
      </w:r>
      <w:r w:rsidR="00F759DE" w:rsidRPr="00F759DE">
        <w:rPr>
          <w:rFonts w:ascii="Calibri" w:hAnsi="Calibri"/>
        </w:rPr>
        <w:t xml:space="preserve"> to households experiencing financial stress.</w:t>
      </w:r>
      <w:r w:rsidR="00BB77A9">
        <w:rPr>
          <w:rFonts w:ascii="Calibri" w:hAnsi="Calibri"/>
        </w:rPr>
        <w:t xml:space="preserve"> </w:t>
      </w:r>
    </w:p>
    <w:p w14:paraId="72650466" w14:textId="04688357" w:rsidR="004607D6" w:rsidRDefault="00F9672D" w:rsidP="00900DEC">
      <w:pPr>
        <w:spacing w:beforeAutospacing="1" w:afterAutospacing="1"/>
        <w:rPr>
          <w:rFonts w:ascii="Calibri" w:hAnsi="Calibri"/>
        </w:rPr>
      </w:pPr>
      <w:r>
        <w:t>ACCAN</w:t>
      </w:r>
      <w:r w:rsidRPr="001E5931">
        <w:t xml:space="preserve"> </w:t>
      </w:r>
      <w:r>
        <w:t>proposes</w:t>
      </w:r>
      <w:r w:rsidRPr="001E5931">
        <w:t xml:space="preserve"> </w:t>
      </w:r>
      <w:r>
        <w:t>the Australian Government create a concessional broadband product to improve educational and economic outcomes for low-income households. To</w:t>
      </w:r>
      <w:r w:rsidR="004B09CD">
        <w:t xml:space="preserve"> achieve</w:t>
      </w:r>
      <w:r>
        <w:t xml:space="preserve"> this, we propose a subsidy </w:t>
      </w:r>
      <w:r w:rsidR="00EC2120">
        <w:t xml:space="preserve">to </w:t>
      </w:r>
      <w:r>
        <w:t xml:space="preserve">NBN Co to allow them to </w:t>
      </w:r>
      <w:r w:rsidR="00EC2120">
        <w:t xml:space="preserve">develop </w:t>
      </w:r>
      <w:r w:rsidR="004607D6">
        <w:t>an unlimited 50/20Mbps</w:t>
      </w:r>
      <w:r w:rsidR="00EC2120">
        <w:t xml:space="preserve"> </w:t>
      </w:r>
      <w:r w:rsidR="004607D6">
        <w:t>service price capped at</w:t>
      </w:r>
      <w:r w:rsidR="00EC2120">
        <w:t xml:space="preserve"> </w:t>
      </w:r>
      <w:r>
        <w:t>$20 per month</w:t>
      </w:r>
      <w:r w:rsidR="004607D6">
        <w:t xml:space="preserve"> for </w:t>
      </w:r>
      <w:r w:rsidR="00CC16D0">
        <w:t>households that are receiving Commonwealth financial support</w:t>
      </w:r>
      <w:r w:rsidR="00CC16D0" w:rsidRPr="001E5931">
        <w:t>.</w:t>
      </w:r>
      <w:r w:rsidR="00CC16D0">
        <w:rPr>
          <w:rStyle w:val="FootnoteReference"/>
        </w:rPr>
        <w:footnoteReference w:id="7"/>
      </w:r>
      <w:r w:rsidR="00CC16D0" w:rsidRPr="001E5931">
        <w:t xml:space="preserve"> </w:t>
      </w:r>
    </w:p>
    <w:p w14:paraId="6703E45B" w14:textId="08FA127C" w:rsidR="005C4C78" w:rsidRPr="005C4C78" w:rsidRDefault="005C4C78" w:rsidP="005C4C78">
      <w:r w:rsidRPr="005C4C78">
        <w:t>ACCAN recommends focusing on providing a concessional low-income product to support:</w:t>
      </w:r>
    </w:p>
    <w:p w14:paraId="1B5C61FC" w14:textId="36FF0F80" w:rsidR="005C4C78" w:rsidRPr="005C4C78" w:rsidRDefault="005C4C78" w:rsidP="005C4C78">
      <w:pPr>
        <w:numPr>
          <w:ilvl w:val="0"/>
          <w:numId w:val="8"/>
        </w:numPr>
        <w:spacing w:after="100" w:afterAutospacing="1"/>
        <w:rPr>
          <w:rFonts w:ascii="Calibri" w:hAnsi="Calibri"/>
        </w:rPr>
      </w:pPr>
      <w:r w:rsidRPr="005C4C78">
        <w:rPr>
          <w:rFonts w:ascii="Calibri" w:hAnsi="Calibri"/>
          <w:b/>
          <w:bCs/>
        </w:rPr>
        <w:t>Single Parents and Low-income families</w:t>
      </w:r>
      <w:r w:rsidRPr="005C4C78">
        <w:rPr>
          <w:rFonts w:ascii="Calibri" w:hAnsi="Calibri"/>
        </w:rPr>
        <w:t xml:space="preserve"> (including those receiving Parenting Payment Partnered</w:t>
      </w:r>
      <w:r w:rsidR="000B4361">
        <w:rPr>
          <w:rFonts w:ascii="Calibri" w:hAnsi="Calibri"/>
        </w:rPr>
        <w:t xml:space="preserve"> and</w:t>
      </w:r>
      <w:r w:rsidRPr="005C4C78">
        <w:rPr>
          <w:rFonts w:ascii="Calibri" w:hAnsi="Calibri"/>
        </w:rPr>
        <w:t xml:space="preserve"> Parenting Payment Single).</w:t>
      </w:r>
    </w:p>
    <w:p w14:paraId="4227BBBE" w14:textId="77777777" w:rsidR="005C4C78" w:rsidRPr="005C4C78" w:rsidRDefault="005C4C78" w:rsidP="005C4C78">
      <w:pPr>
        <w:numPr>
          <w:ilvl w:val="0"/>
          <w:numId w:val="8"/>
        </w:numPr>
        <w:spacing w:before="100" w:beforeAutospacing="1" w:after="100" w:afterAutospacing="1"/>
        <w:rPr>
          <w:rFonts w:ascii="Calibri" w:hAnsi="Calibri"/>
        </w:rPr>
      </w:pPr>
      <w:r w:rsidRPr="005C4C78">
        <w:rPr>
          <w:rFonts w:ascii="Calibri" w:hAnsi="Calibri"/>
          <w:b/>
          <w:bCs/>
        </w:rPr>
        <w:t xml:space="preserve">Carers </w:t>
      </w:r>
      <w:r w:rsidRPr="005C4C78">
        <w:rPr>
          <w:rFonts w:ascii="Calibri" w:hAnsi="Calibri"/>
        </w:rPr>
        <w:t>(including those receiving Carer Allowance, Carer Allowance (Child Health Care Card), and Carer Payment).</w:t>
      </w:r>
    </w:p>
    <w:p w14:paraId="095A2E89" w14:textId="0F92821F" w:rsidR="005C4C78" w:rsidRDefault="005C4C78" w:rsidP="005C4C78">
      <w:pPr>
        <w:numPr>
          <w:ilvl w:val="0"/>
          <w:numId w:val="8"/>
        </w:numPr>
        <w:spacing w:before="100" w:beforeAutospacing="1" w:after="100" w:afterAutospacing="1"/>
        <w:rPr>
          <w:rFonts w:ascii="Calibri" w:hAnsi="Calibri"/>
        </w:rPr>
      </w:pPr>
      <w:r w:rsidRPr="005C4C78">
        <w:rPr>
          <w:rFonts w:ascii="Calibri" w:hAnsi="Calibri"/>
          <w:b/>
          <w:bCs/>
        </w:rPr>
        <w:t>Students attending tertiary education</w:t>
      </w:r>
      <w:r w:rsidRPr="005C4C78">
        <w:rPr>
          <w:rFonts w:ascii="Calibri" w:hAnsi="Calibri"/>
        </w:rPr>
        <w:t xml:space="preserve"> (including those receiving Youth Allowance (other)</w:t>
      </w:r>
      <w:r w:rsidR="003E1E82">
        <w:rPr>
          <w:rFonts w:ascii="Calibri" w:hAnsi="Calibri"/>
        </w:rPr>
        <w:t>,</w:t>
      </w:r>
      <w:r w:rsidRPr="005C4C78">
        <w:rPr>
          <w:rFonts w:ascii="Calibri" w:hAnsi="Calibri"/>
        </w:rPr>
        <w:t xml:space="preserve"> Youth Allowance (student and apprentice), ABSTUDY (living allowance), ABSTUDY (non-living allowance), and AUSTUDY).</w:t>
      </w:r>
    </w:p>
    <w:p w14:paraId="298AC979" w14:textId="7C7BF51E" w:rsidR="006D0409" w:rsidRPr="00B914DA" w:rsidRDefault="00DC273E" w:rsidP="005C4C78">
      <w:pPr>
        <w:numPr>
          <w:ilvl w:val="0"/>
          <w:numId w:val="8"/>
        </w:numPr>
        <w:spacing w:before="100" w:beforeAutospacing="1" w:after="100" w:afterAutospacing="1"/>
        <w:rPr>
          <w:rFonts w:ascii="Calibri" w:hAnsi="Calibri"/>
        </w:rPr>
      </w:pPr>
      <w:r>
        <w:rPr>
          <w:rFonts w:ascii="Calibri" w:hAnsi="Calibri"/>
          <w:b/>
          <w:bCs/>
        </w:rPr>
        <w:t xml:space="preserve">Adults receiving the </w:t>
      </w:r>
      <w:r w:rsidR="00B32B7B">
        <w:rPr>
          <w:rFonts w:ascii="Calibri" w:hAnsi="Calibri"/>
          <w:b/>
          <w:bCs/>
        </w:rPr>
        <w:t xml:space="preserve">JobSeeker Payment. </w:t>
      </w:r>
    </w:p>
    <w:p w14:paraId="770CCF6D" w14:textId="67C92CD3" w:rsidR="0910F95C" w:rsidRPr="002238DA" w:rsidRDefault="00B914DA" w:rsidP="00F41910">
      <w:pPr>
        <w:numPr>
          <w:ilvl w:val="0"/>
          <w:numId w:val="8"/>
        </w:numPr>
        <w:spacing w:before="100" w:beforeAutospacing="1" w:after="100" w:afterAutospacing="1"/>
        <w:rPr>
          <w:rFonts w:ascii="Calibri" w:hAnsi="Calibri"/>
        </w:rPr>
      </w:pPr>
      <w:r>
        <w:rPr>
          <w:rFonts w:ascii="Calibri" w:hAnsi="Calibri"/>
          <w:b/>
          <w:bCs/>
        </w:rPr>
        <w:t>Consumers receiving the Disability Support Pension.</w:t>
      </w:r>
    </w:p>
    <w:p w14:paraId="1285C055" w14:textId="364B8AF3" w:rsidR="7CA151B1" w:rsidRDefault="005C4C78" w:rsidP="00F41910">
      <w:pPr>
        <w:spacing w:after="100" w:afterAutospacing="1"/>
      </w:pPr>
      <w:r w:rsidRPr="005C4C78">
        <w:rPr>
          <w:rFonts w:ascii="Calibri" w:hAnsi="Calibri"/>
        </w:rPr>
        <w:t xml:space="preserve">Eligible households would then only have to pay approximately $30 per month </w:t>
      </w:r>
      <w:r w:rsidR="00CC16D0">
        <w:rPr>
          <w:rFonts w:ascii="Calibri" w:hAnsi="Calibri"/>
        </w:rPr>
        <w:t>retail</w:t>
      </w:r>
      <w:r w:rsidRPr="005C4C78">
        <w:rPr>
          <w:rFonts w:ascii="Calibri" w:hAnsi="Calibri"/>
        </w:rPr>
        <w:t xml:space="preserve"> to access a concessional broadband product.</w:t>
      </w:r>
      <w:r w:rsidR="00C61986">
        <w:rPr>
          <w:rFonts w:ascii="Calibri" w:hAnsi="Calibri"/>
        </w:rPr>
        <w:t xml:space="preserve"> </w:t>
      </w:r>
      <w:r w:rsidR="00C61986">
        <w:t>Introducing a concessional broadband product will improve the economic and social outcomes of low-income households and provide direct cost</w:t>
      </w:r>
      <w:r w:rsidR="00743C6F">
        <w:t>-</w:t>
      </w:r>
      <w:r w:rsidR="00C61986">
        <w:t>of</w:t>
      </w:r>
      <w:r w:rsidR="00743C6F">
        <w:t>-</w:t>
      </w:r>
      <w:r w:rsidR="00C61986">
        <w:t xml:space="preserve">living relief to consumers. </w:t>
      </w:r>
    </w:p>
    <w:p w14:paraId="69DB63E4" w14:textId="07EC422E" w:rsidR="00C61986" w:rsidRPr="005E2BD2" w:rsidRDefault="00C61986" w:rsidP="005E2BD2">
      <w:pPr>
        <w:spacing w:after="100" w:afterAutospacing="1"/>
        <w:rPr>
          <w:rFonts w:ascii="Calibri" w:hAnsi="Calibri"/>
        </w:rPr>
      </w:pPr>
      <w:r>
        <w:t>Improving the affordability of broadband by implementing a concessional broadband product will:</w:t>
      </w:r>
    </w:p>
    <w:p w14:paraId="20940A0E" w14:textId="3B44FD38" w:rsidR="00C61986" w:rsidRDefault="00C61986" w:rsidP="00C61986">
      <w:pPr>
        <w:pStyle w:val="ListParagraph"/>
        <w:numPr>
          <w:ilvl w:val="0"/>
          <w:numId w:val="10"/>
        </w:numPr>
      </w:pPr>
      <w:r>
        <w:t>Directly contribute to relieving cost</w:t>
      </w:r>
      <w:r w:rsidR="00B45D42">
        <w:t>-</w:t>
      </w:r>
      <w:r>
        <w:t>of</w:t>
      </w:r>
      <w:r w:rsidR="00B45D42">
        <w:t>-</w:t>
      </w:r>
      <w:r>
        <w:t xml:space="preserve">living pressures for vulnerable consumer cohorts. </w:t>
      </w:r>
    </w:p>
    <w:p w14:paraId="6A5287F6" w14:textId="5315B1B4" w:rsidR="00C61986" w:rsidRDefault="00C61986" w:rsidP="006C6604">
      <w:pPr>
        <w:pStyle w:val="ListParagraph"/>
        <w:numPr>
          <w:ilvl w:val="0"/>
          <w:numId w:val="10"/>
        </w:numPr>
      </w:pPr>
      <w:r>
        <w:t>Ensure greater take up and use of broadband services by low-income households</w:t>
      </w:r>
      <w:r w:rsidR="00256EDB">
        <w:t>, extending the already identified benefits of the NBN.</w:t>
      </w:r>
      <w:r w:rsidR="00256EDB">
        <w:rPr>
          <w:rStyle w:val="FootnoteReference"/>
        </w:rPr>
        <w:footnoteReference w:id="8"/>
      </w:r>
    </w:p>
    <w:p w14:paraId="77802804" w14:textId="0E5A6DA9" w:rsidR="00806F42" w:rsidRDefault="00BA3670" w:rsidP="00C61986">
      <w:pPr>
        <w:pStyle w:val="ListParagraph"/>
        <w:numPr>
          <w:ilvl w:val="0"/>
          <w:numId w:val="10"/>
        </w:numPr>
      </w:pPr>
      <w:r>
        <w:t>Improve the digital ability of Australians by addressing persistent affordability challenges</w:t>
      </w:r>
      <w:r w:rsidR="00806F42">
        <w:t>.</w:t>
      </w:r>
    </w:p>
    <w:p w14:paraId="06AF2BBA" w14:textId="33A8E060" w:rsidR="009921F1" w:rsidRDefault="00BA3670" w:rsidP="00AF5417">
      <w:r>
        <w:t xml:space="preserve">For example, according to research conducted by the Good Things Foundation Australia, </w:t>
      </w:r>
      <w:r w:rsidRPr="006E1F08">
        <w:t xml:space="preserve">the estimated annual economic benefit of closing the digital divide for highly </w:t>
      </w:r>
      <w:r>
        <w:t xml:space="preserve">digitally </w:t>
      </w:r>
      <w:r w:rsidRPr="006E1F08">
        <w:t>excluded Australians</w:t>
      </w:r>
      <w:r>
        <w:t xml:space="preserve"> is </w:t>
      </w:r>
      <w:r w:rsidRPr="006E1F08">
        <w:t>$467.2 million per year</w:t>
      </w:r>
      <w:r w:rsidR="00C61986">
        <w:t>.</w:t>
      </w:r>
      <w:r w:rsidR="00C61986">
        <w:rPr>
          <w:rStyle w:val="FootnoteReference"/>
        </w:rPr>
        <w:footnoteReference w:id="9"/>
      </w:r>
    </w:p>
    <w:p w14:paraId="3BD8BA1B" w14:textId="77777777" w:rsidR="00687DC1" w:rsidRDefault="00687DC1" w:rsidP="00AF5417"/>
    <w:p w14:paraId="54F705B6" w14:textId="77777777" w:rsidR="002238DA" w:rsidRDefault="002238DA" w:rsidP="00AF5417"/>
    <w:p w14:paraId="02E2F659" w14:textId="7B8336D3" w:rsidR="00900DEC" w:rsidRPr="00687DC1" w:rsidRDefault="00243315" w:rsidP="00AF5417">
      <w:pPr>
        <w:rPr>
          <w:b/>
          <w:bCs/>
        </w:rPr>
      </w:pPr>
      <w:r w:rsidRPr="00687DC1">
        <w:rPr>
          <w:b/>
          <w:bCs/>
        </w:rPr>
        <w:lastRenderedPageBreak/>
        <w:t xml:space="preserve">The estimated investment </w:t>
      </w:r>
    </w:p>
    <w:p w14:paraId="3B8C55CF" w14:textId="69463904" w:rsidR="00BA558A" w:rsidRDefault="00FB23C6" w:rsidP="00AF5417">
      <w:r w:rsidRPr="00FB23C6">
        <w:t xml:space="preserve">To capture what an effective programme uptake would </w:t>
      </w:r>
      <w:r w:rsidR="00A2675B">
        <w:t>resemble</w:t>
      </w:r>
      <w:r w:rsidRPr="00FB23C6">
        <w:t>, ACCAN has estimated that 70% of payment recipients (per household) would take up the concessional product.</w:t>
      </w:r>
      <w:r>
        <w:t xml:space="preserve"> </w:t>
      </w:r>
      <w:r w:rsidR="00D54580">
        <w:t xml:space="preserve">ACCAN estimates </w:t>
      </w:r>
      <w:r w:rsidR="00B65B18">
        <w:t xml:space="preserve">a concessional </w:t>
      </w:r>
      <w:r w:rsidR="006D4E71">
        <w:t xml:space="preserve">50 Mbps </w:t>
      </w:r>
      <w:r w:rsidR="00B65B18">
        <w:t>broadband product would deliver an annual reduction in the cost of living of</w:t>
      </w:r>
      <w:r w:rsidR="00D54580">
        <w:t xml:space="preserve"> </w:t>
      </w:r>
      <w:r w:rsidR="00C942E0">
        <w:t xml:space="preserve">$432 </w:t>
      </w:r>
      <w:r w:rsidR="00B65B18">
        <w:t>per household</w:t>
      </w:r>
      <w:r w:rsidR="00A11796">
        <w:t xml:space="preserve">, or $180 for a 25 Mbps plan. </w:t>
      </w:r>
    </w:p>
    <w:p w14:paraId="0A18A99A" w14:textId="6BA568C9" w:rsidR="008372C4" w:rsidRDefault="00D54580" w:rsidP="00AF5417">
      <w:r>
        <w:t xml:space="preserve">ACCAN estimates that the required </w:t>
      </w:r>
      <w:r w:rsidR="00DC373E">
        <w:t xml:space="preserve">government expenditure </w:t>
      </w:r>
      <w:r>
        <w:t xml:space="preserve">would be </w:t>
      </w:r>
      <w:r w:rsidR="00DC373E">
        <w:t xml:space="preserve">between $118 million - $380 million, depending on </w:t>
      </w:r>
      <w:r w:rsidR="00B32FAF">
        <w:t xml:space="preserve">how broadly the government </w:t>
      </w:r>
      <w:r w:rsidR="00D630D7">
        <w:t xml:space="preserve">defines </w:t>
      </w:r>
      <w:r w:rsidR="00640BCF">
        <w:t>eligibility.</w:t>
      </w:r>
      <w:r w:rsidR="008372C4" w:rsidRPr="008372C4">
        <w:t xml:space="preserve"> </w:t>
      </w:r>
      <w:r w:rsidR="008372C4">
        <w:t xml:space="preserve">ACCAN recommends the Australian Government prioritise a broader eligibility over a deeper individual subsidy, </w:t>
      </w:r>
      <w:r w:rsidR="00303D22">
        <w:t>to</w:t>
      </w:r>
      <w:r w:rsidR="008372C4">
        <w:t xml:space="preserve"> ensure as many Australians are connected as possible. </w:t>
      </w:r>
    </w:p>
    <w:p w14:paraId="39C5C4A3" w14:textId="3E6635E1" w:rsidR="00900DEC" w:rsidRDefault="00AB6F21" w:rsidP="00AF5417">
      <w:r w:rsidRPr="7CDEE2AE">
        <w:rPr>
          <w:rFonts w:ascii="Calibri" w:eastAsia="Times New Roman" w:hAnsi="Calibri" w:cs="Calibri"/>
          <w:color w:val="000000" w:themeColor="text1"/>
          <w:lang w:val="en-US" w:eastAsia="en-US"/>
        </w:rPr>
        <w:t>ACCAN considers this option is consistent with the goals of existing programs such as the School Student Broadband Initiative in connecting students and young people</w:t>
      </w:r>
      <w:r w:rsidR="00832E3E" w:rsidRPr="7CDEE2AE">
        <w:rPr>
          <w:rFonts w:ascii="Calibri" w:eastAsia="Times New Roman" w:hAnsi="Calibri" w:cs="Calibri"/>
          <w:color w:val="000000" w:themeColor="text1"/>
          <w:lang w:val="en-US" w:eastAsia="en-US"/>
        </w:rPr>
        <w:t xml:space="preserve">, while providing more consistent and ongoing support for </w:t>
      </w:r>
      <w:r w:rsidR="0070482B" w:rsidRPr="7CDEE2AE">
        <w:rPr>
          <w:rFonts w:ascii="Calibri" w:eastAsia="Times New Roman" w:hAnsi="Calibri" w:cs="Calibri"/>
          <w:color w:val="000000" w:themeColor="text1"/>
          <w:lang w:val="en-US" w:eastAsia="en-US"/>
        </w:rPr>
        <w:t xml:space="preserve">a broader section of the Australian community </w:t>
      </w:r>
      <w:r w:rsidR="00193232" w:rsidRPr="7CDEE2AE">
        <w:rPr>
          <w:rFonts w:ascii="Calibri" w:eastAsia="Times New Roman" w:hAnsi="Calibri" w:cs="Calibri"/>
          <w:color w:val="000000" w:themeColor="text1"/>
          <w:lang w:val="en-US" w:eastAsia="en-US"/>
        </w:rPr>
        <w:t>who are facing cost</w:t>
      </w:r>
      <w:r w:rsidR="4B46614E" w:rsidRPr="26EEA99E">
        <w:rPr>
          <w:rFonts w:ascii="Calibri" w:eastAsia="Times New Roman" w:hAnsi="Calibri" w:cs="Calibri"/>
          <w:color w:val="000000" w:themeColor="text1"/>
          <w:lang w:val="en-US" w:eastAsia="en-US"/>
        </w:rPr>
        <w:t>-</w:t>
      </w:r>
      <w:r w:rsidR="00193232" w:rsidRPr="7CDEE2AE">
        <w:rPr>
          <w:rFonts w:ascii="Calibri" w:eastAsia="Times New Roman" w:hAnsi="Calibri" w:cs="Calibri"/>
          <w:color w:val="000000" w:themeColor="text1"/>
          <w:lang w:val="en-US" w:eastAsia="en-US"/>
        </w:rPr>
        <w:t>of</w:t>
      </w:r>
      <w:r w:rsidR="3AA8D85E" w:rsidRPr="26EEA99E">
        <w:rPr>
          <w:rFonts w:ascii="Calibri" w:eastAsia="Times New Roman" w:hAnsi="Calibri" w:cs="Calibri"/>
          <w:color w:val="000000" w:themeColor="text1"/>
          <w:lang w:val="en-US" w:eastAsia="en-US"/>
        </w:rPr>
        <w:t>-</w:t>
      </w:r>
      <w:r w:rsidR="00193232" w:rsidRPr="7CDEE2AE">
        <w:rPr>
          <w:rFonts w:ascii="Calibri" w:eastAsia="Times New Roman" w:hAnsi="Calibri" w:cs="Calibri"/>
          <w:color w:val="000000" w:themeColor="text1"/>
          <w:lang w:val="en-US" w:eastAsia="en-US"/>
        </w:rPr>
        <w:t>living pressures</w:t>
      </w:r>
      <w:r w:rsidR="00612CC2" w:rsidRPr="7CDEE2AE">
        <w:rPr>
          <w:rFonts w:ascii="Calibri" w:eastAsia="Times New Roman" w:hAnsi="Calibri" w:cs="Calibri"/>
          <w:color w:val="000000" w:themeColor="text1"/>
          <w:lang w:val="en-US" w:eastAsia="en-US"/>
        </w:rPr>
        <w:t xml:space="preserve"> and </w:t>
      </w:r>
      <w:r w:rsidR="00691800" w:rsidRPr="7CDEE2AE">
        <w:rPr>
          <w:rFonts w:ascii="Calibri" w:eastAsia="Times New Roman" w:hAnsi="Calibri" w:cs="Calibri"/>
          <w:color w:val="000000" w:themeColor="text1"/>
          <w:lang w:val="en-US" w:eastAsia="en-US"/>
        </w:rPr>
        <w:t>other</w:t>
      </w:r>
      <w:r w:rsidRPr="7CDEE2AE">
        <w:rPr>
          <w:rFonts w:ascii="Calibri" w:eastAsia="Times New Roman" w:hAnsi="Calibri" w:cs="Calibri"/>
          <w:color w:val="000000" w:themeColor="text1"/>
          <w:lang w:val="en-US" w:eastAsia="en-US"/>
        </w:rPr>
        <w:t xml:space="preserve"> difficulties </w:t>
      </w:r>
      <w:r w:rsidR="00691800" w:rsidRPr="7CDEE2AE">
        <w:rPr>
          <w:rFonts w:ascii="Calibri" w:eastAsia="Times New Roman" w:hAnsi="Calibri" w:cs="Calibri"/>
          <w:color w:val="000000" w:themeColor="text1"/>
          <w:lang w:val="en-US" w:eastAsia="en-US"/>
        </w:rPr>
        <w:t>in</w:t>
      </w:r>
      <w:r w:rsidRPr="7CDEE2AE">
        <w:rPr>
          <w:rFonts w:ascii="Calibri" w:eastAsia="Times New Roman" w:hAnsi="Calibri" w:cs="Calibri"/>
          <w:color w:val="000000" w:themeColor="text1"/>
          <w:lang w:val="en-US" w:eastAsia="en-US"/>
        </w:rPr>
        <w:t xml:space="preserve"> maintaining a consistent broadband connection. </w:t>
      </w:r>
    </w:p>
    <w:p w14:paraId="5C037596" w14:textId="35527DB3" w:rsidR="004A7265" w:rsidRPr="005E2BD2" w:rsidRDefault="00D120A1" w:rsidP="00D120A1">
      <w:pPr>
        <w:pStyle w:val="Heading3"/>
        <w:rPr>
          <w:b/>
          <w:bCs w:val="0"/>
        </w:rPr>
      </w:pPr>
      <w:bookmarkStart w:id="6" w:name="_Toc184811977"/>
      <w:r w:rsidRPr="005E2BD2">
        <w:rPr>
          <w:b/>
          <w:bCs w:val="0"/>
        </w:rPr>
        <w:t>Establishing an independent plan comparison tool for the telecommunications sector</w:t>
      </w:r>
      <w:bookmarkEnd w:id="6"/>
      <w:r w:rsidRPr="005E2BD2">
        <w:rPr>
          <w:b/>
          <w:bCs w:val="0"/>
        </w:rPr>
        <w:t xml:space="preserve"> </w:t>
      </w:r>
    </w:p>
    <w:p w14:paraId="1BB3317D" w14:textId="720404BA" w:rsidR="008E6950" w:rsidRPr="00221028" w:rsidRDefault="00D204D1" w:rsidP="003D6DE3">
      <w:pPr>
        <w:rPr>
          <w:lang w:val="en-US" w:eastAsia="en-US"/>
        </w:rPr>
      </w:pPr>
      <w:r>
        <w:rPr>
          <w:lang w:val="en-US" w:eastAsia="en-US"/>
        </w:rPr>
        <w:t>Competition in the telecommunications market should be facilitated through the establishment of an independent plan comparison tool (</w:t>
      </w:r>
      <w:r w:rsidRPr="00A2349C">
        <w:rPr>
          <w:b/>
          <w:bCs/>
          <w:lang w:val="en-US" w:eastAsia="en-US"/>
        </w:rPr>
        <w:t>IPCT</w:t>
      </w:r>
      <w:r>
        <w:rPr>
          <w:lang w:val="en-US" w:eastAsia="en-US"/>
        </w:rPr>
        <w:t>)</w:t>
      </w:r>
      <w:r w:rsidR="00FF50FF">
        <w:rPr>
          <w:lang w:val="en-US" w:eastAsia="en-US"/>
        </w:rPr>
        <w:t xml:space="preserve">. </w:t>
      </w:r>
      <w:r w:rsidR="00FA726E" w:rsidRPr="008B021E">
        <w:rPr>
          <w:lang w:val="en-US" w:eastAsia="en-US"/>
        </w:rPr>
        <w:t>C</w:t>
      </w:r>
      <w:r w:rsidR="00FA726E" w:rsidRPr="00D204D1">
        <w:rPr>
          <w:lang w:eastAsia="en-US"/>
        </w:rPr>
        <w:t>onsumers overwhelmingly agree that it should be easier to find and compare information about phone and internet plans.</w:t>
      </w:r>
      <w:r w:rsidR="00FA726E" w:rsidRPr="00D204D1">
        <w:rPr>
          <w:vertAlign w:val="superscript"/>
          <w:lang w:eastAsia="en-US"/>
        </w:rPr>
        <w:footnoteReference w:id="10"/>
      </w:r>
      <w:r w:rsidR="00495FED">
        <w:rPr>
          <w:lang w:eastAsia="en-US"/>
        </w:rPr>
        <w:t xml:space="preserve"> </w:t>
      </w:r>
      <w:r w:rsidR="00495FED">
        <w:rPr>
          <w:lang w:val="en-US" w:eastAsia="en-US"/>
        </w:rPr>
        <w:t xml:space="preserve">As it stands, consumers are not appropriately supported </w:t>
      </w:r>
      <w:r w:rsidR="009C4A0E">
        <w:rPr>
          <w:lang w:val="en-US" w:eastAsia="en-US"/>
        </w:rPr>
        <w:t xml:space="preserve">to </w:t>
      </w:r>
      <w:r w:rsidR="00495FED">
        <w:rPr>
          <w:lang w:val="en-US" w:eastAsia="en-US"/>
        </w:rPr>
        <w:t>easily find and compar</w:t>
      </w:r>
      <w:r w:rsidR="009C4A0E">
        <w:rPr>
          <w:lang w:val="en-US" w:eastAsia="en-US"/>
        </w:rPr>
        <w:t>e</w:t>
      </w:r>
      <w:r w:rsidR="00495FED">
        <w:rPr>
          <w:lang w:val="en-US" w:eastAsia="en-US"/>
        </w:rPr>
        <w:t xml:space="preserve"> information about phone and internet plans.</w:t>
      </w:r>
      <w:r w:rsidR="008D0F17">
        <w:rPr>
          <w:lang w:val="en-US" w:eastAsia="en-US"/>
        </w:rPr>
        <w:t xml:space="preserve"> </w:t>
      </w:r>
    </w:p>
    <w:p w14:paraId="162E694B" w14:textId="16AA00FF" w:rsidR="009B085F" w:rsidRPr="00495FED" w:rsidRDefault="008D0F17" w:rsidP="003D6DE3">
      <w:pPr>
        <w:rPr>
          <w:lang w:eastAsia="en-US"/>
        </w:rPr>
      </w:pPr>
      <w:r>
        <w:rPr>
          <w:lang w:val="en-US" w:eastAsia="en-US"/>
        </w:rPr>
        <w:t xml:space="preserve">This is reflected in the </w:t>
      </w:r>
      <w:r w:rsidR="00D204D1" w:rsidRPr="00D204D1">
        <w:rPr>
          <w:lang w:eastAsia="en-US"/>
        </w:rPr>
        <w:t>50</w:t>
      </w:r>
      <w:r w:rsidR="009C4A0E">
        <w:rPr>
          <w:lang w:eastAsia="en-US"/>
        </w:rPr>
        <w:t xml:space="preserve">% </w:t>
      </w:r>
      <w:r w:rsidR="00D204D1" w:rsidRPr="00D204D1">
        <w:rPr>
          <w:lang w:eastAsia="en-US"/>
        </w:rPr>
        <w:t xml:space="preserve">of </w:t>
      </w:r>
      <w:r w:rsidR="00495FED">
        <w:rPr>
          <w:lang w:eastAsia="en-US"/>
        </w:rPr>
        <w:t xml:space="preserve">surveyed consumers </w:t>
      </w:r>
      <w:r>
        <w:rPr>
          <w:lang w:eastAsia="en-US"/>
        </w:rPr>
        <w:t xml:space="preserve">that </w:t>
      </w:r>
      <w:r w:rsidR="0063182D">
        <w:rPr>
          <w:lang w:eastAsia="en-US"/>
        </w:rPr>
        <w:t>have</w:t>
      </w:r>
      <w:r w:rsidR="00D204D1" w:rsidRPr="00D204D1">
        <w:rPr>
          <w:lang w:eastAsia="en-US"/>
        </w:rPr>
        <w:t xml:space="preserve"> not switched their telecommunications provider in the last 5 years</w:t>
      </w:r>
      <w:r w:rsidR="5A7597FA" w:rsidRPr="00D204D1">
        <w:rPr>
          <w:lang w:eastAsia="en-US"/>
        </w:rPr>
        <w:t>,</w:t>
      </w:r>
      <w:r w:rsidR="00D204D1" w:rsidRPr="00D204D1">
        <w:rPr>
          <w:lang w:eastAsia="en-US"/>
        </w:rPr>
        <w:t xml:space="preserve"> with almost 68</w:t>
      </w:r>
      <w:r w:rsidR="00222C11">
        <w:rPr>
          <w:lang w:eastAsia="en-US"/>
        </w:rPr>
        <w:t xml:space="preserve">% </w:t>
      </w:r>
      <w:r w:rsidR="00D204D1" w:rsidRPr="00D204D1">
        <w:rPr>
          <w:lang w:eastAsia="en-US"/>
        </w:rPr>
        <w:t>of surveyed</w:t>
      </w:r>
      <w:r w:rsidR="00495FED">
        <w:rPr>
          <w:lang w:eastAsia="en-US"/>
        </w:rPr>
        <w:t xml:space="preserve"> consumers</w:t>
      </w:r>
      <w:r w:rsidR="00D204D1" w:rsidRPr="00D204D1">
        <w:rPr>
          <w:lang w:eastAsia="en-US"/>
        </w:rPr>
        <w:t xml:space="preserve"> not having switched their provider in the last 3 years.</w:t>
      </w:r>
      <w:r w:rsidR="00D204D1" w:rsidRPr="00D204D1">
        <w:rPr>
          <w:vertAlign w:val="superscript"/>
          <w:lang w:eastAsia="en-US"/>
        </w:rPr>
        <w:footnoteReference w:id="11"/>
      </w:r>
      <w:r>
        <w:rPr>
          <w:lang w:eastAsia="en-US"/>
        </w:rPr>
        <w:t xml:space="preserve"> As </w:t>
      </w:r>
      <w:r w:rsidR="003D6DE3">
        <w:rPr>
          <w:lang w:eastAsia="en-US"/>
        </w:rPr>
        <w:t>c</w:t>
      </w:r>
      <w:r w:rsidR="008B021E" w:rsidRPr="00D204D1">
        <w:rPr>
          <w:lang w:eastAsia="en-US"/>
        </w:rPr>
        <w:t>onsumers are most commonly motivated by price when it comes to switching providers</w:t>
      </w:r>
      <w:r w:rsidR="00BF74A1">
        <w:rPr>
          <w:lang w:eastAsia="en-US"/>
        </w:rPr>
        <w:t>,</w:t>
      </w:r>
      <w:r w:rsidR="003D6DE3">
        <w:rPr>
          <w:lang w:eastAsia="en-US"/>
        </w:rPr>
        <w:t xml:space="preserve"> it is critical to facilitate effective </w:t>
      </w:r>
      <w:r w:rsidR="006171E4">
        <w:rPr>
          <w:lang w:eastAsia="en-US"/>
        </w:rPr>
        <w:t>customer churning to address the persistent affordability challenges experienced by communications consumers.</w:t>
      </w:r>
      <w:r w:rsidR="008B021E" w:rsidRPr="00D204D1">
        <w:rPr>
          <w:vertAlign w:val="superscript"/>
          <w:lang w:eastAsia="en-US"/>
        </w:rPr>
        <w:footnoteReference w:id="12"/>
      </w:r>
    </w:p>
    <w:p w14:paraId="74034139" w14:textId="77777777" w:rsidR="00DD020E" w:rsidRDefault="00811223" w:rsidP="003D6DE3">
      <w:r>
        <w:t xml:space="preserve">An IPCT would help reduce existing information asymmetries by empowering consumers with reliable and impartial information about which plan would best suit their needs. It would encourage consumers to more frequently change providers, preventing the build-up of incumbency bias and rewarding providers who compete on price. </w:t>
      </w:r>
    </w:p>
    <w:p w14:paraId="6B33D998" w14:textId="4CD2293E" w:rsidR="00CA6941" w:rsidRDefault="00495FED" w:rsidP="003D6DE3">
      <w:r>
        <w:t xml:space="preserve">An IPCT </w:t>
      </w:r>
      <w:r w:rsidR="00811223">
        <w:t>would offer consumers an effective way to reduce the cost of telecommunications plans, encourage service providers to offer more affordable plans, and help reduce inflationary pressures by lowering the economic costs of connectivity.</w:t>
      </w:r>
    </w:p>
    <w:p w14:paraId="78A12869" w14:textId="77777777" w:rsidR="00CA6941" w:rsidRDefault="00CA6941" w:rsidP="003D6DE3"/>
    <w:p w14:paraId="57AA01F9" w14:textId="77777777" w:rsidR="00CA6941" w:rsidRDefault="00CA6941" w:rsidP="003D6DE3"/>
    <w:p w14:paraId="4BB84196" w14:textId="77777777" w:rsidR="00CA6941" w:rsidRDefault="00CA6941" w:rsidP="003D6DE3"/>
    <w:p w14:paraId="3E106216" w14:textId="3763A016" w:rsidR="00E47AD7" w:rsidRDefault="004C52EB" w:rsidP="003D6DE3">
      <w:pPr>
        <w:rPr>
          <w:b/>
          <w:bCs/>
        </w:rPr>
      </w:pPr>
      <w:r w:rsidRPr="004C52EB">
        <w:rPr>
          <w:b/>
          <w:bCs/>
        </w:rPr>
        <w:lastRenderedPageBreak/>
        <w:t xml:space="preserve">The estimated investment </w:t>
      </w:r>
    </w:p>
    <w:p w14:paraId="074025A4" w14:textId="4893DF4F" w:rsidR="00CA6941" w:rsidRDefault="00D802C5" w:rsidP="002451E0">
      <w:r>
        <w:t>ACCAN considers that Energy Made Easy (</w:t>
      </w:r>
      <w:r w:rsidRPr="00F41910">
        <w:rPr>
          <w:b/>
          <w:bCs/>
        </w:rPr>
        <w:t>EME</w:t>
      </w:r>
      <w:r>
        <w:t xml:space="preserve">) </w:t>
      </w:r>
      <w:r w:rsidR="00631907">
        <w:t xml:space="preserve">serves as a useful </w:t>
      </w:r>
      <w:r w:rsidR="009E3E5F">
        <w:t>baseline to model the costs related to implementing an IPCT.</w:t>
      </w:r>
      <w:r w:rsidR="00426CC3">
        <w:rPr>
          <w:rStyle w:val="FootnoteReference"/>
        </w:rPr>
        <w:footnoteReference w:id="13"/>
      </w:r>
      <w:r w:rsidR="009E3E5F">
        <w:t xml:space="preserve"> </w:t>
      </w:r>
      <w:r w:rsidR="00404F4B">
        <w:t xml:space="preserve">In </w:t>
      </w:r>
      <w:r w:rsidR="00821686">
        <w:t xml:space="preserve">FY23-24, </w:t>
      </w:r>
      <w:r w:rsidR="00C761FA">
        <w:t xml:space="preserve">EME facilitated approximately </w:t>
      </w:r>
      <w:r w:rsidR="000F4506">
        <w:t>1,444,000</w:t>
      </w:r>
      <w:r w:rsidR="00270FD0">
        <w:t xml:space="preserve"> consumer</w:t>
      </w:r>
      <w:r w:rsidR="00002C2F">
        <w:t>s search</w:t>
      </w:r>
      <w:r w:rsidR="00B45748">
        <w:t>es</w:t>
      </w:r>
      <w:r w:rsidR="00002C2F">
        <w:t xml:space="preserve"> for energy plans and </w:t>
      </w:r>
      <w:r w:rsidR="00BB0772">
        <w:t>154,000 people switched retailers after</w:t>
      </w:r>
      <w:r w:rsidR="009F118D">
        <w:t xml:space="preserve"> </w:t>
      </w:r>
      <w:r w:rsidR="00BB0772">
        <w:t>completing a sea</w:t>
      </w:r>
      <w:r w:rsidR="00B45748">
        <w:t>rch</w:t>
      </w:r>
      <w:r w:rsidR="00CA6941">
        <w:t xml:space="preserve"> on EME</w:t>
      </w:r>
      <w:r w:rsidR="002451E0">
        <w:t>.</w:t>
      </w:r>
      <w:r w:rsidR="005334BE">
        <w:rPr>
          <w:rStyle w:val="FootnoteReference"/>
        </w:rPr>
        <w:footnoteReference w:id="14"/>
      </w:r>
      <w:r w:rsidR="002451E0">
        <w:t xml:space="preserve"> </w:t>
      </w:r>
    </w:p>
    <w:p w14:paraId="036F924C" w14:textId="245692CB" w:rsidR="000B1258" w:rsidRDefault="00116648" w:rsidP="002451E0">
      <w:r w:rsidRPr="00116648">
        <w:t xml:space="preserve">ACCAN notes that </w:t>
      </w:r>
      <w:r>
        <w:t>since 2020, EME has</w:t>
      </w:r>
      <w:r w:rsidR="00FA0153">
        <w:t xml:space="preserve"> facilitated </w:t>
      </w:r>
      <w:r w:rsidR="006C5F2E">
        <w:t xml:space="preserve">over </w:t>
      </w:r>
      <w:r w:rsidR="006C5F2E" w:rsidRPr="006C5F2E">
        <w:t>4,335,000</w:t>
      </w:r>
      <w:r w:rsidR="006E043C">
        <w:t xml:space="preserve"> plan </w:t>
      </w:r>
      <w:r w:rsidR="003A40A0">
        <w:t>search</w:t>
      </w:r>
      <w:r w:rsidR="00EA118E">
        <w:t xml:space="preserve">es and approximately </w:t>
      </w:r>
      <w:r w:rsidR="000F6691">
        <w:t>302,000 consumers switched retailers after completing a search on EME.</w:t>
      </w:r>
      <w:r w:rsidR="000F6691">
        <w:rPr>
          <w:rStyle w:val="FootnoteReference"/>
        </w:rPr>
        <w:footnoteReference w:id="15"/>
      </w:r>
      <w:r w:rsidR="00C328EA">
        <w:t xml:space="preserve"> </w:t>
      </w:r>
      <w:r w:rsidR="002451E0" w:rsidRPr="002451E0">
        <w:t xml:space="preserve">Should an IPCT be developed and resourced </w:t>
      </w:r>
      <w:r w:rsidR="00033C72">
        <w:t>appropriately</w:t>
      </w:r>
      <w:r w:rsidR="00AB63A6">
        <w:t>,</w:t>
      </w:r>
      <w:r w:rsidR="002451E0" w:rsidRPr="002451E0">
        <w:t xml:space="preserve"> many consumers will be facilitated to make savings on their telecommunications bills.</w:t>
      </w:r>
      <w:r w:rsidR="00AC3CE3">
        <w:t xml:space="preserve"> </w:t>
      </w:r>
    </w:p>
    <w:p w14:paraId="7A57EA0D" w14:textId="43CF38C3" w:rsidR="002451E0" w:rsidRDefault="00AC3CE3" w:rsidP="002451E0">
      <w:r>
        <w:t>For example, a</w:t>
      </w:r>
      <w:r w:rsidRPr="00AC3CE3">
        <w:t xml:space="preserve"> consumer switching a</w:t>
      </w:r>
      <w:r w:rsidR="00C713F5">
        <w:t xml:space="preserve">n </w:t>
      </w:r>
      <w:r w:rsidRPr="00AC3CE3">
        <w:t xml:space="preserve">equivalent telecommunications service from a larger market participant to a smaller market participant (assuming an average data usage of 24.4GB per month) may save approximately </w:t>
      </w:r>
      <w:r w:rsidR="008B6BE4">
        <w:t>$</w:t>
      </w:r>
      <w:r w:rsidRPr="00AC3CE3">
        <w:t xml:space="preserve">200 per year on mobile data bills and approximately </w:t>
      </w:r>
      <w:r w:rsidR="5B016F93">
        <w:t>$</w:t>
      </w:r>
      <w:r w:rsidRPr="00AC3CE3">
        <w:t xml:space="preserve">150 per year on NBN or equivalent broadband services. These potential savings are material to </w:t>
      </w:r>
      <w:r w:rsidR="00B8716C">
        <w:t xml:space="preserve">communications </w:t>
      </w:r>
      <w:r w:rsidRPr="00AC3CE3">
        <w:t>consumers currently experiencing a cost-of-living crisis.</w:t>
      </w:r>
    </w:p>
    <w:p w14:paraId="4C4ABF89" w14:textId="17503509" w:rsidR="00CA6941" w:rsidRPr="00F41910" w:rsidRDefault="00CD30DD" w:rsidP="00CA6941">
      <w:pPr>
        <w:rPr>
          <w:lang w:val="en-US" w:eastAsia="en-US"/>
        </w:rPr>
      </w:pPr>
      <w:r>
        <w:t xml:space="preserve">Using the above figures as a basis for extrapolation, should </w:t>
      </w:r>
      <w:r w:rsidR="00F354FE">
        <w:t>1</w:t>
      </w:r>
      <w:r w:rsidR="005306D0">
        <w:t>5</w:t>
      </w:r>
      <w:r w:rsidR="00F354FE">
        <w:t>0,000 consumers switch their broadband and mobile telecommunications provider</w:t>
      </w:r>
      <w:r w:rsidR="00C72086">
        <w:t xml:space="preserve"> with </w:t>
      </w:r>
      <w:r w:rsidR="00852328">
        <w:t>each</w:t>
      </w:r>
      <w:r w:rsidR="00E74CBE">
        <w:t xml:space="preserve"> </w:t>
      </w:r>
      <w:r w:rsidR="005306D0">
        <w:t xml:space="preserve">consumer </w:t>
      </w:r>
      <w:r w:rsidR="00DF5B23">
        <w:t xml:space="preserve">saving </w:t>
      </w:r>
      <w:r w:rsidR="005306D0">
        <w:t>a total of $3</w:t>
      </w:r>
      <w:r w:rsidR="00DF5B23">
        <w:t>00 per year</w:t>
      </w:r>
      <w:r w:rsidR="00C72086">
        <w:t xml:space="preserve">, </w:t>
      </w:r>
      <w:r w:rsidR="00852328">
        <w:t xml:space="preserve">ACCAN expects the benefit to </w:t>
      </w:r>
      <w:r w:rsidR="00C10828">
        <w:t xml:space="preserve">communications </w:t>
      </w:r>
      <w:r w:rsidR="00852328">
        <w:t xml:space="preserve">consumers </w:t>
      </w:r>
      <w:r w:rsidR="00C72086">
        <w:t xml:space="preserve">nationwide </w:t>
      </w:r>
      <w:r w:rsidR="00C10828">
        <w:t>to exceed $</w:t>
      </w:r>
      <w:r w:rsidR="00C426C4">
        <w:t>45</w:t>
      </w:r>
      <w:r w:rsidR="00C10828">
        <w:t xml:space="preserve"> million</w:t>
      </w:r>
      <w:r w:rsidR="00D54580">
        <w:t xml:space="preserve"> p.a.</w:t>
      </w:r>
      <w:r w:rsidR="00C10828">
        <w:t xml:space="preserve"> </w:t>
      </w:r>
      <w:r w:rsidR="005A5039">
        <w:t>ACCAN expect</w:t>
      </w:r>
      <w:r w:rsidR="00167954">
        <w:t>s</w:t>
      </w:r>
      <w:r w:rsidR="005A5039">
        <w:t xml:space="preserve"> </w:t>
      </w:r>
      <w:r w:rsidR="00F86070">
        <w:t xml:space="preserve">that consumers may experience fewer barriers switching telecommunications providers than energy providers, improving the uptake of the IPCT. </w:t>
      </w:r>
    </w:p>
    <w:p w14:paraId="7CCCAAF9" w14:textId="24DD80B0" w:rsidR="00D120A1" w:rsidRPr="00255B3A" w:rsidRDefault="00D120A1" w:rsidP="00D120A1">
      <w:pPr>
        <w:pStyle w:val="Heading3"/>
        <w:rPr>
          <w:b/>
          <w:bCs w:val="0"/>
        </w:rPr>
      </w:pPr>
      <w:bookmarkStart w:id="7" w:name="_Toc184811978"/>
      <w:r w:rsidRPr="00255B3A">
        <w:rPr>
          <w:b/>
          <w:bCs w:val="0"/>
        </w:rPr>
        <w:t>Establishing a national device bank to assist a broad range of consumer cohorts</w:t>
      </w:r>
      <w:bookmarkEnd w:id="7"/>
    </w:p>
    <w:p w14:paraId="2EFC38A8" w14:textId="614C5944" w:rsidR="006539B6" w:rsidRDefault="006539B6" w:rsidP="006539B6">
      <w:r w:rsidRPr="00CF0585">
        <w:t>Access to</w:t>
      </w:r>
      <w:r>
        <w:t xml:space="preserve"> the devices required for</w:t>
      </w:r>
      <w:r w:rsidRPr="00CF0585">
        <w:t xml:space="preserve"> connectivity is critical for all communications consumers to effectively engage in economic and social activity</w:t>
      </w:r>
      <w:r>
        <w:t>. Vulnerable consumers, consumers on low incomes and students often have difficulty accessing suitable internet devices.</w:t>
      </w:r>
    </w:p>
    <w:p w14:paraId="1D165B47" w14:textId="77777777" w:rsidR="006539B6" w:rsidRDefault="006539B6" w:rsidP="006539B6">
      <w:pPr>
        <w:pStyle w:val="ListParagraph"/>
        <w:numPr>
          <w:ilvl w:val="0"/>
          <w:numId w:val="12"/>
        </w:numPr>
      </w:pPr>
      <w:r w:rsidRPr="0086346C">
        <w:t xml:space="preserve">‘51.6% </w:t>
      </w:r>
      <w:r>
        <w:t>of</w:t>
      </w:r>
      <w:r w:rsidRPr="0086346C">
        <w:t xml:space="preserve"> lower income families reported their children could miss out on the digital devices needed for schoolwork because they won’t be able to afford them’</w:t>
      </w:r>
      <w:r>
        <w:t>.</w:t>
      </w:r>
      <w:r>
        <w:rPr>
          <w:rStyle w:val="FootnoteReference"/>
        </w:rPr>
        <w:footnoteReference w:id="16"/>
      </w:r>
    </w:p>
    <w:p w14:paraId="7DB868E3" w14:textId="77777777" w:rsidR="006539B6" w:rsidRDefault="006539B6" w:rsidP="006539B6">
      <w:pPr>
        <w:pStyle w:val="ListParagraph"/>
        <w:numPr>
          <w:ilvl w:val="0"/>
          <w:numId w:val="12"/>
        </w:numPr>
      </w:pPr>
      <w:r>
        <w:t>‘T</w:t>
      </w:r>
      <w:r w:rsidRPr="00580A67">
        <w:t xml:space="preserve">wo in five (44%) </w:t>
      </w:r>
      <w:r>
        <w:t>y</w:t>
      </w:r>
      <w:r w:rsidRPr="00580A67">
        <w:t>ear 6 students and a quarter (25%) of Year 10 students in Australia do not have access to a computer outside of school</w:t>
      </w:r>
      <w:r>
        <w:t>’.</w:t>
      </w:r>
      <w:r>
        <w:rPr>
          <w:rStyle w:val="FootnoteReference"/>
        </w:rPr>
        <w:footnoteReference w:id="17"/>
      </w:r>
    </w:p>
    <w:p w14:paraId="269CD237" w14:textId="3B162233" w:rsidR="006539B6" w:rsidRDefault="006539B6" w:rsidP="006539B6">
      <w:pPr>
        <w:pStyle w:val="ListParagraph"/>
        <w:numPr>
          <w:ilvl w:val="0"/>
          <w:numId w:val="12"/>
        </w:numPr>
      </w:pPr>
      <w:r w:rsidRPr="00163A0F">
        <w:t xml:space="preserve">49% of </w:t>
      </w:r>
      <w:r w:rsidR="00707318">
        <w:t xml:space="preserve">surveyed </w:t>
      </w:r>
      <w:r w:rsidRPr="00163A0F">
        <w:t>parents with children under 12 were unable to provide regular access to devices required for their children's education</w:t>
      </w:r>
      <w:r>
        <w:t>.</w:t>
      </w:r>
      <w:r>
        <w:rPr>
          <w:rStyle w:val="FootnoteReference"/>
        </w:rPr>
        <w:footnoteReference w:id="18"/>
      </w:r>
    </w:p>
    <w:p w14:paraId="5F6BB839" w14:textId="7B86FFB9" w:rsidR="00C0779C" w:rsidRDefault="006539B6" w:rsidP="00563F9D">
      <w:pPr>
        <w:pStyle w:val="ListParagraph"/>
        <w:numPr>
          <w:ilvl w:val="0"/>
          <w:numId w:val="12"/>
        </w:numPr>
      </w:pPr>
      <w:r>
        <w:t>‘</w:t>
      </w:r>
      <w:r w:rsidRPr="002E33A0">
        <w:t>1 in 7</w:t>
      </w:r>
      <w:r>
        <w:t xml:space="preserve"> </w:t>
      </w:r>
      <w:r w:rsidR="00882E86">
        <w:t>[</w:t>
      </w:r>
      <w:r>
        <w:t>parents</w:t>
      </w:r>
      <w:r w:rsidR="00882E86">
        <w:t>]</w:t>
      </w:r>
      <w:r>
        <w:t xml:space="preserve"> with children</w:t>
      </w:r>
      <w:r w:rsidRPr="002E33A0">
        <w:t xml:space="preserve"> aren't able to provide access to a computer or tablet when their kids need them for school</w:t>
      </w:r>
      <w:r>
        <w:t>’.</w:t>
      </w:r>
      <w:r>
        <w:rPr>
          <w:rStyle w:val="FootnoteReference"/>
        </w:rPr>
        <w:footnoteReference w:id="19"/>
      </w:r>
    </w:p>
    <w:p w14:paraId="73209585" w14:textId="77777777" w:rsidR="00563F9D" w:rsidRDefault="00563F9D" w:rsidP="00563F9D"/>
    <w:p w14:paraId="3C32C670" w14:textId="77777777" w:rsidR="00563F9D" w:rsidRDefault="00563F9D" w:rsidP="00F41910"/>
    <w:p w14:paraId="6307D047" w14:textId="0DCF4A73" w:rsidR="002A6610" w:rsidRDefault="006539B6" w:rsidP="006539B6">
      <w:r>
        <w:lastRenderedPageBreak/>
        <w:t>A lack of access to the devices necessary to facilitate quality connectivity has detrimental effects</w:t>
      </w:r>
      <w:r w:rsidR="659BDD2A">
        <w:t>.</w:t>
      </w:r>
      <w:r w:rsidR="00303026">
        <w:t xml:space="preserve"> </w:t>
      </w:r>
      <w:r w:rsidR="5185966B">
        <w:t>F</w:t>
      </w:r>
      <w:r w:rsidR="00303026">
        <w:t xml:space="preserve">or example, </w:t>
      </w:r>
      <w:r w:rsidRPr="00FE7325">
        <w:t>‘84% students with inadequate access to a computer had trouble</w:t>
      </w:r>
      <w:r>
        <w:t xml:space="preserve"> </w:t>
      </w:r>
      <w:r w:rsidRPr="00FE7325">
        <w:t>finishing class work and assignments</w:t>
      </w:r>
      <w:r>
        <w:t>’.</w:t>
      </w:r>
      <w:r>
        <w:rPr>
          <w:rStyle w:val="FootnoteReference"/>
        </w:rPr>
        <w:footnoteReference w:id="20"/>
      </w:r>
      <w:r w:rsidRPr="00DD7D0C">
        <w:t xml:space="preserve"> </w:t>
      </w:r>
      <w:r w:rsidR="00303026">
        <w:t xml:space="preserve">Additionally, </w:t>
      </w:r>
      <w:r>
        <w:t>‘</w:t>
      </w:r>
      <w:r w:rsidR="00303026">
        <w:t>w</w:t>
      </w:r>
      <w:r w:rsidRPr="00C76D9D">
        <w:t>ithout a functional mobile, laptop or home computer, households are at risk of being digitally excluded, even if they are within range of mobile and broadband services</w:t>
      </w:r>
      <w:r>
        <w:t>’</w:t>
      </w:r>
      <w:r w:rsidRPr="00C76D9D">
        <w:t>.</w:t>
      </w:r>
      <w:r>
        <w:rPr>
          <w:rStyle w:val="FootnoteReference"/>
        </w:rPr>
        <w:footnoteReference w:id="21"/>
      </w:r>
    </w:p>
    <w:p w14:paraId="7B8FB98F" w14:textId="41100682" w:rsidR="00F66AD3" w:rsidRDefault="00C23093" w:rsidP="0012079F">
      <w:r>
        <w:t>ACCAN recommends</w:t>
      </w:r>
      <w:r w:rsidR="0063182D" w:rsidRPr="00551E0A">
        <w:t xml:space="preserve"> the Australian Government </w:t>
      </w:r>
      <w:r w:rsidR="0063182D">
        <w:t>develop and fund a National Device Bank (</w:t>
      </w:r>
      <w:r w:rsidR="0063182D" w:rsidRPr="00F715A6">
        <w:rPr>
          <w:b/>
          <w:bCs/>
        </w:rPr>
        <w:t>NDB</w:t>
      </w:r>
      <w:r w:rsidR="0063182D">
        <w:t xml:space="preserve">) </w:t>
      </w:r>
      <w:bookmarkStart w:id="8" w:name="_Hlk183524253"/>
      <w:r w:rsidR="0063182D">
        <w:t>to provide free refurbished internet devices to a wide range of consumers, including consumers on low-incomes, consumers experiencing vulnerability and students.</w:t>
      </w:r>
      <w:bookmarkEnd w:id="8"/>
      <w:r w:rsidR="0063182D">
        <w:t xml:space="preserve"> This initiative should ensure all communications consumers can access reliable internet devices when they need them.</w:t>
      </w:r>
    </w:p>
    <w:p w14:paraId="459BB5C4" w14:textId="4926114C" w:rsidR="007175B6" w:rsidRDefault="0012079F" w:rsidP="0012079F">
      <w:r>
        <w:t>A ND</w:t>
      </w:r>
      <w:r w:rsidR="00744717">
        <w:t>B</w:t>
      </w:r>
      <w:r>
        <w:t xml:space="preserve"> would refurbish internet devices including mobile phones, tablets, laptop and desktop computers donated by </w:t>
      </w:r>
      <w:r w:rsidRPr="00195BE4">
        <w:t>corporate and government organisations once they have reached their initial end of life</w:t>
      </w:r>
      <w:r w:rsidRPr="00023057">
        <w:t>.</w:t>
      </w:r>
      <w:r w:rsidRPr="00023057">
        <w:rPr>
          <w:rStyle w:val="FootnoteReference"/>
        </w:rPr>
        <w:footnoteReference w:id="22"/>
      </w:r>
      <w:r>
        <w:t xml:space="preserve"> These devices would be distributed to consumers who have been referred to the NDB by community organisations, consumer advocates, financial counsellors or </w:t>
      </w:r>
      <w:r w:rsidR="005F5CCE">
        <w:t xml:space="preserve">by </w:t>
      </w:r>
      <w:r>
        <w:t>apply</w:t>
      </w:r>
      <w:r w:rsidR="005F5CCE">
        <w:t>ing</w:t>
      </w:r>
      <w:r>
        <w:t xml:space="preserve"> individually. It is critical that there are no consumer costs associated with accessing devices through the ND</w:t>
      </w:r>
      <w:r w:rsidR="005F5CCE">
        <w:t>B</w:t>
      </w:r>
      <w:r>
        <w:t xml:space="preserve">.  </w:t>
      </w:r>
    </w:p>
    <w:p w14:paraId="68E58BE5" w14:textId="54727576" w:rsidR="0012079F" w:rsidRDefault="0012079F" w:rsidP="0012079F">
      <w:r>
        <w:t>ACCAN considers that a ND</w:t>
      </w:r>
      <w:r w:rsidR="005F5CCE">
        <w:t>B</w:t>
      </w:r>
      <w:r>
        <w:t xml:space="preserve"> developed should:   </w:t>
      </w:r>
    </w:p>
    <w:p w14:paraId="4934BB57" w14:textId="77777777" w:rsidR="0012079F" w:rsidRDefault="0012079F" w:rsidP="0012079F">
      <w:pPr>
        <w:pStyle w:val="ListParagraph"/>
        <w:numPr>
          <w:ilvl w:val="0"/>
          <w:numId w:val="13"/>
        </w:numPr>
      </w:pPr>
      <w:r>
        <w:t>Sell a portion of refurbished devices at a profit to fund its core operations.</w:t>
      </w:r>
      <w:r>
        <w:rPr>
          <w:rStyle w:val="FootnoteReference"/>
        </w:rPr>
        <w:footnoteReference w:id="23"/>
      </w:r>
    </w:p>
    <w:p w14:paraId="0703C8B5" w14:textId="197CD619" w:rsidR="0012079F" w:rsidRDefault="0012079F" w:rsidP="0012079F">
      <w:pPr>
        <w:pStyle w:val="ListParagraph"/>
        <w:numPr>
          <w:ilvl w:val="0"/>
          <w:numId w:val="13"/>
        </w:numPr>
      </w:pPr>
      <w:r>
        <w:t xml:space="preserve">Provide </w:t>
      </w:r>
      <w:r w:rsidR="00653D42">
        <w:t>appropriate devices t</w:t>
      </w:r>
      <w:r w:rsidR="0082492A">
        <w:t>hat suit the needs of</w:t>
      </w:r>
      <w:r w:rsidR="00653D42">
        <w:t xml:space="preserve"> </w:t>
      </w:r>
      <w:r>
        <w:t xml:space="preserve">consumers with accessibility </w:t>
      </w:r>
      <w:r w:rsidR="00653D42">
        <w:t>requirements</w:t>
      </w:r>
      <w:r>
        <w:t xml:space="preserve">. </w:t>
      </w:r>
    </w:p>
    <w:p w14:paraId="373781E6" w14:textId="38CD26D4" w:rsidR="0012079F" w:rsidRDefault="0012079F" w:rsidP="0012079F">
      <w:pPr>
        <w:pStyle w:val="ListParagraph"/>
        <w:numPr>
          <w:ilvl w:val="0"/>
          <w:numId w:val="13"/>
        </w:numPr>
      </w:pPr>
      <w:r>
        <w:t xml:space="preserve">Provide for an easy return pathway for malfunctioning or faulty devices. </w:t>
      </w:r>
    </w:p>
    <w:p w14:paraId="677F2C98" w14:textId="315760B8" w:rsidR="0012079F" w:rsidRDefault="0012079F" w:rsidP="0012079F">
      <w:pPr>
        <w:pStyle w:val="ListParagraph"/>
        <w:numPr>
          <w:ilvl w:val="0"/>
          <w:numId w:val="13"/>
        </w:numPr>
      </w:pPr>
      <w:r>
        <w:t>Provide accessible and easy to understand information to consumers on the expected usable lifespan of the devices provided to them through the ND</w:t>
      </w:r>
      <w:r w:rsidR="007361C6">
        <w:t>B</w:t>
      </w:r>
      <w:r>
        <w:t xml:space="preserve">. </w:t>
      </w:r>
    </w:p>
    <w:p w14:paraId="07E98351" w14:textId="6467C749" w:rsidR="000E0C23" w:rsidRDefault="000E0C23" w:rsidP="000E0C23">
      <w:r>
        <w:t xml:space="preserve">A NDB </w:t>
      </w:r>
      <w:r w:rsidR="00DE7BDC">
        <w:t xml:space="preserve">in Australia </w:t>
      </w:r>
      <w:r>
        <w:t xml:space="preserve">may be realised through appropriating aspects of the </w:t>
      </w:r>
      <w:r w:rsidR="00E43BDB">
        <w:t>ND</w:t>
      </w:r>
      <w:r w:rsidR="3B531338">
        <w:t>B</w:t>
      </w:r>
      <w:r w:rsidR="00E43BDB">
        <w:t xml:space="preserve"> </w:t>
      </w:r>
      <w:r>
        <w:t>currently operat</w:t>
      </w:r>
      <w:r w:rsidR="00E43BDB">
        <w:t>ed</w:t>
      </w:r>
      <w:r>
        <w:t xml:space="preserve"> in the United Kingdom by the Good Things Foundation. Under this model, d</w:t>
      </w:r>
      <w:r w:rsidRPr="005A22C4">
        <w:t xml:space="preserve">onated devices are securely refurbished by </w:t>
      </w:r>
      <w:r>
        <w:t>an accredited refurbisher and then paired with free data packages and distributed to consumers who are unable to access devices.</w:t>
      </w:r>
      <w:r>
        <w:rPr>
          <w:rStyle w:val="FootnoteReference"/>
        </w:rPr>
        <w:footnoteReference w:id="24"/>
      </w:r>
      <w:r>
        <w:t xml:space="preserve"> </w:t>
      </w:r>
    </w:p>
    <w:p w14:paraId="6ED16B26" w14:textId="200CF81F" w:rsidR="00550BAF" w:rsidRDefault="000E0C23" w:rsidP="002C168E">
      <w:r>
        <w:t>Ensuring that a wide variety of consumers can have access to the devices they need to facilitate quality connectivity will facilitate significant economic, social and educational benefits. For example, a study conducted by KPMG identified that ‘</w:t>
      </w:r>
      <w:r w:rsidRPr="00CE786E">
        <w:t>83% of surveyed students provided with laptops reported an uplift in their educational results</w:t>
      </w:r>
      <w:r>
        <w:t xml:space="preserve">’ </w:t>
      </w:r>
      <w:r w:rsidRPr="00DD7D0C">
        <w:t>and the majority (97%) indicat</w:t>
      </w:r>
      <w:r>
        <w:t xml:space="preserve">ed </w:t>
      </w:r>
      <w:r w:rsidRPr="00DD7D0C">
        <w:t>that their new laptop supported them in completing their homework and assignments</w:t>
      </w:r>
      <w:r>
        <w:t>.</w:t>
      </w:r>
      <w:r>
        <w:rPr>
          <w:rStyle w:val="FootnoteReference"/>
        </w:rPr>
        <w:footnoteReference w:id="25"/>
      </w:r>
    </w:p>
    <w:p w14:paraId="563FEFDA" w14:textId="77777777" w:rsidR="002D7E48" w:rsidRDefault="002D7E48" w:rsidP="002C168E"/>
    <w:p w14:paraId="74FAB569" w14:textId="77777777" w:rsidR="002D7E48" w:rsidRDefault="002D7E48" w:rsidP="002C168E"/>
    <w:p w14:paraId="5EA90C8A" w14:textId="77777777" w:rsidR="002D7E48" w:rsidRPr="000E0C23" w:rsidRDefault="002D7E48" w:rsidP="002C168E"/>
    <w:p w14:paraId="42069AF8" w14:textId="77777777" w:rsidR="00E736D0" w:rsidRPr="00DB024B" w:rsidRDefault="00E736D0" w:rsidP="00F41910">
      <w:pPr>
        <w:pStyle w:val="Heading1"/>
      </w:pPr>
      <w:bookmarkStart w:id="9" w:name="_Toc184811979"/>
      <w:r>
        <w:lastRenderedPageBreak/>
        <w:t>Expand</w:t>
      </w:r>
      <w:r w:rsidRPr="00DB024B">
        <w:t xml:space="preserve"> the </w:t>
      </w:r>
      <w:r>
        <w:t>TIO</w:t>
      </w:r>
      <w:r w:rsidRPr="00DB024B">
        <w:t xml:space="preserve"> to become a Digital Communications Industry Ombudsman Scheme</w:t>
      </w:r>
      <w:bookmarkEnd w:id="9"/>
    </w:p>
    <w:p w14:paraId="1BFE9739" w14:textId="7F1E7840" w:rsidR="00C83D56" w:rsidRDefault="00DB7A30" w:rsidP="00D6477D">
      <w:r>
        <w:rPr>
          <w:lang w:val="en-US"/>
        </w:rPr>
        <w:t xml:space="preserve">To address persistent consumer harms on digital platforms, </w:t>
      </w:r>
      <w:r w:rsidRPr="006B3C9E">
        <w:rPr>
          <w:lang w:val="en-US"/>
        </w:rPr>
        <w:t>ACCAN recommends</w:t>
      </w:r>
      <w:r w:rsidR="00492DDA">
        <w:rPr>
          <w:lang w:val="en-US"/>
        </w:rPr>
        <w:t xml:space="preserve"> the Australian Government</w:t>
      </w:r>
      <w:r w:rsidR="00BA2D3C">
        <w:t xml:space="preserve"> r</w:t>
      </w:r>
      <w:bookmarkStart w:id="10" w:name="_Hlk183524378"/>
      <w:r w:rsidR="0099703F">
        <w:t xml:space="preserve">esource </w:t>
      </w:r>
      <w:r>
        <w:t>and expand the Telecommunications Industry Ombudsman</w:t>
      </w:r>
      <w:r w:rsidR="00991827">
        <w:t xml:space="preserve"> (</w:t>
      </w:r>
      <w:r w:rsidR="00991827" w:rsidRPr="00BA2D3C">
        <w:rPr>
          <w:b/>
          <w:bCs/>
        </w:rPr>
        <w:t>TIO</w:t>
      </w:r>
      <w:r w:rsidR="00991827">
        <w:t>)</w:t>
      </w:r>
      <w:r>
        <w:t xml:space="preserve"> to become a Digital Communications Industry Ombudsman Scheme.</w:t>
      </w:r>
      <w:r w:rsidR="00BA2D3C">
        <w:t xml:space="preserve"> </w:t>
      </w:r>
      <w:r w:rsidR="00DB024B" w:rsidRPr="006B3C9E">
        <w:t>It is estimated that in 2020 the costs of ‘issues, complaints and disputes in Australia each year’ to users and businesses</w:t>
      </w:r>
      <w:r w:rsidR="00DB024B">
        <w:t xml:space="preserve"> on digital platforms</w:t>
      </w:r>
      <w:r w:rsidR="00DB024B" w:rsidRPr="006B3C9E">
        <w:t xml:space="preserve"> is $3.7 billion.</w:t>
      </w:r>
      <w:r w:rsidR="00DB024B" w:rsidRPr="006B3C9E">
        <w:rPr>
          <w:rStyle w:val="FootnoteReference"/>
        </w:rPr>
        <w:footnoteReference w:id="26"/>
      </w:r>
      <w:r w:rsidR="00DB024B">
        <w:t xml:space="preserve"> </w:t>
      </w:r>
      <w:r w:rsidR="00DB024B" w:rsidRPr="006B3C9E">
        <w:t xml:space="preserve">Australia’s lack of external dispute resolution </w:t>
      </w:r>
      <w:r w:rsidR="6137F63E" w:rsidRPr="006B3C9E">
        <w:t>(</w:t>
      </w:r>
      <w:r w:rsidR="6137F63E" w:rsidRPr="00F41910">
        <w:rPr>
          <w:b/>
        </w:rPr>
        <w:t>EDR</w:t>
      </w:r>
      <w:r w:rsidR="6137F63E" w:rsidRPr="006B3C9E">
        <w:t>)</w:t>
      </w:r>
      <w:r w:rsidR="00DB024B" w:rsidRPr="006B3C9E">
        <w:t xml:space="preserve"> for digital communications services has significant social and economic harms. </w:t>
      </w:r>
    </w:p>
    <w:p w14:paraId="4F50930A" w14:textId="5DFF08B9" w:rsidR="00D6477D" w:rsidRDefault="00867DE0" w:rsidP="00D6477D">
      <w:r>
        <w:t>For example, a</w:t>
      </w:r>
      <w:r w:rsidR="00DB024B" w:rsidRPr="002E0679">
        <w:t xml:space="preserve"> lack of effective dispute resolution processes can reduce trust and confidence in digital platform services</w:t>
      </w:r>
      <w:r w:rsidR="00DB024B">
        <w:t xml:space="preserve">, </w:t>
      </w:r>
      <w:r w:rsidR="00DB024B" w:rsidRPr="002E0679">
        <w:t>prevent</w:t>
      </w:r>
      <w:r w:rsidR="00DB024B">
        <w:t xml:space="preserve">ing </w:t>
      </w:r>
      <w:r w:rsidR="00DB024B" w:rsidRPr="002E0679">
        <w:t>Australians from taking full advantage of the benefits provided by digital platforms.</w:t>
      </w:r>
      <w:bookmarkEnd w:id="10"/>
      <w:r w:rsidR="008E6950">
        <w:t xml:space="preserve"> </w:t>
      </w:r>
      <w:r w:rsidR="00D6477D">
        <w:t xml:space="preserve">Accenture estimates that 2020 saw: </w:t>
      </w:r>
    </w:p>
    <w:p w14:paraId="6125C20B" w14:textId="314B181B" w:rsidR="00D6477D" w:rsidRDefault="00D6477D" w:rsidP="00D6477D">
      <w:pPr>
        <w:pStyle w:val="ListParagraph"/>
        <w:numPr>
          <w:ilvl w:val="0"/>
          <w:numId w:val="19"/>
        </w:numPr>
      </w:pPr>
      <w:r>
        <w:t>2.4 million complaints to platforms</w:t>
      </w:r>
      <w:r w:rsidR="007C04C2">
        <w:t>.</w:t>
      </w:r>
      <w:r>
        <w:t xml:space="preserve"> </w:t>
      </w:r>
    </w:p>
    <w:p w14:paraId="009210EB" w14:textId="6AF3338B" w:rsidR="00D6477D" w:rsidRDefault="00D6477D" w:rsidP="00D6477D">
      <w:pPr>
        <w:pStyle w:val="ListParagraph"/>
        <w:numPr>
          <w:ilvl w:val="0"/>
          <w:numId w:val="19"/>
        </w:numPr>
      </w:pPr>
      <w:r>
        <w:t>880,000 internal disputes, where users challenge the platform’s decision</w:t>
      </w:r>
      <w:r w:rsidR="007C04C2">
        <w:t>.</w:t>
      </w:r>
    </w:p>
    <w:p w14:paraId="3C96FDA5" w14:textId="739FD2AA" w:rsidR="00EB66C7" w:rsidRDefault="00D6477D" w:rsidP="00EB66C7">
      <w:pPr>
        <w:pStyle w:val="ListParagraph"/>
        <w:numPr>
          <w:ilvl w:val="0"/>
          <w:numId w:val="19"/>
        </w:numPr>
      </w:pPr>
      <w:r>
        <w:t>190,000 external disputes</w:t>
      </w:r>
      <w:r w:rsidR="007C04C2">
        <w:t>,</w:t>
      </w:r>
      <w:r>
        <w:t xml:space="preserve"> where users approached external bodies like the ACCC, state-based consumer affairs or the small business ombudsman to resolve their dispute</w:t>
      </w:r>
      <w:r w:rsidR="007C04C2">
        <w:t>.</w:t>
      </w:r>
      <w:r>
        <w:rPr>
          <w:rStyle w:val="FootnoteReference"/>
        </w:rPr>
        <w:footnoteReference w:id="27"/>
      </w:r>
    </w:p>
    <w:p w14:paraId="5F7F9000" w14:textId="0F0D3903" w:rsidR="00DE40F3" w:rsidRDefault="0007711D" w:rsidP="0007711D">
      <w:r w:rsidRPr="0007711D">
        <w:t>Consumers of digital platforms services continue to face uncertain avenues to raising and resolving disputes.</w:t>
      </w:r>
      <w:r>
        <w:rPr>
          <w:rStyle w:val="FootnoteReference"/>
        </w:rPr>
        <w:footnoteReference w:id="28"/>
      </w:r>
      <w:r w:rsidR="00917163" w:rsidRPr="00917163">
        <w:t xml:space="preserve"> Effective internal dispute resolution (</w:t>
      </w:r>
      <w:r w:rsidR="00917163" w:rsidRPr="00636E16">
        <w:rPr>
          <w:b/>
          <w:bCs/>
        </w:rPr>
        <w:t>IDR</w:t>
      </w:r>
      <w:r w:rsidR="00917163" w:rsidRPr="00917163">
        <w:t xml:space="preserve">) is necessary to provide consumers with clear and </w:t>
      </w:r>
      <w:r w:rsidR="00636E16" w:rsidRPr="00917163">
        <w:t>cost-effective</w:t>
      </w:r>
      <w:r w:rsidR="00917163" w:rsidRPr="00917163">
        <w:t xml:space="preserve"> means to seek redress when resolving disputes with platforms.</w:t>
      </w:r>
      <w:r w:rsidR="003A43F0">
        <w:t xml:space="preserve"> </w:t>
      </w:r>
      <w:r w:rsidR="00917163" w:rsidRPr="00917163">
        <w:t>In the absence of effective IDR, consumers have limited avenues to resolve issues in the first instance and at least cost. This results in unnecessary harm to consumers and platforms who see consumers disengage from their platforms and public trust continue to fall.</w:t>
      </w:r>
      <w:r w:rsidR="002D3530">
        <w:rPr>
          <w:rStyle w:val="FootnoteReference"/>
        </w:rPr>
        <w:footnoteReference w:id="29"/>
      </w:r>
    </w:p>
    <w:p w14:paraId="6DD6AB51" w14:textId="24EDF9BC" w:rsidR="00BA2D3C" w:rsidRPr="00B51A15" w:rsidRDefault="00905B47" w:rsidP="00905B47">
      <w:pPr>
        <w:rPr>
          <w:lang w:val="en-US"/>
        </w:rPr>
      </w:pPr>
      <w:r>
        <w:t>Expanding the TIO to the D</w:t>
      </w:r>
      <w:r w:rsidR="000B7EA5">
        <w:t xml:space="preserve">igital Communications </w:t>
      </w:r>
      <w:r>
        <w:t>I</w:t>
      </w:r>
      <w:r w:rsidR="000B7EA5">
        <w:t xml:space="preserve">ndustry </w:t>
      </w:r>
      <w:r>
        <w:t>O</w:t>
      </w:r>
      <w:r w:rsidR="000B7EA5">
        <w:t>mbudsman (</w:t>
      </w:r>
      <w:r w:rsidR="000B7EA5" w:rsidRPr="00AF5417">
        <w:rPr>
          <w:b/>
          <w:bCs/>
        </w:rPr>
        <w:t>DCIO</w:t>
      </w:r>
      <w:r w:rsidR="000B7EA5">
        <w:t>)</w:t>
      </w:r>
      <w:r>
        <w:t xml:space="preserve"> </w:t>
      </w:r>
      <w:r w:rsidR="000B7EA5">
        <w:t>S</w:t>
      </w:r>
      <w:r>
        <w:t>cheme is the most expedient and cost-effective mechanism to Australia’s lack of EDR body for digital communications services. Independent research by the Centre for Media Transition at</w:t>
      </w:r>
      <w:r w:rsidR="00C638E4">
        <w:t xml:space="preserve"> the</w:t>
      </w:r>
      <w:r>
        <w:t xml:space="preserve"> University of Technology Sydney found that rather than setting up an entirely new body</w:t>
      </w:r>
      <w:r w:rsidR="00502F19">
        <w:t>, e</w:t>
      </w:r>
      <w:r>
        <w:t>xisting bodies such as the TIO could be expanded to take on parts of the role. The researchers noted that because</w:t>
      </w:r>
      <w:r w:rsidR="00502F19">
        <w:t xml:space="preserve"> </w:t>
      </w:r>
      <w:r>
        <w:t>the TIO currently administers a resolution scheme based on consumer complaints about telecommunications service providers</w:t>
      </w:r>
      <w:r w:rsidR="00295CE1">
        <w:t xml:space="preserve">, </w:t>
      </w:r>
      <w:r>
        <w:t>complaints about digital platforms are a natural fit for an expanded TIO.</w:t>
      </w:r>
      <w:r>
        <w:rPr>
          <w:rStyle w:val="FootnoteReference"/>
        </w:rPr>
        <w:footnoteReference w:id="30"/>
      </w:r>
      <w:r w:rsidR="00B36DEF">
        <w:rPr>
          <w:lang w:val="en-US"/>
        </w:rPr>
        <w:t xml:space="preserve"> </w:t>
      </w:r>
    </w:p>
    <w:p w14:paraId="41208E44" w14:textId="4BE45E0E" w:rsidR="007809FC" w:rsidRDefault="00F66AD3" w:rsidP="007809FC">
      <w:pPr>
        <w:rPr>
          <w:lang w:val="en-US"/>
        </w:rPr>
      </w:pPr>
      <w:r>
        <w:rPr>
          <w:lang w:val="en-US"/>
        </w:rPr>
        <w:t>ACCAN considers that expanding</w:t>
      </w:r>
      <w:r w:rsidR="007809FC">
        <w:rPr>
          <w:lang w:val="en-US"/>
        </w:rPr>
        <w:t xml:space="preserve"> the TIO</w:t>
      </w:r>
      <w:r>
        <w:rPr>
          <w:lang w:val="en-US"/>
        </w:rPr>
        <w:t xml:space="preserve"> into</w:t>
      </w:r>
      <w:r w:rsidR="007809FC">
        <w:rPr>
          <w:lang w:val="en-US"/>
        </w:rPr>
        <w:t xml:space="preserve"> a DCIO is </w:t>
      </w:r>
      <w:r>
        <w:rPr>
          <w:lang w:val="en-US"/>
        </w:rPr>
        <w:t>the</w:t>
      </w:r>
      <w:r w:rsidR="007809FC">
        <w:rPr>
          <w:lang w:val="en-US"/>
        </w:rPr>
        <w:t xml:space="preserve"> solution to the current gap in consumer protection and regulation of digital platforms that offers:</w:t>
      </w:r>
    </w:p>
    <w:p w14:paraId="18FE9AED" w14:textId="41B09F8D" w:rsidR="007809FC" w:rsidRDefault="007809FC" w:rsidP="007809FC">
      <w:pPr>
        <w:pStyle w:val="ListParagraph"/>
        <w:numPr>
          <w:ilvl w:val="0"/>
          <w:numId w:val="20"/>
        </w:numPr>
        <w:rPr>
          <w:lang w:val="en-US"/>
        </w:rPr>
      </w:pPr>
      <w:r>
        <w:rPr>
          <w:lang w:val="en-US"/>
        </w:rPr>
        <w:t>Expedited solution to an outstanding problem</w:t>
      </w:r>
      <w:r w:rsidR="00DC05D1">
        <w:rPr>
          <w:lang w:val="en-US"/>
        </w:rPr>
        <w:t>.</w:t>
      </w:r>
    </w:p>
    <w:p w14:paraId="7A8A2FDD" w14:textId="2FE5B778" w:rsidR="007809FC" w:rsidRDefault="007809FC" w:rsidP="007809FC">
      <w:pPr>
        <w:pStyle w:val="ListParagraph"/>
        <w:numPr>
          <w:ilvl w:val="0"/>
          <w:numId w:val="20"/>
        </w:numPr>
        <w:rPr>
          <w:lang w:val="en-US"/>
        </w:rPr>
      </w:pPr>
      <w:r>
        <w:rPr>
          <w:lang w:val="en-US"/>
        </w:rPr>
        <w:t>Economic benefits through cost recovery and industry membership</w:t>
      </w:r>
      <w:r w:rsidR="00DC05D1">
        <w:rPr>
          <w:lang w:val="en-US"/>
        </w:rPr>
        <w:t>.</w:t>
      </w:r>
    </w:p>
    <w:p w14:paraId="3318CFF3" w14:textId="12F91722" w:rsidR="002A6610" w:rsidRDefault="007809FC" w:rsidP="00B36DEF">
      <w:pPr>
        <w:pStyle w:val="ListParagraph"/>
        <w:numPr>
          <w:ilvl w:val="0"/>
          <w:numId w:val="20"/>
        </w:numPr>
        <w:rPr>
          <w:lang w:val="en-US"/>
        </w:rPr>
      </w:pPr>
      <w:r>
        <w:rPr>
          <w:lang w:val="en-US"/>
        </w:rPr>
        <w:t>Social benefits by reducing enormous amounts of complaints and fostering trust in digital communications</w:t>
      </w:r>
      <w:r w:rsidR="00B36DEF">
        <w:rPr>
          <w:lang w:val="en-US"/>
        </w:rPr>
        <w:t xml:space="preserve">. </w:t>
      </w:r>
    </w:p>
    <w:p w14:paraId="7ACB3E4B" w14:textId="77777777" w:rsidR="00E736D0" w:rsidRDefault="00E736D0" w:rsidP="00E736D0">
      <w:pPr>
        <w:pStyle w:val="Heading1"/>
      </w:pPr>
      <w:bookmarkStart w:id="11" w:name="_Toc184811980"/>
      <w:r>
        <w:lastRenderedPageBreak/>
        <w:t>Supporting</w:t>
      </w:r>
      <w:r w:rsidRPr="79B1E982">
        <w:t xml:space="preserve"> consumer representation in digital platforms policy</w:t>
      </w:r>
      <w:bookmarkEnd w:id="11"/>
    </w:p>
    <w:p w14:paraId="7CA0221A" w14:textId="186D4DC0" w:rsidR="0026571C" w:rsidRDefault="00D21E26" w:rsidP="00AF5417">
      <w:pPr>
        <w:rPr>
          <w:bCs/>
        </w:rPr>
      </w:pPr>
      <w:r w:rsidRPr="00D21E26">
        <w:t>Digital communications are fundamental to how Australians communicate and live their daily lives, with 95% of Australians using a communication or social media website or app for personal purposes</w:t>
      </w:r>
      <w:r>
        <w:t>.</w:t>
      </w:r>
      <w:r w:rsidR="00202DBB">
        <w:rPr>
          <w:rStyle w:val="FootnoteReference"/>
        </w:rPr>
        <w:footnoteReference w:id="31"/>
      </w:r>
      <w:r w:rsidR="00F42FB2">
        <w:t xml:space="preserve"> </w:t>
      </w:r>
      <w:r w:rsidR="008F7D7E" w:rsidRPr="008F7D7E">
        <w:t xml:space="preserve">ACCAN supports the provision of funding for a consumer voice to represent consumers on digital platforms </w:t>
      </w:r>
      <w:r w:rsidR="008F7D7E" w:rsidRPr="0026571C">
        <w:rPr>
          <w:bCs/>
        </w:rPr>
        <w:t>policy</w:t>
      </w:r>
      <w:r w:rsidR="009110F4" w:rsidRPr="0026571C">
        <w:rPr>
          <w:bCs/>
        </w:rPr>
        <w:t xml:space="preserve"> and have previously raised concerns that there is no dedicated Australian consumer organisation representing the interests of consumers in the ever-expanding digital platform environment.</w:t>
      </w:r>
      <w:r w:rsidR="00401594">
        <w:rPr>
          <w:bCs/>
        </w:rPr>
        <w:t xml:space="preserve"> </w:t>
      </w:r>
      <w:r w:rsidR="00F61CD8" w:rsidRPr="140513FC">
        <w:t xml:space="preserve">ACCAN recommends that the </w:t>
      </w:r>
      <w:r w:rsidR="00B87DA2" w:rsidRPr="140513FC">
        <w:t xml:space="preserve">Australian </w:t>
      </w:r>
      <w:r w:rsidR="000E188F" w:rsidRPr="140513FC">
        <w:t>G</w:t>
      </w:r>
      <w:r w:rsidR="00F61CD8" w:rsidRPr="140513FC">
        <w:t>overnment allocate funding to co-invest with the digital platforms industry to support a consumer organisation to represent the interests of the Australian community in decision</w:t>
      </w:r>
      <w:r w:rsidR="4D01D980" w:rsidRPr="140513FC">
        <w:t>-</w:t>
      </w:r>
      <w:r w:rsidR="00F61CD8" w:rsidRPr="140513FC">
        <w:t>making for digital platform policy</w:t>
      </w:r>
      <w:r w:rsidR="00B87DA2">
        <w:rPr>
          <w:bCs/>
        </w:rPr>
        <w:t>.</w:t>
      </w:r>
      <w:r w:rsidR="00D23B3F" w:rsidRPr="140513FC">
        <w:rPr>
          <w:rStyle w:val="FootnoteReference"/>
        </w:rPr>
        <w:footnoteReference w:id="32"/>
      </w:r>
    </w:p>
    <w:p w14:paraId="081A16D6" w14:textId="23F58C89" w:rsidR="00470C97" w:rsidRPr="00F41910" w:rsidRDefault="00470C97" w:rsidP="00AF5417">
      <w:pPr>
        <w:rPr>
          <w:b/>
        </w:rPr>
      </w:pPr>
      <w:r w:rsidRPr="00F41910">
        <w:rPr>
          <w:b/>
        </w:rPr>
        <w:t xml:space="preserve">The estimated investment </w:t>
      </w:r>
    </w:p>
    <w:p w14:paraId="38F7384D" w14:textId="5F08758A" w:rsidR="00166E34" w:rsidRDefault="006924B5" w:rsidP="00AF5417">
      <w:r w:rsidRPr="006924B5">
        <w:t>ACCAN has relevant expertise on digital communications policy and would be well suited to representing consumers on these policy matters going forward.</w:t>
      </w:r>
      <w:r w:rsidR="00995DB7" w:rsidRPr="00995DB7">
        <w:t xml:space="preserve"> </w:t>
      </w:r>
      <w:r w:rsidR="00166E34" w:rsidRPr="00166E34">
        <w:t xml:space="preserve">As Australia’s peak communications consumer body, we consider it to be </w:t>
      </w:r>
      <w:r w:rsidR="0027550F" w:rsidRPr="00166E34">
        <w:t>an</w:t>
      </w:r>
      <w:r w:rsidR="00166E34" w:rsidRPr="00166E34">
        <w:t xml:space="preserve"> appropriate evolution of our remit to expand into digital communications.</w:t>
      </w:r>
      <w:r w:rsidR="00166E34" w:rsidRPr="00166E34">
        <w:rPr>
          <w:lang w:val="en-US"/>
        </w:rPr>
        <w:t> </w:t>
      </w:r>
      <w:r w:rsidR="00AC33FF" w:rsidRPr="00AC33FF">
        <w:t xml:space="preserve">This would be a natural progression to reflect the development from telecommunications to digital communications that has occurred in the economy. </w:t>
      </w:r>
    </w:p>
    <w:p w14:paraId="6EB25CCA" w14:textId="1FAE7FFF" w:rsidR="00897347" w:rsidRDefault="008E6E35" w:rsidP="00AF5417">
      <w:pPr>
        <w:rPr>
          <w:lang w:val="en-US"/>
        </w:rPr>
      </w:pPr>
      <w:r w:rsidRPr="008E6E35">
        <w:rPr>
          <w:lang w:val="en-US"/>
        </w:rPr>
        <w:t xml:space="preserve">Resourcing ACCAN to engage on digital communications matters would empower Australia’s peak communications consumer body to continue to evolve alongside the communications sector. Effective, best practice engagement on digital communications issues would place consumer preferences at the heart of policy and regulatory design and facilitate the development of sound regulatory and policy settings. </w:t>
      </w:r>
      <w:r w:rsidR="00C9031D">
        <w:rPr>
          <w:lang w:val="en-US"/>
        </w:rPr>
        <w:t xml:space="preserve">This </w:t>
      </w:r>
      <w:r w:rsidRPr="008E6E35">
        <w:rPr>
          <w:lang w:val="en-US"/>
        </w:rPr>
        <w:t>would materially reduce the risk of poor consumer outcomes in digital communications markets</w:t>
      </w:r>
      <w:r w:rsidR="00487F19">
        <w:rPr>
          <w:lang w:val="en-US"/>
        </w:rPr>
        <w:t xml:space="preserve">, improving </w:t>
      </w:r>
      <w:r w:rsidR="0004767E">
        <w:rPr>
          <w:lang w:val="en-US"/>
        </w:rPr>
        <w:t>the experiences</w:t>
      </w:r>
      <w:r w:rsidR="00487F19">
        <w:rPr>
          <w:lang w:val="en-US"/>
        </w:rPr>
        <w:t xml:space="preserve"> of consumers on </w:t>
      </w:r>
      <w:r w:rsidR="00C9031D">
        <w:rPr>
          <w:lang w:val="en-US"/>
        </w:rPr>
        <w:t xml:space="preserve">digital </w:t>
      </w:r>
      <w:r w:rsidR="0058189B">
        <w:rPr>
          <w:lang w:val="en-US"/>
        </w:rPr>
        <w:t>platforms</w:t>
      </w:r>
      <w:r w:rsidR="00C9031D">
        <w:rPr>
          <w:lang w:val="en-US"/>
        </w:rPr>
        <w:t xml:space="preserve">. </w:t>
      </w:r>
    </w:p>
    <w:p w14:paraId="7613960A" w14:textId="77777777" w:rsidR="0027550F" w:rsidRPr="00A246A9" w:rsidRDefault="0027550F" w:rsidP="0027550F">
      <w:pPr>
        <w:rPr>
          <w:lang w:val="en-US"/>
        </w:rPr>
      </w:pPr>
      <w:r w:rsidRPr="00A246A9">
        <w:t>Accordingly, we are proposing that:</w:t>
      </w:r>
      <w:r w:rsidRPr="00A246A9">
        <w:rPr>
          <w:lang w:val="en-US"/>
        </w:rPr>
        <w:t> </w:t>
      </w:r>
    </w:p>
    <w:p w14:paraId="686FE39C" w14:textId="77777777" w:rsidR="0027550F" w:rsidRDefault="0027550F" w:rsidP="0027550F">
      <w:pPr>
        <w:pStyle w:val="ListParagraph"/>
        <w:numPr>
          <w:ilvl w:val="0"/>
          <w:numId w:val="29"/>
        </w:numPr>
        <w:rPr>
          <w:lang w:val="en-US"/>
        </w:rPr>
      </w:pPr>
      <w:r w:rsidRPr="00A246A9">
        <w:t xml:space="preserve">ACCAN’s </w:t>
      </w:r>
      <w:r w:rsidRPr="00C84DDF">
        <w:t xml:space="preserve">remit </w:t>
      </w:r>
      <w:r w:rsidRPr="00B51767">
        <w:t xml:space="preserve">be </w:t>
      </w:r>
      <w:r w:rsidRPr="00C84DDF">
        <w:t>revised</w:t>
      </w:r>
      <w:r w:rsidRPr="00A246A9">
        <w:t xml:space="preserve"> to include ‘digital communications services’.</w:t>
      </w:r>
      <w:r w:rsidRPr="007A6B43">
        <w:rPr>
          <w:lang w:val="en-US"/>
        </w:rPr>
        <w:t> </w:t>
      </w:r>
    </w:p>
    <w:p w14:paraId="4A1A1828" w14:textId="6EF40789" w:rsidR="00052FBF" w:rsidRDefault="0027550F" w:rsidP="00AF5417">
      <w:pPr>
        <w:pStyle w:val="ListParagraph"/>
        <w:numPr>
          <w:ilvl w:val="0"/>
          <w:numId w:val="29"/>
        </w:numPr>
        <w:rPr>
          <w:lang w:val="en-US"/>
        </w:rPr>
      </w:pPr>
      <w:r w:rsidRPr="00C84DDF">
        <w:t xml:space="preserve">ACCAN’s core funding </w:t>
      </w:r>
      <w:r w:rsidRPr="00B51767">
        <w:t xml:space="preserve">be </w:t>
      </w:r>
      <w:r w:rsidRPr="00C84DDF">
        <w:t xml:space="preserve">expanded by $2.45m p.a. </w:t>
      </w:r>
      <w:r w:rsidRPr="00B51767">
        <w:t>(</w:t>
      </w:r>
      <w:r w:rsidRPr="00C84DDF">
        <w:t xml:space="preserve">indexed </w:t>
      </w:r>
      <w:r w:rsidRPr="00B51767">
        <w:t xml:space="preserve">to inflation) </w:t>
      </w:r>
      <w:r w:rsidRPr="00C84DDF">
        <w:t>for a contract period of five years.</w:t>
      </w:r>
      <w:r w:rsidRPr="00C84DDF">
        <w:rPr>
          <w:lang w:val="en-US"/>
        </w:rPr>
        <w:t> </w:t>
      </w:r>
    </w:p>
    <w:p w14:paraId="1630C8D0" w14:textId="12EF7A4B" w:rsidR="00F56ECA" w:rsidRPr="00F41910" w:rsidRDefault="00022F3E" w:rsidP="004E4A31">
      <w:pPr>
        <w:rPr>
          <w:lang w:val="en-US"/>
        </w:rPr>
      </w:pPr>
      <w:r>
        <w:rPr>
          <w:lang w:val="en-US"/>
        </w:rPr>
        <w:t xml:space="preserve">ACCAN </w:t>
      </w:r>
      <w:r w:rsidR="004E4A31">
        <w:rPr>
          <w:lang w:val="en-US"/>
        </w:rPr>
        <w:t xml:space="preserve">has previously submitted that the </w:t>
      </w:r>
      <w:r w:rsidR="004E4A31" w:rsidRPr="004E4A31">
        <w:rPr>
          <w:lang w:val="en-US"/>
        </w:rPr>
        <w:t>Telecommunications Industry Levy (</w:t>
      </w:r>
      <w:r w:rsidR="004E4A31" w:rsidRPr="00F41910">
        <w:rPr>
          <w:b/>
          <w:bCs/>
          <w:lang w:val="en-US"/>
        </w:rPr>
        <w:t>TIL</w:t>
      </w:r>
      <w:r w:rsidR="004E4A31" w:rsidRPr="004E4A31">
        <w:rPr>
          <w:lang w:val="en-US"/>
        </w:rPr>
        <w:t xml:space="preserve">) </w:t>
      </w:r>
      <w:r w:rsidR="004E4A31">
        <w:rPr>
          <w:lang w:val="en-US"/>
        </w:rPr>
        <w:t xml:space="preserve">should be expanded to ensure that it is </w:t>
      </w:r>
      <w:r w:rsidR="004E4A31" w:rsidRPr="004E4A31">
        <w:rPr>
          <w:lang w:val="en-US"/>
        </w:rPr>
        <w:t>technology-neutral and accounts for digital platforms including social media.</w:t>
      </w:r>
      <w:r w:rsidR="004E4A31">
        <w:rPr>
          <w:rStyle w:val="FootnoteReference"/>
          <w:lang w:val="en-US"/>
        </w:rPr>
        <w:footnoteReference w:id="33"/>
      </w:r>
      <w:r w:rsidR="00A829CC">
        <w:rPr>
          <w:lang w:val="en-US"/>
        </w:rPr>
        <w:t xml:space="preserve"> </w:t>
      </w:r>
      <w:r w:rsidR="00FC74CE">
        <w:rPr>
          <w:lang w:val="en-US"/>
        </w:rPr>
        <w:t xml:space="preserve">ACCAN considers that an expansion and modernization of the TIL </w:t>
      </w:r>
      <w:r w:rsidR="006D68E5">
        <w:rPr>
          <w:lang w:val="en-US"/>
        </w:rPr>
        <w:t xml:space="preserve">could contribute to the funding of consumer representation on digital communications matters. </w:t>
      </w:r>
    </w:p>
    <w:p w14:paraId="08302900" w14:textId="321208DA" w:rsidR="0087468B" w:rsidRDefault="001F04C7" w:rsidP="001F04C7">
      <w:pPr>
        <w:pStyle w:val="Heading1"/>
      </w:pPr>
      <w:bookmarkStart w:id="12" w:name="_Toc184811981"/>
      <w:r>
        <w:t>Consumers need fit-for-purpose and reliable communications</w:t>
      </w:r>
      <w:bookmarkEnd w:id="12"/>
    </w:p>
    <w:p w14:paraId="2D156DAA" w14:textId="7649933B" w:rsidR="005D5059" w:rsidRDefault="00D93906" w:rsidP="00D93906">
      <w:r w:rsidRPr="006B3C9E">
        <w:t xml:space="preserve">Communications services are essential in </w:t>
      </w:r>
      <w:r>
        <w:t>R</w:t>
      </w:r>
      <w:r w:rsidRPr="006B3C9E">
        <w:t xml:space="preserve">egional, </w:t>
      </w:r>
      <w:r>
        <w:t>R</w:t>
      </w:r>
      <w:r w:rsidRPr="006B3C9E">
        <w:t xml:space="preserve">ural, and </w:t>
      </w:r>
      <w:r>
        <w:t>R</w:t>
      </w:r>
      <w:r w:rsidRPr="006B3C9E">
        <w:t xml:space="preserve">emote </w:t>
      </w:r>
      <w:r>
        <w:t>(</w:t>
      </w:r>
      <w:r w:rsidRPr="007E6F1B">
        <w:rPr>
          <w:b/>
          <w:bCs/>
        </w:rPr>
        <w:t>RRR</w:t>
      </w:r>
      <w:r>
        <w:t xml:space="preserve">) </w:t>
      </w:r>
      <w:r w:rsidRPr="006B3C9E">
        <w:t>Australia. They facilitate individuals’ and communities’ social connections, employment and economic opportunities, information access, and critical services engagement.</w:t>
      </w:r>
      <w:r>
        <w:rPr>
          <w:rStyle w:val="FootnoteReference"/>
        </w:rPr>
        <w:footnoteReference w:id="34"/>
      </w:r>
      <w:r w:rsidRPr="006B3C9E">
        <w:t xml:space="preserve"> </w:t>
      </w:r>
    </w:p>
    <w:p w14:paraId="7584988D" w14:textId="27846040" w:rsidR="00D93906" w:rsidRPr="006B3C9E" w:rsidRDefault="00537437" w:rsidP="00D93906">
      <w:r>
        <w:lastRenderedPageBreak/>
        <w:t xml:space="preserve">To address the challenges faced by communications consumers, </w:t>
      </w:r>
      <w:r w:rsidR="00D93906" w:rsidRPr="006B3C9E">
        <w:t>ACCAN recommends</w:t>
      </w:r>
      <w:r w:rsidR="00BC286F">
        <w:t xml:space="preserve"> the Australian Government</w:t>
      </w:r>
      <w:r w:rsidR="00D93906" w:rsidRPr="006B3C9E">
        <w:t>:</w:t>
      </w:r>
    </w:p>
    <w:p w14:paraId="0003CF46" w14:textId="58E36095" w:rsidR="00974FEE" w:rsidRDefault="00BC286F" w:rsidP="0099720C">
      <w:pPr>
        <w:pStyle w:val="ListParagraph"/>
        <w:numPr>
          <w:ilvl w:val="0"/>
          <w:numId w:val="18"/>
        </w:numPr>
      </w:pPr>
      <w:bookmarkStart w:id="13" w:name="_Hlk184117995"/>
      <w:r>
        <w:t>E</w:t>
      </w:r>
      <w:r w:rsidR="00193199">
        <w:t xml:space="preserve">xpand and </w:t>
      </w:r>
      <w:r w:rsidR="00531238">
        <w:t xml:space="preserve">continue the Peri-Urban Mobile Program </w:t>
      </w:r>
      <w:r w:rsidR="00193199">
        <w:t xml:space="preserve">to improve mobile connectivity in </w:t>
      </w:r>
      <w:r w:rsidR="00193199" w:rsidRPr="00193199">
        <w:t xml:space="preserve">natural disaster-prone areas </w:t>
      </w:r>
      <w:r w:rsidR="00C43372">
        <w:t xml:space="preserve">at </w:t>
      </w:r>
      <w:r w:rsidR="00193199" w:rsidRPr="00193199">
        <w:t>the edges of Australia's major cities.</w:t>
      </w:r>
      <w:r w:rsidR="00193199">
        <w:rPr>
          <w:rStyle w:val="FootnoteReference"/>
        </w:rPr>
        <w:footnoteReference w:id="35"/>
      </w:r>
    </w:p>
    <w:p w14:paraId="7A96F919" w14:textId="7C6062F9" w:rsidR="00424BC4" w:rsidRDefault="00BC286F" w:rsidP="00424BC4">
      <w:pPr>
        <w:pStyle w:val="ListParagraph"/>
        <w:numPr>
          <w:ilvl w:val="0"/>
          <w:numId w:val="18"/>
        </w:numPr>
      </w:pPr>
      <w:r>
        <w:t>E</w:t>
      </w:r>
      <w:r w:rsidR="001A2AA3" w:rsidRPr="001A2AA3">
        <w:t>xpand the Mobile Black Spot Program (</w:t>
      </w:r>
      <w:r w:rsidR="001A2AA3" w:rsidRPr="004C356E">
        <w:rPr>
          <w:b/>
          <w:bCs/>
        </w:rPr>
        <w:t>MBSP</w:t>
      </w:r>
      <w:r w:rsidR="001A2AA3" w:rsidRPr="001A2AA3">
        <w:t>) to support more regions and communities</w:t>
      </w:r>
      <w:bookmarkEnd w:id="13"/>
      <w:r w:rsidR="001A2AA3">
        <w:t>.</w:t>
      </w:r>
      <w:r w:rsidR="001A2AA3">
        <w:rPr>
          <w:rStyle w:val="FootnoteReference"/>
        </w:rPr>
        <w:footnoteReference w:id="36"/>
      </w:r>
    </w:p>
    <w:p w14:paraId="399FDED5" w14:textId="677522F8" w:rsidR="008416B4" w:rsidRDefault="00BC286F" w:rsidP="00424BC4">
      <w:pPr>
        <w:pStyle w:val="ListParagraph"/>
        <w:numPr>
          <w:ilvl w:val="0"/>
          <w:numId w:val="18"/>
        </w:numPr>
      </w:pPr>
      <w:r>
        <w:t>C</w:t>
      </w:r>
      <w:r w:rsidR="001274A5">
        <w:t xml:space="preserve">ontinue and expand the funding of community </w:t>
      </w:r>
      <w:r w:rsidR="0063547D">
        <w:t>W</w:t>
      </w:r>
      <w:r w:rsidR="001274A5">
        <w:t>i-</w:t>
      </w:r>
      <w:r w:rsidR="0063547D">
        <w:t>F</w:t>
      </w:r>
      <w:r w:rsidR="001274A5">
        <w:t xml:space="preserve">i initiatives in remote First Nations communities. </w:t>
      </w:r>
    </w:p>
    <w:p w14:paraId="5BD82B0E" w14:textId="77777777" w:rsidR="004469C9" w:rsidRPr="006B3C9E" w:rsidRDefault="004469C9" w:rsidP="004469C9">
      <w:pPr>
        <w:pStyle w:val="ListParagraph"/>
        <w:numPr>
          <w:ilvl w:val="0"/>
          <w:numId w:val="18"/>
        </w:numPr>
      </w:pPr>
      <w:r>
        <w:t>T</w:t>
      </w:r>
      <w:r w:rsidRPr="006B3C9E">
        <w:t>ransfer the Universal Service Obligation to NBN Co and establish fit-for-purpose governance arrangements that ensure NBN Co is accountable and transparent.</w:t>
      </w:r>
      <w:r>
        <w:rPr>
          <w:rStyle w:val="FootnoteReference"/>
        </w:rPr>
        <w:footnoteReference w:id="37"/>
      </w:r>
    </w:p>
    <w:p w14:paraId="0EF897B3" w14:textId="77777777" w:rsidR="004469C9" w:rsidRDefault="004469C9" w:rsidP="004469C9">
      <w:pPr>
        <w:pStyle w:val="ListParagraph"/>
        <w:numPr>
          <w:ilvl w:val="0"/>
          <w:numId w:val="18"/>
        </w:numPr>
      </w:pPr>
      <w:r>
        <w:t>E</w:t>
      </w:r>
      <w:r w:rsidRPr="006B3C9E">
        <w:t xml:space="preserve">stablish minimum communications and broadband standards that reflect contemporary service needs and </w:t>
      </w:r>
      <w:r>
        <w:t xml:space="preserve">establish </w:t>
      </w:r>
      <w:r w:rsidRPr="006B3C9E">
        <w:t>a framework that provides for uplift in service capability and standards as technology and community expectations evolve.</w:t>
      </w:r>
      <w:r>
        <w:rPr>
          <w:rStyle w:val="FootnoteReference"/>
        </w:rPr>
        <w:footnoteReference w:id="38"/>
      </w:r>
      <w:r w:rsidRPr="006B3C9E">
        <w:t xml:space="preserve"> </w:t>
      </w:r>
    </w:p>
    <w:p w14:paraId="682FE7C9" w14:textId="6F0A4E9B" w:rsidR="004469C9" w:rsidRDefault="004469C9" w:rsidP="00227025">
      <w:pPr>
        <w:pStyle w:val="ListParagraph"/>
        <w:numPr>
          <w:ilvl w:val="0"/>
          <w:numId w:val="18"/>
        </w:numPr>
      </w:pPr>
      <w:r>
        <w:t xml:space="preserve">Establish </w:t>
      </w:r>
      <w:r w:rsidRPr="00E245AA">
        <w:t xml:space="preserve">a </w:t>
      </w:r>
      <w:r>
        <w:t xml:space="preserve">live </w:t>
      </w:r>
      <w:r w:rsidRPr="00E245AA">
        <w:t>national database on communication</w:t>
      </w:r>
      <w:r>
        <w:t>s</w:t>
      </w:r>
      <w:r w:rsidRPr="00E245AA">
        <w:t xml:space="preserve"> outages that retains information on past communications outages</w:t>
      </w:r>
      <w:r>
        <w:t xml:space="preserve"> to improve consumer visibility over the outages impacting consumers living in RRR areas. </w:t>
      </w:r>
    </w:p>
    <w:p w14:paraId="20FD52C2" w14:textId="28035BBF" w:rsidR="00940B35" w:rsidRPr="00EF3E89" w:rsidRDefault="00267987" w:rsidP="00EF3E89">
      <w:pPr>
        <w:pStyle w:val="Heading3"/>
        <w:rPr>
          <w:b/>
          <w:bCs w:val="0"/>
        </w:rPr>
      </w:pPr>
      <w:bookmarkStart w:id="14" w:name="_Toc184811982"/>
      <w:r w:rsidRPr="00267987">
        <w:rPr>
          <w:b/>
          <w:bCs w:val="0"/>
        </w:rPr>
        <w:t>Improving communications resilience</w:t>
      </w:r>
      <w:bookmarkEnd w:id="14"/>
    </w:p>
    <w:p w14:paraId="1F91EC88" w14:textId="3AD2F0EC" w:rsidR="00C06E46" w:rsidRDefault="00696D3B" w:rsidP="00FB4954">
      <w:r>
        <w:t>Issues of mobile</w:t>
      </w:r>
      <w:r w:rsidR="00A30DED">
        <w:t xml:space="preserve"> communications</w:t>
      </w:r>
      <w:r>
        <w:t xml:space="preserve"> resiliency are especially prevalent in RRR </w:t>
      </w:r>
      <w:r w:rsidR="00F90788">
        <w:t xml:space="preserve">communities </w:t>
      </w:r>
      <w:r w:rsidR="006B197A">
        <w:t xml:space="preserve">where communities are </w:t>
      </w:r>
      <w:r w:rsidR="00F90788">
        <w:t xml:space="preserve">particularly </w:t>
      </w:r>
      <w:r w:rsidR="008F6AF6">
        <w:t xml:space="preserve">vulnerable </w:t>
      </w:r>
      <w:r w:rsidR="007536F7">
        <w:t xml:space="preserve">to power outages impacting access to communications. </w:t>
      </w:r>
      <w:r w:rsidR="00DC007B">
        <w:t xml:space="preserve">In addressing this issue, </w:t>
      </w:r>
      <w:r w:rsidR="007536F7">
        <w:t>ACCAN supports the government providing ‘RRR</w:t>
      </w:r>
      <w:r w:rsidR="0096155D" w:rsidRPr="0096155D">
        <w:t xml:space="preserve"> communities with access to 24 hours of backup power through Stand Alone Power Systems (</w:t>
      </w:r>
      <w:r w:rsidR="0096155D" w:rsidRPr="000741DB">
        <w:rPr>
          <w:b/>
          <w:bCs/>
        </w:rPr>
        <w:t>SAPS</w:t>
      </w:r>
      <w:r w:rsidR="0096155D">
        <w:t>)</w:t>
      </w:r>
      <w:r w:rsidR="00D74080">
        <w:t>’</w:t>
      </w:r>
      <w:r w:rsidR="00FB4954">
        <w:t>.</w:t>
      </w:r>
      <w:r w:rsidR="0096155D">
        <w:rPr>
          <w:rStyle w:val="FootnoteReference"/>
        </w:rPr>
        <w:footnoteReference w:id="39"/>
      </w:r>
      <w:r w:rsidR="00FB4954">
        <w:t xml:space="preserve"> </w:t>
      </w:r>
      <w:r w:rsidR="00D90E82">
        <w:t xml:space="preserve">                                  </w:t>
      </w:r>
      <w:r w:rsidR="00FB4954">
        <w:t>Provision</w:t>
      </w:r>
      <w:r w:rsidR="00DC007B">
        <w:t>ing</w:t>
      </w:r>
      <w:r w:rsidR="00FB4954">
        <w:t xml:space="preserve"> backup SAPS would further ensure resilience and reliability of communications infrastructure in RRR communities.</w:t>
      </w:r>
      <w:r w:rsidR="00FB4954">
        <w:rPr>
          <w:rStyle w:val="FootnoteReference"/>
        </w:rPr>
        <w:footnoteReference w:id="40"/>
      </w:r>
      <w:r w:rsidR="008B69B9">
        <w:t xml:space="preserve"> In improving mobile connectivity, </w:t>
      </w:r>
      <w:r w:rsidR="00FB4954">
        <w:t>ACCAN welcomes the Minister for Communications’ announcement of $40.9 million</w:t>
      </w:r>
      <w:r w:rsidR="33D4174A">
        <w:t xml:space="preserve"> to</w:t>
      </w:r>
      <w:r w:rsidR="00FB4954">
        <w:t xml:space="preserve"> improve mobile phone infrastructure at the edges of Australia’s major cities.</w:t>
      </w:r>
      <w:r w:rsidR="00FB4954">
        <w:rPr>
          <w:rStyle w:val="FootnoteReference"/>
        </w:rPr>
        <w:footnoteReference w:id="41"/>
      </w:r>
      <w:r w:rsidR="00167757">
        <w:t xml:space="preserve"> </w:t>
      </w:r>
    </w:p>
    <w:p w14:paraId="1E5E541F" w14:textId="60AC1024" w:rsidR="00545E5B" w:rsidRDefault="00294E1F" w:rsidP="00FB4954">
      <w:r>
        <w:t>To improve the resilience of the communications sector</w:t>
      </w:r>
      <w:r w:rsidR="00DC007B">
        <w:t xml:space="preserve">, </w:t>
      </w:r>
      <w:r>
        <w:t xml:space="preserve">ACCAN considers that the </w:t>
      </w:r>
      <w:r w:rsidR="00262E3F">
        <w:t>Australian G</w:t>
      </w:r>
      <w:r>
        <w:t>overnment should establish a ‘reliability and resilience working group between the energy and communications Ministries, Departments, industry regulators, and consumer groups’.</w:t>
      </w:r>
      <w:r>
        <w:rPr>
          <w:rStyle w:val="FootnoteReference"/>
        </w:rPr>
        <w:footnoteReference w:id="42"/>
      </w:r>
      <w:r>
        <w:t xml:space="preserve"> </w:t>
      </w:r>
    </w:p>
    <w:p w14:paraId="30FBC087" w14:textId="2266901E" w:rsidR="00C06E46" w:rsidRDefault="00A95DB5" w:rsidP="005A6473">
      <w:r>
        <w:t>Expansions to the MBSP should prioritise projects that enable neutral hosting, allowing multiple providers to co-locate on the same site</w:t>
      </w:r>
      <w:r w:rsidR="000F045E">
        <w:t xml:space="preserve"> to address the persistent issue of consumers being restricted to a single provider in a given area</w:t>
      </w:r>
      <w:r>
        <w:t>.</w:t>
      </w:r>
      <w:r>
        <w:rPr>
          <w:rStyle w:val="FootnoteReference"/>
        </w:rPr>
        <w:footnoteReference w:id="43"/>
      </w:r>
      <w:r w:rsidR="00DD1D5A">
        <w:t xml:space="preserve"> </w:t>
      </w:r>
      <w:r w:rsidR="00424BC4">
        <w:t xml:space="preserve">‘Furthermore, future funding must be adaptable to local community needs’ and evolving technologies with the potential for nationwide LEOSat mobile coverage via </w:t>
      </w:r>
      <w:r w:rsidR="58EF7A6A">
        <w:t>device-to-device</w:t>
      </w:r>
      <w:r w:rsidR="00424BC4">
        <w:t xml:space="preserve"> technology.</w:t>
      </w:r>
      <w:r w:rsidR="00424BC4">
        <w:rPr>
          <w:rStyle w:val="FootnoteReference"/>
        </w:rPr>
        <w:footnoteReference w:id="44"/>
      </w:r>
    </w:p>
    <w:p w14:paraId="29FCE8C8" w14:textId="59A4F9EE" w:rsidR="00512105" w:rsidRDefault="00512105" w:rsidP="00512105">
      <w:pPr>
        <w:rPr>
          <w:b/>
          <w:bCs/>
        </w:rPr>
      </w:pPr>
      <w:r w:rsidRPr="002D77D1">
        <w:rPr>
          <w:b/>
          <w:bCs/>
        </w:rPr>
        <w:lastRenderedPageBreak/>
        <w:t xml:space="preserve">The estimated investment </w:t>
      </w:r>
    </w:p>
    <w:p w14:paraId="20518B45" w14:textId="5EEE0AF9" w:rsidR="00512105" w:rsidRDefault="00512105" w:rsidP="005A6473">
      <w:r>
        <w:t xml:space="preserve">ACCAN considers that these investments are incremental and procedural costs associated with extending the benefits of access to communications services to consumers in RRR areas. </w:t>
      </w:r>
      <w:r w:rsidR="00852A80">
        <w:t xml:space="preserve">Ensuring that communications services in RRR areas are </w:t>
      </w:r>
      <w:r w:rsidR="00DC3B54">
        <w:t>effective and reliabl</w:t>
      </w:r>
      <w:r w:rsidR="00151FF0">
        <w:t xml:space="preserve">e </w:t>
      </w:r>
      <w:r w:rsidR="00A8204B">
        <w:t xml:space="preserve">will facilitate significant economic and digital inclusion related benefits to many communications consumers. </w:t>
      </w:r>
    </w:p>
    <w:p w14:paraId="2D3C31FF" w14:textId="3C0B1DA9" w:rsidR="00B85D06" w:rsidRPr="00AF5417" w:rsidRDefault="00D6249F" w:rsidP="00F5356C">
      <w:pPr>
        <w:pStyle w:val="Heading3"/>
        <w:rPr>
          <w:b/>
          <w:bCs w:val="0"/>
        </w:rPr>
      </w:pPr>
      <w:bookmarkStart w:id="15" w:name="_Toc184811983"/>
      <w:r w:rsidRPr="00AF5417">
        <w:rPr>
          <w:b/>
          <w:bCs w:val="0"/>
        </w:rPr>
        <w:t xml:space="preserve">Supporting </w:t>
      </w:r>
      <w:r w:rsidR="004D5674" w:rsidRPr="00AF5417">
        <w:rPr>
          <w:b/>
          <w:bCs w:val="0"/>
        </w:rPr>
        <w:t>r</w:t>
      </w:r>
      <w:r w:rsidR="00A14032" w:rsidRPr="00AF5417">
        <w:rPr>
          <w:b/>
          <w:bCs w:val="0"/>
        </w:rPr>
        <w:t>emote</w:t>
      </w:r>
      <w:r w:rsidR="004D5674" w:rsidRPr="00AF5417">
        <w:rPr>
          <w:b/>
          <w:bCs w:val="0"/>
        </w:rPr>
        <w:t xml:space="preserve"> F</w:t>
      </w:r>
      <w:r w:rsidRPr="00AF5417">
        <w:rPr>
          <w:b/>
          <w:bCs w:val="0"/>
        </w:rPr>
        <w:t xml:space="preserve">irst </w:t>
      </w:r>
      <w:r w:rsidR="004D5674" w:rsidRPr="00AF5417">
        <w:rPr>
          <w:b/>
          <w:bCs w:val="0"/>
        </w:rPr>
        <w:t>N</w:t>
      </w:r>
      <w:r w:rsidRPr="00AF5417">
        <w:rPr>
          <w:b/>
          <w:bCs w:val="0"/>
        </w:rPr>
        <w:t xml:space="preserve">ations </w:t>
      </w:r>
      <w:r w:rsidR="004D5674" w:rsidRPr="00AF5417">
        <w:rPr>
          <w:b/>
          <w:bCs w:val="0"/>
        </w:rPr>
        <w:t>c</w:t>
      </w:r>
      <w:r w:rsidRPr="00AF5417">
        <w:rPr>
          <w:b/>
          <w:bCs w:val="0"/>
        </w:rPr>
        <w:t>ommunities</w:t>
      </w:r>
      <w:bookmarkEnd w:id="15"/>
      <w:r w:rsidRPr="00AF5417">
        <w:rPr>
          <w:b/>
          <w:bCs w:val="0"/>
        </w:rPr>
        <w:t xml:space="preserve"> </w:t>
      </w:r>
    </w:p>
    <w:p w14:paraId="3000D518" w14:textId="11EBBC9C" w:rsidR="00512105" w:rsidRPr="00B51A15" w:rsidRDefault="000D0E2D" w:rsidP="00F5356C">
      <w:pPr>
        <w:rPr>
          <w:lang w:eastAsia="en-US"/>
        </w:rPr>
      </w:pPr>
      <w:r>
        <w:rPr>
          <w:lang w:val="en-US" w:eastAsia="en-US"/>
        </w:rPr>
        <w:t xml:space="preserve">ACCAN supports the Australian </w:t>
      </w:r>
      <w:r w:rsidR="00D22AF7">
        <w:rPr>
          <w:lang w:val="en-US" w:eastAsia="en-US"/>
        </w:rPr>
        <w:t>G</w:t>
      </w:r>
      <w:r>
        <w:rPr>
          <w:lang w:val="en-US" w:eastAsia="en-US"/>
        </w:rPr>
        <w:t xml:space="preserve">overnment’s existing budget commitment to </w:t>
      </w:r>
      <w:r w:rsidR="00B57EDB" w:rsidRPr="00B57EDB">
        <w:rPr>
          <w:lang w:val="en-US" w:eastAsia="en-US"/>
        </w:rPr>
        <w:t>co-design free community Wi-Fi</w:t>
      </w:r>
      <w:r w:rsidR="00B57EDB">
        <w:rPr>
          <w:lang w:val="en-US" w:eastAsia="en-US"/>
        </w:rPr>
        <w:t xml:space="preserve"> for remote </w:t>
      </w:r>
      <w:r w:rsidR="00035B18">
        <w:rPr>
          <w:lang w:val="en-US" w:eastAsia="en-US"/>
        </w:rPr>
        <w:t>F</w:t>
      </w:r>
      <w:r w:rsidR="00B57EDB">
        <w:rPr>
          <w:lang w:val="en-US" w:eastAsia="en-US"/>
        </w:rPr>
        <w:t xml:space="preserve">irst </w:t>
      </w:r>
      <w:r w:rsidR="00035B18">
        <w:rPr>
          <w:lang w:val="en-US" w:eastAsia="en-US"/>
        </w:rPr>
        <w:t>N</w:t>
      </w:r>
      <w:r w:rsidR="00B57EDB">
        <w:rPr>
          <w:lang w:val="en-US" w:eastAsia="en-US"/>
        </w:rPr>
        <w:t>ations communities.</w:t>
      </w:r>
      <w:r w:rsidR="00B57EDB">
        <w:rPr>
          <w:rStyle w:val="FootnoteReference"/>
          <w:lang w:val="en-US" w:eastAsia="en-US"/>
        </w:rPr>
        <w:footnoteReference w:id="45"/>
      </w:r>
      <w:r w:rsidR="004F1158">
        <w:rPr>
          <w:lang w:val="en-US" w:eastAsia="en-US"/>
        </w:rPr>
        <w:t xml:space="preserve"> </w:t>
      </w:r>
      <w:r w:rsidR="00972D31">
        <w:rPr>
          <w:lang w:val="en-US" w:eastAsia="en-US"/>
        </w:rPr>
        <w:t xml:space="preserve">ACCAN supports the continuation and expansion of this initiative into the 2025-26 </w:t>
      </w:r>
      <w:r w:rsidR="00262610">
        <w:rPr>
          <w:lang w:val="en-US" w:eastAsia="en-US"/>
        </w:rPr>
        <w:t>F</w:t>
      </w:r>
      <w:r w:rsidR="00972D31">
        <w:rPr>
          <w:lang w:val="en-US" w:eastAsia="en-US"/>
        </w:rPr>
        <w:t xml:space="preserve">ederal </w:t>
      </w:r>
      <w:r w:rsidR="00262610">
        <w:rPr>
          <w:lang w:val="en-US" w:eastAsia="en-US"/>
        </w:rPr>
        <w:t>Budget</w:t>
      </w:r>
      <w:r w:rsidR="00972D31">
        <w:rPr>
          <w:lang w:val="en-US" w:eastAsia="en-US"/>
        </w:rPr>
        <w:t xml:space="preserve"> in addition to the </w:t>
      </w:r>
      <w:r w:rsidR="00972D31" w:rsidRPr="00972D31">
        <w:rPr>
          <w:lang w:eastAsia="en-US"/>
        </w:rPr>
        <w:t>establishment of the First Nations Digital Support Hub</w:t>
      </w:r>
      <w:r w:rsidR="00972D31">
        <w:rPr>
          <w:lang w:eastAsia="en-US"/>
        </w:rPr>
        <w:t>.</w:t>
      </w:r>
      <w:r w:rsidR="00972D31">
        <w:rPr>
          <w:rStyle w:val="FootnoteReference"/>
          <w:lang w:eastAsia="en-US"/>
        </w:rPr>
        <w:footnoteReference w:id="46"/>
      </w:r>
      <w:r w:rsidR="00A66F97">
        <w:rPr>
          <w:lang w:eastAsia="en-US"/>
        </w:rPr>
        <w:t xml:space="preserve"> </w:t>
      </w:r>
      <w:r w:rsidR="00044D5E">
        <w:rPr>
          <w:lang w:eastAsia="en-US"/>
        </w:rPr>
        <w:t xml:space="preserve">Additionally, ACCAN </w:t>
      </w:r>
      <w:r w:rsidR="007D3788">
        <w:rPr>
          <w:lang w:eastAsia="en-US"/>
        </w:rPr>
        <w:t>‘</w:t>
      </w:r>
      <w:r w:rsidR="007D3788" w:rsidRPr="007D3788">
        <w:rPr>
          <w:lang w:eastAsia="en-US"/>
        </w:rPr>
        <w:t>supports the First Nations Digital Inclusion Advisory Group’s initial report recommendation to increase the Telephone Allowance, administered by the Department of Social Services, to reflect the current costs of communications services</w:t>
      </w:r>
      <w:r w:rsidR="007D3788">
        <w:rPr>
          <w:lang w:eastAsia="en-US"/>
        </w:rPr>
        <w:t>’.</w:t>
      </w:r>
      <w:r w:rsidR="00CD3DA3">
        <w:rPr>
          <w:rStyle w:val="FootnoteReference"/>
          <w:lang w:eastAsia="en-US"/>
        </w:rPr>
        <w:footnoteReference w:id="47"/>
      </w:r>
    </w:p>
    <w:p w14:paraId="3BAAAFC4" w14:textId="7FE02D7B" w:rsidR="00AB2F73" w:rsidRPr="008A4C44" w:rsidRDefault="00AB2F73" w:rsidP="00AB2F73">
      <w:pPr>
        <w:pStyle w:val="Heading1"/>
        <w:rPr>
          <w:lang w:eastAsia="en-US"/>
        </w:rPr>
      </w:pPr>
      <w:bookmarkStart w:id="16" w:name="_Toc184811984"/>
      <w:r w:rsidRPr="008A4C44">
        <w:rPr>
          <w:lang w:eastAsia="en-US"/>
        </w:rPr>
        <w:t>Direct regulation for telecommunications sales practices will provide savings and benefits for consumers</w:t>
      </w:r>
      <w:r w:rsidR="004502A9">
        <w:rPr>
          <w:lang w:eastAsia="en-US"/>
        </w:rPr>
        <w:t xml:space="preserve"> and telcos</w:t>
      </w:r>
      <w:bookmarkEnd w:id="16"/>
      <w:r w:rsidRPr="008A4C44">
        <w:rPr>
          <w:lang w:eastAsia="en-US"/>
        </w:rPr>
        <w:t xml:space="preserve"> </w:t>
      </w:r>
    </w:p>
    <w:p w14:paraId="14D60653" w14:textId="379B4A88" w:rsidR="002B73C6" w:rsidRDefault="00AB2F73" w:rsidP="00AB2F73">
      <w:pPr>
        <w:spacing w:after="160" w:line="259" w:lineRule="auto"/>
        <w:rPr>
          <w:rFonts w:ascii="Calibri" w:eastAsia="Aptos" w:hAnsi="Calibri" w:cs="Times New Roman"/>
          <w:kern w:val="2"/>
          <w:lang w:val="en-US" w:eastAsia="en-US"/>
          <w14:ligatures w14:val="standardContextual"/>
        </w:rPr>
      </w:pPr>
      <w:r w:rsidRPr="008A4C44">
        <w:rPr>
          <w:rFonts w:ascii="Calibri" w:eastAsia="Aptos" w:hAnsi="Calibri" w:cs="Times New Roman"/>
          <w:kern w:val="2"/>
          <w:lang w:val="en-US" w:eastAsia="en-US"/>
          <w14:ligatures w14:val="standardContextual"/>
        </w:rPr>
        <w:t>Establishing direct regulation for sales practices in the telecommunications sector will mitigate significant consumer harm</w:t>
      </w:r>
      <w:r w:rsidR="00831C35">
        <w:rPr>
          <w:rFonts w:ascii="Calibri" w:eastAsia="Aptos" w:hAnsi="Calibri" w:cs="Times New Roman"/>
          <w:kern w:val="2"/>
          <w:lang w:val="en-US" w:eastAsia="en-US"/>
          <w14:ligatures w14:val="standardContextual"/>
        </w:rPr>
        <w:t xml:space="preserve">, </w:t>
      </w:r>
      <w:r w:rsidRPr="008A4C44">
        <w:rPr>
          <w:rFonts w:ascii="Calibri" w:eastAsia="Aptos" w:hAnsi="Calibri" w:cs="Times New Roman"/>
          <w:kern w:val="2"/>
          <w:lang w:val="en-US" w:eastAsia="en-US"/>
          <w14:ligatures w14:val="standardContextual"/>
        </w:rPr>
        <w:t>ensur</w:t>
      </w:r>
      <w:r w:rsidR="1AE620CE" w:rsidRPr="008A4C44">
        <w:rPr>
          <w:rFonts w:ascii="Calibri" w:eastAsia="Aptos" w:hAnsi="Calibri" w:cs="Times New Roman"/>
          <w:kern w:val="2"/>
          <w:lang w:val="en-US" w:eastAsia="en-US"/>
          <w14:ligatures w14:val="standardContextual"/>
        </w:rPr>
        <w:t>ing</w:t>
      </w:r>
      <w:r w:rsidRPr="008A4C44">
        <w:rPr>
          <w:rFonts w:ascii="Calibri" w:eastAsia="Aptos" w:hAnsi="Calibri" w:cs="Times New Roman"/>
          <w:kern w:val="2"/>
          <w:lang w:val="en-US" w:eastAsia="en-US"/>
          <w14:ligatures w14:val="standardContextual"/>
        </w:rPr>
        <w:t xml:space="preserve"> tha</w:t>
      </w:r>
      <w:r w:rsidR="00831C35">
        <w:rPr>
          <w:rFonts w:ascii="Calibri" w:eastAsia="Aptos" w:hAnsi="Calibri" w:cs="Times New Roman"/>
          <w:kern w:val="2"/>
          <w:lang w:val="en-US" w:eastAsia="en-US"/>
          <w14:ligatures w14:val="standardContextual"/>
        </w:rPr>
        <w:t>t</w:t>
      </w:r>
      <w:r w:rsidRPr="008A4C44">
        <w:rPr>
          <w:rFonts w:ascii="Calibri" w:eastAsia="Aptos" w:hAnsi="Calibri" w:cs="Times New Roman"/>
          <w:kern w:val="2"/>
          <w:lang w:val="en-US" w:eastAsia="en-US"/>
          <w14:ligatures w14:val="standardContextual"/>
        </w:rPr>
        <w:t xml:space="preserve"> consumers are sold products that fit their needs</w:t>
      </w:r>
      <w:r w:rsidR="00831C35">
        <w:rPr>
          <w:rFonts w:ascii="Calibri" w:eastAsia="Aptos" w:hAnsi="Calibri" w:cs="Times New Roman"/>
          <w:kern w:val="2"/>
          <w:lang w:val="en-US" w:eastAsia="en-US"/>
          <w14:ligatures w14:val="standardContextual"/>
        </w:rPr>
        <w:t xml:space="preserve"> and provi</w:t>
      </w:r>
      <w:r w:rsidR="00A00E52" w:rsidRPr="1C2EFD3A">
        <w:rPr>
          <w:rFonts w:ascii="Calibri" w:eastAsia="Aptos" w:hAnsi="Calibri" w:cs="Times New Roman"/>
          <w:lang w:val="en-US" w:eastAsia="en-US"/>
        </w:rPr>
        <w:t>de</w:t>
      </w:r>
      <w:r w:rsidR="00831C35">
        <w:rPr>
          <w:rFonts w:ascii="Calibri" w:eastAsia="Aptos" w:hAnsi="Calibri" w:cs="Times New Roman"/>
          <w:kern w:val="2"/>
          <w:lang w:val="en-US" w:eastAsia="en-US"/>
          <w14:ligatures w14:val="standardContextual"/>
        </w:rPr>
        <w:t xml:space="preserve"> benefits to consumers and telecommunications providers</w:t>
      </w:r>
      <w:r w:rsidR="00A659A8">
        <w:rPr>
          <w:rFonts w:ascii="Calibri" w:eastAsia="Aptos" w:hAnsi="Calibri" w:cs="Times New Roman"/>
          <w:kern w:val="2"/>
          <w:lang w:val="en-US" w:eastAsia="en-US"/>
          <w14:ligatures w14:val="standardContextual"/>
        </w:rPr>
        <w:t xml:space="preserve">. </w:t>
      </w:r>
      <w:r w:rsidR="002340C8">
        <w:rPr>
          <w:rFonts w:ascii="Calibri" w:eastAsia="Aptos" w:hAnsi="Calibri" w:cs="Times New Roman"/>
          <w:kern w:val="2"/>
          <w:lang w:val="en-US" w:eastAsia="en-US"/>
          <w14:ligatures w14:val="standardContextual"/>
        </w:rPr>
        <w:t xml:space="preserve">ACCAN considers that this </w:t>
      </w:r>
      <w:r w:rsidR="00A659A8">
        <w:rPr>
          <w:rFonts w:ascii="Calibri" w:eastAsia="Aptos" w:hAnsi="Calibri" w:cs="Times New Roman"/>
          <w:kern w:val="2"/>
          <w:lang w:val="en-US" w:eastAsia="en-US"/>
          <w14:ligatures w14:val="standardContextual"/>
        </w:rPr>
        <w:t xml:space="preserve">reform will </w:t>
      </w:r>
      <w:r w:rsidRPr="008A4C44">
        <w:rPr>
          <w:rFonts w:ascii="Calibri" w:eastAsia="Aptos" w:hAnsi="Calibri" w:cs="Times New Roman"/>
          <w:kern w:val="2"/>
          <w:lang w:val="en-US" w:eastAsia="en-US"/>
          <w14:ligatures w14:val="standardContextual"/>
        </w:rPr>
        <w:t xml:space="preserve">not </w:t>
      </w:r>
      <w:r w:rsidR="002B73C6" w:rsidRPr="1C2EFD3A">
        <w:rPr>
          <w:rFonts w:ascii="Calibri" w:eastAsia="Aptos" w:hAnsi="Calibri" w:cs="Times New Roman"/>
          <w:lang w:val="en-US" w:eastAsia="en-US"/>
        </w:rPr>
        <w:t xml:space="preserve">impose undue financial and administrative burdens on participants in the telecommunications industry. </w:t>
      </w:r>
    </w:p>
    <w:p w14:paraId="2FEC2D27" w14:textId="3BF7C7DB" w:rsidR="00A9203A" w:rsidRDefault="00122EF6" w:rsidP="00AB2F73">
      <w:pPr>
        <w:spacing w:after="160" w:line="259" w:lineRule="auto"/>
        <w:rPr>
          <w:rFonts w:ascii="Calibri" w:eastAsia="Aptos" w:hAnsi="Calibri" w:cs="Times New Roman"/>
          <w:kern w:val="2"/>
          <w:lang w:eastAsia="en-US"/>
          <w14:ligatures w14:val="standardContextual"/>
        </w:rPr>
      </w:pPr>
      <w:r w:rsidRPr="00A27479">
        <w:t xml:space="preserve">Sales practices are currently </w:t>
      </w:r>
      <w:r>
        <w:t>regulated under</w:t>
      </w:r>
      <w:r w:rsidRPr="00A27479">
        <w:t xml:space="preserve"> section 4.5 of the Telecommunications Consumer Protections Code (</w:t>
      </w:r>
      <w:r w:rsidRPr="00A27479">
        <w:rPr>
          <w:b/>
          <w:bCs/>
        </w:rPr>
        <w:t>TCP Code</w:t>
      </w:r>
      <w:r w:rsidRPr="00A27479">
        <w:t xml:space="preserve">) </w:t>
      </w:r>
      <w:r>
        <w:t>with an accompanying</w:t>
      </w:r>
      <w:r w:rsidRPr="00A27479">
        <w:t xml:space="preserve"> </w:t>
      </w:r>
      <w:r>
        <w:t>industry guideline.</w:t>
      </w:r>
      <w:r w:rsidR="000570FC">
        <w:rPr>
          <w:rStyle w:val="FootnoteReference"/>
        </w:rPr>
        <w:footnoteReference w:id="48"/>
      </w:r>
      <w:r w:rsidR="000B145B" w:rsidRPr="000B145B">
        <w:t xml:space="preserve"> The TCP Code and industry guideline does not provide appropriate community safeguards, nor a comprehensive sales practice framework for industry.</w:t>
      </w:r>
      <w:r w:rsidR="000B145B">
        <w:rPr>
          <w:rFonts w:ascii="Calibri" w:eastAsia="Aptos" w:hAnsi="Calibri" w:cs="Times New Roman"/>
          <w:kern w:val="2"/>
          <w:lang w:eastAsia="en-US"/>
          <w14:ligatures w14:val="standardContextual"/>
        </w:rPr>
        <w:t xml:space="preserve"> </w:t>
      </w:r>
      <w:r w:rsidR="00E445AB">
        <w:rPr>
          <w:rFonts w:ascii="Calibri" w:eastAsia="Aptos" w:hAnsi="Calibri" w:cs="Times New Roman"/>
          <w:kern w:val="2"/>
          <w:lang w:eastAsia="en-US"/>
          <w14:ligatures w14:val="standardContextual"/>
        </w:rPr>
        <w:t>Th</w:t>
      </w:r>
      <w:r w:rsidR="00782FAC">
        <w:rPr>
          <w:rFonts w:ascii="Calibri" w:eastAsia="Aptos" w:hAnsi="Calibri" w:cs="Times New Roman"/>
          <w:kern w:val="2"/>
          <w:lang w:eastAsia="en-US"/>
          <w14:ligatures w14:val="standardContextual"/>
        </w:rPr>
        <w:t xml:space="preserve">ese regulatory settings have </w:t>
      </w:r>
      <w:r w:rsidR="00E445AB">
        <w:rPr>
          <w:rFonts w:ascii="Calibri" w:eastAsia="Aptos" w:hAnsi="Calibri" w:cs="Times New Roman"/>
          <w:kern w:val="2"/>
          <w:lang w:eastAsia="en-US"/>
          <w14:ligatures w14:val="standardContextual"/>
        </w:rPr>
        <w:t>resulted in significant harm experience by vulnerable consumers</w:t>
      </w:r>
      <w:r w:rsidR="00782FAC">
        <w:rPr>
          <w:rFonts w:ascii="Calibri" w:eastAsia="Aptos" w:hAnsi="Calibri" w:cs="Times New Roman"/>
          <w:kern w:val="2"/>
          <w:lang w:eastAsia="en-US"/>
          <w14:ligatures w14:val="standardContextual"/>
        </w:rPr>
        <w:t>.</w:t>
      </w:r>
      <w:r w:rsidR="00E445AB">
        <w:rPr>
          <w:rFonts w:ascii="Calibri" w:eastAsia="Aptos" w:hAnsi="Calibri" w:cs="Times New Roman"/>
          <w:kern w:val="2"/>
          <w:lang w:eastAsia="en-US"/>
          <w14:ligatures w14:val="standardContextual"/>
        </w:rPr>
        <w:t xml:space="preserve"> </w:t>
      </w:r>
      <w:r w:rsidR="00782FAC">
        <w:rPr>
          <w:rFonts w:ascii="Calibri" w:eastAsia="Aptos" w:hAnsi="Calibri" w:cs="Times New Roman"/>
          <w:kern w:val="2"/>
          <w:lang w:eastAsia="en-US"/>
          <w14:ligatures w14:val="standardContextual"/>
        </w:rPr>
        <w:t>F</w:t>
      </w:r>
      <w:r w:rsidR="00E445AB">
        <w:rPr>
          <w:rFonts w:ascii="Calibri" w:eastAsia="Aptos" w:hAnsi="Calibri" w:cs="Times New Roman"/>
          <w:kern w:val="2"/>
          <w:lang w:eastAsia="en-US"/>
          <w14:ligatures w14:val="standardContextual"/>
        </w:rPr>
        <w:t>or example, r</w:t>
      </w:r>
      <w:r w:rsidR="00AB2F73" w:rsidRPr="008A4C44">
        <w:rPr>
          <w:rFonts w:ascii="Calibri" w:eastAsia="Aptos" w:hAnsi="Calibri" w:cs="Times New Roman"/>
          <w:kern w:val="2"/>
          <w:lang w:eastAsia="en-US"/>
          <w14:ligatures w14:val="standardContextual"/>
        </w:rPr>
        <w:t>esearch commissioned by the ACCC ‘found that reliance on commission-based remuneration schemes drives aggressive sales behaviour and encourages agents to adopt tactics that are not fully compliant in order to secure more sales’.</w:t>
      </w:r>
      <w:r w:rsidR="00AB2F73" w:rsidRPr="008A4C44">
        <w:rPr>
          <w:rFonts w:ascii="Calibri" w:eastAsia="Aptos" w:hAnsi="Calibri" w:cs="Times New Roman"/>
          <w:kern w:val="2"/>
          <w:vertAlign w:val="superscript"/>
          <w:lang w:eastAsia="en-US"/>
          <w14:ligatures w14:val="standardContextual"/>
        </w:rPr>
        <w:footnoteReference w:id="49"/>
      </w:r>
      <w:r w:rsidR="00AB2F73">
        <w:rPr>
          <w:rFonts w:ascii="Calibri" w:eastAsia="Aptos" w:hAnsi="Calibri" w:cs="Times New Roman"/>
          <w:kern w:val="2"/>
          <w:lang w:eastAsia="en-US"/>
          <w14:ligatures w14:val="standardContextual"/>
        </w:rPr>
        <w:t xml:space="preserve"> </w:t>
      </w:r>
    </w:p>
    <w:p w14:paraId="010EDE3D" w14:textId="0DA78DD8" w:rsidR="00F07C22" w:rsidRPr="00F41910" w:rsidRDefault="00F07C22" w:rsidP="00AB2F73">
      <w:pPr>
        <w:spacing w:after="160" w:line="259" w:lineRule="auto"/>
        <w:rPr>
          <w:rFonts w:ascii="Calibri" w:eastAsia="Aptos" w:hAnsi="Calibri" w:cs="Times New Roman"/>
          <w:b/>
          <w:bCs/>
          <w:kern w:val="2"/>
          <w:lang w:val="en-US" w:eastAsia="en-US"/>
          <w14:ligatures w14:val="standardContextual"/>
        </w:rPr>
      </w:pPr>
      <w:r w:rsidRPr="00F41910">
        <w:rPr>
          <w:rFonts w:ascii="Calibri" w:eastAsia="Aptos" w:hAnsi="Calibri" w:cs="Times New Roman"/>
          <w:b/>
          <w:bCs/>
          <w:kern w:val="2"/>
          <w:lang w:eastAsia="en-US"/>
          <w14:ligatures w14:val="standardContextual"/>
        </w:rPr>
        <w:t>Misleading sales practices are an underreported source of consumer harm and financial hardship</w:t>
      </w:r>
    </w:p>
    <w:p w14:paraId="633F47BA" w14:textId="2BBAF01B" w:rsidR="00856D6D" w:rsidRDefault="00AB2F73" w:rsidP="00AB2F73">
      <w:pPr>
        <w:spacing w:after="160" w:line="259" w:lineRule="auto"/>
        <w:rPr>
          <w:rFonts w:ascii="Calibri" w:eastAsia="Calibri" w:hAnsi="Calibri" w:cs="Calibri"/>
          <w:kern w:val="2"/>
          <w:lang w:eastAsia="en-US"/>
          <w14:ligatures w14:val="standardContextual"/>
        </w:rPr>
      </w:pPr>
      <w:r w:rsidRPr="008A4C44">
        <w:rPr>
          <w:rFonts w:ascii="Calibri" w:eastAsia="Aptos" w:hAnsi="Calibri" w:cs="Times New Roman"/>
          <w:kern w:val="2"/>
          <w:lang w:val="en-US" w:eastAsia="en-US"/>
          <w14:ligatures w14:val="standardContextual"/>
        </w:rPr>
        <w:t>As a result of irresponsible and unconscionable sales practices</w:t>
      </w:r>
      <w:r w:rsidR="00727065">
        <w:rPr>
          <w:rFonts w:ascii="Calibri" w:eastAsia="Aptos" w:hAnsi="Calibri" w:cs="Times New Roman"/>
          <w:kern w:val="2"/>
          <w:lang w:val="en-US" w:eastAsia="en-US"/>
          <w14:ligatures w14:val="standardContextual"/>
        </w:rPr>
        <w:t xml:space="preserve"> enabled by the </w:t>
      </w:r>
      <w:r w:rsidR="00D25688">
        <w:rPr>
          <w:rFonts w:ascii="Calibri" w:eastAsia="Aptos" w:hAnsi="Calibri" w:cs="Times New Roman"/>
          <w:kern w:val="2"/>
          <w:lang w:val="en-US" w:eastAsia="en-US"/>
          <w14:ligatures w14:val="standardContextual"/>
        </w:rPr>
        <w:t>absence of direct regulation</w:t>
      </w:r>
      <w:r w:rsidRPr="008A4C44">
        <w:rPr>
          <w:rFonts w:ascii="Calibri" w:eastAsia="Aptos" w:hAnsi="Calibri" w:cs="Times New Roman"/>
          <w:kern w:val="2"/>
          <w:lang w:val="en-US" w:eastAsia="en-US"/>
          <w14:ligatures w14:val="standardContextual"/>
        </w:rPr>
        <w:t>, vulnerable consumers</w:t>
      </w:r>
      <w:r w:rsidR="004126E9">
        <w:rPr>
          <w:rFonts w:ascii="Calibri" w:eastAsia="Aptos" w:hAnsi="Calibri" w:cs="Times New Roman"/>
          <w:kern w:val="2"/>
          <w:lang w:val="en-US" w:eastAsia="en-US"/>
          <w14:ligatures w14:val="standardContextual"/>
        </w:rPr>
        <w:t xml:space="preserve"> have experienced significant consumer harm</w:t>
      </w:r>
      <w:r w:rsidRPr="008A4C44">
        <w:rPr>
          <w:rFonts w:ascii="Calibri" w:eastAsia="Aptos" w:hAnsi="Calibri" w:cs="Times New Roman"/>
          <w:kern w:val="2"/>
          <w:lang w:val="en-US" w:eastAsia="en-US"/>
          <w14:ligatures w14:val="standardContextual"/>
        </w:rPr>
        <w:t xml:space="preserve">. </w:t>
      </w:r>
      <w:r w:rsidRPr="008A4C44">
        <w:rPr>
          <w:rFonts w:ascii="Calibri" w:eastAsia="Calibri" w:hAnsi="Calibri" w:cs="Calibri"/>
          <w:kern w:val="2"/>
          <w:lang w:eastAsia="en-US"/>
          <w14:ligatures w14:val="standardContextual"/>
        </w:rPr>
        <w:t>On 31 October 2024, the ACCC commenced proceedings in the Federal Court against Optus alleging the company acted unconscionably in its dealings with 429 consumers, many of whom were experiencing vulnerability including people with disability, low-income, First Nations, and those with limited financial literacy.</w:t>
      </w:r>
      <w:r w:rsidRPr="008A4C44">
        <w:rPr>
          <w:rFonts w:ascii="Calibri" w:eastAsia="Calibri" w:hAnsi="Calibri" w:cs="Calibri"/>
          <w:kern w:val="2"/>
          <w:vertAlign w:val="superscript"/>
          <w:lang w:eastAsia="en-US"/>
          <w14:ligatures w14:val="standardContextual"/>
        </w:rPr>
        <w:footnoteReference w:id="50"/>
      </w:r>
      <w:r w:rsidRPr="008A4C44">
        <w:rPr>
          <w:rFonts w:ascii="Calibri" w:eastAsia="Calibri" w:hAnsi="Calibri" w:cs="Calibri"/>
          <w:kern w:val="2"/>
          <w:lang w:eastAsia="en-US"/>
          <w14:ligatures w14:val="standardContextual"/>
        </w:rPr>
        <w:t xml:space="preserve"> </w:t>
      </w:r>
    </w:p>
    <w:p w14:paraId="4F050B6A" w14:textId="77777777" w:rsidR="00856D6D" w:rsidRDefault="00AB2F73">
      <w:pPr>
        <w:spacing w:after="160" w:line="259" w:lineRule="auto"/>
        <w:rPr>
          <w:rFonts w:ascii="Calibri" w:eastAsia="Calibri" w:hAnsi="Calibri" w:cs="Calibri"/>
          <w:lang w:val="en-US" w:eastAsia="en-US"/>
        </w:rPr>
      </w:pPr>
      <w:r w:rsidRPr="008A4C44">
        <w:rPr>
          <w:rFonts w:ascii="Calibri" w:eastAsia="Calibri" w:hAnsi="Calibri" w:cs="Calibri"/>
          <w:kern w:val="2"/>
          <w:lang w:eastAsia="en-US"/>
          <w14:ligatures w14:val="standardContextual"/>
        </w:rPr>
        <w:lastRenderedPageBreak/>
        <w:t>The alleged conduct reflects a concerning pattern of unconscionable behaviour in the telecommunications sector.</w:t>
      </w:r>
      <w:r w:rsidR="001C5480">
        <w:rPr>
          <w:rStyle w:val="FootnoteReference"/>
          <w:rFonts w:ascii="Calibri" w:eastAsia="Calibri" w:hAnsi="Calibri" w:cs="Calibri"/>
          <w:kern w:val="2"/>
          <w:lang w:eastAsia="en-US"/>
          <w14:ligatures w14:val="standardContextual"/>
        </w:rPr>
        <w:footnoteReference w:id="51"/>
      </w:r>
      <w:r w:rsidR="00856D6D">
        <w:rPr>
          <w:rFonts w:ascii="Calibri" w:eastAsia="Calibri" w:hAnsi="Calibri" w:cs="Calibri"/>
          <w:kern w:val="2"/>
          <w:lang w:eastAsia="en-US"/>
          <w14:ligatures w14:val="standardContextual"/>
        </w:rPr>
        <w:t xml:space="preserve"> </w:t>
      </w:r>
      <w:r w:rsidR="00F07C22" w:rsidRPr="6B5643BD">
        <w:rPr>
          <w:rFonts w:ascii="Calibri" w:eastAsia="Calibri" w:hAnsi="Calibri" w:cs="Calibri"/>
          <w:lang w:val="en-US" w:eastAsia="en-US"/>
        </w:rPr>
        <w:t xml:space="preserve">The TIO’s 2022-2023 Annual report noted that for the period of 2022-2023, there were 1,909 instances of misleading conduct when making a contract for mobile services, a 16.3% increase from 2021-2022. </w:t>
      </w:r>
      <w:r w:rsidR="00A74083" w:rsidRPr="6B5643BD">
        <w:rPr>
          <w:rFonts w:ascii="Calibri" w:eastAsia="Calibri" w:hAnsi="Calibri" w:cs="Calibri"/>
          <w:lang w:val="en-US" w:eastAsia="en-US"/>
        </w:rPr>
        <w:t>The 2024 Consumer Policy Research Centre (</w:t>
      </w:r>
      <w:r w:rsidR="00A74083" w:rsidRPr="00F41910">
        <w:rPr>
          <w:rFonts w:ascii="Calibri" w:eastAsia="Calibri" w:hAnsi="Calibri" w:cs="Calibri"/>
          <w:b/>
          <w:lang w:val="en-US" w:eastAsia="en-US"/>
        </w:rPr>
        <w:t>CPRC</w:t>
      </w:r>
      <w:r w:rsidR="00A74083" w:rsidRPr="6B5643BD">
        <w:rPr>
          <w:rFonts w:ascii="Calibri" w:eastAsia="Calibri" w:hAnsi="Calibri" w:cs="Calibri"/>
          <w:lang w:val="en-US" w:eastAsia="en-US"/>
        </w:rPr>
        <w:t xml:space="preserve">) report into </w:t>
      </w:r>
      <w:r w:rsidR="00CA206C" w:rsidRPr="6B5643BD">
        <w:rPr>
          <w:rFonts w:ascii="Calibri" w:eastAsia="Calibri" w:hAnsi="Calibri" w:cs="Calibri"/>
          <w:lang w:val="en-US" w:eastAsia="en-US"/>
        </w:rPr>
        <w:t>‘Barriers to Effective Dispute Resolution in the Telecommunications Industry’ n</w:t>
      </w:r>
      <w:r w:rsidR="00A74083" w:rsidRPr="6B5643BD">
        <w:rPr>
          <w:rFonts w:ascii="Calibri" w:eastAsia="Calibri" w:hAnsi="Calibri" w:cs="Calibri"/>
          <w:lang w:val="en-US" w:eastAsia="en-US"/>
        </w:rPr>
        <w:t>oted</w:t>
      </w:r>
      <w:r w:rsidR="00AA16EA" w:rsidRPr="6B5643BD">
        <w:rPr>
          <w:rFonts w:ascii="Calibri" w:eastAsia="Calibri" w:hAnsi="Calibri" w:cs="Calibri"/>
          <w:lang w:val="en-US" w:eastAsia="en-US"/>
        </w:rPr>
        <w:t xml:space="preserve"> that</w:t>
      </w:r>
      <w:r w:rsidR="00F07C22" w:rsidRPr="6B5643BD">
        <w:rPr>
          <w:rFonts w:ascii="Calibri" w:eastAsia="Calibri" w:hAnsi="Calibri" w:cs="Calibri"/>
          <w:lang w:eastAsia="en-US"/>
        </w:rPr>
        <w:t xml:space="preserve"> only 10% </w:t>
      </w:r>
      <w:r w:rsidR="00AA16EA" w:rsidRPr="6B5643BD">
        <w:rPr>
          <w:rFonts w:ascii="Calibri" w:eastAsia="Calibri" w:hAnsi="Calibri" w:cs="Calibri"/>
          <w:lang w:eastAsia="en-US"/>
        </w:rPr>
        <w:t>of consumers</w:t>
      </w:r>
      <w:r w:rsidR="001F50BA" w:rsidRPr="6B5643BD">
        <w:rPr>
          <w:rFonts w:ascii="Calibri" w:eastAsia="Calibri" w:hAnsi="Calibri" w:cs="Calibri"/>
          <w:lang w:eastAsia="en-US"/>
        </w:rPr>
        <w:t xml:space="preserve"> </w:t>
      </w:r>
      <w:r w:rsidR="00F07C22" w:rsidRPr="6B5643BD">
        <w:rPr>
          <w:rFonts w:ascii="Calibri" w:eastAsia="Calibri" w:hAnsi="Calibri" w:cs="Calibri"/>
          <w:lang w:eastAsia="en-US"/>
        </w:rPr>
        <w:t>escalated</w:t>
      </w:r>
      <w:r w:rsidR="001F50BA" w:rsidRPr="6B5643BD">
        <w:rPr>
          <w:rFonts w:ascii="Calibri" w:eastAsia="Calibri" w:hAnsi="Calibri" w:cs="Calibri"/>
          <w:lang w:eastAsia="en-US"/>
        </w:rPr>
        <w:t xml:space="preserve"> their complaints</w:t>
      </w:r>
      <w:r w:rsidR="00F07C22" w:rsidRPr="6B5643BD">
        <w:rPr>
          <w:rFonts w:ascii="Calibri" w:eastAsia="Calibri" w:hAnsi="Calibri" w:cs="Calibri"/>
          <w:lang w:eastAsia="en-US"/>
        </w:rPr>
        <w:t xml:space="preserve"> to the TIO.</w:t>
      </w:r>
      <w:r w:rsidR="00F07C22" w:rsidRPr="00F07C22">
        <w:rPr>
          <w:rFonts w:ascii="Calibri" w:eastAsia="Calibri" w:hAnsi="Calibri" w:cs="Calibri"/>
          <w:kern w:val="2"/>
          <w:vertAlign w:val="superscript"/>
          <w:lang w:eastAsia="en-US"/>
          <w14:ligatures w14:val="standardContextual"/>
        </w:rPr>
        <w:footnoteReference w:id="52"/>
      </w:r>
      <w:r w:rsidR="00F07C22" w:rsidRPr="6B5643BD">
        <w:rPr>
          <w:rFonts w:ascii="Calibri" w:eastAsia="Calibri" w:hAnsi="Calibri" w:cs="Calibri"/>
          <w:lang w:eastAsia="en-US"/>
        </w:rPr>
        <w:t xml:space="preserve"> This demonstrates that only a small amount of complaints made with respect to misleading sales conduct in mobile services </w:t>
      </w:r>
      <w:r w:rsidR="00CA206C" w:rsidRPr="6B5643BD">
        <w:rPr>
          <w:rFonts w:ascii="Calibri" w:eastAsia="Calibri" w:hAnsi="Calibri" w:cs="Calibri"/>
          <w:lang w:eastAsia="en-US"/>
        </w:rPr>
        <w:t>may have been</w:t>
      </w:r>
      <w:r w:rsidR="00F07C22" w:rsidRPr="6B5643BD">
        <w:rPr>
          <w:rFonts w:ascii="Calibri" w:eastAsia="Calibri" w:hAnsi="Calibri" w:cs="Calibri"/>
          <w:lang w:eastAsia="en-US"/>
        </w:rPr>
        <w:t xml:space="preserve"> reported to the TIO.</w:t>
      </w:r>
      <w:r w:rsidR="00F07C22" w:rsidRPr="6B5643BD">
        <w:rPr>
          <w:rFonts w:ascii="Calibri" w:eastAsia="Calibri" w:hAnsi="Calibri" w:cs="Calibri"/>
          <w:lang w:val="en-US" w:eastAsia="en-US"/>
        </w:rPr>
        <w:t xml:space="preserve"> </w:t>
      </w:r>
    </w:p>
    <w:p w14:paraId="4926CAD3" w14:textId="7013D6F9" w:rsidR="00F07C22" w:rsidRPr="00A60CD9" w:rsidRDefault="00F07C22" w:rsidP="00F41910">
      <w:pPr>
        <w:spacing w:after="160" w:line="259" w:lineRule="auto"/>
        <w:rPr>
          <w:lang w:eastAsia="en-US"/>
        </w:rPr>
      </w:pPr>
      <w:r w:rsidRPr="6B5643BD">
        <w:rPr>
          <w:rFonts w:ascii="Calibri" w:eastAsia="Calibri" w:hAnsi="Calibri" w:cs="Calibri"/>
          <w:lang w:eastAsia="en-US"/>
        </w:rPr>
        <w:t xml:space="preserve">Estimating from the figures above, the actual number of consumer complaints with respect to misleading conduct may </w:t>
      </w:r>
      <w:r w:rsidR="00E94FFD" w:rsidRPr="6B5643BD">
        <w:rPr>
          <w:rFonts w:ascii="Calibri" w:eastAsia="Calibri" w:hAnsi="Calibri" w:cs="Calibri"/>
          <w:lang w:eastAsia="en-US"/>
        </w:rPr>
        <w:t xml:space="preserve">exceed </w:t>
      </w:r>
      <w:r w:rsidRPr="6B5643BD">
        <w:rPr>
          <w:rFonts w:ascii="Calibri" w:eastAsia="Calibri" w:hAnsi="Calibri" w:cs="Calibri"/>
          <w:lang w:eastAsia="en-US"/>
        </w:rPr>
        <w:t xml:space="preserve">19,000 complaints within a one-year period to telecommunications providers. </w:t>
      </w:r>
      <w:r w:rsidR="00E94FFD" w:rsidRPr="6B5643BD">
        <w:rPr>
          <w:rFonts w:ascii="Calibri" w:eastAsia="Calibri" w:hAnsi="Calibri" w:cs="Calibri"/>
          <w:lang w:val="en-US" w:eastAsia="en-US"/>
        </w:rPr>
        <w:t xml:space="preserve">The CPRC report </w:t>
      </w:r>
      <w:r w:rsidR="00CA206C" w:rsidRPr="6B5643BD">
        <w:rPr>
          <w:rFonts w:ascii="Calibri" w:eastAsia="Calibri" w:hAnsi="Calibri" w:cs="Calibri"/>
          <w:lang w:val="en-US" w:eastAsia="en-US"/>
        </w:rPr>
        <w:t xml:space="preserve">additionally </w:t>
      </w:r>
      <w:r w:rsidR="00E94FFD" w:rsidRPr="6B5643BD">
        <w:rPr>
          <w:rFonts w:ascii="Calibri" w:eastAsia="Calibri" w:hAnsi="Calibri" w:cs="Calibri"/>
          <w:lang w:val="en-US" w:eastAsia="en-US"/>
        </w:rPr>
        <w:t>noted</w:t>
      </w:r>
      <w:r w:rsidRPr="6B5643BD">
        <w:rPr>
          <w:rFonts w:ascii="Calibri" w:eastAsia="Calibri" w:hAnsi="Calibri" w:cs="Calibri"/>
          <w:lang w:val="en-US" w:eastAsia="en-US"/>
        </w:rPr>
        <w:t xml:space="preserve"> that</w:t>
      </w:r>
      <w:r w:rsidR="008A6488" w:rsidRPr="6B5643BD">
        <w:rPr>
          <w:rFonts w:ascii="Calibri" w:eastAsia="Calibri" w:hAnsi="Calibri" w:cs="Calibri"/>
          <w:lang w:val="en-US" w:eastAsia="en-US"/>
        </w:rPr>
        <w:t xml:space="preserve"> </w:t>
      </w:r>
      <w:r w:rsidRPr="00F41910">
        <w:rPr>
          <w:rFonts w:ascii="Calibri" w:eastAsia="Calibri" w:hAnsi="Calibri" w:cs="Calibri"/>
          <w:lang w:eastAsia="en-US"/>
        </w:rPr>
        <w:t>‘close to half of Australians who experienced a telco challenge in the past 12 months did not lodge a complaint (46%)’.</w:t>
      </w:r>
      <w:r w:rsidRPr="00F07C22">
        <w:rPr>
          <w:vertAlign w:val="superscript"/>
          <w:lang w:eastAsia="en-US"/>
        </w:rPr>
        <w:footnoteReference w:id="53"/>
      </w:r>
      <w:r w:rsidR="008A6488" w:rsidRPr="6B5643BD">
        <w:rPr>
          <w:rFonts w:ascii="Calibri" w:eastAsia="Calibri" w:hAnsi="Calibri" w:cs="Calibri"/>
          <w:lang w:eastAsia="en-US"/>
        </w:rPr>
        <w:t xml:space="preserve"> </w:t>
      </w:r>
      <w:r w:rsidRPr="6B5643BD">
        <w:rPr>
          <w:rFonts w:ascii="Calibri" w:eastAsia="Calibri" w:hAnsi="Calibri" w:cs="Calibri"/>
          <w:lang w:eastAsia="en-US"/>
        </w:rPr>
        <w:t>Utilising the above as a basis for extrapolation</w:t>
      </w:r>
      <w:r w:rsidR="22062E49" w:rsidRPr="1C2EFD3A">
        <w:rPr>
          <w:rFonts w:ascii="Calibri" w:eastAsia="Calibri" w:hAnsi="Calibri" w:cs="Calibri"/>
          <w:lang w:eastAsia="en-US"/>
        </w:rPr>
        <w:t>,</w:t>
      </w:r>
      <w:r w:rsidRPr="6B5643BD">
        <w:rPr>
          <w:rFonts w:ascii="Calibri" w:eastAsia="Calibri" w:hAnsi="Calibri" w:cs="Calibri"/>
          <w:lang w:eastAsia="en-US"/>
        </w:rPr>
        <w:t xml:space="preserve"> </w:t>
      </w:r>
      <w:r w:rsidR="04463A3A" w:rsidRPr="1C2EFD3A">
        <w:rPr>
          <w:rFonts w:ascii="Calibri" w:eastAsia="Calibri" w:hAnsi="Calibri" w:cs="Calibri"/>
          <w:lang w:val="en-US" w:eastAsia="en-US"/>
        </w:rPr>
        <w:t>ACCAN estimates</w:t>
      </w:r>
      <w:r w:rsidR="004353BB" w:rsidRPr="00F07C22">
        <w:rPr>
          <w:lang w:eastAsia="en-US"/>
        </w:rPr>
        <w:t xml:space="preserve"> that the number of consumers who may be experiencing issues related to misleading conduct when making a contract may </w:t>
      </w:r>
      <w:r w:rsidR="009E28CD">
        <w:rPr>
          <w:lang w:eastAsia="en-US"/>
        </w:rPr>
        <w:t xml:space="preserve">exceed 35,000. </w:t>
      </w:r>
    </w:p>
    <w:p w14:paraId="359FF4A5" w14:textId="7A4547C8" w:rsidR="004C29C0" w:rsidRPr="00F41910" w:rsidRDefault="009C1A4E" w:rsidP="00AB2F73">
      <w:pPr>
        <w:spacing w:after="160" w:line="259" w:lineRule="auto"/>
        <w:rPr>
          <w:rFonts w:ascii="Calibri" w:eastAsia="Calibri" w:hAnsi="Calibri" w:cs="Calibri"/>
          <w:b/>
          <w:bCs/>
          <w:kern w:val="2"/>
          <w:lang w:eastAsia="en-US"/>
          <w14:ligatures w14:val="standardContextual"/>
        </w:rPr>
      </w:pPr>
      <w:r w:rsidRPr="00F41910">
        <w:rPr>
          <w:rFonts w:ascii="Calibri" w:eastAsia="Calibri" w:hAnsi="Calibri" w:cs="Calibri"/>
          <w:b/>
          <w:bCs/>
          <w:kern w:val="2"/>
          <w:lang w:eastAsia="en-US"/>
          <w14:ligatures w14:val="standardContextual"/>
        </w:rPr>
        <w:t>Projected benefits from direct regulation for telecommunications sales practices</w:t>
      </w:r>
    </w:p>
    <w:p w14:paraId="6EF8DC80" w14:textId="13B529E9" w:rsidR="00934960" w:rsidRDefault="00AB2F73" w:rsidP="00AB2F73">
      <w:pPr>
        <w:spacing w:after="160" w:line="259" w:lineRule="auto"/>
        <w:rPr>
          <w:rFonts w:ascii="Calibri" w:eastAsia="Aptos" w:hAnsi="Calibri" w:cs="Times New Roman"/>
          <w:kern w:val="2"/>
          <w:lang w:val="en-US" w:eastAsia="en-US"/>
          <w14:ligatures w14:val="standardContextual"/>
        </w:rPr>
      </w:pPr>
      <w:r w:rsidRPr="008A4C44">
        <w:rPr>
          <w:rFonts w:ascii="Calibri" w:eastAsia="Aptos" w:hAnsi="Calibri" w:cs="Times New Roman"/>
          <w:kern w:val="2"/>
          <w:lang w:val="en-US" w:eastAsia="en-US"/>
          <w14:ligatures w14:val="standardContextual"/>
        </w:rPr>
        <w:t>ACCAN considers that should direct regulation be</w:t>
      </w:r>
      <w:r w:rsidR="00664EBD">
        <w:rPr>
          <w:rFonts w:ascii="Calibri" w:eastAsia="Aptos" w:hAnsi="Calibri" w:cs="Times New Roman"/>
          <w:kern w:val="2"/>
          <w:lang w:val="en-US" w:eastAsia="en-US"/>
          <w14:ligatures w14:val="standardContextual"/>
        </w:rPr>
        <w:t xml:space="preserve"> established</w:t>
      </w:r>
      <w:r w:rsidRPr="008A4C44">
        <w:rPr>
          <w:rFonts w:ascii="Calibri" w:eastAsia="Aptos" w:hAnsi="Calibri" w:cs="Times New Roman"/>
          <w:kern w:val="2"/>
          <w:lang w:val="en-US" w:eastAsia="en-US"/>
          <w14:ligatures w14:val="standardContextual"/>
        </w:rPr>
        <w:t xml:space="preserve"> for sales practices, only a small number of telecommunications providers </w:t>
      </w:r>
      <w:r w:rsidR="00281351">
        <w:rPr>
          <w:rFonts w:ascii="Calibri" w:eastAsia="Aptos" w:hAnsi="Calibri" w:cs="Times New Roman"/>
          <w:kern w:val="2"/>
          <w:lang w:val="en-US" w:eastAsia="en-US"/>
          <w14:ligatures w14:val="standardContextual"/>
        </w:rPr>
        <w:t>would experience</w:t>
      </w:r>
      <w:r w:rsidR="00D42F17">
        <w:rPr>
          <w:rFonts w:ascii="Calibri" w:eastAsia="Aptos" w:hAnsi="Calibri" w:cs="Times New Roman"/>
          <w:kern w:val="2"/>
          <w:lang w:val="en-US" w:eastAsia="en-US"/>
          <w14:ligatures w14:val="standardContextual"/>
        </w:rPr>
        <w:t xml:space="preserve"> </w:t>
      </w:r>
      <w:r w:rsidR="00E71A2B">
        <w:rPr>
          <w:rFonts w:ascii="Calibri" w:eastAsia="Aptos" w:hAnsi="Calibri" w:cs="Times New Roman"/>
          <w:kern w:val="2"/>
          <w:lang w:val="en-US" w:eastAsia="en-US"/>
          <w14:ligatures w14:val="standardContextual"/>
        </w:rPr>
        <w:t>costs adap</w:t>
      </w:r>
      <w:r w:rsidR="00D16492">
        <w:rPr>
          <w:rFonts w:ascii="Calibri" w:eastAsia="Aptos" w:hAnsi="Calibri" w:cs="Times New Roman"/>
          <w:kern w:val="2"/>
          <w:lang w:val="en-US" w:eastAsia="en-US"/>
          <w14:ligatures w14:val="standardContextual"/>
        </w:rPr>
        <w:t xml:space="preserve">ting to the new regulation. </w:t>
      </w:r>
      <w:r w:rsidRPr="008A4C44">
        <w:rPr>
          <w:rFonts w:ascii="Calibri" w:eastAsia="Aptos" w:hAnsi="Calibri" w:cs="Times New Roman"/>
          <w:kern w:val="2"/>
          <w:lang w:val="en-US" w:eastAsia="en-US"/>
          <w14:ligatures w14:val="standardContextual"/>
        </w:rPr>
        <w:t xml:space="preserve">Telecommunications providers with physical </w:t>
      </w:r>
      <w:r w:rsidR="00D16492">
        <w:rPr>
          <w:rFonts w:ascii="Calibri" w:eastAsia="Aptos" w:hAnsi="Calibri" w:cs="Times New Roman"/>
          <w:kern w:val="2"/>
          <w:lang w:val="en-US" w:eastAsia="en-US"/>
          <w14:ligatures w14:val="standardContextual"/>
        </w:rPr>
        <w:t xml:space="preserve">stores </w:t>
      </w:r>
      <w:r w:rsidRPr="008A4C44">
        <w:rPr>
          <w:rFonts w:ascii="Calibri" w:eastAsia="Aptos" w:hAnsi="Calibri" w:cs="Times New Roman"/>
          <w:kern w:val="2"/>
          <w:lang w:val="en-US" w:eastAsia="en-US"/>
          <w14:ligatures w14:val="standardContextual"/>
        </w:rPr>
        <w:t xml:space="preserve">are likely to be larger market participants and </w:t>
      </w:r>
      <w:r w:rsidR="001740BB">
        <w:rPr>
          <w:rFonts w:ascii="Calibri" w:eastAsia="Aptos" w:hAnsi="Calibri" w:cs="Times New Roman"/>
          <w:kern w:val="2"/>
          <w:lang w:val="en-US" w:eastAsia="en-US"/>
          <w14:ligatures w14:val="standardContextual"/>
        </w:rPr>
        <w:t>proportionately better</w:t>
      </w:r>
      <w:r w:rsidRPr="008A4C44">
        <w:rPr>
          <w:rFonts w:ascii="Calibri" w:eastAsia="Aptos" w:hAnsi="Calibri" w:cs="Times New Roman"/>
          <w:kern w:val="2"/>
          <w:lang w:val="en-US" w:eastAsia="en-US"/>
          <w14:ligatures w14:val="standardContextual"/>
        </w:rPr>
        <w:t xml:space="preserve"> placed to bear the costs of adapting to direct regulation</w:t>
      </w:r>
      <w:r w:rsidR="001740BB">
        <w:rPr>
          <w:rFonts w:ascii="Calibri" w:eastAsia="Aptos" w:hAnsi="Calibri" w:cs="Times New Roman"/>
          <w:kern w:val="2"/>
          <w:lang w:val="en-US" w:eastAsia="en-US"/>
          <w14:ligatures w14:val="standardContextual"/>
        </w:rPr>
        <w:t xml:space="preserve">. </w:t>
      </w:r>
    </w:p>
    <w:p w14:paraId="3C2FBE02" w14:textId="100D3757" w:rsidR="00934960" w:rsidRDefault="00AB2F73" w:rsidP="00AF5417">
      <w:pPr>
        <w:spacing w:after="160" w:line="259" w:lineRule="auto"/>
        <w:rPr>
          <w:rFonts w:ascii="Calibri" w:eastAsia="Aptos" w:hAnsi="Calibri" w:cs="Times New Roman"/>
          <w:kern w:val="2"/>
          <w:lang w:val="en-US" w:eastAsia="en-US"/>
          <w14:ligatures w14:val="standardContextual"/>
        </w:rPr>
      </w:pPr>
      <w:r w:rsidRPr="008A4C44">
        <w:rPr>
          <w:rFonts w:ascii="Calibri" w:eastAsia="Aptos" w:hAnsi="Calibri" w:cs="Times New Roman"/>
          <w:kern w:val="2"/>
          <w:lang w:val="en-US" w:eastAsia="en-US"/>
          <w14:ligatures w14:val="standardContextual"/>
        </w:rPr>
        <w:t xml:space="preserve">ACCAN notes that for large, medium and small telecommunications providers, the estimated cost of adaptation to </w:t>
      </w:r>
      <w:r w:rsidR="00C107C5">
        <w:rPr>
          <w:rFonts w:ascii="Calibri" w:eastAsia="Aptos" w:hAnsi="Calibri" w:cs="Times New Roman"/>
          <w:kern w:val="2"/>
          <w:lang w:val="en-US" w:eastAsia="en-US"/>
          <w14:ligatures w14:val="standardContextual"/>
        </w:rPr>
        <w:t xml:space="preserve">direct regulation in the form of </w:t>
      </w:r>
      <w:r w:rsidRPr="008A4C44">
        <w:rPr>
          <w:rFonts w:ascii="Calibri" w:eastAsia="Aptos" w:hAnsi="Calibri" w:cs="Times New Roman"/>
          <w:kern w:val="2"/>
          <w:lang w:val="en-US" w:eastAsia="en-US"/>
          <w14:ligatures w14:val="standardContextual"/>
        </w:rPr>
        <w:t>the Telecommunications (Financial Hardship) Industry Standard 2024 (</w:t>
      </w:r>
      <w:r w:rsidRPr="008A4C44">
        <w:rPr>
          <w:rFonts w:ascii="Calibri" w:eastAsia="Aptos" w:hAnsi="Calibri" w:cs="Times New Roman"/>
          <w:b/>
          <w:bCs/>
          <w:kern w:val="2"/>
          <w:lang w:val="en-US" w:eastAsia="en-US"/>
          <w14:ligatures w14:val="standardContextual"/>
        </w:rPr>
        <w:t>the financial hardship standard</w:t>
      </w:r>
      <w:r w:rsidRPr="008A4C44">
        <w:rPr>
          <w:rFonts w:ascii="Calibri" w:eastAsia="Aptos" w:hAnsi="Calibri" w:cs="Times New Roman"/>
          <w:kern w:val="2"/>
          <w:lang w:val="en-US" w:eastAsia="en-US"/>
          <w14:ligatures w14:val="standardContextual"/>
        </w:rPr>
        <w:t>) was approximately $1</w:t>
      </w:r>
      <w:r w:rsidR="00B854C5">
        <w:rPr>
          <w:rFonts w:ascii="Calibri" w:eastAsia="Aptos" w:hAnsi="Calibri" w:cs="Times New Roman"/>
          <w:kern w:val="2"/>
          <w:lang w:val="en-US" w:eastAsia="en-US"/>
          <w14:ligatures w14:val="standardContextual"/>
        </w:rPr>
        <w:t xml:space="preserve"> million</w:t>
      </w:r>
      <w:r w:rsidRPr="008A4C44">
        <w:rPr>
          <w:rFonts w:ascii="Calibri" w:eastAsia="Aptos" w:hAnsi="Calibri" w:cs="Times New Roman"/>
          <w:kern w:val="2"/>
          <w:lang w:val="en-US" w:eastAsia="en-US"/>
          <w14:ligatures w14:val="standardContextual"/>
        </w:rPr>
        <w:t xml:space="preserve"> for the first year of the </w:t>
      </w:r>
      <w:r w:rsidR="00934960">
        <w:rPr>
          <w:rFonts w:ascii="Calibri" w:eastAsia="Aptos" w:hAnsi="Calibri" w:cs="Times New Roman"/>
          <w:kern w:val="2"/>
          <w:lang w:val="en-US" w:eastAsia="en-US"/>
          <w14:ligatures w14:val="standardContextual"/>
        </w:rPr>
        <w:t>financial hardship s</w:t>
      </w:r>
      <w:r w:rsidRPr="008A4C44">
        <w:rPr>
          <w:rFonts w:ascii="Calibri" w:eastAsia="Aptos" w:hAnsi="Calibri" w:cs="Times New Roman"/>
          <w:kern w:val="2"/>
          <w:lang w:val="en-US" w:eastAsia="en-US"/>
          <w14:ligatures w14:val="standardContextual"/>
        </w:rPr>
        <w:t>tandard’s adaptation and $300,000 for subsequent years.</w:t>
      </w:r>
      <w:r w:rsidRPr="008A4C44">
        <w:rPr>
          <w:rFonts w:ascii="Calibri" w:eastAsia="Aptos" w:hAnsi="Calibri" w:cs="Times New Roman"/>
          <w:kern w:val="2"/>
          <w:vertAlign w:val="superscript"/>
          <w:lang w:val="en-US" w:eastAsia="en-US"/>
          <w14:ligatures w14:val="standardContextual"/>
        </w:rPr>
        <w:footnoteReference w:id="54"/>
      </w:r>
      <w:r w:rsidRPr="008A4C44">
        <w:rPr>
          <w:rFonts w:ascii="Calibri" w:eastAsia="Aptos" w:hAnsi="Calibri" w:cs="Times New Roman"/>
          <w:kern w:val="2"/>
          <w:lang w:val="en-US" w:eastAsia="en-US"/>
          <w14:ligatures w14:val="standardContextual"/>
        </w:rPr>
        <w:t xml:space="preserve"> This is significantly less than the costs estimated for very small telecommunications providers adapting to the financial hardship standard. </w:t>
      </w:r>
    </w:p>
    <w:p w14:paraId="5485E6F2" w14:textId="11687942" w:rsidR="00934960" w:rsidRDefault="00AB2F73" w:rsidP="00AB2F73">
      <w:pPr>
        <w:spacing w:after="160" w:line="259" w:lineRule="auto"/>
        <w:rPr>
          <w:rFonts w:ascii="Calibri" w:eastAsia="Aptos" w:hAnsi="Calibri" w:cs="Times New Roman"/>
          <w:kern w:val="2"/>
          <w:lang w:val="en-US" w:eastAsia="en-US"/>
          <w14:ligatures w14:val="standardContextual"/>
        </w:rPr>
      </w:pPr>
      <w:r w:rsidRPr="008A4C44">
        <w:rPr>
          <w:rFonts w:ascii="Calibri" w:eastAsia="Aptos" w:hAnsi="Calibri" w:cs="Times New Roman"/>
          <w:kern w:val="2"/>
          <w:lang w:val="en-US" w:eastAsia="en-US"/>
          <w14:ligatures w14:val="standardContextual"/>
        </w:rPr>
        <w:t xml:space="preserve">ACCAN considers that appropriate industry implementation costs relating to a future industry standard concerning sales practices would be similar to the costs experienced by large, medium and small industry participants adapting to the financial hardship standard. Very small providers, which account for the majority of adaptation costs to the financial hardship standard are unlikely to be materially impacted by a sales practices </w:t>
      </w:r>
      <w:r w:rsidR="005353DA">
        <w:rPr>
          <w:rFonts w:ascii="Calibri" w:eastAsia="Aptos" w:hAnsi="Calibri" w:cs="Times New Roman"/>
          <w:kern w:val="2"/>
          <w:lang w:val="en-US" w:eastAsia="en-US"/>
          <w14:ligatures w14:val="standardContextual"/>
        </w:rPr>
        <w:t xml:space="preserve">industry </w:t>
      </w:r>
      <w:r w:rsidRPr="008A4C44">
        <w:rPr>
          <w:rFonts w:ascii="Calibri" w:eastAsia="Aptos" w:hAnsi="Calibri" w:cs="Times New Roman"/>
          <w:kern w:val="2"/>
          <w:lang w:val="en-US" w:eastAsia="en-US"/>
          <w14:ligatures w14:val="standardContextual"/>
        </w:rPr>
        <w:t xml:space="preserve">standard due to their lack of physical </w:t>
      </w:r>
      <w:r w:rsidR="0034517B">
        <w:rPr>
          <w:rFonts w:ascii="Calibri" w:eastAsia="Aptos" w:hAnsi="Calibri" w:cs="Times New Roman"/>
          <w:kern w:val="2"/>
          <w:lang w:val="en-US" w:eastAsia="en-US"/>
          <w14:ligatures w14:val="standardContextual"/>
        </w:rPr>
        <w:t xml:space="preserve">stores </w:t>
      </w:r>
      <w:r w:rsidRPr="008A4C44">
        <w:rPr>
          <w:rFonts w:ascii="Calibri" w:eastAsia="Aptos" w:hAnsi="Calibri" w:cs="Times New Roman"/>
          <w:kern w:val="2"/>
          <w:lang w:val="en-US" w:eastAsia="en-US"/>
          <w14:ligatures w14:val="standardContextual"/>
        </w:rPr>
        <w:t>and sales staff</w:t>
      </w:r>
      <w:r w:rsidR="0034517B">
        <w:rPr>
          <w:rFonts w:ascii="Calibri" w:eastAsia="Aptos" w:hAnsi="Calibri" w:cs="Times New Roman"/>
          <w:kern w:val="2"/>
          <w:lang w:val="en-US" w:eastAsia="en-US"/>
          <w14:ligatures w14:val="standardContextual"/>
        </w:rPr>
        <w:t xml:space="preserve"> interacting with customers. </w:t>
      </w:r>
    </w:p>
    <w:p w14:paraId="5BC0E4E6" w14:textId="77F926CB" w:rsidR="00934960" w:rsidRDefault="00C107C5" w:rsidP="00AF5417">
      <w:pPr>
        <w:spacing w:after="160" w:line="259" w:lineRule="auto"/>
        <w:rPr>
          <w:rFonts w:ascii="Calibri" w:eastAsia="Aptos" w:hAnsi="Calibri" w:cs="Times New Roman"/>
          <w:kern w:val="2"/>
          <w:lang w:val="en-US" w:eastAsia="en-US"/>
          <w14:ligatures w14:val="standardContextual"/>
        </w:rPr>
      </w:pPr>
      <w:r>
        <w:rPr>
          <w:rFonts w:ascii="Calibri" w:eastAsia="Aptos" w:hAnsi="Calibri" w:cs="Times New Roman"/>
          <w:kern w:val="2"/>
          <w:lang w:val="en-US" w:eastAsia="en-US"/>
          <w14:ligatures w14:val="standardContextual"/>
        </w:rPr>
        <w:t xml:space="preserve">The projected benefits from the </w:t>
      </w:r>
      <w:r w:rsidR="00666160">
        <w:rPr>
          <w:rFonts w:ascii="Calibri" w:eastAsia="Aptos" w:hAnsi="Calibri" w:cs="Times New Roman"/>
          <w:kern w:val="2"/>
          <w:lang w:val="en-US" w:eastAsia="en-US"/>
          <w14:ligatures w14:val="standardContextual"/>
        </w:rPr>
        <w:t>adaptation</w:t>
      </w:r>
      <w:r>
        <w:rPr>
          <w:rFonts w:ascii="Calibri" w:eastAsia="Aptos" w:hAnsi="Calibri" w:cs="Times New Roman"/>
          <w:kern w:val="2"/>
          <w:lang w:val="en-US" w:eastAsia="en-US"/>
          <w14:ligatures w14:val="standardContextual"/>
        </w:rPr>
        <w:t xml:space="preserve"> </w:t>
      </w:r>
      <w:r w:rsidR="00671676">
        <w:rPr>
          <w:rFonts w:ascii="Calibri" w:eastAsia="Aptos" w:hAnsi="Calibri" w:cs="Times New Roman"/>
          <w:kern w:val="2"/>
          <w:lang w:val="en-US" w:eastAsia="en-US"/>
          <w14:ligatures w14:val="standardContextual"/>
        </w:rPr>
        <w:t xml:space="preserve">to </w:t>
      </w:r>
      <w:r>
        <w:rPr>
          <w:rFonts w:ascii="Calibri" w:eastAsia="Aptos" w:hAnsi="Calibri" w:cs="Times New Roman"/>
          <w:kern w:val="2"/>
          <w:lang w:val="en-US" w:eastAsia="en-US"/>
          <w14:ligatures w14:val="standardContextual"/>
        </w:rPr>
        <w:t xml:space="preserve">direct regulation </w:t>
      </w:r>
      <w:r w:rsidR="007C17C6">
        <w:rPr>
          <w:rFonts w:ascii="Calibri" w:eastAsia="Aptos" w:hAnsi="Calibri" w:cs="Times New Roman"/>
          <w:kern w:val="2"/>
          <w:lang w:val="en-US" w:eastAsia="en-US"/>
          <w14:ligatures w14:val="standardContextual"/>
        </w:rPr>
        <w:t>regarding</w:t>
      </w:r>
      <w:r>
        <w:rPr>
          <w:rFonts w:ascii="Calibri" w:eastAsia="Aptos" w:hAnsi="Calibri" w:cs="Times New Roman"/>
          <w:kern w:val="2"/>
          <w:lang w:val="en-US" w:eastAsia="en-US"/>
          <w14:ligatures w14:val="standardContextual"/>
        </w:rPr>
        <w:t xml:space="preserve"> the financial hardship standard were noted as </w:t>
      </w:r>
      <w:r w:rsidR="00666160">
        <w:rPr>
          <w:rFonts w:ascii="Calibri" w:eastAsia="Aptos" w:hAnsi="Calibri" w:cs="Times New Roman"/>
          <w:kern w:val="2"/>
          <w:lang w:val="en-US" w:eastAsia="en-US"/>
          <w14:ligatures w14:val="standardContextual"/>
        </w:rPr>
        <w:t xml:space="preserve">producing </w:t>
      </w:r>
      <w:r w:rsidR="00760E2D">
        <w:rPr>
          <w:rFonts w:ascii="Calibri" w:eastAsia="Aptos" w:hAnsi="Calibri" w:cs="Times New Roman"/>
          <w:kern w:val="2"/>
          <w:lang w:val="en-US" w:eastAsia="en-US"/>
          <w14:ligatures w14:val="standardContextual"/>
        </w:rPr>
        <w:t>a benefit</w:t>
      </w:r>
      <w:r w:rsidR="00EA500E">
        <w:rPr>
          <w:rFonts w:ascii="Calibri" w:eastAsia="Aptos" w:hAnsi="Calibri" w:cs="Times New Roman"/>
          <w:kern w:val="2"/>
          <w:lang w:val="en-US" w:eastAsia="en-US"/>
          <w14:ligatures w14:val="standardContextual"/>
        </w:rPr>
        <w:t>-</w:t>
      </w:r>
      <w:r w:rsidR="00760E2D">
        <w:rPr>
          <w:rFonts w:ascii="Calibri" w:eastAsia="Aptos" w:hAnsi="Calibri" w:cs="Times New Roman"/>
          <w:kern w:val="2"/>
          <w:lang w:val="en-US" w:eastAsia="en-US"/>
          <w14:ligatures w14:val="standardContextual"/>
        </w:rPr>
        <w:t>cost ratio of 1.63</w:t>
      </w:r>
      <w:r w:rsidR="002A5F43">
        <w:rPr>
          <w:rFonts w:ascii="Calibri" w:eastAsia="Aptos" w:hAnsi="Calibri" w:cs="Times New Roman"/>
          <w:kern w:val="2"/>
          <w:lang w:val="en-US" w:eastAsia="en-US"/>
          <w14:ligatures w14:val="standardContextual"/>
        </w:rPr>
        <w:t xml:space="preserve">, in addition to decreasing </w:t>
      </w:r>
      <w:r w:rsidR="009C2491">
        <w:rPr>
          <w:rFonts w:ascii="Calibri" w:eastAsia="Aptos" w:hAnsi="Calibri" w:cs="Times New Roman"/>
          <w:kern w:val="2"/>
          <w:lang w:val="en-US" w:eastAsia="en-US"/>
          <w14:ligatures w14:val="standardContextual"/>
        </w:rPr>
        <w:t xml:space="preserve">‘costs for </w:t>
      </w:r>
      <w:r w:rsidR="002A5F43" w:rsidRPr="002A5F43">
        <w:rPr>
          <w:rFonts w:ascii="Calibri" w:eastAsia="Aptos" w:hAnsi="Calibri" w:cs="Times New Roman"/>
          <w:kern w:val="2"/>
          <w:lang w:eastAsia="en-US"/>
          <w14:ligatures w14:val="standardContextual"/>
        </w:rPr>
        <w:t>industry as well as the predicted reduction in costs for individuals</w:t>
      </w:r>
      <w:r w:rsidR="009C2491">
        <w:rPr>
          <w:rFonts w:ascii="Calibri" w:eastAsia="Aptos" w:hAnsi="Calibri" w:cs="Times New Roman"/>
          <w:kern w:val="2"/>
          <w:lang w:eastAsia="en-US"/>
          <w14:ligatures w14:val="standardContextual"/>
        </w:rPr>
        <w:t>’</w:t>
      </w:r>
      <w:r w:rsidR="002A5F43" w:rsidRPr="002A5F43">
        <w:rPr>
          <w:rFonts w:ascii="Calibri" w:eastAsia="Aptos" w:hAnsi="Calibri" w:cs="Times New Roman"/>
          <w:kern w:val="2"/>
          <w:lang w:eastAsia="en-US"/>
          <w14:ligatures w14:val="standardContextual"/>
        </w:rPr>
        <w:t>.</w:t>
      </w:r>
      <w:r w:rsidR="009C2491">
        <w:rPr>
          <w:rStyle w:val="FootnoteReference"/>
          <w:rFonts w:ascii="Calibri" w:eastAsia="Aptos" w:hAnsi="Calibri" w:cs="Times New Roman"/>
          <w:kern w:val="2"/>
          <w:lang w:eastAsia="en-US"/>
          <w14:ligatures w14:val="standardContextual"/>
        </w:rPr>
        <w:footnoteReference w:id="55"/>
      </w:r>
      <w:r w:rsidR="009C2491">
        <w:rPr>
          <w:rFonts w:ascii="Calibri" w:eastAsia="Aptos" w:hAnsi="Calibri" w:cs="Times New Roman"/>
          <w:kern w:val="2"/>
          <w:lang w:val="en-US" w:eastAsia="en-US"/>
          <w14:ligatures w14:val="standardContextual"/>
        </w:rPr>
        <w:t xml:space="preserve"> </w:t>
      </w:r>
      <w:r w:rsidR="00AB2F73" w:rsidRPr="008A4C44">
        <w:rPr>
          <w:rFonts w:ascii="Calibri" w:eastAsia="Aptos" w:hAnsi="Calibri" w:cs="Times New Roman"/>
          <w:kern w:val="2"/>
          <w:lang w:val="en-US" w:eastAsia="en-US"/>
          <w14:ligatures w14:val="standardContextual"/>
        </w:rPr>
        <w:t xml:space="preserve">Introducing direct regulation for sales incentives and practices would present numerous monetary and reputational savings and benefits to consumers, telecommunications providers, and regulators. </w:t>
      </w:r>
    </w:p>
    <w:p w14:paraId="6AD7C81F" w14:textId="77777777" w:rsidR="00856D6D" w:rsidRDefault="00856D6D" w:rsidP="00AF5417">
      <w:pPr>
        <w:spacing w:after="160" w:line="259" w:lineRule="auto"/>
        <w:rPr>
          <w:rFonts w:ascii="Calibri" w:eastAsia="Aptos" w:hAnsi="Calibri" w:cs="Times New Roman"/>
          <w:kern w:val="2"/>
          <w:lang w:val="en-US" w:eastAsia="en-US"/>
          <w14:ligatures w14:val="standardContextual"/>
        </w:rPr>
      </w:pPr>
    </w:p>
    <w:p w14:paraId="7D062BCB" w14:textId="77777777" w:rsidR="00856D6D" w:rsidRDefault="00856D6D" w:rsidP="00AF5417">
      <w:pPr>
        <w:spacing w:after="160" w:line="259" w:lineRule="auto"/>
        <w:rPr>
          <w:rFonts w:ascii="Calibri" w:eastAsia="Aptos" w:hAnsi="Calibri" w:cs="Times New Roman"/>
          <w:kern w:val="2"/>
          <w:lang w:val="en-US" w:eastAsia="en-US"/>
          <w14:ligatures w14:val="standardContextual"/>
        </w:rPr>
      </w:pPr>
    </w:p>
    <w:p w14:paraId="08E3C1E2" w14:textId="39570E00" w:rsidR="00AB2F73" w:rsidRPr="00F41910" w:rsidRDefault="00AB2F73" w:rsidP="00AF5417">
      <w:pPr>
        <w:spacing w:after="160" w:line="259" w:lineRule="auto"/>
        <w:rPr>
          <w:rFonts w:ascii="Calibri" w:eastAsia="Aptos" w:hAnsi="Calibri" w:cs="Times New Roman"/>
          <w:kern w:val="2"/>
          <w:lang w:val="en-US" w:eastAsia="en-US"/>
          <w14:ligatures w14:val="standardContextual"/>
        </w:rPr>
      </w:pPr>
      <w:r w:rsidRPr="008A4C44">
        <w:rPr>
          <w:lang w:val="en-US" w:eastAsia="en-US"/>
        </w:rPr>
        <w:lastRenderedPageBreak/>
        <w:t>These savings include:</w:t>
      </w:r>
    </w:p>
    <w:p w14:paraId="2491B865" w14:textId="596FD237" w:rsidR="00AB2F73" w:rsidRDefault="00293C28" w:rsidP="00AB2F73">
      <w:pPr>
        <w:pStyle w:val="ListParagraph"/>
        <w:numPr>
          <w:ilvl w:val="0"/>
          <w:numId w:val="25"/>
        </w:numPr>
        <w:rPr>
          <w:lang w:val="en-US" w:eastAsia="en-US"/>
        </w:rPr>
      </w:pPr>
      <w:r>
        <w:rPr>
          <w:lang w:val="en-US" w:eastAsia="en-US"/>
        </w:rPr>
        <w:t>S</w:t>
      </w:r>
      <w:r w:rsidR="00AB2F73" w:rsidRPr="00200474">
        <w:rPr>
          <w:lang w:val="en-US" w:eastAsia="en-US"/>
        </w:rPr>
        <w:t>avings experienced by consumers</w:t>
      </w:r>
      <w:r w:rsidR="0021632D">
        <w:rPr>
          <w:lang w:val="en-US" w:eastAsia="en-US"/>
        </w:rPr>
        <w:t xml:space="preserve">, </w:t>
      </w:r>
      <w:r w:rsidR="00AB2F73" w:rsidRPr="00200474">
        <w:rPr>
          <w:lang w:val="en-US" w:eastAsia="en-US"/>
        </w:rPr>
        <w:t xml:space="preserve">telecommunications providers </w:t>
      </w:r>
      <w:r w:rsidR="0021632D">
        <w:rPr>
          <w:lang w:val="en-US" w:eastAsia="en-US"/>
        </w:rPr>
        <w:t xml:space="preserve">and the TIO </w:t>
      </w:r>
      <w:r w:rsidR="00AB2F73" w:rsidRPr="00200474">
        <w:rPr>
          <w:lang w:val="en-US" w:eastAsia="en-US"/>
        </w:rPr>
        <w:t>from reductions in complaint activity</w:t>
      </w:r>
      <w:r w:rsidR="0021632D">
        <w:rPr>
          <w:lang w:val="en-US" w:eastAsia="en-US"/>
        </w:rPr>
        <w:t xml:space="preserve"> and associated administrative and operational processes</w:t>
      </w:r>
      <w:r w:rsidR="00AB2F73" w:rsidRPr="00200474">
        <w:rPr>
          <w:lang w:val="en-US" w:eastAsia="en-US"/>
        </w:rPr>
        <w:t>.</w:t>
      </w:r>
      <w:r w:rsidR="004A10D2">
        <w:rPr>
          <w:rStyle w:val="FootnoteReference"/>
          <w:lang w:val="en-US" w:eastAsia="en-US"/>
        </w:rPr>
        <w:footnoteReference w:id="56"/>
      </w:r>
      <w:r w:rsidR="00AB2F73" w:rsidRPr="00200474">
        <w:rPr>
          <w:lang w:val="en-US" w:eastAsia="en-US"/>
        </w:rPr>
        <w:t xml:space="preserve"> </w:t>
      </w:r>
    </w:p>
    <w:p w14:paraId="055BC480" w14:textId="568C62BC" w:rsidR="00AB2F73" w:rsidRDefault="00AB2F73" w:rsidP="00AB2F73">
      <w:pPr>
        <w:pStyle w:val="ListParagraph"/>
        <w:numPr>
          <w:ilvl w:val="0"/>
          <w:numId w:val="25"/>
        </w:numPr>
        <w:rPr>
          <w:lang w:val="en-US" w:eastAsia="en-US"/>
        </w:rPr>
      </w:pPr>
      <w:r w:rsidRPr="00200474">
        <w:rPr>
          <w:lang w:val="en-US" w:eastAsia="en-US"/>
        </w:rPr>
        <w:t>Fewer consumers enter</w:t>
      </w:r>
      <w:r w:rsidR="00293C28">
        <w:rPr>
          <w:lang w:val="en-US" w:eastAsia="en-US"/>
        </w:rPr>
        <w:t>ing into</w:t>
      </w:r>
      <w:r w:rsidRPr="00200474">
        <w:rPr>
          <w:lang w:val="en-US" w:eastAsia="en-US"/>
        </w:rPr>
        <w:t xml:space="preserve"> telecommunications debt</w:t>
      </w:r>
      <w:r w:rsidR="00293C28">
        <w:rPr>
          <w:lang w:val="en-US" w:eastAsia="en-US"/>
        </w:rPr>
        <w:t xml:space="preserve"> as a result of irresponsible sales.</w:t>
      </w:r>
      <w:r w:rsidR="001A1BDB">
        <w:rPr>
          <w:rStyle w:val="FootnoteReference"/>
          <w:lang w:val="en-US" w:eastAsia="en-US"/>
        </w:rPr>
        <w:footnoteReference w:id="57"/>
      </w:r>
    </w:p>
    <w:p w14:paraId="61724F0D" w14:textId="77777777" w:rsidR="00AB2F73" w:rsidRPr="008A4C44" w:rsidRDefault="00AB2F73" w:rsidP="00AB2F73">
      <w:pPr>
        <w:rPr>
          <w:lang w:val="en-US" w:eastAsia="en-US"/>
        </w:rPr>
      </w:pPr>
      <w:r w:rsidRPr="008A4C44">
        <w:rPr>
          <w:lang w:val="en-US" w:eastAsia="en-US"/>
        </w:rPr>
        <w:t xml:space="preserve">As a result of the direct regulation of sales practices, telecommunications providers would experience savings through: </w:t>
      </w:r>
    </w:p>
    <w:p w14:paraId="794F96DC" w14:textId="39C80304" w:rsidR="00AB2F73" w:rsidRDefault="00AB2F73" w:rsidP="00AB2F73">
      <w:pPr>
        <w:pStyle w:val="ListParagraph"/>
        <w:numPr>
          <w:ilvl w:val="0"/>
          <w:numId w:val="24"/>
        </w:numPr>
        <w:rPr>
          <w:lang w:val="en-US" w:eastAsia="en-US"/>
        </w:rPr>
      </w:pPr>
      <w:r w:rsidRPr="0034250E">
        <w:rPr>
          <w:lang w:val="en-US" w:eastAsia="en-US"/>
        </w:rPr>
        <w:t xml:space="preserve">Fewer instances of </w:t>
      </w:r>
      <w:r w:rsidR="009C5251">
        <w:rPr>
          <w:lang w:val="en-US" w:eastAsia="en-US"/>
        </w:rPr>
        <w:t>credit</w:t>
      </w:r>
      <w:r w:rsidRPr="0034250E">
        <w:rPr>
          <w:lang w:val="en-US" w:eastAsia="en-US"/>
        </w:rPr>
        <w:t xml:space="preserve"> </w:t>
      </w:r>
      <w:r w:rsidR="0075547D">
        <w:rPr>
          <w:lang w:val="en-US" w:eastAsia="en-US"/>
        </w:rPr>
        <w:t xml:space="preserve">action taken </w:t>
      </w:r>
      <w:r w:rsidRPr="0034250E">
        <w:rPr>
          <w:lang w:val="en-US" w:eastAsia="en-US"/>
        </w:rPr>
        <w:t>against consumers</w:t>
      </w:r>
      <w:r w:rsidR="0075547D">
        <w:rPr>
          <w:lang w:val="en-US" w:eastAsia="en-US"/>
        </w:rPr>
        <w:t xml:space="preserve">. </w:t>
      </w:r>
    </w:p>
    <w:p w14:paraId="7D5B80C3" w14:textId="77777777" w:rsidR="00AB2F73" w:rsidRDefault="00AB2F73" w:rsidP="00AB2F73">
      <w:pPr>
        <w:pStyle w:val="ListParagraph"/>
        <w:numPr>
          <w:ilvl w:val="0"/>
          <w:numId w:val="24"/>
        </w:numPr>
        <w:rPr>
          <w:lang w:val="en-US" w:eastAsia="en-US"/>
        </w:rPr>
      </w:pPr>
      <w:r w:rsidRPr="0034250E">
        <w:rPr>
          <w:lang w:val="en-US" w:eastAsia="en-US"/>
        </w:rPr>
        <w:t xml:space="preserve">Decreased consumer engagement with dedicated financial hardship support teams as a result of consumers being less likely to enter into financial hardship. </w:t>
      </w:r>
    </w:p>
    <w:p w14:paraId="38E032D3" w14:textId="22EF9114" w:rsidR="00216438" w:rsidRDefault="00AB2F73" w:rsidP="00216438">
      <w:pPr>
        <w:pStyle w:val="ListParagraph"/>
        <w:numPr>
          <w:ilvl w:val="0"/>
          <w:numId w:val="24"/>
        </w:numPr>
        <w:rPr>
          <w:lang w:val="en-US" w:eastAsia="en-US"/>
        </w:rPr>
      </w:pPr>
      <w:r w:rsidRPr="0034250E">
        <w:rPr>
          <w:lang w:val="en-US" w:eastAsia="en-US"/>
        </w:rPr>
        <w:t>Improved consumer engagement and retention as a result of improved consumer trust stemming from more positive in</w:t>
      </w:r>
      <w:r w:rsidR="0075547D">
        <w:rPr>
          <w:lang w:val="en-US" w:eastAsia="en-US"/>
        </w:rPr>
        <w:t>-</w:t>
      </w:r>
      <w:r w:rsidRPr="0034250E">
        <w:rPr>
          <w:lang w:val="en-US" w:eastAsia="en-US"/>
        </w:rPr>
        <w:t>store interactions</w:t>
      </w:r>
      <w:r w:rsidR="009C5251">
        <w:rPr>
          <w:lang w:val="en-US" w:eastAsia="en-US"/>
        </w:rPr>
        <w:t xml:space="preserve">. </w:t>
      </w:r>
    </w:p>
    <w:p w14:paraId="2EB40381" w14:textId="3AC47B6B" w:rsidR="005C3746" w:rsidRDefault="00590EC1" w:rsidP="005C3746">
      <w:pPr>
        <w:pStyle w:val="Heading1"/>
        <w:rPr>
          <w:lang w:val="en-US" w:eastAsia="en-US"/>
        </w:rPr>
      </w:pPr>
      <w:bookmarkStart w:id="17" w:name="_Toc184811985"/>
      <w:r>
        <w:rPr>
          <w:lang w:val="en-US" w:eastAsia="en-US"/>
        </w:rPr>
        <w:t>Supporting a</w:t>
      </w:r>
      <w:r w:rsidR="005C3746">
        <w:rPr>
          <w:lang w:val="en-US" w:eastAsia="en-US"/>
        </w:rPr>
        <w:t>ccessible and</w:t>
      </w:r>
      <w:r>
        <w:rPr>
          <w:lang w:val="en-US" w:eastAsia="en-US"/>
        </w:rPr>
        <w:t xml:space="preserve"> i</w:t>
      </w:r>
      <w:r w:rsidR="005C3746">
        <w:rPr>
          <w:lang w:val="en-US" w:eastAsia="en-US"/>
        </w:rPr>
        <w:t xml:space="preserve">nclusive </w:t>
      </w:r>
      <w:r>
        <w:rPr>
          <w:lang w:val="en-US" w:eastAsia="en-US"/>
        </w:rPr>
        <w:t>c</w:t>
      </w:r>
      <w:r w:rsidR="005C3746">
        <w:rPr>
          <w:lang w:val="en-US" w:eastAsia="en-US"/>
        </w:rPr>
        <w:t>ommunications</w:t>
      </w:r>
      <w:bookmarkEnd w:id="17"/>
      <w:r w:rsidR="005C3746">
        <w:rPr>
          <w:lang w:val="en-US" w:eastAsia="en-US"/>
        </w:rPr>
        <w:t xml:space="preserve"> </w:t>
      </w:r>
    </w:p>
    <w:p w14:paraId="08A7BD11" w14:textId="5698C8C0" w:rsidR="00AC36FF" w:rsidRPr="000A7642" w:rsidRDefault="00AC36FF" w:rsidP="00F41910">
      <w:pPr>
        <w:pStyle w:val="Heading3"/>
      </w:pPr>
      <w:bookmarkStart w:id="18" w:name="_Toc184811986"/>
      <w:r w:rsidRPr="00F41910">
        <w:rPr>
          <w:b/>
          <w:bCs w:val="0"/>
        </w:rPr>
        <w:t>Accessible Telecoms</w:t>
      </w:r>
      <w:bookmarkEnd w:id="18"/>
    </w:p>
    <w:p w14:paraId="5A5C929D" w14:textId="05FA4A75" w:rsidR="00C608FD" w:rsidRDefault="0030302C" w:rsidP="0030302C">
      <w:pPr>
        <w:rPr>
          <w:lang w:eastAsia="en-US"/>
        </w:rPr>
      </w:pPr>
      <w:r>
        <w:rPr>
          <w:lang w:eastAsia="en-US"/>
        </w:rPr>
        <w:t xml:space="preserve">Accessible Telecoms is a free and independent services which provides consumers with up-to-date information on telecommunication products and services that are suitable for seniors and people with </w:t>
      </w:r>
      <w:r w:rsidR="61D84EAD" w:rsidRPr="61BF5CE7">
        <w:rPr>
          <w:lang w:eastAsia="en-US"/>
        </w:rPr>
        <w:t>disability</w:t>
      </w:r>
      <w:r>
        <w:rPr>
          <w:lang w:eastAsia="en-US"/>
        </w:rPr>
        <w:t>.</w:t>
      </w:r>
      <w:r>
        <w:rPr>
          <w:rStyle w:val="FootnoteReference"/>
          <w:lang w:eastAsia="en-US"/>
        </w:rPr>
        <w:footnoteReference w:id="58"/>
      </w:r>
      <w:r>
        <w:rPr>
          <w:lang w:eastAsia="en-US"/>
        </w:rPr>
        <w:t xml:space="preserve"> </w:t>
      </w:r>
      <w:r w:rsidR="00C608FD" w:rsidRPr="00C608FD">
        <w:rPr>
          <w:lang w:eastAsia="en-US"/>
        </w:rPr>
        <w:t>This free service helps to address the lack of consolidated, independent and up-to-date information about accessibility, particularly for people with disability and seniors.</w:t>
      </w:r>
    </w:p>
    <w:p w14:paraId="428BF1FC" w14:textId="3CDBE13C" w:rsidR="00583665" w:rsidRDefault="007502BA" w:rsidP="0030302C">
      <w:pPr>
        <w:rPr>
          <w:lang w:eastAsia="en-US"/>
        </w:rPr>
      </w:pPr>
      <w:r>
        <w:rPr>
          <w:lang w:eastAsia="en-US"/>
        </w:rPr>
        <w:t xml:space="preserve">The Accessible Telecoms website: </w:t>
      </w:r>
    </w:p>
    <w:p w14:paraId="7D9A59E6" w14:textId="2BCBC333" w:rsidR="00AC36FF" w:rsidRDefault="004F7DFF" w:rsidP="004F7DFF">
      <w:pPr>
        <w:pStyle w:val="ListParagraph"/>
        <w:numPr>
          <w:ilvl w:val="0"/>
          <w:numId w:val="26"/>
        </w:numPr>
        <w:rPr>
          <w:lang w:eastAsia="en-US"/>
        </w:rPr>
      </w:pPr>
      <w:r>
        <w:rPr>
          <w:lang w:eastAsia="en-US"/>
        </w:rPr>
        <w:t>Receives more than 10,</w:t>
      </w:r>
      <w:r w:rsidR="3478FE04" w:rsidRPr="52558AE5">
        <w:rPr>
          <w:lang w:eastAsia="en-US"/>
        </w:rPr>
        <w:t>1</w:t>
      </w:r>
      <w:r>
        <w:rPr>
          <w:lang w:eastAsia="en-US"/>
        </w:rPr>
        <w:t>00 unique users per month.</w:t>
      </w:r>
    </w:p>
    <w:p w14:paraId="54A59EB6" w14:textId="17AFCDB7" w:rsidR="00AC36FF" w:rsidRDefault="004F7DFF" w:rsidP="00F41910">
      <w:pPr>
        <w:pStyle w:val="ListParagraph"/>
        <w:numPr>
          <w:ilvl w:val="0"/>
          <w:numId w:val="26"/>
        </w:numPr>
        <w:rPr>
          <w:lang w:eastAsia="en-US"/>
        </w:rPr>
      </w:pPr>
      <w:r>
        <w:rPr>
          <w:lang w:eastAsia="en-US"/>
        </w:rPr>
        <w:t xml:space="preserve">Received more than </w:t>
      </w:r>
      <w:r w:rsidR="53587569" w:rsidRPr="3115BAB6">
        <w:rPr>
          <w:lang w:eastAsia="en-US"/>
        </w:rPr>
        <w:t>15</w:t>
      </w:r>
      <w:r w:rsidRPr="3115BAB6">
        <w:rPr>
          <w:lang w:eastAsia="en-US"/>
        </w:rPr>
        <w:t>,</w:t>
      </w:r>
      <w:r w:rsidR="3FE034FB" w:rsidRPr="3115BAB6">
        <w:rPr>
          <w:lang w:eastAsia="en-US"/>
        </w:rPr>
        <w:t>5</w:t>
      </w:r>
      <w:r>
        <w:rPr>
          <w:lang w:eastAsia="en-US"/>
        </w:rPr>
        <w:t>00 unique website views per month.</w:t>
      </w:r>
    </w:p>
    <w:p w14:paraId="1C10585B" w14:textId="3A158115" w:rsidR="00A60CD9" w:rsidRPr="00F41910" w:rsidRDefault="00AC36FF" w:rsidP="00AC36FF">
      <w:pPr>
        <w:rPr>
          <w:b/>
          <w:bCs/>
          <w:lang w:eastAsia="en-US"/>
        </w:rPr>
      </w:pPr>
      <w:r w:rsidRPr="00F41910">
        <w:rPr>
          <w:b/>
          <w:bCs/>
          <w:lang w:eastAsia="en-US"/>
        </w:rPr>
        <w:t xml:space="preserve">The estimated investment </w:t>
      </w:r>
    </w:p>
    <w:p w14:paraId="1DEDEE24" w14:textId="0D680AC2" w:rsidR="009E28CD" w:rsidRDefault="00B8133F" w:rsidP="00492C70">
      <w:pPr>
        <w:rPr>
          <w:lang w:eastAsia="en-US"/>
        </w:rPr>
      </w:pPr>
      <w:r>
        <w:rPr>
          <w:lang w:eastAsia="en-US"/>
        </w:rPr>
        <w:t xml:space="preserve">ACCAN’s existing funding has enabled ACCAN to </w:t>
      </w:r>
      <w:r w:rsidRPr="0047730C">
        <w:rPr>
          <w:lang w:eastAsia="en-US"/>
        </w:rPr>
        <w:t>strengthen A</w:t>
      </w:r>
      <w:r w:rsidR="0010361E">
        <w:rPr>
          <w:lang w:eastAsia="en-US"/>
        </w:rPr>
        <w:t xml:space="preserve">ccessible </w:t>
      </w:r>
      <w:r w:rsidRPr="0047730C">
        <w:rPr>
          <w:lang w:eastAsia="en-US"/>
        </w:rPr>
        <w:t>T</w:t>
      </w:r>
      <w:r w:rsidR="0010361E">
        <w:rPr>
          <w:lang w:eastAsia="en-US"/>
        </w:rPr>
        <w:t>elecoms</w:t>
      </w:r>
      <w:r w:rsidRPr="0047730C">
        <w:rPr>
          <w:lang w:eastAsia="en-US"/>
        </w:rPr>
        <w:t xml:space="preserve"> to better meet consumer demand</w:t>
      </w:r>
      <w:r>
        <w:rPr>
          <w:lang w:eastAsia="en-US"/>
        </w:rPr>
        <w:t xml:space="preserve">. </w:t>
      </w:r>
      <w:r w:rsidR="002C00E4">
        <w:rPr>
          <w:lang w:eastAsia="en-US"/>
        </w:rPr>
        <w:t xml:space="preserve">ACCAN considers that continued funding for the </w:t>
      </w:r>
      <w:r w:rsidR="004A2A7C">
        <w:rPr>
          <w:lang w:eastAsia="en-US"/>
        </w:rPr>
        <w:t>A</w:t>
      </w:r>
      <w:r w:rsidR="002C00E4">
        <w:rPr>
          <w:lang w:eastAsia="en-US"/>
        </w:rPr>
        <w:t xml:space="preserve">ccessible </w:t>
      </w:r>
      <w:r w:rsidR="004A2A7C">
        <w:rPr>
          <w:lang w:eastAsia="en-US"/>
        </w:rPr>
        <w:t>T</w:t>
      </w:r>
      <w:r w:rsidR="00E90D4E">
        <w:rPr>
          <w:lang w:eastAsia="en-US"/>
        </w:rPr>
        <w:t>elecoms project</w:t>
      </w:r>
      <w:r w:rsidR="00F223DB">
        <w:rPr>
          <w:lang w:eastAsia="en-US"/>
        </w:rPr>
        <w:t xml:space="preserve"> will support digital inclusion for communications consumers living with a disability in line with state and federal digital inclusion and transformation strategies. </w:t>
      </w:r>
      <w:r w:rsidR="00346E36" w:rsidRPr="00346E36">
        <w:rPr>
          <w:lang w:eastAsia="en-US"/>
        </w:rPr>
        <w:t xml:space="preserve">Inaccessible communications technologies exclude people with disability from accessing education, employment, health, and social opportunities </w:t>
      </w:r>
      <w:r w:rsidR="00B162D8">
        <w:rPr>
          <w:lang w:eastAsia="en-US"/>
        </w:rPr>
        <w:t>that exist in the digital economy</w:t>
      </w:r>
      <w:r w:rsidR="00346E36" w:rsidRPr="00346E36">
        <w:rPr>
          <w:lang w:eastAsia="en-US"/>
        </w:rPr>
        <w:t xml:space="preserve">. </w:t>
      </w:r>
    </w:p>
    <w:p w14:paraId="498CEDC6" w14:textId="526DC397" w:rsidR="00AC36FF" w:rsidRPr="00F41910" w:rsidRDefault="00AC36FF" w:rsidP="00F41910">
      <w:pPr>
        <w:pStyle w:val="Heading3"/>
        <w:rPr>
          <w:b/>
        </w:rPr>
      </w:pPr>
      <w:bookmarkStart w:id="19" w:name="_Toc184811987"/>
      <w:r w:rsidRPr="00F41910">
        <w:rPr>
          <w:b/>
          <w:bCs w:val="0"/>
        </w:rPr>
        <w:t>Accessible online services</w:t>
      </w:r>
      <w:bookmarkEnd w:id="19"/>
      <w:r w:rsidRPr="00F41910">
        <w:rPr>
          <w:b/>
          <w:bCs w:val="0"/>
        </w:rPr>
        <w:t xml:space="preserve"> </w:t>
      </w:r>
    </w:p>
    <w:p w14:paraId="26611886" w14:textId="77777777" w:rsidR="004A2A7C" w:rsidRDefault="00346E36" w:rsidP="00492C70">
      <w:pPr>
        <w:rPr>
          <w:lang w:eastAsia="en-US"/>
        </w:rPr>
      </w:pPr>
      <w:r w:rsidRPr="00346E36">
        <w:rPr>
          <w:lang w:eastAsia="en-US"/>
        </w:rPr>
        <w:t>Online information and services, especially those provided by government agencies, need to be presented in a variety of accessible formats (Auslan, Braille, Plain Language, different community languages).</w:t>
      </w:r>
      <w:r w:rsidR="00080BAE">
        <w:rPr>
          <w:rStyle w:val="FootnoteReference"/>
          <w:lang w:eastAsia="en-US"/>
        </w:rPr>
        <w:footnoteReference w:id="59"/>
      </w:r>
      <w:r w:rsidR="00C92AEA">
        <w:t xml:space="preserve"> </w:t>
      </w:r>
      <w:r w:rsidR="003B18D7" w:rsidRPr="003B18D7">
        <w:rPr>
          <w:lang w:eastAsia="en-US"/>
        </w:rPr>
        <w:t>We consider that these information sources should be compliant with the highest Web Content Accessibility Guidelines (</w:t>
      </w:r>
      <w:r w:rsidR="003B18D7" w:rsidRPr="00AF5417">
        <w:rPr>
          <w:b/>
          <w:bCs/>
          <w:lang w:eastAsia="en-US"/>
        </w:rPr>
        <w:t>WCAG</w:t>
      </w:r>
      <w:r w:rsidR="003B18D7" w:rsidRPr="003B18D7">
        <w:rPr>
          <w:lang w:eastAsia="en-US"/>
        </w:rPr>
        <w:t>).</w:t>
      </w:r>
      <w:r w:rsidR="00C92AEA">
        <w:rPr>
          <w:lang w:eastAsia="en-US"/>
        </w:rPr>
        <w:t xml:space="preserve"> </w:t>
      </w:r>
    </w:p>
    <w:p w14:paraId="647BCBCE" w14:textId="77777777" w:rsidR="00A52473" w:rsidRDefault="00A65DDB" w:rsidP="00492C70">
      <w:pPr>
        <w:rPr>
          <w:lang w:eastAsia="en-US"/>
        </w:rPr>
      </w:pPr>
      <w:r>
        <w:rPr>
          <w:lang w:eastAsia="en-US"/>
        </w:rPr>
        <w:lastRenderedPageBreak/>
        <w:t>ACCAN considers that every</w:t>
      </w:r>
      <w:r w:rsidRPr="00A65DDB">
        <w:rPr>
          <w:lang w:eastAsia="en-US"/>
        </w:rPr>
        <w:t xml:space="preserve"> government website must be presented in a variety of accessible formats </w:t>
      </w:r>
      <w:r w:rsidR="00367FCC" w:rsidRPr="00A65DDB">
        <w:rPr>
          <w:lang w:eastAsia="en-US"/>
        </w:rPr>
        <w:t>to</w:t>
      </w:r>
      <w:r w:rsidRPr="00A65DDB">
        <w:rPr>
          <w:lang w:eastAsia="en-US"/>
        </w:rPr>
        <w:t xml:space="preserve"> meet the expectations of Australians</w:t>
      </w:r>
      <w:r>
        <w:rPr>
          <w:lang w:eastAsia="en-US"/>
        </w:rPr>
        <w:t xml:space="preserve"> living with a disability</w:t>
      </w:r>
      <w:r w:rsidRPr="00A65DDB">
        <w:rPr>
          <w:lang w:eastAsia="en-US"/>
        </w:rPr>
        <w:t xml:space="preserve">. </w:t>
      </w:r>
      <w:r w:rsidR="00CE6E7D">
        <w:rPr>
          <w:lang w:eastAsia="en-US"/>
        </w:rPr>
        <w:t xml:space="preserve">To achieve this, ACCAN considers that the Australian </w:t>
      </w:r>
      <w:r w:rsidR="00A37E13">
        <w:rPr>
          <w:lang w:eastAsia="en-US"/>
        </w:rPr>
        <w:t>G</w:t>
      </w:r>
      <w:r w:rsidR="00CE6E7D">
        <w:rPr>
          <w:lang w:eastAsia="en-US"/>
        </w:rPr>
        <w:t xml:space="preserve">overnment should </w:t>
      </w:r>
      <w:bookmarkStart w:id="20" w:name="_Hlk184213740"/>
      <w:r w:rsidR="00CE6E7D">
        <w:rPr>
          <w:lang w:eastAsia="en-US"/>
        </w:rPr>
        <w:t>allocate funding to ensure government websites are compliant with the WCAG 2.1 AA and successor standards</w:t>
      </w:r>
      <w:bookmarkEnd w:id="20"/>
      <w:r w:rsidR="00CE6E7D">
        <w:rPr>
          <w:lang w:eastAsia="en-US"/>
        </w:rPr>
        <w:t>.</w:t>
      </w:r>
      <w:r w:rsidR="00CE6E7D">
        <w:rPr>
          <w:rStyle w:val="FootnoteReference"/>
          <w:lang w:eastAsia="en-US"/>
        </w:rPr>
        <w:footnoteReference w:id="60"/>
      </w:r>
      <w:r w:rsidR="006B20F4">
        <w:rPr>
          <w:lang w:eastAsia="en-US"/>
        </w:rPr>
        <w:t xml:space="preserve"> </w:t>
      </w:r>
    </w:p>
    <w:p w14:paraId="01F5A4EC" w14:textId="62BD6BF3" w:rsidR="00366C5B" w:rsidRDefault="00A65DDB" w:rsidP="00366C5B">
      <w:pPr>
        <w:rPr>
          <w:lang w:eastAsia="en-US"/>
        </w:rPr>
      </w:pPr>
      <w:r w:rsidRPr="00A65DDB">
        <w:rPr>
          <w:lang w:eastAsia="en-US"/>
        </w:rPr>
        <w:t>Additionally, ACCAN considers that the Federal Government should allocate funding towards the development of a national plan to promote accessible information and communications</w:t>
      </w:r>
      <w:r>
        <w:rPr>
          <w:lang w:eastAsia="en-US"/>
        </w:rPr>
        <w:t>.</w:t>
      </w:r>
      <w:r>
        <w:rPr>
          <w:rStyle w:val="FootnoteReference"/>
          <w:lang w:eastAsia="en-US"/>
        </w:rPr>
        <w:footnoteReference w:id="61"/>
      </w:r>
      <w:r w:rsidR="006B20F4">
        <w:rPr>
          <w:lang w:eastAsia="en-US"/>
        </w:rPr>
        <w:t xml:space="preserve"> </w:t>
      </w:r>
      <w:r w:rsidR="00370B19">
        <w:rPr>
          <w:lang w:eastAsia="en-US"/>
        </w:rPr>
        <w:t xml:space="preserve">ACCAN notes that </w:t>
      </w:r>
      <w:r w:rsidR="00366C5B">
        <w:rPr>
          <w:lang w:eastAsia="en-US"/>
        </w:rPr>
        <w:t>at present there are no formally recognised qualifications or education pathways to develop expertise in d</w:t>
      </w:r>
      <w:r w:rsidR="00366C5B" w:rsidRPr="00366C5B">
        <w:rPr>
          <w:lang w:eastAsia="en-US"/>
        </w:rPr>
        <w:t>eveloping and auditing accessible websites, documents</w:t>
      </w:r>
      <w:r w:rsidR="00366C5B">
        <w:rPr>
          <w:lang w:eastAsia="en-US"/>
        </w:rPr>
        <w:t xml:space="preserve"> and</w:t>
      </w:r>
      <w:r w:rsidR="00366C5B" w:rsidRPr="00366C5B">
        <w:rPr>
          <w:lang w:eastAsia="en-US"/>
        </w:rPr>
        <w:t xml:space="preserve"> services</w:t>
      </w:r>
      <w:r w:rsidR="00366C5B">
        <w:rPr>
          <w:lang w:eastAsia="en-US"/>
        </w:rPr>
        <w:t>.</w:t>
      </w:r>
      <w:r w:rsidR="00366C5B">
        <w:rPr>
          <w:rStyle w:val="FootnoteReference"/>
          <w:lang w:eastAsia="en-US"/>
        </w:rPr>
        <w:footnoteReference w:id="62"/>
      </w:r>
      <w:r w:rsidR="00492C70">
        <w:rPr>
          <w:lang w:eastAsia="en-US"/>
        </w:rPr>
        <w:t xml:space="preserve"> To address this, ACCAN previously recommended the Australian Government encourage activities that evaluate, inform and guide the accessibility workforce to be appropriately prepared for </w:t>
      </w:r>
      <w:r w:rsidR="006E001F">
        <w:rPr>
          <w:lang w:eastAsia="en-US"/>
        </w:rPr>
        <w:t xml:space="preserve">an increase in </w:t>
      </w:r>
      <w:r w:rsidR="00492C70">
        <w:rPr>
          <w:lang w:eastAsia="en-US"/>
        </w:rPr>
        <w:t xml:space="preserve">the </w:t>
      </w:r>
      <w:r w:rsidR="006E001F">
        <w:rPr>
          <w:lang w:eastAsia="en-US"/>
        </w:rPr>
        <w:t>demand for accessibility specialists</w:t>
      </w:r>
      <w:r w:rsidR="00492C70">
        <w:rPr>
          <w:lang w:eastAsia="en-US"/>
        </w:rPr>
        <w:t xml:space="preserve"> as Australia continues to undergo a digital transformation and potential legislative reform.</w:t>
      </w:r>
      <w:r w:rsidR="00492C70">
        <w:rPr>
          <w:rStyle w:val="FootnoteReference"/>
          <w:lang w:eastAsia="en-US"/>
        </w:rPr>
        <w:footnoteReference w:id="63"/>
      </w:r>
    </w:p>
    <w:p w14:paraId="1F58D55B" w14:textId="7A401CEA" w:rsidR="00236D26" w:rsidRDefault="00236D26" w:rsidP="00236D26">
      <w:pPr>
        <w:pStyle w:val="Heading1"/>
      </w:pPr>
      <w:bookmarkStart w:id="21" w:name="_Toc184811988"/>
      <w:r>
        <w:t>Conclusion</w:t>
      </w:r>
      <w:bookmarkEnd w:id="21"/>
      <w:r>
        <w:t xml:space="preserve"> </w:t>
      </w:r>
    </w:p>
    <w:p w14:paraId="75546F66" w14:textId="58293161" w:rsidR="00C3602C" w:rsidRDefault="00C3602C" w:rsidP="00C3602C">
      <w:r>
        <w:t xml:space="preserve">ACCAN urges the Treasury to act on our recommendations to address the challenges faced by communications consumers in Australia. Addressing these challenges will improve the affordability and reliability of communications in Australia. </w:t>
      </w:r>
    </w:p>
    <w:p w14:paraId="13096187" w14:textId="5A13A3D4" w:rsidR="00DC13F4" w:rsidRPr="002C0AE1" w:rsidRDefault="002C0AE1" w:rsidP="001D7EA1">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00F86EF4" w:rsidRPr="00F86EF4">
        <w:t xml:space="preserve"> </w:t>
      </w:r>
      <w:r w:rsidR="00F86EF4">
        <w:t xml:space="preserve">ACCAN is committed to reconciliation that acknowledges Australia’s past and values the unique culture and heritage of Aboriginal and Torres Strait Islander peoples. </w:t>
      </w:r>
      <w:hyperlink r:id="rId21" w:history="1">
        <w:r w:rsidR="00F86EF4">
          <w:rPr>
            <w:rStyle w:val="Hyperlink"/>
          </w:rPr>
          <w:t>Read our RAP</w:t>
        </w:r>
      </w:hyperlink>
      <w:r w:rsidR="00F86EF4">
        <w:rPr>
          <w:rStyle w:val="Hyperlink"/>
        </w:rPr>
        <w:t>.</w:t>
      </w:r>
    </w:p>
    <w:sectPr w:rsidR="00DC13F4" w:rsidRPr="002C0AE1" w:rsidSect="00555673">
      <w:headerReference w:type="default" r:id="rId22"/>
      <w:type w:val="continuous"/>
      <w:pgSz w:w="11906" w:h="16838"/>
      <w:pgMar w:top="1418" w:right="1440" w:bottom="568" w:left="144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9C2E" w14:textId="77777777" w:rsidR="0023421D" w:rsidRDefault="0023421D">
      <w:pPr>
        <w:spacing w:after="0" w:line="240" w:lineRule="auto"/>
      </w:pPr>
      <w:r>
        <w:separator/>
      </w:r>
    </w:p>
  </w:endnote>
  <w:endnote w:type="continuationSeparator" w:id="0">
    <w:p w14:paraId="7043C29A" w14:textId="77777777" w:rsidR="0023421D" w:rsidRDefault="0023421D">
      <w:pPr>
        <w:spacing w:after="0" w:line="240" w:lineRule="auto"/>
      </w:pPr>
      <w:r>
        <w:continuationSeparator/>
      </w:r>
    </w:p>
  </w:endnote>
  <w:endnote w:type="continuationNotice" w:id="1">
    <w:p w14:paraId="37FB42F0" w14:textId="77777777" w:rsidR="0023421D" w:rsidRDefault="00234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AC28" w14:textId="77777777" w:rsidR="004C0F35" w:rsidRPr="009236CD" w:rsidRDefault="00EF0262" w:rsidP="0088720C">
    <w:pPr>
      <w:jc w:val="right"/>
      <w:rPr>
        <w:rStyle w:val="Letterhead1Char"/>
      </w:rPr>
    </w:pPr>
    <w:sdt>
      <w:sdtPr>
        <w:rPr>
          <w:rFonts w:ascii="Gotham" w:hAnsi="Gotham"/>
          <w:b/>
          <w:bCs/>
          <w:spacing w:val="8"/>
          <w:sz w:val="20"/>
          <w:szCs w:val="20"/>
        </w:rPr>
        <w:id w:val="-1113674512"/>
        <w:docPartObj>
          <w:docPartGallery w:val="Page Numbers (Bottom of Page)"/>
          <w:docPartUnique/>
        </w:docPartObj>
      </w:sdtPr>
      <w:sdtEndPr>
        <w:rPr>
          <w:rStyle w:val="Letterhead1Char"/>
        </w:rPr>
      </w:sdtEndPr>
      <w:sdtContent>
        <w:r w:rsidR="004C0F35" w:rsidRPr="009236CD">
          <w:rPr>
            <w:rStyle w:val="Letterhead1Char"/>
          </w:rPr>
          <w:fldChar w:fldCharType="begin"/>
        </w:r>
        <w:r w:rsidR="004C0F35" w:rsidRPr="009236CD">
          <w:rPr>
            <w:rStyle w:val="Letterhead1Char"/>
          </w:rPr>
          <w:instrText xml:space="preserve"> PAGE   \* MERGEFORMAT </w:instrText>
        </w:r>
        <w:r w:rsidR="004C0F35" w:rsidRPr="009236CD">
          <w:rPr>
            <w:rStyle w:val="Letterhead1Char"/>
          </w:rPr>
          <w:fldChar w:fldCharType="separate"/>
        </w:r>
        <w:r w:rsidR="004C0F35" w:rsidRPr="009236CD">
          <w:rPr>
            <w:rStyle w:val="Letterhead1Char"/>
          </w:rPr>
          <w:t>1</w:t>
        </w:r>
        <w:r w:rsidR="004C0F35" w:rsidRPr="009236CD">
          <w:rPr>
            <w:rStyle w:val="Letterhead1Cha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17E0" w14:textId="77777777" w:rsidR="004C0F35" w:rsidRDefault="004C0F35">
    <w:pPr>
      <w:pStyle w:val="Footer"/>
    </w:pPr>
    <w:r>
      <w:t>NAME OF THE SUBMISSION IN CAPS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05B2" w14:textId="77777777" w:rsidR="0023421D" w:rsidRDefault="0023421D">
      <w:pPr>
        <w:spacing w:after="0" w:line="240" w:lineRule="auto"/>
      </w:pPr>
      <w:r>
        <w:separator/>
      </w:r>
    </w:p>
  </w:footnote>
  <w:footnote w:type="continuationSeparator" w:id="0">
    <w:p w14:paraId="19C3C293" w14:textId="77777777" w:rsidR="0023421D" w:rsidRDefault="0023421D">
      <w:pPr>
        <w:spacing w:after="0" w:line="240" w:lineRule="auto"/>
      </w:pPr>
      <w:r>
        <w:continuationSeparator/>
      </w:r>
    </w:p>
  </w:footnote>
  <w:footnote w:type="continuationNotice" w:id="1">
    <w:p w14:paraId="1C753780" w14:textId="77777777" w:rsidR="0023421D" w:rsidRDefault="0023421D">
      <w:pPr>
        <w:spacing w:after="0" w:line="240" w:lineRule="auto"/>
      </w:pPr>
    </w:p>
  </w:footnote>
  <w:footnote w:id="2">
    <w:p w14:paraId="7010301A" w14:textId="7EB2A39E" w:rsidR="140513FC" w:rsidRDefault="140513FC" w:rsidP="140513FC">
      <w:pPr>
        <w:pStyle w:val="FootnoteText"/>
        <w:rPr>
          <w:sz w:val="16"/>
          <w:szCs w:val="16"/>
          <w:lang w:val="en-US"/>
        </w:rPr>
      </w:pPr>
      <w:r w:rsidRPr="140513FC">
        <w:rPr>
          <w:rStyle w:val="FootnoteReference"/>
          <w:sz w:val="16"/>
          <w:szCs w:val="16"/>
        </w:rPr>
        <w:footnoteRef/>
      </w:r>
      <w:r w:rsidRPr="140513FC">
        <w:rPr>
          <w:sz w:val="16"/>
          <w:szCs w:val="16"/>
        </w:rPr>
        <w:t xml:space="preserve"> Julian Thomas, Anthony McCosker, Sharon Parkinson, Kieran Hegarty, Daniel Featherstone, Jenny Kennedy, Indigo Holcombe-James, Lyndon Ormond-Parker and Lauren Ganley, </w:t>
      </w:r>
      <w:r w:rsidRPr="140513FC">
        <w:rPr>
          <w:i/>
          <w:iCs/>
          <w:sz w:val="16"/>
          <w:szCs w:val="16"/>
        </w:rPr>
        <w:t>Measuring Australia’s digital divide: Australian digital inclusion index: 2023</w:t>
      </w:r>
      <w:r w:rsidRPr="140513FC">
        <w:rPr>
          <w:sz w:val="16"/>
          <w:szCs w:val="16"/>
        </w:rPr>
        <w:t xml:space="preserve"> (Report, ARC Centre of Excellence for Automated Decision-Making and Society, RMIT University, Swinburne University of Technology, and Telstra, 2023) 19.</w:t>
      </w:r>
    </w:p>
  </w:footnote>
  <w:footnote w:id="3">
    <w:p w14:paraId="20D75B53" w14:textId="497CA6B7" w:rsidR="140513FC" w:rsidRDefault="140513FC" w:rsidP="140513FC">
      <w:pPr>
        <w:pStyle w:val="FootnoteText"/>
        <w:rPr>
          <w:sz w:val="16"/>
          <w:szCs w:val="16"/>
        </w:rPr>
      </w:pPr>
      <w:r w:rsidRPr="140513FC">
        <w:rPr>
          <w:rStyle w:val="FootnoteReference"/>
          <w:sz w:val="16"/>
          <w:szCs w:val="16"/>
        </w:rPr>
        <w:footnoteRef/>
      </w:r>
      <w:r w:rsidRPr="140513FC">
        <w:rPr>
          <w:sz w:val="16"/>
          <w:szCs w:val="16"/>
        </w:rPr>
        <w:t xml:space="preserve"> ACCAN, </w:t>
      </w:r>
      <w:r w:rsidRPr="140513FC">
        <w:rPr>
          <w:i/>
          <w:iCs/>
          <w:sz w:val="16"/>
          <w:szCs w:val="16"/>
        </w:rPr>
        <w:t>ACCAN research snapshot: affordability</w:t>
      </w:r>
      <w:r w:rsidRPr="140513FC">
        <w:rPr>
          <w:sz w:val="16"/>
          <w:szCs w:val="16"/>
        </w:rPr>
        <w:t xml:space="preserve"> (Report, ACCAN, 2023) 1 &lt;</w:t>
      </w:r>
      <w:hyperlink r:id="rId1">
        <w:r w:rsidRPr="140513FC">
          <w:rPr>
            <w:rStyle w:val="Hyperlink"/>
            <w:sz w:val="16"/>
            <w:szCs w:val="16"/>
          </w:rPr>
          <w:t>https://accan.org.au/accans-work/research/2251-affordability-snapshot-2023</w:t>
        </w:r>
      </w:hyperlink>
      <w:r w:rsidRPr="140513FC">
        <w:rPr>
          <w:sz w:val="16"/>
          <w:szCs w:val="16"/>
        </w:rPr>
        <w:t>&gt;.</w:t>
      </w:r>
    </w:p>
  </w:footnote>
  <w:footnote w:id="4">
    <w:p w14:paraId="5C1995EF" w14:textId="77777777" w:rsidR="140513FC" w:rsidRDefault="140513FC" w:rsidP="140513FC">
      <w:pPr>
        <w:pStyle w:val="FootnoteText"/>
        <w:rPr>
          <w:sz w:val="16"/>
          <w:szCs w:val="16"/>
        </w:rPr>
      </w:pPr>
      <w:r w:rsidRPr="140513FC">
        <w:rPr>
          <w:rStyle w:val="FootnoteReference"/>
          <w:sz w:val="16"/>
          <w:szCs w:val="16"/>
        </w:rPr>
        <w:footnoteRef/>
      </w:r>
      <w:r w:rsidRPr="140513FC">
        <w:rPr>
          <w:sz w:val="16"/>
          <w:szCs w:val="16"/>
        </w:rPr>
        <w:t xml:space="preserve"> Ibid 5.</w:t>
      </w:r>
    </w:p>
  </w:footnote>
  <w:footnote w:id="5">
    <w:p w14:paraId="307D4D48" w14:textId="77777777" w:rsidR="140513FC" w:rsidRDefault="140513FC" w:rsidP="140513FC">
      <w:pPr>
        <w:pStyle w:val="FootnoteText"/>
        <w:rPr>
          <w:sz w:val="16"/>
          <w:szCs w:val="16"/>
        </w:rPr>
      </w:pPr>
      <w:r w:rsidRPr="140513FC">
        <w:rPr>
          <w:rStyle w:val="FootnoteReference"/>
          <w:sz w:val="16"/>
          <w:szCs w:val="16"/>
        </w:rPr>
        <w:footnoteRef/>
      </w:r>
      <w:r w:rsidRPr="140513FC">
        <w:rPr>
          <w:sz w:val="16"/>
          <w:szCs w:val="16"/>
        </w:rPr>
        <w:t xml:space="preserve"> Ibid 1. </w:t>
      </w:r>
    </w:p>
  </w:footnote>
  <w:footnote w:id="6">
    <w:p w14:paraId="136BACF6" w14:textId="09938B27" w:rsidR="140513FC" w:rsidRDefault="140513FC" w:rsidP="140513FC">
      <w:pPr>
        <w:pStyle w:val="FootnoteText"/>
      </w:pPr>
      <w:r w:rsidRPr="140513FC">
        <w:rPr>
          <w:rStyle w:val="FootnoteReference"/>
          <w:sz w:val="16"/>
          <w:szCs w:val="16"/>
        </w:rPr>
        <w:footnoteRef/>
      </w:r>
      <w:r w:rsidRPr="140513FC">
        <w:rPr>
          <w:sz w:val="16"/>
          <w:szCs w:val="16"/>
        </w:rPr>
        <w:t xml:space="preserve"> ACCC, </w:t>
      </w:r>
      <w:r w:rsidRPr="00F41910">
        <w:rPr>
          <w:i/>
          <w:sz w:val="16"/>
          <w:szCs w:val="16"/>
        </w:rPr>
        <w:t>Communications Market Report 2022-2023</w:t>
      </w:r>
      <w:r w:rsidRPr="140513FC">
        <w:rPr>
          <w:sz w:val="16"/>
          <w:szCs w:val="16"/>
        </w:rPr>
        <w:t xml:space="preserve"> (Report, 2023)</w:t>
      </w:r>
      <w:r w:rsidR="008C3BF1">
        <w:rPr>
          <w:sz w:val="16"/>
          <w:szCs w:val="16"/>
        </w:rPr>
        <w:t xml:space="preserve"> </w:t>
      </w:r>
      <w:r w:rsidRPr="140513FC">
        <w:rPr>
          <w:sz w:val="16"/>
          <w:szCs w:val="16"/>
        </w:rPr>
        <w:t>Vii &lt;</w:t>
      </w:r>
      <w:hyperlink r:id="rId2">
        <w:r w:rsidRPr="140513FC">
          <w:rPr>
            <w:rStyle w:val="Hyperlink"/>
            <w:sz w:val="16"/>
            <w:szCs w:val="16"/>
          </w:rPr>
          <w:t>https://www.accc.gov.au/about-us/publications/serial-publications/accc-communications-market-reports/accc-communications-market-report-2022-23</w:t>
        </w:r>
      </w:hyperlink>
      <w:r w:rsidRPr="140513FC">
        <w:rPr>
          <w:sz w:val="16"/>
          <w:szCs w:val="16"/>
        </w:rPr>
        <w:t>&gt;</w:t>
      </w:r>
      <w:r w:rsidR="008C3BF1">
        <w:rPr>
          <w:sz w:val="16"/>
          <w:szCs w:val="16"/>
        </w:rPr>
        <w:t>.</w:t>
      </w:r>
    </w:p>
  </w:footnote>
  <w:footnote w:id="7">
    <w:p w14:paraId="7118C338" w14:textId="77777777" w:rsidR="00CC16D0" w:rsidRPr="0023087A" w:rsidRDefault="00CC16D0" w:rsidP="00CC16D0">
      <w:pPr>
        <w:pStyle w:val="FootnoteText"/>
        <w:rPr>
          <w:lang w:val="en-US"/>
        </w:rPr>
      </w:pPr>
      <w:r w:rsidRPr="00F04E80">
        <w:rPr>
          <w:rStyle w:val="FootnoteReference"/>
          <w:sz w:val="16"/>
          <w:szCs w:val="16"/>
        </w:rPr>
        <w:footnoteRef/>
      </w:r>
      <w:r w:rsidRPr="00F04E80">
        <w:rPr>
          <w:sz w:val="16"/>
          <w:szCs w:val="16"/>
        </w:rPr>
        <w:t xml:space="preserve"> ACCAN, ‘No Australian Left Offline’ (Web Page, 2019) &lt;</w:t>
      </w:r>
      <w:r w:rsidRPr="002674C8">
        <w:rPr>
          <w:sz w:val="16"/>
          <w:szCs w:val="16"/>
        </w:rPr>
        <w:t>https://accan.org.au/accans-work/no-australian-left-offline</w:t>
      </w:r>
      <w:r w:rsidRPr="00F04E80">
        <w:rPr>
          <w:sz w:val="16"/>
          <w:szCs w:val="16"/>
        </w:rPr>
        <w:t>&gt;.</w:t>
      </w:r>
    </w:p>
  </w:footnote>
  <w:footnote w:id="8">
    <w:p w14:paraId="7BDFF930" w14:textId="799D22C7" w:rsidR="00256EDB" w:rsidRDefault="00256EDB" w:rsidP="00C47204">
      <w:pPr>
        <w:pStyle w:val="FootnoteText"/>
      </w:pPr>
      <w:r w:rsidRPr="00AF5417">
        <w:rPr>
          <w:rStyle w:val="FootnoteReference"/>
          <w:sz w:val="16"/>
          <w:szCs w:val="16"/>
        </w:rPr>
        <w:footnoteRef/>
      </w:r>
      <w:r w:rsidRPr="00AF5417">
        <w:rPr>
          <w:sz w:val="16"/>
          <w:szCs w:val="16"/>
        </w:rPr>
        <w:t xml:space="preserve"> </w:t>
      </w:r>
      <w:r w:rsidR="00C47204" w:rsidRPr="00AF5417">
        <w:rPr>
          <w:sz w:val="16"/>
          <w:szCs w:val="16"/>
        </w:rPr>
        <w:t xml:space="preserve">Accenture, </w:t>
      </w:r>
      <w:r w:rsidR="00C47204" w:rsidRPr="00AF5417">
        <w:rPr>
          <w:i/>
          <w:iCs/>
          <w:sz w:val="16"/>
          <w:szCs w:val="16"/>
        </w:rPr>
        <w:t>The economic and social impact of investment in the nbn network</w:t>
      </w:r>
      <w:r w:rsidR="00C47204" w:rsidRPr="00AF5417">
        <w:rPr>
          <w:sz w:val="16"/>
          <w:szCs w:val="16"/>
        </w:rPr>
        <w:t xml:space="preserve"> (Report, 2024) </w:t>
      </w:r>
      <w:r w:rsidR="00322221" w:rsidRPr="00AF5417">
        <w:rPr>
          <w:sz w:val="16"/>
          <w:szCs w:val="16"/>
        </w:rPr>
        <w:t xml:space="preserve">3                                </w:t>
      </w:r>
      <w:r w:rsidR="00C47204" w:rsidRPr="00AF5417">
        <w:rPr>
          <w:sz w:val="16"/>
          <w:szCs w:val="16"/>
        </w:rPr>
        <w:t>&lt;</w:t>
      </w:r>
      <w:hyperlink r:id="rId3" w:history="1">
        <w:r w:rsidR="00322221" w:rsidRPr="00AF5417">
          <w:rPr>
            <w:rStyle w:val="Hyperlink"/>
            <w:sz w:val="16"/>
            <w:szCs w:val="16"/>
          </w:rPr>
          <w:t>https://www.nbnco.com.au/content/dam/nbn/documents/about-nbn/reports/reports-and-publications/accenture-2024-economic-and-social-impact-insight-report.pdf.coredownload.pdf</w:t>
        </w:r>
      </w:hyperlink>
      <w:r w:rsidR="00322221" w:rsidRPr="00AF5417">
        <w:rPr>
          <w:sz w:val="16"/>
          <w:szCs w:val="16"/>
        </w:rPr>
        <w:t>&gt;</w:t>
      </w:r>
      <w:r w:rsidR="003F63A0">
        <w:rPr>
          <w:sz w:val="16"/>
          <w:szCs w:val="16"/>
        </w:rPr>
        <w:t>.</w:t>
      </w:r>
      <w:r w:rsidR="00322221" w:rsidRPr="00AF5417">
        <w:rPr>
          <w:sz w:val="16"/>
          <w:szCs w:val="16"/>
        </w:rPr>
        <w:t xml:space="preserve"> </w:t>
      </w:r>
    </w:p>
  </w:footnote>
  <w:footnote w:id="9">
    <w:p w14:paraId="00DBE4E0" w14:textId="54F48F08" w:rsidR="00C61986" w:rsidRPr="009C5E32" w:rsidRDefault="00C61986" w:rsidP="00C61986">
      <w:pPr>
        <w:pStyle w:val="FootnoteText"/>
        <w:rPr>
          <w:sz w:val="16"/>
          <w:szCs w:val="16"/>
        </w:rPr>
      </w:pPr>
      <w:r w:rsidRPr="009C5E32">
        <w:rPr>
          <w:rStyle w:val="FootnoteReference"/>
          <w:sz w:val="16"/>
          <w:szCs w:val="16"/>
        </w:rPr>
        <w:footnoteRef/>
      </w:r>
      <w:r w:rsidRPr="009C5E32">
        <w:rPr>
          <w:sz w:val="16"/>
          <w:szCs w:val="16"/>
        </w:rPr>
        <w:t xml:space="preserve"> </w:t>
      </w:r>
      <w:r w:rsidRPr="009C5E32">
        <w:rPr>
          <w:sz w:val="16"/>
          <w:szCs w:val="16"/>
          <w:lang w:val="en-US"/>
        </w:rPr>
        <w:t xml:space="preserve">Nicki Hutley, </w:t>
      </w:r>
      <w:r w:rsidRPr="009C5E32">
        <w:rPr>
          <w:i/>
          <w:iCs/>
          <w:sz w:val="16"/>
          <w:szCs w:val="16"/>
          <w:lang w:val="en-US"/>
        </w:rPr>
        <w:t xml:space="preserve">The economic benefits of overcoming digital exclusion </w:t>
      </w:r>
      <w:r w:rsidRPr="009C5E32">
        <w:rPr>
          <w:sz w:val="16"/>
          <w:szCs w:val="16"/>
          <w:lang w:val="en-US"/>
        </w:rPr>
        <w:t>(Report, Good Things Australia, 2024) 19.</w:t>
      </w:r>
    </w:p>
  </w:footnote>
  <w:footnote w:id="10">
    <w:p w14:paraId="168AEB8E" w14:textId="452017DF" w:rsidR="00FA726E" w:rsidRPr="000A4B49" w:rsidRDefault="00FA726E" w:rsidP="00FA726E">
      <w:pPr>
        <w:pStyle w:val="NoSpacing"/>
        <w:rPr>
          <w:sz w:val="16"/>
          <w:szCs w:val="16"/>
        </w:rPr>
      </w:pPr>
      <w:r w:rsidRPr="000A4B49">
        <w:rPr>
          <w:rStyle w:val="FootnoteReference"/>
          <w:sz w:val="16"/>
          <w:szCs w:val="16"/>
        </w:rPr>
        <w:footnoteRef/>
      </w:r>
      <w:r w:rsidRPr="000A4B49">
        <w:rPr>
          <w:sz w:val="16"/>
          <w:szCs w:val="16"/>
        </w:rPr>
        <w:t xml:space="preserve"> ACCAN</w:t>
      </w:r>
      <w:r w:rsidR="00FC2931">
        <w:rPr>
          <w:sz w:val="16"/>
          <w:szCs w:val="16"/>
        </w:rPr>
        <w:t>,</w:t>
      </w:r>
      <w:r w:rsidRPr="000A4B49">
        <w:rPr>
          <w:sz w:val="16"/>
          <w:szCs w:val="16"/>
        </w:rPr>
        <w:t xml:space="preserve"> </w:t>
      </w:r>
      <w:r w:rsidRPr="0066575A">
        <w:rPr>
          <w:i/>
          <w:iCs/>
          <w:sz w:val="16"/>
          <w:szCs w:val="16"/>
        </w:rPr>
        <w:t>Independent Plan Comparison Tool Policy Position</w:t>
      </w:r>
      <w:r w:rsidR="00FC2931">
        <w:rPr>
          <w:sz w:val="16"/>
          <w:szCs w:val="16"/>
        </w:rPr>
        <w:t xml:space="preserve"> (Policy Position, </w:t>
      </w:r>
      <w:r w:rsidR="00757354">
        <w:rPr>
          <w:sz w:val="16"/>
          <w:szCs w:val="16"/>
        </w:rPr>
        <w:t>2022) &lt;</w:t>
      </w:r>
      <w:hyperlink r:id="rId4" w:history="1">
        <w:r w:rsidRPr="000A4B49">
          <w:rPr>
            <w:rStyle w:val="Hyperlink"/>
            <w:sz w:val="16"/>
            <w:szCs w:val="16"/>
          </w:rPr>
          <w:t>https://accan.org.au/accans-work/policy-positions/2123-independent-plan-comparison-tool</w:t>
        </w:r>
      </w:hyperlink>
      <w:r w:rsidR="00757354">
        <w:rPr>
          <w:sz w:val="16"/>
          <w:szCs w:val="16"/>
        </w:rPr>
        <w:t>&gt;</w:t>
      </w:r>
      <w:r w:rsidR="003F63A0">
        <w:rPr>
          <w:sz w:val="16"/>
          <w:szCs w:val="16"/>
        </w:rPr>
        <w:t>.</w:t>
      </w:r>
      <w:r w:rsidRPr="000A4B49">
        <w:rPr>
          <w:sz w:val="16"/>
          <w:szCs w:val="16"/>
        </w:rPr>
        <w:t xml:space="preserve"> </w:t>
      </w:r>
    </w:p>
  </w:footnote>
  <w:footnote w:id="11">
    <w:p w14:paraId="4DF981BB" w14:textId="0B383F76" w:rsidR="00D204D1" w:rsidRPr="000A4B49" w:rsidRDefault="00D204D1" w:rsidP="00D204D1">
      <w:pPr>
        <w:pStyle w:val="NoSpacing"/>
        <w:rPr>
          <w:sz w:val="16"/>
          <w:szCs w:val="16"/>
        </w:rPr>
      </w:pPr>
      <w:r w:rsidRPr="000A4B49">
        <w:rPr>
          <w:rStyle w:val="FootnoteReference"/>
          <w:sz w:val="16"/>
          <w:szCs w:val="16"/>
        </w:rPr>
        <w:footnoteRef/>
      </w:r>
      <w:r w:rsidRPr="000A4B49">
        <w:rPr>
          <w:sz w:val="16"/>
          <w:szCs w:val="16"/>
        </w:rPr>
        <w:t xml:space="preserve"> ETFM</w:t>
      </w:r>
      <w:r w:rsidR="00B92FA7">
        <w:rPr>
          <w:sz w:val="16"/>
          <w:szCs w:val="16"/>
        </w:rPr>
        <w:t xml:space="preserve">, </w:t>
      </w:r>
      <w:r>
        <w:rPr>
          <w:i/>
          <w:iCs/>
          <w:sz w:val="16"/>
          <w:szCs w:val="16"/>
        </w:rPr>
        <w:t>U</w:t>
      </w:r>
      <w:r w:rsidRPr="0066575A">
        <w:rPr>
          <w:i/>
          <w:iCs/>
          <w:sz w:val="16"/>
          <w:szCs w:val="16"/>
        </w:rPr>
        <w:t>nhappy Optus customers ditching the telco as eftm survey shows we’re all paying for too much data</w:t>
      </w:r>
      <w:r w:rsidRPr="000A4B49">
        <w:rPr>
          <w:sz w:val="16"/>
          <w:szCs w:val="16"/>
        </w:rPr>
        <w:t xml:space="preserve">. </w:t>
      </w:r>
      <w:r w:rsidR="00B92FA7">
        <w:rPr>
          <w:sz w:val="16"/>
          <w:szCs w:val="16"/>
        </w:rPr>
        <w:t xml:space="preserve">(Report, 2022) </w:t>
      </w:r>
      <w:r w:rsidRPr="000A4B49">
        <w:rPr>
          <w:sz w:val="16"/>
          <w:szCs w:val="16"/>
        </w:rPr>
        <w:t xml:space="preserve"> </w:t>
      </w:r>
      <w:r w:rsidR="00B92FA7">
        <w:rPr>
          <w:sz w:val="16"/>
          <w:szCs w:val="16"/>
        </w:rPr>
        <w:t>&lt;</w:t>
      </w:r>
      <w:hyperlink r:id="rId5" w:history="1">
        <w:r w:rsidR="00B92FA7" w:rsidRPr="00753A4C">
          <w:rPr>
            <w:rStyle w:val="Hyperlink"/>
            <w:sz w:val="16"/>
            <w:szCs w:val="16"/>
          </w:rPr>
          <w:t>https://eftm.com/2022/10/unhappy-optus-customers-ditching-the-telco-as-eftm-survey-shows-were-all-paying-for-too-much-data-229055</w:t>
        </w:r>
      </w:hyperlink>
      <w:r w:rsidR="00B92FA7">
        <w:rPr>
          <w:sz w:val="16"/>
          <w:szCs w:val="16"/>
        </w:rPr>
        <w:t>&gt;</w:t>
      </w:r>
      <w:r w:rsidR="00776DC3">
        <w:rPr>
          <w:sz w:val="16"/>
          <w:szCs w:val="16"/>
        </w:rPr>
        <w:t>.</w:t>
      </w:r>
    </w:p>
  </w:footnote>
  <w:footnote w:id="12">
    <w:p w14:paraId="60559853" w14:textId="7C4E1B6D" w:rsidR="008B021E" w:rsidRPr="0066575A" w:rsidRDefault="008B021E" w:rsidP="008B021E">
      <w:pPr>
        <w:pStyle w:val="NoSpacing"/>
        <w:rPr>
          <w:i/>
          <w:iCs/>
          <w:sz w:val="16"/>
          <w:szCs w:val="16"/>
        </w:rPr>
      </w:pPr>
      <w:r w:rsidRPr="000A4B49">
        <w:rPr>
          <w:rStyle w:val="FootnoteReference"/>
          <w:sz w:val="16"/>
          <w:szCs w:val="16"/>
        </w:rPr>
        <w:footnoteRef/>
      </w:r>
      <w:r w:rsidRPr="000A4B49">
        <w:rPr>
          <w:sz w:val="16"/>
          <w:szCs w:val="16"/>
        </w:rPr>
        <w:t xml:space="preserve"> Finder</w:t>
      </w:r>
      <w:r w:rsidR="00B92FA7">
        <w:rPr>
          <w:sz w:val="16"/>
          <w:szCs w:val="16"/>
        </w:rPr>
        <w:t xml:space="preserve">, </w:t>
      </w:r>
      <w:r w:rsidRPr="0066575A">
        <w:rPr>
          <w:i/>
          <w:iCs/>
          <w:sz w:val="16"/>
          <w:szCs w:val="16"/>
        </w:rPr>
        <w:t xml:space="preserve">Consumer Data Right Sectoral </w:t>
      </w:r>
      <w:r w:rsidR="00B92FA7" w:rsidRPr="0066575A">
        <w:rPr>
          <w:i/>
          <w:iCs/>
          <w:sz w:val="16"/>
          <w:szCs w:val="16"/>
        </w:rPr>
        <w:t>Assessmen</w:t>
      </w:r>
      <w:r w:rsidR="00B92FA7">
        <w:rPr>
          <w:i/>
          <w:iCs/>
          <w:sz w:val="16"/>
          <w:szCs w:val="16"/>
        </w:rPr>
        <w:t>t:</w:t>
      </w:r>
    </w:p>
    <w:p w14:paraId="4EC1A535" w14:textId="3D39CC1F" w:rsidR="008B021E" w:rsidRPr="000A4B49" w:rsidRDefault="008B021E" w:rsidP="008B021E">
      <w:pPr>
        <w:pStyle w:val="NoSpacing"/>
        <w:rPr>
          <w:sz w:val="16"/>
          <w:szCs w:val="16"/>
        </w:rPr>
      </w:pPr>
      <w:r w:rsidRPr="0066575A">
        <w:rPr>
          <w:i/>
          <w:iCs/>
          <w:sz w:val="16"/>
          <w:szCs w:val="16"/>
        </w:rPr>
        <w:t>Telecommunications.</w:t>
      </w:r>
      <w:r w:rsidR="00B92FA7">
        <w:rPr>
          <w:sz w:val="16"/>
          <w:szCs w:val="16"/>
        </w:rPr>
        <w:t xml:space="preserve"> (Submission, 2021) 6 &lt;</w:t>
      </w:r>
      <w:hyperlink r:id="rId6" w:history="1">
        <w:r w:rsidR="00B92FA7" w:rsidRPr="00753A4C">
          <w:rPr>
            <w:rStyle w:val="Hyperlink"/>
            <w:sz w:val="16"/>
            <w:szCs w:val="16"/>
          </w:rPr>
          <w:t>https://treasury.gov.au/sites/default/files/2021-11/c2021-198050-tc-finder.pdf</w:t>
        </w:r>
      </w:hyperlink>
      <w:r w:rsidR="00B92FA7">
        <w:rPr>
          <w:sz w:val="16"/>
          <w:szCs w:val="16"/>
        </w:rPr>
        <w:t>&gt;</w:t>
      </w:r>
      <w:r w:rsidR="00776DC3">
        <w:rPr>
          <w:sz w:val="16"/>
          <w:szCs w:val="16"/>
        </w:rPr>
        <w:t>.</w:t>
      </w:r>
    </w:p>
  </w:footnote>
  <w:footnote w:id="13">
    <w:p w14:paraId="6BEAA766" w14:textId="46FA32E7" w:rsidR="00426CC3" w:rsidRDefault="00426CC3">
      <w:pPr>
        <w:pStyle w:val="FootnoteText"/>
      </w:pPr>
      <w:r w:rsidRPr="00284AE2">
        <w:rPr>
          <w:rStyle w:val="FootnoteReference"/>
          <w:sz w:val="16"/>
          <w:szCs w:val="16"/>
        </w:rPr>
        <w:footnoteRef/>
      </w:r>
      <w:r w:rsidRPr="00284AE2">
        <w:rPr>
          <w:sz w:val="16"/>
          <w:szCs w:val="16"/>
        </w:rPr>
        <w:t xml:space="preserve"> Australian Government, Energy Made Easy (Webpage, 2024) &lt;</w:t>
      </w:r>
      <w:hyperlink r:id="rId7" w:history="1">
        <w:r w:rsidR="00284AE2" w:rsidRPr="00284AE2">
          <w:rPr>
            <w:rStyle w:val="Hyperlink"/>
            <w:sz w:val="16"/>
            <w:szCs w:val="16"/>
          </w:rPr>
          <w:t>https://www.energymadeeasy.gov.au/</w:t>
        </w:r>
      </w:hyperlink>
      <w:r w:rsidR="00284AE2" w:rsidRPr="00284AE2">
        <w:rPr>
          <w:sz w:val="16"/>
          <w:szCs w:val="16"/>
        </w:rPr>
        <w:t xml:space="preserve">&gt; </w:t>
      </w:r>
    </w:p>
  </w:footnote>
  <w:footnote w:id="14">
    <w:p w14:paraId="4BC11443" w14:textId="5B7F10A5" w:rsidR="005334BE" w:rsidRDefault="005334BE">
      <w:pPr>
        <w:pStyle w:val="FootnoteText"/>
      </w:pPr>
      <w:r w:rsidRPr="00F41910">
        <w:rPr>
          <w:rStyle w:val="FootnoteReference"/>
          <w:sz w:val="16"/>
          <w:szCs w:val="16"/>
        </w:rPr>
        <w:footnoteRef/>
      </w:r>
      <w:r w:rsidRPr="00F41910">
        <w:rPr>
          <w:sz w:val="16"/>
          <w:szCs w:val="16"/>
        </w:rPr>
        <w:t xml:space="preserve"> </w:t>
      </w:r>
      <w:r w:rsidRPr="00CA6941">
        <w:rPr>
          <w:sz w:val="16"/>
          <w:szCs w:val="16"/>
        </w:rPr>
        <w:t>ACCC and AER</w:t>
      </w:r>
      <w:r w:rsidR="003B7BCB" w:rsidRPr="00CA6941">
        <w:rPr>
          <w:sz w:val="16"/>
          <w:szCs w:val="16"/>
        </w:rPr>
        <w:t>,</w:t>
      </w:r>
      <w:r w:rsidRPr="00CA6941">
        <w:rPr>
          <w:sz w:val="16"/>
          <w:szCs w:val="16"/>
        </w:rPr>
        <w:t xml:space="preserve"> </w:t>
      </w:r>
      <w:r w:rsidRPr="00F41910">
        <w:rPr>
          <w:i/>
          <w:sz w:val="16"/>
          <w:szCs w:val="16"/>
        </w:rPr>
        <w:t>Annual Report</w:t>
      </w:r>
      <w:r w:rsidRPr="00CA6941">
        <w:rPr>
          <w:i/>
          <w:sz w:val="16"/>
          <w:szCs w:val="16"/>
        </w:rPr>
        <w:t xml:space="preserve"> </w:t>
      </w:r>
      <w:r w:rsidR="00A67FAD" w:rsidRPr="00CA6941">
        <w:rPr>
          <w:i/>
          <w:iCs/>
          <w:sz w:val="16"/>
          <w:szCs w:val="16"/>
        </w:rPr>
        <w:t>2023-24</w:t>
      </w:r>
      <w:r w:rsidRPr="00CA6941">
        <w:rPr>
          <w:sz w:val="16"/>
          <w:szCs w:val="16"/>
        </w:rPr>
        <w:t xml:space="preserve"> (Report, 2024) 129                                                                                                     </w:t>
      </w:r>
      <w:r w:rsidRPr="002D77D1">
        <w:rPr>
          <w:sz w:val="16"/>
          <w:szCs w:val="16"/>
        </w:rPr>
        <w:t>&lt;</w:t>
      </w:r>
      <w:hyperlink r:id="rId8" w:history="1">
        <w:r w:rsidRPr="002D77D1">
          <w:rPr>
            <w:rStyle w:val="Hyperlink"/>
            <w:sz w:val="16"/>
            <w:szCs w:val="16"/>
          </w:rPr>
          <w:t>https://www.aer.gov.au/publications/reports/corporate/accc-and-aer-annual-report-2023-24</w:t>
        </w:r>
      </w:hyperlink>
      <w:r w:rsidRPr="002D77D1">
        <w:rPr>
          <w:sz w:val="16"/>
          <w:szCs w:val="16"/>
        </w:rPr>
        <w:t>&gt;</w:t>
      </w:r>
      <w:r w:rsidR="00C1590A">
        <w:rPr>
          <w:sz w:val="16"/>
          <w:szCs w:val="16"/>
        </w:rPr>
        <w:t>.</w:t>
      </w:r>
      <w:r w:rsidRPr="002D77D1">
        <w:rPr>
          <w:sz w:val="16"/>
          <w:szCs w:val="16"/>
        </w:rPr>
        <w:t xml:space="preserve"> </w:t>
      </w:r>
    </w:p>
  </w:footnote>
  <w:footnote w:id="15">
    <w:p w14:paraId="6894EAE8" w14:textId="7B3AF3B1" w:rsidR="000F6691" w:rsidRDefault="000F6691">
      <w:pPr>
        <w:pStyle w:val="FootnoteText"/>
      </w:pPr>
      <w:r w:rsidRPr="00F41910">
        <w:rPr>
          <w:rStyle w:val="FootnoteReference"/>
          <w:sz w:val="16"/>
          <w:szCs w:val="16"/>
        </w:rPr>
        <w:footnoteRef/>
      </w:r>
      <w:r w:rsidR="00CA6941">
        <w:rPr>
          <w:sz w:val="16"/>
          <w:szCs w:val="16"/>
        </w:rPr>
        <w:t xml:space="preserve"> </w:t>
      </w:r>
      <w:r w:rsidR="00C1590A">
        <w:rPr>
          <w:sz w:val="16"/>
          <w:szCs w:val="16"/>
        </w:rPr>
        <w:t>Ibid.</w:t>
      </w:r>
    </w:p>
  </w:footnote>
  <w:footnote w:id="16">
    <w:p w14:paraId="2E696BD6" w14:textId="545E59C7" w:rsidR="006539B6" w:rsidRPr="00F94B0E" w:rsidRDefault="006539B6" w:rsidP="006539B6">
      <w:pPr>
        <w:pStyle w:val="FootnoteText"/>
        <w:rPr>
          <w:sz w:val="16"/>
          <w:szCs w:val="16"/>
        </w:rPr>
      </w:pPr>
      <w:r w:rsidRPr="00F94B0E">
        <w:rPr>
          <w:rStyle w:val="FootnoteReference"/>
          <w:sz w:val="16"/>
          <w:szCs w:val="16"/>
        </w:rPr>
        <w:footnoteRef/>
      </w:r>
      <w:r w:rsidRPr="00F94B0E">
        <w:rPr>
          <w:sz w:val="16"/>
          <w:szCs w:val="16"/>
        </w:rPr>
        <w:t xml:space="preserve"> WorkVentures</w:t>
      </w:r>
      <w:r>
        <w:rPr>
          <w:sz w:val="16"/>
          <w:szCs w:val="16"/>
        </w:rPr>
        <w:t xml:space="preserve">, </w:t>
      </w:r>
      <w:r w:rsidR="006165F1">
        <w:rPr>
          <w:sz w:val="16"/>
          <w:szCs w:val="16"/>
        </w:rPr>
        <w:t>‘</w:t>
      </w:r>
      <w:r w:rsidRPr="00F94B0E">
        <w:rPr>
          <w:sz w:val="16"/>
          <w:szCs w:val="16"/>
        </w:rPr>
        <w:t>Bridging the digital divide for Australia’s disadvantaged school students</w:t>
      </w:r>
      <w:r w:rsidR="006165F1">
        <w:rPr>
          <w:sz w:val="16"/>
          <w:szCs w:val="16"/>
        </w:rPr>
        <w:t>’</w:t>
      </w:r>
      <w:r>
        <w:rPr>
          <w:sz w:val="16"/>
          <w:szCs w:val="16"/>
        </w:rPr>
        <w:t xml:space="preserve"> (Media Release, </w:t>
      </w:r>
      <w:r w:rsidR="003B74E9">
        <w:rPr>
          <w:sz w:val="16"/>
          <w:szCs w:val="16"/>
        </w:rPr>
        <w:t xml:space="preserve">24 January </w:t>
      </w:r>
      <w:r>
        <w:rPr>
          <w:sz w:val="16"/>
          <w:szCs w:val="16"/>
        </w:rPr>
        <w:t>2024) &lt;</w:t>
      </w:r>
      <w:hyperlink r:id="rId9" w:history="1">
        <w:r w:rsidRPr="00712DEE">
          <w:rPr>
            <w:rStyle w:val="Hyperlink"/>
            <w:sz w:val="16"/>
            <w:szCs w:val="16"/>
          </w:rPr>
          <w:t>https://catalog.workventures.com.au/flip-book/366501/850282/page/1</w:t>
        </w:r>
      </w:hyperlink>
      <w:r>
        <w:rPr>
          <w:sz w:val="16"/>
          <w:szCs w:val="16"/>
        </w:rPr>
        <w:t>&gt;</w:t>
      </w:r>
      <w:r w:rsidR="003B74E9">
        <w:rPr>
          <w:sz w:val="16"/>
          <w:szCs w:val="16"/>
        </w:rPr>
        <w:t>.</w:t>
      </w:r>
    </w:p>
  </w:footnote>
  <w:footnote w:id="17">
    <w:p w14:paraId="1D5AC4D0" w14:textId="77777777" w:rsidR="006539B6" w:rsidRPr="00F94B0E" w:rsidRDefault="006539B6" w:rsidP="006539B6">
      <w:pPr>
        <w:pStyle w:val="FootnoteText"/>
        <w:rPr>
          <w:sz w:val="16"/>
          <w:szCs w:val="16"/>
        </w:rPr>
      </w:pPr>
      <w:r w:rsidRPr="00F94B0E">
        <w:rPr>
          <w:rStyle w:val="FootnoteReference"/>
          <w:sz w:val="16"/>
          <w:szCs w:val="16"/>
        </w:rPr>
        <w:footnoteRef/>
      </w:r>
      <w:r w:rsidRPr="00F94B0E">
        <w:rPr>
          <w:sz w:val="16"/>
          <w:szCs w:val="16"/>
        </w:rPr>
        <w:t xml:space="preserve"> </w:t>
      </w:r>
      <w:r>
        <w:rPr>
          <w:sz w:val="16"/>
          <w:szCs w:val="16"/>
        </w:rPr>
        <w:t xml:space="preserve">Ibid. </w:t>
      </w:r>
    </w:p>
  </w:footnote>
  <w:footnote w:id="18">
    <w:p w14:paraId="3E3D31C2" w14:textId="69EA415D" w:rsidR="006539B6" w:rsidRPr="002E33A0" w:rsidRDefault="006539B6" w:rsidP="006539B6">
      <w:pPr>
        <w:pStyle w:val="FootnoteText"/>
        <w:rPr>
          <w:sz w:val="16"/>
          <w:szCs w:val="16"/>
        </w:rPr>
      </w:pPr>
      <w:r w:rsidRPr="002E33A0">
        <w:rPr>
          <w:rStyle w:val="FootnoteReference"/>
          <w:sz w:val="16"/>
          <w:szCs w:val="16"/>
        </w:rPr>
        <w:footnoteRef/>
      </w:r>
      <w:r w:rsidRPr="002E33A0">
        <w:rPr>
          <w:sz w:val="16"/>
          <w:szCs w:val="16"/>
        </w:rPr>
        <w:t xml:space="preserve"> Finder</w:t>
      </w:r>
      <w:r>
        <w:rPr>
          <w:sz w:val="16"/>
          <w:szCs w:val="16"/>
        </w:rPr>
        <w:t xml:space="preserve">, </w:t>
      </w:r>
      <w:r w:rsidRPr="00F41910">
        <w:rPr>
          <w:i/>
          <w:sz w:val="16"/>
          <w:szCs w:val="16"/>
        </w:rPr>
        <w:t>The digital divide: 49% of kids lack access to tech for school</w:t>
      </w:r>
      <w:r>
        <w:rPr>
          <w:sz w:val="16"/>
          <w:szCs w:val="16"/>
        </w:rPr>
        <w:t xml:space="preserve"> (Report, 2022)</w:t>
      </w:r>
      <w:r w:rsidRPr="002E33A0">
        <w:rPr>
          <w:sz w:val="16"/>
          <w:szCs w:val="16"/>
        </w:rPr>
        <w:t xml:space="preserve"> </w:t>
      </w:r>
      <w:r>
        <w:rPr>
          <w:sz w:val="16"/>
          <w:szCs w:val="16"/>
        </w:rPr>
        <w:t>&lt;</w:t>
      </w:r>
      <w:hyperlink r:id="rId10" w:history="1">
        <w:r w:rsidRPr="00712DEE">
          <w:rPr>
            <w:rStyle w:val="Hyperlink"/>
            <w:sz w:val="16"/>
            <w:szCs w:val="16"/>
          </w:rPr>
          <w:t>https://www.finder.com.au/news/digital-divide-49-percent-of-kids-lack-tech-access</w:t>
        </w:r>
      </w:hyperlink>
      <w:r>
        <w:rPr>
          <w:sz w:val="16"/>
          <w:szCs w:val="16"/>
        </w:rPr>
        <w:t>&gt;</w:t>
      </w:r>
      <w:r w:rsidR="003B74E9">
        <w:rPr>
          <w:sz w:val="16"/>
          <w:szCs w:val="16"/>
        </w:rPr>
        <w:t>.</w:t>
      </w:r>
    </w:p>
  </w:footnote>
  <w:footnote w:id="19">
    <w:p w14:paraId="4CAAC348" w14:textId="77777777" w:rsidR="006539B6" w:rsidRDefault="006539B6" w:rsidP="006539B6">
      <w:pPr>
        <w:pStyle w:val="FootnoteText"/>
      </w:pPr>
      <w:r w:rsidRPr="002E33A0">
        <w:rPr>
          <w:rStyle w:val="FootnoteReference"/>
          <w:sz w:val="16"/>
          <w:szCs w:val="16"/>
        </w:rPr>
        <w:footnoteRef/>
      </w:r>
      <w:r w:rsidRPr="002E33A0">
        <w:rPr>
          <w:sz w:val="16"/>
          <w:szCs w:val="16"/>
        </w:rPr>
        <w:t xml:space="preserve"> </w:t>
      </w:r>
      <w:r>
        <w:rPr>
          <w:sz w:val="16"/>
          <w:szCs w:val="16"/>
        </w:rPr>
        <w:t xml:space="preserve">Ibid. </w:t>
      </w:r>
      <w:r>
        <w:t xml:space="preserve"> </w:t>
      </w:r>
    </w:p>
  </w:footnote>
  <w:footnote w:id="20">
    <w:p w14:paraId="4E1278E6" w14:textId="13BE623A" w:rsidR="006539B6" w:rsidRPr="00F94B0E" w:rsidRDefault="006539B6" w:rsidP="006539B6">
      <w:pPr>
        <w:pStyle w:val="FootnoteText"/>
        <w:rPr>
          <w:sz w:val="16"/>
          <w:szCs w:val="16"/>
        </w:rPr>
      </w:pPr>
      <w:r w:rsidRPr="00F94B0E">
        <w:rPr>
          <w:rStyle w:val="FootnoteReference"/>
          <w:sz w:val="16"/>
          <w:szCs w:val="16"/>
        </w:rPr>
        <w:footnoteRef/>
      </w:r>
      <w:r w:rsidRPr="00F94B0E">
        <w:rPr>
          <w:sz w:val="16"/>
          <w:szCs w:val="16"/>
        </w:rPr>
        <w:t xml:space="preserve"> WorkVentures</w:t>
      </w:r>
      <w:r>
        <w:rPr>
          <w:sz w:val="16"/>
          <w:szCs w:val="16"/>
        </w:rPr>
        <w:t xml:space="preserve">, </w:t>
      </w:r>
      <w:r w:rsidR="00896CC0">
        <w:rPr>
          <w:sz w:val="16"/>
          <w:szCs w:val="16"/>
        </w:rPr>
        <w:t>‘</w:t>
      </w:r>
      <w:r w:rsidRPr="00F94B0E">
        <w:rPr>
          <w:sz w:val="16"/>
          <w:szCs w:val="16"/>
        </w:rPr>
        <w:t>Bridging the digital divide for Australia’s disadvantaged school students</w:t>
      </w:r>
      <w:r w:rsidR="00896CC0">
        <w:rPr>
          <w:sz w:val="16"/>
          <w:szCs w:val="16"/>
        </w:rPr>
        <w:t>’</w:t>
      </w:r>
      <w:r>
        <w:rPr>
          <w:sz w:val="16"/>
          <w:szCs w:val="16"/>
        </w:rPr>
        <w:t xml:space="preserve"> (Media Release, </w:t>
      </w:r>
      <w:r w:rsidR="00896CC0">
        <w:rPr>
          <w:sz w:val="16"/>
          <w:szCs w:val="16"/>
        </w:rPr>
        <w:t xml:space="preserve">24 January </w:t>
      </w:r>
      <w:r>
        <w:rPr>
          <w:sz w:val="16"/>
          <w:szCs w:val="16"/>
        </w:rPr>
        <w:t>2024) &lt;</w:t>
      </w:r>
      <w:hyperlink r:id="rId11" w:history="1">
        <w:r w:rsidRPr="00712DEE">
          <w:rPr>
            <w:rStyle w:val="Hyperlink"/>
            <w:sz w:val="16"/>
            <w:szCs w:val="16"/>
          </w:rPr>
          <w:t>https://catalog.workventures.com.au/flip-book/366501/850282/page/1</w:t>
        </w:r>
      </w:hyperlink>
      <w:r>
        <w:rPr>
          <w:sz w:val="16"/>
          <w:szCs w:val="16"/>
        </w:rPr>
        <w:t>&gt;</w:t>
      </w:r>
      <w:r w:rsidR="00896CC0">
        <w:rPr>
          <w:sz w:val="16"/>
          <w:szCs w:val="16"/>
        </w:rPr>
        <w:t>.</w:t>
      </w:r>
    </w:p>
  </w:footnote>
  <w:footnote w:id="21">
    <w:p w14:paraId="35B4DDEE" w14:textId="09ECC9C9" w:rsidR="006539B6" w:rsidRDefault="006539B6" w:rsidP="006539B6">
      <w:pPr>
        <w:pStyle w:val="FootnoteText"/>
      </w:pPr>
      <w:r w:rsidRPr="00F94B0E">
        <w:rPr>
          <w:rStyle w:val="FootnoteReference"/>
          <w:sz w:val="16"/>
          <w:szCs w:val="16"/>
        </w:rPr>
        <w:footnoteRef/>
      </w:r>
      <w:r w:rsidRPr="00F94B0E">
        <w:rPr>
          <w:sz w:val="16"/>
          <w:szCs w:val="16"/>
        </w:rPr>
        <w:t xml:space="preserve"> First Nations Digital Inclusion Advisory Group, </w:t>
      </w:r>
      <w:r w:rsidRPr="00AF5417">
        <w:rPr>
          <w:i/>
          <w:iCs/>
          <w:sz w:val="16"/>
          <w:szCs w:val="16"/>
        </w:rPr>
        <w:t>Initial Report</w:t>
      </w:r>
      <w:r w:rsidRPr="00F94B0E">
        <w:rPr>
          <w:sz w:val="16"/>
          <w:szCs w:val="16"/>
        </w:rPr>
        <w:t xml:space="preserve"> (Report, 2023) 30 </w:t>
      </w:r>
      <w:r>
        <w:rPr>
          <w:sz w:val="16"/>
          <w:szCs w:val="16"/>
        </w:rPr>
        <w:t>&lt;</w:t>
      </w:r>
      <w:hyperlink r:id="rId12" w:history="1">
        <w:r w:rsidRPr="00712DEE">
          <w:rPr>
            <w:rStyle w:val="Hyperlink"/>
            <w:sz w:val="16"/>
            <w:szCs w:val="16"/>
          </w:rPr>
          <w:t>https://www.digitalinclusion.gov.au/sites/default/files/documents/first-nations-digital-inclusion-advisory-group-initial-report.pdf</w:t>
        </w:r>
      </w:hyperlink>
      <w:r w:rsidRPr="00F94B0E">
        <w:rPr>
          <w:sz w:val="16"/>
          <w:szCs w:val="16"/>
        </w:rPr>
        <w:t>.</w:t>
      </w:r>
      <w:r>
        <w:rPr>
          <w:sz w:val="16"/>
          <w:szCs w:val="16"/>
        </w:rPr>
        <w:t>&gt;</w:t>
      </w:r>
      <w:r w:rsidR="00896CC0">
        <w:rPr>
          <w:sz w:val="16"/>
          <w:szCs w:val="16"/>
        </w:rPr>
        <w:t>.</w:t>
      </w:r>
      <w:r>
        <w:rPr>
          <w:sz w:val="16"/>
          <w:szCs w:val="16"/>
        </w:rPr>
        <w:t xml:space="preserve"> </w:t>
      </w:r>
    </w:p>
  </w:footnote>
  <w:footnote w:id="22">
    <w:p w14:paraId="3DB19DCD" w14:textId="2BD7CBA4" w:rsidR="0012079F" w:rsidRPr="00A25F78" w:rsidRDefault="0012079F" w:rsidP="0012079F">
      <w:pPr>
        <w:pStyle w:val="FootnoteText"/>
        <w:rPr>
          <w:sz w:val="16"/>
          <w:szCs w:val="16"/>
        </w:rPr>
      </w:pPr>
      <w:r w:rsidRPr="00A25F78">
        <w:rPr>
          <w:rStyle w:val="FootnoteReference"/>
          <w:sz w:val="16"/>
          <w:szCs w:val="16"/>
        </w:rPr>
        <w:footnoteRef/>
      </w:r>
      <w:r w:rsidRPr="00A25F78">
        <w:rPr>
          <w:sz w:val="16"/>
          <w:szCs w:val="16"/>
        </w:rPr>
        <w:t xml:space="preserve"> NBN</w:t>
      </w:r>
      <w:r>
        <w:rPr>
          <w:sz w:val="16"/>
          <w:szCs w:val="16"/>
        </w:rPr>
        <w:t xml:space="preserve">, </w:t>
      </w:r>
      <w:r w:rsidRPr="00AF5417">
        <w:rPr>
          <w:i/>
          <w:iCs/>
          <w:sz w:val="16"/>
          <w:szCs w:val="16"/>
        </w:rPr>
        <w:t>Low-Income and Digital Inclusion Forum</w:t>
      </w:r>
      <w:r w:rsidR="001247A2">
        <w:rPr>
          <w:i/>
          <w:iCs/>
          <w:sz w:val="16"/>
          <w:szCs w:val="16"/>
        </w:rPr>
        <w:t xml:space="preserve"> Annual Report</w:t>
      </w:r>
      <w:r w:rsidRPr="00A25F78">
        <w:rPr>
          <w:sz w:val="16"/>
          <w:szCs w:val="16"/>
        </w:rPr>
        <w:t xml:space="preserve"> (Report, 2024) 12. </w:t>
      </w:r>
      <w:r>
        <w:rPr>
          <w:sz w:val="16"/>
          <w:szCs w:val="16"/>
        </w:rPr>
        <w:t>&lt;</w:t>
      </w:r>
      <w:hyperlink r:id="rId13" w:history="1">
        <w:r w:rsidRPr="00A25F78">
          <w:rPr>
            <w:rStyle w:val="Hyperlink"/>
            <w:sz w:val="16"/>
            <w:szCs w:val="16"/>
          </w:rPr>
          <w:t>https://www.nbnco.com.au/content/dam/nbn/documents/sell/industry-consultation/LIDIF-annual-report.pdf.coredownload.pdf</w:t>
        </w:r>
      </w:hyperlink>
      <w:r>
        <w:rPr>
          <w:sz w:val="16"/>
          <w:szCs w:val="16"/>
        </w:rPr>
        <w:t>&gt;</w:t>
      </w:r>
      <w:r w:rsidR="001247A2">
        <w:rPr>
          <w:sz w:val="16"/>
          <w:szCs w:val="16"/>
        </w:rPr>
        <w:t>.</w:t>
      </w:r>
    </w:p>
  </w:footnote>
  <w:footnote w:id="23">
    <w:p w14:paraId="61FF86B4" w14:textId="4FA0C1E2" w:rsidR="0012079F" w:rsidRDefault="0012079F" w:rsidP="0012079F">
      <w:pPr>
        <w:pStyle w:val="FootnoteText"/>
      </w:pPr>
      <w:r w:rsidRPr="00F30771">
        <w:rPr>
          <w:rStyle w:val="FootnoteReference"/>
          <w:sz w:val="16"/>
          <w:szCs w:val="16"/>
        </w:rPr>
        <w:footnoteRef/>
      </w:r>
      <w:r w:rsidRPr="00F30771">
        <w:rPr>
          <w:sz w:val="16"/>
          <w:szCs w:val="16"/>
        </w:rPr>
        <w:t xml:space="preserve"> </w:t>
      </w:r>
      <w:r w:rsidR="001247A2">
        <w:rPr>
          <w:sz w:val="16"/>
          <w:szCs w:val="16"/>
        </w:rPr>
        <w:t>Ibid.</w:t>
      </w:r>
    </w:p>
  </w:footnote>
  <w:footnote w:id="24">
    <w:p w14:paraId="7E6C4D0A" w14:textId="653AE8B8" w:rsidR="000E0C23" w:rsidRPr="00A25F78" w:rsidRDefault="000E0C23" w:rsidP="000E0C23">
      <w:pPr>
        <w:pStyle w:val="FootnoteText"/>
        <w:rPr>
          <w:sz w:val="16"/>
          <w:szCs w:val="16"/>
        </w:rPr>
      </w:pPr>
      <w:r w:rsidRPr="00A25F78">
        <w:rPr>
          <w:rStyle w:val="FootnoteReference"/>
          <w:sz w:val="16"/>
          <w:szCs w:val="16"/>
        </w:rPr>
        <w:footnoteRef/>
      </w:r>
      <w:r w:rsidRPr="00A25F78">
        <w:rPr>
          <w:sz w:val="16"/>
          <w:szCs w:val="16"/>
        </w:rPr>
        <w:t xml:space="preserve"> Good Things Foundation, What is the National Device Bank? (Webpage, 2024) </w:t>
      </w:r>
      <w:r>
        <w:rPr>
          <w:sz w:val="16"/>
          <w:szCs w:val="16"/>
        </w:rPr>
        <w:t>&lt;</w:t>
      </w:r>
      <w:hyperlink r:id="rId14" w:history="1">
        <w:r w:rsidR="00BD3CCC" w:rsidRPr="00BD3CCC">
          <w:rPr>
            <w:rStyle w:val="Hyperlink"/>
            <w:sz w:val="16"/>
            <w:szCs w:val="16"/>
          </w:rPr>
          <w:t>https://www.goodthingsfoundation.org/our-services/national-device-bank</w:t>
        </w:r>
      </w:hyperlink>
      <w:r>
        <w:rPr>
          <w:sz w:val="16"/>
          <w:szCs w:val="16"/>
        </w:rPr>
        <w:t>&gt;</w:t>
      </w:r>
      <w:r w:rsidR="001247A2">
        <w:rPr>
          <w:sz w:val="16"/>
          <w:szCs w:val="16"/>
        </w:rPr>
        <w:t>.</w:t>
      </w:r>
    </w:p>
  </w:footnote>
  <w:footnote w:id="25">
    <w:p w14:paraId="1BD47CF5" w14:textId="5ADA8352" w:rsidR="000E0C23" w:rsidRPr="00A25F78" w:rsidRDefault="000E0C23" w:rsidP="000E0C23">
      <w:pPr>
        <w:pStyle w:val="FootnoteText"/>
        <w:rPr>
          <w:sz w:val="16"/>
          <w:szCs w:val="16"/>
        </w:rPr>
      </w:pPr>
      <w:r w:rsidRPr="00A25F78">
        <w:rPr>
          <w:rStyle w:val="FootnoteReference"/>
          <w:sz w:val="16"/>
          <w:szCs w:val="16"/>
        </w:rPr>
        <w:footnoteRef/>
      </w:r>
      <w:r w:rsidRPr="00A25F78">
        <w:rPr>
          <w:sz w:val="16"/>
          <w:szCs w:val="16"/>
        </w:rPr>
        <w:t xml:space="preserve"> Work</w:t>
      </w:r>
      <w:r w:rsidR="005C2778">
        <w:rPr>
          <w:sz w:val="16"/>
          <w:szCs w:val="16"/>
        </w:rPr>
        <w:t>V</w:t>
      </w:r>
      <w:r w:rsidRPr="00A25F78">
        <w:rPr>
          <w:sz w:val="16"/>
          <w:szCs w:val="16"/>
        </w:rPr>
        <w:t xml:space="preserve">entures, 2024, National Device Bank (Webpage, 2024) </w:t>
      </w:r>
      <w:r>
        <w:rPr>
          <w:sz w:val="16"/>
          <w:szCs w:val="16"/>
        </w:rPr>
        <w:t>&lt;</w:t>
      </w:r>
      <w:hyperlink r:id="rId15" w:history="1">
        <w:r w:rsidR="00BD3CCC" w:rsidRPr="00BD3CCC">
          <w:rPr>
            <w:rStyle w:val="Hyperlink"/>
            <w:sz w:val="16"/>
            <w:szCs w:val="16"/>
          </w:rPr>
          <w:t>https://workventures.com.au/national-device-bank/</w:t>
        </w:r>
      </w:hyperlink>
      <w:r>
        <w:rPr>
          <w:sz w:val="16"/>
          <w:szCs w:val="16"/>
        </w:rPr>
        <w:t>&gt;</w:t>
      </w:r>
      <w:r w:rsidR="001247A2">
        <w:rPr>
          <w:sz w:val="16"/>
          <w:szCs w:val="16"/>
        </w:rPr>
        <w:t>.</w:t>
      </w:r>
    </w:p>
  </w:footnote>
  <w:footnote w:id="26">
    <w:p w14:paraId="2A059A03" w14:textId="758737DD" w:rsidR="00DB024B" w:rsidRDefault="00DB024B" w:rsidP="00DB024B">
      <w:pPr>
        <w:pStyle w:val="FootnoteText"/>
      </w:pPr>
      <w:r w:rsidRPr="00A32F9C">
        <w:rPr>
          <w:rStyle w:val="FootnoteReference"/>
          <w:sz w:val="16"/>
          <w:szCs w:val="16"/>
        </w:rPr>
        <w:footnoteRef/>
      </w:r>
      <w:r w:rsidRPr="00A32F9C">
        <w:rPr>
          <w:sz w:val="16"/>
          <w:szCs w:val="16"/>
        </w:rPr>
        <w:t xml:space="preserve"> Accenture</w:t>
      </w:r>
      <w:r>
        <w:rPr>
          <w:sz w:val="16"/>
          <w:szCs w:val="16"/>
        </w:rPr>
        <w:t xml:space="preserve">, </w:t>
      </w:r>
      <w:r w:rsidRPr="00A32F9C">
        <w:rPr>
          <w:i/>
          <w:iCs/>
          <w:sz w:val="16"/>
          <w:szCs w:val="16"/>
        </w:rPr>
        <w:t>Mapping dispute resolution on digital platforms</w:t>
      </w:r>
      <w:r>
        <w:rPr>
          <w:i/>
          <w:iCs/>
          <w:sz w:val="16"/>
          <w:szCs w:val="16"/>
        </w:rPr>
        <w:t xml:space="preserve"> </w:t>
      </w:r>
      <w:r w:rsidRPr="00EB2337">
        <w:rPr>
          <w:sz w:val="16"/>
          <w:szCs w:val="16"/>
        </w:rPr>
        <w:t>(Report, 2023) 3.</w:t>
      </w:r>
      <w:r w:rsidR="00DF6520">
        <w:rPr>
          <w:sz w:val="16"/>
          <w:szCs w:val="16"/>
        </w:rPr>
        <w:t xml:space="preserve"> </w:t>
      </w:r>
      <w:r w:rsidR="00FC2931">
        <w:rPr>
          <w:sz w:val="16"/>
          <w:szCs w:val="16"/>
        </w:rPr>
        <w:t>&lt;</w:t>
      </w:r>
      <w:hyperlink r:id="rId16" w:history="1">
        <w:r w:rsidR="00FC2931" w:rsidRPr="00753A4C">
          <w:rPr>
            <w:rStyle w:val="Hyperlink"/>
            <w:sz w:val="16"/>
            <w:szCs w:val="16"/>
          </w:rPr>
          <w:t>https://www.infrastructure.gov.au/sites/default/files/documents/foi--23-037.pdf</w:t>
        </w:r>
      </w:hyperlink>
      <w:r>
        <w:rPr>
          <w:rStyle w:val="Hyperlink"/>
          <w:sz w:val="16"/>
          <w:szCs w:val="16"/>
        </w:rPr>
        <w:t>.</w:t>
      </w:r>
      <w:r w:rsidR="00FC2931">
        <w:rPr>
          <w:rStyle w:val="Hyperlink"/>
          <w:sz w:val="16"/>
          <w:szCs w:val="16"/>
        </w:rPr>
        <w:t>&gt;</w:t>
      </w:r>
      <w:r w:rsidR="001247A2">
        <w:rPr>
          <w:rStyle w:val="Hyperlink"/>
          <w:sz w:val="16"/>
          <w:szCs w:val="16"/>
        </w:rPr>
        <w:t>.</w:t>
      </w:r>
    </w:p>
  </w:footnote>
  <w:footnote w:id="27">
    <w:p w14:paraId="4F461A39" w14:textId="7633AC80" w:rsidR="00D6477D" w:rsidRPr="009E0742" w:rsidRDefault="00D6477D" w:rsidP="00D6477D">
      <w:pPr>
        <w:pStyle w:val="FootnoteText"/>
        <w:contextualSpacing/>
        <w:rPr>
          <w:sz w:val="16"/>
          <w:szCs w:val="16"/>
        </w:rPr>
      </w:pPr>
      <w:r w:rsidRPr="009E0742">
        <w:rPr>
          <w:rStyle w:val="FootnoteReference"/>
          <w:sz w:val="16"/>
          <w:szCs w:val="16"/>
        </w:rPr>
        <w:footnoteRef/>
      </w:r>
      <w:r w:rsidRPr="009E0742">
        <w:rPr>
          <w:sz w:val="16"/>
          <w:szCs w:val="16"/>
        </w:rPr>
        <w:t xml:space="preserve"> Accenture</w:t>
      </w:r>
      <w:r w:rsidR="00D6498E">
        <w:rPr>
          <w:sz w:val="16"/>
          <w:szCs w:val="16"/>
        </w:rPr>
        <w:t>,</w:t>
      </w:r>
      <w:r w:rsidRPr="009E0742">
        <w:rPr>
          <w:sz w:val="16"/>
          <w:szCs w:val="16"/>
        </w:rPr>
        <w:t xml:space="preserve"> </w:t>
      </w:r>
      <w:r w:rsidRPr="009E0742">
        <w:rPr>
          <w:i/>
          <w:iCs/>
          <w:sz w:val="16"/>
          <w:szCs w:val="16"/>
        </w:rPr>
        <w:t>Mapping dispute resolution on digital platforms</w:t>
      </w:r>
      <w:r w:rsidR="00E04FD1">
        <w:rPr>
          <w:sz w:val="16"/>
          <w:szCs w:val="16"/>
        </w:rPr>
        <w:t xml:space="preserve"> </w:t>
      </w:r>
      <w:r w:rsidR="00D6498E">
        <w:rPr>
          <w:sz w:val="16"/>
          <w:szCs w:val="16"/>
        </w:rPr>
        <w:t>(Report, 2023) 2</w:t>
      </w:r>
      <w:r w:rsidR="00E04FD1">
        <w:rPr>
          <w:sz w:val="16"/>
          <w:szCs w:val="16"/>
        </w:rPr>
        <w:t xml:space="preserve">                                                                                                                     &lt;</w:t>
      </w:r>
      <w:hyperlink r:id="rId17" w:history="1">
        <w:r w:rsidR="00E04FD1" w:rsidRPr="00E04FD1">
          <w:rPr>
            <w:rStyle w:val="Hyperlink"/>
            <w:sz w:val="16"/>
            <w:szCs w:val="16"/>
          </w:rPr>
          <w:t>https://www.infrastructure.gov.au/sites/default/files/documents/foi--23-037.pdf</w:t>
        </w:r>
      </w:hyperlink>
      <w:r w:rsidR="00E04FD1">
        <w:rPr>
          <w:sz w:val="16"/>
          <w:szCs w:val="16"/>
        </w:rPr>
        <w:t xml:space="preserve">&gt; </w:t>
      </w:r>
    </w:p>
  </w:footnote>
  <w:footnote w:id="28">
    <w:p w14:paraId="2D9E71BD" w14:textId="1EA3C2F4" w:rsidR="0007711D" w:rsidRDefault="0007711D">
      <w:pPr>
        <w:pStyle w:val="FootnoteText"/>
      </w:pPr>
      <w:r w:rsidRPr="005577E2">
        <w:rPr>
          <w:rStyle w:val="FootnoteReference"/>
          <w:sz w:val="16"/>
          <w:szCs w:val="16"/>
        </w:rPr>
        <w:footnoteRef/>
      </w:r>
      <w:r w:rsidRPr="005577E2">
        <w:rPr>
          <w:sz w:val="16"/>
          <w:szCs w:val="16"/>
        </w:rPr>
        <w:t xml:space="preserve"> ACCAN, </w:t>
      </w:r>
      <w:r w:rsidR="005577E2" w:rsidRPr="00AF5417">
        <w:rPr>
          <w:i/>
          <w:iCs/>
          <w:sz w:val="16"/>
          <w:szCs w:val="16"/>
        </w:rPr>
        <w:t>ACCAN Submission to ACCC DPSI Final Report 2024</w:t>
      </w:r>
      <w:r w:rsidR="005577E2" w:rsidRPr="005577E2">
        <w:rPr>
          <w:sz w:val="16"/>
          <w:szCs w:val="16"/>
        </w:rPr>
        <w:t xml:space="preserve"> (Submission, 2024) 2 </w:t>
      </w:r>
      <w:r w:rsidR="00976E98">
        <w:rPr>
          <w:sz w:val="16"/>
          <w:szCs w:val="16"/>
        </w:rPr>
        <w:t xml:space="preserve">                                                                                                  </w:t>
      </w:r>
      <w:r w:rsidR="005577E2" w:rsidRPr="005577E2">
        <w:rPr>
          <w:sz w:val="16"/>
          <w:szCs w:val="16"/>
        </w:rPr>
        <w:t>&lt;</w:t>
      </w:r>
      <w:hyperlink r:id="rId18" w:history="1">
        <w:r w:rsidR="00976E98" w:rsidRPr="00753A4C">
          <w:rPr>
            <w:rStyle w:val="Hyperlink"/>
            <w:sz w:val="16"/>
            <w:szCs w:val="16"/>
          </w:rPr>
          <w:t>https://accan.org.au/files/Submissions/2024/ACCAN%20Submission%20to%20ACCC%20DPSI%20Final%20Report%202024.pdf</w:t>
        </w:r>
      </w:hyperlink>
      <w:r w:rsidR="005577E2" w:rsidRPr="005577E2">
        <w:rPr>
          <w:sz w:val="16"/>
          <w:szCs w:val="16"/>
        </w:rPr>
        <w:t>&gt;</w:t>
      </w:r>
      <w:r w:rsidR="00315C4A">
        <w:rPr>
          <w:sz w:val="16"/>
          <w:szCs w:val="16"/>
        </w:rPr>
        <w:t>.</w:t>
      </w:r>
      <w:r w:rsidR="005577E2" w:rsidRPr="005577E2">
        <w:rPr>
          <w:sz w:val="16"/>
          <w:szCs w:val="16"/>
        </w:rPr>
        <w:t xml:space="preserve"> </w:t>
      </w:r>
    </w:p>
  </w:footnote>
  <w:footnote w:id="29">
    <w:p w14:paraId="5DFD868F" w14:textId="20057198" w:rsidR="002D3530" w:rsidRDefault="002D3530">
      <w:pPr>
        <w:pStyle w:val="FootnoteText"/>
      </w:pPr>
      <w:r w:rsidRPr="002D3530">
        <w:rPr>
          <w:rStyle w:val="FootnoteReference"/>
          <w:sz w:val="16"/>
          <w:szCs w:val="16"/>
        </w:rPr>
        <w:footnoteRef/>
      </w:r>
      <w:r w:rsidRPr="002D3530">
        <w:rPr>
          <w:sz w:val="16"/>
          <w:szCs w:val="16"/>
        </w:rPr>
        <w:t xml:space="preserve"> Ibid. </w:t>
      </w:r>
    </w:p>
  </w:footnote>
  <w:footnote w:id="30">
    <w:p w14:paraId="1F0CA1C2" w14:textId="759DEC68" w:rsidR="00905B47" w:rsidRPr="009110F4" w:rsidRDefault="00905B47" w:rsidP="00905B47">
      <w:pPr>
        <w:pStyle w:val="FootnoteText"/>
        <w:rPr>
          <w:sz w:val="16"/>
          <w:szCs w:val="16"/>
        </w:rPr>
      </w:pPr>
      <w:r w:rsidRPr="009E0742">
        <w:rPr>
          <w:rStyle w:val="FootnoteReference"/>
          <w:sz w:val="16"/>
          <w:szCs w:val="16"/>
        </w:rPr>
        <w:footnoteRef/>
      </w:r>
      <w:r w:rsidRPr="009E0742">
        <w:rPr>
          <w:sz w:val="16"/>
          <w:szCs w:val="16"/>
        </w:rPr>
        <w:t xml:space="preserve"> Holly Raiche, Derek Wilding, Karen Lee </w:t>
      </w:r>
      <w:r w:rsidR="00315C4A">
        <w:rPr>
          <w:sz w:val="16"/>
          <w:szCs w:val="16"/>
        </w:rPr>
        <w:t>and</w:t>
      </w:r>
      <w:r w:rsidRPr="009E0742">
        <w:rPr>
          <w:sz w:val="16"/>
          <w:szCs w:val="16"/>
        </w:rPr>
        <w:t xml:space="preserve"> Anita Stuhmcke, </w:t>
      </w:r>
      <w:r w:rsidRPr="009E0742">
        <w:rPr>
          <w:i/>
          <w:iCs/>
          <w:sz w:val="16"/>
          <w:szCs w:val="16"/>
        </w:rPr>
        <w:t xml:space="preserve">Digital Platform Complaint Handling: Options for an External </w:t>
      </w:r>
      <w:r w:rsidRPr="009110F4">
        <w:rPr>
          <w:i/>
          <w:iCs/>
          <w:sz w:val="16"/>
          <w:szCs w:val="16"/>
        </w:rPr>
        <w:t>Dispute Resolution Scheme</w:t>
      </w:r>
      <w:r w:rsidR="000863E3">
        <w:rPr>
          <w:i/>
          <w:iCs/>
          <w:sz w:val="16"/>
          <w:szCs w:val="16"/>
        </w:rPr>
        <w:t xml:space="preserve"> </w:t>
      </w:r>
      <w:r w:rsidR="000863E3">
        <w:rPr>
          <w:sz w:val="16"/>
          <w:szCs w:val="16"/>
        </w:rPr>
        <w:t>(Report,</w:t>
      </w:r>
      <w:r w:rsidR="00962E05">
        <w:rPr>
          <w:sz w:val="16"/>
          <w:szCs w:val="16"/>
        </w:rPr>
        <w:t xml:space="preserve"> 2022) 5</w:t>
      </w:r>
      <w:r w:rsidRPr="009110F4">
        <w:rPr>
          <w:sz w:val="16"/>
          <w:szCs w:val="16"/>
        </w:rPr>
        <w:t xml:space="preserve"> </w:t>
      </w:r>
      <w:r w:rsidR="000863E3">
        <w:rPr>
          <w:sz w:val="16"/>
          <w:szCs w:val="16"/>
        </w:rPr>
        <w:t>&lt;</w:t>
      </w:r>
      <w:hyperlink r:id="rId19" w:history="1">
        <w:r w:rsidRPr="009110F4">
          <w:rPr>
            <w:rStyle w:val="Hyperlink"/>
            <w:sz w:val="16"/>
            <w:szCs w:val="16"/>
          </w:rPr>
          <w:t>https://www.uts.edu.au/sites/default/files/2022-08/CMT%20DPCH%20Report%20-%20electronic%20version.pdf</w:t>
        </w:r>
      </w:hyperlink>
      <w:r w:rsidR="000863E3">
        <w:rPr>
          <w:sz w:val="16"/>
          <w:szCs w:val="16"/>
        </w:rPr>
        <w:t>&gt;</w:t>
      </w:r>
      <w:r w:rsidR="00962E05">
        <w:rPr>
          <w:sz w:val="16"/>
          <w:szCs w:val="16"/>
        </w:rPr>
        <w:t>.</w:t>
      </w:r>
    </w:p>
  </w:footnote>
  <w:footnote w:id="31">
    <w:p w14:paraId="661D7342" w14:textId="61F4C9C2" w:rsidR="00202DBB" w:rsidRDefault="00202DBB">
      <w:pPr>
        <w:pStyle w:val="FootnoteText"/>
      </w:pPr>
      <w:r w:rsidRPr="00AF5417">
        <w:rPr>
          <w:rStyle w:val="FootnoteReference"/>
          <w:sz w:val="16"/>
          <w:szCs w:val="16"/>
        </w:rPr>
        <w:footnoteRef/>
      </w:r>
      <w:r w:rsidRPr="00AF5417">
        <w:rPr>
          <w:sz w:val="16"/>
          <w:szCs w:val="16"/>
        </w:rPr>
        <w:t xml:space="preserve"> ACMA, </w:t>
      </w:r>
      <w:r w:rsidRPr="00AF5417">
        <w:rPr>
          <w:i/>
          <w:iCs/>
          <w:sz w:val="16"/>
          <w:szCs w:val="16"/>
        </w:rPr>
        <w:t>How we communicate: Executive summary and key findings</w:t>
      </w:r>
      <w:r w:rsidRPr="00AF5417">
        <w:rPr>
          <w:sz w:val="16"/>
          <w:szCs w:val="16"/>
        </w:rPr>
        <w:t xml:space="preserve"> (Report, 2023) 1 </w:t>
      </w:r>
      <w:r w:rsidR="00B87DA2" w:rsidRPr="00AF5417">
        <w:rPr>
          <w:sz w:val="16"/>
          <w:szCs w:val="16"/>
        </w:rPr>
        <w:t>&lt;</w:t>
      </w:r>
      <w:hyperlink r:id="rId20" w:history="1">
        <w:r w:rsidR="00B87DA2" w:rsidRPr="00AF5417">
          <w:rPr>
            <w:rStyle w:val="Hyperlink"/>
            <w:sz w:val="16"/>
            <w:szCs w:val="16"/>
          </w:rPr>
          <w:t>https://www.acma.gov.au/publications/2023-12/report/communications-and-media-australia-how-we-communicate</w:t>
        </w:r>
      </w:hyperlink>
      <w:r w:rsidR="00B87DA2" w:rsidRPr="00AF5417">
        <w:rPr>
          <w:sz w:val="16"/>
          <w:szCs w:val="16"/>
        </w:rPr>
        <w:t>&gt;</w:t>
      </w:r>
      <w:r w:rsidR="00895A78">
        <w:rPr>
          <w:sz w:val="16"/>
          <w:szCs w:val="16"/>
        </w:rPr>
        <w:t>.</w:t>
      </w:r>
    </w:p>
  </w:footnote>
  <w:footnote w:id="32">
    <w:p w14:paraId="38C8FA76" w14:textId="46833CB4" w:rsidR="00D23B3F" w:rsidRPr="00AF5417" w:rsidRDefault="00D23B3F">
      <w:pPr>
        <w:pStyle w:val="FootnoteText"/>
        <w:rPr>
          <w:sz w:val="16"/>
          <w:szCs w:val="16"/>
        </w:rPr>
      </w:pPr>
      <w:r w:rsidRPr="00AF5417">
        <w:rPr>
          <w:rStyle w:val="FootnoteReference"/>
          <w:sz w:val="16"/>
          <w:szCs w:val="16"/>
        </w:rPr>
        <w:footnoteRef/>
      </w:r>
      <w:r w:rsidRPr="00AF5417">
        <w:rPr>
          <w:sz w:val="16"/>
          <w:szCs w:val="16"/>
        </w:rPr>
        <w:t xml:space="preserve"> </w:t>
      </w:r>
      <w:r w:rsidRPr="00D23B3F">
        <w:rPr>
          <w:sz w:val="16"/>
          <w:szCs w:val="16"/>
        </w:rPr>
        <w:t xml:space="preserve">ACCAN, </w:t>
      </w:r>
      <w:r w:rsidRPr="00AF5417">
        <w:rPr>
          <w:i/>
          <w:iCs/>
          <w:sz w:val="16"/>
          <w:szCs w:val="16"/>
        </w:rPr>
        <w:t>Influence of International Digital Platforms</w:t>
      </w:r>
      <w:r w:rsidRPr="00D23B3F">
        <w:rPr>
          <w:sz w:val="16"/>
          <w:szCs w:val="16"/>
        </w:rPr>
        <w:t xml:space="preserve"> (Submission, 2023) 2 &lt;</w:t>
      </w:r>
      <w:hyperlink r:id="rId21" w:history="1">
        <w:r w:rsidRPr="00D23B3F">
          <w:rPr>
            <w:rStyle w:val="Hyperlink"/>
            <w:sz w:val="16"/>
            <w:szCs w:val="16"/>
          </w:rPr>
          <w:t>https://accan.org.au/accans-work/submissions/2074-influence-of-international-digital-platforms</w:t>
        </w:r>
      </w:hyperlink>
      <w:r w:rsidRPr="00D23B3F">
        <w:rPr>
          <w:sz w:val="16"/>
          <w:szCs w:val="16"/>
        </w:rPr>
        <w:t>&gt;</w:t>
      </w:r>
      <w:r w:rsidR="00895A78">
        <w:rPr>
          <w:sz w:val="16"/>
          <w:szCs w:val="16"/>
        </w:rPr>
        <w:t>.</w:t>
      </w:r>
    </w:p>
  </w:footnote>
  <w:footnote w:id="33">
    <w:p w14:paraId="1392F149" w14:textId="1B82DC4F" w:rsidR="004E4A31" w:rsidRPr="00F41910" w:rsidRDefault="004E4A31">
      <w:pPr>
        <w:pStyle w:val="FootnoteText"/>
        <w:rPr>
          <w:lang w:val="en-US"/>
        </w:rPr>
      </w:pPr>
      <w:r w:rsidRPr="00F41910">
        <w:rPr>
          <w:rStyle w:val="FootnoteReference"/>
          <w:sz w:val="16"/>
          <w:szCs w:val="16"/>
        </w:rPr>
        <w:footnoteRef/>
      </w:r>
      <w:r w:rsidRPr="00F41910">
        <w:rPr>
          <w:sz w:val="16"/>
          <w:szCs w:val="16"/>
        </w:rPr>
        <w:t xml:space="preserve"> </w:t>
      </w:r>
      <w:r w:rsidR="00692CCA" w:rsidRPr="00F41910">
        <w:rPr>
          <w:sz w:val="16"/>
          <w:szCs w:val="16"/>
        </w:rPr>
        <w:t xml:space="preserve">ACCAN, </w:t>
      </w:r>
      <w:r w:rsidR="00692CCA" w:rsidRPr="00F41910">
        <w:rPr>
          <w:i/>
          <w:sz w:val="16"/>
          <w:szCs w:val="16"/>
          <w:lang w:val="en-US"/>
        </w:rPr>
        <w:t>Joint Select Committee on Social Media and Australian Society</w:t>
      </w:r>
      <w:r w:rsidR="00692CCA" w:rsidRPr="00F41910">
        <w:rPr>
          <w:sz w:val="16"/>
          <w:szCs w:val="16"/>
          <w:lang w:val="en-US"/>
        </w:rPr>
        <w:t xml:space="preserve"> (Submission</w:t>
      </w:r>
      <w:r w:rsidR="005937D2">
        <w:rPr>
          <w:sz w:val="16"/>
          <w:szCs w:val="16"/>
          <w:lang w:val="en-US"/>
        </w:rPr>
        <w:t>,</w:t>
      </w:r>
      <w:r w:rsidR="00692CCA" w:rsidRPr="00F41910">
        <w:rPr>
          <w:sz w:val="16"/>
          <w:szCs w:val="16"/>
          <w:lang w:val="en-US"/>
        </w:rPr>
        <w:t xml:space="preserve"> 2024) </w:t>
      </w:r>
      <w:r w:rsidR="00545C98" w:rsidRPr="00F41910">
        <w:rPr>
          <w:sz w:val="16"/>
          <w:szCs w:val="16"/>
          <w:lang w:val="en-US"/>
        </w:rPr>
        <w:t>&lt;</w:t>
      </w:r>
      <w:hyperlink r:id="rId22" w:history="1">
        <w:r w:rsidR="00545E5B" w:rsidRPr="00F41910">
          <w:rPr>
            <w:rStyle w:val="Hyperlink"/>
            <w:sz w:val="16"/>
            <w:szCs w:val="16"/>
            <w:lang w:val="en-US"/>
          </w:rPr>
          <w:t>https://accan.org.au/accans-work/submissions/2315-joint-select-committee-on-social-media-and-australian-society</w:t>
        </w:r>
      </w:hyperlink>
      <w:r w:rsidR="00545C98" w:rsidRPr="00F41910">
        <w:rPr>
          <w:sz w:val="16"/>
          <w:szCs w:val="16"/>
          <w:lang w:val="en-US"/>
        </w:rPr>
        <w:t xml:space="preserve">&gt; </w:t>
      </w:r>
    </w:p>
  </w:footnote>
  <w:footnote w:id="34">
    <w:p w14:paraId="3262C247" w14:textId="0BECC845" w:rsidR="00D93906" w:rsidRDefault="00D93906" w:rsidP="00D93906">
      <w:pPr>
        <w:pStyle w:val="FootnoteText"/>
      </w:pPr>
      <w:r w:rsidRPr="00B5243A">
        <w:rPr>
          <w:rStyle w:val="FootnoteReference"/>
          <w:sz w:val="16"/>
          <w:szCs w:val="16"/>
        </w:rPr>
        <w:footnoteRef/>
      </w:r>
      <w:r w:rsidRPr="00B5243A">
        <w:rPr>
          <w:sz w:val="16"/>
          <w:szCs w:val="16"/>
        </w:rPr>
        <w:t xml:space="preserve"> </w:t>
      </w:r>
      <w:r w:rsidRPr="00891219">
        <w:rPr>
          <w:sz w:val="16"/>
          <w:szCs w:val="16"/>
        </w:rPr>
        <w:t>ACCAN</w:t>
      </w:r>
      <w:r>
        <w:rPr>
          <w:sz w:val="16"/>
          <w:szCs w:val="16"/>
        </w:rPr>
        <w:t xml:space="preserve">, </w:t>
      </w:r>
      <w:r w:rsidRPr="003B6668">
        <w:rPr>
          <w:i/>
          <w:iCs/>
          <w:sz w:val="16"/>
          <w:szCs w:val="16"/>
        </w:rPr>
        <w:t>2024 Regional Telecommunications Review</w:t>
      </w:r>
      <w:r>
        <w:rPr>
          <w:sz w:val="16"/>
          <w:szCs w:val="16"/>
        </w:rPr>
        <w:t xml:space="preserve"> (Submission, 2024)</w:t>
      </w:r>
      <w:r w:rsidRPr="00891219">
        <w:rPr>
          <w:sz w:val="16"/>
          <w:szCs w:val="16"/>
        </w:rPr>
        <w:t xml:space="preserve"> </w:t>
      </w:r>
      <w:r>
        <w:rPr>
          <w:sz w:val="16"/>
          <w:szCs w:val="16"/>
        </w:rPr>
        <w:t>4</w:t>
      </w:r>
      <w:r w:rsidR="008D6952">
        <w:rPr>
          <w:sz w:val="16"/>
          <w:szCs w:val="16"/>
        </w:rPr>
        <w:t xml:space="preserve"> </w:t>
      </w:r>
      <w:r w:rsidR="00FC2931">
        <w:rPr>
          <w:sz w:val="16"/>
          <w:szCs w:val="16"/>
        </w:rPr>
        <w:t>&lt;</w:t>
      </w:r>
      <w:hyperlink r:id="rId23" w:history="1">
        <w:r w:rsidRPr="00891219">
          <w:rPr>
            <w:rStyle w:val="Hyperlink"/>
            <w:sz w:val="16"/>
            <w:szCs w:val="16"/>
          </w:rPr>
          <w:t>https://accan.org.au/accans-work/submissions/2331-2024-regional-telecommunications-review</w:t>
        </w:r>
      </w:hyperlink>
      <w:r w:rsidR="00FC2931">
        <w:rPr>
          <w:sz w:val="16"/>
          <w:szCs w:val="16"/>
        </w:rPr>
        <w:t>&gt;</w:t>
      </w:r>
      <w:r w:rsidR="009D267D">
        <w:rPr>
          <w:sz w:val="16"/>
          <w:szCs w:val="16"/>
        </w:rPr>
        <w:t>.</w:t>
      </w:r>
    </w:p>
  </w:footnote>
  <w:footnote w:id="35">
    <w:p w14:paraId="400B5DEA" w14:textId="369C3AD2" w:rsidR="00193199" w:rsidRPr="008F4C5D" w:rsidRDefault="00193199">
      <w:pPr>
        <w:pStyle w:val="FootnoteText"/>
        <w:rPr>
          <w:sz w:val="16"/>
          <w:szCs w:val="16"/>
        </w:rPr>
      </w:pPr>
      <w:r w:rsidRPr="008F4C5D">
        <w:rPr>
          <w:rStyle w:val="FootnoteReference"/>
          <w:sz w:val="16"/>
          <w:szCs w:val="16"/>
        </w:rPr>
        <w:footnoteRef/>
      </w:r>
      <w:r w:rsidRPr="008F4C5D">
        <w:rPr>
          <w:sz w:val="16"/>
          <w:szCs w:val="16"/>
        </w:rPr>
        <w:t xml:space="preserve"> </w:t>
      </w:r>
      <w:r w:rsidR="00796BAB" w:rsidRPr="008F4C5D">
        <w:rPr>
          <w:sz w:val="16"/>
          <w:szCs w:val="16"/>
        </w:rPr>
        <w:t>DITRDCA, Per</w:t>
      </w:r>
      <w:r w:rsidR="008D6952">
        <w:rPr>
          <w:sz w:val="16"/>
          <w:szCs w:val="16"/>
        </w:rPr>
        <w:t>i</w:t>
      </w:r>
      <w:r w:rsidR="00796BAB" w:rsidRPr="008F4C5D">
        <w:rPr>
          <w:sz w:val="16"/>
          <w:szCs w:val="16"/>
        </w:rPr>
        <w:t>-Urban Mobile Program (Webpage, 2024) &lt;</w:t>
      </w:r>
      <w:hyperlink r:id="rId24" w:history="1">
        <w:r w:rsidR="00B81BAC" w:rsidRPr="00B81BAC">
          <w:rPr>
            <w:rStyle w:val="Hyperlink"/>
            <w:sz w:val="16"/>
            <w:szCs w:val="16"/>
          </w:rPr>
          <w:t>https://www.infrastructure.gov.au/media-communications-arts/phone/mobile-services-and-coverage/peri-urban-mobile-program</w:t>
        </w:r>
      </w:hyperlink>
      <w:r w:rsidR="00796BAB" w:rsidRPr="008F4C5D">
        <w:rPr>
          <w:sz w:val="16"/>
          <w:szCs w:val="16"/>
        </w:rPr>
        <w:t>&gt;</w:t>
      </w:r>
      <w:r w:rsidR="009D267D">
        <w:rPr>
          <w:sz w:val="16"/>
          <w:szCs w:val="16"/>
        </w:rPr>
        <w:t>.</w:t>
      </w:r>
      <w:r w:rsidR="00796BAB" w:rsidRPr="008F4C5D">
        <w:rPr>
          <w:sz w:val="16"/>
          <w:szCs w:val="16"/>
        </w:rPr>
        <w:t xml:space="preserve"> </w:t>
      </w:r>
    </w:p>
  </w:footnote>
  <w:footnote w:id="36">
    <w:p w14:paraId="1459A42C" w14:textId="771C25D3" w:rsidR="001A2AA3" w:rsidRPr="008F4C5D" w:rsidRDefault="001A2AA3">
      <w:pPr>
        <w:pStyle w:val="FootnoteText"/>
        <w:rPr>
          <w:sz w:val="16"/>
          <w:szCs w:val="16"/>
        </w:rPr>
      </w:pPr>
      <w:r w:rsidRPr="008F4C5D">
        <w:rPr>
          <w:rStyle w:val="FootnoteReference"/>
          <w:sz w:val="16"/>
          <w:szCs w:val="16"/>
        </w:rPr>
        <w:footnoteRef/>
      </w:r>
      <w:r w:rsidRPr="008F4C5D">
        <w:rPr>
          <w:sz w:val="16"/>
          <w:szCs w:val="16"/>
        </w:rPr>
        <w:t xml:space="preserve"> ACCAN, </w:t>
      </w:r>
      <w:r w:rsidRPr="00F41910">
        <w:rPr>
          <w:i/>
          <w:sz w:val="16"/>
          <w:szCs w:val="16"/>
        </w:rPr>
        <w:t>2024 Regional Telecommunications Review</w:t>
      </w:r>
      <w:r w:rsidRPr="008F4C5D">
        <w:rPr>
          <w:sz w:val="16"/>
          <w:szCs w:val="16"/>
        </w:rPr>
        <w:t xml:space="preserve"> (Submission, 2024) </w:t>
      </w:r>
      <w:r w:rsidR="006632FD" w:rsidRPr="008F4C5D">
        <w:rPr>
          <w:sz w:val="16"/>
          <w:szCs w:val="16"/>
        </w:rPr>
        <w:t>24</w:t>
      </w:r>
      <w:r w:rsidRPr="008F4C5D">
        <w:rPr>
          <w:sz w:val="16"/>
          <w:szCs w:val="16"/>
        </w:rPr>
        <w:t xml:space="preserve"> &lt;</w:t>
      </w:r>
      <w:hyperlink r:id="rId25" w:history="1">
        <w:r w:rsidR="009D267D" w:rsidRPr="009D267D">
          <w:rPr>
            <w:rStyle w:val="Hyperlink"/>
            <w:sz w:val="16"/>
            <w:szCs w:val="16"/>
          </w:rPr>
          <w:t>https://accan.org.au/accans-work/submissions/2331-2024-regional-telecommunications-review</w:t>
        </w:r>
      </w:hyperlink>
      <w:r w:rsidRPr="008F4C5D">
        <w:rPr>
          <w:sz w:val="16"/>
          <w:szCs w:val="16"/>
        </w:rPr>
        <w:t>&gt;</w:t>
      </w:r>
      <w:r w:rsidR="009D267D">
        <w:rPr>
          <w:sz w:val="16"/>
          <w:szCs w:val="16"/>
        </w:rPr>
        <w:t>.</w:t>
      </w:r>
    </w:p>
  </w:footnote>
  <w:footnote w:id="37">
    <w:p w14:paraId="46BBF289" w14:textId="77777777" w:rsidR="004469C9" w:rsidRPr="00891219" w:rsidRDefault="004469C9" w:rsidP="004469C9">
      <w:pPr>
        <w:pStyle w:val="FootnoteText"/>
        <w:rPr>
          <w:sz w:val="16"/>
          <w:szCs w:val="16"/>
        </w:rPr>
      </w:pPr>
      <w:r w:rsidRPr="00891219">
        <w:rPr>
          <w:rStyle w:val="FootnoteReference"/>
          <w:sz w:val="16"/>
          <w:szCs w:val="16"/>
        </w:rPr>
        <w:footnoteRef/>
      </w:r>
      <w:r w:rsidRPr="00891219">
        <w:rPr>
          <w:sz w:val="16"/>
          <w:szCs w:val="16"/>
        </w:rPr>
        <w:t xml:space="preserve"> Ibid. </w:t>
      </w:r>
    </w:p>
  </w:footnote>
  <w:footnote w:id="38">
    <w:p w14:paraId="33545CFE" w14:textId="77777777" w:rsidR="004469C9" w:rsidRPr="00891219" w:rsidRDefault="004469C9" w:rsidP="004469C9">
      <w:pPr>
        <w:pStyle w:val="FootnoteText"/>
        <w:rPr>
          <w:sz w:val="16"/>
          <w:szCs w:val="16"/>
        </w:rPr>
      </w:pPr>
      <w:r w:rsidRPr="00891219">
        <w:rPr>
          <w:rStyle w:val="FootnoteReference"/>
          <w:sz w:val="16"/>
          <w:szCs w:val="16"/>
        </w:rPr>
        <w:footnoteRef/>
      </w:r>
      <w:r w:rsidRPr="00891219">
        <w:rPr>
          <w:sz w:val="16"/>
          <w:szCs w:val="16"/>
        </w:rPr>
        <w:t xml:space="preserve"> Ibid. </w:t>
      </w:r>
    </w:p>
  </w:footnote>
  <w:footnote w:id="39">
    <w:p w14:paraId="2724EDC5" w14:textId="7D6679F2" w:rsidR="0096155D" w:rsidRPr="008F4C5D" w:rsidRDefault="0096155D">
      <w:pPr>
        <w:pStyle w:val="FootnoteText"/>
        <w:rPr>
          <w:sz w:val="16"/>
          <w:szCs w:val="16"/>
        </w:rPr>
      </w:pPr>
      <w:r w:rsidRPr="008F4C5D">
        <w:rPr>
          <w:rStyle w:val="FootnoteReference"/>
          <w:sz w:val="16"/>
          <w:szCs w:val="16"/>
        </w:rPr>
        <w:footnoteRef/>
      </w:r>
      <w:r w:rsidRPr="008F4C5D">
        <w:rPr>
          <w:sz w:val="16"/>
          <w:szCs w:val="16"/>
        </w:rPr>
        <w:t xml:space="preserve"> </w:t>
      </w:r>
      <w:r w:rsidR="008C4D25" w:rsidRPr="008F4C5D">
        <w:rPr>
          <w:sz w:val="16"/>
          <w:szCs w:val="16"/>
        </w:rPr>
        <w:t xml:space="preserve">ACCAN, </w:t>
      </w:r>
      <w:r w:rsidR="008C4D25" w:rsidRPr="00F41910">
        <w:rPr>
          <w:i/>
          <w:sz w:val="16"/>
          <w:szCs w:val="16"/>
        </w:rPr>
        <w:t>2024 Regional Telecommunications Review</w:t>
      </w:r>
      <w:r w:rsidR="008C4D25" w:rsidRPr="008F4C5D">
        <w:rPr>
          <w:sz w:val="16"/>
          <w:szCs w:val="16"/>
        </w:rPr>
        <w:t xml:space="preserve"> (Submission, 2024) </w:t>
      </w:r>
      <w:r w:rsidR="008C4D25">
        <w:rPr>
          <w:sz w:val="16"/>
          <w:szCs w:val="16"/>
        </w:rPr>
        <w:t>38</w:t>
      </w:r>
      <w:r w:rsidR="008C4D25" w:rsidRPr="008F4C5D">
        <w:rPr>
          <w:sz w:val="16"/>
          <w:szCs w:val="16"/>
        </w:rPr>
        <w:t xml:space="preserve"> &lt;</w:t>
      </w:r>
      <w:hyperlink r:id="rId26" w:history="1">
        <w:r w:rsidR="008C4D25" w:rsidRPr="009D267D">
          <w:rPr>
            <w:rStyle w:val="Hyperlink"/>
            <w:sz w:val="16"/>
            <w:szCs w:val="16"/>
          </w:rPr>
          <w:t>https://accan.org.au/accans-work/submissions/2331-2024-regional-telecommunications-review</w:t>
        </w:r>
      </w:hyperlink>
      <w:r w:rsidR="008C4D25" w:rsidRPr="008F4C5D">
        <w:rPr>
          <w:sz w:val="16"/>
          <w:szCs w:val="16"/>
        </w:rPr>
        <w:t>&gt;</w:t>
      </w:r>
      <w:r w:rsidR="008C4D25">
        <w:rPr>
          <w:sz w:val="16"/>
          <w:szCs w:val="16"/>
        </w:rPr>
        <w:t>.</w:t>
      </w:r>
    </w:p>
  </w:footnote>
  <w:footnote w:id="40">
    <w:p w14:paraId="06DFBBC8" w14:textId="15CBACA0" w:rsidR="00FB4954" w:rsidRPr="008F4C5D" w:rsidRDefault="00FB4954">
      <w:pPr>
        <w:pStyle w:val="FootnoteText"/>
        <w:rPr>
          <w:sz w:val="16"/>
          <w:szCs w:val="16"/>
        </w:rPr>
      </w:pPr>
      <w:r w:rsidRPr="008F4C5D">
        <w:rPr>
          <w:rStyle w:val="FootnoteReference"/>
          <w:sz w:val="16"/>
          <w:szCs w:val="16"/>
        </w:rPr>
        <w:footnoteRef/>
      </w:r>
      <w:r w:rsidRPr="008F4C5D">
        <w:rPr>
          <w:sz w:val="16"/>
          <w:szCs w:val="16"/>
        </w:rPr>
        <w:t xml:space="preserve"> </w:t>
      </w:r>
      <w:r w:rsidR="00FB5CF1">
        <w:rPr>
          <w:sz w:val="16"/>
          <w:szCs w:val="16"/>
        </w:rPr>
        <w:t xml:space="preserve">Ibid. </w:t>
      </w:r>
      <w:r w:rsidR="002B73C6" w:rsidRPr="00CD3DA3">
        <w:rPr>
          <w:sz w:val="16"/>
          <w:szCs w:val="16"/>
        </w:rPr>
        <w:t xml:space="preserve"> </w:t>
      </w:r>
    </w:p>
  </w:footnote>
  <w:footnote w:id="41">
    <w:p w14:paraId="33778C85" w14:textId="6FC493BD" w:rsidR="00FB4954" w:rsidRPr="008F4C5D" w:rsidRDefault="00FB4954" w:rsidP="00FB4954">
      <w:pPr>
        <w:pStyle w:val="FootnoteText"/>
        <w:rPr>
          <w:sz w:val="16"/>
          <w:szCs w:val="16"/>
        </w:rPr>
      </w:pPr>
      <w:r w:rsidRPr="008F4C5D">
        <w:rPr>
          <w:rStyle w:val="FootnoteReference"/>
          <w:sz w:val="16"/>
          <w:szCs w:val="16"/>
        </w:rPr>
        <w:footnoteRef/>
      </w:r>
      <w:r w:rsidRPr="008F4C5D">
        <w:rPr>
          <w:sz w:val="16"/>
          <w:szCs w:val="16"/>
        </w:rPr>
        <w:t xml:space="preserve"> Ibid. </w:t>
      </w:r>
    </w:p>
  </w:footnote>
  <w:footnote w:id="42">
    <w:p w14:paraId="46EF9534" w14:textId="0DE404D8" w:rsidR="00294E1F" w:rsidRPr="00CD3DA3" w:rsidRDefault="00294E1F" w:rsidP="00294E1F">
      <w:pPr>
        <w:pStyle w:val="FootnoteText"/>
        <w:rPr>
          <w:sz w:val="16"/>
          <w:szCs w:val="16"/>
        </w:rPr>
      </w:pPr>
      <w:r w:rsidRPr="00CD3DA3">
        <w:rPr>
          <w:rStyle w:val="FootnoteReference"/>
          <w:sz w:val="16"/>
          <w:szCs w:val="16"/>
        </w:rPr>
        <w:footnoteRef/>
      </w:r>
      <w:r w:rsidRPr="00CD3DA3">
        <w:rPr>
          <w:sz w:val="16"/>
          <w:szCs w:val="16"/>
        </w:rPr>
        <w:t xml:space="preserve"> ACCAN, </w:t>
      </w:r>
      <w:r w:rsidRPr="00AF5417">
        <w:rPr>
          <w:i/>
          <w:iCs/>
          <w:sz w:val="16"/>
          <w:szCs w:val="16"/>
        </w:rPr>
        <w:t>2024 Regional Telecommunications Review</w:t>
      </w:r>
      <w:r w:rsidRPr="00CD3DA3">
        <w:rPr>
          <w:sz w:val="16"/>
          <w:szCs w:val="16"/>
        </w:rPr>
        <w:t xml:space="preserve"> (Submission, 2024) 36 &lt;</w:t>
      </w:r>
      <w:hyperlink r:id="rId27" w:history="1">
        <w:r w:rsidR="009D267D" w:rsidRPr="009D267D">
          <w:rPr>
            <w:rStyle w:val="Hyperlink"/>
            <w:sz w:val="16"/>
            <w:szCs w:val="16"/>
          </w:rPr>
          <w:t>https://accan.org.au/accans-work/submissions/2331-2024-regional-telecommunications-review</w:t>
        </w:r>
      </w:hyperlink>
      <w:r w:rsidRPr="00CD3DA3">
        <w:rPr>
          <w:sz w:val="16"/>
          <w:szCs w:val="16"/>
        </w:rPr>
        <w:t>&gt;</w:t>
      </w:r>
      <w:r w:rsidR="009D267D">
        <w:rPr>
          <w:sz w:val="16"/>
          <w:szCs w:val="16"/>
        </w:rPr>
        <w:t>.</w:t>
      </w:r>
      <w:r w:rsidRPr="00CD3DA3">
        <w:rPr>
          <w:sz w:val="16"/>
          <w:szCs w:val="16"/>
        </w:rPr>
        <w:t xml:space="preserve"> </w:t>
      </w:r>
    </w:p>
  </w:footnote>
  <w:footnote w:id="43">
    <w:p w14:paraId="03D543DF" w14:textId="52BCB593" w:rsidR="00A95DB5" w:rsidRPr="00CD3DA3" w:rsidRDefault="00A95DB5">
      <w:pPr>
        <w:pStyle w:val="FootnoteText"/>
        <w:rPr>
          <w:sz w:val="16"/>
          <w:szCs w:val="16"/>
        </w:rPr>
      </w:pPr>
      <w:r w:rsidRPr="00CD3DA3">
        <w:rPr>
          <w:rStyle w:val="FootnoteReference"/>
          <w:sz w:val="16"/>
          <w:szCs w:val="16"/>
        </w:rPr>
        <w:footnoteRef/>
      </w:r>
      <w:r w:rsidRPr="00CD3DA3">
        <w:rPr>
          <w:sz w:val="16"/>
          <w:szCs w:val="16"/>
        </w:rPr>
        <w:t xml:space="preserve"> </w:t>
      </w:r>
      <w:r w:rsidR="00FB5CF1">
        <w:rPr>
          <w:sz w:val="16"/>
          <w:szCs w:val="16"/>
        </w:rPr>
        <w:t xml:space="preserve">Ibid 25. </w:t>
      </w:r>
      <w:r w:rsidR="00602DBD" w:rsidRPr="00CD3DA3">
        <w:rPr>
          <w:sz w:val="16"/>
          <w:szCs w:val="16"/>
        </w:rPr>
        <w:t xml:space="preserve"> </w:t>
      </w:r>
    </w:p>
  </w:footnote>
  <w:footnote w:id="44">
    <w:p w14:paraId="60EB8A8B" w14:textId="24AA3151" w:rsidR="00424BC4" w:rsidRPr="00CD3DA3" w:rsidRDefault="00424BC4">
      <w:pPr>
        <w:pStyle w:val="FootnoteText"/>
        <w:rPr>
          <w:sz w:val="16"/>
          <w:szCs w:val="16"/>
        </w:rPr>
      </w:pPr>
      <w:r w:rsidRPr="00CD3DA3">
        <w:rPr>
          <w:rStyle w:val="FootnoteReference"/>
          <w:sz w:val="16"/>
          <w:szCs w:val="16"/>
        </w:rPr>
        <w:footnoteRef/>
      </w:r>
      <w:r w:rsidRPr="00CD3DA3">
        <w:rPr>
          <w:sz w:val="16"/>
          <w:szCs w:val="16"/>
        </w:rPr>
        <w:t xml:space="preserve"> Ibid 25. </w:t>
      </w:r>
    </w:p>
  </w:footnote>
  <w:footnote w:id="45">
    <w:p w14:paraId="6323F927" w14:textId="0FFE960E" w:rsidR="00B57EDB" w:rsidRPr="00AF5417" w:rsidRDefault="00B57EDB">
      <w:pPr>
        <w:pStyle w:val="FootnoteText"/>
        <w:rPr>
          <w:sz w:val="16"/>
          <w:szCs w:val="16"/>
        </w:rPr>
      </w:pPr>
      <w:r w:rsidRPr="00AF5417">
        <w:rPr>
          <w:rStyle w:val="FootnoteReference"/>
          <w:sz w:val="16"/>
          <w:szCs w:val="16"/>
        </w:rPr>
        <w:footnoteRef/>
      </w:r>
      <w:r w:rsidRPr="00AF5417">
        <w:rPr>
          <w:sz w:val="16"/>
          <w:szCs w:val="16"/>
        </w:rPr>
        <w:t xml:space="preserve"> </w:t>
      </w:r>
      <w:r w:rsidR="00007F3D" w:rsidRPr="00AF5417">
        <w:rPr>
          <w:sz w:val="16"/>
          <w:szCs w:val="16"/>
        </w:rPr>
        <w:t>National Indigenous Australians Agency (NIAA), ‘Budget 2024-25: Delivering better outcomes for First Nations people’ (Media Release, 14 May 2024)</w:t>
      </w:r>
      <w:r w:rsidR="0039784D" w:rsidRPr="00AF5417">
        <w:rPr>
          <w:sz w:val="16"/>
          <w:szCs w:val="16"/>
        </w:rPr>
        <w:t xml:space="preserve"> &lt;</w:t>
      </w:r>
      <w:hyperlink r:id="rId28" w:history="1">
        <w:r w:rsidR="004F1158" w:rsidRPr="00AF5417">
          <w:rPr>
            <w:rStyle w:val="Hyperlink"/>
            <w:sz w:val="16"/>
            <w:szCs w:val="16"/>
          </w:rPr>
          <w:t>https://www.niaa.gov.au/our-work/closing-gap/roll-out-community-wi-fi-remote-communities</w:t>
        </w:r>
      </w:hyperlink>
      <w:r w:rsidR="00CF5B85" w:rsidRPr="00AF5417">
        <w:rPr>
          <w:sz w:val="16"/>
          <w:szCs w:val="16"/>
        </w:rPr>
        <w:t>&gt;</w:t>
      </w:r>
      <w:r w:rsidR="00BE40DD">
        <w:rPr>
          <w:sz w:val="16"/>
          <w:szCs w:val="16"/>
        </w:rPr>
        <w:t>.</w:t>
      </w:r>
      <w:r w:rsidR="00CF5B85" w:rsidRPr="00AF5417">
        <w:rPr>
          <w:sz w:val="16"/>
          <w:szCs w:val="16"/>
        </w:rPr>
        <w:t xml:space="preserve"> </w:t>
      </w:r>
    </w:p>
  </w:footnote>
  <w:footnote w:id="46">
    <w:p w14:paraId="0A06415E" w14:textId="03A5A008" w:rsidR="00972D31" w:rsidRPr="00AF5417" w:rsidRDefault="00972D31">
      <w:pPr>
        <w:pStyle w:val="FootnoteText"/>
        <w:rPr>
          <w:sz w:val="16"/>
          <w:szCs w:val="16"/>
        </w:rPr>
      </w:pPr>
      <w:r w:rsidRPr="00AF5417">
        <w:rPr>
          <w:rStyle w:val="FootnoteReference"/>
          <w:sz w:val="16"/>
          <w:szCs w:val="16"/>
        </w:rPr>
        <w:footnoteRef/>
      </w:r>
      <w:r w:rsidRPr="00AF5417">
        <w:rPr>
          <w:sz w:val="16"/>
          <w:szCs w:val="16"/>
        </w:rPr>
        <w:t xml:space="preserve"> </w:t>
      </w:r>
      <w:r w:rsidR="00AD3A6F" w:rsidRPr="00AF5417">
        <w:rPr>
          <w:sz w:val="16"/>
          <w:szCs w:val="16"/>
        </w:rPr>
        <w:t xml:space="preserve">ACCAN, </w:t>
      </w:r>
      <w:r w:rsidR="00F41A81" w:rsidRPr="00AF5417">
        <w:rPr>
          <w:i/>
          <w:iCs/>
          <w:sz w:val="16"/>
          <w:szCs w:val="16"/>
        </w:rPr>
        <w:t>A roadmap for First Nations digital inclusion</w:t>
      </w:r>
      <w:r w:rsidR="00F41A81" w:rsidRPr="00AF5417">
        <w:rPr>
          <w:sz w:val="16"/>
          <w:szCs w:val="16"/>
        </w:rPr>
        <w:t xml:space="preserve"> (Submission, 2024) </w:t>
      </w:r>
      <w:r w:rsidR="00B560AF" w:rsidRPr="00AF5417">
        <w:rPr>
          <w:sz w:val="16"/>
          <w:szCs w:val="16"/>
        </w:rPr>
        <w:t>4 &lt;</w:t>
      </w:r>
      <w:hyperlink r:id="rId29" w:history="1">
        <w:r w:rsidR="0053109C" w:rsidRPr="00AF5417">
          <w:rPr>
            <w:rStyle w:val="Hyperlink"/>
            <w:sz w:val="16"/>
            <w:szCs w:val="16"/>
          </w:rPr>
          <w:t>https://accan.org.au/accans-work/submissions/2316-a-roadmap-for-first-nations-digital-inclusion</w:t>
        </w:r>
      </w:hyperlink>
      <w:r w:rsidR="0053109C" w:rsidRPr="00AF5417">
        <w:rPr>
          <w:sz w:val="16"/>
          <w:szCs w:val="16"/>
        </w:rPr>
        <w:t>&gt;</w:t>
      </w:r>
      <w:r w:rsidR="00270C0F">
        <w:rPr>
          <w:sz w:val="16"/>
          <w:szCs w:val="16"/>
        </w:rPr>
        <w:t>.</w:t>
      </w:r>
      <w:r w:rsidR="0053109C" w:rsidRPr="00AF5417">
        <w:rPr>
          <w:sz w:val="16"/>
          <w:szCs w:val="16"/>
        </w:rPr>
        <w:t xml:space="preserve"> </w:t>
      </w:r>
    </w:p>
  </w:footnote>
  <w:footnote w:id="47">
    <w:p w14:paraId="443BEE71" w14:textId="2C8EAB16" w:rsidR="00CD3DA3" w:rsidRDefault="00CD3DA3">
      <w:pPr>
        <w:pStyle w:val="FootnoteText"/>
      </w:pPr>
      <w:r w:rsidRPr="00AF5417">
        <w:rPr>
          <w:rStyle w:val="FootnoteReference"/>
          <w:sz w:val="16"/>
          <w:szCs w:val="16"/>
        </w:rPr>
        <w:footnoteRef/>
      </w:r>
      <w:r w:rsidRPr="00AF5417">
        <w:rPr>
          <w:sz w:val="16"/>
          <w:szCs w:val="16"/>
        </w:rPr>
        <w:t xml:space="preserve"> </w:t>
      </w:r>
      <w:r w:rsidRPr="00CD3DA3">
        <w:rPr>
          <w:sz w:val="16"/>
          <w:szCs w:val="16"/>
        </w:rPr>
        <w:t>ACCAN</w:t>
      </w:r>
      <w:r w:rsidRPr="00AF5417">
        <w:rPr>
          <w:i/>
          <w:iCs/>
          <w:sz w:val="16"/>
          <w:szCs w:val="16"/>
        </w:rPr>
        <w:t>, 2024 Regional Telecommunications Review</w:t>
      </w:r>
      <w:r w:rsidRPr="00CD3DA3">
        <w:rPr>
          <w:sz w:val="16"/>
          <w:szCs w:val="16"/>
        </w:rPr>
        <w:t xml:space="preserve"> (Submission, 2024) 11 &lt;</w:t>
      </w:r>
      <w:hyperlink r:id="rId30" w:history="1">
        <w:r w:rsidR="00345B20" w:rsidRPr="00345B20">
          <w:rPr>
            <w:rStyle w:val="Hyperlink"/>
            <w:sz w:val="16"/>
            <w:szCs w:val="16"/>
          </w:rPr>
          <w:t>https://accan.org.au/accans-work/submissions/2331-2024-regional-telecommunications-review</w:t>
        </w:r>
      </w:hyperlink>
      <w:r w:rsidRPr="00CD3DA3">
        <w:rPr>
          <w:sz w:val="16"/>
          <w:szCs w:val="16"/>
        </w:rPr>
        <w:t>&gt;</w:t>
      </w:r>
      <w:r w:rsidR="00270C0F">
        <w:rPr>
          <w:sz w:val="16"/>
          <w:szCs w:val="16"/>
        </w:rPr>
        <w:t>.</w:t>
      </w:r>
    </w:p>
  </w:footnote>
  <w:footnote w:id="48">
    <w:p w14:paraId="2BE7C7B2" w14:textId="784626EF" w:rsidR="000570FC" w:rsidRPr="00AF5417" w:rsidRDefault="000570FC">
      <w:pPr>
        <w:pStyle w:val="FootnoteText"/>
        <w:rPr>
          <w:sz w:val="16"/>
          <w:szCs w:val="16"/>
        </w:rPr>
      </w:pPr>
      <w:r w:rsidRPr="00AF5417">
        <w:rPr>
          <w:rStyle w:val="FootnoteReference"/>
          <w:sz w:val="16"/>
          <w:szCs w:val="16"/>
        </w:rPr>
        <w:footnoteRef/>
      </w:r>
      <w:r w:rsidRPr="00AF5417">
        <w:rPr>
          <w:sz w:val="16"/>
          <w:szCs w:val="16"/>
        </w:rPr>
        <w:t xml:space="preserve"> </w:t>
      </w:r>
      <w:r w:rsidRPr="000570FC">
        <w:rPr>
          <w:sz w:val="16"/>
          <w:szCs w:val="16"/>
        </w:rPr>
        <w:t>Communications Alliance, TCP Code (Industry code C628:2019 Incorporating Variation No.1/2022, June 2022) &lt;</w:t>
      </w:r>
      <w:hyperlink r:id="rId31" w:history="1">
        <w:r w:rsidRPr="000570FC">
          <w:rPr>
            <w:rStyle w:val="Hyperlink"/>
            <w:sz w:val="16"/>
            <w:szCs w:val="16"/>
          </w:rPr>
          <w:t>https://www.commsalliance.com.au/__data/assets/pdf_file/0011/64784/TCP-C628_2019-incorporating-variation-no.1-2022.pdf</w:t>
        </w:r>
      </w:hyperlink>
      <w:r w:rsidRPr="000570FC">
        <w:rPr>
          <w:sz w:val="16"/>
          <w:szCs w:val="16"/>
        </w:rPr>
        <w:t>&gt;</w:t>
      </w:r>
      <w:r w:rsidR="00073489">
        <w:rPr>
          <w:sz w:val="16"/>
          <w:szCs w:val="16"/>
        </w:rPr>
        <w:t>.</w:t>
      </w:r>
    </w:p>
  </w:footnote>
  <w:footnote w:id="49">
    <w:p w14:paraId="5C3D50C7" w14:textId="4B2A05DD" w:rsidR="00AB2F73" w:rsidRDefault="00AB2F73" w:rsidP="00AB2F73">
      <w:pPr>
        <w:pStyle w:val="FootnoteText"/>
      </w:pPr>
      <w:r w:rsidRPr="008F4C5D">
        <w:rPr>
          <w:rStyle w:val="FootnoteReference"/>
          <w:sz w:val="16"/>
          <w:szCs w:val="16"/>
        </w:rPr>
        <w:footnoteRef/>
      </w:r>
      <w:r w:rsidRPr="008F4C5D">
        <w:rPr>
          <w:sz w:val="16"/>
          <w:szCs w:val="16"/>
        </w:rPr>
        <w:t xml:space="preserve"> ACCC</w:t>
      </w:r>
      <w:r w:rsidR="008F4C5D">
        <w:rPr>
          <w:sz w:val="16"/>
          <w:szCs w:val="16"/>
        </w:rPr>
        <w:t xml:space="preserve">, </w:t>
      </w:r>
      <w:r w:rsidRPr="00AF5417">
        <w:rPr>
          <w:i/>
          <w:iCs/>
          <w:sz w:val="16"/>
          <w:szCs w:val="16"/>
        </w:rPr>
        <w:t>ACCC submission to the 2024 Telecommunications Consumer Protections Code Review</w:t>
      </w:r>
      <w:r w:rsidR="008F4C5D">
        <w:rPr>
          <w:sz w:val="16"/>
          <w:szCs w:val="16"/>
        </w:rPr>
        <w:t xml:space="preserve"> (Submission, 2023) 7</w:t>
      </w:r>
      <w:r w:rsidRPr="008F4C5D">
        <w:rPr>
          <w:sz w:val="16"/>
          <w:szCs w:val="16"/>
        </w:rPr>
        <w:t xml:space="preserve"> </w:t>
      </w:r>
      <w:r w:rsidR="008F4C5D">
        <w:rPr>
          <w:sz w:val="16"/>
          <w:szCs w:val="16"/>
        </w:rPr>
        <w:t>&lt;</w:t>
      </w:r>
      <w:hyperlink r:id="rId32" w:anchor="toc-communications" w:history="1">
        <w:r w:rsidRPr="008F4C5D">
          <w:rPr>
            <w:rStyle w:val="Hyperlink"/>
            <w:sz w:val="16"/>
            <w:szCs w:val="16"/>
          </w:rPr>
          <w:t>https://www.accc.gov.au/inquiries-and-consultations/accc-submissions-to-external-consultations#toc-communications</w:t>
        </w:r>
      </w:hyperlink>
      <w:r w:rsidRPr="008F4C5D">
        <w:rPr>
          <w:sz w:val="16"/>
          <w:szCs w:val="16"/>
        </w:rPr>
        <w:t>.</w:t>
      </w:r>
      <w:r w:rsidR="008F4C5D">
        <w:rPr>
          <w:sz w:val="16"/>
          <w:szCs w:val="16"/>
        </w:rPr>
        <w:t>&gt;</w:t>
      </w:r>
      <w:r w:rsidR="00270C0F">
        <w:rPr>
          <w:sz w:val="16"/>
          <w:szCs w:val="16"/>
        </w:rPr>
        <w:t>.</w:t>
      </w:r>
    </w:p>
  </w:footnote>
  <w:footnote w:id="50">
    <w:p w14:paraId="3750CF51" w14:textId="77777777" w:rsidR="00AB2F73" w:rsidRPr="003A57EE" w:rsidRDefault="00AB2F73" w:rsidP="00AB2F73">
      <w:pPr>
        <w:pStyle w:val="FootnoteText"/>
        <w:rPr>
          <w:sz w:val="16"/>
          <w:szCs w:val="16"/>
        </w:rPr>
      </w:pPr>
      <w:r w:rsidRPr="003A57EE">
        <w:rPr>
          <w:rStyle w:val="FootnoteReference"/>
          <w:sz w:val="16"/>
          <w:szCs w:val="16"/>
        </w:rPr>
        <w:footnoteRef/>
      </w:r>
      <w:r w:rsidRPr="003A57EE">
        <w:rPr>
          <w:sz w:val="16"/>
          <w:szCs w:val="16"/>
        </w:rPr>
        <w:t xml:space="preserve"> ACCC, ’Optus in court for alleged unconscionable sales and debt collection’ (Media Release 126/24, 31 October 2024).</w:t>
      </w:r>
    </w:p>
  </w:footnote>
  <w:footnote w:id="51">
    <w:p w14:paraId="4BED9891" w14:textId="377ABE64" w:rsidR="001C5480" w:rsidRDefault="001C5480">
      <w:pPr>
        <w:pStyle w:val="FootnoteText"/>
      </w:pPr>
      <w:r w:rsidRPr="003A57EE">
        <w:rPr>
          <w:rStyle w:val="FootnoteReference"/>
          <w:sz w:val="16"/>
          <w:szCs w:val="16"/>
        </w:rPr>
        <w:footnoteRef/>
      </w:r>
      <w:r w:rsidRPr="003A57EE">
        <w:rPr>
          <w:sz w:val="16"/>
          <w:szCs w:val="16"/>
        </w:rPr>
        <w:t xml:space="preserve"> ACCC, ‘</w:t>
      </w:r>
      <w:r w:rsidR="003A57EE" w:rsidRPr="003A57EE">
        <w:rPr>
          <w:sz w:val="16"/>
          <w:szCs w:val="16"/>
        </w:rPr>
        <w:t xml:space="preserve">Telstra to pay $50m penalty for unconscionable sales to Indigenous consumers’ (Media Release, 13 May 2021) </w:t>
      </w:r>
      <w:r w:rsidR="003A57EE">
        <w:rPr>
          <w:sz w:val="16"/>
          <w:szCs w:val="16"/>
        </w:rPr>
        <w:t xml:space="preserve">                                      </w:t>
      </w:r>
      <w:r w:rsidR="003A57EE" w:rsidRPr="003A57EE">
        <w:rPr>
          <w:sz w:val="16"/>
          <w:szCs w:val="16"/>
        </w:rPr>
        <w:t>&lt;</w:t>
      </w:r>
      <w:hyperlink r:id="rId33" w:history="1">
        <w:r w:rsidR="003A57EE" w:rsidRPr="003507B3">
          <w:rPr>
            <w:rStyle w:val="Hyperlink"/>
            <w:sz w:val="16"/>
            <w:szCs w:val="16"/>
          </w:rPr>
          <w:t>https://www.accc.gov.au/media-release/telstra-to-pay-50m-penalty-for-unconscionable-sales-to-indigenous-consumers</w:t>
        </w:r>
      </w:hyperlink>
      <w:r w:rsidR="003A57EE" w:rsidRPr="003A57EE">
        <w:rPr>
          <w:sz w:val="16"/>
          <w:szCs w:val="16"/>
        </w:rPr>
        <w:t>&gt;</w:t>
      </w:r>
      <w:r w:rsidR="00270C0F">
        <w:rPr>
          <w:sz w:val="16"/>
          <w:szCs w:val="16"/>
        </w:rPr>
        <w:t>.</w:t>
      </w:r>
      <w:r w:rsidR="003A57EE">
        <w:t xml:space="preserve"> </w:t>
      </w:r>
    </w:p>
  </w:footnote>
  <w:footnote w:id="52">
    <w:p w14:paraId="238AD986" w14:textId="49FDCED0" w:rsidR="00F07C22" w:rsidRPr="00F41910" w:rsidRDefault="00F07C22" w:rsidP="00F07C22">
      <w:pPr>
        <w:pStyle w:val="FootnoteText"/>
        <w:rPr>
          <w:sz w:val="16"/>
          <w:szCs w:val="16"/>
        </w:rPr>
      </w:pPr>
      <w:r w:rsidRPr="00F41910">
        <w:rPr>
          <w:rStyle w:val="FootnoteReference"/>
          <w:sz w:val="16"/>
          <w:szCs w:val="16"/>
        </w:rPr>
        <w:footnoteRef/>
      </w:r>
      <w:r w:rsidRPr="00F41910">
        <w:rPr>
          <w:sz w:val="16"/>
          <w:szCs w:val="16"/>
        </w:rPr>
        <w:t xml:space="preserve"> </w:t>
      </w:r>
      <w:r w:rsidR="007E5356" w:rsidRPr="00F41910">
        <w:rPr>
          <w:sz w:val="16"/>
          <w:szCs w:val="16"/>
        </w:rPr>
        <w:t>CPRC</w:t>
      </w:r>
      <w:r w:rsidR="00FB5020">
        <w:rPr>
          <w:sz w:val="16"/>
          <w:szCs w:val="16"/>
        </w:rPr>
        <w:t>,</w:t>
      </w:r>
      <w:r w:rsidR="007E5356" w:rsidRPr="00F41910">
        <w:rPr>
          <w:sz w:val="16"/>
          <w:szCs w:val="16"/>
        </w:rPr>
        <w:t xml:space="preserve"> </w:t>
      </w:r>
      <w:r w:rsidR="007E5356" w:rsidRPr="00F41910">
        <w:rPr>
          <w:i/>
          <w:sz w:val="16"/>
          <w:szCs w:val="16"/>
        </w:rPr>
        <w:t>Barriers to effective dispute resolution int the telecommunications industry</w:t>
      </w:r>
      <w:r w:rsidR="00FB5020">
        <w:rPr>
          <w:sz w:val="16"/>
          <w:szCs w:val="16"/>
        </w:rPr>
        <w:t xml:space="preserve"> (Report, 2024)</w:t>
      </w:r>
      <w:r w:rsidR="007E5356" w:rsidRPr="00F41910">
        <w:rPr>
          <w:sz w:val="16"/>
          <w:szCs w:val="16"/>
        </w:rPr>
        <w:t xml:space="preserve"> 16                                    &lt;</w:t>
      </w:r>
      <w:hyperlink r:id="rId34" w:history="1">
        <w:r w:rsidR="007E5356" w:rsidRPr="00F41910">
          <w:rPr>
            <w:rStyle w:val="Hyperlink"/>
            <w:sz w:val="16"/>
            <w:szCs w:val="16"/>
          </w:rPr>
          <w:t>https://cprc.org.au/report/barriers-telco-dispute-resolution</w:t>
        </w:r>
      </w:hyperlink>
      <w:r w:rsidR="007E5356" w:rsidRPr="00F41910">
        <w:rPr>
          <w:sz w:val="16"/>
          <w:szCs w:val="16"/>
        </w:rPr>
        <w:t>&gt;</w:t>
      </w:r>
      <w:r w:rsidR="00FB5020">
        <w:rPr>
          <w:sz w:val="16"/>
          <w:szCs w:val="16"/>
        </w:rPr>
        <w:t>.</w:t>
      </w:r>
    </w:p>
  </w:footnote>
  <w:footnote w:id="53">
    <w:p w14:paraId="26EA41ED" w14:textId="6F71B0D7" w:rsidR="00F07C22" w:rsidRDefault="00F07C22" w:rsidP="00F07C22">
      <w:pPr>
        <w:pStyle w:val="FootnoteText"/>
      </w:pPr>
      <w:r w:rsidRPr="00F41910">
        <w:rPr>
          <w:rStyle w:val="FootnoteReference"/>
          <w:sz w:val="16"/>
          <w:szCs w:val="16"/>
        </w:rPr>
        <w:footnoteRef/>
      </w:r>
      <w:r w:rsidRPr="00F41910">
        <w:rPr>
          <w:sz w:val="16"/>
          <w:szCs w:val="16"/>
        </w:rPr>
        <w:t xml:space="preserve"> Ibid</w:t>
      </w:r>
      <w:r w:rsidR="007E5356" w:rsidRPr="00F41910">
        <w:rPr>
          <w:sz w:val="16"/>
          <w:szCs w:val="16"/>
        </w:rPr>
        <w:t xml:space="preserve"> </w:t>
      </w:r>
      <w:r w:rsidRPr="00F41910">
        <w:rPr>
          <w:sz w:val="16"/>
          <w:szCs w:val="16"/>
        </w:rPr>
        <w:t xml:space="preserve">13. </w:t>
      </w:r>
    </w:p>
  </w:footnote>
  <w:footnote w:id="54">
    <w:p w14:paraId="322E14EB" w14:textId="271FC6C3" w:rsidR="00AB2F73" w:rsidRDefault="00AB2F73" w:rsidP="00AB2F73">
      <w:pPr>
        <w:pStyle w:val="FootnoteText"/>
      </w:pPr>
      <w:r w:rsidRPr="00B248C9">
        <w:rPr>
          <w:rStyle w:val="FootnoteReference"/>
          <w:sz w:val="16"/>
          <w:szCs w:val="16"/>
        </w:rPr>
        <w:footnoteRef/>
      </w:r>
      <w:r w:rsidRPr="00B248C9">
        <w:rPr>
          <w:sz w:val="16"/>
          <w:szCs w:val="16"/>
        </w:rPr>
        <w:t xml:space="preserve"> </w:t>
      </w:r>
      <w:r w:rsidR="009C2491" w:rsidRPr="009C2491">
        <w:rPr>
          <w:sz w:val="16"/>
          <w:szCs w:val="16"/>
        </w:rPr>
        <w:t xml:space="preserve">ACMA, </w:t>
      </w:r>
      <w:r w:rsidR="009C2491" w:rsidRPr="00AF5417">
        <w:rPr>
          <w:i/>
          <w:iCs/>
          <w:sz w:val="16"/>
          <w:szCs w:val="16"/>
        </w:rPr>
        <w:t>Financial hardship in the telco sector – enhancing consumer protections impact analysis</w:t>
      </w:r>
      <w:r w:rsidR="009C2491" w:rsidRPr="009C2491">
        <w:rPr>
          <w:sz w:val="16"/>
          <w:szCs w:val="16"/>
        </w:rPr>
        <w:t xml:space="preserve"> (Report,</w:t>
      </w:r>
      <w:r w:rsidR="00A52473">
        <w:rPr>
          <w:sz w:val="16"/>
          <w:szCs w:val="16"/>
        </w:rPr>
        <w:t xml:space="preserve"> </w:t>
      </w:r>
      <w:r w:rsidR="009C2491" w:rsidRPr="009C2491">
        <w:rPr>
          <w:sz w:val="16"/>
          <w:szCs w:val="16"/>
        </w:rPr>
        <w:t>2023) 27 &lt;</w:t>
      </w:r>
      <w:hyperlink r:id="rId35" w:history="1">
        <w:r w:rsidR="009C2491" w:rsidRPr="009C2491">
          <w:rPr>
            <w:rStyle w:val="Hyperlink"/>
            <w:sz w:val="16"/>
            <w:szCs w:val="16"/>
          </w:rPr>
          <w:t>https://oia.pmc.gov.au/sites/default/files/posts/2024/02/Impact%20Analysis_0.pdf</w:t>
        </w:r>
      </w:hyperlink>
      <w:r w:rsidR="009C2491" w:rsidRPr="009C2491">
        <w:rPr>
          <w:sz w:val="16"/>
          <w:szCs w:val="16"/>
        </w:rPr>
        <w:t>&gt;.</w:t>
      </w:r>
    </w:p>
  </w:footnote>
  <w:footnote w:id="55">
    <w:p w14:paraId="05DAA70E" w14:textId="0598E18D" w:rsidR="009C2491" w:rsidRPr="00AF5417" w:rsidRDefault="009C2491">
      <w:pPr>
        <w:pStyle w:val="FootnoteText"/>
        <w:rPr>
          <w:sz w:val="16"/>
          <w:szCs w:val="16"/>
        </w:rPr>
      </w:pPr>
      <w:r w:rsidRPr="00080BAE">
        <w:rPr>
          <w:rStyle w:val="FootnoteReference"/>
          <w:sz w:val="16"/>
          <w:szCs w:val="16"/>
        </w:rPr>
        <w:footnoteRef/>
      </w:r>
      <w:r w:rsidRPr="00080BAE">
        <w:rPr>
          <w:sz w:val="16"/>
          <w:szCs w:val="16"/>
        </w:rPr>
        <w:t xml:space="preserve"> </w:t>
      </w:r>
      <w:r w:rsidR="00A60CD9">
        <w:rPr>
          <w:sz w:val="16"/>
          <w:szCs w:val="16"/>
        </w:rPr>
        <w:t xml:space="preserve">Ibid. </w:t>
      </w:r>
    </w:p>
  </w:footnote>
  <w:footnote w:id="56">
    <w:p w14:paraId="31E06F88" w14:textId="55119405" w:rsidR="004A10D2" w:rsidRPr="00F41910" w:rsidRDefault="004A10D2">
      <w:pPr>
        <w:pStyle w:val="FootnoteText"/>
      </w:pPr>
      <w:r w:rsidRPr="00080BAE">
        <w:rPr>
          <w:rStyle w:val="FootnoteReference"/>
          <w:sz w:val="16"/>
          <w:szCs w:val="16"/>
        </w:rPr>
        <w:footnoteRef/>
      </w:r>
      <w:r w:rsidRPr="00080BAE">
        <w:rPr>
          <w:sz w:val="16"/>
          <w:szCs w:val="16"/>
        </w:rPr>
        <w:t xml:space="preserve"> </w:t>
      </w:r>
      <w:r w:rsidR="00A52473" w:rsidRPr="009C2491">
        <w:rPr>
          <w:sz w:val="16"/>
          <w:szCs w:val="16"/>
        </w:rPr>
        <w:t xml:space="preserve">ACMA, </w:t>
      </w:r>
      <w:r w:rsidR="00A52473" w:rsidRPr="00AF5417">
        <w:rPr>
          <w:i/>
          <w:iCs/>
          <w:sz w:val="16"/>
          <w:szCs w:val="16"/>
        </w:rPr>
        <w:t>Financial hardship in the telco sector – enhancing consumer protections impact analysis</w:t>
      </w:r>
      <w:r w:rsidR="00A52473" w:rsidRPr="009C2491">
        <w:rPr>
          <w:sz w:val="16"/>
          <w:szCs w:val="16"/>
        </w:rPr>
        <w:t xml:space="preserve"> (Report,</w:t>
      </w:r>
      <w:r w:rsidR="00A52473">
        <w:rPr>
          <w:sz w:val="16"/>
          <w:szCs w:val="16"/>
        </w:rPr>
        <w:t xml:space="preserve"> </w:t>
      </w:r>
      <w:r w:rsidR="00A52473" w:rsidRPr="009C2491">
        <w:rPr>
          <w:sz w:val="16"/>
          <w:szCs w:val="16"/>
        </w:rPr>
        <w:t>2023) 2</w:t>
      </w:r>
      <w:r w:rsidR="00A52473">
        <w:rPr>
          <w:sz w:val="16"/>
          <w:szCs w:val="16"/>
        </w:rPr>
        <w:t>6</w:t>
      </w:r>
      <w:r w:rsidR="00A52473" w:rsidRPr="009C2491">
        <w:rPr>
          <w:sz w:val="16"/>
          <w:szCs w:val="16"/>
        </w:rPr>
        <w:t xml:space="preserve"> &lt;</w:t>
      </w:r>
      <w:hyperlink r:id="rId36" w:history="1">
        <w:r w:rsidR="00A52473" w:rsidRPr="009C2491">
          <w:rPr>
            <w:rStyle w:val="Hyperlink"/>
            <w:sz w:val="16"/>
            <w:szCs w:val="16"/>
          </w:rPr>
          <w:t>https://oia.pmc.gov.au/sites/default/files/posts/2024/02/Impact%20Analysis_0.pdf</w:t>
        </w:r>
      </w:hyperlink>
      <w:r w:rsidR="00A52473" w:rsidRPr="009C2491">
        <w:rPr>
          <w:sz w:val="16"/>
          <w:szCs w:val="16"/>
        </w:rPr>
        <w:t>&gt;.</w:t>
      </w:r>
    </w:p>
  </w:footnote>
  <w:footnote w:id="57">
    <w:p w14:paraId="62B49BCA" w14:textId="513F7130" w:rsidR="001A1BDB" w:rsidRPr="00AF5417" w:rsidRDefault="001A1BDB">
      <w:pPr>
        <w:pStyle w:val="FootnoteText"/>
        <w:rPr>
          <w:sz w:val="16"/>
          <w:szCs w:val="16"/>
        </w:rPr>
      </w:pPr>
      <w:r w:rsidRPr="00080BAE">
        <w:rPr>
          <w:rStyle w:val="FootnoteReference"/>
          <w:sz w:val="16"/>
          <w:szCs w:val="16"/>
        </w:rPr>
        <w:footnoteRef/>
      </w:r>
      <w:r w:rsidRPr="00080BAE">
        <w:rPr>
          <w:sz w:val="16"/>
          <w:szCs w:val="16"/>
        </w:rPr>
        <w:t xml:space="preserve"> </w:t>
      </w:r>
      <w:r w:rsidR="0016506A" w:rsidRPr="00080BAE">
        <w:rPr>
          <w:sz w:val="16"/>
          <w:szCs w:val="16"/>
        </w:rPr>
        <w:t xml:space="preserve">Ibid 38. </w:t>
      </w:r>
    </w:p>
  </w:footnote>
  <w:footnote w:id="58">
    <w:p w14:paraId="76851C39" w14:textId="094665CA" w:rsidR="0030302C" w:rsidRDefault="0030302C">
      <w:pPr>
        <w:pStyle w:val="FootnoteText"/>
      </w:pPr>
      <w:r w:rsidRPr="003F0509">
        <w:rPr>
          <w:rStyle w:val="FootnoteReference"/>
          <w:sz w:val="16"/>
          <w:szCs w:val="16"/>
        </w:rPr>
        <w:footnoteRef/>
      </w:r>
      <w:r w:rsidRPr="003F0509">
        <w:rPr>
          <w:sz w:val="16"/>
          <w:szCs w:val="16"/>
        </w:rPr>
        <w:t xml:space="preserve"> Accessible Telecoms</w:t>
      </w:r>
      <w:r w:rsidR="003F0509" w:rsidRPr="003F0509">
        <w:rPr>
          <w:sz w:val="16"/>
          <w:szCs w:val="16"/>
        </w:rPr>
        <w:t xml:space="preserve"> (Webpage, 2024) &lt;</w:t>
      </w:r>
      <w:hyperlink r:id="rId37" w:history="1">
        <w:r w:rsidR="003F0509" w:rsidRPr="003F0509">
          <w:rPr>
            <w:rStyle w:val="Hyperlink"/>
            <w:sz w:val="16"/>
            <w:szCs w:val="16"/>
          </w:rPr>
          <w:t>https://www.accessibletelecoms.org.au/</w:t>
        </w:r>
      </w:hyperlink>
      <w:r w:rsidR="003F0509" w:rsidRPr="003F0509">
        <w:rPr>
          <w:sz w:val="16"/>
          <w:szCs w:val="16"/>
        </w:rPr>
        <w:t>&gt;</w:t>
      </w:r>
      <w:r w:rsidR="00C14CF2">
        <w:rPr>
          <w:sz w:val="16"/>
          <w:szCs w:val="16"/>
        </w:rPr>
        <w:t>.</w:t>
      </w:r>
      <w:r w:rsidR="003F0509" w:rsidRPr="003F0509">
        <w:rPr>
          <w:sz w:val="16"/>
          <w:szCs w:val="16"/>
        </w:rPr>
        <w:t xml:space="preserve"> </w:t>
      </w:r>
    </w:p>
  </w:footnote>
  <w:footnote w:id="59">
    <w:p w14:paraId="03BB7AAF" w14:textId="38B39539" w:rsidR="00080BAE" w:rsidRPr="00AF5417" w:rsidRDefault="00080BAE">
      <w:pPr>
        <w:pStyle w:val="FootnoteText"/>
        <w:rPr>
          <w:sz w:val="16"/>
          <w:szCs w:val="16"/>
        </w:rPr>
      </w:pPr>
      <w:r w:rsidRPr="00AF5417">
        <w:rPr>
          <w:rStyle w:val="FootnoteReference"/>
          <w:sz w:val="16"/>
          <w:szCs w:val="16"/>
        </w:rPr>
        <w:footnoteRef/>
      </w:r>
      <w:r w:rsidRPr="00AF5417">
        <w:rPr>
          <w:sz w:val="16"/>
          <w:szCs w:val="16"/>
        </w:rPr>
        <w:t xml:space="preserve"> </w:t>
      </w:r>
      <w:r w:rsidRPr="00080BAE">
        <w:rPr>
          <w:sz w:val="16"/>
          <w:szCs w:val="16"/>
        </w:rPr>
        <w:t xml:space="preserve">ACCAN, </w:t>
      </w:r>
      <w:r w:rsidRPr="00AF5417">
        <w:rPr>
          <w:i/>
          <w:iCs/>
          <w:sz w:val="16"/>
          <w:szCs w:val="16"/>
          <w:lang w:val="en-US"/>
        </w:rPr>
        <w:t>Pre-Budget Submission 2024-2025</w:t>
      </w:r>
      <w:r w:rsidRPr="00080BAE">
        <w:rPr>
          <w:sz w:val="16"/>
          <w:szCs w:val="16"/>
          <w:lang w:val="en-US"/>
        </w:rPr>
        <w:t xml:space="preserve"> (Submission, 2024) 25 &lt;</w:t>
      </w:r>
      <w:hyperlink r:id="rId38" w:history="1">
        <w:r w:rsidR="00973D9A" w:rsidRPr="00973D9A">
          <w:rPr>
            <w:rStyle w:val="Hyperlink"/>
            <w:sz w:val="16"/>
            <w:szCs w:val="16"/>
            <w:lang w:val="en-US"/>
          </w:rPr>
          <w:t>https://accan.org.au/accans-work/submissions/2269-pre-budget-submission-2024-2025</w:t>
        </w:r>
      </w:hyperlink>
      <w:r w:rsidRPr="00080BAE">
        <w:rPr>
          <w:sz w:val="16"/>
          <w:szCs w:val="16"/>
          <w:lang w:val="en-US"/>
        </w:rPr>
        <w:t>&gt;</w:t>
      </w:r>
      <w:r w:rsidR="00973D9A">
        <w:rPr>
          <w:sz w:val="16"/>
          <w:szCs w:val="16"/>
          <w:lang w:val="en-US"/>
        </w:rPr>
        <w:t>.</w:t>
      </w:r>
    </w:p>
  </w:footnote>
  <w:footnote w:id="60">
    <w:p w14:paraId="14C64684" w14:textId="1E686DB1" w:rsidR="00CE6E7D" w:rsidRPr="00AF5417" w:rsidRDefault="00CE6E7D">
      <w:pPr>
        <w:pStyle w:val="FootnoteText"/>
        <w:rPr>
          <w:sz w:val="16"/>
          <w:szCs w:val="16"/>
        </w:rPr>
      </w:pPr>
      <w:r w:rsidRPr="00AF5417">
        <w:rPr>
          <w:rStyle w:val="FootnoteReference"/>
          <w:sz w:val="16"/>
          <w:szCs w:val="16"/>
        </w:rPr>
        <w:footnoteRef/>
      </w:r>
      <w:r w:rsidRPr="00AF5417">
        <w:rPr>
          <w:sz w:val="16"/>
          <w:szCs w:val="16"/>
        </w:rPr>
        <w:t xml:space="preserve"> </w:t>
      </w:r>
      <w:r w:rsidR="003B63DD" w:rsidRPr="00080BAE">
        <w:rPr>
          <w:sz w:val="16"/>
          <w:szCs w:val="16"/>
        </w:rPr>
        <w:t xml:space="preserve">ACCAN, </w:t>
      </w:r>
      <w:r w:rsidR="003B63DD" w:rsidRPr="00AF5417">
        <w:rPr>
          <w:i/>
          <w:iCs/>
          <w:sz w:val="16"/>
          <w:szCs w:val="16"/>
          <w:lang w:val="en-US"/>
        </w:rPr>
        <w:t>Pre-Budget Submission 2024-2025</w:t>
      </w:r>
      <w:r w:rsidR="003B63DD" w:rsidRPr="00080BAE">
        <w:rPr>
          <w:sz w:val="16"/>
          <w:szCs w:val="16"/>
          <w:lang w:val="en-US"/>
        </w:rPr>
        <w:t xml:space="preserve"> (Submission, 2024) 25 &lt;</w:t>
      </w:r>
      <w:hyperlink r:id="rId39" w:history="1">
        <w:r w:rsidR="003B63DD" w:rsidRPr="00973D9A">
          <w:rPr>
            <w:rStyle w:val="Hyperlink"/>
            <w:sz w:val="16"/>
            <w:szCs w:val="16"/>
            <w:lang w:val="en-US"/>
          </w:rPr>
          <w:t>https://accan.org.au/accans-work/submissions/2269-pre-budget-submission-2024-2025</w:t>
        </w:r>
      </w:hyperlink>
      <w:r w:rsidR="003B63DD" w:rsidRPr="00080BAE">
        <w:rPr>
          <w:sz w:val="16"/>
          <w:szCs w:val="16"/>
          <w:lang w:val="en-US"/>
        </w:rPr>
        <w:t>&gt;</w:t>
      </w:r>
      <w:r w:rsidR="003B63DD">
        <w:rPr>
          <w:sz w:val="16"/>
          <w:szCs w:val="16"/>
          <w:lang w:val="en-US"/>
        </w:rPr>
        <w:t>.</w:t>
      </w:r>
    </w:p>
  </w:footnote>
  <w:footnote w:id="61">
    <w:p w14:paraId="100D0FE1" w14:textId="5BBD4EB4" w:rsidR="00A65DDB" w:rsidRPr="00AF5417" w:rsidRDefault="00A65DDB">
      <w:pPr>
        <w:pStyle w:val="FootnoteText"/>
        <w:rPr>
          <w:b/>
          <w:bCs/>
          <w:lang w:val="en-US"/>
        </w:rPr>
      </w:pPr>
      <w:r w:rsidRPr="00AF5417">
        <w:rPr>
          <w:rStyle w:val="FootnoteReference"/>
          <w:sz w:val="16"/>
          <w:szCs w:val="16"/>
        </w:rPr>
        <w:footnoteRef/>
      </w:r>
      <w:r w:rsidRPr="00AF5417">
        <w:rPr>
          <w:sz w:val="16"/>
          <w:szCs w:val="16"/>
        </w:rPr>
        <w:t xml:space="preserve"> </w:t>
      </w:r>
      <w:r w:rsidR="00475E4A">
        <w:rPr>
          <w:sz w:val="16"/>
          <w:szCs w:val="16"/>
        </w:rPr>
        <w:t xml:space="preserve">Ibid. </w:t>
      </w:r>
    </w:p>
  </w:footnote>
  <w:footnote w:id="62">
    <w:p w14:paraId="6F076C94" w14:textId="776D88AD" w:rsidR="00366C5B" w:rsidRPr="00AF5417" w:rsidRDefault="00366C5B">
      <w:pPr>
        <w:pStyle w:val="FootnoteText"/>
        <w:rPr>
          <w:sz w:val="16"/>
          <w:szCs w:val="16"/>
        </w:rPr>
      </w:pPr>
      <w:r w:rsidRPr="00AF5417">
        <w:rPr>
          <w:rStyle w:val="FootnoteReference"/>
          <w:sz w:val="16"/>
          <w:szCs w:val="16"/>
        </w:rPr>
        <w:footnoteRef/>
      </w:r>
      <w:r w:rsidRPr="00AF5417">
        <w:rPr>
          <w:sz w:val="16"/>
          <w:szCs w:val="16"/>
        </w:rPr>
        <w:t xml:space="preserve"> </w:t>
      </w:r>
      <w:r w:rsidR="00AC6E31" w:rsidRPr="00AF5417">
        <w:rPr>
          <w:sz w:val="16"/>
          <w:szCs w:val="16"/>
        </w:rPr>
        <w:t xml:space="preserve">ACCAN, </w:t>
      </w:r>
      <w:r w:rsidR="002033F8" w:rsidRPr="00AF5417">
        <w:rPr>
          <w:i/>
          <w:iCs/>
          <w:sz w:val="16"/>
          <w:szCs w:val="16"/>
        </w:rPr>
        <w:t>Review of Australia’s Disability Strategy</w:t>
      </w:r>
      <w:r w:rsidR="002033F8" w:rsidRPr="00AF5417">
        <w:rPr>
          <w:sz w:val="16"/>
          <w:szCs w:val="16"/>
        </w:rPr>
        <w:t xml:space="preserve"> (Submission, 2024) </w:t>
      </w:r>
      <w:r w:rsidR="00A03BE3" w:rsidRPr="00AF5417">
        <w:rPr>
          <w:sz w:val="16"/>
          <w:szCs w:val="16"/>
        </w:rPr>
        <w:t>4 &lt;</w:t>
      </w:r>
      <w:hyperlink r:id="rId40" w:history="1">
        <w:r w:rsidR="00A03BE3" w:rsidRPr="00AF5417">
          <w:rPr>
            <w:rStyle w:val="Hyperlink"/>
            <w:sz w:val="16"/>
            <w:szCs w:val="16"/>
          </w:rPr>
          <w:t>https://accan.org.au/accans-work/submissions/2339-review-of-australia-s-disability-strategy</w:t>
        </w:r>
      </w:hyperlink>
      <w:r w:rsidR="00A03BE3" w:rsidRPr="00AF5417">
        <w:rPr>
          <w:sz w:val="16"/>
          <w:szCs w:val="16"/>
        </w:rPr>
        <w:t>&gt;</w:t>
      </w:r>
      <w:r w:rsidR="00C11362">
        <w:rPr>
          <w:sz w:val="16"/>
          <w:szCs w:val="16"/>
        </w:rPr>
        <w:t>.</w:t>
      </w:r>
    </w:p>
  </w:footnote>
  <w:footnote w:id="63">
    <w:p w14:paraId="53A12CAA" w14:textId="4C72D8A6" w:rsidR="00492C70" w:rsidRDefault="00492C70">
      <w:pPr>
        <w:pStyle w:val="FootnoteText"/>
      </w:pPr>
      <w:r w:rsidRPr="00AF5417">
        <w:rPr>
          <w:rStyle w:val="FootnoteReference"/>
          <w:sz w:val="16"/>
          <w:szCs w:val="16"/>
        </w:rPr>
        <w:footnoteRef/>
      </w:r>
      <w:r w:rsidRPr="00AF5417">
        <w:rPr>
          <w:sz w:val="16"/>
          <w:szCs w:val="16"/>
        </w:rPr>
        <w:t xml:space="preserve"> Ibid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E87A" w14:textId="77777777" w:rsidR="004C0F35" w:rsidRDefault="004C0F35">
    <w:pPr>
      <w:pStyle w:val="Header"/>
    </w:pPr>
  </w:p>
  <w:p w14:paraId="56D0844F" w14:textId="77777777" w:rsidR="004C0F35" w:rsidRDefault="004C0F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9298" w14:textId="77777777" w:rsidR="004C0F35" w:rsidRPr="00AD3EFC" w:rsidRDefault="004C0F35" w:rsidP="00E53277">
    <w:pPr>
      <w:pStyle w:val="Letterhead2"/>
      <w:ind w:firstLine="0"/>
    </w:pPr>
    <w:r>
      <w:rPr>
        <w:noProof/>
      </w:rPr>
      <w:drawing>
        <wp:anchor distT="0" distB="0" distL="114300" distR="114300" simplePos="0" relativeHeight="251658240" behindDoc="1" locked="0" layoutInCell="1" allowOverlap="1" wp14:anchorId="0B8AF362" wp14:editId="2B996C8E">
          <wp:simplePos x="0" y="0"/>
          <wp:positionH relativeFrom="page">
            <wp:align>left</wp:align>
          </wp:positionH>
          <wp:positionV relativeFrom="paragraph">
            <wp:posOffset>-288290</wp:posOffset>
          </wp:positionV>
          <wp:extent cx="7672936" cy="4387186"/>
          <wp:effectExtent l="0" t="0" r="4445" b="0"/>
          <wp:wrapNone/>
          <wp:docPr id="4470667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66766"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D44B" w14:textId="23331AD1" w:rsidR="004C0F35" w:rsidRPr="00AD3EFC" w:rsidRDefault="004C0F35" w:rsidP="00E53277">
    <w:pPr>
      <w:pStyle w:val="Letterhead2"/>
      <w:ind w:firstLine="0"/>
    </w:pPr>
  </w:p>
</w:hdr>
</file>

<file path=word/intelligence2.xml><?xml version="1.0" encoding="utf-8"?>
<int2:intelligence xmlns:int2="http://schemas.microsoft.com/office/intelligence/2020/intelligence" xmlns:oel="http://schemas.microsoft.com/office/2019/extlst">
  <int2:observations>
    <int2:textHash int2:hashCode="ePz93IuGoUZjD2" int2:id="ZrBNwQE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4B4"/>
    <w:multiLevelType w:val="hybridMultilevel"/>
    <w:tmpl w:val="049E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7A2A"/>
    <w:multiLevelType w:val="multilevel"/>
    <w:tmpl w:val="D4F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C30FF"/>
    <w:multiLevelType w:val="hybridMultilevel"/>
    <w:tmpl w:val="D984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5215"/>
    <w:multiLevelType w:val="hybridMultilevel"/>
    <w:tmpl w:val="71A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969"/>
    <w:multiLevelType w:val="hybridMultilevel"/>
    <w:tmpl w:val="AC2C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0244A"/>
    <w:multiLevelType w:val="hybridMultilevel"/>
    <w:tmpl w:val="4DC8457E"/>
    <w:lvl w:ilvl="0" w:tplc="40CE8F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87DEF"/>
    <w:multiLevelType w:val="hybridMultilevel"/>
    <w:tmpl w:val="27F6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838BB"/>
    <w:multiLevelType w:val="hybridMultilevel"/>
    <w:tmpl w:val="58E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9" w15:restartNumberingAfterBreak="0">
    <w:nsid w:val="2D07276B"/>
    <w:multiLevelType w:val="hybridMultilevel"/>
    <w:tmpl w:val="F57A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F49F7"/>
    <w:multiLevelType w:val="hybridMultilevel"/>
    <w:tmpl w:val="7950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155E"/>
    <w:multiLevelType w:val="hybridMultilevel"/>
    <w:tmpl w:val="15F6F91E"/>
    <w:lvl w:ilvl="0" w:tplc="7B585F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5FB2"/>
    <w:multiLevelType w:val="multilevel"/>
    <w:tmpl w:val="6AFEEB4C"/>
    <w:numStyleLink w:val="Bullets"/>
  </w:abstractNum>
  <w:abstractNum w:abstractNumId="13" w15:restartNumberingAfterBreak="0">
    <w:nsid w:val="339943B4"/>
    <w:multiLevelType w:val="hybridMultilevel"/>
    <w:tmpl w:val="2E70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C5C630C"/>
    <w:multiLevelType w:val="hybridMultilevel"/>
    <w:tmpl w:val="14B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06ADA"/>
    <w:multiLevelType w:val="hybridMultilevel"/>
    <w:tmpl w:val="EB00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564CC"/>
    <w:multiLevelType w:val="hybridMultilevel"/>
    <w:tmpl w:val="FEF8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04AD1"/>
    <w:multiLevelType w:val="hybridMultilevel"/>
    <w:tmpl w:val="D70A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0882"/>
    <w:multiLevelType w:val="hybridMultilevel"/>
    <w:tmpl w:val="568211B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E179B1"/>
    <w:multiLevelType w:val="hybridMultilevel"/>
    <w:tmpl w:val="B7A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065AB8"/>
    <w:multiLevelType w:val="hybridMultilevel"/>
    <w:tmpl w:val="033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4630E"/>
    <w:multiLevelType w:val="hybridMultilevel"/>
    <w:tmpl w:val="CE4E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53E6C"/>
    <w:multiLevelType w:val="multilevel"/>
    <w:tmpl w:val="D63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D117C"/>
    <w:multiLevelType w:val="hybridMultilevel"/>
    <w:tmpl w:val="763C64C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C34F09"/>
    <w:multiLevelType w:val="hybridMultilevel"/>
    <w:tmpl w:val="2A7A189C"/>
    <w:lvl w:ilvl="0" w:tplc="93D836F0">
      <w:start w:val="1"/>
      <w:numFmt w:val="bullet"/>
      <w:lvlText w:val=""/>
      <w:lvlJc w:val="left"/>
      <w:pPr>
        <w:ind w:left="720" w:hanging="360"/>
      </w:pPr>
      <w:rPr>
        <w:rFonts w:ascii="Symbol" w:hAnsi="Symbol" w:hint="default"/>
      </w:rPr>
    </w:lvl>
    <w:lvl w:ilvl="1" w:tplc="21CE2B1E">
      <w:start w:val="1"/>
      <w:numFmt w:val="bullet"/>
      <w:lvlText w:val="o"/>
      <w:lvlJc w:val="left"/>
      <w:pPr>
        <w:ind w:left="1440" w:hanging="360"/>
      </w:pPr>
      <w:rPr>
        <w:rFonts w:ascii="Courier New" w:hAnsi="Courier New" w:hint="default"/>
      </w:rPr>
    </w:lvl>
    <w:lvl w:ilvl="2" w:tplc="7A4C4182">
      <w:start w:val="1"/>
      <w:numFmt w:val="bullet"/>
      <w:lvlText w:val=""/>
      <w:lvlJc w:val="left"/>
      <w:pPr>
        <w:ind w:left="2160" w:hanging="360"/>
      </w:pPr>
      <w:rPr>
        <w:rFonts w:ascii="Wingdings" w:hAnsi="Wingdings" w:hint="default"/>
      </w:rPr>
    </w:lvl>
    <w:lvl w:ilvl="3" w:tplc="863A0650">
      <w:start w:val="1"/>
      <w:numFmt w:val="bullet"/>
      <w:lvlText w:val=""/>
      <w:lvlJc w:val="left"/>
      <w:pPr>
        <w:ind w:left="2880" w:hanging="360"/>
      </w:pPr>
      <w:rPr>
        <w:rFonts w:ascii="Symbol" w:hAnsi="Symbol" w:hint="default"/>
      </w:rPr>
    </w:lvl>
    <w:lvl w:ilvl="4" w:tplc="703656B8">
      <w:start w:val="1"/>
      <w:numFmt w:val="bullet"/>
      <w:lvlText w:val="o"/>
      <w:lvlJc w:val="left"/>
      <w:pPr>
        <w:ind w:left="3600" w:hanging="360"/>
      </w:pPr>
      <w:rPr>
        <w:rFonts w:ascii="Courier New" w:hAnsi="Courier New" w:hint="default"/>
      </w:rPr>
    </w:lvl>
    <w:lvl w:ilvl="5" w:tplc="3E162898">
      <w:start w:val="1"/>
      <w:numFmt w:val="bullet"/>
      <w:lvlText w:val=""/>
      <w:lvlJc w:val="left"/>
      <w:pPr>
        <w:ind w:left="4320" w:hanging="360"/>
      </w:pPr>
      <w:rPr>
        <w:rFonts w:ascii="Wingdings" w:hAnsi="Wingdings" w:hint="default"/>
      </w:rPr>
    </w:lvl>
    <w:lvl w:ilvl="6" w:tplc="B0089D02">
      <w:start w:val="1"/>
      <w:numFmt w:val="bullet"/>
      <w:lvlText w:val=""/>
      <w:lvlJc w:val="left"/>
      <w:pPr>
        <w:ind w:left="5040" w:hanging="360"/>
      </w:pPr>
      <w:rPr>
        <w:rFonts w:ascii="Symbol" w:hAnsi="Symbol" w:hint="default"/>
      </w:rPr>
    </w:lvl>
    <w:lvl w:ilvl="7" w:tplc="04048E08">
      <w:start w:val="1"/>
      <w:numFmt w:val="bullet"/>
      <w:lvlText w:val="o"/>
      <w:lvlJc w:val="left"/>
      <w:pPr>
        <w:ind w:left="5760" w:hanging="360"/>
      </w:pPr>
      <w:rPr>
        <w:rFonts w:ascii="Courier New" w:hAnsi="Courier New" w:hint="default"/>
      </w:rPr>
    </w:lvl>
    <w:lvl w:ilvl="8" w:tplc="7032B326">
      <w:start w:val="1"/>
      <w:numFmt w:val="bullet"/>
      <w:lvlText w:val=""/>
      <w:lvlJc w:val="left"/>
      <w:pPr>
        <w:ind w:left="6480" w:hanging="360"/>
      </w:pPr>
      <w:rPr>
        <w:rFonts w:ascii="Wingdings" w:hAnsi="Wingdings" w:hint="default"/>
      </w:rPr>
    </w:lvl>
  </w:abstractNum>
  <w:abstractNum w:abstractNumId="27" w15:restartNumberingAfterBreak="0">
    <w:nsid w:val="7C3E1DD7"/>
    <w:multiLevelType w:val="hybridMultilevel"/>
    <w:tmpl w:val="019E8276"/>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762C"/>
    <w:multiLevelType w:val="hybridMultilevel"/>
    <w:tmpl w:val="93A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96EC0"/>
    <w:multiLevelType w:val="hybridMultilevel"/>
    <w:tmpl w:val="0E60EF9A"/>
    <w:lvl w:ilvl="0" w:tplc="B4BC3C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4277">
    <w:abstractNumId w:val="26"/>
  </w:num>
  <w:num w:numId="2" w16cid:durableId="2133592771">
    <w:abstractNumId w:val="8"/>
  </w:num>
  <w:num w:numId="3" w16cid:durableId="1705908320">
    <w:abstractNumId w:val="12"/>
  </w:num>
  <w:num w:numId="4" w16cid:durableId="195047647">
    <w:abstractNumId w:val="14"/>
  </w:num>
  <w:num w:numId="5" w16cid:durableId="133763626">
    <w:abstractNumId w:val="27"/>
  </w:num>
  <w:num w:numId="6" w16cid:durableId="1092626999">
    <w:abstractNumId w:val="16"/>
  </w:num>
  <w:num w:numId="7" w16cid:durableId="1538467244">
    <w:abstractNumId w:val="0"/>
  </w:num>
  <w:num w:numId="8" w16cid:durableId="1363020806">
    <w:abstractNumId w:val="15"/>
  </w:num>
  <w:num w:numId="9" w16cid:durableId="524251959">
    <w:abstractNumId w:val="21"/>
  </w:num>
  <w:num w:numId="10" w16cid:durableId="2141920184">
    <w:abstractNumId w:val="6"/>
  </w:num>
  <w:num w:numId="11" w16cid:durableId="1603761788">
    <w:abstractNumId w:val="19"/>
  </w:num>
  <w:num w:numId="12" w16cid:durableId="329452799">
    <w:abstractNumId w:val="18"/>
  </w:num>
  <w:num w:numId="13" w16cid:durableId="919028124">
    <w:abstractNumId w:val="9"/>
  </w:num>
  <w:num w:numId="14" w16cid:durableId="1455293225">
    <w:abstractNumId w:val="30"/>
  </w:num>
  <w:num w:numId="15" w16cid:durableId="1657415383">
    <w:abstractNumId w:val="11"/>
  </w:num>
  <w:num w:numId="16" w16cid:durableId="1130979102">
    <w:abstractNumId w:val="17"/>
  </w:num>
  <w:num w:numId="17" w16cid:durableId="8146676">
    <w:abstractNumId w:val="7"/>
  </w:num>
  <w:num w:numId="18" w16cid:durableId="201064590">
    <w:abstractNumId w:val="28"/>
  </w:num>
  <w:num w:numId="19" w16cid:durableId="1960140483">
    <w:abstractNumId w:val="13"/>
  </w:num>
  <w:num w:numId="20" w16cid:durableId="1620140538">
    <w:abstractNumId w:val="22"/>
  </w:num>
  <w:num w:numId="21" w16cid:durableId="906040535">
    <w:abstractNumId w:val="5"/>
  </w:num>
  <w:num w:numId="22" w16cid:durableId="98643544">
    <w:abstractNumId w:val="20"/>
  </w:num>
  <w:num w:numId="23" w16cid:durableId="1771001933">
    <w:abstractNumId w:val="25"/>
  </w:num>
  <w:num w:numId="24" w16cid:durableId="706412683">
    <w:abstractNumId w:val="2"/>
  </w:num>
  <w:num w:numId="25" w16cid:durableId="1506700397">
    <w:abstractNumId w:val="23"/>
  </w:num>
  <w:num w:numId="26" w16cid:durableId="611086006">
    <w:abstractNumId w:val="29"/>
  </w:num>
  <w:num w:numId="27" w16cid:durableId="1137456424">
    <w:abstractNumId w:val="1"/>
  </w:num>
  <w:num w:numId="28" w16cid:durableId="305479395">
    <w:abstractNumId w:val="24"/>
  </w:num>
  <w:num w:numId="29" w16cid:durableId="613875808">
    <w:abstractNumId w:val="3"/>
  </w:num>
  <w:num w:numId="30" w16cid:durableId="1028288817">
    <w:abstractNumId w:val="10"/>
  </w:num>
  <w:num w:numId="31" w16cid:durableId="9769578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1548"/>
    <w:rsid w:val="00002592"/>
    <w:rsid w:val="00002A84"/>
    <w:rsid w:val="00002C2F"/>
    <w:rsid w:val="000030E2"/>
    <w:rsid w:val="0000383B"/>
    <w:rsid w:val="000039D9"/>
    <w:rsid w:val="000040D6"/>
    <w:rsid w:val="00006849"/>
    <w:rsid w:val="00006AAB"/>
    <w:rsid w:val="00006C00"/>
    <w:rsid w:val="00006ECA"/>
    <w:rsid w:val="00007F3D"/>
    <w:rsid w:val="0001160C"/>
    <w:rsid w:val="0001177A"/>
    <w:rsid w:val="000130E1"/>
    <w:rsid w:val="0001410A"/>
    <w:rsid w:val="00014BC6"/>
    <w:rsid w:val="00014CA0"/>
    <w:rsid w:val="00014E08"/>
    <w:rsid w:val="000159D6"/>
    <w:rsid w:val="0001628B"/>
    <w:rsid w:val="00016505"/>
    <w:rsid w:val="00017038"/>
    <w:rsid w:val="0001711C"/>
    <w:rsid w:val="0001751C"/>
    <w:rsid w:val="00017FF5"/>
    <w:rsid w:val="00020140"/>
    <w:rsid w:val="0002023D"/>
    <w:rsid w:val="0002144A"/>
    <w:rsid w:val="00021558"/>
    <w:rsid w:val="0002178D"/>
    <w:rsid w:val="000217FD"/>
    <w:rsid w:val="000218CC"/>
    <w:rsid w:val="00021B56"/>
    <w:rsid w:val="00021EEE"/>
    <w:rsid w:val="00022392"/>
    <w:rsid w:val="00022B81"/>
    <w:rsid w:val="00022D35"/>
    <w:rsid w:val="00022F3E"/>
    <w:rsid w:val="00023057"/>
    <w:rsid w:val="000244D8"/>
    <w:rsid w:val="00024E5A"/>
    <w:rsid w:val="00025032"/>
    <w:rsid w:val="0002577C"/>
    <w:rsid w:val="00025881"/>
    <w:rsid w:val="00025F74"/>
    <w:rsid w:val="00025FC3"/>
    <w:rsid w:val="0002689D"/>
    <w:rsid w:val="00026C94"/>
    <w:rsid w:val="0002701C"/>
    <w:rsid w:val="00030D26"/>
    <w:rsid w:val="000312AF"/>
    <w:rsid w:val="0003188F"/>
    <w:rsid w:val="00031DE1"/>
    <w:rsid w:val="00032441"/>
    <w:rsid w:val="00033C72"/>
    <w:rsid w:val="000341DA"/>
    <w:rsid w:val="00034533"/>
    <w:rsid w:val="000345B4"/>
    <w:rsid w:val="000358AA"/>
    <w:rsid w:val="00035B18"/>
    <w:rsid w:val="000362DE"/>
    <w:rsid w:val="0003730C"/>
    <w:rsid w:val="000374B5"/>
    <w:rsid w:val="00040CBA"/>
    <w:rsid w:val="00040E6E"/>
    <w:rsid w:val="0004166C"/>
    <w:rsid w:val="00041C38"/>
    <w:rsid w:val="00043833"/>
    <w:rsid w:val="000442E8"/>
    <w:rsid w:val="00044434"/>
    <w:rsid w:val="00044D5E"/>
    <w:rsid w:val="00044EAF"/>
    <w:rsid w:val="0004526C"/>
    <w:rsid w:val="000463D9"/>
    <w:rsid w:val="0004767E"/>
    <w:rsid w:val="00047B22"/>
    <w:rsid w:val="00050248"/>
    <w:rsid w:val="00052737"/>
    <w:rsid w:val="00052787"/>
    <w:rsid w:val="00052B34"/>
    <w:rsid w:val="00052B5E"/>
    <w:rsid w:val="00052D56"/>
    <w:rsid w:val="00052FBF"/>
    <w:rsid w:val="000530BA"/>
    <w:rsid w:val="00053BD5"/>
    <w:rsid w:val="0005407D"/>
    <w:rsid w:val="000561D3"/>
    <w:rsid w:val="00056A12"/>
    <w:rsid w:val="00056BF2"/>
    <w:rsid w:val="00056D71"/>
    <w:rsid w:val="000570FC"/>
    <w:rsid w:val="000575CA"/>
    <w:rsid w:val="000576D9"/>
    <w:rsid w:val="00057A92"/>
    <w:rsid w:val="00057DD5"/>
    <w:rsid w:val="00061D64"/>
    <w:rsid w:val="00062A46"/>
    <w:rsid w:val="00063198"/>
    <w:rsid w:val="000635C0"/>
    <w:rsid w:val="00063DD0"/>
    <w:rsid w:val="00064AF5"/>
    <w:rsid w:val="00066A2F"/>
    <w:rsid w:val="00066C39"/>
    <w:rsid w:val="00066CD4"/>
    <w:rsid w:val="00066F00"/>
    <w:rsid w:val="00067AF1"/>
    <w:rsid w:val="00072C5D"/>
    <w:rsid w:val="00073489"/>
    <w:rsid w:val="000735E7"/>
    <w:rsid w:val="00073E98"/>
    <w:rsid w:val="000741DB"/>
    <w:rsid w:val="0007428C"/>
    <w:rsid w:val="00074521"/>
    <w:rsid w:val="00074995"/>
    <w:rsid w:val="00075C32"/>
    <w:rsid w:val="00076D03"/>
    <w:rsid w:val="0007711D"/>
    <w:rsid w:val="00077240"/>
    <w:rsid w:val="0008068C"/>
    <w:rsid w:val="00080BAE"/>
    <w:rsid w:val="0008103D"/>
    <w:rsid w:val="00083369"/>
    <w:rsid w:val="00083F4B"/>
    <w:rsid w:val="000840C2"/>
    <w:rsid w:val="000847CC"/>
    <w:rsid w:val="00086136"/>
    <w:rsid w:val="00086378"/>
    <w:rsid w:val="000863E3"/>
    <w:rsid w:val="00086BDD"/>
    <w:rsid w:val="000876AF"/>
    <w:rsid w:val="00090606"/>
    <w:rsid w:val="00090CD9"/>
    <w:rsid w:val="000915CE"/>
    <w:rsid w:val="0009245D"/>
    <w:rsid w:val="000932A8"/>
    <w:rsid w:val="00095BF1"/>
    <w:rsid w:val="00096F06"/>
    <w:rsid w:val="0009715B"/>
    <w:rsid w:val="000A0DE3"/>
    <w:rsid w:val="000A1AD4"/>
    <w:rsid w:val="000A1F0A"/>
    <w:rsid w:val="000A24AB"/>
    <w:rsid w:val="000A3806"/>
    <w:rsid w:val="000A3CD6"/>
    <w:rsid w:val="000A3FBC"/>
    <w:rsid w:val="000A41A1"/>
    <w:rsid w:val="000A4520"/>
    <w:rsid w:val="000A4EC1"/>
    <w:rsid w:val="000A60D4"/>
    <w:rsid w:val="000A67B5"/>
    <w:rsid w:val="000A71C0"/>
    <w:rsid w:val="000A7642"/>
    <w:rsid w:val="000A7755"/>
    <w:rsid w:val="000B11EF"/>
    <w:rsid w:val="000B1258"/>
    <w:rsid w:val="000B145B"/>
    <w:rsid w:val="000B1725"/>
    <w:rsid w:val="000B2023"/>
    <w:rsid w:val="000B259A"/>
    <w:rsid w:val="000B2847"/>
    <w:rsid w:val="000B2BA5"/>
    <w:rsid w:val="000B2C45"/>
    <w:rsid w:val="000B4361"/>
    <w:rsid w:val="000B579B"/>
    <w:rsid w:val="000B6F92"/>
    <w:rsid w:val="000B71A5"/>
    <w:rsid w:val="000B7682"/>
    <w:rsid w:val="000B7EA5"/>
    <w:rsid w:val="000C05D1"/>
    <w:rsid w:val="000C1405"/>
    <w:rsid w:val="000C231C"/>
    <w:rsid w:val="000C463F"/>
    <w:rsid w:val="000C5BAA"/>
    <w:rsid w:val="000C5E40"/>
    <w:rsid w:val="000C6173"/>
    <w:rsid w:val="000C7431"/>
    <w:rsid w:val="000D0072"/>
    <w:rsid w:val="000D0E2D"/>
    <w:rsid w:val="000D17E4"/>
    <w:rsid w:val="000D18A2"/>
    <w:rsid w:val="000D29C7"/>
    <w:rsid w:val="000D3E32"/>
    <w:rsid w:val="000D3F85"/>
    <w:rsid w:val="000D5255"/>
    <w:rsid w:val="000D67CC"/>
    <w:rsid w:val="000D6C9F"/>
    <w:rsid w:val="000D6DAC"/>
    <w:rsid w:val="000D6FA7"/>
    <w:rsid w:val="000D75E2"/>
    <w:rsid w:val="000E0A5E"/>
    <w:rsid w:val="000E0C23"/>
    <w:rsid w:val="000E1593"/>
    <w:rsid w:val="000E188F"/>
    <w:rsid w:val="000E1EDD"/>
    <w:rsid w:val="000E27BD"/>
    <w:rsid w:val="000E2A17"/>
    <w:rsid w:val="000E3264"/>
    <w:rsid w:val="000E35E5"/>
    <w:rsid w:val="000E3F18"/>
    <w:rsid w:val="000E48EC"/>
    <w:rsid w:val="000E5552"/>
    <w:rsid w:val="000E5CAE"/>
    <w:rsid w:val="000E624D"/>
    <w:rsid w:val="000E6D72"/>
    <w:rsid w:val="000E7979"/>
    <w:rsid w:val="000F045E"/>
    <w:rsid w:val="000F0991"/>
    <w:rsid w:val="000F1EEF"/>
    <w:rsid w:val="000F21D4"/>
    <w:rsid w:val="000F3349"/>
    <w:rsid w:val="000F35B5"/>
    <w:rsid w:val="000F3856"/>
    <w:rsid w:val="000F4506"/>
    <w:rsid w:val="000F4BB8"/>
    <w:rsid w:val="000F574E"/>
    <w:rsid w:val="000F6691"/>
    <w:rsid w:val="000F6F40"/>
    <w:rsid w:val="000F72E8"/>
    <w:rsid w:val="000F764C"/>
    <w:rsid w:val="00100CF9"/>
    <w:rsid w:val="00100D93"/>
    <w:rsid w:val="00101A99"/>
    <w:rsid w:val="00102AC5"/>
    <w:rsid w:val="0010361E"/>
    <w:rsid w:val="00103999"/>
    <w:rsid w:val="00103DAC"/>
    <w:rsid w:val="00104DAD"/>
    <w:rsid w:val="00105805"/>
    <w:rsid w:val="001066CE"/>
    <w:rsid w:val="00106AEC"/>
    <w:rsid w:val="001071DA"/>
    <w:rsid w:val="0011133C"/>
    <w:rsid w:val="001116BE"/>
    <w:rsid w:val="0011198B"/>
    <w:rsid w:val="00111F02"/>
    <w:rsid w:val="00113465"/>
    <w:rsid w:val="001136E0"/>
    <w:rsid w:val="00113AE0"/>
    <w:rsid w:val="00115EB3"/>
    <w:rsid w:val="00115FFB"/>
    <w:rsid w:val="00116648"/>
    <w:rsid w:val="00117684"/>
    <w:rsid w:val="00117EFB"/>
    <w:rsid w:val="001204D1"/>
    <w:rsid w:val="0012079F"/>
    <w:rsid w:val="00121516"/>
    <w:rsid w:val="001217E2"/>
    <w:rsid w:val="001217FD"/>
    <w:rsid w:val="00121D47"/>
    <w:rsid w:val="00122DD1"/>
    <w:rsid w:val="00122EF6"/>
    <w:rsid w:val="00123D74"/>
    <w:rsid w:val="001247A2"/>
    <w:rsid w:val="001248B3"/>
    <w:rsid w:val="00124F88"/>
    <w:rsid w:val="00125060"/>
    <w:rsid w:val="00125D3B"/>
    <w:rsid w:val="0012601F"/>
    <w:rsid w:val="00126183"/>
    <w:rsid w:val="0012626F"/>
    <w:rsid w:val="00126282"/>
    <w:rsid w:val="0012636E"/>
    <w:rsid w:val="0012663D"/>
    <w:rsid w:val="001270D6"/>
    <w:rsid w:val="001274A5"/>
    <w:rsid w:val="001275E7"/>
    <w:rsid w:val="001276DC"/>
    <w:rsid w:val="00127E97"/>
    <w:rsid w:val="001301A2"/>
    <w:rsid w:val="00130E70"/>
    <w:rsid w:val="00132365"/>
    <w:rsid w:val="00132A9F"/>
    <w:rsid w:val="00132C91"/>
    <w:rsid w:val="00133D21"/>
    <w:rsid w:val="00134BAC"/>
    <w:rsid w:val="00134E47"/>
    <w:rsid w:val="00135818"/>
    <w:rsid w:val="0013582B"/>
    <w:rsid w:val="00135C01"/>
    <w:rsid w:val="00135DF6"/>
    <w:rsid w:val="00136E66"/>
    <w:rsid w:val="00137C51"/>
    <w:rsid w:val="001404C1"/>
    <w:rsid w:val="001405BC"/>
    <w:rsid w:val="0014294D"/>
    <w:rsid w:val="00142A38"/>
    <w:rsid w:val="00142CA6"/>
    <w:rsid w:val="0014392F"/>
    <w:rsid w:val="0014467C"/>
    <w:rsid w:val="0014505C"/>
    <w:rsid w:val="00145394"/>
    <w:rsid w:val="00145587"/>
    <w:rsid w:val="00146383"/>
    <w:rsid w:val="00147139"/>
    <w:rsid w:val="00150873"/>
    <w:rsid w:val="001514F8"/>
    <w:rsid w:val="0015159F"/>
    <w:rsid w:val="0015174B"/>
    <w:rsid w:val="00151EAB"/>
    <w:rsid w:val="00151FF0"/>
    <w:rsid w:val="001531E7"/>
    <w:rsid w:val="001537A7"/>
    <w:rsid w:val="001562DE"/>
    <w:rsid w:val="00157DDF"/>
    <w:rsid w:val="001605C9"/>
    <w:rsid w:val="001617F8"/>
    <w:rsid w:val="00161B2B"/>
    <w:rsid w:val="001623E5"/>
    <w:rsid w:val="00163200"/>
    <w:rsid w:val="00163B56"/>
    <w:rsid w:val="0016506A"/>
    <w:rsid w:val="001657FC"/>
    <w:rsid w:val="00166E34"/>
    <w:rsid w:val="00167714"/>
    <w:rsid w:val="00167757"/>
    <w:rsid w:val="00167954"/>
    <w:rsid w:val="0017083D"/>
    <w:rsid w:val="00170EB2"/>
    <w:rsid w:val="00171821"/>
    <w:rsid w:val="00172EA2"/>
    <w:rsid w:val="001730E0"/>
    <w:rsid w:val="001740BB"/>
    <w:rsid w:val="001754ED"/>
    <w:rsid w:val="00175B17"/>
    <w:rsid w:val="001766A1"/>
    <w:rsid w:val="00177907"/>
    <w:rsid w:val="00177B5D"/>
    <w:rsid w:val="00180E92"/>
    <w:rsid w:val="001828D8"/>
    <w:rsid w:val="00184E49"/>
    <w:rsid w:val="00185442"/>
    <w:rsid w:val="00185651"/>
    <w:rsid w:val="00187AF9"/>
    <w:rsid w:val="00190012"/>
    <w:rsid w:val="00191F2F"/>
    <w:rsid w:val="00192E53"/>
    <w:rsid w:val="00193199"/>
    <w:rsid w:val="00193232"/>
    <w:rsid w:val="00193370"/>
    <w:rsid w:val="0019340F"/>
    <w:rsid w:val="00193DB9"/>
    <w:rsid w:val="00193FDB"/>
    <w:rsid w:val="0019461C"/>
    <w:rsid w:val="001948E0"/>
    <w:rsid w:val="00194B7F"/>
    <w:rsid w:val="0019567C"/>
    <w:rsid w:val="00196FE2"/>
    <w:rsid w:val="00197753"/>
    <w:rsid w:val="00197FA0"/>
    <w:rsid w:val="001A0171"/>
    <w:rsid w:val="001A04EC"/>
    <w:rsid w:val="001A1BDB"/>
    <w:rsid w:val="001A203A"/>
    <w:rsid w:val="001A2364"/>
    <w:rsid w:val="001A23D1"/>
    <w:rsid w:val="001A2736"/>
    <w:rsid w:val="001A2AA3"/>
    <w:rsid w:val="001A2BA5"/>
    <w:rsid w:val="001A2E88"/>
    <w:rsid w:val="001A2EED"/>
    <w:rsid w:val="001A3380"/>
    <w:rsid w:val="001A3573"/>
    <w:rsid w:val="001A3B72"/>
    <w:rsid w:val="001A5600"/>
    <w:rsid w:val="001A5738"/>
    <w:rsid w:val="001A5ACB"/>
    <w:rsid w:val="001A60E4"/>
    <w:rsid w:val="001A64DC"/>
    <w:rsid w:val="001A67DB"/>
    <w:rsid w:val="001A772D"/>
    <w:rsid w:val="001B0581"/>
    <w:rsid w:val="001B0DED"/>
    <w:rsid w:val="001B47C4"/>
    <w:rsid w:val="001B4F92"/>
    <w:rsid w:val="001B5856"/>
    <w:rsid w:val="001B5FB2"/>
    <w:rsid w:val="001B63DD"/>
    <w:rsid w:val="001B6438"/>
    <w:rsid w:val="001B6596"/>
    <w:rsid w:val="001B7A65"/>
    <w:rsid w:val="001C19C5"/>
    <w:rsid w:val="001C1CCE"/>
    <w:rsid w:val="001C2391"/>
    <w:rsid w:val="001C3C4F"/>
    <w:rsid w:val="001C40D8"/>
    <w:rsid w:val="001C4215"/>
    <w:rsid w:val="001C4264"/>
    <w:rsid w:val="001C42AC"/>
    <w:rsid w:val="001C5480"/>
    <w:rsid w:val="001C59DD"/>
    <w:rsid w:val="001C672F"/>
    <w:rsid w:val="001C67EA"/>
    <w:rsid w:val="001D2405"/>
    <w:rsid w:val="001D4058"/>
    <w:rsid w:val="001D57C5"/>
    <w:rsid w:val="001D5BB1"/>
    <w:rsid w:val="001D5C22"/>
    <w:rsid w:val="001D64B9"/>
    <w:rsid w:val="001D6F9E"/>
    <w:rsid w:val="001D7A1B"/>
    <w:rsid w:val="001D7EA1"/>
    <w:rsid w:val="001D7FE4"/>
    <w:rsid w:val="001E169D"/>
    <w:rsid w:val="001E1AE7"/>
    <w:rsid w:val="001E29D7"/>
    <w:rsid w:val="001E3ADA"/>
    <w:rsid w:val="001E3CC3"/>
    <w:rsid w:val="001E49BB"/>
    <w:rsid w:val="001E6751"/>
    <w:rsid w:val="001E77A5"/>
    <w:rsid w:val="001E7889"/>
    <w:rsid w:val="001F013B"/>
    <w:rsid w:val="001F04C7"/>
    <w:rsid w:val="001F0E87"/>
    <w:rsid w:val="001F2A89"/>
    <w:rsid w:val="001F35FB"/>
    <w:rsid w:val="001F3911"/>
    <w:rsid w:val="001F3CEA"/>
    <w:rsid w:val="001F3F6B"/>
    <w:rsid w:val="001F420B"/>
    <w:rsid w:val="001F50BA"/>
    <w:rsid w:val="001F7374"/>
    <w:rsid w:val="001F77F6"/>
    <w:rsid w:val="001F7BF0"/>
    <w:rsid w:val="001F7EB1"/>
    <w:rsid w:val="0020028A"/>
    <w:rsid w:val="00200474"/>
    <w:rsid w:val="00200982"/>
    <w:rsid w:val="002027C5"/>
    <w:rsid w:val="00202CEB"/>
    <w:rsid w:val="00202DBB"/>
    <w:rsid w:val="002033F8"/>
    <w:rsid w:val="00203C4A"/>
    <w:rsid w:val="00204FED"/>
    <w:rsid w:val="002077C1"/>
    <w:rsid w:val="00207BED"/>
    <w:rsid w:val="00207EC8"/>
    <w:rsid w:val="00211174"/>
    <w:rsid w:val="00211375"/>
    <w:rsid w:val="002118F3"/>
    <w:rsid w:val="002119CD"/>
    <w:rsid w:val="0021296C"/>
    <w:rsid w:val="00213850"/>
    <w:rsid w:val="00214019"/>
    <w:rsid w:val="002140FC"/>
    <w:rsid w:val="0021413E"/>
    <w:rsid w:val="00215005"/>
    <w:rsid w:val="0021558D"/>
    <w:rsid w:val="002162FC"/>
    <w:rsid w:val="0021632D"/>
    <w:rsid w:val="00216438"/>
    <w:rsid w:val="00216E8C"/>
    <w:rsid w:val="00221028"/>
    <w:rsid w:val="00221EE2"/>
    <w:rsid w:val="002228C6"/>
    <w:rsid w:val="00222C11"/>
    <w:rsid w:val="00222CB4"/>
    <w:rsid w:val="00222E18"/>
    <w:rsid w:val="00223840"/>
    <w:rsid w:val="002238DA"/>
    <w:rsid w:val="00225881"/>
    <w:rsid w:val="002258EE"/>
    <w:rsid w:val="00227025"/>
    <w:rsid w:val="002307A0"/>
    <w:rsid w:val="00230EAA"/>
    <w:rsid w:val="002313DE"/>
    <w:rsid w:val="002340C8"/>
    <w:rsid w:val="0023421D"/>
    <w:rsid w:val="002366E4"/>
    <w:rsid w:val="00236D26"/>
    <w:rsid w:val="0024000C"/>
    <w:rsid w:val="002412A0"/>
    <w:rsid w:val="00243315"/>
    <w:rsid w:val="002435C2"/>
    <w:rsid w:val="002446C4"/>
    <w:rsid w:val="00244994"/>
    <w:rsid w:val="00244FE0"/>
    <w:rsid w:val="002451E0"/>
    <w:rsid w:val="00245265"/>
    <w:rsid w:val="0024582B"/>
    <w:rsid w:val="00246204"/>
    <w:rsid w:val="002474A2"/>
    <w:rsid w:val="002477AF"/>
    <w:rsid w:val="00247E2C"/>
    <w:rsid w:val="002515B9"/>
    <w:rsid w:val="00251782"/>
    <w:rsid w:val="00251939"/>
    <w:rsid w:val="002520EE"/>
    <w:rsid w:val="00252148"/>
    <w:rsid w:val="00252E5E"/>
    <w:rsid w:val="0025365E"/>
    <w:rsid w:val="0025383A"/>
    <w:rsid w:val="002557C5"/>
    <w:rsid w:val="00255B3A"/>
    <w:rsid w:val="0025604E"/>
    <w:rsid w:val="002567BC"/>
    <w:rsid w:val="00256EDB"/>
    <w:rsid w:val="00257E89"/>
    <w:rsid w:val="00260153"/>
    <w:rsid w:val="0026030A"/>
    <w:rsid w:val="00260397"/>
    <w:rsid w:val="002603BF"/>
    <w:rsid w:val="00261658"/>
    <w:rsid w:val="00261BA9"/>
    <w:rsid w:val="00262610"/>
    <w:rsid w:val="00262D8F"/>
    <w:rsid w:val="00262E3F"/>
    <w:rsid w:val="002637D8"/>
    <w:rsid w:val="0026420E"/>
    <w:rsid w:val="002653FC"/>
    <w:rsid w:val="00265636"/>
    <w:rsid w:val="0026571C"/>
    <w:rsid w:val="00265BAD"/>
    <w:rsid w:val="0026652F"/>
    <w:rsid w:val="0026705E"/>
    <w:rsid w:val="002674C8"/>
    <w:rsid w:val="00267987"/>
    <w:rsid w:val="00270C0F"/>
    <w:rsid w:val="00270FD0"/>
    <w:rsid w:val="0027168A"/>
    <w:rsid w:val="00271720"/>
    <w:rsid w:val="002718A5"/>
    <w:rsid w:val="002719DA"/>
    <w:rsid w:val="00272512"/>
    <w:rsid w:val="00272A5A"/>
    <w:rsid w:val="00272B6D"/>
    <w:rsid w:val="00274126"/>
    <w:rsid w:val="002747F2"/>
    <w:rsid w:val="00274E04"/>
    <w:rsid w:val="00275416"/>
    <w:rsid w:val="00275427"/>
    <w:rsid w:val="0027550F"/>
    <w:rsid w:val="00275D16"/>
    <w:rsid w:val="002767A3"/>
    <w:rsid w:val="00276F66"/>
    <w:rsid w:val="00277BA3"/>
    <w:rsid w:val="002801B4"/>
    <w:rsid w:val="00280451"/>
    <w:rsid w:val="00280467"/>
    <w:rsid w:val="00280C0D"/>
    <w:rsid w:val="00280E17"/>
    <w:rsid w:val="00281129"/>
    <w:rsid w:val="00281259"/>
    <w:rsid w:val="00281351"/>
    <w:rsid w:val="0028146D"/>
    <w:rsid w:val="00281CE2"/>
    <w:rsid w:val="00281F49"/>
    <w:rsid w:val="00281FF9"/>
    <w:rsid w:val="00282A01"/>
    <w:rsid w:val="00284AE2"/>
    <w:rsid w:val="00286062"/>
    <w:rsid w:val="0028661C"/>
    <w:rsid w:val="002871F2"/>
    <w:rsid w:val="0028734E"/>
    <w:rsid w:val="002904FB"/>
    <w:rsid w:val="0029251A"/>
    <w:rsid w:val="00293C28"/>
    <w:rsid w:val="00294190"/>
    <w:rsid w:val="00294208"/>
    <w:rsid w:val="00294E1F"/>
    <w:rsid w:val="00295CE1"/>
    <w:rsid w:val="00295D08"/>
    <w:rsid w:val="002964B0"/>
    <w:rsid w:val="00296FA3"/>
    <w:rsid w:val="002A1728"/>
    <w:rsid w:val="002A20A9"/>
    <w:rsid w:val="002A27C9"/>
    <w:rsid w:val="002A3CE2"/>
    <w:rsid w:val="002A40B7"/>
    <w:rsid w:val="002A4CBF"/>
    <w:rsid w:val="002A4CE1"/>
    <w:rsid w:val="002A4DED"/>
    <w:rsid w:val="002A5C20"/>
    <w:rsid w:val="002A5F43"/>
    <w:rsid w:val="002A6483"/>
    <w:rsid w:val="002A6610"/>
    <w:rsid w:val="002A75D5"/>
    <w:rsid w:val="002B0920"/>
    <w:rsid w:val="002B106A"/>
    <w:rsid w:val="002B143B"/>
    <w:rsid w:val="002B2B40"/>
    <w:rsid w:val="002B3B62"/>
    <w:rsid w:val="002B3C2A"/>
    <w:rsid w:val="002B429F"/>
    <w:rsid w:val="002B432D"/>
    <w:rsid w:val="002B586B"/>
    <w:rsid w:val="002B6A14"/>
    <w:rsid w:val="002B73C6"/>
    <w:rsid w:val="002B7A27"/>
    <w:rsid w:val="002B7CF0"/>
    <w:rsid w:val="002C00E4"/>
    <w:rsid w:val="002C02AB"/>
    <w:rsid w:val="002C0AE1"/>
    <w:rsid w:val="002C168E"/>
    <w:rsid w:val="002C1AD1"/>
    <w:rsid w:val="002C21D2"/>
    <w:rsid w:val="002C2226"/>
    <w:rsid w:val="002C30D3"/>
    <w:rsid w:val="002C3DC8"/>
    <w:rsid w:val="002C4BAD"/>
    <w:rsid w:val="002C5126"/>
    <w:rsid w:val="002C5133"/>
    <w:rsid w:val="002C58B8"/>
    <w:rsid w:val="002C7985"/>
    <w:rsid w:val="002C7F9B"/>
    <w:rsid w:val="002D0309"/>
    <w:rsid w:val="002D05E8"/>
    <w:rsid w:val="002D0E21"/>
    <w:rsid w:val="002D1707"/>
    <w:rsid w:val="002D18C5"/>
    <w:rsid w:val="002D1FF6"/>
    <w:rsid w:val="002D3530"/>
    <w:rsid w:val="002D3593"/>
    <w:rsid w:val="002D517B"/>
    <w:rsid w:val="002D6875"/>
    <w:rsid w:val="002D776A"/>
    <w:rsid w:val="002D7ACE"/>
    <w:rsid w:val="002D7E48"/>
    <w:rsid w:val="002E1A64"/>
    <w:rsid w:val="002E1ACA"/>
    <w:rsid w:val="002E225B"/>
    <w:rsid w:val="002E2A04"/>
    <w:rsid w:val="002E348A"/>
    <w:rsid w:val="002E4517"/>
    <w:rsid w:val="002E4DF3"/>
    <w:rsid w:val="002E4FFE"/>
    <w:rsid w:val="002E56D9"/>
    <w:rsid w:val="002E5AFB"/>
    <w:rsid w:val="002E6DD2"/>
    <w:rsid w:val="002E74A4"/>
    <w:rsid w:val="002E7DEF"/>
    <w:rsid w:val="002F08F8"/>
    <w:rsid w:val="002F0F8D"/>
    <w:rsid w:val="002F1108"/>
    <w:rsid w:val="002F194D"/>
    <w:rsid w:val="002F1EFA"/>
    <w:rsid w:val="002F292E"/>
    <w:rsid w:val="002F2ADF"/>
    <w:rsid w:val="002F39C0"/>
    <w:rsid w:val="002F425A"/>
    <w:rsid w:val="002F48F3"/>
    <w:rsid w:val="002F580F"/>
    <w:rsid w:val="002F5E8C"/>
    <w:rsid w:val="002F5E96"/>
    <w:rsid w:val="002F604C"/>
    <w:rsid w:val="002F6143"/>
    <w:rsid w:val="002F7679"/>
    <w:rsid w:val="00301A71"/>
    <w:rsid w:val="00301D3A"/>
    <w:rsid w:val="00301EAF"/>
    <w:rsid w:val="003025AF"/>
    <w:rsid w:val="00302A8F"/>
    <w:rsid w:val="00302D3C"/>
    <w:rsid w:val="00303026"/>
    <w:rsid w:val="0030302C"/>
    <w:rsid w:val="00303037"/>
    <w:rsid w:val="00303D22"/>
    <w:rsid w:val="00303EC1"/>
    <w:rsid w:val="003045F6"/>
    <w:rsid w:val="00305266"/>
    <w:rsid w:val="00305398"/>
    <w:rsid w:val="00305DD7"/>
    <w:rsid w:val="003065DD"/>
    <w:rsid w:val="003066B5"/>
    <w:rsid w:val="00310CBD"/>
    <w:rsid w:val="003113F6"/>
    <w:rsid w:val="0031189B"/>
    <w:rsid w:val="003134D9"/>
    <w:rsid w:val="003135DA"/>
    <w:rsid w:val="00315C4A"/>
    <w:rsid w:val="00316094"/>
    <w:rsid w:val="0031643C"/>
    <w:rsid w:val="0031654A"/>
    <w:rsid w:val="00317E1B"/>
    <w:rsid w:val="0032091C"/>
    <w:rsid w:val="0032136A"/>
    <w:rsid w:val="00322221"/>
    <w:rsid w:val="0032496D"/>
    <w:rsid w:val="00329751"/>
    <w:rsid w:val="00330C07"/>
    <w:rsid w:val="00332CCE"/>
    <w:rsid w:val="00333F12"/>
    <w:rsid w:val="00333FFA"/>
    <w:rsid w:val="00334ADD"/>
    <w:rsid w:val="003354F7"/>
    <w:rsid w:val="00335D14"/>
    <w:rsid w:val="003367F5"/>
    <w:rsid w:val="00336BC3"/>
    <w:rsid w:val="00336F1E"/>
    <w:rsid w:val="00337BA3"/>
    <w:rsid w:val="003403FD"/>
    <w:rsid w:val="00340A76"/>
    <w:rsid w:val="00341935"/>
    <w:rsid w:val="0034250E"/>
    <w:rsid w:val="003437B0"/>
    <w:rsid w:val="00343BF7"/>
    <w:rsid w:val="00343CDD"/>
    <w:rsid w:val="003444A4"/>
    <w:rsid w:val="0034517B"/>
    <w:rsid w:val="00345B20"/>
    <w:rsid w:val="00346E26"/>
    <w:rsid w:val="00346E36"/>
    <w:rsid w:val="00347170"/>
    <w:rsid w:val="0034768F"/>
    <w:rsid w:val="00347A69"/>
    <w:rsid w:val="00351C00"/>
    <w:rsid w:val="00351C15"/>
    <w:rsid w:val="00351F70"/>
    <w:rsid w:val="003521C8"/>
    <w:rsid w:val="00352DBB"/>
    <w:rsid w:val="00352ECB"/>
    <w:rsid w:val="003532F3"/>
    <w:rsid w:val="0035558E"/>
    <w:rsid w:val="003558CB"/>
    <w:rsid w:val="00360559"/>
    <w:rsid w:val="00360987"/>
    <w:rsid w:val="00363146"/>
    <w:rsid w:val="003640E4"/>
    <w:rsid w:val="00364A72"/>
    <w:rsid w:val="003657AA"/>
    <w:rsid w:val="003658B2"/>
    <w:rsid w:val="00365DBB"/>
    <w:rsid w:val="003661CC"/>
    <w:rsid w:val="00366C5B"/>
    <w:rsid w:val="0036769C"/>
    <w:rsid w:val="00367FCC"/>
    <w:rsid w:val="00370B19"/>
    <w:rsid w:val="00370BF8"/>
    <w:rsid w:val="0037280B"/>
    <w:rsid w:val="00372C63"/>
    <w:rsid w:val="00372EF3"/>
    <w:rsid w:val="00372F65"/>
    <w:rsid w:val="003742A1"/>
    <w:rsid w:val="00374820"/>
    <w:rsid w:val="003753CF"/>
    <w:rsid w:val="003753FF"/>
    <w:rsid w:val="00375578"/>
    <w:rsid w:val="00377861"/>
    <w:rsid w:val="00380088"/>
    <w:rsid w:val="00381973"/>
    <w:rsid w:val="00381C48"/>
    <w:rsid w:val="00382D00"/>
    <w:rsid w:val="00383369"/>
    <w:rsid w:val="0038397D"/>
    <w:rsid w:val="00384A74"/>
    <w:rsid w:val="00384D81"/>
    <w:rsid w:val="0038529A"/>
    <w:rsid w:val="00385F48"/>
    <w:rsid w:val="003860B0"/>
    <w:rsid w:val="0038638C"/>
    <w:rsid w:val="003867A2"/>
    <w:rsid w:val="00386C98"/>
    <w:rsid w:val="003874DB"/>
    <w:rsid w:val="00387FDD"/>
    <w:rsid w:val="003902A1"/>
    <w:rsid w:val="003905D5"/>
    <w:rsid w:val="00391654"/>
    <w:rsid w:val="00392A72"/>
    <w:rsid w:val="0039416E"/>
    <w:rsid w:val="00394DDB"/>
    <w:rsid w:val="00396603"/>
    <w:rsid w:val="0039664C"/>
    <w:rsid w:val="0039784D"/>
    <w:rsid w:val="003A0471"/>
    <w:rsid w:val="003A1858"/>
    <w:rsid w:val="003A1A1D"/>
    <w:rsid w:val="003A22CB"/>
    <w:rsid w:val="003A2485"/>
    <w:rsid w:val="003A284A"/>
    <w:rsid w:val="003A3582"/>
    <w:rsid w:val="003A40A0"/>
    <w:rsid w:val="003A43F0"/>
    <w:rsid w:val="003A4429"/>
    <w:rsid w:val="003A504A"/>
    <w:rsid w:val="003A57EE"/>
    <w:rsid w:val="003A6968"/>
    <w:rsid w:val="003A7776"/>
    <w:rsid w:val="003B0038"/>
    <w:rsid w:val="003B0198"/>
    <w:rsid w:val="003B0759"/>
    <w:rsid w:val="003B18D7"/>
    <w:rsid w:val="003B329C"/>
    <w:rsid w:val="003B37B3"/>
    <w:rsid w:val="003B3998"/>
    <w:rsid w:val="003B4F26"/>
    <w:rsid w:val="003B4F60"/>
    <w:rsid w:val="003B5664"/>
    <w:rsid w:val="003B58EA"/>
    <w:rsid w:val="003B63DD"/>
    <w:rsid w:val="003B74E9"/>
    <w:rsid w:val="003B7688"/>
    <w:rsid w:val="003B7BCB"/>
    <w:rsid w:val="003C0511"/>
    <w:rsid w:val="003C0D1C"/>
    <w:rsid w:val="003C0D40"/>
    <w:rsid w:val="003C1118"/>
    <w:rsid w:val="003C3084"/>
    <w:rsid w:val="003C3577"/>
    <w:rsid w:val="003C530F"/>
    <w:rsid w:val="003C6711"/>
    <w:rsid w:val="003C723D"/>
    <w:rsid w:val="003C7551"/>
    <w:rsid w:val="003D101E"/>
    <w:rsid w:val="003D1CDF"/>
    <w:rsid w:val="003D282F"/>
    <w:rsid w:val="003D2F73"/>
    <w:rsid w:val="003D5667"/>
    <w:rsid w:val="003D5727"/>
    <w:rsid w:val="003D5997"/>
    <w:rsid w:val="003D5CE2"/>
    <w:rsid w:val="003D652D"/>
    <w:rsid w:val="003D683A"/>
    <w:rsid w:val="003D6DE3"/>
    <w:rsid w:val="003D7C36"/>
    <w:rsid w:val="003D7DCC"/>
    <w:rsid w:val="003E0313"/>
    <w:rsid w:val="003E0713"/>
    <w:rsid w:val="003E1E82"/>
    <w:rsid w:val="003E269A"/>
    <w:rsid w:val="003E2DAA"/>
    <w:rsid w:val="003E3C79"/>
    <w:rsid w:val="003E3D2C"/>
    <w:rsid w:val="003E57DE"/>
    <w:rsid w:val="003E5B17"/>
    <w:rsid w:val="003E6B55"/>
    <w:rsid w:val="003E6E95"/>
    <w:rsid w:val="003F0509"/>
    <w:rsid w:val="003F0FC3"/>
    <w:rsid w:val="003F221C"/>
    <w:rsid w:val="003F3D95"/>
    <w:rsid w:val="003F3FBD"/>
    <w:rsid w:val="003F402D"/>
    <w:rsid w:val="003F4C65"/>
    <w:rsid w:val="003F63A0"/>
    <w:rsid w:val="003F74E3"/>
    <w:rsid w:val="003F78BC"/>
    <w:rsid w:val="004007B2"/>
    <w:rsid w:val="004009A1"/>
    <w:rsid w:val="00401182"/>
    <w:rsid w:val="00401520"/>
    <w:rsid w:val="00401594"/>
    <w:rsid w:val="00401C2C"/>
    <w:rsid w:val="0040204B"/>
    <w:rsid w:val="00402251"/>
    <w:rsid w:val="00403105"/>
    <w:rsid w:val="004035FA"/>
    <w:rsid w:val="00403D3B"/>
    <w:rsid w:val="0040446B"/>
    <w:rsid w:val="00404A7C"/>
    <w:rsid w:val="00404F4B"/>
    <w:rsid w:val="00405151"/>
    <w:rsid w:val="0040544A"/>
    <w:rsid w:val="0040553A"/>
    <w:rsid w:val="00406A9B"/>
    <w:rsid w:val="00407EE1"/>
    <w:rsid w:val="004112F5"/>
    <w:rsid w:val="00411D5B"/>
    <w:rsid w:val="004126E9"/>
    <w:rsid w:val="00412C56"/>
    <w:rsid w:val="00413565"/>
    <w:rsid w:val="00413FDC"/>
    <w:rsid w:val="0041565C"/>
    <w:rsid w:val="004159EE"/>
    <w:rsid w:val="00415FF4"/>
    <w:rsid w:val="00417570"/>
    <w:rsid w:val="004205D1"/>
    <w:rsid w:val="00421351"/>
    <w:rsid w:val="00421AC8"/>
    <w:rsid w:val="00422572"/>
    <w:rsid w:val="00422C70"/>
    <w:rsid w:val="00423BE2"/>
    <w:rsid w:val="00424B83"/>
    <w:rsid w:val="00424BC4"/>
    <w:rsid w:val="00426CC3"/>
    <w:rsid w:val="00426E45"/>
    <w:rsid w:val="00430604"/>
    <w:rsid w:val="00431DB3"/>
    <w:rsid w:val="00432683"/>
    <w:rsid w:val="0043307A"/>
    <w:rsid w:val="004330A1"/>
    <w:rsid w:val="0043310D"/>
    <w:rsid w:val="00433638"/>
    <w:rsid w:val="00434C0C"/>
    <w:rsid w:val="00435029"/>
    <w:rsid w:val="004353BB"/>
    <w:rsid w:val="00436B73"/>
    <w:rsid w:val="00437C73"/>
    <w:rsid w:val="004405D5"/>
    <w:rsid w:val="00440C3C"/>
    <w:rsid w:val="004411C9"/>
    <w:rsid w:val="0044135A"/>
    <w:rsid w:val="004431B1"/>
    <w:rsid w:val="00443D19"/>
    <w:rsid w:val="00444960"/>
    <w:rsid w:val="004459D2"/>
    <w:rsid w:val="00445BB7"/>
    <w:rsid w:val="00445D76"/>
    <w:rsid w:val="004469C9"/>
    <w:rsid w:val="004502A9"/>
    <w:rsid w:val="00451585"/>
    <w:rsid w:val="0045161D"/>
    <w:rsid w:val="004523A4"/>
    <w:rsid w:val="004528C4"/>
    <w:rsid w:val="004532F8"/>
    <w:rsid w:val="0045384F"/>
    <w:rsid w:val="00453DC0"/>
    <w:rsid w:val="0045472C"/>
    <w:rsid w:val="00455428"/>
    <w:rsid w:val="004555EC"/>
    <w:rsid w:val="00456C63"/>
    <w:rsid w:val="00456C80"/>
    <w:rsid w:val="004572B8"/>
    <w:rsid w:val="0045746B"/>
    <w:rsid w:val="00457A53"/>
    <w:rsid w:val="00457CD7"/>
    <w:rsid w:val="00460421"/>
    <w:rsid w:val="004607D6"/>
    <w:rsid w:val="00460AB8"/>
    <w:rsid w:val="00460B43"/>
    <w:rsid w:val="00460CE5"/>
    <w:rsid w:val="00461050"/>
    <w:rsid w:val="0046136D"/>
    <w:rsid w:val="00461876"/>
    <w:rsid w:val="00461AA6"/>
    <w:rsid w:val="004625D3"/>
    <w:rsid w:val="00462A89"/>
    <w:rsid w:val="00463411"/>
    <w:rsid w:val="00463596"/>
    <w:rsid w:val="00464B90"/>
    <w:rsid w:val="00464F43"/>
    <w:rsid w:val="004652AC"/>
    <w:rsid w:val="00467840"/>
    <w:rsid w:val="00470338"/>
    <w:rsid w:val="00470B4F"/>
    <w:rsid w:val="00470C97"/>
    <w:rsid w:val="00472173"/>
    <w:rsid w:val="00472A35"/>
    <w:rsid w:val="00475454"/>
    <w:rsid w:val="0047590B"/>
    <w:rsid w:val="00475E4A"/>
    <w:rsid w:val="0047730C"/>
    <w:rsid w:val="004779C8"/>
    <w:rsid w:val="00480CD8"/>
    <w:rsid w:val="00480FFA"/>
    <w:rsid w:val="0048112F"/>
    <w:rsid w:val="0048163E"/>
    <w:rsid w:val="004818FF"/>
    <w:rsid w:val="00482674"/>
    <w:rsid w:val="00483E40"/>
    <w:rsid w:val="00484120"/>
    <w:rsid w:val="00485226"/>
    <w:rsid w:val="0048728A"/>
    <w:rsid w:val="00487898"/>
    <w:rsid w:val="00487E7D"/>
    <w:rsid w:val="00487EC4"/>
    <w:rsid w:val="00487F19"/>
    <w:rsid w:val="00490E52"/>
    <w:rsid w:val="0049156B"/>
    <w:rsid w:val="00491F05"/>
    <w:rsid w:val="004925B4"/>
    <w:rsid w:val="00492C70"/>
    <w:rsid w:val="00492DA2"/>
    <w:rsid w:val="00492DDA"/>
    <w:rsid w:val="00493666"/>
    <w:rsid w:val="00494F02"/>
    <w:rsid w:val="0049502E"/>
    <w:rsid w:val="00495F38"/>
    <w:rsid w:val="00495FED"/>
    <w:rsid w:val="004969CF"/>
    <w:rsid w:val="00497F47"/>
    <w:rsid w:val="004A10D2"/>
    <w:rsid w:val="004A2324"/>
    <w:rsid w:val="004A2A7C"/>
    <w:rsid w:val="004A3308"/>
    <w:rsid w:val="004A3697"/>
    <w:rsid w:val="004A382E"/>
    <w:rsid w:val="004A3908"/>
    <w:rsid w:val="004A534C"/>
    <w:rsid w:val="004A5421"/>
    <w:rsid w:val="004A59D4"/>
    <w:rsid w:val="004A5E82"/>
    <w:rsid w:val="004A631E"/>
    <w:rsid w:val="004A6815"/>
    <w:rsid w:val="004A6866"/>
    <w:rsid w:val="004A6F23"/>
    <w:rsid w:val="004A7265"/>
    <w:rsid w:val="004B02AC"/>
    <w:rsid w:val="004B02B2"/>
    <w:rsid w:val="004B09CD"/>
    <w:rsid w:val="004B0BBF"/>
    <w:rsid w:val="004B2773"/>
    <w:rsid w:val="004B3332"/>
    <w:rsid w:val="004B3F8E"/>
    <w:rsid w:val="004B499F"/>
    <w:rsid w:val="004B49F3"/>
    <w:rsid w:val="004B4A28"/>
    <w:rsid w:val="004B4DFE"/>
    <w:rsid w:val="004B5FF7"/>
    <w:rsid w:val="004B62DD"/>
    <w:rsid w:val="004B7A5E"/>
    <w:rsid w:val="004C04CB"/>
    <w:rsid w:val="004C09B2"/>
    <w:rsid w:val="004C0F35"/>
    <w:rsid w:val="004C172A"/>
    <w:rsid w:val="004C175A"/>
    <w:rsid w:val="004C29C0"/>
    <w:rsid w:val="004C2BD6"/>
    <w:rsid w:val="004C2C6A"/>
    <w:rsid w:val="004C356E"/>
    <w:rsid w:val="004C3E02"/>
    <w:rsid w:val="004C413F"/>
    <w:rsid w:val="004C475D"/>
    <w:rsid w:val="004C49E2"/>
    <w:rsid w:val="004C52EB"/>
    <w:rsid w:val="004C57C5"/>
    <w:rsid w:val="004C6001"/>
    <w:rsid w:val="004C644B"/>
    <w:rsid w:val="004C6BEC"/>
    <w:rsid w:val="004C6CB3"/>
    <w:rsid w:val="004D01B3"/>
    <w:rsid w:val="004D1EC9"/>
    <w:rsid w:val="004D34AA"/>
    <w:rsid w:val="004D39C5"/>
    <w:rsid w:val="004D39EE"/>
    <w:rsid w:val="004D447C"/>
    <w:rsid w:val="004D48E6"/>
    <w:rsid w:val="004D4D1C"/>
    <w:rsid w:val="004D4D32"/>
    <w:rsid w:val="004D4D8A"/>
    <w:rsid w:val="004D5674"/>
    <w:rsid w:val="004D5E91"/>
    <w:rsid w:val="004D5EB4"/>
    <w:rsid w:val="004D72FB"/>
    <w:rsid w:val="004E04C8"/>
    <w:rsid w:val="004E12DC"/>
    <w:rsid w:val="004E144C"/>
    <w:rsid w:val="004E1F91"/>
    <w:rsid w:val="004E2179"/>
    <w:rsid w:val="004E2C50"/>
    <w:rsid w:val="004E2FD7"/>
    <w:rsid w:val="004E3C53"/>
    <w:rsid w:val="004E3F40"/>
    <w:rsid w:val="004E4A31"/>
    <w:rsid w:val="004E5143"/>
    <w:rsid w:val="004E54E8"/>
    <w:rsid w:val="004E79CE"/>
    <w:rsid w:val="004E7FBC"/>
    <w:rsid w:val="004F0426"/>
    <w:rsid w:val="004F0512"/>
    <w:rsid w:val="004F0DF9"/>
    <w:rsid w:val="004F1158"/>
    <w:rsid w:val="004F16E4"/>
    <w:rsid w:val="004F3E6B"/>
    <w:rsid w:val="004F4BCB"/>
    <w:rsid w:val="004F4E15"/>
    <w:rsid w:val="004F53E8"/>
    <w:rsid w:val="004F5ADE"/>
    <w:rsid w:val="004F757D"/>
    <w:rsid w:val="004F78EF"/>
    <w:rsid w:val="004F7A03"/>
    <w:rsid w:val="004F7DFF"/>
    <w:rsid w:val="00500C39"/>
    <w:rsid w:val="00502C70"/>
    <w:rsid w:val="00502C83"/>
    <w:rsid w:val="00502F19"/>
    <w:rsid w:val="0050401D"/>
    <w:rsid w:val="00505946"/>
    <w:rsid w:val="0050604B"/>
    <w:rsid w:val="00507159"/>
    <w:rsid w:val="00507602"/>
    <w:rsid w:val="00510D4B"/>
    <w:rsid w:val="00511326"/>
    <w:rsid w:val="00511465"/>
    <w:rsid w:val="005114FE"/>
    <w:rsid w:val="00512105"/>
    <w:rsid w:val="0051223B"/>
    <w:rsid w:val="0051227E"/>
    <w:rsid w:val="00512C16"/>
    <w:rsid w:val="0051315D"/>
    <w:rsid w:val="00513602"/>
    <w:rsid w:val="00515648"/>
    <w:rsid w:val="00515C21"/>
    <w:rsid w:val="00516029"/>
    <w:rsid w:val="00516672"/>
    <w:rsid w:val="005172A4"/>
    <w:rsid w:val="00521CC1"/>
    <w:rsid w:val="00522439"/>
    <w:rsid w:val="00523A77"/>
    <w:rsid w:val="00525A81"/>
    <w:rsid w:val="00526A89"/>
    <w:rsid w:val="0052783C"/>
    <w:rsid w:val="0053049A"/>
    <w:rsid w:val="005306D0"/>
    <w:rsid w:val="0053109C"/>
    <w:rsid w:val="00531161"/>
    <w:rsid w:val="005311E7"/>
    <w:rsid w:val="00531238"/>
    <w:rsid w:val="005322F2"/>
    <w:rsid w:val="0053324A"/>
    <w:rsid w:val="005334BE"/>
    <w:rsid w:val="00533CCD"/>
    <w:rsid w:val="00533D81"/>
    <w:rsid w:val="005353DA"/>
    <w:rsid w:val="00537437"/>
    <w:rsid w:val="005401FE"/>
    <w:rsid w:val="00540A91"/>
    <w:rsid w:val="00540E05"/>
    <w:rsid w:val="005415AD"/>
    <w:rsid w:val="00542492"/>
    <w:rsid w:val="005424F9"/>
    <w:rsid w:val="005428CD"/>
    <w:rsid w:val="00543965"/>
    <w:rsid w:val="00544CE4"/>
    <w:rsid w:val="0054584B"/>
    <w:rsid w:val="00545935"/>
    <w:rsid w:val="00545BCA"/>
    <w:rsid w:val="00545C98"/>
    <w:rsid w:val="00545E34"/>
    <w:rsid w:val="00545E5B"/>
    <w:rsid w:val="00550A6E"/>
    <w:rsid w:val="00550BAF"/>
    <w:rsid w:val="00551F5A"/>
    <w:rsid w:val="00552B60"/>
    <w:rsid w:val="0055356F"/>
    <w:rsid w:val="005547D5"/>
    <w:rsid w:val="00554E89"/>
    <w:rsid w:val="00555673"/>
    <w:rsid w:val="005559F4"/>
    <w:rsid w:val="00555AAD"/>
    <w:rsid w:val="005577E2"/>
    <w:rsid w:val="00557D9A"/>
    <w:rsid w:val="00557F59"/>
    <w:rsid w:val="00560159"/>
    <w:rsid w:val="0056134B"/>
    <w:rsid w:val="00561E5E"/>
    <w:rsid w:val="00562175"/>
    <w:rsid w:val="005623FF"/>
    <w:rsid w:val="00562625"/>
    <w:rsid w:val="00562A56"/>
    <w:rsid w:val="00562D0F"/>
    <w:rsid w:val="00562E85"/>
    <w:rsid w:val="00563D97"/>
    <w:rsid w:val="00563EA6"/>
    <w:rsid w:val="00563F9D"/>
    <w:rsid w:val="00565E1E"/>
    <w:rsid w:val="00565E28"/>
    <w:rsid w:val="00566438"/>
    <w:rsid w:val="00566935"/>
    <w:rsid w:val="0056696B"/>
    <w:rsid w:val="00566EB6"/>
    <w:rsid w:val="005670DF"/>
    <w:rsid w:val="00567464"/>
    <w:rsid w:val="0056755C"/>
    <w:rsid w:val="00570404"/>
    <w:rsid w:val="00570D7C"/>
    <w:rsid w:val="00571665"/>
    <w:rsid w:val="00571A94"/>
    <w:rsid w:val="00572383"/>
    <w:rsid w:val="00573CC7"/>
    <w:rsid w:val="00574AFF"/>
    <w:rsid w:val="0057560A"/>
    <w:rsid w:val="00576D4A"/>
    <w:rsid w:val="005770BF"/>
    <w:rsid w:val="00577137"/>
    <w:rsid w:val="0058019C"/>
    <w:rsid w:val="005815BF"/>
    <w:rsid w:val="0058189B"/>
    <w:rsid w:val="00581FF9"/>
    <w:rsid w:val="00583665"/>
    <w:rsid w:val="005870DC"/>
    <w:rsid w:val="0058767E"/>
    <w:rsid w:val="00587E39"/>
    <w:rsid w:val="005903A8"/>
    <w:rsid w:val="00590EC1"/>
    <w:rsid w:val="00590F6B"/>
    <w:rsid w:val="005937D2"/>
    <w:rsid w:val="00593AF7"/>
    <w:rsid w:val="005946B9"/>
    <w:rsid w:val="005948E8"/>
    <w:rsid w:val="00594C44"/>
    <w:rsid w:val="0059575C"/>
    <w:rsid w:val="005977E2"/>
    <w:rsid w:val="005A23CC"/>
    <w:rsid w:val="005A2642"/>
    <w:rsid w:val="005A3556"/>
    <w:rsid w:val="005A48E2"/>
    <w:rsid w:val="005A4E7E"/>
    <w:rsid w:val="005A5039"/>
    <w:rsid w:val="005A5745"/>
    <w:rsid w:val="005A5A8C"/>
    <w:rsid w:val="005A5EEB"/>
    <w:rsid w:val="005A5FBE"/>
    <w:rsid w:val="005A6473"/>
    <w:rsid w:val="005A6986"/>
    <w:rsid w:val="005A6990"/>
    <w:rsid w:val="005A7C37"/>
    <w:rsid w:val="005A7E55"/>
    <w:rsid w:val="005B091B"/>
    <w:rsid w:val="005B0A64"/>
    <w:rsid w:val="005B3823"/>
    <w:rsid w:val="005B3D95"/>
    <w:rsid w:val="005B4707"/>
    <w:rsid w:val="005B67B5"/>
    <w:rsid w:val="005B7A51"/>
    <w:rsid w:val="005B7B2B"/>
    <w:rsid w:val="005C015C"/>
    <w:rsid w:val="005C066C"/>
    <w:rsid w:val="005C2778"/>
    <w:rsid w:val="005C32FC"/>
    <w:rsid w:val="005C3340"/>
    <w:rsid w:val="005C3746"/>
    <w:rsid w:val="005C44CB"/>
    <w:rsid w:val="005C4C78"/>
    <w:rsid w:val="005C5CF7"/>
    <w:rsid w:val="005C6417"/>
    <w:rsid w:val="005C642E"/>
    <w:rsid w:val="005C64CC"/>
    <w:rsid w:val="005C6875"/>
    <w:rsid w:val="005C7BE8"/>
    <w:rsid w:val="005D0532"/>
    <w:rsid w:val="005D1DC9"/>
    <w:rsid w:val="005D3A52"/>
    <w:rsid w:val="005D5059"/>
    <w:rsid w:val="005D5602"/>
    <w:rsid w:val="005D6203"/>
    <w:rsid w:val="005D7E21"/>
    <w:rsid w:val="005E0929"/>
    <w:rsid w:val="005E1D01"/>
    <w:rsid w:val="005E1D95"/>
    <w:rsid w:val="005E28DD"/>
    <w:rsid w:val="005E2BD2"/>
    <w:rsid w:val="005E3061"/>
    <w:rsid w:val="005E57B7"/>
    <w:rsid w:val="005E6582"/>
    <w:rsid w:val="005F1AD0"/>
    <w:rsid w:val="005F27C1"/>
    <w:rsid w:val="005F2C10"/>
    <w:rsid w:val="005F363C"/>
    <w:rsid w:val="005F423D"/>
    <w:rsid w:val="005F5CCE"/>
    <w:rsid w:val="005F5F10"/>
    <w:rsid w:val="005F78CF"/>
    <w:rsid w:val="005F7AF4"/>
    <w:rsid w:val="005F7DF4"/>
    <w:rsid w:val="0060129D"/>
    <w:rsid w:val="00601498"/>
    <w:rsid w:val="0060206F"/>
    <w:rsid w:val="00602083"/>
    <w:rsid w:val="00602DBD"/>
    <w:rsid w:val="0060357B"/>
    <w:rsid w:val="00604233"/>
    <w:rsid w:val="00604680"/>
    <w:rsid w:val="00604C10"/>
    <w:rsid w:val="006059A8"/>
    <w:rsid w:val="0060609A"/>
    <w:rsid w:val="00607B43"/>
    <w:rsid w:val="00610157"/>
    <w:rsid w:val="006104FE"/>
    <w:rsid w:val="00610888"/>
    <w:rsid w:val="006116A6"/>
    <w:rsid w:val="00612473"/>
    <w:rsid w:val="00612652"/>
    <w:rsid w:val="00612BFF"/>
    <w:rsid w:val="00612CC2"/>
    <w:rsid w:val="00612E5B"/>
    <w:rsid w:val="00615273"/>
    <w:rsid w:val="006165F1"/>
    <w:rsid w:val="0061685B"/>
    <w:rsid w:val="00616A50"/>
    <w:rsid w:val="00616D29"/>
    <w:rsid w:val="00616D2F"/>
    <w:rsid w:val="006171E4"/>
    <w:rsid w:val="0061729E"/>
    <w:rsid w:val="006200B4"/>
    <w:rsid w:val="00620895"/>
    <w:rsid w:val="00620FEB"/>
    <w:rsid w:val="00623707"/>
    <w:rsid w:val="00623803"/>
    <w:rsid w:val="00626120"/>
    <w:rsid w:val="00626BB2"/>
    <w:rsid w:val="0062725D"/>
    <w:rsid w:val="0062761A"/>
    <w:rsid w:val="0063182D"/>
    <w:rsid w:val="00631907"/>
    <w:rsid w:val="0063213F"/>
    <w:rsid w:val="00632708"/>
    <w:rsid w:val="00633172"/>
    <w:rsid w:val="006331D4"/>
    <w:rsid w:val="00633E41"/>
    <w:rsid w:val="0063541B"/>
    <w:rsid w:val="0063547D"/>
    <w:rsid w:val="006365CB"/>
    <w:rsid w:val="00636CB2"/>
    <w:rsid w:val="00636E16"/>
    <w:rsid w:val="0063714D"/>
    <w:rsid w:val="00637267"/>
    <w:rsid w:val="006377F2"/>
    <w:rsid w:val="00640BCF"/>
    <w:rsid w:val="0064170A"/>
    <w:rsid w:val="006417CE"/>
    <w:rsid w:val="006422C6"/>
    <w:rsid w:val="00642477"/>
    <w:rsid w:val="0064256A"/>
    <w:rsid w:val="0064428D"/>
    <w:rsid w:val="0064568C"/>
    <w:rsid w:val="00645D63"/>
    <w:rsid w:val="006461A9"/>
    <w:rsid w:val="006463D7"/>
    <w:rsid w:val="00646957"/>
    <w:rsid w:val="006474A4"/>
    <w:rsid w:val="006501BE"/>
    <w:rsid w:val="0065223C"/>
    <w:rsid w:val="00652BDE"/>
    <w:rsid w:val="006538CE"/>
    <w:rsid w:val="0065393B"/>
    <w:rsid w:val="006539B6"/>
    <w:rsid w:val="00653D42"/>
    <w:rsid w:val="00654074"/>
    <w:rsid w:val="006545DD"/>
    <w:rsid w:val="006549C2"/>
    <w:rsid w:val="00654DC5"/>
    <w:rsid w:val="00654FDC"/>
    <w:rsid w:val="00655941"/>
    <w:rsid w:val="00655CA6"/>
    <w:rsid w:val="00656322"/>
    <w:rsid w:val="00657950"/>
    <w:rsid w:val="0066015A"/>
    <w:rsid w:val="006608AE"/>
    <w:rsid w:val="00662263"/>
    <w:rsid w:val="006628BD"/>
    <w:rsid w:val="006632FD"/>
    <w:rsid w:val="00664339"/>
    <w:rsid w:val="00664EBD"/>
    <w:rsid w:val="00665366"/>
    <w:rsid w:val="00666160"/>
    <w:rsid w:val="00666372"/>
    <w:rsid w:val="0066764F"/>
    <w:rsid w:val="0067009A"/>
    <w:rsid w:val="006702C9"/>
    <w:rsid w:val="00670977"/>
    <w:rsid w:val="00671676"/>
    <w:rsid w:val="0067181E"/>
    <w:rsid w:val="00671DFD"/>
    <w:rsid w:val="006721CA"/>
    <w:rsid w:val="00672B90"/>
    <w:rsid w:val="006747FE"/>
    <w:rsid w:val="006756C3"/>
    <w:rsid w:val="0067662F"/>
    <w:rsid w:val="00680E33"/>
    <w:rsid w:val="006810AF"/>
    <w:rsid w:val="00681507"/>
    <w:rsid w:val="00682B87"/>
    <w:rsid w:val="0068587D"/>
    <w:rsid w:val="00685ADC"/>
    <w:rsid w:val="0068607D"/>
    <w:rsid w:val="006860F1"/>
    <w:rsid w:val="00687DC1"/>
    <w:rsid w:val="00691800"/>
    <w:rsid w:val="00691F58"/>
    <w:rsid w:val="00692275"/>
    <w:rsid w:val="006924B5"/>
    <w:rsid w:val="00692CCA"/>
    <w:rsid w:val="00693516"/>
    <w:rsid w:val="00693CC5"/>
    <w:rsid w:val="0069548A"/>
    <w:rsid w:val="00696362"/>
    <w:rsid w:val="00696D38"/>
    <w:rsid w:val="00696D3B"/>
    <w:rsid w:val="00697891"/>
    <w:rsid w:val="0069798D"/>
    <w:rsid w:val="00697AFC"/>
    <w:rsid w:val="00697D72"/>
    <w:rsid w:val="006A05DB"/>
    <w:rsid w:val="006A1876"/>
    <w:rsid w:val="006A1E4D"/>
    <w:rsid w:val="006A2265"/>
    <w:rsid w:val="006A2384"/>
    <w:rsid w:val="006A46CD"/>
    <w:rsid w:val="006A4B35"/>
    <w:rsid w:val="006A4D2B"/>
    <w:rsid w:val="006A5A92"/>
    <w:rsid w:val="006A5C89"/>
    <w:rsid w:val="006A64C5"/>
    <w:rsid w:val="006A7027"/>
    <w:rsid w:val="006B16B4"/>
    <w:rsid w:val="006B197A"/>
    <w:rsid w:val="006B1AE9"/>
    <w:rsid w:val="006B1AEB"/>
    <w:rsid w:val="006B2024"/>
    <w:rsid w:val="006B20F4"/>
    <w:rsid w:val="006B28F4"/>
    <w:rsid w:val="006B2969"/>
    <w:rsid w:val="006B2983"/>
    <w:rsid w:val="006B3BBD"/>
    <w:rsid w:val="006B4CD6"/>
    <w:rsid w:val="006B514F"/>
    <w:rsid w:val="006B6387"/>
    <w:rsid w:val="006B7377"/>
    <w:rsid w:val="006C0196"/>
    <w:rsid w:val="006C10BC"/>
    <w:rsid w:val="006C10EB"/>
    <w:rsid w:val="006C1F0B"/>
    <w:rsid w:val="006C2FCF"/>
    <w:rsid w:val="006C46FA"/>
    <w:rsid w:val="006C4C15"/>
    <w:rsid w:val="006C583E"/>
    <w:rsid w:val="006C5BBE"/>
    <w:rsid w:val="006C5F2E"/>
    <w:rsid w:val="006C6604"/>
    <w:rsid w:val="006C74DF"/>
    <w:rsid w:val="006D0220"/>
    <w:rsid w:val="006D0409"/>
    <w:rsid w:val="006D0A54"/>
    <w:rsid w:val="006D2F9C"/>
    <w:rsid w:val="006D4DCC"/>
    <w:rsid w:val="006D4E71"/>
    <w:rsid w:val="006D5F32"/>
    <w:rsid w:val="006D68E5"/>
    <w:rsid w:val="006D6A6A"/>
    <w:rsid w:val="006D6F63"/>
    <w:rsid w:val="006D7089"/>
    <w:rsid w:val="006D75E8"/>
    <w:rsid w:val="006E001F"/>
    <w:rsid w:val="006E043C"/>
    <w:rsid w:val="006E0712"/>
    <w:rsid w:val="006E08E3"/>
    <w:rsid w:val="006E191F"/>
    <w:rsid w:val="006E1F08"/>
    <w:rsid w:val="006E23C6"/>
    <w:rsid w:val="006E2DE3"/>
    <w:rsid w:val="006E36C1"/>
    <w:rsid w:val="006E3E42"/>
    <w:rsid w:val="006E511D"/>
    <w:rsid w:val="006E51DF"/>
    <w:rsid w:val="006E5AA7"/>
    <w:rsid w:val="006E5C2B"/>
    <w:rsid w:val="006E7133"/>
    <w:rsid w:val="006E72A6"/>
    <w:rsid w:val="006F0890"/>
    <w:rsid w:val="006F145D"/>
    <w:rsid w:val="006F166E"/>
    <w:rsid w:val="006F17DC"/>
    <w:rsid w:val="006F26D3"/>
    <w:rsid w:val="006F27D4"/>
    <w:rsid w:val="006F3BF8"/>
    <w:rsid w:val="006F44DE"/>
    <w:rsid w:val="006F4D4C"/>
    <w:rsid w:val="006F7155"/>
    <w:rsid w:val="006F71DB"/>
    <w:rsid w:val="00700677"/>
    <w:rsid w:val="0070230F"/>
    <w:rsid w:val="007039D9"/>
    <w:rsid w:val="00704288"/>
    <w:rsid w:val="00704403"/>
    <w:rsid w:val="007044D4"/>
    <w:rsid w:val="0070482B"/>
    <w:rsid w:val="00705139"/>
    <w:rsid w:val="007062F9"/>
    <w:rsid w:val="00707318"/>
    <w:rsid w:val="00710D00"/>
    <w:rsid w:val="007112AD"/>
    <w:rsid w:val="007122C9"/>
    <w:rsid w:val="00712EBF"/>
    <w:rsid w:val="007133D9"/>
    <w:rsid w:val="0071501B"/>
    <w:rsid w:val="0071675A"/>
    <w:rsid w:val="007170D3"/>
    <w:rsid w:val="00717226"/>
    <w:rsid w:val="007175B6"/>
    <w:rsid w:val="00717B54"/>
    <w:rsid w:val="00717E2E"/>
    <w:rsid w:val="007201E3"/>
    <w:rsid w:val="0072075F"/>
    <w:rsid w:val="007209B2"/>
    <w:rsid w:val="0072184D"/>
    <w:rsid w:val="00722326"/>
    <w:rsid w:val="007239DD"/>
    <w:rsid w:val="0072416C"/>
    <w:rsid w:val="007256FE"/>
    <w:rsid w:val="00725D8E"/>
    <w:rsid w:val="00727065"/>
    <w:rsid w:val="00727AB9"/>
    <w:rsid w:val="00727C27"/>
    <w:rsid w:val="007304D6"/>
    <w:rsid w:val="00730887"/>
    <w:rsid w:val="00730BA6"/>
    <w:rsid w:val="007310C4"/>
    <w:rsid w:val="0073172F"/>
    <w:rsid w:val="007318C0"/>
    <w:rsid w:val="007333F2"/>
    <w:rsid w:val="00733BC7"/>
    <w:rsid w:val="00735194"/>
    <w:rsid w:val="00735C40"/>
    <w:rsid w:val="00735EB8"/>
    <w:rsid w:val="007361C6"/>
    <w:rsid w:val="00736FBA"/>
    <w:rsid w:val="0073739E"/>
    <w:rsid w:val="00740206"/>
    <w:rsid w:val="00741A87"/>
    <w:rsid w:val="00741E8F"/>
    <w:rsid w:val="00741F5C"/>
    <w:rsid w:val="0074329E"/>
    <w:rsid w:val="007435F7"/>
    <w:rsid w:val="00743C6F"/>
    <w:rsid w:val="00743E4F"/>
    <w:rsid w:val="00744717"/>
    <w:rsid w:val="0074488D"/>
    <w:rsid w:val="00744A39"/>
    <w:rsid w:val="0074570E"/>
    <w:rsid w:val="0074602B"/>
    <w:rsid w:val="0074612C"/>
    <w:rsid w:val="00746385"/>
    <w:rsid w:val="007464CF"/>
    <w:rsid w:val="007502BA"/>
    <w:rsid w:val="007506E9"/>
    <w:rsid w:val="00751724"/>
    <w:rsid w:val="007536F7"/>
    <w:rsid w:val="00753797"/>
    <w:rsid w:val="00753C18"/>
    <w:rsid w:val="0075547D"/>
    <w:rsid w:val="00755C34"/>
    <w:rsid w:val="0075656D"/>
    <w:rsid w:val="00756D28"/>
    <w:rsid w:val="00757354"/>
    <w:rsid w:val="007577AD"/>
    <w:rsid w:val="007601CA"/>
    <w:rsid w:val="00760E2D"/>
    <w:rsid w:val="007613E7"/>
    <w:rsid w:val="007622F3"/>
    <w:rsid w:val="0076399D"/>
    <w:rsid w:val="0076516F"/>
    <w:rsid w:val="0076578C"/>
    <w:rsid w:val="00765E0D"/>
    <w:rsid w:val="00765FF0"/>
    <w:rsid w:val="00766226"/>
    <w:rsid w:val="0076624E"/>
    <w:rsid w:val="0076626B"/>
    <w:rsid w:val="007665E0"/>
    <w:rsid w:val="00766DF4"/>
    <w:rsid w:val="00767F5D"/>
    <w:rsid w:val="007703C0"/>
    <w:rsid w:val="00770C63"/>
    <w:rsid w:val="00772FC5"/>
    <w:rsid w:val="00773DEE"/>
    <w:rsid w:val="00774248"/>
    <w:rsid w:val="007746A4"/>
    <w:rsid w:val="00774BCF"/>
    <w:rsid w:val="00774F71"/>
    <w:rsid w:val="007750ED"/>
    <w:rsid w:val="00775B87"/>
    <w:rsid w:val="007760DA"/>
    <w:rsid w:val="007766CF"/>
    <w:rsid w:val="00776806"/>
    <w:rsid w:val="00776DC3"/>
    <w:rsid w:val="00777F71"/>
    <w:rsid w:val="007809FC"/>
    <w:rsid w:val="007818A2"/>
    <w:rsid w:val="0078296B"/>
    <w:rsid w:val="00782FAC"/>
    <w:rsid w:val="00783517"/>
    <w:rsid w:val="0078393C"/>
    <w:rsid w:val="00783EB8"/>
    <w:rsid w:val="00785526"/>
    <w:rsid w:val="00785A4C"/>
    <w:rsid w:val="00785AFE"/>
    <w:rsid w:val="00786650"/>
    <w:rsid w:val="007867C7"/>
    <w:rsid w:val="00786BD6"/>
    <w:rsid w:val="007875EA"/>
    <w:rsid w:val="007877DF"/>
    <w:rsid w:val="007879CC"/>
    <w:rsid w:val="007908C5"/>
    <w:rsid w:val="007908C9"/>
    <w:rsid w:val="00791957"/>
    <w:rsid w:val="00792D73"/>
    <w:rsid w:val="00793530"/>
    <w:rsid w:val="00793940"/>
    <w:rsid w:val="007944BC"/>
    <w:rsid w:val="00795C34"/>
    <w:rsid w:val="0079624B"/>
    <w:rsid w:val="00796BAB"/>
    <w:rsid w:val="007A0065"/>
    <w:rsid w:val="007A009C"/>
    <w:rsid w:val="007A061F"/>
    <w:rsid w:val="007A0E13"/>
    <w:rsid w:val="007A1684"/>
    <w:rsid w:val="007A1BEB"/>
    <w:rsid w:val="007A1C9E"/>
    <w:rsid w:val="007A2591"/>
    <w:rsid w:val="007A2B2B"/>
    <w:rsid w:val="007A317B"/>
    <w:rsid w:val="007A32A1"/>
    <w:rsid w:val="007A3339"/>
    <w:rsid w:val="007A3A2F"/>
    <w:rsid w:val="007A497A"/>
    <w:rsid w:val="007A4B52"/>
    <w:rsid w:val="007A5CDB"/>
    <w:rsid w:val="007A5D36"/>
    <w:rsid w:val="007A5DB3"/>
    <w:rsid w:val="007A5DFB"/>
    <w:rsid w:val="007A5EB3"/>
    <w:rsid w:val="007A688E"/>
    <w:rsid w:val="007A68A1"/>
    <w:rsid w:val="007A69CE"/>
    <w:rsid w:val="007A6B43"/>
    <w:rsid w:val="007A720C"/>
    <w:rsid w:val="007A77CF"/>
    <w:rsid w:val="007A77F8"/>
    <w:rsid w:val="007A78C3"/>
    <w:rsid w:val="007A7960"/>
    <w:rsid w:val="007B0B3E"/>
    <w:rsid w:val="007B1C84"/>
    <w:rsid w:val="007B206C"/>
    <w:rsid w:val="007B20AD"/>
    <w:rsid w:val="007B22AF"/>
    <w:rsid w:val="007B3125"/>
    <w:rsid w:val="007B33BA"/>
    <w:rsid w:val="007B3B7B"/>
    <w:rsid w:val="007B3CF0"/>
    <w:rsid w:val="007B4532"/>
    <w:rsid w:val="007B4978"/>
    <w:rsid w:val="007B538B"/>
    <w:rsid w:val="007B569E"/>
    <w:rsid w:val="007B66E2"/>
    <w:rsid w:val="007C0138"/>
    <w:rsid w:val="007C04C2"/>
    <w:rsid w:val="007C08D5"/>
    <w:rsid w:val="007C17C6"/>
    <w:rsid w:val="007C1AE7"/>
    <w:rsid w:val="007C1BB5"/>
    <w:rsid w:val="007C2301"/>
    <w:rsid w:val="007C4901"/>
    <w:rsid w:val="007C4F07"/>
    <w:rsid w:val="007C5041"/>
    <w:rsid w:val="007C5858"/>
    <w:rsid w:val="007C59F6"/>
    <w:rsid w:val="007C6524"/>
    <w:rsid w:val="007C66BA"/>
    <w:rsid w:val="007C6C91"/>
    <w:rsid w:val="007C6F47"/>
    <w:rsid w:val="007C7B9D"/>
    <w:rsid w:val="007C7E27"/>
    <w:rsid w:val="007C7FF9"/>
    <w:rsid w:val="007D0990"/>
    <w:rsid w:val="007D0A4E"/>
    <w:rsid w:val="007D0D2A"/>
    <w:rsid w:val="007D16B8"/>
    <w:rsid w:val="007D3138"/>
    <w:rsid w:val="007D3242"/>
    <w:rsid w:val="007D3788"/>
    <w:rsid w:val="007D3B68"/>
    <w:rsid w:val="007D4CC8"/>
    <w:rsid w:val="007D5279"/>
    <w:rsid w:val="007D5DEF"/>
    <w:rsid w:val="007D608B"/>
    <w:rsid w:val="007D7475"/>
    <w:rsid w:val="007E015B"/>
    <w:rsid w:val="007E0E9D"/>
    <w:rsid w:val="007E1DD7"/>
    <w:rsid w:val="007E24B6"/>
    <w:rsid w:val="007E3084"/>
    <w:rsid w:val="007E42C6"/>
    <w:rsid w:val="007E4966"/>
    <w:rsid w:val="007E4A9C"/>
    <w:rsid w:val="007E4C53"/>
    <w:rsid w:val="007E52CD"/>
    <w:rsid w:val="007E5356"/>
    <w:rsid w:val="007E56C1"/>
    <w:rsid w:val="007E56E3"/>
    <w:rsid w:val="007E57E4"/>
    <w:rsid w:val="007E63FD"/>
    <w:rsid w:val="007E6F1B"/>
    <w:rsid w:val="007F0491"/>
    <w:rsid w:val="007F1DE8"/>
    <w:rsid w:val="007F2DE0"/>
    <w:rsid w:val="007F3514"/>
    <w:rsid w:val="007F3D26"/>
    <w:rsid w:val="007F3E83"/>
    <w:rsid w:val="007F4E7A"/>
    <w:rsid w:val="007F5B74"/>
    <w:rsid w:val="007F5E17"/>
    <w:rsid w:val="007F642A"/>
    <w:rsid w:val="00800C1B"/>
    <w:rsid w:val="008010D6"/>
    <w:rsid w:val="00801C9E"/>
    <w:rsid w:val="00802234"/>
    <w:rsid w:val="00802B08"/>
    <w:rsid w:val="0080352B"/>
    <w:rsid w:val="008052C7"/>
    <w:rsid w:val="0080615A"/>
    <w:rsid w:val="008066B1"/>
    <w:rsid w:val="00806DFA"/>
    <w:rsid w:val="00806F42"/>
    <w:rsid w:val="00807551"/>
    <w:rsid w:val="008101F0"/>
    <w:rsid w:val="00810E6A"/>
    <w:rsid w:val="00811223"/>
    <w:rsid w:val="00812754"/>
    <w:rsid w:val="0081315A"/>
    <w:rsid w:val="00813451"/>
    <w:rsid w:val="00813AC5"/>
    <w:rsid w:val="00814BC9"/>
    <w:rsid w:val="0081707B"/>
    <w:rsid w:val="00817C8A"/>
    <w:rsid w:val="00821686"/>
    <w:rsid w:val="0082182A"/>
    <w:rsid w:val="00821AD6"/>
    <w:rsid w:val="00821C2A"/>
    <w:rsid w:val="0082247D"/>
    <w:rsid w:val="008227D4"/>
    <w:rsid w:val="008238FA"/>
    <w:rsid w:val="00823B6C"/>
    <w:rsid w:val="008242B5"/>
    <w:rsid w:val="00824455"/>
    <w:rsid w:val="0082492A"/>
    <w:rsid w:val="00824D07"/>
    <w:rsid w:val="0082532A"/>
    <w:rsid w:val="00825AB6"/>
    <w:rsid w:val="008264FA"/>
    <w:rsid w:val="0082650E"/>
    <w:rsid w:val="00826E14"/>
    <w:rsid w:val="0083016D"/>
    <w:rsid w:val="008301E7"/>
    <w:rsid w:val="008302FB"/>
    <w:rsid w:val="008303C1"/>
    <w:rsid w:val="008303F2"/>
    <w:rsid w:val="00831199"/>
    <w:rsid w:val="00831C35"/>
    <w:rsid w:val="00832250"/>
    <w:rsid w:val="00832769"/>
    <w:rsid w:val="00832BE1"/>
    <w:rsid w:val="00832E35"/>
    <w:rsid w:val="00832E3E"/>
    <w:rsid w:val="00833827"/>
    <w:rsid w:val="00833ECB"/>
    <w:rsid w:val="00834584"/>
    <w:rsid w:val="00834A8D"/>
    <w:rsid w:val="00835613"/>
    <w:rsid w:val="008357CB"/>
    <w:rsid w:val="00836216"/>
    <w:rsid w:val="008372C4"/>
    <w:rsid w:val="008375E6"/>
    <w:rsid w:val="00837D81"/>
    <w:rsid w:val="00840080"/>
    <w:rsid w:val="00840BDC"/>
    <w:rsid w:val="00841434"/>
    <w:rsid w:val="008416B4"/>
    <w:rsid w:val="00842937"/>
    <w:rsid w:val="0084318F"/>
    <w:rsid w:val="00844347"/>
    <w:rsid w:val="00844A10"/>
    <w:rsid w:val="0085037C"/>
    <w:rsid w:val="00851529"/>
    <w:rsid w:val="008515B6"/>
    <w:rsid w:val="00852328"/>
    <w:rsid w:val="00852733"/>
    <w:rsid w:val="00852A80"/>
    <w:rsid w:val="00853438"/>
    <w:rsid w:val="00853459"/>
    <w:rsid w:val="00853DCF"/>
    <w:rsid w:val="0085431A"/>
    <w:rsid w:val="008547DB"/>
    <w:rsid w:val="00854C94"/>
    <w:rsid w:val="00855790"/>
    <w:rsid w:val="00855F03"/>
    <w:rsid w:val="00856044"/>
    <w:rsid w:val="00856051"/>
    <w:rsid w:val="00856867"/>
    <w:rsid w:val="00856BEE"/>
    <w:rsid w:val="00856D6D"/>
    <w:rsid w:val="00856F7D"/>
    <w:rsid w:val="0086084B"/>
    <w:rsid w:val="00861923"/>
    <w:rsid w:val="0086232B"/>
    <w:rsid w:val="00862505"/>
    <w:rsid w:val="00862C0A"/>
    <w:rsid w:val="008633A2"/>
    <w:rsid w:val="00863440"/>
    <w:rsid w:val="0086493C"/>
    <w:rsid w:val="00864A28"/>
    <w:rsid w:val="00865249"/>
    <w:rsid w:val="0086638F"/>
    <w:rsid w:val="008667DF"/>
    <w:rsid w:val="00867C92"/>
    <w:rsid w:val="00867DE0"/>
    <w:rsid w:val="00867EE6"/>
    <w:rsid w:val="00867F02"/>
    <w:rsid w:val="008715BB"/>
    <w:rsid w:val="00872F23"/>
    <w:rsid w:val="008736B2"/>
    <w:rsid w:val="00873CFC"/>
    <w:rsid w:val="00874043"/>
    <w:rsid w:val="00874291"/>
    <w:rsid w:val="0087468B"/>
    <w:rsid w:val="00874C05"/>
    <w:rsid w:val="00875F66"/>
    <w:rsid w:val="00876875"/>
    <w:rsid w:val="00876A77"/>
    <w:rsid w:val="00876AD1"/>
    <w:rsid w:val="00877710"/>
    <w:rsid w:val="00877DE4"/>
    <w:rsid w:val="00880915"/>
    <w:rsid w:val="008813B1"/>
    <w:rsid w:val="00881ADF"/>
    <w:rsid w:val="0088229C"/>
    <w:rsid w:val="008822D6"/>
    <w:rsid w:val="00882492"/>
    <w:rsid w:val="0088252C"/>
    <w:rsid w:val="00882A26"/>
    <w:rsid w:val="00882E86"/>
    <w:rsid w:val="00882F81"/>
    <w:rsid w:val="008833DD"/>
    <w:rsid w:val="00883444"/>
    <w:rsid w:val="0088458A"/>
    <w:rsid w:val="00884979"/>
    <w:rsid w:val="0088510D"/>
    <w:rsid w:val="00886608"/>
    <w:rsid w:val="00886CED"/>
    <w:rsid w:val="00886F38"/>
    <w:rsid w:val="0088720C"/>
    <w:rsid w:val="00887320"/>
    <w:rsid w:val="00890F30"/>
    <w:rsid w:val="00893237"/>
    <w:rsid w:val="008938B8"/>
    <w:rsid w:val="0089499B"/>
    <w:rsid w:val="008952EF"/>
    <w:rsid w:val="00895A78"/>
    <w:rsid w:val="00896CC0"/>
    <w:rsid w:val="00897347"/>
    <w:rsid w:val="00897497"/>
    <w:rsid w:val="0089767D"/>
    <w:rsid w:val="00897989"/>
    <w:rsid w:val="00897A5C"/>
    <w:rsid w:val="008A05C1"/>
    <w:rsid w:val="008A1D37"/>
    <w:rsid w:val="008A2443"/>
    <w:rsid w:val="008A32D2"/>
    <w:rsid w:val="008A37A8"/>
    <w:rsid w:val="008A4C44"/>
    <w:rsid w:val="008A54CB"/>
    <w:rsid w:val="008A60F5"/>
    <w:rsid w:val="008A61B0"/>
    <w:rsid w:val="008A6488"/>
    <w:rsid w:val="008A6DDD"/>
    <w:rsid w:val="008A745B"/>
    <w:rsid w:val="008A7A8A"/>
    <w:rsid w:val="008A7B54"/>
    <w:rsid w:val="008A7DB4"/>
    <w:rsid w:val="008B021E"/>
    <w:rsid w:val="008B0D8F"/>
    <w:rsid w:val="008B11E4"/>
    <w:rsid w:val="008B1343"/>
    <w:rsid w:val="008B1C8C"/>
    <w:rsid w:val="008B26CD"/>
    <w:rsid w:val="008B2703"/>
    <w:rsid w:val="008B2D44"/>
    <w:rsid w:val="008B607A"/>
    <w:rsid w:val="008B6761"/>
    <w:rsid w:val="008B69B9"/>
    <w:rsid w:val="008B6BE4"/>
    <w:rsid w:val="008B7AE8"/>
    <w:rsid w:val="008C0668"/>
    <w:rsid w:val="008C2072"/>
    <w:rsid w:val="008C3BF1"/>
    <w:rsid w:val="008C3FF4"/>
    <w:rsid w:val="008C412C"/>
    <w:rsid w:val="008C4D25"/>
    <w:rsid w:val="008C5401"/>
    <w:rsid w:val="008C54AB"/>
    <w:rsid w:val="008C61B1"/>
    <w:rsid w:val="008C6754"/>
    <w:rsid w:val="008C6D00"/>
    <w:rsid w:val="008D04EA"/>
    <w:rsid w:val="008D0810"/>
    <w:rsid w:val="008D0F17"/>
    <w:rsid w:val="008D1174"/>
    <w:rsid w:val="008D13B8"/>
    <w:rsid w:val="008D1CCE"/>
    <w:rsid w:val="008D28EA"/>
    <w:rsid w:val="008D3059"/>
    <w:rsid w:val="008D3281"/>
    <w:rsid w:val="008D3323"/>
    <w:rsid w:val="008D4538"/>
    <w:rsid w:val="008D6210"/>
    <w:rsid w:val="008D6952"/>
    <w:rsid w:val="008D6E34"/>
    <w:rsid w:val="008D710D"/>
    <w:rsid w:val="008D74EC"/>
    <w:rsid w:val="008E0C63"/>
    <w:rsid w:val="008E1EBD"/>
    <w:rsid w:val="008E315B"/>
    <w:rsid w:val="008E3257"/>
    <w:rsid w:val="008E3E3F"/>
    <w:rsid w:val="008E45F5"/>
    <w:rsid w:val="008E46CE"/>
    <w:rsid w:val="008E5212"/>
    <w:rsid w:val="008E6279"/>
    <w:rsid w:val="008E6950"/>
    <w:rsid w:val="008E6E35"/>
    <w:rsid w:val="008E77D0"/>
    <w:rsid w:val="008F05C4"/>
    <w:rsid w:val="008F0CCF"/>
    <w:rsid w:val="008F13EC"/>
    <w:rsid w:val="008F1FD2"/>
    <w:rsid w:val="008F2ED5"/>
    <w:rsid w:val="008F3753"/>
    <w:rsid w:val="008F3B2A"/>
    <w:rsid w:val="008F3E1F"/>
    <w:rsid w:val="008F46FE"/>
    <w:rsid w:val="008F4C5D"/>
    <w:rsid w:val="008F56F4"/>
    <w:rsid w:val="008F6AF6"/>
    <w:rsid w:val="008F722B"/>
    <w:rsid w:val="008F7808"/>
    <w:rsid w:val="008F78DC"/>
    <w:rsid w:val="008F7D3E"/>
    <w:rsid w:val="008F7D7E"/>
    <w:rsid w:val="00900487"/>
    <w:rsid w:val="00900629"/>
    <w:rsid w:val="00900D29"/>
    <w:rsid w:val="00900DEC"/>
    <w:rsid w:val="009010D2"/>
    <w:rsid w:val="00902659"/>
    <w:rsid w:val="009037D9"/>
    <w:rsid w:val="00905305"/>
    <w:rsid w:val="00905928"/>
    <w:rsid w:val="00905B47"/>
    <w:rsid w:val="00910771"/>
    <w:rsid w:val="009107B6"/>
    <w:rsid w:val="009110F4"/>
    <w:rsid w:val="00912373"/>
    <w:rsid w:val="00915064"/>
    <w:rsid w:val="009152F8"/>
    <w:rsid w:val="00916033"/>
    <w:rsid w:val="00916598"/>
    <w:rsid w:val="00916859"/>
    <w:rsid w:val="00916AA4"/>
    <w:rsid w:val="00916BAD"/>
    <w:rsid w:val="00917163"/>
    <w:rsid w:val="00917B48"/>
    <w:rsid w:val="009207EF"/>
    <w:rsid w:val="00921CCF"/>
    <w:rsid w:val="009221E6"/>
    <w:rsid w:val="00922A5E"/>
    <w:rsid w:val="0092303D"/>
    <w:rsid w:val="0092321E"/>
    <w:rsid w:val="009236CD"/>
    <w:rsid w:val="00923CA6"/>
    <w:rsid w:val="00923CC1"/>
    <w:rsid w:val="00924089"/>
    <w:rsid w:val="00924097"/>
    <w:rsid w:val="00924983"/>
    <w:rsid w:val="009249BD"/>
    <w:rsid w:val="00924C5F"/>
    <w:rsid w:val="0092555C"/>
    <w:rsid w:val="00925560"/>
    <w:rsid w:val="009311E3"/>
    <w:rsid w:val="009325FC"/>
    <w:rsid w:val="0093282D"/>
    <w:rsid w:val="0093361E"/>
    <w:rsid w:val="0093367D"/>
    <w:rsid w:val="0093372D"/>
    <w:rsid w:val="00933756"/>
    <w:rsid w:val="009339EE"/>
    <w:rsid w:val="00933B17"/>
    <w:rsid w:val="00934960"/>
    <w:rsid w:val="00934D3C"/>
    <w:rsid w:val="00935BCD"/>
    <w:rsid w:val="00935C8D"/>
    <w:rsid w:val="00936E8E"/>
    <w:rsid w:val="0093790D"/>
    <w:rsid w:val="00940B35"/>
    <w:rsid w:val="00940C92"/>
    <w:rsid w:val="00942E98"/>
    <w:rsid w:val="009433BE"/>
    <w:rsid w:val="00943519"/>
    <w:rsid w:val="009439DC"/>
    <w:rsid w:val="00943B39"/>
    <w:rsid w:val="00944218"/>
    <w:rsid w:val="00944A3A"/>
    <w:rsid w:val="00944EDD"/>
    <w:rsid w:val="00946C47"/>
    <w:rsid w:val="00947239"/>
    <w:rsid w:val="009472C4"/>
    <w:rsid w:val="00947F30"/>
    <w:rsid w:val="009512F2"/>
    <w:rsid w:val="00951B52"/>
    <w:rsid w:val="00951DFC"/>
    <w:rsid w:val="00952200"/>
    <w:rsid w:val="00952FAD"/>
    <w:rsid w:val="00953837"/>
    <w:rsid w:val="00953E57"/>
    <w:rsid w:val="00955576"/>
    <w:rsid w:val="009555C0"/>
    <w:rsid w:val="009555C5"/>
    <w:rsid w:val="00955677"/>
    <w:rsid w:val="00957A69"/>
    <w:rsid w:val="00957A90"/>
    <w:rsid w:val="0096028D"/>
    <w:rsid w:val="0096083B"/>
    <w:rsid w:val="00961000"/>
    <w:rsid w:val="00961341"/>
    <w:rsid w:val="00961507"/>
    <w:rsid w:val="0096155D"/>
    <w:rsid w:val="0096199F"/>
    <w:rsid w:val="00962E05"/>
    <w:rsid w:val="009636E5"/>
    <w:rsid w:val="00964685"/>
    <w:rsid w:val="00966CC5"/>
    <w:rsid w:val="0096714F"/>
    <w:rsid w:val="00967A33"/>
    <w:rsid w:val="00967E10"/>
    <w:rsid w:val="00970429"/>
    <w:rsid w:val="00970756"/>
    <w:rsid w:val="00971442"/>
    <w:rsid w:val="009717DE"/>
    <w:rsid w:val="00972D31"/>
    <w:rsid w:val="00973383"/>
    <w:rsid w:val="00973D9A"/>
    <w:rsid w:val="00973DEB"/>
    <w:rsid w:val="00974ACE"/>
    <w:rsid w:val="00974FEE"/>
    <w:rsid w:val="0097557D"/>
    <w:rsid w:val="00975C08"/>
    <w:rsid w:val="009762A1"/>
    <w:rsid w:val="00976CF0"/>
    <w:rsid w:val="00976E98"/>
    <w:rsid w:val="0097724C"/>
    <w:rsid w:val="009774D0"/>
    <w:rsid w:val="00977753"/>
    <w:rsid w:val="00980291"/>
    <w:rsid w:val="009806F6"/>
    <w:rsid w:val="009818A5"/>
    <w:rsid w:val="009819B7"/>
    <w:rsid w:val="00981E0B"/>
    <w:rsid w:val="00981F3D"/>
    <w:rsid w:val="009834F7"/>
    <w:rsid w:val="00983D15"/>
    <w:rsid w:val="009847CD"/>
    <w:rsid w:val="00985512"/>
    <w:rsid w:val="00985CFE"/>
    <w:rsid w:val="00986FBA"/>
    <w:rsid w:val="009875C6"/>
    <w:rsid w:val="00990420"/>
    <w:rsid w:val="009911FF"/>
    <w:rsid w:val="00991452"/>
    <w:rsid w:val="00991827"/>
    <w:rsid w:val="00991DA1"/>
    <w:rsid w:val="009921F1"/>
    <w:rsid w:val="0099331F"/>
    <w:rsid w:val="009940F3"/>
    <w:rsid w:val="00995301"/>
    <w:rsid w:val="009953D2"/>
    <w:rsid w:val="00995413"/>
    <w:rsid w:val="0099570E"/>
    <w:rsid w:val="00995B6D"/>
    <w:rsid w:val="00995DB7"/>
    <w:rsid w:val="0099620F"/>
    <w:rsid w:val="0099703F"/>
    <w:rsid w:val="0099720C"/>
    <w:rsid w:val="009976B7"/>
    <w:rsid w:val="00997D9E"/>
    <w:rsid w:val="009A01FF"/>
    <w:rsid w:val="009A28AC"/>
    <w:rsid w:val="009A3B17"/>
    <w:rsid w:val="009A466E"/>
    <w:rsid w:val="009A54BB"/>
    <w:rsid w:val="009A6F9C"/>
    <w:rsid w:val="009A7891"/>
    <w:rsid w:val="009B085F"/>
    <w:rsid w:val="009B0A3C"/>
    <w:rsid w:val="009B0CD4"/>
    <w:rsid w:val="009B2B83"/>
    <w:rsid w:val="009B3DD9"/>
    <w:rsid w:val="009B46D7"/>
    <w:rsid w:val="009B4C71"/>
    <w:rsid w:val="009B596A"/>
    <w:rsid w:val="009B5F6C"/>
    <w:rsid w:val="009B61A1"/>
    <w:rsid w:val="009C00E3"/>
    <w:rsid w:val="009C057D"/>
    <w:rsid w:val="009C094B"/>
    <w:rsid w:val="009C0C6D"/>
    <w:rsid w:val="009C1A4E"/>
    <w:rsid w:val="009C1E44"/>
    <w:rsid w:val="009C2491"/>
    <w:rsid w:val="009C259C"/>
    <w:rsid w:val="009C3225"/>
    <w:rsid w:val="009C354B"/>
    <w:rsid w:val="009C385D"/>
    <w:rsid w:val="009C3F77"/>
    <w:rsid w:val="009C4A0E"/>
    <w:rsid w:val="009C5251"/>
    <w:rsid w:val="009C57ED"/>
    <w:rsid w:val="009C6CCE"/>
    <w:rsid w:val="009C7266"/>
    <w:rsid w:val="009C74FD"/>
    <w:rsid w:val="009D02DE"/>
    <w:rsid w:val="009D0C7F"/>
    <w:rsid w:val="009D1AE9"/>
    <w:rsid w:val="009D267D"/>
    <w:rsid w:val="009D3283"/>
    <w:rsid w:val="009D3634"/>
    <w:rsid w:val="009D488C"/>
    <w:rsid w:val="009D505B"/>
    <w:rsid w:val="009D6E1B"/>
    <w:rsid w:val="009E0553"/>
    <w:rsid w:val="009E0B4A"/>
    <w:rsid w:val="009E0FA4"/>
    <w:rsid w:val="009E1508"/>
    <w:rsid w:val="009E20BB"/>
    <w:rsid w:val="009E22EE"/>
    <w:rsid w:val="009E28CD"/>
    <w:rsid w:val="009E2AA1"/>
    <w:rsid w:val="009E2C19"/>
    <w:rsid w:val="009E2F5F"/>
    <w:rsid w:val="009E3E5F"/>
    <w:rsid w:val="009E445E"/>
    <w:rsid w:val="009E4C32"/>
    <w:rsid w:val="009E510A"/>
    <w:rsid w:val="009F02CA"/>
    <w:rsid w:val="009F0AEA"/>
    <w:rsid w:val="009F111A"/>
    <w:rsid w:val="009F118D"/>
    <w:rsid w:val="009F15A4"/>
    <w:rsid w:val="009F2767"/>
    <w:rsid w:val="009F2A5A"/>
    <w:rsid w:val="009F32D2"/>
    <w:rsid w:val="009F396B"/>
    <w:rsid w:val="009F3AE5"/>
    <w:rsid w:val="009F4086"/>
    <w:rsid w:val="009F45E2"/>
    <w:rsid w:val="009F46BD"/>
    <w:rsid w:val="009F524B"/>
    <w:rsid w:val="009F5E7B"/>
    <w:rsid w:val="009F786A"/>
    <w:rsid w:val="00A00AE9"/>
    <w:rsid w:val="00A00E52"/>
    <w:rsid w:val="00A01C1D"/>
    <w:rsid w:val="00A02416"/>
    <w:rsid w:val="00A03AC1"/>
    <w:rsid w:val="00A03B0E"/>
    <w:rsid w:val="00A03BE3"/>
    <w:rsid w:val="00A04187"/>
    <w:rsid w:val="00A0528D"/>
    <w:rsid w:val="00A05861"/>
    <w:rsid w:val="00A061C9"/>
    <w:rsid w:val="00A063FF"/>
    <w:rsid w:val="00A06DAF"/>
    <w:rsid w:val="00A073E3"/>
    <w:rsid w:val="00A0796F"/>
    <w:rsid w:val="00A10851"/>
    <w:rsid w:val="00A10C55"/>
    <w:rsid w:val="00A11796"/>
    <w:rsid w:val="00A11934"/>
    <w:rsid w:val="00A122E1"/>
    <w:rsid w:val="00A128D9"/>
    <w:rsid w:val="00A13212"/>
    <w:rsid w:val="00A13884"/>
    <w:rsid w:val="00A13A47"/>
    <w:rsid w:val="00A14032"/>
    <w:rsid w:val="00A1597C"/>
    <w:rsid w:val="00A164D9"/>
    <w:rsid w:val="00A166FF"/>
    <w:rsid w:val="00A2058A"/>
    <w:rsid w:val="00A20B28"/>
    <w:rsid w:val="00A2349C"/>
    <w:rsid w:val="00A24415"/>
    <w:rsid w:val="00A2454C"/>
    <w:rsid w:val="00A246A9"/>
    <w:rsid w:val="00A2538A"/>
    <w:rsid w:val="00A2548C"/>
    <w:rsid w:val="00A25492"/>
    <w:rsid w:val="00A263E5"/>
    <w:rsid w:val="00A2675B"/>
    <w:rsid w:val="00A268B1"/>
    <w:rsid w:val="00A2712B"/>
    <w:rsid w:val="00A278B5"/>
    <w:rsid w:val="00A30125"/>
    <w:rsid w:val="00A30BF5"/>
    <w:rsid w:val="00A30DED"/>
    <w:rsid w:val="00A30ED7"/>
    <w:rsid w:val="00A3237D"/>
    <w:rsid w:val="00A323BF"/>
    <w:rsid w:val="00A32BF4"/>
    <w:rsid w:val="00A33D37"/>
    <w:rsid w:val="00A35EEB"/>
    <w:rsid w:val="00A369C3"/>
    <w:rsid w:val="00A36CF4"/>
    <w:rsid w:val="00A376FC"/>
    <w:rsid w:val="00A37E13"/>
    <w:rsid w:val="00A40134"/>
    <w:rsid w:val="00A40541"/>
    <w:rsid w:val="00A4056F"/>
    <w:rsid w:val="00A416E5"/>
    <w:rsid w:val="00A42142"/>
    <w:rsid w:val="00A4270E"/>
    <w:rsid w:val="00A43170"/>
    <w:rsid w:val="00A43E3D"/>
    <w:rsid w:val="00A46562"/>
    <w:rsid w:val="00A46CA1"/>
    <w:rsid w:val="00A46D36"/>
    <w:rsid w:val="00A506AA"/>
    <w:rsid w:val="00A52473"/>
    <w:rsid w:val="00A52F96"/>
    <w:rsid w:val="00A53835"/>
    <w:rsid w:val="00A53FB5"/>
    <w:rsid w:val="00A55783"/>
    <w:rsid w:val="00A564A7"/>
    <w:rsid w:val="00A60CD9"/>
    <w:rsid w:val="00A6199E"/>
    <w:rsid w:val="00A61E23"/>
    <w:rsid w:val="00A62CEC"/>
    <w:rsid w:val="00A62E89"/>
    <w:rsid w:val="00A63027"/>
    <w:rsid w:val="00A631DC"/>
    <w:rsid w:val="00A64445"/>
    <w:rsid w:val="00A64AFE"/>
    <w:rsid w:val="00A64D8D"/>
    <w:rsid w:val="00A65013"/>
    <w:rsid w:val="00A65930"/>
    <w:rsid w:val="00A659A8"/>
    <w:rsid w:val="00A65A0A"/>
    <w:rsid w:val="00A65DDB"/>
    <w:rsid w:val="00A663AF"/>
    <w:rsid w:val="00A66F97"/>
    <w:rsid w:val="00A67FAD"/>
    <w:rsid w:val="00A70104"/>
    <w:rsid w:val="00A71705"/>
    <w:rsid w:val="00A72482"/>
    <w:rsid w:val="00A7277B"/>
    <w:rsid w:val="00A72DB0"/>
    <w:rsid w:val="00A73092"/>
    <w:rsid w:val="00A73C9E"/>
    <w:rsid w:val="00A74083"/>
    <w:rsid w:val="00A753EA"/>
    <w:rsid w:val="00A75E47"/>
    <w:rsid w:val="00A776C1"/>
    <w:rsid w:val="00A80C2A"/>
    <w:rsid w:val="00A8138B"/>
    <w:rsid w:val="00A8204B"/>
    <w:rsid w:val="00A829CC"/>
    <w:rsid w:val="00A83589"/>
    <w:rsid w:val="00A83AFF"/>
    <w:rsid w:val="00A8535B"/>
    <w:rsid w:val="00A8659F"/>
    <w:rsid w:val="00A87113"/>
    <w:rsid w:val="00A87631"/>
    <w:rsid w:val="00A87AD9"/>
    <w:rsid w:val="00A901A4"/>
    <w:rsid w:val="00A918BD"/>
    <w:rsid w:val="00A91F46"/>
    <w:rsid w:val="00A9203A"/>
    <w:rsid w:val="00A924C5"/>
    <w:rsid w:val="00A93C91"/>
    <w:rsid w:val="00A93DEE"/>
    <w:rsid w:val="00A944B5"/>
    <w:rsid w:val="00A94671"/>
    <w:rsid w:val="00A94B5F"/>
    <w:rsid w:val="00A959B6"/>
    <w:rsid w:val="00A95CC8"/>
    <w:rsid w:val="00A95DB5"/>
    <w:rsid w:val="00A97440"/>
    <w:rsid w:val="00AA0A8F"/>
    <w:rsid w:val="00AA1622"/>
    <w:rsid w:val="00AA16EA"/>
    <w:rsid w:val="00AA1B22"/>
    <w:rsid w:val="00AA2C87"/>
    <w:rsid w:val="00AA321A"/>
    <w:rsid w:val="00AA35E7"/>
    <w:rsid w:val="00AA7049"/>
    <w:rsid w:val="00AA734C"/>
    <w:rsid w:val="00AA778F"/>
    <w:rsid w:val="00AA7A37"/>
    <w:rsid w:val="00AA7A8D"/>
    <w:rsid w:val="00AA7A93"/>
    <w:rsid w:val="00AB0507"/>
    <w:rsid w:val="00AB1C3F"/>
    <w:rsid w:val="00AB1FC8"/>
    <w:rsid w:val="00AB217F"/>
    <w:rsid w:val="00AB2331"/>
    <w:rsid w:val="00AB24DC"/>
    <w:rsid w:val="00AB2EB2"/>
    <w:rsid w:val="00AB2F69"/>
    <w:rsid w:val="00AB2F73"/>
    <w:rsid w:val="00AB3027"/>
    <w:rsid w:val="00AB3C1D"/>
    <w:rsid w:val="00AB3E2C"/>
    <w:rsid w:val="00AB44E4"/>
    <w:rsid w:val="00AB5CC9"/>
    <w:rsid w:val="00AB61AF"/>
    <w:rsid w:val="00AB63A6"/>
    <w:rsid w:val="00AB6F21"/>
    <w:rsid w:val="00AC1C2D"/>
    <w:rsid w:val="00AC33FF"/>
    <w:rsid w:val="00AC36FF"/>
    <w:rsid w:val="00AC3CE3"/>
    <w:rsid w:val="00AC5611"/>
    <w:rsid w:val="00AC601E"/>
    <w:rsid w:val="00AC6109"/>
    <w:rsid w:val="00AC6E31"/>
    <w:rsid w:val="00AC70A7"/>
    <w:rsid w:val="00AC73C0"/>
    <w:rsid w:val="00AC7448"/>
    <w:rsid w:val="00AC745A"/>
    <w:rsid w:val="00AD1278"/>
    <w:rsid w:val="00AD1349"/>
    <w:rsid w:val="00AD2DC0"/>
    <w:rsid w:val="00AD2E81"/>
    <w:rsid w:val="00AD3752"/>
    <w:rsid w:val="00AD3A6F"/>
    <w:rsid w:val="00AD3EFC"/>
    <w:rsid w:val="00AD43B9"/>
    <w:rsid w:val="00AD7546"/>
    <w:rsid w:val="00AE02B9"/>
    <w:rsid w:val="00AE24A6"/>
    <w:rsid w:val="00AE31E1"/>
    <w:rsid w:val="00AE39E4"/>
    <w:rsid w:val="00AE3A9B"/>
    <w:rsid w:val="00AE3F40"/>
    <w:rsid w:val="00AE466D"/>
    <w:rsid w:val="00AE4F32"/>
    <w:rsid w:val="00AE6859"/>
    <w:rsid w:val="00AE6912"/>
    <w:rsid w:val="00AE6DEC"/>
    <w:rsid w:val="00AE75D5"/>
    <w:rsid w:val="00AF0142"/>
    <w:rsid w:val="00AF01B5"/>
    <w:rsid w:val="00AF02C5"/>
    <w:rsid w:val="00AF0DAA"/>
    <w:rsid w:val="00AF24BE"/>
    <w:rsid w:val="00AF2E24"/>
    <w:rsid w:val="00AF34D8"/>
    <w:rsid w:val="00AF49BE"/>
    <w:rsid w:val="00AF4BF3"/>
    <w:rsid w:val="00AF4DAA"/>
    <w:rsid w:val="00AF53F1"/>
    <w:rsid w:val="00AF5417"/>
    <w:rsid w:val="00AF675C"/>
    <w:rsid w:val="00AF7014"/>
    <w:rsid w:val="00B003CF"/>
    <w:rsid w:val="00B007E3"/>
    <w:rsid w:val="00B0172B"/>
    <w:rsid w:val="00B01F19"/>
    <w:rsid w:val="00B03442"/>
    <w:rsid w:val="00B042CB"/>
    <w:rsid w:val="00B04EBB"/>
    <w:rsid w:val="00B05181"/>
    <w:rsid w:val="00B059CD"/>
    <w:rsid w:val="00B05A40"/>
    <w:rsid w:val="00B05CAC"/>
    <w:rsid w:val="00B06860"/>
    <w:rsid w:val="00B0759E"/>
    <w:rsid w:val="00B100AF"/>
    <w:rsid w:val="00B112AF"/>
    <w:rsid w:val="00B11868"/>
    <w:rsid w:val="00B11940"/>
    <w:rsid w:val="00B12DCD"/>
    <w:rsid w:val="00B1522F"/>
    <w:rsid w:val="00B15707"/>
    <w:rsid w:val="00B15CCC"/>
    <w:rsid w:val="00B162D8"/>
    <w:rsid w:val="00B164E7"/>
    <w:rsid w:val="00B16689"/>
    <w:rsid w:val="00B16F20"/>
    <w:rsid w:val="00B177CA"/>
    <w:rsid w:val="00B2053C"/>
    <w:rsid w:val="00B2146E"/>
    <w:rsid w:val="00B21BA6"/>
    <w:rsid w:val="00B21FC8"/>
    <w:rsid w:val="00B2338C"/>
    <w:rsid w:val="00B242D1"/>
    <w:rsid w:val="00B24919"/>
    <w:rsid w:val="00B2547C"/>
    <w:rsid w:val="00B25C88"/>
    <w:rsid w:val="00B25E8C"/>
    <w:rsid w:val="00B269FC"/>
    <w:rsid w:val="00B27631"/>
    <w:rsid w:val="00B30C5E"/>
    <w:rsid w:val="00B3107E"/>
    <w:rsid w:val="00B314BD"/>
    <w:rsid w:val="00B317CC"/>
    <w:rsid w:val="00B31ABF"/>
    <w:rsid w:val="00B3271C"/>
    <w:rsid w:val="00B32B7B"/>
    <w:rsid w:val="00B32FAF"/>
    <w:rsid w:val="00B33197"/>
    <w:rsid w:val="00B34287"/>
    <w:rsid w:val="00B34792"/>
    <w:rsid w:val="00B34805"/>
    <w:rsid w:val="00B356F6"/>
    <w:rsid w:val="00B35A91"/>
    <w:rsid w:val="00B3653C"/>
    <w:rsid w:val="00B36DEF"/>
    <w:rsid w:val="00B4329B"/>
    <w:rsid w:val="00B455F0"/>
    <w:rsid w:val="00B45748"/>
    <w:rsid w:val="00B45870"/>
    <w:rsid w:val="00B45BE3"/>
    <w:rsid w:val="00B45D42"/>
    <w:rsid w:val="00B466B7"/>
    <w:rsid w:val="00B46C24"/>
    <w:rsid w:val="00B47285"/>
    <w:rsid w:val="00B47D72"/>
    <w:rsid w:val="00B503BF"/>
    <w:rsid w:val="00B510A0"/>
    <w:rsid w:val="00B516F8"/>
    <w:rsid w:val="00B51A15"/>
    <w:rsid w:val="00B520F1"/>
    <w:rsid w:val="00B558A2"/>
    <w:rsid w:val="00B560AF"/>
    <w:rsid w:val="00B5733F"/>
    <w:rsid w:val="00B57EDB"/>
    <w:rsid w:val="00B60E12"/>
    <w:rsid w:val="00B610A5"/>
    <w:rsid w:val="00B61FDA"/>
    <w:rsid w:val="00B633E6"/>
    <w:rsid w:val="00B640FC"/>
    <w:rsid w:val="00B6489D"/>
    <w:rsid w:val="00B64A95"/>
    <w:rsid w:val="00B654ED"/>
    <w:rsid w:val="00B65ADE"/>
    <w:rsid w:val="00B65B18"/>
    <w:rsid w:val="00B67AD3"/>
    <w:rsid w:val="00B67B32"/>
    <w:rsid w:val="00B7090A"/>
    <w:rsid w:val="00B7134D"/>
    <w:rsid w:val="00B71F07"/>
    <w:rsid w:val="00B73053"/>
    <w:rsid w:val="00B73256"/>
    <w:rsid w:val="00B73C1F"/>
    <w:rsid w:val="00B73C34"/>
    <w:rsid w:val="00B73EF4"/>
    <w:rsid w:val="00B755AA"/>
    <w:rsid w:val="00B756A9"/>
    <w:rsid w:val="00B76659"/>
    <w:rsid w:val="00B76EF3"/>
    <w:rsid w:val="00B773F7"/>
    <w:rsid w:val="00B777AA"/>
    <w:rsid w:val="00B80B76"/>
    <w:rsid w:val="00B8103F"/>
    <w:rsid w:val="00B8133F"/>
    <w:rsid w:val="00B81597"/>
    <w:rsid w:val="00B81B46"/>
    <w:rsid w:val="00B81BAC"/>
    <w:rsid w:val="00B81F9C"/>
    <w:rsid w:val="00B828D7"/>
    <w:rsid w:val="00B828ED"/>
    <w:rsid w:val="00B84A76"/>
    <w:rsid w:val="00B854C5"/>
    <w:rsid w:val="00B85D06"/>
    <w:rsid w:val="00B86830"/>
    <w:rsid w:val="00B8716C"/>
    <w:rsid w:val="00B876A2"/>
    <w:rsid w:val="00B87B86"/>
    <w:rsid w:val="00B87DA2"/>
    <w:rsid w:val="00B9041F"/>
    <w:rsid w:val="00B914DA"/>
    <w:rsid w:val="00B9178F"/>
    <w:rsid w:val="00B91FBC"/>
    <w:rsid w:val="00B92B78"/>
    <w:rsid w:val="00B92FA7"/>
    <w:rsid w:val="00B93E06"/>
    <w:rsid w:val="00B95199"/>
    <w:rsid w:val="00B9536B"/>
    <w:rsid w:val="00B957D7"/>
    <w:rsid w:val="00B9659C"/>
    <w:rsid w:val="00B96CA3"/>
    <w:rsid w:val="00B9753A"/>
    <w:rsid w:val="00BA17C5"/>
    <w:rsid w:val="00BA226A"/>
    <w:rsid w:val="00BA2D3C"/>
    <w:rsid w:val="00BA35C0"/>
    <w:rsid w:val="00BA3670"/>
    <w:rsid w:val="00BA3DD8"/>
    <w:rsid w:val="00BA3ED5"/>
    <w:rsid w:val="00BA4391"/>
    <w:rsid w:val="00BA4AB0"/>
    <w:rsid w:val="00BA558A"/>
    <w:rsid w:val="00BA5765"/>
    <w:rsid w:val="00BA7930"/>
    <w:rsid w:val="00BA7DA2"/>
    <w:rsid w:val="00BA7E75"/>
    <w:rsid w:val="00BB00FD"/>
    <w:rsid w:val="00BB01A4"/>
    <w:rsid w:val="00BB0772"/>
    <w:rsid w:val="00BB1641"/>
    <w:rsid w:val="00BB195C"/>
    <w:rsid w:val="00BB23A4"/>
    <w:rsid w:val="00BB2A36"/>
    <w:rsid w:val="00BB321F"/>
    <w:rsid w:val="00BB445B"/>
    <w:rsid w:val="00BB5B2A"/>
    <w:rsid w:val="00BB77A9"/>
    <w:rsid w:val="00BB7A6D"/>
    <w:rsid w:val="00BB7A95"/>
    <w:rsid w:val="00BC1851"/>
    <w:rsid w:val="00BC1DC0"/>
    <w:rsid w:val="00BC1E7F"/>
    <w:rsid w:val="00BC253D"/>
    <w:rsid w:val="00BC286F"/>
    <w:rsid w:val="00BC3110"/>
    <w:rsid w:val="00BC38F7"/>
    <w:rsid w:val="00BC47A9"/>
    <w:rsid w:val="00BC496A"/>
    <w:rsid w:val="00BC4F49"/>
    <w:rsid w:val="00BC5BEE"/>
    <w:rsid w:val="00BC5E7A"/>
    <w:rsid w:val="00BC64DC"/>
    <w:rsid w:val="00BC7755"/>
    <w:rsid w:val="00BD15C1"/>
    <w:rsid w:val="00BD269B"/>
    <w:rsid w:val="00BD2FB0"/>
    <w:rsid w:val="00BD345F"/>
    <w:rsid w:val="00BD37C1"/>
    <w:rsid w:val="00BD3CCC"/>
    <w:rsid w:val="00BD42C5"/>
    <w:rsid w:val="00BD4329"/>
    <w:rsid w:val="00BD5FDA"/>
    <w:rsid w:val="00BD6552"/>
    <w:rsid w:val="00BD6678"/>
    <w:rsid w:val="00BD69A7"/>
    <w:rsid w:val="00BD71A1"/>
    <w:rsid w:val="00BE0C81"/>
    <w:rsid w:val="00BE0D0F"/>
    <w:rsid w:val="00BE0ED3"/>
    <w:rsid w:val="00BE109F"/>
    <w:rsid w:val="00BE1D4A"/>
    <w:rsid w:val="00BE241D"/>
    <w:rsid w:val="00BE2D70"/>
    <w:rsid w:val="00BE40DD"/>
    <w:rsid w:val="00BE465E"/>
    <w:rsid w:val="00BE4682"/>
    <w:rsid w:val="00BE48B8"/>
    <w:rsid w:val="00BE4AA1"/>
    <w:rsid w:val="00BE4D5F"/>
    <w:rsid w:val="00BE57BB"/>
    <w:rsid w:val="00BE5EF2"/>
    <w:rsid w:val="00BF09A0"/>
    <w:rsid w:val="00BF0F21"/>
    <w:rsid w:val="00BF1DD0"/>
    <w:rsid w:val="00BF3042"/>
    <w:rsid w:val="00BF3282"/>
    <w:rsid w:val="00BF3D4D"/>
    <w:rsid w:val="00BF44EB"/>
    <w:rsid w:val="00BF4837"/>
    <w:rsid w:val="00BF5423"/>
    <w:rsid w:val="00BF6213"/>
    <w:rsid w:val="00BF7077"/>
    <w:rsid w:val="00BF74A1"/>
    <w:rsid w:val="00BF79E2"/>
    <w:rsid w:val="00C0060C"/>
    <w:rsid w:val="00C01948"/>
    <w:rsid w:val="00C03593"/>
    <w:rsid w:val="00C03CDF"/>
    <w:rsid w:val="00C041A3"/>
    <w:rsid w:val="00C06409"/>
    <w:rsid w:val="00C06E46"/>
    <w:rsid w:val="00C0779C"/>
    <w:rsid w:val="00C078EA"/>
    <w:rsid w:val="00C07946"/>
    <w:rsid w:val="00C10481"/>
    <w:rsid w:val="00C107C5"/>
    <w:rsid w:val="00C10828"/>
    <w:rsid w:val="00C1087E"/>
    <w:rsid w:val="00C11362"/>
    <w:rsid w:val="00C1217A"/>
    <w:rsid w:val="00C12544"/>
    <w:rsid w:val="00C1353D"/>
    <w:rsid w:val="00C14938"/>
    <w:rsid w:val="00C14CA4"/>
    <w:rsid w:val="00C14CE3"/>
    <w:rsid w:val="00C14CF2"/>
    <w:rsid w:val="00C14D37"/>
    <w:rsid w:val="00C14EDF"/>
    <w:rsid w:val="00C155FA"/>
    <w:rsid w:val="00C1590A"/>
    <w:rsid w:val="00C169E4"/>
    <w:rsid w:val="00C2132B"/>
    <w:rsid w:val="00C216CB"/>
    <w:rsid w:val="00C2269B"/>
    <w:rsid w:val="00C22CAE"/>
    <w:rsid w:val="00C23093"/>
    <w:rsid w:val="00C23144"/>
    <w:rsid w:val="00C23C6E"/>
    <w:rsid w:val="00C24A8E"/>
    <w:rsid w:val="00C24F4F"/>
    <w:rsid w:val="00C267FB"/>
    <w:rsid w:val="00C26FA5"/>
    <w:rsid w:val="00C278BB"/>
    <w:rsid w:val="00C30B67"/>
    <w:rsid w:val="00C32208"/>
    <w:rsid w:val="00C328EA"/>
    <w:rsid w:val="00C33115"/>
    <w:rsid w:val="00C33692"/>
    <w:rsid w:val="00C34481"/>
    <w:rsid w:val="00C35E8B"/>
    <w:rsid w:val="00C3602C"/>
    <w:rsid w:val="00C3627F"/>
    <w:rsid w:val="00C36C25"/>
    <w:rsid w:val="00C3779B"/>
    <w:rsid w:val="00C40528"/>
    <w:rsid w:val="00C408C9"/>
    <w:rsid w:val="00C409A3"/>
    <w:rsid w:val="00C41B5D"/>
    <w:rsid w:val="00C41CCA"/>
    <w:rsid w:val="00C426C4"/>
    <w:rsid w:val="00C42B24"/>
    <w:rsid w:val="00C43372"/>
    <w:rsid w:val="00C44118"/>
    <w:rsid w:val="00C4427A"/>
    <w:rsid w:val="00C446F4"/>
    <w:rsid w:val="00C45B46"/>
    <w:rsid w:val="00C47204"/>
    <w:rsid w:val="00C47BB2"/>
    <w:rsid w:val="00C513C2"/>
    <w:rsid w:val="00C51C1A"/>
    <w:rsid w:val="00C52CDF"/>
    <w:rsid w:val="00C5323E"/>
    <w:rsid w:val="00C54340"/>
    <w:rsid w:val="00C608FD"/>
    <w:rsid w:val="00C609FE"/>
    <w:rsid w:val="00C60DFD"/>
    <w:rsid w:val="00C615D9"/>
    <w:rsid w:val="00C61986"/>
    <w:rsid w:val="00C61DE3"/>
    <w:rsid w:val="00C63011"/>
    <w:rsid w:val="00C638E4"/>
    <w:rsid w:val="00C64C9B"/>
    <w:rsid w:val="00C65536"/>
    <w:rsid w:val="00C65E78"/>
    <w:rsid w:val="00C668A5"/>
    <w:rsid w:val="00C66981"/>
    <w:rsid w:val="00C679D2"/>
    <w:rsid w:val="00C7027D"/>
    <w:rsid w:val="00C70AB9"/>
    <w:rsid w:val="00C70BD6"/>
    <w:rsid w:val="00C713F5"/>
    <w:rsid w:val="00C71872"/>
    <w:rsid w:val="00C7196B"/>
    <w:rsid w:val="00C72086"/>
    <w:rsid w:val="00C72A64"/>
    <w:rsid w:val="00C72BED"/>
    <w:rsid w:val="00C73ADC"/>
    <w:rsid w:val="00C7435F"/>
    <w:rsid w:val="00C74C7C"/>
    <w:rsid w:val="00C74D4D"/>
    <w:rsid w:val="00C75104"/>
    <w:rsid w:val="00C761FA"/>
    <w:rsid w:val="00C82B6D"/>
    <w:rsid w:val="00C83CC1"/>
    <w:rsid w:val="00C83D56"/>
    <w:rsid w:val="00C84DDF"/>
    <w:rsid w:val="00C9031D"/>
    <w:rsid w:val="00C90987"/>
    <w:rsid w:val="00C911E5"/>
    <w:rsid w:val="00C91930"/>
    <w:rsid w:val="00C92155"/>
    <w:rsid w:val="00C923D4"/>
    <w:rsid w:val="00C92827"/>
    <w:rsid w:val="00C92AEA"/>
    <w:rsid w:val="00C92D36"/>
    <w:rsid w:val="00C9358A"/>
    <w:rsid w:val="00C93A1F"/>
    <w:rsid w:val="00C942E0"/>
    <w:rsid w:val="00C944AE"/>
    <w:rsid w:val="00C94D36"/>
    <w:rsid w:val="00C94ECD"/>
    <w:rsid w:val="00C965A4"/>
    <w:rsid w:val="00C967DE"/>
    <w:rsid w:val="00C96A20"/>
    <w:rsid w:val="00C96A35"/>
    <w:rsid w:val="00C97754"/>
    <w:rsid w:val="00C97CEC"/>
    <w:rsid w:val="00CA206C"/>
    <w:rsid w:val="00CA2A7E"/>
    <w:rsid w:val="00CA2E4E"/>
    <w:rsid w:val="00CA3876"/>
    <w:rsid w:val="00CA4583"/>
    <w:rsid w:val="00CA4C65"/>
    <w:rsid w:val="00CA52B4"/>
    <w:rsid w:val="00CA5A0A"/>
    <w:rsid w:val="00CA5C14"/>
    <w:rsid w:val="00CA5C39"/>
    <w:rsid w:val="00CA6463"/>
    <w:rsid w:val="00CA6567"/>
    <w:rsid w:val="00CA6773"/>
    <w:rsid w:val="00CA6941"/>
    <w:rsid w:val="00CB04D9"/>
    <w:rsid w:val="00CB0C3A"/>
    <w:rsid w:val="00CB0D39"/>
    <w:rsid w:val="00CB1342"/>
    <w:rsid w:val="00CB1B03"/>
    <w:rsid w:val="00CB1B60"/>
    <w:rsid w:val="00CB1C53"/>
    <w:rsid w:val="00CB1EDF"/>
    <w:rsid w:val="00CB22F5"/>
    <w:rsid w:val="00CB2FCD"/>
    <w:rsid w:val="00CB3240"/>
    <w:rsid w:val="00CB529E"/>
    <w:rsid w:val="00CB532B"/>
    <w:rsid w:val="00CB64E5"/>
    <w:rsid w:val="00CB64FA"/>
    <w:rsid w:val="00CB6F86"/>
    <w:rsid w:val="00CB7B75"/>
    <w:rsid w:val="00CB7C02"/>
    <w:rsid w:val="00CC0008"/>
    <w:rsid w:val="00CC01BC"/>
    <w:rsid w:val="00CC0FB0"/>
    <w:rsid w:val="00CC16D0"/>
    <w:rsid w:val="00CC283B"/>
    <w:rsid w:val="00CC3862"/>
    <w:rsid w:val="00CC5390"/>
    <w:rsid w:val="00CC603F"/>
    <w:rsid w:val="00CC7176"/>
    <w:rsid w:val="00CC73A0"/>
    <w:rsid w:val="00CC7F94"/>
    <w:rsid w:val="00CD034D"/>
    <w:rsid w:val="00CD0AEA"/>
    <w:rsid w:val="00CD0D19"/>
    <w:rsid w:val="00CD2776"/>
    <w:rsid w:val="00CD2EA0"/>
    <w:rsid w:val="00CD30DD"/>
    <w:rsid w:val="00CD325F"/>
    <w:rsid w:val="00CD3C90"/>
    <w:rsid w:val="00CD3DA3"/>
    <w:rsid w:val="00CD3E57"/>
    <w:rsid w:val="00CD5008"/>
    <w:rsid w:val="00CD56D3"/>
    <w:rsid w:val="00CD57DB"/>
    <w:rsid w:val="00CD6D13"/>
    <w:rsid w:val="00CD7813"/>
    <w:rsid w:val="00CE0303"/>
    <w:rsid w:val="00CE1C66"/>
    <w:rsid w:val="00CE20A7"/>
    <w:rsid w:val="00CE3A9C"/>
    <w:rsid w:val="00CE3E32"/>
    <w:rsid w:val="00CE4EF2"/>
    <w:rsid w:val="00CE567C"/>
    <w:rsid w:val="00CE644F"/>
    <w:rsid w:val="00CE64B0"/>
    <w:rsid w:val="00CE6A93"/>
    <w:rsid w:val="00CE6D8D"/>
    <w:rsid w:val="00CE6E7D"/>
    <w:rsid w:val="00CF02B0"/>
    <w:rsid w:val="00CF0438"/>
    <w:rsid w:val="00CF1822"/>
    <w:rsid w:val="00CF1995"/>
    <w:rsid w:val="00CF3307"/>
    <w:rsid w:val="00CF35C5"/>
    <w:rsid w:val="00CF4B43"/>
    <w:rsid w:val="00CF5B85"/>
    <w:rsid w:val="00CF5BC8"/>
    <w:rsid w:val="00CF633F"/>
    <w:rsid w:val="00CF6428"/>
    <w:rsid w:val="00CF6E51"/>
    <w:rsid w:val="00CF7623"/>
    <w:rsid w:val="00CF7985"/>
    <w:rsid w:val="00D00760"/>
    <w:rsid w:val="00D02932"/>
    <w:rsid w:val="00D02DD2"/>
    <w:rsid w:val="00D02EBC"/>
    <w:rsid w:val="00D0323E"/>
    <w:rsid w:val="00D03513"/>
    <w:rsid w:val="00D03B2A"/>
    <w:rsid w:val="00D0580A"/>
    <w:rsid w:val="00D0588B"/>
    <w:rsid w:val="00D059A5"/>
    <w:rsid w:val="00D06041"/>
    <w:rsid w:val="00D074B4"/>
    <w:rsid w:val="00D07B9C"/>
    <w:rsid w:val="00D10484"/>
    <w:rsid w:val="00D108C9"/>
    <w:rsid w:val="00D1125C"/>
    <w:rsid w:val="00D1153C"/>
    <w:rsid w:val="00D120A1"/>
    <w:rsid w:val="00D128D1"/>
    <w:rsid w:val="00D13843"/>
    <w:rsid w:val="00D15B26"/>
    <w:rsid w:val="00D15CE4"/>
    <w:rsid w:val="00D15F20"/>
    <w:rsid w:val="00D1640A"/>
    <w:rsid w:val="00D16492"/>
    <w:rsid w:val="00D20292"/>
    <w:rsid w:val="00D204D1"/>
    <w:rsid w:val="00D20DA2"/>
    <w:rsid w:val="00D21243"/>
    <w:rsid w:val="00D21837"/>
    <w:rsid w:val="00D21E26"/>
    <w:rsid w:val="00D2295D"/>
    <w:rsid w:val="00D22AF7"/>
    <w:rsid w:val="00D23195"/>
    <w:rsid w:val="00D23B3F"/>
    <w:rsid w:val="00D241F6"/>
    <w:rsid w:val="00D243A1"/>
    <w:rsid w:val="00D25688"/>
    <w:rsid w:val="00D278DF"/>
    <w:rsid w:val="00D3043A"/>
    <w:rsid w:val="00D30631"/>
    <w:rsid w:val="00D328E5"/>
    <w:rsid w:val="00D32BC7"/>
    <w:rsid w:val="00D33854"/>
    <w:rsid w:val="00D33FB6"/>
    <w:rsid w:val="00D3584B"/>
    <w:rsid w:val="00D35EF5"/>
    <w:rsid w:val="00D36419"/>
    <w:rsid w:val="00D377AC"/>
    <w:rsid w:val="00D40603"/>
    <w:rsid w:val="00D4079C"/>
    <w:rsid w:val="00D41697"/>
    <w:rsid w:val="00D417B9"/>
    <w:rsid w:val="00D418F0"/>
    <w:rsid w:val="00D420CF"/>
    <w:rsid w:val="00D42F17"/>
    <w:rsid w:val="00D44670"/>
    <w:rsid w:val="00D449CF"/>
    <w:rsid w:val="00D46488"/>
    <w:rsid w:val="00D466ED"/>
    <w:rsid w:val="00D476A0"/>
    <w:rsid w:val="00D47D21"/>
    <w:rsid w:val="00D50777"/>
    <w:rsid w:val="00D50F36"/>
    <w:rsid w:val="00D511B4"/>
    <w:rsid w:val="00D516F3"/>
    <w:rsid w:val="00D5177C"/>
    <w:rsid w:val="00D520BA"/>
    <w:rsid w:val="00D542D6"/>
    <w:rsid w:val="00D54468"/>
    <w:rsid w:val="00D54580"/>
    <w:rsid w:val="00D559D5"/>
    <w:rsid w:val="00D560F9"/>
    <w:rsid w:val="00D5651E"/>
    <w:rsid w:val="00D57128"/>
    <w:rsid w:val="00D611C0"/>
    <w:rsid w:val="00D61427"/>
    <w:rsid w:val="00D6249B"/>
    <w:rsid w:val="00D6249F"/>
    <w:rsid w:val="00D630D7"/>
    <w:rsid w:val="00D632FE"/>
    <w:rsid w:val="00D63C89"/>
    <w:rsid w:val="00D6477D"/>
    <w:rsid w:val="00D6498E"/>
    <w:rsid w:val="00D65181"/>
    <w:rsid w:val="00D66732"/>
    <w:rsid w:val="00D67524"/>
    <w:rsid w:val="00D71052"/>
    <w:rsid w:val="00D71BCD"/>
    <w:rsid w:val="00D72AD7"/>
    <w:rsid w:val="00D74080"/>
    <w:rsid w:val="00D744EA"/>
    <w:rsid w:val="00D747CD"/>
    <w:rsid w:val="00D74943"/>
    <w:rsid w:val="00D77373"/>
    <w:rsid w:val="00D802C5"/>
    <w:rsid w:val="00D804DB"/>
    <w:rsid w:val="00D80B77"/>
    <w:rsid w:val="00D80DA9"/>
    <w:rsid w:val="00D81165"/>
    <w:rsid w:val="00D818C6"/>
    <w:rsid w:val="00D84736"/>
    <w:rsid w:val="00D84BA5"/>
    <w:rsid w:val="00D85024"/>
    <w:rsid w:val="00D857BC"/>
    <w:rsid w:val="00D870AE"/>
    <w:rsid w:val="00D876D2"/>
    <w:rsid w:val="00D876D8"/>
    <w:rsid w:val="00D9003F"/>
    <w:rsid w:val="00D90774"/>
    <w:rsid w:val="00D90E82"/>
    <w:rsid w:val="00D9136A"/>
    <w:rsid w:val="00D93906"/>
    <w:rsid w:val="00D93A19"/>
    <w:rsid w:val="00D951B6"/>
    <w:rsid w:val="00D95B0C"/>
    <w:rsid w:val="00D96114"/>
    <w:rsid w:val="00D9668A"/>
    <w:rsid w:val="00D96E64"/>
    <w:rsid w:val="00D97344"/>
    <w:rsid w:val="00D9760A"/>
    <w:rsid w:val="00D9787A"/>
    <w:rsid w:val="00DA0352"/>
    <w:rsid w:val="00DA0951"/>
    <w:rsid w:val="00DA1129"/>
    <w:rsid w:val="00DA23F0"/>
    <w:rsid w:val="00DA2614"/>
    <w:rsid w:val="00DA3AF4"/>
    <w:rsid w:val="00DA56A5"/>
    <w:rsid w:val="00DA609A"/>
    <w:rsid w:val="00DA633B"/>
    <w:rsid w:val="00DA7FA9"/>
    <w:rsid w:val="00DB024B"/>
    <w:rsid w:val="00DB0429"/>
    <w:rsid w:val="00DB09D9"/>
    <w:rsid w:val="00DB0B9B"/>
    <w:rsid w:val="00DB4E2B"/>
    <w:rsid w:val="00DB4F7A"/>
    <w:rsid w:val="00DB54C1"/>
    <w:rsid w:val="00DB5654"/>
    <w:rsid w:val="00DB7A30"/>
    <w:rsid w:val="00DB7E65"/>
    <w:rsid w:val="00DC0061"/>
    <w:rsid w:val="00DC007B"/>
    <w:rsid w:val="00DC00C7"/>
    <w:rsid w:val="00DC05D1"/>
    <w:rsid w:val="00DC0E05"/>
    <w:rsid w:val="00DC13F4"/>
    <w:rsid w:val="00DC13F9"/>
    <w:rsid w:val="00DC25A6"/>
    <w:rsid w:val="00DC273E"/>
    <w:rsid w:val="00DC27A8"/>
    <w:rsid w:val="00DC33DC"/>
    <w:rsid w:val="00DC347A"/>
    <w:rsid w:val="00DC373E"/>
    <w:rsid w:val="00DC3B54"/>
    <w:rsid w:val="00DC42A5"/>
    <w:rsid w:val="00DC4544"/>
    <w:rsid w:val="00DC5330"/>
    <w:rsid w:val="00DC5DA7"/>
    <w:rsid w:val="00DC6EF0"/>
    <w:rsid w:val="00DC7235"/>
    <w:rsid w:val="00DC7670"/>
    <w:rsid w:val="00DC76B0"/>
    <w:rsid w:val="00DC775D"/>
    <w:rsid w:val="00DC7794"/>
    <w:rsid w:val="00DC790B"/>
    <w:rsid w:val="00DC7933"/>
    <w:rsid w:val="00DC7A00"/>
    <w:rsid w:val="00DD020E"/>
    <w:rsid w:val="00DD1606"/>
    <w:rsid w:val="00DD1D5A"/>
    <w:rsid w:val="00DD2AAC"/>
    <w:rsid w:val="00DD3063"/>
    <w:rsid w:val="00DD316E"/>
    <w:rsid w:val="00DD33C5"/>
    <w:rsid w:val="00DD3656"/>
    <w:rsid w:val="00DD3E93"/>
    <w:rsid w:val="00DD4E1A"/>
    <w:rsid w:val="00DD5568"/>
    <w:rsid w:val="00DD6989"/>
    <w:rsid w:val="00DE0D9A"/>
    <w:rsid w:val="00DE0FA0"/>
    <w:rsid w:val="00DE1615"/>
    <w:rsid w:val="00DE17CD"/>
    <w:rsid w:val="00DE1D94"/>
    <w:rsid w:val="00DE2DEF"/>
    <w:rsid w:val="00DE3D95"/>
    <w:rsid w:val="00DE40F3"/>
    <w:rsid w:val="00DE42BD"/>
    <w:rsid w:val="00DE4759"/>
    <w:rsid w:val="00DE4C7C"/>
    <w:rsid w:val="00DE4D64"/>
    <w:rsid w:val="00DE5349"/>
    <w:rsid w:val="00DE6996"/>
    <w:rsid w:val="00DE75AB"/>
    <w:rsid w:val="00DE7BDC"/>
    <w:rsid w:val="00DF23B0"/>
    <w:rsid w:val="00DF2464"/>
    <w:rsid w:val="00DF270E"/>
    <w:rsid w:val="00DF307A"/>
    <w:rsid w:val="00DF3462"/>
    <w:rsid w:val="00DF3913"/>
    <w:rsid w:val="00DF42BC"/>
    <w:rsid w:val="00DF4638"/>
    <w:rsid w:val="00DF4C9F"/>
    <w:rsid w:val="00DF54FF"/>
    <w:rsid w:val="00DF553B"/>
    <w:rsid w:val="00DF5830"/>
    <w:rsid w:val="00DF5B23"/>
    <w:rsid w:val="00DF6520"/>
    <w:rsid w:val="00DF6CA7"/>
    <w:rsid w:val="00DF70EB"/>
    <w:rsid w:val="00DF7833"/>
    <w:rsid w:val="00E0003B"/>
    <w:rsid w:val="00E005ED"/>
    <w:rsid w:val="00E01A59"/>
    <w:rsid w:val="00E01B72"/>
    <w:rsid w:val="00E01F00"/>
    <w:rsid w:val="00E022A6"/>
    <w:rsid w:val="00E02886"/>
    <w:rsid w:val="00E02B15"/>
    <w:rsid w:val="00E03EDD"/>
    <w:rsid w:val="00E0457B"/>
    <w:rsid w:val="00E04FD1"/>
    <w:rsid w:val="00E05439"/>
    <w:rsid w:val="00E071C0"/>
    <w:rsid w:val="00E07A3F"/>
    <w:rsid w:val="00E11ED4"/>
    <w:rsid w:val="00E11FE2"/>
    <w:rsid w:val="00E123DD"/>
    <w:rsid w:val="00E12419"/>
    <w:rsid w:val="00E126E1"/>
    <w:rsid w:val="00E12B9C"/>
    <w:rsid w:val="00E13111"/>
    <w:rsid w:val="00E14122"/>
    <w:rsid w:val="00E146A8"/>
    <w:rsid w:val="00E17DAA"/>
    <w:rsid w:val="00E20943"/>
    <w:rsid w:val="00E217A3"/>
    <w:rsid w:val="00E217D5"/>
    <w:rsid w:val="00E21CE0"/>
    <w:rsid w:val="00E24814"/>
    <w:rsid w:val="00E24C5D"/>
    <w:rsid w:val="00E24D50"/>
    <w:rsid w:val="00E25A9C"/>
    <w:rsid w:val="00E261B9"/>
    <w:rsid w:val="00E26AFB"/>
    <w:rsid w:val="00E312DB"/>
    <w:rsid w:val="00E313AA"/>
    <w:rsid w:val="00E31D87"/>
    <w:rsid w:val="00E327FB"/>
    <w:rsid w:val="00E32D59"/>
    <w:rsid w:val="00E32F95"/>
    <w:rsid w:val="00E331C5"/>
    <w:rsid w:val="00E33DD9"/>
    <w:rsid w:val="00E34DC6"/>
    <w:rsid w:val="00E35BA2"/>
    <w:rsid w:val="00E36BE4"/>
    <w:rsid w:val="00E378C0"/>
    <w:rsid w:val="00E4018F"/>
    <w:rsid w:val="00E40C2C"/>
    <w:rsid w:val="00E413C8"/>
    <w:rsid w:val="00E4257F"/>
    <w:rsid w:val="00E439FC"/>
    <w:rsid w:val="00E43BDB"/>
    <w:rsid w:val="00E445AB"/>
    <w:rsid w:val="00E44B93"/>
    <w:rsid w:val="00E4500D"/>
    <w:rsid w:val="00E46C64"/>
    <w:rsid w:val="00E47AD7"/>
    <w:rsid w:val="00E50151"/>
    <w:rsid w:val="00E5194B"/>
    <w:rsid w:val="00E52B1A"/>
    <w:rsid w:val="00E53200"/>
    <w:rsid w:val="00E53277"/>
    <w:rsid w:val="00E53D5F"/>
    <w:rsid w:val="00E53F99"/>
    <w:rsid w:val="00E546A4"/>
    <w:rsid w:val="00E54EC5"/>
    <w:rsid w:val="00E559B0"/>
    <w:rsid w:val="00E55AF0"/>
    <w:rsid w:val="00E55EEA"/>
    <w:rsid w:val="00E56259"/>
    <w:rsid w:val="00E56349"/>
    <w:rsid w:val="00E5719C"/>
    <w:rsid w:val="00E6104C"/>
    <w:rsid w:val="00E62487"/>
    <w:rsid w:val="00E62DFF"/>
    <w:rsid w:val="00E63612"/>
    <w:rsid w:val="00E63A2B"/>
    <w:rsid w:val="00E63ACF"/>
    <w:rsid w:val="00E63F95"/>
    <w:rsid w:val="00E646A0"/>
    <w:rsid w:val="00E649A3"/>
    <w:rsid w:val="00E65921"/>
    <w:rsid w:val="00E65DC5"/>
    <w:rsid w:val="00E701C0"/>
    <w:rsid w:val="00E70AEE"/>
    <w:rsid w:val="00E71183"/>
    <w:rsid w:val="00E718CD"/>
    <w:rsid w:val="00E71A2B"/>
    <w:rsid w:val="00E71D80"/>
    <w:rsid w:val="00E7255A"/>
    <w:rsid w:val="00E736D0"/>
    <w:rsid w:val="00E746BB"/>
    <w:rsid w:val="00E74CBE"/>
    <w:rsid w:val="00E762D0"/>
    <w:rsid w:val="00E767A3"/>
    <w:rsid w:val="00E76EC1"/>
    <w:rsid w:val="00E804A9"/>
    <w:rsid w:val="00E80BA1"/>
    <w:rsid w:val="00E80FBC"/>
    <w:rsid w:val="00E8108B"/>
    <w:rsid w:val="00E81349"/>
    <w:rsid w:val="00E81432"/>
    <w:rsid w:val="00E843E3"/>
    <w:rsid w:val="00E848B8"/>
    <w:rsid w:val="00E84BEE"/>
    <w:rsid w:val="00E84FF3"/>
    <w:rsid w:val="00E8585C"/>
    <w:rsid w:val="00E863AE"/>
    <w:rsid w:val="00E8765E"/>
    <w:rsid w:val="00E87B00"/>
    <w:rsid w:val="00E9028C"/>
    <w:rsid w:val="00E9075C"/>
    <w:rsid w:val="00E90D4E"/>
    <w:rsid w:val="00E916F4"/>
    <w:rsid w:val="00E91CBC"/>
    <w:rsid w:val="00E921E7"/>
    <w:rsid w:val="00E92252"/>
    <w:rsid w:val="00E92823"/>
    <w:rsid w:val="00E936E1"/>
    <w:rsid w:val="00E93C21"/>
    <w:rsid w:val="00E93E8E"/>
    <w:rsid w:val="00E944A1"/>
    <w:rsid w:val="00E94C32"/>
    <w:rsid w:val="00E94F86"/>
    <w:rsid w:val="00E94FFD"/>
    <w:rsid w:val="00E96061"/>
    <w:rsid w:val="00E970B1"/>
    <w:rsid w:val="00E970B5"/>
    <w:rsid w:val="00E970D9"/>
    <w:rsid w:val="00E9787B"/>
    <w:rsid w:val="00E97B54"/>
    <w:rsid w:val="00EA0AF6"/>
    <w:rsid w:val="00EA118E"/>
    <w:rsid w:val="00EA2CBE"/>
    <w:rsid w:val="00EA3214"/>
    <w:rsid w:val="00EA38F4"/>
    <w:rsid w:val="00EA3A0D"/>
    <w:rsid w:val="00EA500E"/>
    <w:rsid w:val="00EA691A"/>
    <w:rsid w:val="00EA7E41"/>
    <w:rsid w:val="00EB0736"/>
    <w:rsid w:val="00EB0B3D"/>
    <w:rsid w:val="00EB0FB9"/>
    <w:rsid w:val="00EB2A19"/>
    <w:rsid w:val="00EB32C1"/>
    <w:rsid w:val="00EB344B"/>
    <w:rsid w:val="00EB5AB6"/>
    <w:rsid w:val="00EB6623"/>
    <w:rsid w:val="00EB66C7"/>
    <w:rsid w:val="00EB6AEC"/>
    <w:rsid w:val="00EB6D04"/>
    <w:rsid w:val="00EB74B3"/>
    <w:rsid w:val="00EB76DE"/>
    <w:rsid w:val="00EB7C7A"/>
    <w:rsid w:val="00EC079D"/>
    <w:rsid w:val="00EC2120"/>
    <w:rsid w:val="00EC2EE8"/>
    <w:rsid w:val="00EC3020"/>
    <w:rsid w:val="00EC34BC"/>
    <w:rsid w:val="00EC35C1"/>
    <w:rsid w:val="00EC450B"/>
    <w:rsid w:val="00EC4CC7"/>
    <w:rsid w:val="00EC53B5"/>
    <w:rsid w:val="00EC54B4"/>
    <w:rsid w:val="00EC71B4"/>
    <w:rsid w:val="00EC7219"/>
    <w:rsid w:val="00EC7341"/>
    <w:rsid w:val="00EC7AD7"/>
    <w:rsid w:val="00EC7CAF"/>
    <w:rsid w:val="00ED03E7"/>
    <w:rsid w:val="00ED0E4D"/>
    <w:rsid w:val="00ED1758"/>
    <w:rsid w:val="00ED1B62"/>
    <w:rsid w:val="00ED2F0F"/>
    <w:rsid w:val="00ED40D5"/>
    <w:rsid w:val="00ED41D4"/>
    <w:rsid w:val="00ED607C"/>
    <w:rsid w:val="00ED6E5A"/>
    <w:rsid w:val="00ED77CA"/>
    <w:rsid w:val="00ED7F0F"/>
    <w:rsid w:val="00EE0841"/>
    <w:rsid w:val="00EE1941"/>
    <w:rsid w:val="00EE233B"/>
    <w:rsid w:val="00EE28B1"/>
    <w:rsid w:val="00EE2AC2"/>
    <w:rsid w:val="00EE37D7"/>
    <w:rsid w:val="00EE40B9"/>
    <w:rsid w:val="00EE5F11"/>
    <w:rsid w:val="00EE6462"/>
    <w:rsid w:val="00EE709B"/>
    <w:rsid w:val="00EE72A6"/>
    <w:rsid w:val="00EF0262"/>
    <w:rsid w:val="00EF1554"/>
    <w:rsid w:val="00EF1C9B"/>
    <w:rsid w:val="00EF1E11"/>
    <w:rsid w:val="00EF2B1E"/>
    <w:rsid w:val="00EF2BAF"/>
    <w:rsid w:val="00EF3A6D"/>
    <w:rsid w:val="00EF3E89"/>
    <w:rsid w:val="00EF438F"/>
    <w:rsid w:val="00EF4BCA"/>
    <w:rsid w:val="00EF4F8B"/>
    <w:rsid w:val="00EF54D8"/>
    <w:rsid w:val="00EF57AC"/>
    <w:rsid w:val="00EF5BCF"/>
    <w:rsid w:val="00EF6035"/>
    <w:rsid w:val="00EF60D2"/>
    <w:rsid w:val="00EF7A5E"/>
    <w:rsid w:val="00EF7B2A"/>
    <w:rsid w:val="00F003A5"/>
    <w:rsid w:val="00F02122"/>
    <w:rsid w:val="00F02B49"/>
    <w:rsid w:val="00F03A08"/>
    <w:rsid w:val="00F044B5"/>
    <w:rsid w:val="00F0681B"/>
    <w:rsid w:val="00F06869"/>
    <w:rsid w:val="00F07C22"/>
    <w:rsid w:val="00F07E74"/>
    <w:rsid w:val="00F11C0B"/>
    <w:rsid w:val="00F120E2"/>
    <w:rsid w:val="00F12CA4"/>
    <w:rsid w:val="00F12D1A"/>
    <w:rsid w:val="00F13CEA"/>
    <w:rsid w:val="00F13F32"/>
    <w:rsid w:val="00F1403F"/>
    <w:rsid w:val="00F14193"/>
    <w:rsid w:val="00F1474E"/>
    <w:rsid w:val="00F155C9"/>
    <w:rsid w:val="00F17468"/>
    <w:rsid w:val="00F17485"/>
    <w:rsid w:val="00F17A6A"/>
    <w:rsid w:val="00F20701"/>
    <w:rsid w:val="00F20AE5"/>
    <w:rsid w:val="00F20D1C"/>
    <w:rsid w:val="00F20E3F"/>
    <w:rsid w:val="00F2110A"/>
    <w:rsid w:val="00F223DB"/>
    <w:rsid w:val="00F22D09"/>
    <w:rsid w:val="00F230DD"/>
    <w:rsid w:val="00F23629"/>
    <w:rsid w:val="00F249B6"/>
    <w:rsid w:val="00F25B08"/>
    <w:rsid w:val="00F27564"/>
    <w:rsid w:val="00F304CE"/>
    <w:rsid w:val="00F314E9"/>
    <w:rsid w:val="00F319BF"/>
    <w:rsid w:val="00F31A84"/>
    <w:rsid w:val="00F322F0"/>
    <w:rsid w:val="00F3257F"/>
    <w:rsid w:val="00F32E57"/>
    <w:rsid w:val="00F3521B"/>
    <w:rsid w:val="00F354FE"/>
    <w:rsid w:val="00F37101"/>
    <w:rsid w:val="00F410C6"/>
    <w:rsid w:val="00F41910"/>
    <w:rsid w:val="00F41A81"/>
    <w:rsid w:val="00F42AEB"/>
    <w:rsid w:val="00F42FB2"/>
    <w:rsid w:val="00F42FC4"/>
    <w:rsid w:val="00F4364C"/>
    <w:rsid w:val="00F441BE"/>
    <w:rsid w:val="00F4432D"/>
    <w:rsid w:val="00F455EF"/>
    <w:rsid w:val="00F45BDC"/>
    <w:rsid w:val="00F474F0"/>
    <w:rsid w:val="00F47A31"/>
    <w:rsid w:val="00F47D10"/>
    <w:rsid w:val="00F52965"/>
    <w:rsid w:val="00F5356C"/>
    <w:rsid w:val="00F53641"/>
    <w:rsid w:val="00F54354"/>
    <w:rsid w:val="00F55196"/>
    <w:rsid w:val="00F56ECA"/>
    <w:rsid w:val="00F60D49"/>
    <w:rsid w:val="00F61CD8"/>
    <w:rsid w:val="00F623A4"/>
    <w:rsid w:val="00F6315C"/>
    <w:rsid w:val="00F639B5"/>
    <w:rsid w:val="00F64C59"/>
    <w:rsid w:val="00F6592D"/>
    <w:rsid w:val="00F66AD3"/>
    <w:rsid w:val="00F706CD"/>
    <w:rsid w:val="00F71C7C"/>
    <w:rsid w:val="00F72F58"/>
    <w:rsid w:val="00F73458"/>
    <w:rsid w:val="00F749EB"/>
    <w:rsid w:val="00F759DE"/>
    <w:rsid w:val="00F76023"/>
    <w:rsid w:val="00F80474"/>
    <w:rsid w:val="00F80C0F"/>
    <w:rsid w:val="00F829BF"/>
    <w:rsid w:val="00F8307D"/>
    <w:rsid w:val="00F834DF"/>
    <w:rsid w:val="00F84BFF"/>
    <w:rsid w:val="00F84D57"/>
    <w:rsid w:val="00F86070"/>
    <w:rsid w:val="00F86B82"/>
    <w:rsid w:val="00F86EA8"/>
    <w:rsid w:val="00F86EF4"/>
    <w:rsid w:val="00F874B6"/>
    <w:rsid w:val="00F87CA1"/>
    <w:rsid w:val="00F90788"/>
    <w:rsid w:val="00F9170F"/>
    <w:rsid w:val="00F922AA"/>
    <w:rsid w:val="00F93645"/>
    <w:rsid w:val="00F93B24"/>
    <w:rsid w:val="00F9507F"/>
    <w:rsid w:val="00F9672D"/>
    <w:rsid w:val="00F9773C"/>
    <w:rsid w:val="00F97FC7"/>
    <w:rsid w:val="00FA0153"/>
    <w:rsid w:val="00FA0250"/>
    <w:rsid w:val="00FA12B7"/>
    <w:rsid w:val="00FA17B2"/>
    <w:rsid w:val="00FA18A7"/>
    <w:rsid w:val="00FA34CC"/>
    <w:rsid w:val="00FA5CF6"/>
    <w:rsid w:val="00FA686F"/>
    <w:rsid w:val="00FA6B5E"/>
    <w:rsid w:val="00FA726E"/>
    <w:rsid w:val="00FB0F18"/>
    <w:rsid w:val="00FB1536"/>
    <w:rsid w:val="00FB15BC"/>
    <w:rsid w:val="00FB1EFD"/>
    <w:rsid w:val="00FB23C6"/>
    <w:rsid w:val="00FB3FB5"/>
    <w:rsid w:val="00FB4689"/>
    <w:rsid w:val="00FB4954"/>
    <w:rsid w:val="00FB49DF"/>
    <w:rsid w:val="00FB4DA7"/>
    <w:rsid w:val="00FB5020"/>
    <w:rsid w:val="00FB5A5C"/>
    <w:rsid w:val="00FB5CF1"/>
    <w:rsid w:val="00FB61EF"/>
    <w:rsid w:val="00FB6FA8"/>
    <w:rsid w:val="00FC255F"/>
    <w:rsid w:val="00FC2678"/>
    <w:rsid w:val="00FC2770"/>
    <w:rsid w:val="00FC2931"/>
    <w:rsid w:val="00FC2F1B"/>
    <w:rsid w:val="00FC3A74"/>
    <w:rsid w:val="00FC501F"/>
    <w:rsid w:val="00FC61C9"/>
    <w:rsid w:val="00FC6318"/>
    <w:rsid w:val="00FC6EE1"/>
    <w:rsid w:val="00FC74CE"/>
    <w:rsid w:val="00FC7DB1"/>
    <w:rsid w:val="00FD12DA"/>
    <w:rsid w:val="00FD18B2"/>
    <w:rsid w:val="00FD18F7"/>
    <w:rsid w:val="00FD1C66"/>
    <w:rsid w:val="00FD3357"/>
    <w:rsid w:val="00FD3AF2"/>
    <w:rsid w:val="00FD5C74"/>
    <w:rsid w:val="00FD6F13"/>
    <w:rsid w:val="00FD7553"/>
    <w:rsid w:val="00FD7D0C"/>
    <w:rsid w:val="00FE0AFB"/>
    <w:rsid w:val="00FE1968"/>
    <w:rsid w:val="00FE2A3B"/>
    <w:rsid w:val="00FE2BB4"/>
    <w:rsid w:val="00FE2F7F"/>
    <w:rsid w:val="00FE3CC6"/>
    <w:rsid w:val="00FE4B13"/>
    <w:rsid w:val="00FE552D"/>
    <w:rsid w:val="00FE5691"/>
    <w:rsid w:val="00FE7420"/>
    <w:rsid w:val="00FE76BD"/>
    <w:rsid w:val="00FE7A1F"/>
    <w:rsid w:val="00FF0803"/>
    <w:rsid w:val="00FF0AE8"/>
    <w:rsid w:val="00FF0DD5"/>
    <w:rsid w:val="00FF0F9B"/>
    <w:rsid w:val="00FF221A"/>
    <w:rsid w:val="00FF2901"/>
    <w:rsid w:val="00FF2A83"/>
    <w:rsid w:val="00FF2AAF"/>
    <w:rsid w:val="00FF3004"/>
    <w:rsid w:val="00FF36E1"/>
    <w:rsid w:val="00FF50FF"/>
    <w:rsid w:val="00FF5DD5"/>
    <w:rsid w:val="00FF688C"/>
    <w:rsid w:val="00FF7819"/>
    <w:rsid w:val="00FF7DB3"/>
    <w:rsid w:val="00FF7EE4"/>
    <w:rsid w:val="00FF7F00"/>
    <w:rsid w:val="0191BE22"/>
    <w:rsid w:val="01FDD292"/>
    <w:rsid w:val="023CFB2E"/>
    <w:rsid w:val="03343D49"/>
    <w:rsid w:val="03ABFBC1"/>
    <w:rsid w:val="03FB6761"/>
    <w:rsid w:val="04463A3A"/>
    <w:rsid w:val="04A842DD"/>
    <w:rsid w:val="05115472"/>
    <w:rsid w:val="07A5CA34"/>
    <w:rsid w:val="0879D5AE"/>
    <w:rsid w:val="08A7DC91"/>
    <w:rsid w:val="08C96EF0"/>
    <w:rsid w:val="0910F95C"/>
    <w:rsid w:val="0A71E164"/>
    <w:rsid w:val="0B20F9A4"/>
    <w:rsid w:val="0B8DEE88"/>
    <w:rsid w:val="0CD6C8E2"/>
    <w:rsid w:val="0D1B25FC"/>
    <w:rsid w:val="0D458C1C"/>
    <w:rsid w:val="0DBB67B9"/>
    <w:rsid w:val="0E0CDA7D"/>
    <w:rsid w:val="0EAE6EB5"/>
    <w:rsid w:val="0EF568ED"/>
    <w:rsid w:val="0EF774F8"/>
    <w:rsid w:val="0F585624"/>
    <w:rsid w:val="0FFE896B"/>
    <w:rsid w:val="10B9CCE1"/>
    <w:rsid w:val="10F646EA"/>
    <w:rsid w:val="1174DE1E"/>
    <w:rsid w:val="118E25D2"/>
    <w:rsid w:val="11DE9358"/>
    <w:rsid w:val="140513FC"/>
    <w:rsid w:val="14B88DC5"/>
    <w:rsid w:val="153FD142"/>
    <w:rsid w:val="16400262"/>
    <w:rsid w:val="168BB1CA"/>
    <w:rsid w:val="16DD5E9A"/>
    <w:rsid w:val="179CA7D4"/>
    <w:rsid w:val="18C88B21"/>
    <w:rsid w:val="190D0892"/>
    <w:rsid w:val="19703619"/>
    <w:rsid w:val="1985E77A"/>
    <w:rsid w:val="19A31D7F"/>
    <w:rsid w:val="1A500728"/>
    <w:rsid w:val="1A9E3202"/>
    <w:rsid w:val="1AE620CE"/>
    <w:rsid w:val="1BF2E8B4"/>
    <w:rsid w:val="1C2EFD3A"/>
    <w:rsid w:val="1D415E47"/>
    <w:rsid w:val="1D9EDDA9"/>
    <w:rsid w:val="1EA17F0A"/>
    <w:rsid w:val="1F86CAFA"/>
    <w:rsid w:val="1FEF0127"/>
    <w:rsid w:val="20C15C02"/>
    <w:rsid w:val="214B9DC9"/>
    <w:rsid w:val="22062E49"/>
    <w:rsid w:val="2302CB33"/>
    <w:rsid w:val="23FAA9B7"/>
    <w:rsid w:val="240ED094"/>
    <w:rsid w:val="246FF141"/>
    <w:rsid w:val="26A87E29"/>
    <w:rsid w:val="26EEA99E"/>
    <w:rsid w:val="270BE237"/>
    <w:rsid w:val="289D53CC"/>
    <w:rsid w:val="292F0F01"/>
    <w:rsid w:val="298EAEB0"/>
    <w:rsid w:val="299E2144"/>
    <w:rsid w:val="2A81308F"/>
    <w:rsid w:val="2AE38681"/>
    <w:rsid w:val="2B081428"/>
    <w:rsid w:val="2B3B09B8"/>
    <w:rsid w:val="2B6945B5"/>
    <w:rsid w:val="2B9EEE33"/>
    <w:rsid w:val="2BFBABBE"/>
    <w:rsid w:val="2CF1DEE6"/>
    <w:rsid w:val="2CF63441"/>
    <w:rsid w:val="2D960BA9"/>
    <w:rsid w:val="2F6D807B"/>
    <w:rsid w:val="300921B9"/>
    <w:rsid w:val="30122EC6"/>
    <w:rsid w:val="3014E9D1"/>
    <w:rsid w:val="30DC9912"/>
    <w:rsid w:val="3115BAB6"/>
    <w:rsid w:val="3152AA26"/>
    <w:rsid w:val="31530123"/>
    <w:rsid w:val="31987144"/>
    <w:rsid w:val="3207DC7F"/>
    <w:rsid w:val="320C096E"/>
    <w:rsid w:val="3345A429"/>
    <w:rsid w:val="3365DF7D"/>
    <w:rsid w:val="338AD733"/>
    <w:rsid w:val="33C629ED"/>
    <w:rsid w:val="33CD418D"/>
    <w:rsid w:val="33D4174A"/>
    <w:rsid w:val="3478FE04"/>
    <w:rsid w:val="348624F1"/>
    <w:rsid w:val="3686BAE5"/>
    <w:rsid w:val="369DDED0"/>
    <w:rsid w:val="371064C4"/>
    <w:rsid w:val="38ED7F1F"/>
    <w:rsid w:val="39788F36"/>
    <w:rsid w:val="3AA8D85E"/>
    <w:rsid w:val="3B531338"/>
    <w:rsid w:val="3BD634F6"/>
    <w:rsid w:val="3BEFD102"/>
    <w:rsid w:val="3BF7495F"/>
    <w:rsid w:val="3D31C50C"/>
    <w:rsid w:val="3E55354E"/>
    <w:rsid w:val="3FDBE6A1"/>
    <w:rsid w:val="3FE034FB"/>
    <w:rsid w:val="40B91A68"/>
    <w:rsid w:val="40FA4FF1"/>
    <w:rsid w:val="41AE108E"/>
    <w:rsid w:val="41B12921"/>
    <w:rsid w:val="427DDFBE"/>
    <w:rsid w:val="42A044BE"/>
    <w:rsid w:val="42C451E9"/>
    <w:rsid w:val="42E39FD1"/>
    <w:rsid w:val="431360AC"/>
    <w:rsid w:val="43FBFF56"/>
    <w:rsid w:val="43FFB094"/>
    <w:rsid w:val="44A4249E"/>
    <w:rsid w:val="45101BF9"/>
    <w:rsid w:val="453019FF"/>
    <w:rsid w:val="455AA853"/>
    <w:rsid w:val="464B9401"/>
    <w:rsid w:val="4691BB2B"/>
    <w:rsid w:val="46DFF84C"/>
    <w:rsid w:val="4B46614E"/>
    <w:rsid w:val="4CC560BF"/>
    <w:rsid w:val="4CFE271D"/>
    <w:rsid w:val="4D01D980"/>
    <w:rsid w:val="4D04151A"/>
    <w:rsid w:val="4D54D746"/>
    <w:rsid w:val="4D6037C6"/>
    <w:rsid w:val="4E0EF0D1"/>
    <w:rsid w:val="4E412C67"/>
    <w:rsid w:val="4F4DC1C5"/>
    <w:rsid w:val="4F5AD084"/>
    <w:rsid w:val="4F5D6062"/>
    <w:rsid w:val="4FF5D099"/>
    <w:rsid w:val="5185966B"/>
    <w:rsid w:val="51C35173"/>
    <w:rsid w:val="520AA835"/>
    <w:rsid w:val="524C0A93"/>
    <w:rsid w:val="52558AE5"/>
    <w:rsid w:val="52D676D8"/>
    <w:rsid w:val="533C983C"/>
    <w:rsid w:val="5348577F"/>
    <w:rsid w:val="53587569"/>
    <w:rsid w:val="5441D815"/>
    <w:rsid w:val="567795D8"/>
    <w:rsid w:val="575579AB"/>
    <w:rsid w:val="57FF290D"/>
    <w:rsid w:val="58679F10"/>
    <w:rsid w:val="58EF7A6A"/>
    <w:rsid w:val="597361F4"/>
    <w:rsid w:val="59C908CE"/>
    <w:rsid w:val="59ECD510"/>
    <w:rsid w:val="5A7597FA"/>
    <w:rsid w:val="5A82FD82"/>
    <w:rsid w:val="5AD65EFE"/>
    <w:rsid w:val="5B016F93"/>
    <w:rsid w:val="5B6B783E"/>
    <w:rsid w:val="5B806135"/>
    <w:rsid w:val="5BCA9AF6"/>
    <w:rsid w:val="5DDEE69A"/>
    <w:rsid w:val="5DF1BB0F"/>
    <w:rsid w:val="5EE16208"/>
    <w:rsid w:val="5FB826F7"/>
    <w:rsid w:val="601A1D0B"/>
    <w:rsid w:val="60D587FE"/>
    <w:rsid w:val="6137F63E"/>
    <w:rsid w:val="61BF5CE7"/>
    <w:rsid w:val="61D84EAD"/>
    <w:rsid w:val="63232560"/>
    <w:rsid w:val="6339AB16"/>
    <w:rsid w:val="6357BD30"/>
    <w:rsid w:val="63793CC3"/>
    <w:rsid w:val="63F757F1"/>
    <w:rsid w:val="64551E2C"/>
    <w:rsid w:val="6495636B"/>
    <w:rsid w:val="652F9A24"/>
    <w:rsid w:val="659BDD2A"/>
    <w:rsid w:val="6674E9CE"/>
    <w:rsid w:val="67608F34"/>
    <w:rsid w:val="679146BB"/>
    <w:rsid w:val="686C4CBA"/>
    <w:rsid w:val="69073D3E"/>
    <w:rsid w:val="69C36EF6"/>
    <w:rsid w:val="6A310B7F"/>
    <w:rsid w:val="6A5C6F67"/>
    <w:rsid w:val="6A61E10E"/>
    <w:rsid w:val="6B5643BD"/>
    <w:rsid w:val="6BFF1CF2"/>
    <w:rsid w:val="6C9DD8CB"/>
    <w:rsid w:val="6CB88AED"/>
    <w:rsid w:val="6D249D3F"/>
    <w:rsid w:val="6E50B9B7"/>
    <w:rsid w:val="6E9F620F"/>
    <w:rsid w:val="6F26669E"/>
    <w:rsid w:val="6F99D76B"/>
    <w:rsid w:val="703110F8"/>
    <w:rsid w:val="70DB41FD"/>
    <w:rsid w:val="70DD94AC"/>
    <w:rsid w:val="70DE2D26"/>
    <w:rsid w:val="712F303C"/>
    <w:rsid w:val="71AE25F3"/>
    <w:rsid w:val="71BEF8EB"/>
    <w:rsid w:val="72B7E760"/>
    <w:rsid w:val="73AD4C73"/>
    <w:rsid w:val="73D1BFF7"/>
    <w:rsid w:val="73DAC2B2"/>
    <w:rsid w:val="7601EEAE"/>
    <w:rsid w:val="7633D172"/>
    <w:rsid w:val="775121DD"/>
    <w:rsid w:val="77FD9B55"/>
    <w:rsid w:val="78032EE4"/>
    <w:rsid w:val="786D676E"/>
    <w:rsid w:val="787C6FD8"/>
    <w:rsid w:val="78D2CAFA"/>
    <w:rsid w:val="79B1E982"/>
    <w:rsid w:val="79C8B336"/>
    <w:rsid w:val="79D4427B"/>
    <w:rsid w:val="79EC6151"/>
    <w:rsid w:val="7BD595DF"/>
    <w:rsid w:val="7C0FE696"/>
    <w:rsid w:val="7CA151B1"/>
    <w:rsid w:val="7CDEE2AE"/>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DC309CE8-7808-441F-9140-5F63E1B7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9555C0"/>
    <w:pPr>
      <w:outlineLvl w:val="0"/>
    </w:pPr>
    <w:rPr>
      <w:rFonts w:cstheme="minorHAnsi"/>
      <w:b/>
      <w:sz w:val="32"/>
      <w:szCs w:val="32"/>
    </w:rPr>
  </w:style>
  <w:style w:type="paragraph" w:styleId="Heading2">
    <w:name w:val="heading 2"/>
    <w:basedOn w:val="Normal"/>
    <w:next w:val="Normal"/>
    <w:link w:val="Heading2Char"/>
    <w:uiPriority w:val="9"/>
    <w:unhideWhenUsed/>
    <w:qFormat/>
    <w:rsid w:val="008A60F5"/>
    <w:pPr>
      <w:outlineLvl w:val="1"/>
    </w:pPr>
    <w:rPr>
      <w:rFonts w:cstheme="minorHAnsi"/>
      <w:b/>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9555C0"/>
    <w:rPr>
      <w:rFonts w:eastAsiaTheme="minorEastAsia" w:cstheme="minorHAnsi"/>
      <w:b/>
      <w:sz w:val="32"/>
      <w:szCs w:val="32"/>
      <w:lang w:eastAsia="en-AU"/>
    </w:rPr>
  </w:style>
  <w:style w:type="paragraph" w:styleId="FootnoteText">
    <w:name w:val="footnote text"/>
    <w:basedOn w:val="Normal"/>
    <w:link w:val="FootnoteTextChar"/>
    <w:uiPriority w:val="99"/>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8A60F5"/>
    <w:rPr>
      <w:rFonts w:eastAsiaTheme="minorEastAsia" w:cstheme="minorHAnsi"/>
      <w:b/>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77710"/>
    <w:pPr>
      <w:tabs>
        <w:tab w:val="right" w:pos="9026"/>
      </w:tabs>
    </w:pPr>
    <w:rPr>
      <w:rFonts w:ascii="Gotham" w:hAnsi="Gotham"/>
      <w:b/>
      <w:bCs/>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77710"/>
    <w:rPr>
      <w:rFonts w:ascii="Gotham" w:eastAsiaTheme="minorEastAsia" w:hAnsi="Gotham"/>
      <w:b/>
      <w:bCs/>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4"/>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3905D5"/>
    <w:pPr>
      <w:shd w:val="clear" w:color="auto" w:fill="B3E8FA" w:themeFill="accent1" w:themeFillTint="66"/>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paragraph" w:styleId="TOC2">
    <w:name w:val="toc 2"/>
    <w:basedOn w:val="Normal"/>
    <w:next w:val="Normal"/>
    <w:autoRedefine/>
    <w:uiPriority w:val="39"/>
    <w:unhideWhenUsed/>
    <w:rsid w:val="002C2226"/>
    <w:pPr>
      <w:spacing w:after="100"/>
      <w:ind w:left="220"/>
    </w:pPr>
  </w:style>
  <w:style w:type="paragraph" w:styleId="TOC3">
    <w:name w:val="toc 3"/>
    <w:basedOn w:val="Normal"/>
    <w:next w:val="Normal"/>
    <w:autoRedefine/>
    <w:uiPriority w:val="39"/>
    <w:unhideWhenUsed/>
    <w:rsid w:val="00006ECA"/>
    <w:pPr>
      <w:spacing w:after="100" w:line="259" w:lineRule="auto"/>
      <w:ind w:left="440"/>
    </w:pPr>
    <w:rPr>
      <w:rFonts w:cs="Times New Roman"/>
      <w:lang w:val="en-US" w:eastAsia="en-US"/>
    </w:rPr>
  </w:style>
  <w:style w:type="character" w:styleId="Mention">
    <w:name w:val="Mention"/>
    <w:basedOn w:val="DefaultParagraphFont"/>
    <w:uiPriority w:val="99"/>
    <w:unhideWhenUsed/>
    <w:rsid w:val="009B46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19099743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85556364">
      <w:bodyDiv w:val="1"/>
      <w:marLeft w:val="0"/>
      <w:marRight w:val="0"/>
      <w:marTop w:val="0"/>
      <w:marBottom w:val="0"/>
      <w:divBdr>
        <w:top w:val="none" w:sz="0" w:space="0" w:color="auto"/>
        <w:left w:val="none" w:sz="0" w:space="0" w:color="auto"/>
        <w:bottom w:val="none" w:sz="0" w:space="0" w:color="auto"/>
        <w:right w:val="none" w:sz="0" w:space="0" w:color="auto"/>
      </w:divBdr>
    </w:div>
    <w:div w:id="514006212">
      <w:bodyDiv w:val="1"/>
      <w:marLeft w:val="0"/>
      <w:marRight w:val="0"/>
      <w:marTop w:val="0"/>
      <w:marBottom w:val="0"/>
      <w:divBdr>
        <w:top w:val="none" w:sz="0" w:space="0" w:color="auto"/>
        <w:left w:val="none" w:sz="0" w:space="0" w:color="auto"/>
        <w:bottom w:val="none" w:sz="0" w:space="0" w:color="auto"/>
        <w:right w:val="none" w:sz="0" w:space="0" w:color="auto"/>
      </w:divBdr>
      <w:divsChild>
        <w:div w:id="1061949891">
          <w:marLeft w:val="0"/>
          <w:marRight w:val="0"/>
          <w:marTop w:val="0"/>
          <w:marBottom w:val="0"/>
          <w:divBdr>
            <w:top w:val="none" w:sz="0" w:space="0" w:color="auto"/>
            <w:left w:val="none" w:sz="0" w:space="0" w:color="auto"/>
            <w:bottom w:val="none" w:sz="0" w:space="0" w:color="auto"/>
            <w:right w:val="none" w:sz="0" w:space="0" w:color="auto"/>
          </w:divBdr>
        </w:div>
        <w:div w:id="1718318569">
          <w:marLeft w:val="0"/>
          <w:marRight w:val="0"/>
          <w:marTop w:val="0"/>
          <w:marBottom w:val="0"/>
          <w:divBdr>
            <w:top w:val="none" w:sz="0" w:space="0" w:color="auto"/>
            <w:left w:val="none" w:sz="0" w:space="0" w:color="auto"/>
            <w:bottom w:val="none" w:sz="0" w:space="0" w:color="auto"/>
            <w:right w:val="none" w:sz="0" w:space="0" w:color="auto"/>
          </w:divBdr>
        </w:div>
        <w:div w:id="1783111320">
          <w:marLeft w:val="0"/>
          <w:marRight w:val="0"/>
          <w:marTop w:val="0"/>
          <w:marBottom w:val="0"/>
          <w:divBdr>
            <w:top w:val="none" w:sz="0" w:space="0" w:color="auto"/>
            <w:left w:val="none" w:sz="0" w:space="0" w:color="auto"/>
            <w:bottom w:val="none" w:sz="0" w:space="0" w:color="auto"/>
            <w:right w:val="none" w:sz="0" w:space="0" w:color="auto"/>
          </w:divBdr>
        </w:div>
      </w:divsChild>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57073312">
      <w:bodyDiv w:val="1"/>
      <w:marLeft w:val="0"/>
      <w:marRight w:val="0"/>
      <w:marTop w:val="0"/>
      <w:marBottom w:val="0"/>
      <w:divBdr>
        <w:top w:val="none" w:sz="0" w:space="0" w:color="auto"/>
        <w:left w:val="none" w:sz="0" w:space="0" w:color="auto"/>
        <w:bottom w:val="none" w:sz="0" w:space="0" w:color="auto"/>
        <w:right w:val="none" w:sz="0" w:space="0" w:color="auto"/>
      </w:divBdr>
    </w:div>
    <w:div w:id="675689383">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779423045">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987369070">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58620376">
      <w:bodyDiv w:val="1"/>
      <w:marLeft w:val="0"/>
      <w:marRight w:val="0"/>
      <w:marTop w:val="0"/>
      <w:marBottom w:val="0"/>
      <w:divBdr>
        <w:top w:val="none" w:sz="0" w:space="0" w:color="auto"/>
        <w:left w:val="none" w:sz="0" w:space="0" w:color="auto"/>
        <w:bottom w:val="none" w:sz="0" w:space="0" w:color="auto"/>
        <w:right w:val="none" w:sz="0" w:space="0" w:color="auto"/>
      </w:divBdr>
      <w:divsChild>
        <w:div w:id="392772750">
          <w:marLeft w:val="0"/>
          <w:marRight w:val="0"/>
          <w:marTop w:val="0"/>
          <w:marBottom w:val="0"/>
          <w:divBdr>
            <w:top w:val="none" w:sz="0" w:space="0" w:color="auto"/>
            <w:left w:val="none" w:sz="0" w:space="0" w:color="auto"/>
            <w:bottom w:val="none" w:sz="0" w:space="0" w:color="auto"/>
            <w:right w:val="none" w:sz="0" w:space="0" w:color="auto"/>
          </w:divBdr>
        </w:div>
        <w:div w:id="434324516">
          <w:marLeft w:val="0"/>
          <w:marRight w:val="0"/>
          <w:marTop w:val="0"/>
          <w:marBottom w:val="0"/>
          <w:divBdr>
            <w:top w:val="none" w:sz="0" w:space="0" w:color="auto"/>
            <w:left w:val="none" w:sz="0" w:space="0" w:color="auto"/>
            <w:bottom w:val="none" w:sz="0" w:space="0" w:color="auto"/>
            <w:right w:val="none" w:sz="0" w:space="0" w:color="auto"/>
          </w:divBdr>
        </w:div>
        <w:div w:id="440684580">
          <w:marLeft w:val="0"/>
          <w:marRight w:val="0"/>
          <w:marTop w:val="0"/>
          <w:marBottom w:val="0"/>
          <w:divBdr>
            <w:top w:val="none" w:sz="0" w:space="0" w:color="auto"/>
            <w:left w:val="none" w:sz="0" w:space="0" w:color="auto"/>
            <w:bottom w:val="none" w:sz="0" w:space="0" w:color="auto"/>
            <w:right w:val="none" w:sz="0" w:space="0" w:color="auto"/>
          </w:divBdr>
        </w:div>
        <w:div w:id="606936437">
          <w:marLeft w:val="0"/>
          <w:marRight w:val="0"/>
          <w:marTop w:val="0"/>
          <w:marBottom w:val="0"/>
          <w:divBdr>
            <w:top w:val="none" w:sz="0" w:space="0" w:color="auto"/>
            <w:left w:val="none" w:sz="0" w:space="0" w:color="auto"/>
            <w:bottom w:val="none" w:sz="0" w:space="0" w:color="auto"/>
            <w:right w:val="none" w:sz="0" w:space="0" w:color="auto"/>
          </w:divBdr>
        </w:div>
      </w:divsChild>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21670032">
      <w:bodyDiv w:val="1"/>
      <w:marLeft w:val="0"/>
      <w:marRight w:val="0"/>
      <w:marTop w:val="0"/>
      <w:marBottom w:val="0"/>
      <w:divBdr>
        <w:top w:val="none" w:sz="0" w:space="0" w:color="auto"/>
        <w:left w:val="none" w:sz="0" w:space="0" w:color="auto"/>
        <w:bottom w:val="none" w:sz="0" w:space="0" w:color="auto"/>
        <w:right w:val="none" w:sz="0" w:space="0" w:color="auto"/>
      </w:divBdr>
      <w:divsChild>
        <w:div w:id="168299573">
          <w:marLeft w:val="0"/>
          <w:marRight w:val="0"/>
          <w:marTop w:val="0"/>
          <w:marBottom w:val="0"/>
          <w:divBdr>
            <w:top w:val="none" w:sz="0" w:space="0" w:color="auto"/>
            <w:left w:val="none" w:sz="0" w:space="0" w:color="auto"/>
            <w:bottom w:val="none" w:sz="0" w:space="0" w:color="auto"/>
            <w:right w:val="none" w:sz="0" w:space="0" w:color="auto"/>
          </w:divBdr>
        </w:div>
        <w:div w:id="721682624">
          <w:marLeft w:val="0"/>
          <w:marRight w:val="0"/>
          <w:marTop w:val="0"/>
          <w:marBottom w:val="0"/>
          <w:divBdr>
            <w:top w:val="none" w:sz="0" w:space="0" w:color="auto"/>
            <w:left w:val="none" w:sz="0" w:space="0" w:color="auto"/>
            <w:bottom w:val="none" w:sz="0" w:space="0" w:color="auto"/>
            <w:right w:val="none" w:sz="0" w:space="0" w:color="auto"/>
          </w:divBdr>
        </w:div>
        <w:div w:id="1047335352">
          <w:marLeft w:val="0"/>
          <w:marRight w:val="0"/>
          <w:marTop w:val="0"/>
          <w:marBottom w:val="0"/>
          <w:divBdr>
            <w:top w:val="none" w:sz="0" w:space="0" w:color="auto"/>
            <w:left w:val="none" w:sz="0" w:space="0" w:color="auto"/>
            <w:bottom w:val="none" w:sz="0" w:space="0" w:color="auto"/>
            <w:right w:val="none" w:sz="0" w:space="0" w:color="auto"/>
          </w:divBdr>
        </w:div>
        <w:div w:id="1111976688">
          <w:marLeft w:val="0"/>
          <w:marRight w:val="0"/>
          <w:marTop w:val="0"/>
          <w:marBottom w:val="0"/>
          <w:divBdr>
            <w:top w:val="none" w:sz="0" w:space="0" w:color="auto"/>
            <w:left w:val="none" w:sz="0" w:space="0" w:color="auto"/>
            <w:bottom w:val="none" w:sz="0" w:space="0" w:color="auto"/>
            <w:right w:val="none" w:sz="0" w:space="0" w:color="auto"/>
          </w:divBdr>
        </w:div>
      </w:divsChild>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374190594">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48157456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74992418">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33333887">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ccan.org.au/about-us/reporting/reconcilitiation-action-plan" TargetMode="External"/><Relationship Id="rId7" Type="http://schemas.openxmlformats.org/officeDocument/2006/relationships/settings" Target="settings.xml"/><Relationship Id="rId12"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nbnco.com.au/content/dam/nbn/documents/sell/industry-consultation/LIDIF-annual-report.pdf.coredownload.pdf" TargetMode="External"/><Relationship Id="rId18" Type="http://schemas.openxmlformats.org/officeDocument/2006/relationships/hyperlink" Target="https://accan.org.au/files/Submissions/2024/ACCAN%20Submission%20to%20ACCC%20DPSI%20Final%20Report%202024.pdf" TargetMode="External"/><Relationship Id="rId26" Type="http://schemas.openxmlformats.org/officeDocument/2006/relationships/hyperlink" Target="https://accan.org.au/accans-work/submissions/2331-2024-regional-telecommunications-review" TargetMode="External"/><Relationship Id="rId39" Type="http://schemas.openxmlformats.org/officeDocument/2006/relationships/hyperlink" Target="https://accan.org.au/accans-work/submissions/2269-pre-budget-submission-2024-2025" TargetMode="External"/><Relationship Id="rId21" Type="http://schemas.openxmlformats.org/officeDocument/2006/relationships/hyperlink" Target="https://accan.org.au/accans-work/submissions/2074-influence-of-international-digital-platforms" TargetMode="External"/><Relationship Id="rId34" Type="http://schemas.openxmlformats.org/officeDocument/2006/relationships/hyperlink" Target="https://cprc.org.au/report/barriers-telco-dispute-resolution" TargetMode="External"/><Relationship Id="rId7" Type="http://schemas.openxmlformats.org/officeDocument/2006/relationships/hyperlink" Target="https://www.energymadeeasy.gov.au/" TargetMode="External"/><Relationship Id="rId12" Type="http://schemas.openxmlformats.org/officeDocument/2006/relationships/hyperlink" Target="https://www.digitalinclusion.gov.au/sites/default/files/documents/first-nations-digital-inclusion-advisory-group-initial-report.pdf" TargetMode="External"/><Relationship Id="rId17" Type="http://schemas.openxmlformats.org/officeDocument/2006/relationships/hyperlink" Target="https://www.infrastructure.gov.au/sites/default/files/documents/foi--23-037.pdf" TargetMode="External"/><Relationship Id="rId25" Type="http://schemas.openxmlformats.org/officeDocument/2006/relationships/hyperlink" Target="https://accan.org.au/accans-work/submissions/2331-2024-regional-telecommunications-review" TargetMode="External"/><Relationship Id="rId33" Type="http://schemas.openxmlformats.org/officeDocument/2006/relationships/hyperlink" Target="https://www.accc.gov.au/media-release/telstra-to-pay-50m-penalty-for-unconscionable-sales-to-indigenous-consumers" TargetMode="External"/><Relationship Id="rId38" Type="http://schemas.openxmlformats.org/officeDocument/2006/relationships/hyperlink" Target="https://accan.org.au/accans-work/submissions/2269-pre-budget-submission-2024-2025" TargetMode="External"/><Relationship Id="rId2" Type="http://schemas.openxmlformats.org/officeDocument/2006/relationships/hyperlink" Target="https://www.accc.gov.au/about-us/publications/serial-publications/accc-communications-market-reports/accc-communications-market-report-2022-23" TargetMode="External"/><Relationship Id="rId16" Type="http://schemas.openxmlformats.org/officeDocument/2006/relationships/hyperlink" Target="https://www.infrastructure.gov.au/sites/default/files/documents/foi--23-037.pdf" TargetMode="External"/><Relationship Id="rId20" Type="http://schemas.openxmlformats.org/officeDocument/2006/relationships/hyperlink" Target="https://www.acma.gov.au/publications/2023-12/report/communications-and-media-australia-how-we-communicate" TargetMode="External"/><Relationship Id="rId29" Type="http://schemas.openxmlformats.org/officeDocument/2006/relationships/hyperlink" Target="https://accan.org.au/accans-work/submissions/2316-a-roadmap-for-first-nations-digital-inclusion" TargetMode="External"/><Relationship Id="rId1" Type="http://schemas.openxmlformats.org/officeDocument/2006/relationships/hyperlink" Target="https://accan.org.au/accans-work/research/2251-affordability-snapshot-2023" TargetMode="External"/><Relationship Id="rId6" Type="http://schemas.openxmlformats.org/officeDocument/2006/relationships/hyperlink" Target="https://treasury.gov.au/sites/default/files/2021-11/c2021-198050-tc-finder.pdf" TargetMode="External"/><Relationship Id="rId11" Type="http://schemas.openxmlformats.org/officeDocument/2006/relationships/hyperlink" Target="https://catalog.workventures.com.au/flip-book/366501/850282/page/1" TargetMode="External"/><Relationship Id="rId24" Type="http://schemas.openxmlformats.org/officeDocument/2006/relationships/hyperlink" Target="https://www.infrastructure.gov.au/media-communications-arts/phone/mobile-services-and-coverage/peri-urban-mobile-program" TargetMode="External"/><Relationship Id="rId32" Type="http://schemas.openxmlformats.org/officeDocument/2006/relationships/hyperlink" Target="https://www.accc.gov.au/inquiries-and-consultations/accc-submissions-to-external-consultations" TargetMode="External"/><Relationship Id="rId37" Type="http://schemas.openxmlformats.org/officeDocument/2006/relationships/hyperlink" Target="https://www.accessibletelecoms.org.au/" TargetMode="External"/><Relationship Id="rId40" Type="http://schemas.openxmlformats.org/officeDocument/2006/relationships/hyperlink" Target="https://accan.org.au/accans-work/submissions/2339-review-of-australia-s-disability-strategy" TargetMode="External"/><Relationship Id="rId5" Type="http://schemas.openxmlformats.org/officeDocument/2006/relationships/hyperlink" Target="https://eftm.com/2022/10/unhappy-optus-customers-ditching-the-telco-as-eftm-survey-shows-were-all-paying-for-too-much-data-229055" TargetMode="External"/><Relationship Id="rId15" Type="http://schemas.openxmlformats.org/officeDocument/2006/relationships/hyperlink" Target="https://workventures.com.au/national-device-bank/" TargetMode="External"/><Relationship Id="rId23" Type="http://schemas.openxmlformats.org/officeDocument/2006/relationships/hyperlink" Target="https://accan.org.au/accans-work/submissions/2331-2024-regional-telecommunications-review" TargetMode="External"/><Relationship Id="rId28" Type="http://schemas.openxmlformats.org/officeDocument/2006/relationships/hyperlink" Target="https://www.niaa.gov.au/our-work/closing-gap/roll-out-community-wi-fi-remote-communities" TargetMode="External"/><Relationship Id="rId36" Type="http://schemas.openxmlformats.org/officeDocument/2006/relationships/hyperlink" Target="https://oia.pmc.gov.au/sites/default/files/posts/2024/02/Impact%20Analysis_0.pdf" TargetMode="External"/><Relationship Id="rId10" Type="http://schemas.openxmlformats.org/officeDocument/2006/relationships/hyperlink" Target="https://www.finder.com.au/news/digital-divide-49-percent-of-kids-lack-tech-access" TargetMode="External"/><Relationship Id="rId19" Type="http://schemas.openxmlformats.org/officeDocument/2006/relationships/hyperlink" Target="https://www.uts.edu.au/sites/default/files/2022-08/CMT%20DPCH%20Report%20-%20electronic%20version.pdf" TargetMode="External"/><Relationship Id="rId31" Type="http://schemas.openxmlformats.org/officeDocument/2006/relationships/hyperlink" Target="https://www.commsalliance.com.au/__data/assets/pdf_file/0011/64784/TCP-C628_2019-incorporating-variation-no.1-2022.pdf" TargetMode="External"/><Relationship Id="rId4" Type="http://schemas.openxmlformats.org/officeDocument/2006/relationships/hyperlink" Target="https://accan.org.au/accans-work/policy-positions/2123-independent-plan-comparison-tool" TargetMode="External"/><Relationship Id="rId9" Type="http://schemas.openxmlformats.org/officeDocument/2006/relationships/hyperlink" Target="https://catalog.workventures.com.au/flip-book/366501/850282/page/1" TargetMode="External"/><Relationship Id="rId14" Type="http://schemas.openxmlformats.org/officeDocument/2006/relationships/hyperlink" Target="https://www.goodthingsfoundation.org/our-services/national-device-bank" TargetMode="External"/><Relationship Id="rId22" Type="http://schemas.openxmlformats.org/officeDocument/2006/relationships/hyperlink" Target="https://accan.org.au/accans-work/submissions/2315-joint-select-committee-on-social-media-and-australian-society" TargetMode="External"/><Relationship Id="rId27" Type="http://schemas.openxmlformats.org/officeDocument/2006/relationships/hyperlink" Target="https://accan.org.au/accans-work/submissions/2331-2024-regional-telecommunications-review" TargetMode="External"/><Relationship Id="rId30" Type="http://schemas.openxmlformats.org/officeDocument/2006/relationships/hyperlink" Target="https://accan.org.au/accans-work/submissions/2331-2024-regional-telecommunications-review" TargetMode="External"/><Relationship Id="rId35" Type="http://schemas.openxmlformats.org/officeDocument/2006/relationships/hyperlink" Target="https://oia.pmc.gov.au/sites/default/files/posts/2024/02/Impact%20Analysis_0.pdf" TargetMode="External"/><Relationship Id="rId8" Type="http://schemas.openxmlformats.org/officeDocument/2006/relationships/hyperlink" Target="https://www.aer.gov.au/publications/reports/corporate/accc-and-aer-annual-report-2023-24" TargetMode="External"/><Relationship Id="rId3" Type="http://schemas.openxmlformats.org/officeDocument/2006/relationships/hyperlink" Target="https://www.nbnco.com.au/content/dam/nbn/documents/about-nbn/reports/reports-and-publications/accenture-2024-economic-and-social-impact-insight-report.pdf.coredownloa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FE337AFB-046E-42FE-8E0E-600B4809F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14</Pages>
  <Words>4971</Words>
  <Characters>28341</Characters>
  <Application>Microsoft Office Word</Application>
  <DocSecurity>0</DocSecurity>
  <Lines>236</Lines>
  <Paragraphs>66</Paragraphs>
  <ScaleCrop>false</ScaleCrop>
  <Company/>
  <LinksUpToDate>false</LinksUpToDate>
  <CharactersWithSpaces>33246</CharactersWithSpaces>
  <SharedDoc>false</SharedDoc>
  <HLinks>
    <vt:vector size="390" baseType="variant">
      <vt:variant>
        <vt:i4>4784136</vt:i4>
      </vt:variant>
      <vt:variant>
        <vt:i4>102</vt:i4>
      </vt:variant>
      <vt:variant>
        <vt:i4>0</vt:i4>
      </vt:variant>
      <vt:variant>
        <vt:i4>5</vt:i4>
      </vt:variant>
      <vt:variant>
        <vt:lpwstr>https://accan.org.au/about-us/reporting/reconcilitiation-action-plan</vt:lpwstr>
      </vt:variant>
      <vt:variant>
        <vt:lpwstr/>
      </vt:variant>
      <vt:variant>
        <vt:i4>1966141</vt:i4>
      </vt:variant>
      <vt:variant>
        <vt:i4>92</vt:i4>
      </vt:variant>
      <vt:variant>
        <vt:i4>0</vt:i4>
      </vt:variant>
      <vt:variant>
        <vt:i4>5</vt:i4>
      </vt:variant>
      <vt:variant>
        <vt:lpwstr/>
      </vt:variant>
      <vt:variant>
        <vt:lpwstr>_Toc184811988</vt:lpwstr>
      </vt:variant>
      <vt:variant>
        <vt:i4>1966141</vt:i4>
      </vt:variant>
      <vt:variant>
        <vt:i4>86</vt:i4>
      </vt:variant>
      <vt:variant>
        <vt:i4>0</vt:i4>
      </vt:variant>
      <vt:variant>
        <vt:i4>5</vt:i4>
      </vt:variant>
      <vt:variant>
        <vt:lpwstr/>
      </vt:variant>
      <vt:variant>
        <vt:lpwstr>_Toc184811987</vt:lpwstr>
      </vt:variant>
      <vt:variant>
        <vt:i4>1966141</vt:i4>
      </vt:variant>
      <vt:variant>
        <vt:i4>80</vt:i4>
      </vt:variant>
      <vt:variant>
        <vt:i4>0</vt:i4>
      </vt:variant>
      <vt:variant>
        <vt:i4>5</vt:i4>
      </vt:variant>
      <vt:variant>
        <vt:lpwstr/>
      </vt:variant>
      <vt:variant>
        <vt:lpwstr>_Toc184811986</vt:lpwstr>
      </vt:variant>
      <vt:variant>
        <vt:i4>1966141</vt:i4>
      </vt:variant>
      <vt:variant>
        <vt:i4>74</vt:i4>
      </vt:variant>
      <vt:variant>
        <vt:i4>0</vt:i4>
      </vt:variant>
      <vt:variant>
        <vt:i4>5</vt:i4>
      </vt:variant>
      <vt:variant>
        <vt:lpwstr/>
      </vt:variant>
      <vt:variant>
        <vt:lpwstr>_Toc184811985</vt:lpwstr>
      </vt:variant>
      <vt:variant>
        <vt:i4>1966141</vt:i4>
      </vt:variant>
      <vt:variant>
        <vt:i4>68</vt:i4>
      </vt:variant>
      <vt:variant>
        <vt:i4>0</vt:i4>
      </vt:variant>
      <vt:variant>
        <vt:i4>5</vt:i4>
      </vt:variant>
      <vt:variant>
        <vt:lpwstr/>
      </vt:variant>
      <vt:variant>
        <vt:lpwstr>_Toc184811984</vt:lpwstr>
      </vt:variant>
      <vt:variant>
        <vt:i4>1966141</vt:i4>
      </vt:variant>
      <vt:variant>
        <vt:i4>62</vt:i4>
      </vt:variant>
      <vt:variant>
        <vt:i4>0</vt:i4>
      </vt:variant>
      <vt:variant>
        <vt:i4>5</vt:i4>
      </vt:variant>
      <vt:variant>
        <vt:lpwstr/>
      </vt:variant>
      <vt:variant>
        <vt:lpwstr>_Toc184811983</vt:lpwstr>
      </vt:variant>
      <vt:variant>
        <vt:i4>1966141</vt:i4>
      </vt:variant>
      <vt:variant>
        <vt:i4>56</vt:i4>
      </vt:variant>
      <vt:variant>
        <vt:i4>0</vt:i4>
      </vt:variant>
      <vt:variant>
        <vt:i4>5</vt:i4>
      </vt:variant>
      <vt:variant>
        <vt:lpwstr/>
      </vt:variant>
      <vt:variant>
        <vt:lpwstr>_Toc184811982</vt:lpwstr>
      </vt:variant>
      <vt:variant>
        <vt:i4>1966141</vt:i4>
      </vt:variant>
      <vt:variant>
        <vt:i4>50</vt:i4>
      </vt:variant>
      <vt:variant>
        <vt:i4>0</vt:i4>
      </vt:variant>
      <vt:variant>
        <vt:i4>5</vt:i4>
      </vt:variant>
      <vt:variant>
        <vt:lpwstr/>
      </vt:variant>
      <vt:variant>
        <vt:lpwstr>_Toc184811981</vt:lpwstr>
      </vt:variant>
      <vt:variant>
        <vt:i4>1966141</vt:i4>
      </vt:variant>
      <vt:variant>
        <vt:i4>44</vt:i4>
      </vt:variant>
      <vt:variant>
        <vt:i4>0</vt:i4>
      </vt:variant>
      <vt:variant>
        <vt:i4>5</vt:i4>
      </vt:variant>
      <vt:variant>
        <vt:lpwstr/>
      </vt:variant>
      <vt:variant>
        <vt:lpwstr>_Toc184811980</vt:lpwstr>
      </vt:variant>
      <vt:variant>
        <vt:i4>1114173</vt:i4>
      </vt:variant>
      <vt:variant>
        <vt:i4>38</vt:i4>
      </vt:variant>
      <vt:variant>
        <vt:i4>0</vt:i4>
      </vt:variant>
      <vt:variant>
        <vt:i4>5</vt:i4>
      </vt:variant>
      <vt:variant>
        <vt:lpwstr/>
      </vt:variant>
      <vt:variant>
        <vt:lpwstr>_Toc184811979</vt:lpwstr>
      </vt:variant>
      <vt:variant>
        <vt:i4>1114173</vt:i4>
      </vt:variant>
      <vt:variant>
        <vt:i4>32</vt:i4>
      </vt:variant>
      <vt:variant>
        <vt:i4>0</vt:i4>
      </vt:variant>
      <vt:variant>
        <vt:i4>5</vt:i4>
      </vt:variant>
      <vt:variant>
        <vt:lpwstr/>
      </vt:variant>
      <vt:variant>
        <vt:lpwstr>_Toc184811978</vt:lpwstr>
      </vt:variant>
      <vt:variant>
        <vt:i4>1114173</vt:i4>
      </vt:variant>
      <vt:variant>
        <vt:i4>26</vt:i4>
      </vt:variant>
      <vt:variant>
        <vt:i4>0</vt:i4>
      </vt:variant>
      <vt:variant>
        <vt:i4>5</vt:i4>
      </vt:variant>
      <vt:variant>
        <vt:lpwstr/>
      </vt:variant>
      <vt:variant>
        <vt:lpwstr>_Toc184811977</vt:lpwstr>
      </vt:variant>
      <vt:variant>
        <vt:i4>1114173</vt:i4>
      </vt:variant>
      <vt:variant>
        <vt:i4>20</vt:i4>
      </vt:variant>
      <vt:variant>
        <vt:i4>0</vt:i4>
      </vt:variant>
      <vt:variant>
        <vt:i4>5</vt:i4>
      </vt:variant>
      <vt:variant>
        <vt:lpwstr/>
      </vt:variant>
      <vt:variant>
        <vt:lpwstr>_Toc184811976</vt:lpwstr>
      </vt:variant>
      <vt:variant>
        <vt:i4>1114173</vt:i4>
      </vt:variant>
      <vt:variant>
        <vt:i4>14</vt:i4>
      </vt:variant>
      <vt:variant>
        <vt:i4>0</vt:i4>
      </vt:variant>
      <vt:variant>
        <vt:i4>5</vt:i4>
      </vt:variant>
      <vt:variant>
        <vt:lpwstr/>
      </vt:variant>
      <vt:variant>
        <vt:lpwstr>_Toc184811975</vt:lpwstr>
      </vt:variant>
      <vt:variant>
        <vt:i4>1114173</vt:i4>
      </vt:variant>
      <vt:variant>
        <vt:i4>8</vt:i4>
      </vt:variant>
      <vt:variant>
        <vt:i4>0</vt:i4>
      </vt:variant>
      <vt:variant>
        <vt:i4>5</vt:i4>
      </vt:variant>
      <vt:variant>
        <vt:lpwstr/>
      </vt:variant>
      <vt:variant>
        <vt:lpwstr>_Toc184811974</vt:lpwstr>
      </vt:variant>
      <vt:variant>
        <vt:i4>1114173</vt:i4>
      </vt:variant>
      <vt:variant>
        <vt:i4>2</vt:i4>
      </vt:variant>
      <vt:variant>
        <vt:i4>0</vt:i4>
      </vt:variant>
      <vt:variant>
        <vt:i4>5</vt:i4>
      </vt:variant>
      <vt:variant>
        <vt:lpwstr/>
      </vt:variant>
      <vt:variant>
        <vt:lpwstr>_Toc184811973</vt:lpwstr>
      </vt:variant>
      <vt:variant>
        <vt:i4>3735676</vt:i4>
      </vt:variant>
      <vt:variant>
        <vt:i4>129</vt:i4>
      </vt:variant>
      <vt:variant>
        <vt:i4>0</vt:i4>
      </vt:variant>
      <vt:variant>
        <vt:i4>5</vt:i4>
      </vt:variant>
      <vt:variant>
        <vt:lpwstr>https://accan.org.au/accans-work/submissions/2339-review-of-australia-s-disability-strategy</vt:lpwstr>
      </vt:variant>
      <vt:variant>
        <vt:lpwstr/>
      </vt:variant>
      <vt:variant>
        <vt:i4>1769555</vt:i4>
      </vt:variant>
      <vt:variant>
        <vt:i4>123</vt:i4>
      </vt:variant>
      <vt:variant>
        <vt:i4>0</vt:i4>
      </vt:variant>
      <vt:variant>
        <vt:i4>5</vt:i4>
      </vt:variant>
      <vt:variant>
        <vt:lpwstr>https://accan.org.au/accans-work/submissions/2269-pre-budget-submission-2024-2025</vt:lpwstr>
      </vt:variant>
      <vt:variant>
        <vt:lpwstr/>
      </vt:variant>
      <vt:variant>
        <vt:i4>1769555</vt:i4>
      </vt:variant>
      <vt:variant>
        <vt:i4>120</vt:i4>
      </vt:variant>
      <vt:variant>
        <vt:i4>0</vt:i4>
      </vt:variant>
      <vt:variant>
        <vt:i4>5</vt:i4>
      </vt:variant>
      <vt:variant>
        <vt:lpwstr>https://accan.org.au/accans-work/submissions/2269-pre-budget-submission-2024-2025</vt:lpwstr>
      </vt:variant>
      <vt:variant>
        <vt:lpwstr/>
      </vt:variant>
      <vt:variant>
        <vt:i4>6291493</vt:i4>
      </vt:variant>
      <vt:variant>
        <vt:i4>117</vt:i4>
      </vt:variant>
      <vt:variant>
        <vt:i4>0</vt:i4>
      </vt:variant>
      <vt:variant>
        <vt:i4>5</vt:i4>
      </vt:variant>
      <vt:variant>
        <vt:lpwstr>https://www.accessibletelecoms.org.au/</vt:lpwstr>
      </vt:variant>
      <vt:variant>
        <vt:lpwstr/>
      </vt:variant>
      <vt:variant>
        <vt:i4>3932183</vt:i4>
      </vt:variant>
      <vt:variant>
        <vt:i4>114</vt:i4>
      </vt:variant>
      <vt:variant>
        <vt:i4>0</vt:i4>
      </vt:variant>
      <vt:variant>
        <vt:i4>5</vt:i4>
      </vt:variant>
      <vt:variant>
        <vt:lpwstr>https://oia.pmc.gov.au/sites/default/files/posts/2024/02/Impact Analysis_0.pdf</vt:lpwstr>
      </vt:variant>
      <vt:variant>
        <vt:lpwstr/>
      </vt:variant>
      <vt:variant>
        <vt:i4>3932183</vt:i4>
      </vt:variant>
      <vt:variant>
        <vt:i4>108</vt:i4>
      </vt:variant>
      <vt:variant>
        <vt:i4>0</vt:i4>
      </vt:variant>
      <vt:variant>
        <vt:i4>5</vt:i4>
      </vt:variant>
      <vt:variant>
        <vt:lpwstr>https://oia.pmc.gov.au/sites/default/files/posts/2024/02/Impact Analysis_0.pdf</vt:lpwstr>
      </vt:variant>
      <vt:variant>
        <vt:lpwstr/>
      </vt:variant>
      <vt:variant>
        <vt:i4>983050</vt:i4>
      </vt:variant>
      <vt:variant>
        <vt:i4>105</vt:i4>
      </vt:variant>
      <vt:variant>
        <vt:i4>0</vt:i4>
      </vt:variant>
      <vt:variant>
        <vt:i4>5</vt:i4>
      </vt:variant>
      <vt:variant>
        <vt:lpwstr>https://cprc.org.au/report/barriers-telco-dispute-resolution</vt:lpwstr>
      </vt:variant>
      <vt:variant>
        <vt:lpwstr/>
      </vt:variant>
      <vt:variant>
        <vt:i4>5177364</vt:i4>
      </vt:variant>
      <vt:variant>
        <vt:i4>102</vt:i4>
      </vt:variant>
      <vt:variant>
        <vt:i4>0</vt:i4>
      </vt:variant>
      <vt:variant>
        <vt:i4>5</vt:i4>
      </vt:variant>
      <vt:variant>
        <vt:lpwstr>https://www.accc.gov.au/media-release/telstra-to-pay-50m-penalty-for-unconscionable-sales-to-indigenous-consumers</vt:lpwstr>
      </vt:variant>
      <vt:variant>
        <vt:lpwstr/>
      </vt:variant>
      <vt:variant>
        <vt:i4>6029321</vt:i4>
      </vt:variant>
      <vt:variant>
        <vt:i4>99</vt:i4>
      </vt:variant>
      <vt:variant>
        <vt:i4>0</vt:i4>
      </vt:variant>
      <vt:variant>
        <vt:i4>5</vt:i4>
      </vt:variant>
      <vt:variant>
        <vt:lpwstr>https://www.accc.gov.au/inquiries-and-consultations/accc-submissions-to-external-consultations</vt:lpwstr>
      </vt:variant>
      <vt:variant>
        <vt:lpwstr>toc-communications</vt:lpwstr>
      </vt:variant>
      <vt:variant>
        <vt:i4>3997743</vt:i4>
      </vt:variant>
      <vt:variant>
        <vt:i4>96</vt:i4>
      </vt:variant>
      <vt:variant>
        <vt:i4>0</vt:i4>
      </vt:variant>
      <vt:variant>
        <vt:i4>5</vt:i4>
      </vt:variant>
      <vt:variant>
        <vt:lpwstr>https://www.commsalliance.com.au/__data/assets/pdf_file/0011/64784/TCP-C628_2019-incorporating-variation-no.1-2022.pdf</vt:lpwstr>
      </vt:variant>
      <vt:variant>
        <vt:lpwstr/>
      </vt:variant>
      <vt:variant>
        <vt:i4>6160414</vt:i4>
      </vt:variant>
      <vt:variant>
        <vt:i4>93</vt:i4>
      </vt:variant>
      <vt:variant>
        <vt:i4>0</vt:i4>
      </vt:variant>
      <vt:variant>
        <vt:i4>5</vt:i4>
      </vt:variant>
      <vt:variant>
        <vt:lpwstr>https://accan.org.au/accans-work/submissions/2331-2024-regional-telecommunications-review</vt:lpwstr>
      </vt:variant>
      <vt:variant>
        <vt:lpwstr/>
      </vt:variant>
      <vt:variant>
        <vt:i4>7209063</vt:i4>
      </vt:variant>
      <vt:variant>
        <vt:i4>90</vt:i4>
      </vt:variant>
      <vt:variant>
        <vt:i4>0</vt:i4>
      </vt:variant>
      <vt:variant>
        <vt:i4>5</vt:i4>
      </vt:variant>
      <vt:variant>
        <vt:lpwstr>https://accan.org.au/accans-work/submissions/2316-a-roadmap-for-first-nations-digital-inclusion</vt:lpwstr>
      </vt:variant>
      <vt:variant>
        <vt:lpwstr/>
      </vt:variant>
      <vt:variant>
        <vt:i4>5046283</vt:i4>
      </vt:variant>
      <vt:variant>
        <vt:i4>87</vt:i4>
      </vt:variant>
      <vt:variant>
        <vt:i4>0</vt:i4>
      </vt:variant>
      <vt:variant>
        <vt:i4>5</vt:i4>
      </vt:variant>
      <vt:variant>
        <vt:lpwstr>https://www.niaa.gov.au/our-work/closing-gap/roll-out-community-wi-fi-remote-communities</vt:lpwstr>
      </vt:variant>
      <vt:variant>
        <vt:lpwstr/>
      </vt:variant>
      <vt:variant>
        <vt:i4>6160414</vt:i4>
      </vt:variant>
      <vt:variant>
        <vt:i4>81</vt:i4>
      </vt:variant>
      <vt:variant>
        <vt:i4>0</vt:i4>
      </vt:variant>
      <vt:variant>
        <vt:i4>5</vt:i4>
      </vt:variant>
      <vt:variant>
        <vt:lpwstr>https://accan.org.au/accans-work/submissions/2331-2024-regional-telecommunications-review</vt:lpwstr>
      </vt:variant>
      <vt:variant>
        <vt:lpwstr/>
      </vt:variant>
      <vt:variant>
        <vt:i4>6160414</vt:i4>
      </vt:variant>
      <vt:variant>
        <vt:i4>78</vt:i4>
      </vt:variant>
      <vt:variant>
        <vt:i4>0</vt:i4>
      </vt:variant>
      <vt:variant>
        <vt:i4>5</vt:i4>
      </vt:variant>
      <vt:variant>
        <vt:lpwstr>https://accan.org.au/accans-work/submissions/2331-2024-regional-telecommunications-review</vt:lpwstr>
      </vt:variant>
      <vt:variant>
        <vt:lpwstr/>
      </vt:variant>
      <vt:variant>
        <vt:i4>6160414</vt:i4>
      </vt:variant>
      <vt:variant>
        <vt:i4>75</vt:i4>
      </vt:variant>
      <vt:variant>
        <vt:i4>0</vt:i4>
      </vt:variant>
      <vt:variant>
        <vt:i4>5</vt:i4>
      </vt:variant>
      <vt:variant>
        <vt:lpwstr>https://accan.org.au/accans-work/submissions/2331-2024-regional-telecommunications-review</vt:lpwstr>
      </vt:variant>
      <vt:variant>
        <vt:lpwstr/>
      </vt:variant>
      <vt:variant>
        <vt:i4>5242961</vt:i4>
      </vt:variant>
      <vt:variant>
        <vt:i4>72</vt:i4>
      </vt:variant>
      <vt:variant>
        <vt:i4>0</vt:i4>
      </vt:variant>
      <vt:variant>
        <vt:i4>5</vt:i4>
      </vt:variant>
      <vt:variant>
        <vt:lpwstr>https://www.infrastructure.gov.au/media-communications-arts/phone/mobile-services-and-coverage/peri-urban-mobile-program</vt:lpwstr>
      </vt:variant>
      <vt:variant>
        <vt:lpwstr/>
      </vt:variant>
      <vt:variant>
        <vt:i4>6160414</vt:i4>
      </vt:variant>
      <vt:variant>
        <vt:i4>69</vt:i4>
      </vt:variant>
      <vt:variant>
        <vt:i4>0</vt:i4>
      </vt:variant>
      <vt:variant>
        <vt:i4>5</vt:i4>
      </vt:variant>
      <vt:variant>
        <vt:lpwstr>https://accan.org.au/accans-work/submissions/2331-2024-regional-telecommunications-review</vt:lpwstr>
      </vt:variant>
      <vt:variant>
        <vt:lpwstr/>
      </vt:variant>
      <vt:variant>
        <vt:i4>3211310</vt:i4>
      </vt:variant>
      <vt:variant>
        <vt:i4>66</vt:i4>
      </vt:variant>
      <vt:variant>
        <vt:i4>0</vt:i4>
      </vt:variant>
      <vt:variant>
        <vt:i4>5</vt:i4>
      </vt:variant>
      <vt:variant>
        <vt:lpwstr>https://accan.org.au/accans-work/submissions/2315-joint-select-committee-on-social-media-and-australian-society</vt:lpwstr>
      </vt:variant>
      <vt:variant>
        <vt:lpwstr/>
      </vt:variant>
      <vt:variant>
        <vt:i4>2687009</vt:i4>
      </vt:variant>
      <vt:variant>
        <vt:i4>63</vt:i4>
      </vt:variant>
      <vt:variant>
        <vt:i4>0</vt:i4>
      </vt:variant>
      <vt:variant>
        <vt:i4>5</vt:i4>
      </vt:variant>
      <vt:variant>
        <vt:lpwstr>https://accan.org.au/accans-work/submissions/2074-influence-of-international-digital-platforms</vt:lpwstr>
      </vt:variant>
      <vt:variant>
        <vt:lpwstr/>
      </vt:variant>
      <vt:variant>
        <vt:i4>1966156</vt:i4>
      </vt:variant>
      <vt:variant>
        <vt:i4>60</vt:i4>
      </vt:variant>
      <vt:variant>
        <vt:i4>0</vt:i4>
      </vt:variant>
      <vt:variant>
        <vt:i4>5</vt:i4>
      </vt:variant>
      <vt:variant>
        <vt:lpwstr>https://www.acma.gov.au/publications/2023-12/report/communications-and-media-australia-how-we-communicate</vt:lpwstr>
      </vt:variant>
      <vt:variant>
        <vt:lpwstr/>
      </vt:variant>
      <vt:variant>
        <vt:i4>3407972</vt:i4>
      </vt:variant>
      <vt:variant>
        <vt:i4>57</vt:i4>
      </vt:variant>
      <vt:variant>
        <vt:i4>0</vt:i4>
      </vt:variant>
      <vt:variant>
        <vt:i4>5</vt:i4>
      </vt:variant>
      <vt:variant>
        <vt:lpwstr>https://www.uts.edu.au/sites/default/files/2022-08/CMT DPCH Report - electronic version.pdf</vt:lpwstr>
      </vt:variant>
      <vt:variant>
        <vt:lpwstr/>
      </vt:variant>
      <vt:variant>
        <vt:i4>6553650</vt:i4>
      </vt:variant>
      <vt:variant>
        <vt:i4>54</vt:i4>
      </vt:variant>
      <vt:variant>
        <vt:i4>0</vt:i4>
      </vt:variant>
      <vt:variant>
        <vt:i4>5</vt:i4>
      </vt:variant>
      <vt:variant>
        <vt:lpwstr>https://accan.org.au/files/Submissions/2024/ACCAN Submission to ACCC DPSI Final Report 2024.pdf</vt:lpwstr>
      </vt:variant>
      <vt:variant>
        <vt:lpwstr/>
      </vt:variant>
      <vt:variant>
        <vt:i4>4063276</vt:i4>
      </vt:variant>
      <vt:variant>
        <vt:i4>51</vt:i4>
      </vt:variant>
      <vt:variant>
        <vt:i4>0</vt:i4>
      </vt:variant>
      <vt:variant>
        <vt:i4>5</vt:i4>
      </vt:variant>
      <vt:variant>
        <vt:lpwstr>https://www.infrastructure.gov.au/sites/default/files/documents/foi--23-037.pdf</vt:lpwstr>
      </vt:variant>
      <vt:variant>
        <vt:lpwstr/>
      </vt:variant>
      <vt:variant>
        <vt:i4>4063276</vt:i4>
      </vt:variant>
      <vt:variant>
        <vt:i4>48</vt:i4>
      </vt:variant>
      <vt:variant>
        <vt:i4>0</vt:i4>
      </vt:variant>
      <vt:variant>
        <vt:i4>5</vt:i4>
      </vt:variant>
      <vt:variant>
        <vt:lpwstr>https://www.infrastructure.gov.au/sites/default/files/documents/foi--23-037.pdf</vt:lpwstr>
      </vt:variant>
      <vt:variant>
        <vt:lpwstr/>
      </vt:variant>
      <vt:variant>
        <vt:i4>1638411</vt:i4>
      </vt:variant>
      <vt:variant>
        <vt:i4>42</vt:i4>
      </vt:variant>
      <vt:variant>
        <vt:i4>0</vt:i4>
      </vt:variant>
      <vt:variant>
        <vt:i4>5</vt:i4>
      </vt:variant>
      <vt:variant>
        <vt:lpwstr>https://workventures.com.au/national-device-bank/</vt:lpwstr>
      </vt:variant>
      <vt:variant>
        <vt:lpwstr/>
      </vt:variant>
      <vt:variant>
        <vt:i4>3801130</vt:i4>
      </vt:variant>
      <vt:variant>
        <vt:i4>39</vt:i4>
      </vt:variant>
      <vt:variant>
        <vt:i4>0</vt:i4>
      </vt:variant>
      <vt:variant>
        <vt:i4>5</vt:i4>
      </vt:variant>
      <vt:variant>
        <vt:lpwstr>https://www.goodthingsfoundation.org/our-services/national-device-bank</vt:lpwstr>
      </vt:variant>
      <vt:variant>
        <vt:lpwstr/>
      </vt:variant>
      <vt:variant>
        <vt:i4>7798828</vt:i4>
      </vt:variant>
      <vt:variant>
        <vt:i4>36</vt:i4>
      </vt:variant>
      <vt:variant>
        <vt:i4>0</vt:i4>
      </vt:variant>
      <vt:variant>
        <vt:i4>5</vt:i4>
      </vt:variant>
      <vt:variant>
        <vt:lpwstr>https://www.nbnco.com.au/content/dam/nbn/documents/sell/industry-consultation/LIDIF-annual-report.pdf.coredownload.pdf</vt:lpwstr>
      </vt:variant>
      <vt:variant>
        <vt:lpwstr/>
      </vt:variant>
      <vt:variant>
        <vt:i4>3276906</vt:i4>
      </vt:variant>
      <vt:variant>
        <vt:i4>33</vt:i4>
      </vt:variant>
      <vt:variant>
        <vt:i4>0</vt:i4>
      </vt:variant>
      <vt:variant>
        <vt:i4>5</vt:i4>
      </vt:variant>
      <vt:variant>
        <vt:lpwstr>https://www.digitalinclusion.gov.au/sites/default/files/documents/first-nations-digital-inclusion-advisory-group-initial-report.pdf</vt:lpwstr>
      </vt:variant>
      <vt:variant>
        <vt:lpwstr/>
      </vt:variant>
      <vt:variant>
        <vt:i4>2228346</vt:i4>
      </vt:variant>
      <vt:variant>
        <vt:i4>30</vt:i4>
      </vt:variant>
      <vt:variant>
        <vt:i4>0</vt:i4>
      </vt:variant>
      <vt:variant>
        <vt:i4>5</vt:i4>
      </vt:variant>
      <vt:variant>
        <vt:lpwstr>https://catalog.workventures.com.au/flip-book/366501/850282/page/1</vt:lpwstr>
      </vt:variant>
      <vt:variant>
        <vt:lpwstr/>
      </vt:variant>
      <vt:variant>
        <vt:i4>851974</vt:i4>
      </vt:variant>
      <vt:variant>
        <vt:i4>27</vt:i4>
      </vt:variant>
      <vt:variant>
        <vt:i4>0</vt:i4>
      </vt:variant>
      <vt:variant>
        <vt:i4>5</vt:i4>
      </vt:variant>
      <vt:variant>
        <vt:lpwstr>https://www.finder.com.au/news/digital-divide-49-percent-of-kids-lack-tech-access</vt:lpwstr>
      </vt:variant>
      <vt:variant>
        <vt:lpwstr/>
      </vt:variant>
      <vt:variant>
        <vt:i4>2228346</vt:i4>
      </vt:variant>
      <vt:variant>
        <vt:i4>24</vt:i4>
      </vt:variant>
      <vt:variant>
        <vt:i4>0</vt:i4>
      </vt:variant>
      <vt:variant>
        <vt:i4>5</vt:i4>
      </vt:variant>
      <vt:variant>
        <vt:lpwstr>https://catalog.workventures.com.au/flip-book/366501/850282/page/1</vt:lpwstr>
      </vt:variant>
      <vt:variant>
        <vt:lpwstr/>
      </vt:variant>
      <vt:variant>
        <vt:i4>5242968</vt:i4>
      </vt:variant>
      <vt:variant>
        <vt:i4>18</vt:i4>
      </vt:variant>
      <vt:variant>
        <vt:i4>0</vt:i4>
      </vt:variant>
      <vt:variant>
        <vt:i4>5</vt:i4>
      </vt:variant>
      <vt:variant>
        <vt:lpwstr>https://www.aer.gov.au/publications/reports/corporate/accc-and-aer-annual-report-2023-24</vt:lpwstr>
      </vt:variant>
      <vt:variant>
        <vt:lpwstr/>
      </vt:variant>
      <vt:variant>
        <vt:i4>2949231</vt:i4>
      </vt:variant>
      <vt:variant>
        <vt:i4>15</vt:i4>
      </vt:variant>
      <vt:variant>
        <vt:i4>0</vt:i4>
      </vt:variant>
      <vt:variant>
        <vt:i4>5</vt:i4>
      </vt:variant>
      <vt:variant>
        <vt:lpwstr>https://treasury.gov.au/sites/default/files/2021-11/c2021-198050-tc-finder.pdf</vt:lpwstr>
      </vt:variant>
      <vt:variant>
        <vt:lpwstr/>
      </vt:variant>
      <vt:variant>
        <vt:i4>327761</vt:i4>
      </vt:variant>
      <vt:variant>
        <vt:i4>12</vt:i4>
      </vt:variant>
      <vt:variant>
        <vt:i4>0</vt:i4>
      </vt:variant>
      <vt:variant>
        <vt:i4>5</vt:i4>
      </vt:variant>
      <vt:variant>
        <vt:lpwstr>https://eftm.com/2022/10/unhappy-optus-customers-ditching-the-telco-as-eftm-survey-shows-were-all-paying-for-too-much-data-229055</vt:lpwstr>
      </vt:variant>
      <vt:variant>
        <vt:lpwstr/>
      </vt:variant>
      <vt:variant>
        <vt:i4>7995496</vt:i4>
      </vt:variant>
      <vt:variant>
        <vt:i4>9</vt:i4>
      </vt:variant>
      <vt:variant>
        <vt:i4>0</vt:i4>
      </vt:variant>
      <vt:variant>
        <vt:i4>5</vt:i4>
      </vt:variant>
      <vt:variant>
        <vt:lpwstr>https://accan.org.au/accans-work/policy-positions/2123-independent-plan-comparison-tool</vt:lpwstr>
      </vt:variant>
      <vt:variant>
        <vt:lpwstr/>
      </vt:variant>
      <vt:variant>
        <vt:i4>6619176</vt:i4>
      </vt:variant>
      <vt:variant>
        <vt:i4>6</vt:i4>
      </vt:variant>
      <vt:variant>
        <vt:i4>0</vt:i4>
      </vt:variant>
      <vt:variant>
        <vt:i4>5</vt:i4>
      </vt:variant>
      <vt:variant>
        <vt:lpwstr>https://www.nbnco.com.au/content/dam/nbn/documents/about-nbn/reports/reports-and-publications/accenture-2024-economic-and-social-impact-insight-report.pdf.coredownload.pdf</vt:lpwstr>
      </vt:variant>
      <vt:variant>
        <vt:lpwstr/>
      </vt:variant>
      <vt:variant>
        <vt:i4>6619185</vt:i4>
      </vt:variant>
      <vt:variant>
        <vt:i4>3</vt:i4>
      </vt:variant>
      <vt:variant>
        <vt:i4>0</vt:i4>
      </vt:variant>
      <vt:variant>
        <vt:i4>5</vt:i4>
      </vt:variant>
      <vt:variant>
        <vt:lpwstr>https://www.accc.gov.au/about-us/publications/serial-publications/accc-communications-market-reports/accc-communications-market-report-2022-23</vt:lpwstr>
      </vt:variant>
      <vt:variant>
        <vt:lpwstr/>
      </vt:variant>
      <vt:variant>
        <vt:i4>3342393</vt:i4>
      </vt:variant>
      <vt:variant>
        <vt:i4>0</vt:i4>
      </vt:variant>
      <vt:variant>
        <vt:i4>0</vt:i4>
      </vt:variant>
      <vt:variant>
        <vt:i4>5</vt:i4>
      </vt:variant>
      <vt:variant>
        <vt:lpwstr>https://accan.org.au/accans-work/research/2251-affordability-snapshot-2023</vt:lpwstr>
      </vt:variant>
      <vt:variant>
        <vt:lpwstr/>
      </vt:variant>
      <vt:variant>
        <vt:i4>65578</vt:i4>
      </vt:variant>
      <vt:variant>
        <vt:i4>24</vt:i4>
      </vt:variant>
      <vt:variant>
        <vt:i4>0</vt:i4>
      </vt:variant>
      <vt:variant>
        <vt:i4>5</vt:i4>
      </vt:variant>
      <vt:variant>
        <vt:lpwstr>mailto:Elise.Ackland@accan.org.au</vt:lpwstr>
      </vt:variant>
      <vt:variant>
        <vt:lpwstr/>
      </vt:variant>
      <vt:variant>
        <vt:i4>6291528</vt:i4>
      </vt:variant>
      <vt:variant>
        <vt:i4>21</vt:i4>
      </vt:variant>
      <vt:variant>
        <vt:i4>0</vt:i4>
      </vt:variant>
      <vt:variant>
        <vt:i4>5</vt:i4>
      </vt:variant>
      <vt:variant>
        <vt:lpwstr>mailto:Con.Gouskos@accan.org.au</vt:lpwstr>
      </vt:variant>
      <vt:variant>
        <vt:lpwstr/>
      </vt:variant>
      <vt:variant>
        <vt:i4>5046398</vt:i4>
      </vt:variant>
      <vt:variant>
        <vt:i4>18</vt:i4>
      </vt:variant>
      <vt:variant>
        <vt:i4>0</vt:i4>
      </vt:variant>
      <vt:variant>
        <vt:i4>5</vt:i4>
      </vt:variant>
      <vt:variant>
        <vt:lpwstr>mailto:rebekah.palmer@accan.org.au</vt:lpwstr>
      </vt:variant>
      <vt:variant>
        <vt:lpwstr/>
      </vt:variant>
      <vt:variant>
        <vt:i4>6291528</vt:i4>
      </vt:variant>
      <vt:variant>
        <vt:i4>15</vt:i4>
      </vt:variant>
      <vt:variant>
        <vt:i4>0</vt:i4>
      </vt:variant>
      <vt:variant>
        <vt:i4>5</vt:i4>
      </vt:variant>
      <vt:variant>
        <vt:lpwstr>mailto:Con.Gouskos@accan.org.au</vt:lpwstr>
      </vt:variant>
      <vt:variant>
        <vt:lpwstr/>
      </vt:variant>
      <vt:variant>
        <vt:i4>5046398</vt:i4>
      </vt:variant>
      <vt:variant>
        <vt:i4>12</vt:i4>
      </vt:variant>
      <vt:variant>
        <vt:i4>0</vt:i4>
      </vt:variant>
      <vt:variant>
        <vt:i4>5</vt:i4>
      </vt:variant>
      <vt:variant>
        <vt:lpwstr>mailto:rebekah.palmer@accan.org.au</vt:lpwstr>
      </vt:variant>
      <vt:variant>
        <vt:lpwstr/>
      </vt:variant>
      <vt:variant>
        <vt:i4>6291528</vt:i4>
      </vt:variant>
      <vt:variant>
        <vt:i4>9</vt:i4>
      </vt:variant>
      <vt:variant>
        <vt:i4>0</vt:i4>
      </vt:variant>
      <vt:variant>
        <vt:i4>5</vt:i4>
      </vt:variant>
      <vt:variant>
        <vt:lpwstr>mailto:Con.Gouskos@accan.org.au</vt:lpwstr>
      </vt:variant>
      <vt:variant>
        <vt:lpwstr/>
      </vt:variant>
      <vt:variant>
        <vt:i4>7274564</vt:i4>
      </vt:variant>
      <vt:variant>
        <vt:i4>6</vt:i4>
      </vt:variant>
      <vt:variant>
        <vt:i4>0</vt:i4>
      </vt:variant>
      <vt:variant>
        <vt:i4>5</vt:i4>
      </vt:variant>
      <vt:variant>
        <vt:lpwstr>mailto:Audrey.Reoch@accan.org.au</vt:lpwstr>
      </vt:variant>
      <vt:variant>
        <vt:lpwstr/>
      </vt:variant>
      <vt:variant>
        <vt:i4>3604497</vt:i4>
      </vt:variant>
      <vt:variant>
        <vt:i4>3</vt:i4>
      </vt:variant>
      <vt:variant>
        <vt:i4>0</vt:i4>
      </vt:variant>
      <vt:variant>
        <vt:i4>5</vt:i4>
      </vt:variant>
      <vt:variant>
        <vt:lpwstr>https://acconsumeractionnetwork.sharepoint.com/:x:/s/ACCAN/EdSyBu3-JAhMq1BMSg3_TEIBDJEeZuZ0tnx-ahq5EErUgQ?e=wYOoFx</vt:lpwstr>
      </vt:variant>
      <vt:variant>
        <vt:lpwstr/>
      </vt:variant>
      <vt:variant>
        <vt:i4>7274564</vt:i4>
      </vt:variant>
      <vt:variant>
        <vt:i4>0</vt:i4>
      </vt:variant>
      <vt:variant>
        <vt:i4>0</vt:i4>
      </vt:variant>
      <vt:variant>
        <vt:i4>5</vt:i4>
      </vt:variant>
      <vt:variant>
        <vt:lpwstr>mailto:Audrey.Reoch@accan.org.au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Con Gouskos</cp:lastModifiedBy>
  <cp:revision>1288</cp:revision>
  <cp:lastPrinted>2024-12-11T02:57:00Z</cp:lastPrinted>
  <dcterms:created xsi:type="dcterms:W3CDTF">2024-10-10T11:02:00Z</dcterms:created>
  <dcterms:modified xsi:type="dcterms:W3CDTF">2024-12-11T02:57:00Z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