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DBD9" w14:textId="77777777" w:rsidR="006E535E" w:rsidRDefault="006E535E" w:rsidP="00FD0719">
      <w:pPr>
        <w:rPr>
          <w:rFonts w:ascii="Calibri" w:hAnsi="Calibri" w:cs="Calibri"/>
        </w:rPr>
      </w:pPr>
      <w:r>
        <w:rPr>
          <w:rFonts w:ascii="Calibri" w:hAnsi="Calibri" w:cs="Calibri"/>
        </w:rPr>
        <w:t>15 April 2021</w:t>
      </w:r>
    </w:p>
    <w:p w14:paraId="4142CC59" w14:textId="77777777" w:rsidR="00042107" w:rsidRDefault="006E535E" w:rsidP="00FD0719">
      <w:pPr>
        <w:rPr>
          <w:rFonts w:ascii="Calibri" w:hAnsi="Calibri" w:cs="Calibri"/>
        </w:rPr>
      </w:pPr>
      <w:r>
        <w:rPr>
          <w:rFonts w:ascii="Calibri" w:hAnsi="Calibri" w:cs="Calibri"/>
        </w:rPr>
        <w:t>Australian Competition and Consumer Commission</w:t>
      </w:r>
      <w:r>
        <w:rPr>
          <w:rFonts w:ascii="Calibri" w:hAnsi="Calibri" w:cs="Calibri"/>
        </w:rPr>
        <w:br/>
        <w:t>Digital Monitoring</w:t>
      </w:r>
    </w:p>
    <w:p w14:paraId="0E4BDD28" w14:textId="2F0DD8CC" w:rsidR="006E535E" w:rsidRPr="009171D2" w:rsidRDefault="006E535E" w:rsidP="00FD0719">
      <w:pPr>
        <w:rPr>
          <w:rFonts w:ascii="Calibri" w:hAnsi="Calibri" w:cs="Calibri"/>
        </w:rPr>
      </w:pPr>
      <w:r>
        <w:rPr>
          <w:rFonts w:ascii="Calibri" w:hAnsi="Calibri" w:cs="Calibri"/>
        </w:rPr>
        <w:t xml:space="preserve">Via email: </w:t>
      </w:r>
      <w:hyperlink r:id="rId10" w:history="1">
        <w:r w:rsidRPr="006A24D5">
          <w:rPr>
            <w:rStyle w:val="Hyperlink"/>
            <w:rFonts w:ascii="Calibri" w:hAnsi="Calibri" w:cs="Calibri"/>
          </w:rPr>
          <w:t>digitalmonitoring@accc.gov.au</w:t>
        </w:r>
      </w:hyperlink>
    </w:p>
    <w:p w14:paraId="595BA699" w14:textId="481A9969" w:rsidR="006E535E" w:rsidRPr="006E535E" w:rsidRDefault="006E535E" w:rsidP="00FD0719">
      <w:pPr>
        <w:jc w:val="center"/>
        <w:rPr>
          <w:rFonts w:ascii="Calibri" w:hAnsi="Calibri" w:cs="Calibri"/>
          <w:b/>
          <w:bCs/>
        </w:rPr>
      </w:pPr>
      <w:r w:rsidRPr="009171D2">
        <w:rPr>
          <w:rFonts w:ascii="Calibri" w:hAnsi="Calibri" w:cs="Calibri"/>
          <w:b/>
          <w:bCs/>
        </w:rPr>
        <w:t xml:space="preserve">Re: ACCC Digital Platforms </w:t>
      </w:r>
      <w:r w:rsidR="00FD0719">
        <w:rPr>
          <w:rFonts w:ascii="Calibri" w:hAnsi="Calibri" w:cs="Calibri"/>
          <w:b/>
          <w:bCs/>
        </w:rPr>
        <w:t>I</w:t>
      </w:r>
      <w:r w:rsidRPr="009171D2">
        <w:rPr>
          <w:rFonts w:ascii="Calibri" w:hAnsi="Calibri" w:cs="Calibri"/>
          <w:b/>
          <w:bCs/>
        </w:rPr>
        <w:t xml:space="preserve">nquiry </w:t>
      </w:r>
      <w:r w:rsidRPr="00140F4E">
        <w:rPr>
          <w:rFonts w:ascii="Calibri" w:hAnsi="Calibri" w:cs="Calibri"/>
          <w:b/>
          <w:bCs/>
        </w:rPr>
        <w:t>Report on market dynamics and consumer choice screens in search services and web browsers</w:t>
      </w:r>
    </w:p>
    <w:p w14:paraId="778AAF77" w14:textId="78DF2FE6" w:rsidR="006E535E" w:rsidRPr="006E535E" w:rsidRDefault="00BC65E9" w:rsidP="00FD0719">
      <w:pPr>
        <w:jc w:val="both"/>
        <w:rPr>
          <w:rFonts w:ascii="Calibri" w:hAnsi="Calibri" w:cs="Calibri"/>
        </w:rPr>
      </w:pPr>
      <w:r>
        <w:rPr>
          <w:rFonts w:ascii="Calibri" w:hAnsi="Calibri" w:cs="Calibri"/>
        </w:rPr>
        <w:t>The Australian Communications Consumer Action Network (</w:t>
      </w:r>
      <w:r w:rsidR="006E535E" w:rsidRPr="009171D2">
        <w:rPr>
          <w:rFonts w:ascii="Calibri" w:hAnsi="Calibri" w:cs="Calibri"/>
        </w:rPr>
        <w:t>ACCAN</w:t>
      </w:r>
      <w:r>
        <w:rPr>
          <w:rFonts w:ascii="Calibri" w:hAnsi="Calibri" w:cs="Calibri"/>
        </w:rPr>
        <w:t>)</w:t>
      </w:r>
      <w:r w:rsidR="006E535E" w:rsidRPr="009171D2">
        <w:rPr>
          <w:rFonts w:ascii="Calibri" w:hAnsi="Calibri" w:cs="Calibri"/>
        </w:rPr>
        <w:t xml:space="preserve"> thanks the </w:t>
      </w:r>
      <w:r w:rsidR="006E535E">
        <w:rPr>
          <w:rFonts w:ascii="Calibri" w:hAnsi="Calibri" w:cs="Calibri"/>
        </w:rPr>
        <w:t xml:space="preserve">Australian Competition and Consumer Commission (ACCC) </w:t>
      </w:r>
      <w:r w:rsidR="006E535E" w:rsidRPr="009171D2">
        <w:rPr>
          <w:rFonts w:ascii="Calibri" w:hAnsi="Calibri" w:cs="Calibri"/>
        </w:rPr>
        <w:t xml:space="preserve">for the opportunity to comment on </w:t>
      </w:r>
      <w:r w:rsidR="006E535E">
        <w:rPr>
          <w:rFonts w:ascii="Calibri" w:hAnsi="Calibri" w:cs="Calibri"/>
        </w:rPr>
        <w:t xml:space="preserve">the </w:t>
      </w:r>
      <w:r w:rsidR="006E535E" w:rsidRPr="009171D2">
        <w:rPr>
          <w:rFonts w:ascii="Calibri" w:hAnsi="Calibri" w:cs="Calibri"/>
        </w:rPr>
        <w:t xml:space="preserve">consultation concerning the implementation of the </w:t>
      </w:r>
      <w:r>
        <w:rPr>
          <w:rFonts w:ascii="Calibri" w:hAnsi="Calibri" w:cs="Calibri"/>
        </w:rPr>
        <w:t>ACCC’s</w:t>
      </w:r>
      <w:r w:rsidR="006E535E" w:rsidRPr="009171D2">
        <w:rPr>
          <w:rFonts w:ascii="Calibri" w:hAnsi="Calibri" w:cs="Calibri"/>
        </w:rPr>
        <w:t xml:space="preserve"> Inquiry into </w:t>
      </w:r>
      <w:r w:rsidR="006E535E" w:rsidRPr="00140F4E">
        <w:rPr>
          <w:rFonts w:ascii="Calibri" w:hAnsi="Calibri" w:cs="Calibri"/>
        </w:rPr>
        <w:t>market dynamics and consumer choice screens in search services and web browsers</w:t>
      </w:r>
      <w:r w:rsidR="006E535E" w:rsidRPr="009171D2">
        <w:rPr>
          <w:rFonts w:ascii="Calibri" w:hAnsi="Calibri" w:cs="Calibri"/>
        </w:rPr>
        <w:t xml:space="preserve">. </w:t>
      </w:r>
    </w:p>
    <w:p w14:paraId="598F35DD" w14:textId="7524F724" w:rsidR="006E535E" w:rsidRPr="009171D2" w:rsidRDefault="006E535E" w:rsidP="00FD0719">
      <w:pPr>
        <w:jc w:val="both"/>
        <w:rPr>
          <w:rFonts w:ascii="Calibri" w:hAnsi="Calibri" w:cs="Calibri"/>
          <w:color w:val="000000" w:themeColor="text1"/>
        </w:rPr>
      </w:pPr>
      <w:r w:rsidRPr="009171D2">
        <w:rPr>
          <w:rFonts w:ascii="Calibri" w:hAnsi="Calibri" w:cs="Calibri"/>
          <w:color w:val="000000" w:themeColor="text1"/>
        </w:rPr>
        <w:t xml:space="preserve">ACCAN is the peak body for all consumers on communications issues and </w:t>
      </w:r>
      <w:proofErr w:type="gramStart"/>
      <w:r w:rsidRPr="009171D2">
        <w:rPr>
          <w:rFonts w:ascii="Calibri" w:hAnsi="Calibri" w:cs="Calibri"/>
          <w:color w:val="000000" w:themeColor="text1"/>
        </w:rPr>
        <w:t>provides</w:t>
      </w:r>
      <w:proofErr w:type="gramEnd"/>
      <w:r w:rsidRPr="009171D2">
        <w:rPr>
          <w:rFonts w:ascii="Calibri" w:hAnsi="Calibri" w:cs="Calibri"/>
          <w:color w:val="000000" w:themeColor="text1"/>
        </w:rPr>
        <w:t xml:space="preserve"> a strong unified voice to industry and government to ensure communications services are trusted, inclusive and available for all in Australia. </w:t>
      </w:r>
    </w:p>
    <w:p w14:paraId="661239A6" w14:textId="218DF963" w:rsidR="006E535E" w:rsidRPr="009171D2" w:rsidRDefault="006E535E" w:rsidP="00FD0719">
      <w:pPr>
        <w:jc w:val="both"/>
        <w:rPr>
          <w:rFonts w:ascii="Calibri" w:hAnsi="Calibri" w:cs="Calibri"/>
          <w:color w:val="000000" w:themeColor="text1"/>
        </w:rPr>
      </w:pPr>
      <w:r w:rsidRPr="009171D2">
        <w:rPr>
          <w:rFonts w:ascii="Calibri" w:hAnsi="Calibri" w:cs="Calibri"/>
          <w:color w:val="000000" w:themeColor="text1"/>
        </w:rPr>
        <w:t xml:space="preserve">ACCAN is </w:t>
      </w:r>
      <w:r>
        <w:rPr>
          <w:rFonts w:ascii="Calibri" w:hAnsi="Calibri" w:cs="Calibri"/>
          <w:color w:val="000000" w:themeColor="text1"/>
        </w:rPr>
        <w:t xml:space="preserve">keenly following the entire scope of the ACCC’s Digital Platforms activities as there are clear implications, both positive and negative, for consumers in many of these areas of review. Unarguably, the increased convergence of digital technologies can </w:t>
      </w:r>
      <w:proofErr w:type="gramStart"/>
      <w:r>
        <w:rPr>
          <w:rFonts w:ascii="Calibri" w:hAnsi="Calibri" w:cs="Calibri"/>
          <w:color w:val="000000" w:themeColor="text1"/>
        </w:rPr>
        <w:t>provide</w:t>
      </w:r>
      <w:proofErr w:type="gramEnd"/>
      <w:r>
        <w:rPr>
          <w:rFonts w:ascii="Calibri" w:hAnsi="Calibri" w:cs="Calibri"/>
          <w:color w:val="000000" w:themeColor="text1"/>
        </w:rPr>
        <w:t xml:space="preserve"> significant benefits for both individuals and the broader community when the appropriate competition and consumer protections are in place. A</w:t>
      </w:r>
      <w:r w:rsidRPr="009171D2">
        <w:rPr>
          <w:rFonts w:ascii="Calibri" w:hAnsi="Calibri" w:cs="Calibri"/>
        </w:rPr>
        <w:t>CCAN is supportive of competitive and efficient markets</w:t>
      </w:r>
      <w:r>
        <w:rPr>
          <w:rFonts w:ascii="Calibri" w:hAnsi="Calibri" w:cs="Calibri"/>
        </w:rPr>
        <w:t xml:space="preserve"> that </w:t>
      </w:r>
      <w:proofErr w:type="gramStart"/>
      <w:r>
        <w:rPr>
          <w:rFonts w:ascii="Calibri" w:hAnsi="Calibri" w:cs="Calibri"/>
        </w:rPr>
        <w:t>provide</w:t>
      </w:r>
      <w:proofErr w:type="gramEnd"/>
      <w:r>
        <w:rPr>
          <w:rFonts w:ascii="Calibri" w:hAnsi="Calibri" w:cs="Calibri"/>
        </w:rPr>
        <w:t xml:space="preserve"> consumers choice and confidence. As such, </w:t>
      </w:r>
      <w:r w:rsidRPr="009171D2">
        <w:rPr>
          <w:rFonts w:ascii="Calibri" w:hAnsi="Calibri" w:cs="Calibri"/>
          <w:color w:val="000000" w:themeColor="text1"/>
        </w:rPr>
        <w:t>ACCAN support</w:t>
      </w:r>
      <w:r>
        <w:rPr>
          <w:rFonts w:ascii="Calibri" w:hAnsi="Calibri" w:cs="Calibri"/>
          <w:color w:val="000000" w:themeColor="text1"/>
        </w:rPr>
        <w:t>ed</w:t>
      </w:r>
      <w:r w:rsidRPr="009171D2">
        <w:rPr>
          <w:rFonts w:ascii="Calibri" w:hAnsi="Calibri" w:cs="Calibri"/>
          <w:color w:val="000000" w:themeColor="text1"/>
        </w:rPr>
        <w:t xml:space="preserve"> the ACCC’s recommendation to </w:t>
      </w:r>
      <w:proofErr w:type="gramStart"/>
      <w:r w:rsidRPr="009171D2">
        <w:rPr>
          <w:rFonts w:ascii="Calibri" w:hAnsi="Calibri" w:cs="Calibri"/>
          <w:color w:val="000000" w:themeColor="text1"/>
        </w:rPr>
        <w:t>facilitate</w:t>
      </w:r>
      <w:proofErr w:type="gramEnd"/>
      <w:r w:rsidRPr="009171D2">
        <w:rPr>
          <w:rFonts w:ascii="Calibri" w:hAnsi="Calibri" w:cs="Calibri"/>
          <w:color w:val="000000" w:themeColor="text1"/>
        </w:rPr>
        <w:t xml:space="preserve"> consumer choice through the changes to default search engine and internet browser arrangements</w:t>
      </w:r>
      <w:r>
        <w:rPr>
          <w:rFonts w:ascii="Calibri" w:hAnsi="Calibri" w:cs="Calibri"/>
          <w:color w:val="000000" w:themeColor="text1"/>
        </w:rPr>
        <w:t xml:space="preserve"> in our 2019 submission to the Treasury inquiry into </w:t>
      </w:r>
      <w:r w:rsidRPr="000A2512">
        <w:rPr>
          <w:rFonts w:ascii="Calibri" w:hAnsi="Calibri" w:cs="Calibri"/>
          <w:color w:val="000000" w:themeColor="text1"/>
        </w:rPr>
        <w:t>the implementation of the A</w:t>
      </w:r>
      <w:r w:rsidR="00475E6C">
        <w:rPr>
          <w:rFonts w:ascii="Calibri" w:hAnsi="Calibri" w:cs="Calibri"/>
          <w:color w:val="000000" w:themeColor="text1"/>
        </w:rPr>
        <w:t>CCC</w:t>
      </w:r>
      <w:r w:rsidRPr="000A2512">
        <w:rPr>
          <w:rFonts w:ascii="Calibri" w:hAnsi="Calibri" w:cs="Calibri"/>
          <w:color w:val="000000" w:themeColor="text1"/>
        </w:rPr>
        <w:t>’s Inquiry into</w:t>
      </w:r>
      <w:r>
        <w:rPr>
          <w:rFonts w:ascii="Calibri" w:hAnsi="Calibri" w:cs="Calibri"/>
          <w:color w:val="000000" w:themeColor="text1"/>
        </w:rPr>
        <w:t xml:space="preserve"> </w:t>
      </w:r>
      <w:r w:rsidRPr="000A2512">
        <w:rPr>
          <w:rFonts w:ascii="Calibri" w:hAnsi="Calibri" w:cs="Calibri"/>
          <w:color w:val="000000" w:themeColor="text1"/>
        </w:rPr>
        <w:t xml:space="preserve">Digital Platforms. </w:t>
      </w:r>
      <w:r w:rsidRPr="009171D2">
        <w:rPr>
          <w:rFonts w:ascii="Calibri" w:hAnsi="Calibri" w:cs="Calibri"/>
          <w:color w:val="000000" w:themeColor="text1"/>
        </w:rPr>
        <w:t>Noting that the proposed arrangements have already been implemented in Europe</w:t>
      </w:r>
      <w:r w:rsidR="00B33AB3">
        <w:rPr>
          <w:rFonts w:ascii="Calibri" w:hAnsi="Calibri" w:cs="Calibri"/>
          <w:color w:val="000000" w:themeColor="text1"/>
        </w:rPr>
        <w:t>,</w:t>
      </w:r>
      <w:r w:rsidRPr="009171D2">
        <w:rPr>
          <w:rFonts w:ascii="Calibri" w:hAnsi="Calibri" w:cs="Calibri"/>
          <w:color w:val="000000" w:themeColor="text1"/>
        </w:rPr>
        <w:t xml:space="preserve"> </w:t>
      </w:r>
      <w:r>
        <w:rPr>
          <w:rFonts w:ascii="Calibri" w:hAnsi="Calibri" w:cs="Calibri"/>
          <w:color w:val="000000" w:themeColor="text1"/>
        </w:rPr>
        <w:t xml:space="preserve">ACCAN considers </w:t>
      </w:r>
      <w:r w:rsidRPr="009171D2">
        <w:rPr>
          <w:rFonts w:ascii="Calibri" w:hAnsi="Calibri" w:cs="Calibri"/>
          <w:color w:val="000000" w:themeColor="text1"/>
        </w:rPr>
        <w:t xml:space="preserve">that there are limited barriers to implementing </w:t>
      </w:r>
      <w:r>
        <w:rPr>
          <w:rFonts w:ascii="Calibri" w:hAnsi="Calibri" w:cs="Calibri"/>
          <w:color w:val="000000" w:themeColor="text1"/>
        </w:rPr>
        <w:t xml:space="preserve">these changes </w:t>
      </w:r>
      <w:r w:rsidRPr="009171D2">
        <w:rPr>
          <w:rFonts w:ascii="Calibri" w:hAnsi="Calibri" w:cs="Calibri"/>
          <w:color w:val="000000" w:themeColor="text1"/>
        </w:rPr>
        <w:t xml:space="preserve">in the </w:t>
      </w:r>
      <w:r>
        <w:rPr>
          <w:rFonts w:ascii="Calibri" w:hAnsi="Calibri" w:cs="Calibri"/>
          <w:color w:val="000000" w:themeColor="text1"/>
        </w:rPr>
        <w:t>Australian context</w:t>
      </w:r>
      <w:r w:rsidRPr="009171D2">
        <w:rPr>
          <w:rFonts w:ascii="Calibri" w:hAnsi="Calibri" w:cs="Calibri"/>
          <w:color w:val="000000" w:themeColor="text1"/>
        </w:rPr>
        <w:t xml:space="preserve">. </w:t>
      </w:r>
    </w:p>
    <w:p w14:paraId="311CEC3C" w14:textId="3A1F88A6" w:rsidR="006E535E" w:rsidRDefault="006E535E" w:rsidP="00FD0719">
      <w:pPr>
        <w:jc w:val="both"/>
        <w:rPr>
          <w:rFonts w:ascii="Calibri" w:hAnsi="Calibri" w:cs="Calibri"/>
          <w:color w:val="000000" w:themeColor="text1"/>
        </w:rPr>
      </w:pPr>
      <w:r>
        <w:rPr>
          <w:rFonts w:ascii="Calibri" w:hAnsi="Calibri" w:cs="Calibri"/>
          <w:color w:val="000000" w:themeColor="text1"/>
        </w:rPr>
        <w:t>ACCAN does however recommend that any adopted changes to these default settings pay particular attention to any potential implications on accessibility and usability for end-users with disability or end</w:t>
      </w:r>
      <w:r w:rsidR="00EA0B35">
        <w:rPr>
          <w:rFonts w:ascii="Calibri" w:hAnsi="Calibri" w:cs="Calibri"/>
          <w:color w:val="000000" w:themeColor="text1"/>
        </w:rPr>
        <w:t>-</w:t>
      </w:r>
      <w:r>
        <w:rPr>
          <w:rFonts w:ascii="Calibri" w:hAnsi="Calibri" w:cs="Calibri"/>
          <w:color w:val="000000" w:themeColor="text1"/>
        </w:rPr>
        <w:t>users with low digital literacy skills and confidence.</w:t>
      </w:r>
    </w:p>
    <w:p w14:paraId="2C96B568" w14:textId="7653ABC0" w:rsidR="006E535E" w:rsidRPr="006E535E" w:rsidRDefault="006E535E" w:rsidP="00FD0719">
      <w:pPr>
        <w:jc w:val="both"/>
        <w:rPr>
          <w:rFonts w:ascii="Calibri" w:hAnsi="Calibri" w:cs="Calibri"/>
          <w:color w:val="000000" w:themeColor="text1"/>
        </w:rPr>
      </w:pPr>
      <w:r>
        <w:rPr>
          <w:rFonts w:ascii="Calibri" w:hAnsi="Calibri" w:cs="Calibri"/>
          <w:color w:val="000000" w:themeColor="text1"/>
        </w:rPr>
        <w:t>ACCAN makes the following comments to the discussion paper questions which fall into ACCAN</w:t>
      </w:r>
      <w:r w:rsidR="00EA0B35">
        <w:rPr>
          <w:rFonts w:ascii="Calibri" w:hAnsi="Calibri" w:cs="Calibri"/>
          <w:color w:val="000000" w:themeColor="text1"/>
        </w:rPr>
        <w:t>’</w:t>
      </w:r>
      <w:r>
        <w:rPr>
          <w:rFonts w:ascii="Calibri" w:hAnsi="Calibri" w:cs="Calibri"/>
          <w:color w:val="000000" w:themeColor="text1"/>
        </w:rPr>
        <w:t>s area of expertise.</w:t>
      </w:r>
    </w:p>
    <w:p w14:paraId="2CBA2BFA" w14:textId="77777777" w:rsidR="006E535E" w:rsidRPr="0073677F" w:rsidRDefault="006E535E" w:rsidP="00FD0719">
      <w:pPr>
        <w:jc w:val="both"/>
        <w:rPr>
          <w:rFonts w:ascii="Calibri" w:hAnsi="Calibri" w:cs="Calibri"/>
          <w:b/>
          <w:bCs/>
          <w:lang w:val="en-US"/>
        </w:rPr>
      </w:pPr>
      <w:r w:rsidRPr="0073677F">
        <w:rPr>
          <w:b/>
          <w:bCs/>
        </w:rPr>
        <w:t>The impact of pre-installation and default settings on consumer choice and competition particularly in relation to online search and browsers.</w:t>
      </w:r>
    </w:p>
    <w:p w14:paraId="2A82FBF9" w14:textId="3AA63BB0" w:rsidR="00EA0B35" w:rsidRDefault="006E535E" w:rsidP="00EA0B35">
      <w:pPr>
        <w:jc w:val="both"/>
      </w:pPr>
      <w:r>
        <w:t xml:space="preserve">Most </w:t>
      </w:r>
      <w:r w:rsidR="00EA0B35">
        <w:t>c</w:t>
      </w:r>
      <w:r w:rsidRPr="00731E5F">
        <w:t xml:space="preserve">onsumers </w:t>
      </w:r>
      <w:r>
        <w:t xml:space="preserve">are </w:t>
      </w:r>
      <w:r w:rsidRPr="00731E5F">
        <w:t>more likely to use the browser pre-installed on their devices</w:t>
      </w:r>
      <w:r>
        <w:t xml:space="preserve">. </w:t>
      </w:r>
      <w:proofErr w:type="gramStart"/>
      <w:r>
        <w:t>A number of</w:t>
      </w:r>
      <w:proofErr w:type="gramEnd"/>
      <w:r>
        <w:t xml:space="preserve"> factors play a role in this – consumer inertia, lack of knowledge about alternative options, lack of digital skills and/or confidence to change to another browser and the lack of understanding of the various browser </w:t>
      </w:r>
      <w:r>
        <w:lastRenderedPageBreak/>
        <w:t xml:space="preserve">options. </w:t>
      </w:r>
      <w:r w:rsidRPr="00731E5F">
        <w:t xml:space="preserve">This </w:t>
      </w:r>
      <w:r>
        <w:t>can often be the case</w:t>
      </w:r>
      <w:r w:rsidRPr="00731E5F">
        <w:t xml:space="preserve"> for consumers with disabilities </w:t>
      </w:r>
      <w:r>
        <w:t>for whom</w:t>
      </w:r>
      <w:r w:rsidRPr="00731E5F">
        <w:t xml:space="preserve"> switching from defaults</w:t>
      </w:r>
      <w:r>
        <w:t xml:space="preserve"> is more difficult</w:t>
      </w:r>
      <w:r w:rsidRPr="00731E5F">
        <w:t>.</w:t>
      </w:r>
    </w:p>
    <w:p w14:paraId="167D777F" w14:textId="63D2D6B0" w:rsidR="006E535E" w:rsidRDefault="006E535E" w:rsidP="008611A1">
      <w:pPr>
        <w:ind w:right="-2"/>
        <w:rPr>
          <w:b/>
          <w:bCs/>
        </w:rPr>
      </w:pPr>
      <w:r w:rsidRPr="00A7492A">
        <w:rPr>
          <w:b/>
          <w:bCs/>
        </w:rPr>
        <w:t xml:space="preserve">The extent to which existing consumer harm can arise from the design of default </w:t>
      </w:r>
      <w:r w:rsidRPr="0073677F">
        <w:rPr>
          <w:b/>
          <w:bCs/>
        </w:rPr>
        <w:t xml:space="preserve">arrangements. </w:t>
      </w:r>
    </w:p>
    <w:p w14:paraId="5E3AEE68" w14:textId="77777777" w:rsidR="00EA0B35" w:rsidRDefault="006E535E" w:rsidP="009D32F9">
      <w:pPr>
        <w:jc w:val="both"/>
      </w:pPr>
      <w:r w:rsidRPr="00BA4CB9">
        <w:t>Consumer harm</w:t>
      </w:r>
      <w:r>
        <w:t>s that can arise from default browser settings include:</w:t>
      </w:r>
    </w:p>
    <w:p w14:paraId="6B97CD1F" w14:textId="77777777" w:rsidR="00EA0B35" w:rsidRDefault="006E535E" w:rsidP="008029E9">
      <w:pPr>
        <w:pStyle w:val="ListParagraph"/>
        <w:numPr>
          <w:ilvl w:val="0"/>
          <w:numId w:val="4"/>
        </w:numPr>
        <w:ind w:left="284" w:hanging="284"/>
        <w:jc w:val="both"/>
      </w:pPr>
      <w:r w:rsidRPr="00BA4CB9">
        <w:t>data collection</w:t>
      </w:r>
      <w:r>
        <w:t xml:space="preserve"> for the purposes of targeted </w:t>
      </w:r>
      <w:proofErr w:type="gramStart"/>
      <w:r>
        <w:t>advertising;</w:t>
      </w:r>
      <w:proofErr w:type="gramEnd"/>
    </w:p>
    <w:p w14:paraId="0662069B" w14:textId="77777777" w:rsidR="00EA0B35" w:rsidRDefault="006E535E" w:rsidP="008029E9">
      <w:pPr>
        <w:pStyle w:val="ListParagraph"/>
        <w:numPr>
          <w:ilvl w:val="0"/>
          <w:numId w:val="4"/>
        </w:numPr>
        <w:ind w:left="284" w:hanging="284"/>
        <w:jc w:val="both"/>
      </w:pPr>
      <w:r>
        <w:t xml:space="preserve">potential </w:t>
      </w:r>
      <w:r w:rsidRPr="00BA4CB9">
        <w:t>security</w:t>
      </w:r>
      <w:r>
        <w:t xml:space="preserve"> and </w:t>
      </w:r>
      <w:r w:rsidRPr="00BA4CB9">
        <w:t>privacy</w:t>
      </w:r>
      <w:r>
        <w:t xml:space="preserve"> threats posed by insecure storage of </w:t>
      </w:r>
      <w:proofErr w:type="gramStart"/>
      <w:r>
        <w:t>data;</w:t>
      </w:r>
      <w:proofErr w:type="gramEnd"/>
    </w:p>
    <w:p w14:paraId="433E00F7" w14:textId="77777777" w:rsidR="00EA0B35" w:rsidRDefault="006E535E" w:rsidP="008029E9">
      <w:pPr>
        <w:pStyle w:val="ListParagraph"/>
        <w:numPr>
          <w:ilvl w:val="0"/>
          <w:numId w:val="4"/>
        </w:numPr>
        <w:ind w:left="284" w:hanging="284"/>
        <w:jc w:val="both"/>
      </w:pPr>
      <w:r w:rsidRPr="00BA4CB9">
        <w:t>choice limitation</w:t>
      </w:r>
      <w:r>
        <w:t xml:space="preserve"> restricted due to result rankings on search </w:t>
      </w:r>
      <w:proofErr w:type="gramStart"/>
      <w:r>
        <w:t>engines;</w:t>
      </w:r>
      <w:proofErr w:type="gramEnd"/>
    </w:p>
    <w:p w14:paraId="198C3197" w14:textId="2EA32137" w:rsidR="006E535E" w:rsidRDefault="006E535E" w:rsidP="008029E9">
      <w:pPr>
        <w:pStyle w:val="ListParagraph"/>
        <w:numPr>
          <w:ilvl w:val="0"/>
          <w:numId w:val="4"/>
        </w:numPr>
        <w:ind w:left="284" w:hanging="284"/>
        <w:jc w:val="both"/>
      </w:pPr>
      <w:r>
        <w:t xml:space="preserve">limited </w:t>
      </w:r>
      <w:r w:rsidRPr="00BA4CB9">
        <w:t>quality of consumer information</w:t>
      </w:r>
      <w:r>
        <w:t xml:space="preserve"> available.</w:t>
      </w:r>
    </w:p>
    <w:p w14:paraId="52D794DD" w14:textId="75B674A9" w:rsidR="006E535E" w:rsidRPr="00552BF4" w:rsidRDefault="006E535E" w:rsidP="009D32F9">
      <w:pPr>
        <w:jc w:val="both"/>
        <w:rPr>
          <w:sz w:val="8"/>
          <w:szCs w:val="8"/>
        </w:rPr>
      </w:pPr>
      <w:r w:rsidRPr="00BA4CB9">
        <w:t>Browsers have gained strategic importance as they have become the gateway to an enormous range of online services both for businesses and consumers.</w:t>
      </w:r>
      <w:r>
        <w:rPr>
          <w:rStyle w:val="FootnoteReference"/>
        </w:rPr>
        <w:footnoteReference w:id="1"/>
      </w:r>
      <w:r w:rsidRPr="00BA4CB9">
        <w:t xml:space="preserve"> </w:t>
      </w:r>
    </w:p>
    <w:p w14:paraId="3376B17C" w14:textId="77777777" w:rsidR="006E535E" w:rsidRPr="00A7492A" w:rsidRDefault="006E535E" w:rsidP="00FD0719">
      <w:pPr>
        <w:jc w:val="both"/>
        <w:rPr>
          <w:b/>
          <w:bCs/>
        </w:rPr>
      </w:pPr>
      <w:r w:rsidRPr="00A7492A">
        <w:rPr>
          <w:b/>
          <w:bCs/>
        </w:rPr>
        <w:t xml:space="preserve">The effectiveness of Google’s choice screen rolls out in Europe and whether it is fit for purpose within Australia. </w:t>
      </w:r>
    </w:p>
    <w:p w14:paraId="37C32587" w14:textId="7478C143" w:rsidR="006E535E" w:rsidRDefault="006E535E" w:rsidP="009D32F9">
      <w:pPr>
        <w:jc w:val="both"/>
      </w:pPr>
      <w:r>
        <w:t xml:space="preserve">As highlighted in the discussion paper, in </w:t>
      </w:r>
      <w:r w:rsidRPr="000215C1">
        <w:t>aggregate across Europe, Google’s market share in the supply of search services has not changed significantly since the introduction of choice screens</w:t>
      </w:r>
      <w:r>
        <w:t xml:space="preserve">. </w:t>
      </w:r>
      <w:r w:rsidRPr="000215C1">
        <w:t>In January 2020, Google’s share was estimated to be at 93.88 per cent and by January 2021 it was at 93.11 per cent</w:t>
      </w:r>
      <w:r>
        <w:t>.</w:t>
      </w:r>
      <w:r w:rsidR="00E71C32">
        <w:t xml:space="preserve"> </w:t>
      </w:r>
      <w:r>
        <w:t xml:space="preserve">Furthermore, </w:t>
      </w:r>
      <w:r w:rsidRPr="000215C1">
        <w:t xml:space="preserve">DuckDuckGo </w:t>
      </w:r>
      <w:proofErr w:type="gramStart"/>
      <w:r w:rsidRPr="000215C1">
        <w:t>stated</w:t>
      </w:r>
      <w:proofErr w:type="gramEnd"/>
      <w:r w:rsidRPr="000215C1">
        <w:t xml:space="preserve"> that it was not featured on the choice screen in the third round of auctions for any country in Europe because it was ‘priced out of this auction’.</w:t>
      </w:r>
      <w:r>
        <w:t xml:space="preserve"> </w:t>
      </w:r>
    </w:p>
    <w:p w14:paraId="50C02E4C" w14:textId="0F063487" w:rsidR="006E535E" w:rsidRPr="006E535E" w:rsidRDefault="006E535E" w:rsidP="009D32F9">
      <w:pPr>
        <w:jc w:val="both"/>
        <w:rPr>
          <w:color w:val="0000FF" w:themeColor="hyperlink"/>
          <w:u w:val="single"/>
        </w:rPr>
      </w:pPr>
      <w:r>
        <w:t xml:space="preserve">ACCAN therefore questions whether the existing Google Choice Screen </w:t>
      </w:r>
      <w:proofErr w:type="gramStart"/>
      <w:r>
        <w:t>provides</w:t>
      </w:r>
      <w:proofErr w:type="gramEnd"/>
      <w:r>
        <w:t xml:space="preserve"> the appropriate level of consumer choice desired in the Australian context. ACCAN recommends that the ACCC consider the 2009 EU ruling for Microsoft to </w:t>
      </w:r>
      <w:proofErr w:type="gramStart"/>
      <w:r>
        <w:t>provide</w:t>
      </w:r>
      <w:proofErr w:type="gramEnd"/>
      <w:r>
        <w:t xml:space="preserve"> a choice screen as a more useful template to indicate long-term impacts on consumer choice preferences.</w:t>
      </w:r>
      <w:r>
        <w:rPr>
          <w:rStyle w:val="FootnoteReference"/>
        </w:rPr>
        <w:footnoteReference w:id="2"/>
      </w:r>
      <w:r>
        <w:t xml:space="preserve"> </w:t>
      </w:r>
    </w:p>
    <w:p w14:paraId="77BCEBCD" w14:textId="77777777" w:rsidR="006E535E" w:rsidRPr="00BD14ED" w:rsidRDefault="006E535E" w:rsidP="00FD0719">
      <w:pPr>
        <w:jc w:val="both"/>
        <w:rPr>
          <w:rFonts w:ascii="Calibri" w:hAnsi="Calibri" w:cs="Calibri"/>
          <w:b/>
          <w:bCs/>
          <w:lang w:val="en-US"/>
        </w:rPr>
      </w:pPr>
      <w:r w:rsidRPr="00BD14ED">
        <w:rPr>
          <w:b/>
          <w:bCs/>
        </w:rPr>
        <w:t xml:space="preserve">Whether there are any proposals, other than choice screens, that may </w:t>
      </w:r>
      <w:proofErr w:type="gramStart"/>
      <w:r w:rsidRPr="00BD14ED">
        <w:rPr>
          <w:b/>
          <w:bCs/>
        </w:rPr>
        <w:t>facilitate</w:t>
      </w:r>
      <w:proofErr w:type="gramEnd"/>
      <w:r w:rsidRPr="00BD14ED">
        <w:rPr>
          <w:b/>
          <w:bCs/>
        </w:rPr>
        <w:t xml:space="preserve"> competition and improve consumer choice in the supply of general search services and browsers in Australia.</w:t>
      </w:r>
    </w:p>
    <w:p w14:paraId="152B6E03" w14:textId="77777777" w:rsidR="008029E9" w:rsidRDefault="006E535E" w:rsidP="008029E9">
      <w:pPr>
        <w:jc w:val="both"/>
      </w:pPr>
      <w:r>
        <w:t xml:space="preserve">Other proposals that may </w:t>
      </w:r>
      <w:proofErr w:type="gramStart"/>
      <w:r>
        <w:t>facilitate</w:t>
      </w:r>
      <w:proofErr w:type="gramEnd"/>
      <w:r>
        <w:t xml:space="preserve"> competition and improve consumer choice in the supply of general search services and browsers in Australia are:</w:t>
      </w:r>
    </w:p>
    <w:p w14:paraId="4AAA6852" w14:textId="6D91EF4C" w:rsidR="006E535E" w:rsidRPr="00200F6C" w:rsidRDefault="006E535E" w:rsidP="00C074FF">
      <w:pPr>
        <w:pStyle w:val="ListParagraph"/>
        <w:numPr>
          <w:ilvl w:val="0"/>
          <w:numId w:val="1"/>
        </w:numPr>
        <w:ind w:left="284" w:hanging="284"/>
        <w:jc w:val="both"/>
      </w:pPr>
      <w:r w:rsidRPr="00200F6C">
        <w:t>Accessible education to properly inform consumers at the point of selection about the benefits and limitations of the browsers on offer.</w:t>
      </w:r>
    </w:p>
    <w:p w14:paraId="6473FEB7" w14:textId="77777777" w:rsidR="008165AB" w:rsidRDefault="006E535E" w:rsidP="00C074FF">
      <w:pPr>
        <w:pStyle w:val="ListParagraph"/>
        <w:numPr>
          <w:ilvl w:val="0"/>
          <w:numId w:val="1"/>
        </w:numPr>
        <w:spacing w:after="0" w:line="276" w:lineRule="auto"/>
        <w:ind w:left="284" w:hanging="284"/>
        <w:jc w:val="both"/>
      </w:pPr>
      <w:r>
        <w:t xml:space="preserve">Adopting the </w:t>
      </w:r>
      <w:r w:rsidRPr="00200F6C">
        <w:t>'</w:t>
      </w:r>
      <w:r w:rsidR="006969AE">
        <w:t>d</w:t>
      </w:r>
      <w:r w:rsidRPr="00200F6C">
        <w:t>emand side' and 'supply side' interventions recommended in the UK Competition and Markets Authority (CMA) report on online platforms and digital advertising:</w:t>
      </w:r>
      <w:r>
        <w:rPr>
          <w:rStyle w:val="FootnoteReference"/>
        </w:rPr>
        <w:footnoteReference w:id="3"/>
      </w:r>
    </w:p>
    <w:p w14:paraId="67DFF423" w14:textId="77777777" w:rsidR="008165AB" w:rsidRDefault="006E535E" w:rsidP="00F2001D">
      <w:pPr>
        <w:pStyle w:val="ListParagraph"/>
        <w:numPr>
          <w:ilvl w:val="1"/>
          <w:numId w:val="1"/>
        </w:numPr>
        <w:spacing w:after="0" w:line="276" w:lineRule="auto"/>
        <w:jc w:val="both"/>
      </w:pPr>
      <w:r w:rsidRPr="00A52A12">
        <w:t xml:space="preserve">restrictions on search engines from acquiring default </w:t>
      </w:r>
      <w:proofErr w:type="gramStart"/>
      <w:r w:rsidRPr="00A52A12">
        <w:t>positions;</w:t>
      </w:r>
      <w:proofErr w:type="gramEnd"/>
    </w:p>
    <w:p w14:paraId="6A8A287E" w14:textId="77777777" w:rsidR="008165AB" w:rsidRDefault="006E535E" w:rsidP="00F2001D">
      <w:pPr>
        <w:pStyle w:val="ListParagraph"/>
        <w:numPr>
          <w:ilvl w:val="1"/>
          <w:numId w:val="1"/>
        </w:numPr>
        <w:spacing w:after="0" w:line="276" w:lineRule="auto"/>
        <w:jc w:val="both"/>
      </w:pPr>
      <w:r w:rsidRPr="00A52A12">
        <w:lastRenderedPageBreak/>
        <w:t xml:space="preserve">restrictions on device manufacturers and browsers from monetising their products through default </w:t>
      </w:r>
      <w:proofErr w:type="gramStart"/>
      <w:r w:rsidRPr="00A52A12">
        <w:t>payments;</w:t>
      </w:r>
      <w:proofErr w:type="gramEnd"/>
    </w:p>
    <w:p w14:paraId="2320272A" w14:textId="77777777" w:rsidR="008165AB" w:rsidRDefault="006E535E" w:rsidP="00F2001D">
      <w:pPr>
        <w:pStyle w:val="ListParagraph"/>
        <w:numPr>
          <w:ilvl w:val="1"/>
          <w:numId w:val="1"/>
        </w:numPr>
        <w:spacing w:after="0" w:line="276" w:lineRule="auto"/>
        <w:jc w:val="both"/>
      </w:pPr>
      <w:r w:rsidRPr="00A52A12">
        <w:t>requiring Google to provide third party search service providers with access to their click and que</w:t>
      </w:r>
      <w:r>
        <w:t>r</w:t>
      </w:r>
      <w:r w:rsidRPr="00A52A12">
        <w:t xml:space="preserve">y </w:t>
      </w:r>
      <w:proofErr w:type="gramStart"/>
      <w:r w:rsidRPr="00A52A12">
        <w:t>data</w:t>
      </w:r>
      <w:r>
        <w:t>;</w:t>
      </w:r>
      <w:proofErr w:type="gramEnd"/>
    </w:p>
    <w:p w14:paraId="04405886" w14:textId="5D808B0C" w:rsidR="006E535E" w:rsidRPr="008165AB" w:rsidRDefault="006E535E" w:rsidP="008611A1">
      <w:pPr>
        <w:pStyle w:val="ListParagraph"/>
        <w:numPr>
          <w:ilvl w:val="1"/>
          <w:numId w:val="1"/>
        </w:numPr>
        <w:spacing w:line="276" w:lineRule="auto"/>
        <w:ind w:right="-2"/>
        <w:jc w:val="both"/>
      </w:pPr>
      <w:r w:rsidRPr="00996D90">
        <w:t xml:space="preserve">mandating Google and Bing to </w:t>
      </w:r>
      <w:proofErr w:type="gramStart"/>
      <w:r w:rsidRPr="00996D90">
        <w:t>provide</w:t>
      </w:r>
      <w:proofErr w:type="gramEnd"/>
      <w:r w:rsidRPr="00996D90">
        <w:t xml:space="preserve"> syndicated search results on fair, reasonable and non-discriminatory terms when syndicating to smaller search engines.</w:t>
      </w:r>
    </w:p>
    <w:p w14:paraId="5398AB29" w14:textId="16ACB983" w:rsidR="006E535E" w:rsidRPr="002179C4" w:rsidRDefault="006E535E" w:rsidP="00F2001D">
      <w:pPr>
        <w:jc w:val="both"/>
        <w:rPr>
          <w:rFonts w:ascii="Calibri" w:hAnsi="Calibri" w:cs="Calibri"/>
          <w:color w:val="000000" w:themeColor="text1"/>
        </w:rPr>
      </w:pPr>
      <w:r w:rsidRPr="002179C4">
        <w:rPr>
          <w:rFonts w:ascii="Calibri" w:hAnsi="Calibri" w:cs="Calibri"/>
          <w:color w:val="000000" w:themeColor="text1"/>
        </w:rPr>
        <w:t xml:space="preserve">Thank you for considering ACCAN’s position on </w:t>
      </w:r>
      <w:r>
        <w:rPr>
          <w:rFonts w:ascii="Calibri" w:hAnsi="Calibri" w:cs="Calibri"/>
          <w:color w:val="000000" w:themeColor="text1"/>
        </w:rPr>
        <w:t>this important issue</w:t>
      </w:r>
      <w:r w:rsidRPr="002179C4">
        <w:rPr>
          <w:rFonts w:ascii="Calibri" w:hAnsi="Calibri" w:cs="Calibri"/>
          <w:color w:val="000000" w:themeColor="text1"/>
        </w:rPr>
        <w:t xml:space="preserve">. Should you wish to discuss this submission further please do not hesitate to get in contact. </w:t>
      </w:r>
    </w:p>
    <w:p w14:paraId="22EB1605" w14:textId="7B55906F" w:rsidR="006E535E" w:rsidRDefault="006E535E" w:rsidP="00FD0719">
      <w:pPr>
        <w:jc w:val="both"/>
        <w:rPr>
          <w:rFonts w:ascii="Calibri" w:hAnsi="Calibri" w:cs="Calibri"/>
          <w:color w:val="000000" w:themeColor="text1"/>
        </w:rPr>
      </w:pPr>
      <w:r w:rsidRPr="002179C4">
        <w:rPr>
          <w:rFonts w:ascii="Calibri" w:hAnsi="Calibri" w:cs="Calibri"/>
          <w:color w:val="000000" w:themeColor="text1"/>
        </w:rPr>
        <w:t>Yours sincerely,</w:t>
      </w:r>
    </w:p>
    <w:p w14:paraId="1C92E33A" w14:textId="77777777" w:rsidR="006E535E" w:rsidRDefault="006E535E" w:rsidP="00FD0719">
      <w:pPr>
        <w:rPr>
          <w:rFonts w:ascii="Calibri" w:hAnsi="Calibri" w:cs="Calibri"/>
          <w:color w:val="000000" w:themeColor="text1"/>
        </w:rPr>
      </w:pPr>
    </w:p>
    <w:p w14:paraId="1D9F21CC" w14:textId="673FDED8" w:rsidR="00C73186" w:rsidRPr="006E535E" w:rsidRDefault="006E535E" w:rsidP="00FD0719">
      <w:pPr>
        <w:rPr>
          <w:rFonts w:ascii="Calibri" w:hAnsi="Calibri" w:cs="Calibri"/>
          <w:color w:val="000000" w:themeColor="text1"/>
        </w:rPr>
      </w:pPr>
      <w:r>
        <w:rPr>
          <w:rFonts w:ascii="Calibri" w:hAnsi="Calibri" w:cs="Calibri"/>
          <w:color w:val="000000" w:themeColor="text1"/>
        </w:rPr>
        <w:t xml:space="preserve">Wayne Hawkins  </w:t>
      </w:r>
      <w:r>
        <w:rPr>
          <w:rFonts w:ascii="Calibri" w:hAnsi="Calibri" w:cs="Calibri"/>
          <w:color w:val="000000" w:themeColor="text1"/>
        </w:rPr>
        <w:br/>
        <w:t xml:space="preserve">Director of Inclusion </w:t>
      </w:r>
    </w:p>
    <w:sectPr w:rsidR="00C73186" w:rsidRPr="006E535E" w:rsidSect="008611A1">
      <w:headerReference w:type="default" r:id="rId11"/>
      <w:footerReference w:type="default" r:id="rId12"/>
      <w:headerReference w:type="first" r:id="rId13"/>
      <w:footerReference w:type="first" r:id="rId14"/>
      <w:pgSz w:w="11906" w:h="16838"/>
      <w:pgMar w:top="1985" w:right="1418" w:bottom="21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B341" w14:textId="77777777" w:rsidR="00174EB3" w:rsidRDefault="00174EB3" w:rsidP="0082329E">
      <w:pPr>
        <w:spacing w:after="0" w:line="240" w:lineRule="auto"/>
      </w:pPr>
      <w:r>
        <w:separator/>
      </w:r>
    </w:p>
  </w:endnote>
  <w:endnote w:type="continuationSeparator" w:id="0">
    <w:p w14:paraId="1BFF7CE9" w14:textId="77777777" w:rsidR="00174EB3" w:rsidRDefault="00174EB3"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5A11"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970C95">
      <w:rPr>
        <w:noProof/>
      </w:rPr>
      <w:t>2</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7DD" w14:textId="77777777" w:rsidR="0082329E" w:rsidRDefault="0082329E">
    <w:pPr>
      <w:pStyle w:val="Footer"/>
    </w:pPr>
    <w:r>
      <w:rPr>
        <w:noProof/>
      </w:rPr>
      <mc:AlternateContent>
        <mc:Choice Requires="wpg">
          <w:drawing>
            <wp:anchor distT="0" distB="0" distL="114300" distR="114300" simplePos="0" relativeHeight="251658752" behindDoc="1" locked="0" layoutInCell="1" allowOverlap="1" wp14:anchorId="077D5FAC" wp14:editId="77927B92">
              <wp:simplePos x="0" y="0"/>
              <wp:positionH relativeFrom="column">
                <wp:posOffset>-288925</wp:posOffset>
              </wp:positionH>
              <wp:positionV relativeFrom="paragraph">
                <wp:posOffset>-717940</wp:posOffset>
              </wp:positionV>
              <wp:extent cx="6971664" cy="1473199"/>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7DF0EF57" w14:textId="77777777" w:rsidR="0082329E" w:rsidRPr="00E05115" w:rsidRDefault="0082329E" w:rsidP="0082329E">
                            <w:pPr>
                              <w:spacing w:after="0"/>
                              <w:rPr>
                                <w:color w:val="23B0E6"/>
                              </w:rPr>
                            </w:pPr>
                            <w:r w:rsidRPr="00E05115">
                              <w:rPr>
                                <w:color w:val="23B0E6"/>
                              </w:rPr>
                              <w:t>Australian Communications Consumer Action Network (ACCAN)</w:t>
                            </w:r>
                          </w:p>
                          <w:p w14:paraId="1F1AD744" w14:textId="77777777"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14:paraId="63C10C84" w14:textId="77777777" w:rsidR="0082329E" w:rsidRPr="00E05115" w:rsidRDefault="0082329E" w:rsidP="0082329E">
                            <w:pPr>
                              <w:spacing w:after="0"/>
                              <w:rPr>
                                <w:i/>
                                <w:color w:val="23B0E6"/>
                              </w:rPr>
                            </w:pPr>
                          </w:p>
                          <w:p w14:paraId="000A025E" w14:textId="77777777" w:rsidR="0082329E" w:rsidRDefault="0082329E" w:rsidP="0082329E">
                            <w:pPr>
                              <w:spacing w:after="0"/>
                            </w:pPr>
                            <w:r>
                              <w:t>PO Box 639, Broadway NSW 2007</w:t>
                            </w:r>
                          </w:p>
                          <w:p w14:paraId="1B097E88" w14:textId="77777777" w:rsidR="0082329E" w:rsidRDefault="0082329E" w:rsidP="0082329E">
                            <w:pPr>
                              <w:spacing w:after="0"/>
                            </w:pPr>
                            <w:r>
                              <w:t xml:space="preserve">Tel: (02) 9288 4000 | Fax: (02) 9288 4019 | Contact us through the </w:t>
                            </w:r>
                            <w:hyperlink r:id="rId1" w:history="1">
                              <w:r w:rsidRPr="00FE6EAF">
                                <w:rPr>
                                  <w:rStyle w:val="Hyperlink"/>
                                </w:rPr>
                                <w:t>National Relay Service</w:t>
                              </w:r>
                            </w:hyperlink>
                          </w:p>
                          <w:p w14:paraId="5647EB97" w14:textId="77777777"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7D5FAC" id="Group 3" o:spid="_x0000_s1026" alt="&quot;&quot;" style="position:absolute;margin-left:-22.75pt;margin-top:-56.55pt;width:548.95pt;height:116pt;z-index:-25165772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TkyqTeIAAAANAQAADwAAAGRycy9kb3ducmV2LnhtbEyPwWrCQBCG74W+wzKF3nSzaoqm&#10;2YhI25MUqoXibUzGJJidDdk1iW/f9dTe/mE+/vkmXY+mET11rrasQU0jEMS5LWouNXwf3idLEM4j&#10;F9hYJg03crDOHh9STAo78Bf1e1+KUMIuQQ2V920ipcsrMuimtiUOu7PtDPowdqUsOhxCuWnkLIpe&#10;pMGaw4UKW9pWlF/2V6PhY8BhM1dv/e5y3t6Oh/jzZ6dI6+encfMKwtPo/2C46wd1yILTyV65cKLR&#10;MFnEcUBDUGquQNyRKJ4tQJxCUssVyCyV/7/IfgEAAP//AwBQSwECLQAUAAYACAAAACEAtoM4kv4A&#10;AADhAQAAEwAAAAAAAAAAAAAAAAAAAAAAW0NvbnRlbnRfVHlwZXNdLnhtbFBLAQItABQABgAIAAAA&#10;IQA4/SH/1gAAAJQBAAALAAAAAAAAAAAAAAAAAC8BAABfcmVscy8ucmVsc1BLAQItABQABgAIAAAA&#10;IQBm72HPLwMAAMAHAAAOAAAAAAAAAAAAAAAAAC4CAABkcnMvZTJvRG9jLnhtbFBLAQItABQABgAI&#10;AAAAIQBOTKpN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DF0EF57" w14:textId="77777777" w:rsidR="0082329E" w:rsidRPr="00E05115" w:rsidRDefault="0082329E" w:rsidP="0082329E">
                      <w:pPr>
                        <w:spacing w:after="0"/>
                        <w:rPr>
                          <w:color w:val="23B0E6"/>
                        </w:rPr>
                      </w:pPr>
                      <w:r w:rsidRPr="00E05115">
                        <w:rPr>
                          <w:color w:val="23B0E6"/>
                        </w:rPr>
                        <w:t>Australian Communications Consumer Action Network (ACCAN)</w:t>
                      </w:r>
                    </w:p>
                    <w:p w14:paraId="1F1AD744" w14:textId="77777777"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14:paraId="63C10C84" w14:textId="77777777" w:rsidR="0082329E" w:rsidRPr="00E05115" w:rsidRDefault="0082329E" w:rsidP="0082329E">
                      <w:pPr>
                        <w:spacing w:after="0"/>
                        <w:rPr>
                          <w:i/>
                          <w:color w:val="23B0E6"/>
                        </w:rPr>
                      </w:pPr>
                    </w:p>
                    <w:p w14:paraId="000A025E" w14:textId="77777777" w:rsidR="0082329E" w:rsidRDefault="0082329E" w:rsidP="0082329E">
                      <w:pPr>
                        <w:spacing w:after="0"/>
                      </w:pPr>
                      <w:r>
                        <w:t>PO Box 639, Broadway NSW 2007</w:t>
                      </w:r>
                    </w:p>
                    <w:p w14:paraId="1B097E88" w14:textId="77777777" w:rsidR="0082329E" w:rsidRDefault="0082329E" w:rsidP="0082329E">
                      <w:pPr>
                        <w:spacing w:after="0"/>
                      </w:pPr>
                      <w:r>
                        <w:t xml:space="preserve">Tel: (02) 9288 4000 | Fax: (02) 9288 4019 | Contact us through the </w:t>
                      </w:r>
                      <w:hyperlink r:id="rId2" w:history="1">
                        <w:r w:rsidRPr="00FE6EAF">
                          <w:rPr>
                            <w:rStyle w:val="Hyperlink"/>
                          </w:rPr>
                          <w:t>National Relay Service</w:t>
                        </w:r>
                      </w:hyperlink>
                    </w:p>
                    <w:p w14:paraId="5647EB97" w14:textId="77777777"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E9F4" w14:textId="77777777" w:rsidR="00174EB3" w:rsidRDefault="00174EB3" w:rsidP="0082329E">
      <w:pPr>
        <w:spacing w:after="0" w:line="240" w:lineRule="auto"/>
      </w:pPr>
      <w:r>
        <w:separator/>
      </w:r>
    </w:p>
  </w:footnote>
  <w:footnote w:type="continuationSeparator" w:id="0">
    <w:p w14:paraId="1D3B2175" w14:textId="77777777" w:rsidR="00174EB3" w:rsidRDefault="00174EB3" w:rsidP="0082329E">
      <w:pPr>
        <w:spacing w:after="0" w:line="240" w:lineRule="auto"/>
      </w:pPr>
      <w:r>
        <w:continuationSeparator/>
      </w:r>
    </w:p>
  </w:footnote>
  <w:footnote w:id="1">
    <w:p w14:paraId="2B7FA0B1" w14:textId="431B0F6B" w:rsidR="006E535E" w:rsidRPr="00923012" w:rsidRDefault="006E535E" w:rsidP="00B33AB3">
      <w:pPr>
        <w:spacing w:after="0"/>
        <w:rPr>
          <w:sz w:val="18"/>
          <w:szCs w:val="18"/>
        </w:rPr>
      </w:pPr>
      <w:r w:rsidRPr="00923012">
        <w:rPr>
          <w:rStyle w:val="FootnoteReference"/>
          <w:sz w:val="18"/>
          <w:szCs w:val="18"/>
        </w:rPr>
        <w:footnoteRef/>
      </w:r>
      <w:r w:rsidRPr="00923012">
        <w:rPr>
          <w:sz w:val="18"/>
          <w:szCs w:val="18"/>
        </w:rPr>
        <w:t xml:space="preserve"> See: </w:t>
      </w:r>
      <w:hyperlink r:id="rId1" w:history="1">
        <w:r w:rsidRPr="00923012">
          <w:rPr>
            <w:rStyle w:val="Hyperlink"/>
            <w:sz w:val="18"/>
            <w:szCs w:val="18"/>
          </w:rPr>
          <w:t>www.cnbc.com/2019/06/07/how-google-facebook-amazon-and-apple-faced-eu-tech-antitrust-rules.html</w:t>
        </w:r>
      </w:hyperlink>
      <w:r w:rsidRPr="00923012">
        <w:rPr>
          <w:sz w:val="18"/>
          <w:szCs w:val="18"/>
        </w:rPr>
        <w:t xml:space="preserve"> </w:t>
      </w:r>
    </w:p>
  </w:footnote>
  <w:footnote w:id="2">
    <w:p w14:paraId="11FAA27C" w14:textId="002B42C2" w:rsidR="006E535E" w:rsidRPr="00923012" w:rsidRDefault="006E535E" w:rsidP="00B33AB3">
      <w:pPr>
        <w:spacing w:after="0"/>
        <w:jc w:val="both"/>
        <w:rPr>
          <w:sz w:val="18"/>
          <w:szCs w:val="18"/>
        </w:rPr>
      </w:pPr>
      <w:r w:rsidRPr="00923012">
        <w:rPr>
          <w:rStyle w:val="FootnoteReference"/>
          <w:sz w:val="18"/>
          <w:szCs w:val="18"/>
        </w:rPr>
        <w:footnoteRef/>
      </w:r>
      <w:r w:rsidRPr="00923012">
        <w:rPr>
          <w:sz w:val="18"/>
          <w:szCs w:val="18"/>
        </w:rPr>
        <w:t xml:space="preserve"> See:  </w:t>
      </w:r>
      <w:r w:rsidRPr="00923012">
        <w:rPr>
          <w:rStyle w:val="Hyperlink"/>
          <w:sz w:val="18"/>
          <w:szCs w:val="18"/>
        </w:rPr>
        <w:t>https://ec.europa.eu/competition/consumers/citizen_summary/en.pdf</w:t>
      </w:r>
    </w:p>
  </w:footnote>
  <w:footnote w:id="3">
    <w:p w14:paraId="57383481" w14:textId="77777777" w:rsidR="006E535E" w:rsidRPr="00923012" w:rsidRDefault="006E535E" w:rsidP="00B33AB3">
      <w:pPr>
        <w:pStyle w:val="FootnoteText"/>
        <w:rPr>
          <w:sz w:val="18"/>
          <w:szCs w:val="18"/>
          <w:lang w:val="en-US"/>
        </w:rPr>
      </w:pPr>
      <w:r w:rsidRPr="00923012">
        <w:rPr>
          <w:rStyle w:val="FootnoteReference"/>
          <w:sz w:val="18"/>
          <w:szCs w:val="18"/>
        </w:rPr>
        <w:footnoteRef/>
      </w:r>
      <w:r w:rsidRPr="00923012">
        <w:rPr>
          <w:sz w:val="18"/>
          <w:szCs w:val="18"/>
        </w:rPr>
        <w:t xml:space="preserve"> See:</w:t>
      </w:r>
      <w:r w:rsidRPr="00923012">
        <w:rPr>
          <w:rFonts w:ascii="Calibri" w:hAnsi="Calibri" w:cs="Calibri"/>
          <w:b/>
          <w:bCs/>
          <w:sz w:val="18"/>
          <w:szCs w:val="18"/>
          <w:lang w:val="en-US"/>
        </w:rPr>
        <w:t xml:space="preserve"> </w:t>
      </w:r>
      <w:hyperlink r:id="rId2" w:history="1">
        <w:r w:rsidRPr="00923012">
          <w:rPr>
            <w:rStyle w:val="Hyperlink"/>
            <w:rFonts w:ascii="Calibri" w:hAnsi="Calibri" w:cs="Calibri"/>
            <w:sz w:val="18"/>
            <w:szCs w:val="18"/>
            <w:lang w:val="en-US"/>
          </w:rPr>
          <w:t>https://www.gov.uk/cma-cases/online-platforms-and-digital-advertising-market-study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CB7F" w14:textId="77777777" w:rsidR="0082329E" w:rsidRDefault="0082329E">
    <w:pPr>
      <w:pStyle w:val="Header"/>
    </w:pPr>
    <w:r>
      <w:rPr>
        <w:noProof/>
      </w:rPr>
      <w:drawing>
        <wp:anchor distT="0" distB="0" distL="114300" distR="114300" simplePos="0" relativeHeight="251655680" behindDoc="1" locked="0" layoutInCell="1" allowOverlap="1" wp14:anchorId="5D533312" wp14:editId="4E0F9C29">
          <wp:simplePos x="0" y="0"/>
          <wp:positionH relativeFrom="column">
            <wp:posOffset>4743450</wp:posOffset>
          </wp:positionH>
          <wp:positionV relativeFrom="paragraph">
            <wp:posOffset>180340</wp:posOffset>
          </wp:positionV>
          <wp:extent cx="1630800" cy="756000"/>
          <wp:effectExtent l="0" t="0" r="7620" b="635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947" w14:textId="77777777" w:rsidR="00004C7D" w:rsidRDefault="00004C7D">
    <w:pPr>
      <w:pStyle w:val="Header"/>
    </w:pPr>
    <w:r>
      <w:rPr>
        <w:noProof/>
      </w:rPr>
      <w:drawing>
        <wp:anchor distT="0" distB="0" distL="114300" distR="114300" simplePos="0" relativeHeight="251661824" behindDoc="1" locked="0" layoutInCell="1" allowOverlap="1" wp14:anchorId="00047096" wp14:editId="47E6AD48">
          <wp:simplePos x="0" y="0"/>
          <wp:positionH relativeFrom="column">
            <wp:posOffset>4667250</wp:posOffset>
          </wp:positionH>
          <wp:positionV relativeFrom="paragraph">
            <wp:posOffset>332740</wp:posOffset>
          </wp:positionV>
          <wp:extent cx="1630800" cy="756000"/>
          <wp:effectExtent l="0" t="0" r="7620" b="635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021"/>
    <w:multiLevelType w:val="hybridMultilevel"/>
    <w:tmpl w:val="6A387574"/>
    <w:lvl w:ilvl="0" w:tplc="F73A020E">
      <w:start w:val="18"/>
      <w:numFmt w:val="bullet"/>
      <w:lvlText w:val="-"/>
      <w:lvlJc w:val="left"/>
      <w:pPr>
        <w:ind w:left="360" w:hanging="360"/>
      </w:pPr>
      <w:rPr>
        <w:rFonts w:ascii="Calibri" w:eastAsiaTheme="minorHAnsi" w:hAnsi="Calibri" w:cs="Calibri" w:hint="default"/>
      </w:rPr>
    </w:lvl>
    <w:lvl w:ilvl="1" w:tplc="DD5E21E8">
      <w:start w:val="18"/>
      <w:numFmt w:val="bullet"/>
      <w:lvlText w:val="-"/>
      <w:lvlJc w:val="left"/>
      <w:pPr>
        <w:ind w:left="454" w:hanging="114"/>
      </w:pPr>
      <w:rPr>
        <w:rFonts w:ascii="Calibri" w:eastAsiaTheme="minorHAns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7A3681"/>
    <w:multiLevelType w:val="hybridMultilevel"/>
    <w:tmpl w:val="877E5B9E"/>
    <w:lvl w:ilvl="0" w:tplc="F6222D0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D4E74"/>
    <w:multiLevelType w:val="hybridMultilevel"/>
    <w:tmpl w:val="152A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F069DF"/>
    <w:multiLevelType w:val="hybridMultilevel"/>
    <w:tmpl w:val="C402F9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5E"/>
    <w:rsid w:val="00004C7D"/>
    <w:rsid w:val="00042107"/>
    <w:rsid w:val="000A73BE"/>
    <w:rsid w:val="00174EB3"/>
    <w:rsid w:val="00475E6C"/>
    <w:rsid w:val="00552BF4"/>
    <w:rsid w:val="005D3A79"/>
    <w:rsid w:val="006969AE"/>
    <w:rsid w:val="006E535E"/>
    <w:rsid w:val="007444A4"/>
    <w:rsid w:val="008029E9"/>
    <w:rsid w:val="008165AB"/>
    <w:rsid w:val="0082329E"/>
    <w:rsid w:val="008611A1"/>
    <w:rsid w:val="008A0D3A"/>
    <w:rsid w:val="008E5CB0"/>
    <w:rsid w:val="00923012"/>
    <w:rsid w:val="00970C95"/>
    <w:rsid w:val="009D32F9"/>
    <w:rsid w:val="00B33AB3"/>
    <w:rsid w:val="00BC65E9"/>
    <w:rsid w:val="00BD0F8D"/>
    <w:rsid w:val="00C074FF"/>
    <w:rsid w:val="00C73186"/>
    <w:rsid w:val="00E71C32"/>
    <w:rsid w:val="00E816CA"/>
    <w:rsid w:val="00E914F8"/>
    <w:rsid w:val="00EA0B35"/>
    <w:rsid w:val="00EA1AB7"/>
    <w:rsid w:val="00F2001D"/>
    <w:rsid w:val="00FD0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B8F79"/>
  <w15:docId w15:val="{916415EA-46F4-4BCD-9070-21C6DE9A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styleId="FootnoteText">
    <w:name w:val="footnote text"/>
    <w:basedOn w:val="Normal"/>
    <w:link w:val="FootnoteTextChar"/>
    <w:uiPriority w:val="99"/>
    <w:semiHidden/>
    <w:unhideWhenUsed/>
    <w:rsid w:val="006E535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E535E"/>
    <w:rPr>
      <w:rFonts w:eastAsiaTheme="minorHAnsi"/>
      <w:sz w:val="20"/>
      <w:szCs w:val="20"/>
      <w:lang w:eastAsia="en-US"/>
    </w:rPr>
  </w:style>
  <w:style w:type="character" w:styleId="FootnoteReference">
    <w:name w:val="footnote reference"/>
    <w:basedOn w:val="DefaultParagraphFont"/>
    <w:uiPriority w:val="99"/>
    <w:semiHidden/>
    <w:unhideWhenUsed/>
    <w:rsid w:val="006E535E"/>
    <w:rPr>
      <w:vertAlign w:val="superscript"/>
    </w:rPr>
  </w:style>
  <w:style w:type="paragraph" w:styleId="ListParagraph">
    <w:name w:val="List Paragraph"/>
    <w:basedOn w:val="Normal"/>
    <w:uiPriority w:val="34"/>
    <w:qFormat/>
    <w:rsid w:val="006E535E"/>
    <w:pPr>
      <w:spacing w:after="160" w:line="259" w:lineRule="auto"/>
      <w:ind w:left="720"/>
      <w:contextualSpacing/>
    </w:pPr>
    <w:rPr>
      <w:rFonts w:eastAsiaTheme="minorHAnsi"/>
      <w:lang w:eastAsia="en-US"/>
    </w:rPr>
  </w:style>
  <w:style w:type="character" w:styleId="UnresolvedMention">
    <w:name w:val="Unresolved Mention"/>
    <w:basedOn w:val="DefaultParagraphFont"/>
    <w:uiPriority w:val="99"/>
    <w:semiHidden/>
    <w:unhideWhenUsed/>
    <w:rsid w:val="006E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igitalmonitoring@acc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cma-cases/online-platforms-and-digital-advertising-market-study" TargetMode="External"/><Relationship Id="rId1" Type="http://schemas.openxmlformats.org/officeDocument/2006/relationships/hyperlink" Target="http://www.cnbc.com/2019/06/07/how-google-facebook-amazon-and-apple-faced-eu-tech-antitrust-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73B21-5486-4556-9481-FF722BFD6C21}">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2afa1a33-c191-48ee-b288-192490d33fec"/>
    <ds:schemaRef ds:uri="2d8fb88f-3a1f-4799-a700-b6f357ce140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A24FACC-F881-4984-9A5D-F030E5B09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2749A-3864-4C64-BAE0-5311B9AA1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2 Pages</Template>
  <TotalTime>3</TotalTime>
  <Pages>3</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2</cp:revision>
  <dcterms:created xsi:type="dcterms:W3CDTF">2021-04-28T04:17:00Z</dcterms:created>
  <dcterms:modified xsi:type="dcterms:W3CDTF">2021-04-28T04:17:00Z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