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50" w:rsidRPr="00C944DA" w:rsidRDefault="00041050" w:rsidP="00041050">
      <w:pPr>
        <w:rPr>
          <w:rFonts w:ascii="Times New Roman" w:hAnsi="Times New Roman" w:cs="Times New Roman"/>
        </w:rPr>
      </w:pPr>
    </w:p>
    <w:p w:rsidR="00041050" w:rsidRPr="00C944DA" w:rsidRDefault="00352F2F" w:rsidP="00041050">
      <w:pPr>
        <w:rPr>
          <w:rFonts w:ascii="Times New Roman" w:hAnsi="Times New Roman" w:cs="Times New Roman"/>
        </w:rPr>
      </w:pPr>
      <w:r w:rsidRPr="00C944DA">
        <w:rPr>
          <w:rFonts w:ascii="Times New Roman" w:hAnsi="Times New Roman" w:cs="Times New Roman"/>
        </w:rPr>
        <w:t>1</w:t>
      </w:r>
      <w:r w:rsidR="00DA5687">
        <w:rPr>
          <w:rFonts w:ascii="Times New Roman" w:hAnsi="Times New Roman" w:cs="Times New Roman"/>
        </w:rPr>
        <w:t>5</w:t>
      </w:r>
      <w:r w:rsidR="00447EEB">
        <w:rPr>
          <w:rFonts w:ascii="Times New Roman" w:hAnsi="Times New Roman" w:cs="Times New Roman"/>
          <w:vertAlign w:val="superscript"/>
        </w:rPr>
        <w:t xml:space="preserve"> </w:t>
      </w:r>
      <w:r w:rsidRPr="00C944DA">
        <w:rPr>
          <w:rFonts w:ascii="Times New Roman" w:hAnsi="Times New Roman" w:cs="Times New Roman"/>
        </w:rPr>
        <w:t>January 2020</w:t>
      </w:r>
    </w:p>
    <w:p w:rsidR="00C944DA" w:rsidRPr="00C944DA" w:rsidRDefault="00C944DA" w:rsidP="00C944DA">
      <w:pPr>
        <w:spacing w:after="0" w:line="240" w:lineRule="auto"/>
        <w:rPr>
          <w:rFonts w:ascii="Times New Roman" w:hAnsi="Times New Roman" w:cs="Times New Roman"/>
        </w:rPr>
      </w:pPr>
      <w:r w:rsidRPr="00C944DA">
        <w:rPr>
          <w:rFonts w:ascii="Times New Roman" w:hAnsi="Times New Roman" w:cs="Times New Roman"/>
        </w:rPr>
        <w:t>Daniel Tangri</w:t>
      </w:r>
    </w:p>
    <w:p w:rsidR="00C944DA" w:rsidRPr="00C944DA" w:rsidRDefault="00C944DA" w:rsidP="00C944DA">
      <w:pPr>
        <w:spacing w:after="0" w:line="240" w:lineRule="auto"/>
        <w:rPr>
          <w:rFonts w:ascii="Times New Roman" w:hAnsi="Times New Roman" w:cs="Times New Roman"/>
        </w:rPr>
      </w:pPr>
      <w:r w:rsidRPr="00C944DA">
        <w:rPr>
          <w:rFonts w:ascii="Times New Roman" w:hAnsi="Times New Roman" w:cs="Times New Roman"/>
        </w:rPr>
        <w:t>USG Implementation</w:t>
      </w:r>
    </w:p>
    <w:p w:rsidR="00C944DA" w:rsidRPr="00C944DA" w:rsidRDefault="00036ECA" w:rsidP="00C944DA">
      <w:pPr>
        <w:spacing w:after="0" w:line="240" w:lineRule="auto"/>
        <w:rPr>
          <w:rFonts w:ascii="Times New Roman" w:hAnsi="Times New Roman" w:cs="Times New Roman"/>
        </w:rPr>
      </w:pPr>
      <w:hyperlink r:id="rId9" w:history="1">
        <w:r w:rsidR="00F4341F" w:rsidRPr="00ED647A">
          <w:rPr>
            <w:rStyle w:val="Hyperlink"/>
            <w:rFonts w:ascii="Times New Roman" w:hAnsi="Times New Roman" w:cs="Times New Roman"/>
          </w:rPr>
          <w:t>new.developments@communications.gov.au</w:t>
        </w:r>
      </w:hyperlink>
      <w:r w:rsidR="00F4341F">
        <w:rPr>
          <w:rFonts w:ascii="Times New Roman" w:hAnsi="Times New Roman" w:cs="Times New Roman"/>
        </w:rPr>
        <w:t xml:space="preserve"> </w:t>
      </w:r>
    </w:p>
    <w:p w:rsidR="00041050" w:rsidRPr="00C944DA" w:rsidRDefault="00041050" w:rsidP="00352F2F">
      <w:pPr>
        <w:spacing w:after="0"/>
        <w:rPr>
          <w:rFonts w:ascii="Times New Roman" w:hAnsi="Times New Roman" w:cs="Times New Roman"/>
        </w:rPr>
      </w:pPr>
    </w:p>
    <w:p w:rsidR="00C7127B" w:rsidRPr="00C944DA" w:rsidRDefault="00041050" w:rsidP="007A3BB7">
      <w:pPr>
        <w:spacing w:after="0"/>
        <w:jc w:val="center"/>
        <w:rPr>
          <w:rFonts w:ascii="Times New Roman" w:hAnsi="Times New Roman" w:cs="Times New Roman"/>
        </w:rPr>
      </w:pPr>
      <w:r w:rsidRPr="00C944DA">
        <w:rPr>
          <w:rFonts w:ascii="Times New Roman" w:hAnsi="Times New Roman" w:cs="Times New Roman"/>
          <w:b/>
        </w:rPr>
        <w:t xml:space="preserve">Re: </w:t>
      </w:r>
      <w:r w:rsidR="00C944DA" w:rsidRPr="00C944DA">
        <w:rPr>
          <w:rFonts w:ascii="Times New Roman" w:hAnsi="Times New Roman" w:cs="Times New Roman"/>
          <w:b/>
        </w:rPr>
        <w:t>Review of the 2015 Telecommunications in New Developments (TIND) policy</w:t>
      </w:r>
    </w:p>
    <w:p w:rsidR="00C7127B" w:rsidRPr="00C944DA" w:rsidRDefault="00C7127B" w:rsidP="007A3BB7">
      <w:pPr>
        <w:pStyle w:val="BodyText1"/>
        <w:spacing w:after="0"/>
        <w:rPr>
          <w:rFonts w:ascii="Times New Roman" w:hAnsi="Times New Roman" w:cs="Times New Roman"/>
          <w:color w:val="auto"/>
        </w:rPr>
      </w:pPr>
    </w:p>
    <w:p w:rsidR="00C944DA" w:rsidRPr="004E70BD" w:rsidRDefault="00C944DA" w:rsidP="00B660A6">
      <w:pPr>
        <w:pStyle w:val="BodyText1"/>
        <w:spacing w:after="0"/>
        <w:jc w:val="both"/>
        <w:rPr>
          <w:rFonts w:ascii="Times New Roman" w:hAnsi="Times New Roman" w:cs="Times New Roman"/>
          <w:color w:val="auto"/>
        </w:rPr>
      </w:pPr>
      <w:r w:rsidRPr="004E70BD">
        <w:rPr>
          <w:rFonts w:ascii="Times New Roman" w:hAnsi="Times New Roman" w:cs="Times New Roman"/>
          <w:color w:val="auto"/>
        </w:rPr>
        <w:t xml:space="preserve">ACCAN welcomes the opportunity to contribute to the </w:t>
      </w:r>
      <w:r w:rsidR="00DF7C8C" w:rsidRPr="004E70BD">
        <w:rPr>
          <w:rFonts w:ascii="Times New Roman" w:hAnsi="Times New Roman" w:cs="Times New Roman"/>
          <w:color w:val="auto"/>
        </w:rPr>
        <w:t xml:space="preserve">Department of Communication and the Arts </w:t>
      </w:r>
      <w:r w:rsidR="00F429EB" w:rsidRPr="004E70BD">
        <w:rPr>
          <w:rFonts w:ascii="Times New Roman" w:hAnsi="Times New Roman" w:cs="Times New Roman"/>
          <w:color w:val="auto"/>
        </w:rPr>
        <w:t>consultation on the Telecommunications in New Developments (TIND) policy.</w:t>
      </w:r>
      <w:r w:rsidR="004E70BD" w:rsidRPr="004E70BD">
        <w:rPr>
          <w:rFonts w:ascii="Times New Roman" w:hAnsi="Times New Roman" w:cs="Times New Roman"/>
          <w:color w:val="auto"/>
        </w:rPr>
        <w:t xml:space="preserve"> The TIND policy </w:t>
      </w:r>
      <w:r w:rsidR="006E24EE">
        <w:rPr>
          <w:rFonts w:ascii="Times New Roman" w:hAnsi="Times New Roman" w:cs="Times New Roman"/>
          <w:color w:val="auto"/>
        </w:rPr>
        <w:t>affects</w:t>
      </w:r>
      <w:r w:rsidR="004E70BD" w:rsidRPr="004E70BD">
        <w:rPr>
          <w:rFonts w:ascii="Times New Roman" w:hAnsi="Times New Roman" w:cs="Times New Roman"/>
          <w:color w:val="auto"/>
        </w:rPr>
        <w:t xml:space="preserve"> over </w:t>
      </w:r>
      <w:r w:rsidR="004E70BD" w:rsidRPr="004E70BD">
        <w:rPr>
          <w:rFonts w:ascii="Times New Roman" w:eastAsia="Times New Roman" w:hAnsi="Times New Roman" w:cs="Times New Roman"/>
        </w:rPr>
        <w:t>537,878</w:t>
      </w:r>
      <w:r w:rsidR="004E70BD">
        <w:rPr>
          <w:rFonts w:ascii="Times New Roman" w:eastAsia="Times New Roman" w:hAnsi="Times New Roman" w:cs="Times New Roman"/>
        </w:rPr>
        <w:t xml:space="preserve"> premises,</w:t>
      </w:r>
      <w:r w:rsidR="004E70BD" w:rsidRPr="003630EC">
        <w:rPr>
          <w:rStyle w:val="FootnoteReference"/>
          <w:rFonts w:eastAsia="Times New Roman" w:cstheme="minorHAnsi"/>
          <w:szCs w:val="24"/>
        </w:rPr>
        <w:footnoteReference w:id="1"/>
      </w:r>
      <w:r w:rsidR="004E70BD">
        <w:rPr>
          <w:rFonts w:ascii="Times New Roman" w:eastAsia="Times New Roman" w:hAnsi="Times New Roman" w:cs="Times New Roman"/>
        </w:rPr>
        <w:t xml:space="preserve"> and has a substantial impac</w:t>
      </w:r>
      <w:bookmarkStart w:id="0" w:name="_GoBack"/>
      <w:bookmarkEnd w:id="0"/>
      <w:r w:rsidR="004E70BD">
        <w:rPr>
          <w:rFonts w:ascii="Times New Roman" w:eastAsia="Times New Roman" w:hAnsi="Times New Roman" w:cs="Times New Roman"/>
        </w:rPr>
        <w:t xml:space="preserve">t on new communities in the metropolitan fringe and many </w:t>
      </w:r>
      <w:r w:rsidR="00744735">
        <w:rPr>
          <w:rFonts w:ascii="Times New Roman" w:eastAsia="Times New Roman" w:hAnsi="Times New Roman" w:cs="Times New Roman"/>
        </w:rPr>
        <w:t xml:space="preserve">inner city </w:t>
      </w:r>
      <w:r w:rsidR="004E70BD">
        <w:rPr>
          <w:rFonts w:ascii="Times New Roman" w:eastAsia="Times New Roman" w:hAnsi="Times New Roman" w:cs="Times New Roman"/>
        </w:rPr>
        <w:t xml:space="preserve">multi-dwelling units. </w:t>
      </w:r>
    </w:p>
    <w:p w:rsidR="00B660A6" w:rsidRDefault="00B660A6" w:rsidP="00B660A6">
      <w:pPr>
        <w:pStyle w:val="BodyText1"/>
        <w:spacing w:after="0"/>
        <w:jc w:val="both"/>
        <w:rPr>
          <w:rFonts w:ascii="Times New Roman" w:hAnsi="Times New Roman" w:cs="Times New Roman"/>
          <w:color w:val="auto"/>
        </w:rPr>
      </w:pPr>
    </w:p>
    <w:p w:rsidR="00C944DA" w:rsidRDefault="00F429EB" w:rsidP="00596E29">
      <w:pPr>
        <w:pStyle w:val="BodyText1"/>
        <w:spacing w:after="0"/>
        <w:jc w:val="both"/>
        <w:rPr>
          <w:rFonts w:ascii="Times New Roman" w:hAnsi="Times New Roman" w:cs="Times New Roman"/>
          <w:color w:val="auto"/>
        </w:rPr>
      </w:pPr>
      <w:r>
        <w:rPr>
          <w:rFonts w:ascii="Times New Roman" w:hAnsi="Times New Roman" w:cs="Times New Roman"/>
          <w:color w:val="auto"/>
        </w:rPr>
        <w:t>The regulatory settings currently in place for TIND</w:t>
      </w:r>
      <w:r w:rsidR="006E24EE">
        <w:rPr>
          <w:rFonts w:ascii="Times New Roman" w:hAnsi="Times New Roman" w:cs="Times New Roman"/>
          <w:color w:val="auto"/>
        </w:rPr>
        <w:t>,</w:t>
      </w:r>
      <w:r>
        <w:rPr>
          <w:rFonts w:ascii="Times New Roman" w:hAnsi="Times New Roman" w:cs="Times New Roman"/>
          <w:color w:val="auto"/>
        </w:rPr>
        <w:t xml:space="preserve"> </w:t>
      </w:r>
      <w:r w:rsidR="00EE380C">
        <w:rPr>
          <w:rFonts w:ascii="Times New Roman" w:hAnsi="Times New Roman" w:cs="Times New Roman"/>
          <w:color w:val="auto"/>
        </w:rPr>
        <w:t>although broadly appropriate</w:t>
      </w:r>
      <w:r w:rsidR="006E24EE">
        <w:rPr>
          <w:rFonts w:ascii="Times New Roman" w:hAnsi="Times New Roman" w:cs="Times New Roman"/>
          <w:color w:val="auto"/>
        </w:rPr>
        <w:t>,</w:t>
      </w:r>
      <w:r w:rsidR="00EE380C">
        <w:rPr>
          <w:rFonts w:ascii="Times New Roman" w:hAnsi="Times New Roman" w:cs="Times New Roman"/>
          <w:color w:val="auto"/>
        </w:rPr>
        <w:t xml:space="preserve"> can be improved through the adoption of a series of revisions. ACCAN believes that the majority of these changes would result in a more consistent set of standards and rules that would provide for a fair and robust competitive environment.</w:t>
      </w:r>
    </w:p>
    <w:p w:rsidR="00623E3F" w:rsidRDefault="00623E3F" w:rsidP="00596E29">
      <w:pPr>
        <w:pStyle w:val="BodyText1"/>
        <w:spacing w:after="0"/>
        <w:jc w:val="both"/>
        <w:rPr>
          <w:rFonts w:ascii="Times New Roman" w:hAnsi="Times New Roman" w:cs="Times New Roman"/>
          <w:color w:val="auto"/>
        </w:rPr>
      </w:pPr>
    </w:p>
    <w:p w:rsidR="00BD63FD" w:rsidRPr="00056063" w:rsidRDefault="00623E3F" w:rsidP="00596E29">
      <w:pPr>
        <w:pStyle w:val="BodyText1"/>
        <w:spacing w:after="0"/>
        <w:jc w:val="both"/>
        <w:rPr>
          <w:rFonts w:ascii="Times New Roman" w:hAnsi="Times New Roman" w:cs="Times New Roman"/>
          <w:color w:val="auto"/>
        </w:rPr>
      </w:pPr>
      <w:r w:rsidRPr="00056063">
        <w:rPr>
          <w:rFonts w:ascii="Times New Roman" w:hAnsi="Times New Roman" w:cs="Times New Roman"/>
          <w:color w:val="auto"/>
        </w:rPr>
        <w:t xml:space="preserve">ACCAN is regularly contacted by consumers residing in TIND areas </w:t>
      </w:r>
      <w:r w:rsidR="0075680A" w:rsidRPr="00056063">
        <w:rPr>
          <w:rFonts w:ascii="Times New Roman" w:hAnsi="Times New Roman" w:cs="Times New Roman"/>
          <w:color w:val="auto"/>
        </w:rPr>
        <w:t>that</w:t>
      </w:r>
      <w:r w:rsidRPr="00056063">
        <w:rPr>
          <w:rFonts w:ascii="Times New Roman" w:hAnsi="Times New Roman" w:cs="Times New Roman"/>
          <w:color w:val="auto"/>
        </w:rPr>
        <w:t xml:space="preserve"> are experiencing poor service outcomes through slow or intermittent services and facing higher than competitive retail prices for services that are often lower value than their NBN alternative.</w:t>
      </w:r>
      <w:r w:rsidR="00056063" w:rsidRPr="00056063">
        <w:rPr>
          <w:rFonts w:ascii="Times New Roman" w:hAnsi="Times New Roman" w:cs="Times New Roman"/>
          <w:color w:val="auto"/>
        </w:rPr>
        <w:t xml:space="preserve"> However, systematic evidence of poor outcomes is limited </w:t>
      </w:r>
      <w:r w:rsidR="00056063" w:rsidRPr="00E14217">
        <w:rPr>
          <w:rFonts w:ascii="Times New Roman" w:hAnsi="Times New Roman" w:cs="Times New Roman"/>
          <w:color w:val="auto"/>
        </w:rPr>
        <w:t>due to the</w:t>
      </w:r>
      <w:r w:rsidR="00BD63FD" w:rsidRPr="00E14217">
        <w:rPr>
          <w:rFonts w:ascii="Times New Roman" w:hAnsi="Times New Roman" w:cs="Times New Roman"/>
          <w:color w:val="auto"/>
        </w:rPr>
        <w:t xml:space="preserve"> opacity of current reporting arrangements.</w:t>
      </w:r>
      <w:r w:rsidR="00BD63FD" w:rsidRPr="00056063">
        <w:rPr>
          <w:rFonts w:ascii="Times New Roman" w:hAnsi="Times New Roman" w:cs="Times New Roman"/>
          <w:color w:val="auto"/>
        </w:rPr>
        <w:t xml:space="preserve"> At present there is extremely limited reporting on service levels or the escalation of complaints</w:t>
      </w:r>
      <w:r w:rsidR="00074D20">
        <w:rPr>
          <w:rFonts w:ascii="Times New Roman" w:hAnsi="Times New Roman" w:cs="Times New Roman"/>
          <w:color w:val="auto"/>
        </w:rPr>
        <w:t xml:space="preserve"> to the TIO</w:t>
      </w:r>
      <w:r w:rsidR="00BD63FD" w:rsidRPr="00056063">
        <w:rPr>
          <w:rFonts w:ascii="Times New Roman" w:hAnsi="Times New Roman" w:cs="Times New Roman"/>
          <w:color w:val="auto"/>
        </w:rPr>
        <w:t xml:space="preserve"> for services in operation in TIND areas. ACCAN considers that as a minimum increased reporting and scrutiny concerning the performance of non-NBN services is required to ensure that consumers are getting what they are paying for. </w:t>
      </w:r>
    </w:p>
    <w:p w:rsidR="00BD63FD" w:rsidRDefault="00BD63FD" w:rsidP="00596E29">
      <w:pPr>
        <w:pStyle w:val="BodyText1"/>
        <w:spacing w:after="0"/>
        <w:jc w:val="both"/>
        <w:rPr>
          <w:rFonts w:ascii="Times New Roman" w:hAnsi="Times New Roman" w:cs="Times New Roman"/>
          <w:color w:val="auto"/>
        </w:rPr>
      </w:pPr>
    </w:p>
    <w:p w:rsidR="00415360" w:rsidRDefault="00BD63FD" w:rsidP="00596E29">
      <w:pPr>
        <w:pStyle w:val="BodyText1"/>
        <w:spacing w:after="0"/>
        <w:jc w:val="both"/>
        <w:rPr>
          <w:rFonts w:ascii="Times New Roman" w:hAnsi="Times New Roman" w:cs="Times New Roman"/>
          <w:color w:val="auto"/>
        </w:rPr>
      </w:pPr>
      <w:r>
        <w:rPr>
          <w:rFonts w:ascii="Times New Roman" w:hAnsi="Times New Roman" w:cs="Times New Roman"/>
          <w:color w:val="auto"/>
        </w:rPr>
        <w:t>In the absence of</w:t>
      </w:r>
      <w:r w:rsidR="00DF058B">
        <w:rPr>
          <w:rFonts w:ascii="Times New Roman" w:hAnsi="Times New Roman" w:cs="Times New Roman"/>
          <w:color w:val="auto"/>
        </w:rPr>
        <w:t xml:space="preserve"> detailed</w:t>
      </w:r>
      <w:r>
        <w:rPr>
          <w:rFonts w:ascii="Times New Roman" w:hAnsi="Times New Roman" w:cs="Times New Roman"/>
          <w:color w:val="auto"/>
        </w:rPr>
        <w:t xml:space="preserve"> information about the relative performance of alternative infrastructure providers the potential benefits of infrastructure competition are unlikely to flow, as developers will not be in a positon to assess the relative merits of alternative providers beyond a simplistic assessment of the infrastructure cost. </w:t>
      </w:r>
      <w:r w:rsidR="00254505">
        <w:rPr>
          <w:rFonts w:ascii="Times New Roman" w:hAnsi="Times New Roman" w:cs="Times New Roman"/>
          <w:color w:val="auto"/>
        </w:rPr>
        <w:t xml:space="preserve">Moreover, consumers will be unable to signal their preferences to developers as they too will not be in a position to express their views on the </w:t>
      </w:r>
      <w:r w:rsidR="00B752DC" w:rsidRPr="00B752DC">
        <w:rPr>
          <w:rFonts w:ascii="Times New Roman" w:hAnsi="Times New Roman" w:cs="Times New Roman"/>
          <w:color w:val="auto"/>
        </w:rPr>
        <w:t xml:space="preserve">desirability of various </w:t>
      </w:r>
      <w:r w:rsidR="00A36E9F">
        <w:rPr>
          <w:rFonts w:ascii="Times New Roman" w:hAnsi="Times New Roman" w:cs="Times New Roman"/>
          <w:color w:val="auto"/>
        </w:rPr>
        <w:t xml:space="preserve">infrastructure </w:t>
      </w:r>
      <w:r w:rsidR="00B752DC" w:rsidRPr="00B752DC">
        <w:rPr>
          <w:rFonts w:ascii="Times New Roman" w:hAnsi="Times New Roman" w:cs="Times New Roman"/>
          <w:color w:val="auto"/>
        </w:rPr>
        <w:t>service providers.</w:t>
      </w:r>
    </w:p>
    <w:p w:rsidR="00036ECA" w:rsidRDefault="00036ECA">
      <w:pPr>
        <w:rPr>
          <w:rFonts w:ascii="Times New Roman" w:eastAsia="Calibri" w:hAnsi="Times New Roman" w:cs="Times New Roman"/>
          <w:lang w:eastAsia="en-US"/>
        </w:rPr>
      </w:pPr>
      <w:r>
        <w:rPr>
          <w:rFonts w:ascii="Times New Roman" w:hAnsi="Times New Roman" w:cs="Times New Roman"/>
        </w:rPr>
        <w:br w:type="page"/>
      </w:r>
    </w:p>
    <w:p w:rsidR="00665688" w:rsidRDefault="00665688" w:rsidP="00596E29">
      <w:pPr>
        <w:pStyle w:val="BodyText1"/>
        <w:spacing w:after="0"/>
        <w:rPr>
          <w:rFonts w:ascii="Times New Roman" w:hAnsi="Times New Roman" w:cs="Times New Roman"/>
          <w:i/>
          <w:color w:val="auto"/>
        </w:rPr>
      </w:pPr>
      <w:r>
        <w:rPr>
          <w:rFonts w:ascii="Times New Roman" w:hAnsi="Times New Roman" w:cs="Times New Roman"/>
          <w:i/>
          <w:color w:val="auto"/>
        </w:rPr>
        <w:lastRenderedPageBreak/>
        <w:t>Developer compliance</w:t>
      </w:r>
    </w:p>
    <w:p w:rsidR="00596E29" w:rsidRPr="00090162" w:rsidRDefault="00596E29" w:rsidP="00596E29">
      <w:pPr>
        <w:pStyle w:val="BodyText1"/>
        <w:spacing w:after="0"/>
        <w:rPr>
          <w:rFonts w:ascii="Times New Roman" w:hAnsi="Times New Roman" w:cs="Times New Roman"/>
          <w:color w:val="auto"/>
        </w:rPr>
      </w:pPr>
    </w:p>
    <w:p w:rsidR="005E689C" w:rsidRDefault="000F7AC7" w:rsidP="00090162">
      <w:pPr>
        <w:pStyle w:val="BodyText1"/>
        <w:spacing w:after="0"/>
        <w:jc w:val="both"/>
        <w:rPr>
          <w:rFonts w:ascii="Times New Roman" w:hAnsi="Times New Roman" w:cs="Times New Roman"/>
          <w:color w:val="auto"/>
        </w:rPr>
      </w:pPr>
      <w:r>
        <w:rPr>
          <w:rFonts w:ascii="Times New Roman" w:hAnsi="Times New Roman" w:cs="Times New Roman"/>
          <w:color w:val="auto"/>
        </w:rPr>
        <w:t xml:space="preserve">ACCAN acknowledges the significant work of the Department in conjunction with State and Territory governments in driving greater awareness of and compliance with the TIND policy. However, as noted by the Department there is ongoing work to be done in raising awareness of the obligations that are faced by developers, particularly for </w:t>
      </w:r>
      <w:r w:rsidR="0096241B">
        <w:rPr>
          <w:rFonts w:ascii="Times New Roman" w:hAnsi="Times New Roman" w:cs="Times New Roman"/>
          <w:color w:val="auto"/>
        </w:rPr>
        <w:t xml:space="preserve">smaller </w:t>
      </w:r>
      <w:r w:rsidR="00E16036">
        <w:rPr>
          <w:rFonts w:ascii="Times New Roman" w:hAnsi="Times New Roman" w:cs="Times New Roman"/>
          <w:color w:val="auto"/>
        </w:rPr>
        <w:t>developers who</w:t>
      </w:r>
      <w:r w:rsidR="0096241B">
        <w:rPr>
          <w:rFonts w:ascii="Times New Roman" w:hAnsi="Times New Roman" w:cs="Times New Roman"/>
          <w:color w:val="auto"/>
        </w:rPr>
        <w:t xml:space="preserve"> are generally less aware of the TIND </w:t>
      </w:r>
      <w:r w:rsidR="0096241B" w:rsidRPr="008D6106">
        <w:rPr>
          <w:rFonts w:ascii="Times New Roman" w:hAnsi="Times New Roman" w:cs="Times New Roman"/>
          <w:color w:val="auto"/>
        </w:rPr>
        <w:t>policy</w:t>
      </w:r>
      <w:r w:rsidR="00B054B2">
        <w:rPr>
          <w:rFonts w:ascii="Times New Roman" w:hAnsi="Times New Roman" w:cs="Times New Roman"/>
          <w:color w:val="auto"/>
        </w:rPr>
        <w:t>, as flagged in the Departments consultation paper</w:t>
      </w:r>
      <w:r w:rsidR="0096241B" w:rsidRPr="008D6106">
        <w:rPr>
          <w:rFonts w:ascii="Times New Roman" w:hAnsi="Times New Roman" w:cs="Times New Roman"/>
          <w:color w:val="auto"/>
        </w:rPr>
        <w:t>.</w:t>
      </w:r>
    </w:p>
    <w:p w:rsidR="00090162" w:rsidRPr="008D6106" w:rsidRDefault="00090162" w:rsidP="00090162">
      <w:pPr>
        <w:pStyle w:val="BodyText1"/>
        <w:spacing w:after="0"/>
        <w:jc w:val="both"/>
        <w:rPr>
          <w:rFonts w:ascii="Times New Roman" w:hAnsi="Times New Roman" w:cs="Times New Roman"/>
          <w:color w:val="auto"/>
        </w:rPr>
      </w:pPr>
    </w:p>
    <w:p w:rsidR="00BD63FD" w:rsidRDefault="001351BF" w:rsidP="00DF411F">
      <w:pPr>
        <w:pStyle w:val="BodyText1"/>
        <w:spacing w:after="0"/>
        <w:jc w:val="both"/>
        <w:rPr>
          <w:rFonts w:ascii="Times New Roman" w:hAnsi="Times New Roman" w:cs="Times New Roman"/>
          <w:color w:val="auto"/>
        </w:rPr>
      </w:pPr>
      <w:r w:rsidRPr="008D6106">
        <w:rPr>
          <w:rFonts w:ascii="Times New Roman" w:hAnsi="Times New Roman" w:cs="Times New Roman"/>
          <w:color w:val="auto"/>
        </w:rPr>
        <w:t xml:space="preserve">Prospective developers are primarily regulated through local and state level planning arrangements and accordingly the use of targeted information campaigns at these levels of government are more likely to be </w:t>
      </w:r>
      <w:r w:rsidR="008C79AF" w:rsidRPr="008D6106">
        <w:rPr>
          <w:rFonts w:ascii="Times New Roman" w:hAnsi="Times New Roman" w:cs="Times New Roman"/>
          <w:color w:val="auto"/>
        </w:rPr>
        <w:t>effective than programs operating at the federal level</w:t>
      </w:r>
      <w:r w:rsidRPr="008D6106">
        <w:rPr>
          <w:rFonts w:ascii="Times New Roman" w:hAnsi="Times New Roman" w:cs="Times New Roman"/>
          <w:color w:val="auto"/>
        </w:rPr>
        <w:t xml:space="preserve">. </w:t>
      </w:r>
      <w:r w:rsidR="000F7AC7" w:rsidRPr="008D6106">
        <w:rPr>
          <w:rFonts w:ascii="Times New Roman" w:hAnsi="Times New Roman" w:cs="Times New Roman"/>
          <w:color w:val="auto"/>
        </w:rPr>
        <w:t xml:space="preserve">ACCAN believes that further </w:t>
      </w:r>
      <w:r w:rsidRPr="008D6106">
        <w:rPr>
          <w:rFonts w:ascii="Times New Roman" w:hAnsi="Times New Roman" w:cs="Times New Roman"/>
          <w:color w:val="auto"/>
        </w:rPr>
        <w:t>effort</w:t>
      </w:r>
      <w:r w:rsidR="000F7AC7" w:rsidRPr="008D6106">
        <w:rPr>
          <w:rFonts w:ascii="Times New Roman" w:hAnsi="Times New Roman" w:cs="Times New Roman"/>
          <w:color w:val="auto"/>
        </w:rPr>
        <w:t xml:space="preserve"> is required at the state and territory level in order to ensure that legal notices are provided to prospective developers concerning their obligations to put in place appropriate telecommunications infrastructure.</w:t>
      </w:r>
      <w:r w:rsidRPr="008D6106">
        <w:rPr>
          <w:rFonts w:ascii="Times New Roman" w:hAnsi="Times New Roman" w:cs="Times New Roman"/>
          <w:color w:val="auto"/>
        </w:rPr>
        <w:t xml:space="preserve"> </w:t>
      </w:r>
    </w:p>
    <w:p w:rsidR="00DF411F" w:rsidRPr="008D6106" w:rsidRDefault="00DF411F" w:rsidP="00DF411F">
      <w:pPr>
        <w:pStyle w:val="BodyText1"/>
        <w:spacing w:after="0"/>
        <w:jc w:val="both"/>
        <w:rPr>
          <w:rFonts w:ascii="Times New Roman" w:hAnsi="Times New Roman" w:cs="Times New Roman"/>
          <w:color w:val="auto"/>
        </w:rPr>
      </w:pPr>
    </w:p>
    <w:p w:rsidR="00665688" w:rsidRDefault="00CE0682" w:rsidP="00DF411F">
      <w:pPr>
        <w:pStyle w:val="BodyText1"/>
        <w:spacing w:after="0"/>
        <w:rPr>
          <w:rFonts w:ascii="Times New Roman" w:hAnsi="Times New Roman" w:cs="Times New Roman"/>
          <w:i/>
          <w:color w:val="auto"/>
        </w:rPr>
      </w:pPr>
      <w:r>
        <w:rPr>
          <w:rFonts w:ascii="Times New Roman" w:hAnsi="Times New Roman" w:cs="Times New Roman"/>
          <w:i/>
          <w:color w:val="auto"/>
        </w:rPr>
        <w:t>Infrastructure Provider of Last Resort</w:t>
      </w:r>
    </w:p>
    <w:p w:rsidR="00DF411F" w:rsidRPr="00DF411F" w:rsidRDefault="00DF411F" w:rsidP="00DF411F">
      <w:pPr>
        <w:pStyle w:val="BodyText1"/>
        <w:spacing w:after="0"/>
        <w:rPr>
          <w:rFonts w:ascii="Times New Roman" w:hAnsi="Times New Roman" w:cs="Times New Roman"/>
          <w:color w:val="auto"/>
        </w:rPr>
      </w:pPr>
    </w:p>
    <w:p w:rsidR="00741EFD" w:rsidRPr="005A0B2D" w:rsidRDefault="001351BF" w:rsidP="00CF0F1A">
      <w:pPr>
        <w:pStyle w:val="BodyText1"/>
        <w:jc w:val="both"/>
        <w:rPr>
          <w:rFonts w:ascii="Times New Roman" w:hAnsi="Times New Roman" w:cs="Times New Roman"/>
          <w:color w:val="auto"/>
        </w:rPr>
      </w:pPr>
      <w:r w:rsidRPr="008D6106">
        <w:rPr>
          <w:rFonts w:ascii="Times New Roman" w:hAnsi="Times New Roman" w:cs="Times New Roman"/>
          <w:color w:val="auto"/>
        </w:rPr>
        <w:t xml:space="preserve">ACCAN strongly supports the passage of the Telecommunications Reform Package and the establishment of the statutory infrastructure provider obligations. Ensuring </w:t>
      </w:r>
      <w:r w:rsidR="008D6106">
        <w:rPr>
          <w:rFonts w:ascii="Times New Roman" w:hAnsi="Times New Roman" w:cs="Times New Roman"/>
          <w:color w:val="auto"/>
        </w:rPr>
        <w:t>that all consumers have a right to network</w:t>
      </w:r>
      <w:r w:rsidR="00EA099E">
        <w:rPr>
          <w:rFonts w:ascii="Times New Roman" w:hAnsi="Times New Roman" w:cs="Times New Roman"/>
          <w:color w:val="auto"/>
        </w:rPr>
        <w:t xml:space="preserve"> access is of fundamental importance and </w:t>
      </w:r>
      <w:r w:rsidR="00392793">
        <w:rPr>
          <w:rFonts w:ascii="Times New Roman" w:hAnsi="Times New Roman" w:cs="Times New Roman"/>
          <w:color w:val="auto"/>
        </w:rPr>
        <w:t xml:space="preserve">we believe that these reforms must be implemented as a matter of urgency. As noted by the Department there are sound grounds for these obligations to be imposed on non-NBN infrastructure providers where these providers are the primary infrastructure provider within a given area. </w:t>
      </w:r>
    </w:p>
    <w:p w:rsidR="00665688" w:rsidRPr="004E70BD" w:rsidRDefault="00665688" w:rsidP="004E70BD">
      <w:pPr>
        <w:pStyle w:val="BodyText1"/>
        <w:spacing w:after="0"/>
        <w:rPr>
          <w:rFonts w:ascii="Times New Roman" w:hAnsi="Times New Roman" w:cs="Times New Roman"/>
          <w:color w:val="auto"/>
        </w:rPr>
      </w:pPr>
      <w:r>
        <w:rPr>
          <w:rFonts w:ascii="Times New Roman" w:hAnsi="Times New Roman" w:cs="Times New Roman"/>
          <w:i/>
          <w:color w:val="auto"/>
        </w:rPr>
        <w:t xml:space="preserve">Charging </w:t>
      </w:r>
      <w:r w:rsidR="004E70BD">
        <w:rPr>
          <w:rFonts w:ascii="Times New Roman" w:hAnsi="Times New Roman" w:cs="Times New Roman"/>
          <w:color w:val="auto"/>
        </w:rPr>
        <w:br/>
      </w:r>
    </w:p>
    <w:p w:rsidR="0096241B" w:rsidRDefault="009C411E" w:rsidP="00A45FD0">
      <w:pPr>
        <w:pStyle w:val="BodyText1"/>
        <w:spacing w:after="0"/>
        <w:jc w:val="both"/>
        <w:rPr>
          <w:rFonts w:ascii="Times New Roman" w:hAnsi="Times New Roman" w:cs="Times New Roman"/>
          <w:color w:val="auto"/>
        </w:rPr>
      </w:pPr>
      <w:r>
        <w:rPr>
          <w:rFonts w:ascii="Times New Roman" w:hAnsi="Times New Roman" w:cs="Times New Roman"/>
          <w:color w:val="auto"/>
        </w:rPr>
        <w:t xml:space="preserve">ACCAN believes that the current lack of regulation concerning the charging arrangements for infrastructure in new developments is providing perverse incentives for infrastructure providers and developers. </w:t>
      </w:r>
      <w:r w:rsidR="00741EFD">
        <w:rPr>
          <w:rFonts w:ascii="Times New Roman" w:hAnsi="Times New Roman" w:cs="Times New Roman"/>
          <w:color w:val="auto"/>
        </w:rPr>
        <w:t xml:space="preserve">The consequence of these incentives is that developers often seek to obtain infrastructure services at the cheapest possible price, irrespective of the underlying quality of </w:t>
      </w:r>
      <w:r w:rsidR="00392793">
        <w:rPr>
          <w:rFonts w:ascii="Times New Roman" w:hAnsi="Times New Roman" w:cs="Times New Roman"/>
          <w:color w:val="auto"/>
        </w:rPr>
        <w:t xml:space="preserve">the infrastructure put in </w:t>
      </w:r>
      <w:r w:rsidR="00A45FD0">
        <w:rPr>
          <w:rFonts w:ascii="Times New Roman" w:hAnsi="Times New Roman" w:cs="Times New Roman"/>
          <w:color w:val="auto"/>
        </w:rPr>
        <w:t>place and</w:t>
      </w:r>
      <w:r w:rsidR="00741EFD">
        <w:rPr>
          <w:rFonts w:ascii="Times New Roman" w:hAnsi="Times New Roman" w:cs="Times New Roman"/>
          <w:color w:val="auto"/>
        </w:rPr>
        <w:t xml:space="preserve"> subsequently leave consumers in a position where cost-recovery occurs t</w:t>
      </w:r>
      <w:r w:rsidR="00392793">
        <w:rPr>
          <w:rFonts w:ascii="Times New Roman" w:hAnsi="Times New Roman" w:cs="Times New Roman"/>
          <w:color w:val="auto"/>
        </w:rPr>
        <w:t xml:space="preserve">hrough inflated or excessive service charges. </w:t>
      </w:r>
    </w:p>
    <w:p w:rsidR="00A45FD0" w:rsidRDefault="00A45FD0" w:rsidP="00A45FD0">
      <w:pPr>
        <w:pStyle w:val="BodyText1"/>
        <w:spacing w:after="0"/>
        <w:jc w:val="both"/>
        <w:rPr>
          <w:rFonts w:ascii="Times New Roman" w:hAnsi="Times New Roman" w:cs="Times New Roman"/>
          <w:color w:val="auto"/>
        </w:rPr>
      </w:pPr>
    </w:p>
    <w:p w:rsidR="00E658A8" w:rsidRDefault="00230AB4" w:rsidP="00884E1C">
      <w:pPr>
        <w:pStyle w:val="BodyText1"/>
        <w:spacing w:after="0"/>
        <w:jc w:val="both"/>
        <w:rPr>
          <w:rFonts w:ascii="Times New Roman" w:hAnsi="Times New Roman" w:cs="Times New Roman"/>
          <w:color w:val="808080" w:themeColor="background1" w:themeShade="80"/>
        </w:rPr>
      </w:pPr>
      <w:r>
        <w:rPr>
          <w:rFonts w:ascii="Times New Roman" w:hAnsi="Times New Roman" w:cs="Times New Roman"/>
          <w:color w:val="auto"/>
        </w:rPr>
        <w:t xml:space="preserve">Developers have little incentive to arrange for the provision of telecommunications infrastructure on terms that are favourable to consumers. Rather, the commercial incentives that they face provide strong incentives to obtain infrastructure from the provider that represents the least cost to them. </w:t>
      </w:r>
      <w:r w:rsidR="008C77F9" w:rsidRPr="008C77F9">
        <w:rPr>
          <w:rFonts w:ascii="Times New Roman" w:hAnsi="Times New Roman" w:cs="Times New Roman"/>
          <w:color w:val="auto"/>
        </w:rPr>
        <w:t xml:space="preserve">ACCAN considers that the outcomes for consumers residing in non-NBN network areas have been markedly sub-optimal, with consistently higher than average retail prices </w:t>
      </w:r>
      <w:r w:rsidR="00E16036">
        <w:rPr>
          <w:rFonts w:ascii="Times New Roman" w:hAnsi="Times New Roman" w:cs="Times New Roman"/>
          <w:color w:val="auto"/>
        </w:rPr>
        <w:t xml:space="preserve">charged </w:t>
      </w:r>
      <w:r w:rsidR="00E16036" w:rsidRPr="008C77F9">
        <w:rPr>
          <w:rFonts w:ascii="Times New Roman" w:hAnsi="Times New Roman" w:cs="Times New Roman"/>
          <w:color w:val="auto"/>
        </w:rPr>
        <w:t>when</w:t>
      </w:r>
      <w:r w:rsidR="008C77F9" w:rsidRPr="008C77F9">
        <w:rPr>
          <w:rFonts w:ascii="Times New Roman" w:hAnsi="Times New Roman" w:cs="Times New Roman"/>
          <w:color w:val="auto"/>
        </w:rPr>
        <w:t xml:space="preserve"> benchmarked against the NBN</w:t>
      </w:r>
      <w:r w:rsidR="00CE2580">
        <w:rPr>
          <w:rFonts w:ascii="Times New Roman" w:hAnsi="Times New Roman" w:cs="Times New Roman"/>
          <w:color w:val="808080" w:themeColor="background1" w:themeShade="80"/>
        </w:rPr>
        <w:t>.</w:t>
      </w:r>
      <w:r w:rsidR="00BC35F2">
        <w:rPr>
          <w:rStyle w:val="FootnoteReference"/>
          <w:rFonts w:ascii="Times New Roman" w:hAnsi="Times New Roman" w:cs="Times New Roman"/>
          <w:color w:val="808080" w:themeColor="background1" w:themeShade="80"/>
        </w:rPr>
        <w:footnoteReference w:id="2"/>
      </w:r>
      <w:r w:rsidR="00CE2580">
        <w:rPr>
          <w:rFonts w:ascii="Times New Roman" w:hAnsi="Times New Roman" w:cs="Times New Roman"/>
          <w:color w:val="808080" w:themeColor="background1" w:themeShade="80"/>
        </w:rPr>
        <w:t xml:space="preserve"> </w:t>
      </w:r>
    </w:p>
    <w:p w:rsidR="00036ECA" w:rsidRDefault="00036ECA">
      <w:pPr>
        <w:rPr>
          <w:rFonts w:ascii="Times New Roman" w:eastAsia="Calibri" w:hAnsi="Times New Roman" w:cs="Times New Roman"/>
          <w:lang w:eastAsia="en-US"/>
        </w:rPr>
      </w:pPr>
      <w:r>
        <w:rPr>
          <w:rFonts w:ascii="Times New Roman" w:hAnsi="Times New Roman" w:cs="Times New Roman"/>
        </w:rPr>
        <w:br w:type="page"/>
      </w:r>
    </w:p>
    <w:p w:rsidR="00665688" w:rsidRPr="00680CD7" w:rsidRDefault="00665688" w:rsidP="007A3BB7">
      <w:pPr>
        <w:pStyle w:val="BodyText1"/>
        <w:rPr>
          <w:rFonts w:ascii="Times New Roman" w:hAnsi="Times New Roman" w:cs="Times New Roman"/>
          <w:color w:val="auto"/>
        </w:rPr>
      </w:pPr>
      <w:r>
        <w:rPr>
          <w:rFonts w:ascii="Times New Roman" w:hAnsi="Times New Roman" w:cs="Times New Roman"/>
          <w:i/>
          <w:color w:val="auto"/>
        </w:rPr>
        <w:lastRenderedPageBreak/>
        <w:t xml:space="preserve">Network and service standards </w:t>
      </w:r>
      <w:r w:rsidR="00680CD7">
        <w:rPr>
          <w:rFonts w:ascii="Times New Roman" w:hAnsi="Times New Roman" w:cs="Times New Roman"/>
          <w:i/>
          <w:color w:val="auto"/>
        </w:rPr>
        <w:tab/>
      </w:r>
      <w:r w:rsidR="00680CD7">
        <w:rPr>
          <w:rFonts w:ascii="Times New Roman" w:hAnsi="Times New Roman" w:cs="Times New Roman"/>
          <w:i/>
          <w:color w:val="auto"/>
        </w:rPr>
        <w:tab/>
      </w:r>
    </w:p>
    <w:p w:rsidR="0007604A" w:rsidRPr="009A131E" w:rsidRDefault="004E70BD" w:rsidP="009A131E">
      <w:pPr>
        <w:jc w:val="both"/>
        <w:rPr>
          <w:rFonts w:ascii="Times New Roman" w:eastAsia="Calibri" w:hAnsi="Times New Roman" w:cs="Times New Roman"/>
          <w:lang w:eastAsia="en-US"/>
        </w:rPr>
      </w:pPr>
      <w:r w:rsidRPr="00946C97">
        <w:rPr>
          <w:rFonts w:ascii="Times New Roman" w:eastAsia="Times New Roman" w:hAnsi="Times New Roman" w:cs="Times New Roman"/>
          <w:szCs w:val="24"/>
        </w:rPr>
        <w:t xml:space="preserve">The issues associated with the regulation of embedded networks or private monopoly infrastructure is not unique to non-NBN networks, </w:t>
      </w:r>
      <w:r w:rsidR="00E570C5" w:rsidRPr="00946C97">
        <w:rPr>
          <w:rFonts w:ascii="Times New Roman" w:eastAsia="Times New Roman" w:hAnsi="Times New Roman" w:cs="Times New Roman"/>
          <w:szCs w:val="24"/>
        </w:rPr>
        <w:t>with similar issues having</w:t>
      </w:r>
      <w:r w:rsidRPr="00946C97">
        <w:rPr>
          <w:rFonts w:ascii="Times New Roman" w:eastAsia="Times New Roman" w:hAnsi="Times New Roman" w:cs="Times New Roman"/>
          <w:szCs w:val="24"/>
        </w:rPr>
        <w:t xml:space="preserve"> arisen with the NBN. As is the case for NBN Co., the creation of comprehensive services standards through the ACCC’s </w:t>
      </w:r>
      <w:r w:rsidRPr="00946C97">
        <w:rPr>
          <w:rFonts w:ascii="Times New Roman" w:eastAsia="Times New Roman" w:hAnsi="Times New Roman" w:cs="Times New Roman"/>
          <w:i/>
          <w:szCs w:val="24"/>
        </w:rPr>
        <w:t>Wholesale Service Standard Inquiry Draft Decision</w:t>
      </w:r>
      <w:r w:rsidRPr="00946C97">
        <w:rPr>
          <w:rFonts w:ascii="Times New Roman" w:eastAsia="Times New Roman" w:hAnsi="Times New Roman" w:cs="Times New Roman"/>
          <w:szCs w:val="24"/>
        </w:rPr>
        <w:t xml:space="preserve"> and clear pricing oversight is the first step to addressing these issues.</w:t>
      </w:r>
      <w:r w:rsidRPr="00946C97">
        <w:rPr>
          <w:rFonts w:ascii="Times New Roman" w:eastAsia="Calibri" w:hAnsi="Times New Roman" w:cs="Times New Roman"/>
          <w:lang w:eastAsia="en-US"/>
        </w:rPr>
        <w:t xml:space="preserve">     </w:t>
      </w:r>
    </w:p>
    <w:p w:rsidR="00E570C5" w:rsidRDefault="00671157" w:rsidP="00655230">
      <w:pPr>
        <w:pStyle w:val="BodyText1"/>
        <w:spacing w:after="0"/>
        <w:jc w:val="both"/>
        <w:rPr>
          <w:rFonts w:ascii="Times New Roman" w:hAnsi="Times New Roman" w:cs="Times New Roman"/>
          <w:color w:val="auto"/>
        </w:rPr>
      </w:pPr>
      <w:r>
        <w:rPr>
          <w:rFonts w:ascii="Times New Roman" w:hAnsi="Times New Roman" w:cs="Times New Roman"/>
          <w:color w:val="auto"/>
        </w:rPr>
        <w:t>ACCAN strongly supports the adoption of uniform wholesale service standards fo</w:t>
      </w:r>
      <w:r w:rsidR="005E0E94">
        <w:rPr>
          <w:rFonts w:ascii="Times New Roman" w:hAnsi="Times New Roman" w:cs="Times New Roman"/>
          <w:color w:val="auto"/>
        </w:rPr>
        <w:t xml:space="preserve">r networks in new developments. </w:t>
      </w:r>
      <w:r w:rsidR="002C6DA9">
        <w:rPr>
          <w:rFonts w:ascii="Times New Roman" w:hAnsi="Times New Roman" w:cs="Times New Roman"/>
          <w:color w:val="auto"/>
        </w:rPr>
        <w:t xml:space="preserve">Consumers, whether users of the NBN or non-NBN networks should be able to access </w:t>
      </w:r>
      <w:r w:rsidR="00CA3B26">
        <w:rPr>
          <w:rFonts w:ascii="Times New Roman" w:hAnsi="Times New Roman" w:cs="Times New Roman"/>
          <w:color w:val="auto"/>
        </w:rPr>
        <w:t xml:space="preserve">reliable services </w:t>
      </w:r>
      <w:r w:rsidR="001A1D2B">
        <w:rPr>
          <w:rFonts w:ascii="Times New Roman" w:hAnsi="Times New Roman" w:cs="Times New Roman"/>
          <w:color w:val="auto"/>
        </w:rPr>
        <w:t>that perform in accordance with their expectations and the way in which they are described.</w:t>
      </w:r>
      <w:r w:rsidR="00E570C5">
        <w:rPr>
          <w:rFonts w:ascii="Times New Roman" w:hAnsi="Times New Roman" w:cs="Times New Roman"/>
          <w:color w:val="auto"/>
        </w:rPr>
        <w:t xml:space="preserve"> </w:t>
      </w:r>
    </w:p>
    <w:p w:rsidR="00415360" w:rsidRDefault="00415360" w:rsidP="00655230">
      <w:pPr>
        <w:pStyle w:val="BodyText1"/>
        <w:spacing w:after="0"/>
        <w:jc w:val="both"/>
        <w:rPr>
          <w:rFonts w:ascii="Times New Roman" w:hAnsi="Times New Roman" w:cs="Times New Roman"/>
          <w:color w:val="auto"/>
        </w:rPr>
      </w:pPr>
    </w:p>
    <w:p w:rsidR="0078776C" w:rsidRPr="0078776C" w:rsidRDefault="00946C97" w:rsidP="00655230">
      <w:pPr>
        <w:pStyle w:val="BodyText1"/>
        <w:spacing w:after="0"/>
        <w:jc w:val="both"/>
        <w:rPr>
          <w:rFonts w:ascii="Times New Roman" w:hAnsi="Times New Roman" w:cs="Times New Roman"/>
          <w:color w:val="auto"/>
        </w:rPr>
      </w:pPr>
      <w:r w:rsidRPr="0078776C">
        <w:rPr>
          <w:rFonts w:ascii="Times New Roman" w:hAnsi="Times New Roman" w:cs="Times New Roman"/>
          <w:color w:val="auto"/>
        </w:rPr>
        <w:t xml:space="preserve">In developing </w:t>
      </w:r>
      <w:r w:rsidR="00415360" w:rsidRPr="0078776C">
        <w:rPr>
          <w:rFonts w:ascii="Times New Roman" w:hAnsi="Times New Roman" w:cs="Times New Roman"/>
          <w:color w:val="auto"/>
        </w:rPr>
        <w:t>wholesale service standards, ACCAN belie</w:t>
      </w:r>
      <w:r w:rsidRPr="0078776C">
        <w:rPr>
          <w:rFonts w:ascii="Times New Roman" w:hAnsi="Times New Roman" w:cs="Times New Roman"/>
          <w:color w:val="auto"/>
        </w:rPr>
        <w:t xml:space="preserve">ves that this process </w:t>
      </w:r>
      <w:r w:rsidR="000C3EF3" w:rsidRPr="0078776C">
        <w:rPr>
          <w:rFonts w:ascii="Times New Roman" w:hAnsi="Times New Roman" w:cs="Times New Roman"/>
          <w:color w:val="auto"/>
        </w:rPr>
        <w:t>should</w:t>
      </w:r>
      <w:r w:rsidRPr="0078776C">
        <w:rPr>
          <w:rFonts w:ascii="Times New Roman" w:hAnsi="Times New Roman" w:cs="Times New Roman"/>
          <w:color w:val="auto"/>
        </w:rPr>
        <w:t xml:space="preserve"> be undertaken in conjunction with the proposed development of NBN wholesale service standards recommended by the Department of Communications and the Arts in the recent report on consumer safeguards.</w:t>
      </w:r>
      <w:r w:rsidRPr="0078776C">
        <w:rPr>
          <w:rStyle w:val="FootnoteReference"/>
          <w:rFonts w:ascii="Times New Roman" w:hAnsi="Times New Roman" w:cs="Times New Roman"/>
          <w:color w:val="auto"/>
        </w:rPr>
        <w:footnoteReference w:id="3"/>
      </w:r>
      <w:r w:rsidRPr="0078776C">
        <w:rPr>
          <w:rFonts w:ascii="Times New Roman" w:hAnsi="Times New Roman" w:cs="Times New Roman"/>
          <w:color w:val="auto"/>
        </w:rPr>
        <w:t xml:space="preserve"> </w:t>
      </w:r>
      <w:r w:rsidR="009625A8" w:rsidRPr="0078776C">
        <w:rPr>
          <w:rFonts w:ascii="Times New Roman" w:hAnsi="Times New Roman" w:cs="Times New Roman"/>
          <w:color w:val="auto"/>
        </w:rPr>
        <w:t xml:space="preserve">The contemporaneous development of </w:t>
      </w:r>
      <w:r w:rsidR="0078776C" w:rsidRPr="0078776C">
        <w:rPr>
          <w:rFonts w:ascii="Times New Roman" w:hAnsi="Times New Roman" w:cs="Times New Roman"/>
          <w:color w:val="auto"/>
        </w:rPr>
        <w:t>these standards would facilitate a level playing field and ensure that wholesale infrastructure providers</w:t>
      </w:r>
      <w:r w:rsidR="006646EC">
        <w:rPr>
          <w:rFonts w:ascii="Times New Roman" w:hAnsi="Times New Roman" w:cs="Times New Roman"/>
          <w:color w:val="auto"/>
        </w:rPr>
        <w:t>,</w:t>
      </w:r>
      <w:r w:rsidR="0078776C" w:rsidRPr="0078776C">
        <w:rPr>
          <w:rFonts w:ascii="Times New Roman" w:hAnsi="Times New Roman" w:cs="Times New Roman"/>
          <w:color w:val="auto"/>
        </w:rPr>
        <w:t xml:space="preserve"> whether NBN or private providers</w:t>
      </w:r>
      <w:r w:rsidR="006646EC">
        <w:rPr>
          <w:rFonts w:ascii="Times New Roman" w:hAnsi="Times New Roman" w:cs="Times New Roman"/>
          <w:color w:val="auto"/>
        </w:rPr>
        <w:t>,</w:t>
      </w:r>
      <w:r w:rsidR="0078776C" w:rsidRPr="0078776C">
        <w:rPr>
          <w:rFonts w:ascii="Times New Roman" w:hAnsi="Times New Roman" w:cs="Times New Roman"/>
          <w:color w:val="auto"/>
        </w:rPr>
        <w:t xml:space="preserve"> compete on equal terms. The application of consistent wholesale service standards and reporting arrangements would also facilitate greater transparency and accountability on the part of NBN and non-NBN infrastructure providers, allowing for developers and consumers to better exercise their influence through an easier assessment of network quality. </w:t>
      </w:r>
    </w:p>
    <w:p w:rsidR="00655230" w:rsidRDefault="00655230" w:rsidP="00655230">
      <w:pPr>
        <w:pStyle w:val="BodyText1"/>
        <w:spacing w:after="0"/>
        <w:jc w:val="both"/>
        <w:rPr>
          <w:rFonts w:ascii="Times New Roman" w:hAnsi="Times New Roman" w:cs="Times New Roman"/>
          <w:color w:val="auto"/>
        </w:rPr>
      </w:pPr>
    </w:p>
    <w:p w:rsidR="0078776C" w:rsidRDefault="00623E3F" w:rsidP="0078776C">
      <w:pPr>
        <w:pStyle w:val="Default"/>
        <w:spacing w:line="276" w:lineRule="auto"/>
        <w:jc w:val="both"/>
        <w:rPr>
          <w:sz w:val="22"/>
          <w:szCs w:val="22"/>
        </w:rPr>
      </w:pPr>
      <w:r>
        <w:rPr>
          <w:sz w:val="22"/>
          <w:szCs w:val="22"/>
        </w:rPr>
        <w:t>ACCAN considers that there are sound grounds for the extension of wholesale service</w:t>
      </w:r>
      <w:r w:rsidR="0078776C">
        <w:rPr>
          <w:sz w:val="22"/>
          <w:szCs w:val="22"/>
        </w:rPr>
        <w:t xml:space="preserve"> standards to non-NBN networks, in order to ensure competitively neutral regulatory arrangements that underpin the delivery of quality communications services and robust infrastructure competition. </w:t>
      </w:r>
    </w:p>
    <w:p w:rsidR="0078776C" w:rsidRDefault="0078776C" w:rsidP="0078776C">
      <w:pPr>
        <w:pStyle w:val="Default"/>
        <w:spacing w:line="276" w:lineRule="auto"/>
        <w:jc w:val="both"/>
        <w:rPr>
          <w:sz w:val="22"/>
          <w:szCs w:val="22"/>
        </w:rPr>
      </w:pPr>
    </w:p>
    <w:p w:rsidR="00AB0E7E" w:rsidRPr="00036ECA" w:rsidRDefault="0078776C" w:rsidP="00036ECA">
      <w:pPr>
        <w:pStyle w:val="Default"/>
        <w:spacing w:line="276" w:lineRule="auto"/>
        <w:jc w:val="both"/>
        <w:rPr>
          <w:sz w:val="22"/>
          <w:szCs w:val="22"/>
        </w:rPr>
      </w:pPr>
      <w:r w:rsidRPr="0078776C">
        <w:rPr>
          <w:sz w:val="22"/>
        </w:rPr>
        <w:t xml:space="preserve">ACCAN thanks the Department for the opportunity to contribute to this important consultation. </w:t>
      </w:r>
      <w:r w:rsidRPr="0078776C">
        <w:rPr>
          <w:color w:val="auto"/>
          <w:sz w:val="22"/>
        </w:rPr>
        <w:t>Should the Department require any further information or clarification concerning any of the issues raised in this submission please do not hesitate to get in contact</w:t>
      </w:r>
      <w:r w:rsidR="00AB0E7E">
        <w:rPr>
          <w:color w:val="auto"/>
          <w:sz w:val="22"/>
        </w:rPr>
        <w:t xml:space="preserve"> with Una Lawrence, ACCAN Director of Policy</w:t>
      </w:r>
      <w:r w:rsidRPr="0078776C">
        <w:rPr>
          <w:color w:val="auto"/>
          <w:sz w:val="22"/>
        </w:rPr>
        <w:t>.</w:t>
      </w:r>
    </w:p>
    <w:sectPr w:rsidR="00AB0E7E" w:rsidRPr="00036ECA" w:rsidSect="00C7127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8F" w:rsidRDefault="008C208F" w:rsidP="00C7127B">
      <w:pPr>
        <w:spacing w:after="0" w:line="240" w:lineRule="auto"/>
      </w:pPr>
      <w:r>
        <w:separator/>
      </w:r>
    </w:p>
  </w:endnote>
  <w:endnote w:type="continuationSeparator" w:id="0">
    <w:p w:rsidR="008C208F" w:rsidRDefault="008C208F"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6631EE" w:rsidRDefault="00C7127B" w:rsidP="00C7127B">
    <w:pPr>
      <w:spacing w:after="0" w:line="240" w:lineRule="auto"/>
      <w:rPr>
        <w:rFonts w:ascii="Times New Roman" w:hAnsi="Times New Roman" w:cs="Times New Roman"/>
        <w:color w:val="23B0E6"/>
      </w:rPr>
    </w:pPr>
    <w:r w:rsidRPr="006631EE">
      <w:rPr>
        <w:rFonts w:ascii="Times New Roman" w:hAnsi="Times New Roman" w:cs="Times New Roman"/>
        <w:color w:val="23B0E6"/>
      </w:rPr>
      <w:t>www.accan.org.au | info@accan.org.au | twitter: @ACCAN_AU</w:t>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rPr>
      <w:fldChar w:fldCharType="begin"/>
    </w:r>
    <w:r w:rsidRPr="006631EE">
      <w:rPr>
        <w:rFonts w:ascii="Times New Roman" w:hAnsi="Times New Roman" w:cs="Times New Roman"/>
      </w:rPr>
      <w:instrText xml:space="preserve"> PAGE   \* MERGEFORMAT </w:instrText>
    </w:r>
    <w:r w:rsidRPr="006631EE">
      <w:rPr>
        <w:rFonts w:ascii="Times New Roman" w:hAnsi="Times New Roman" w:cs="Times New Roman"/>
      </w:rPr>
      <w:fldChar w:fldCharType="separate"/>
    </w:r>
    <w:r w:rsidR="00036ECA">
      <w:rPr>
        <w:rFonts w:ascii="Times New Roman" w:hAnsi="Times New Roman" w:cs="Times New Roman"/>
        <w:noProof/>
      </w:rPr>
      <w:t>2</w:t>
    </w:r>
    <w:r w:rsidRPr="006631EE">
      <w:rPr>
        <w:rFonts w:ascii="Times New Roman" w:hAnsi="Times New Roman" w:cs="Times New Roman"/>
        <w:noProof/>
      </w:rPr>
      <w:fldChar w:fldCharType="end"/>
    </w:r>
    <w:r w:rsidR="006631EE" w:rsidRPr="006631EE">
      <w:rPr>
        <w:rFonts w:ascii="Times New Roman" w:hAnsi="Times New Roman" w:cs="Times New Roman"/>
        <w:noProof/>
      </w:rPr>
      <w:t>.</w:t>
    </w:r>
  </w:p>
  <w:p w:rsidR="00C7127B" w:rsidRPr="006631EE" w:rsidRDefault="00C7127B">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7949B6" w:rsidP="007949B6">
    <w:pPr>
      <w:spacing w:after="0"/>
      <w:ind w:hanging="567"/>
      <w:rPr>
        <w:color w:val="23B0E6"/>
      </w:rPr>
    </w:pPr>
    <w:r w:rsidRPr="00E05115">
      <w:rPr>
        <w:color w:val="23B0E6"/>
      </w:rPr>
      <w:t>Australian Communications Consumer Action Network (ACCAN)</w:t>
    </w:r>
  </w:p>
  <w:p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7949B6" w:rsidP="007949B6">
    <w:pPr>
      <w:spacing w:after="0"/>
      <w:ind w:hanging="567"/>
    </w:pPr>
    <w:r>
      <w:t>PO Box 639, Broadway NSW 2007</w:t>
    </w:r>
  </w:p>
  <w:p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8F" w:rsidRDefault="008C208F" w:rsidP="00C7127B">
      <w:pPr>
        <w:spacing w:after="0" w:line="240" w:lineRule="auto"/>
      </w:pPr>
      <w:r>
        <w:separator/>
      </w:r>
    </w:p>
  </w:footnote>
  <w:footnote w:type="continuationSeparator" w:id="0">
    <w:p w:rsidR="008C208F" w:rsidRDefault="008C208F" w:rsidP="00C7127B">
      <w:pPr>
        <w:spacing w:after="0" w:line="240" w:lineRule="auto"/>
      </w:pPr>
      <w:r>
        <w:continuationSeparator/>
      </w:r>
    </w:p>
  </w:footnote>
  <w:footnote w:id="1">
    <w:p w:rsidR="004E70BD" w:rsidRPr="00946C97" w:rsidRDefault="004E70BD" w:rsidP="00415360">
      <w:pPr>
        <w:pStyle w:val="Bibliography"/>
        <w:spacing w:after="0" w:line="240" w:lineRule="auto"/>
        <w:rPr>
          <w:rFonts w:ascii="Times New Roman" w:hAnsi="Times New Roman" w:cs="Times New Roman"/>
          <w:sz w:val="20"/>
          <w:szCs w:val="20"/>
        </w:rPr>
      </w:pPr>
      <w:r w:rsidRPr="00946C97">
        <w:rPr>
          <w:rStyle w:val="FootnoteReference"/>
          <w:rFonts w:ascii="Times New Roman" w:hAnsi="Times New Roman" w:cs="Times New Roman"/>
          <w:sz w:val="20"/>
          <w:szCs w:val="20"/>
        </w:rPr>
        <w:footnoteRef/>
      </w:r>
      <w:r w:rsidRPr="00946C97">
        <w:rPr>
          <w:rFonts w:ascii="Times New Roman" w:hAnsi="Times New Roman" w:cs="Times New Roman"/>
          <w:sz w:val="20"/>
          <w:szCs w:val="20"/>
        </w:rPr>
        <w:t xml:space="preserve">. </w:t>
      </w:r>
      <w:proofErr w:type="gramStart"/>
      <w:r w:rsidRPr="00946C97">
        <w:rPr>
          <w:rFonts w:ascii="Times New Roman" w:hAnsi="Times New Roman" w:cs="Times New Roman"/>
          <w:sz w:val="20"/>
          <w:szCs w:val="20"/>
        </w:rPr>
        <w:t xml:space="preserve">Department of Communications and the Arts 2019, </w:t>
      </w:r>
      <w:r w:rsidRPr="00946C97">
        <w:rPr>
          <w:rFonts w:ascii="Times New Roman" w:hAnsi="Times New Roman" w:cs="Times New Roman"/>
          <w:i/>
          <w:iCs/>
          <w:sz w:val="20"/>
          <w:szCs w:val="20"/>
        </w:rPr>
        <w:t>Telecommunications in New Developments</w:t>
      </w:r>
      <w:r w:rsidRPr="00946C97">
        <w:rPr>
          <w:rFonts w:ascii="Times New Roman" w:hAnsi="Times New Roman" w:cs="Times New Roman"/>
          <w:sz w:val="20"/>
          <w:szCs w:val="20"/>
        </w:rPr>
        <w:t>, viewed 11 December 2019, &lt;https://search.data.gov.au/dataset/ds-dga-7a5ba140-82c2-4746-b579-e59d524ae88d/details?q=telecommunications%20in%20new%20developments&gt;.</w:t>
      </w:r>
      <w:proofErr w:type="gramEnd"/>
    </w:p>
  </w:footnote>
  <w:footnote w:id="2">
    <w:p w:rsidR="00BC35F2" w:rsidRPr="00D05635" w:rsidRDefault="00BC35F2" w:rsidP="00D05635">
      <w:pPr>
        <w:pStyle w:val="FootnoteText"/>
        <w:jc w:val="both"/>
        <w:rPr>
          <w:rFonts w:ascii="Times New Roman" w:hAnsi="Times New Roman" w:cs="Times New Roman"/>
          <w:lang w:val="en-US"/>
        </w:rPr>
      </w:pPr>
      <w:r w:rsidRPr="00D05635">
        <w:rPr>
          <w:rStyle w:val="FootnoteReference"/>
          <w:rFonts w:ascii="Times New Roman" w:hAnsi="Times New Roman" w:cs="Times New Roman"/>
        </w:rPr>
        <w:footnoteRef/>
      </w:r>
      <w:r w:rsidRPr="00D05635">
        <w:rPr>
          <w:rFonts w:ascii="Times New Roman" w:hAnsi="Times New Roman" w:cs="Times New Roman"/>
        </w:rPr>
        <w:t xml:space="preserve"> </w:t>
      </w:r>
      <w:r w:rsidR="00816798" w:rsidRPr="00D05635">
        <w:rPr>
          <w:rFonts w:ascii="Times New Roman" w:hAnsi="Times New Roman" w:cs="Times New Roman"/>
        </w:rPr>
        <w:t>ACCAN 201</w:t>
      </w:r>
      <w:r w:rsidR="00816798">
        <w:rPr>
          <w:rFonts w:ascii="Times New Roman" w:hAnsi="Times New Roman" w:cs="Times New Roman"/>
        </w:rPr>
        <w:t xml:space="preserve">9, </w:t>
      </w:r>
      <w:r w:rsidR="00816798">
        <w:rPr>
          <w:rFonts w:ascii="Times New Roman" w:hAnsi="Times New Roman" w:cs="Times New Roman"/>
          <w:i/>
        </w:rPr>
        <w:t>ACCAN submission to the Department of Communications Consultation on changing the designated date,</w:t>
      </w:r>
      <w:r w:rsidR="00816798" w:rsidRPr="00D05635">
        <w:rPr>
          <w:rFonts w:ascii="Times New Roman" w:hAnsi="Times New Roman" w:cs="Times New Roman"/>
          <w:i/>
        </w:rPr>
        <w:t xml:space="preserve"> &lt;</w:t>
      </w:r>
      <w:hyperlink r:id="rId1" w:history="1">
        <w:r w:rsidR="00816798" w:rsidRPr="00D05635">
          <w:rPr>
            <w:rFonts w:ascii="Times New Roman" w:hAnsi="Times New Roman" w:cs="Times New Roman"/>
            <w:color w:val="0000FF"/>
            <w:u w:val="single"/>
          </w:rPr>
          <w:t>http://accan.org.au/our-work/policy/1575-telstra-s-south-brisbane-velocity-network-time-for-change</w:t>
        </w:r>
      </w:hyperlink>
      <w:r w:rsidR="00816798" w:rsidRPr="00D05635">
        <w:rPr>
          <w:rFonts w:ascii="Times New Roman" w:hAnsi="Times New Roman" w:cs="Times New Roman"/>
        </w:rPr>
        <w:t>&gt;</w:t>
      </w:r>
      <w:r w:rsidR="00816798">
        <w:rPr>
          <w:rFonts w:ascii="Times New Roman" w:hAnsi="Times New Roman" w:cs="Times New Roman"/>
        </w:rPr>
        <w:t xml:space="preserve">; more recent ACCAN benchmarking has reconfirmed the pricing outcomes observed at the time of the submission. ACCAN notes that the only point of departure has been a movement on the part of Telstra to align their NBN and non-NBN pricing, noting that Telstra’s retail prices are materially above those of the average provider. </w:t>
      </w:r>
      <w:r w:rsidR="00816798" w:rsidRPr="00D05635">
        <w:rPr>
          <w:rFonts w:ascii="Times New Roman" w:hAnsi="Times New Roman" w:cs="Times New Roman"/>
        </w:rPr>
        <w:t xml:space="preserve">  </w:t>
      </w:r>
    </w:p>
  </w:footnote>
  <w:footnote w:id="3">
    <w:p w:rsidR="00946C97" w:rsidRPr="00946C97" w:rsidRDefault="00946C97">
      <w:pPr>
        <w:pStyle w:val="FootnoteText"/>
        <w:rPr>
          <w:rFonts w:ascii="Times New Roman" w:hAnsi="Times New Roman" w:cs="Times New Roman"/>
          <w:lang w:val="en-US"/>
        </w:rPr>
      </w:pPr>
      <w:r w:rsidRPr="00946C97">
        <w:rPr>
          <w:rStyle w:val="FootnoteReference"/>
          <w:rFonts w:ascii="Times New Roman" w:hAnsi="Times New Roman" w:cs="Times New Roman"/>
        </w:rPr>
        <w:footnoteRef/>
      </w:r>
      <w:r w:rsidRPr="00946C97">
        <w:rPr>
          <w:rFonts w:ascii="Times New Roman" w:hAnsi="Times New Roman" w:cs="Times New Roman"/>
        </w:rPr>
        <w:t xml:space="preserve">. </w:t>
      </w:r>
      <w:proofErr w:type="gramStart"/>
      <w:r w:rsidRPr="00946C97">
        <w:rPr>
          <w:rFonts w:ascii="Times New Roman" w:hAnsi="Times New Roman" w:cs="Times New Roman"/>
        </w:rPr>
        <w:t xml:space="preserve">Department of Communications and the Arts, 2019, </w:t>
      </w:r>
      <w:r w:rsidRPr="00946C97">
        <w:rPr>
          <w:rFonts w:ascii="Times New Roman" w:hAnsi="Times New Roman" w:cs="Times New Roman"/>
          <w:i/>
        </w:rPr>
        <w:t>Consumer Safeguards Review – Part B (reliability of services) – Final Report</w:t>
      </w:r>
      <w:r>
        <w:rPr>
          <w:rFonts w:ascii="Times New Roman" w:hAnsi="Times New Roman" w:cs="Times New Roman"/>
        </w:rPr>
        <w:t>, Canberra, 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983739">
    <w:pPr>
      <w:pStyle w:val="Header"/>
    </w:pPr>
    <w:r>
      <w:rPr>
        <w:noProof/>
      </w:rPr>
      <w:drawing>
        <wp:anchor distT="0" distB="0" distL="114300" distR="114300" simplePos="0" relativeHeight="251659264" behindDoc="1" locked="0" layoutInCell="1" allowOverlap="1" wp14:anchorId="3F6EDEAD" wp14:editId="1B61620D">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7949B6">
    <w:pPr>
      <w:pStyle w:val="Header"/>
      <w:jc w:val="right"/>
    </w:pPr>
    <w:r>
      <w:rPr>
        <w:noProof/>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2580"/>
    <w:multiLevelType w:val="hybridMultilevel"/>
    <w:tmpl w:val="B080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36ECA"/>
    <w:rsid w:val="00041050"/>
    <w:rsid w:val="00056063"/>
    <w:rsid w:val="00064587"/>
    <w:rsid w:val="00074D20"/>
    <w:rsid w:val="0007604A"/>
    <w:rsid w:val="00090162"/>
    <w:rsid w:val="000C3EF3"/>
    <w:rsid w:val="000C514E"/>
    <w:rsid w:val="000F7AC7"/>
    <w:rsid w:val="00107668"/>
    <w:rsid w:val="001351BF"/>
    <w:rsid w:val="00155FA9"/>
    <w:rsid w:val="001A1D2B"/>
    <w:rsid w:val="00230AB4"/>
    <w:rsid w:val="00254505"/>
    <w:rsid w:val="002C6DA9"/>
    <w:rsid w:val="00352F2F"/>
    <w:rsid w:val="00376D8F"/>
    <w:rsid w:val="00392793"/>
    <w:rsid w:val="003A5555"/>
    <w:rsid w:val="003D22D4"/>
    <w:rsid w:val="00415360"/>
    <w:rsid w:val="00447966"/>
    <w:rsid w:val="00447EEB"/>
    <w:rsid w:val="004A22BC"/>
    <w:rsid w:val="004A4482"/>
    <w:rsid w:val="004C31E3"/>
    <w:rsid w:val="004C5E1B"/>
    <w:rsid w:val="004D7177"/>
    <w:rsid w:val="004E70BD"/>
    <w:rsid w:val="0050082E"/>
    <w:rsid w:val="00545597"/>
    <w:rsid w:val="005908FA"/>
    <w:rsid w:val="00596E29"/>
    <w:rsid w:val="005A0B2D"/>
    <w:rsid w:val="005E0E94"/>
    <w:rsid w:val="005E3730"/>
    <w:rsid w:val="005E689C"/>
    <w:rsid w:val="00617A7F"/>
    <w:rsid w:val="00623E3F"/>
    <w:rsid w:val="00655230"/>
    <w:rsid w:val="006631EE"/>
    <w:rsid w:val="006646EC"/>
    <w:rsid w:val="00665688"/>
    <w:rsid w:val="006667CA"/>
    <w:rsid w:val="00671157"/>
    <w:rsid w:val="00672757"/>
    <w:rsid w:val="006803A4"/>
    <w:rsid w:val="00680CD7"/>
    <w:rsid w:val="006B2ADF"/>
    <w:rsid w:val="006E24EE"/>
    <w:rsid w:val="00741EFD"/>
    <w:rsid w:val="00744735"/>
    <w:rsid w:val="0075680A"/>
    <w:rsid w:val="0078776C"/>
    <w:rsid w:val="007949B6"/>
    <w:rsid w:val="007A1188"/>
    <w:rsid w:val="007A3BB7"/>
    <w:rsid w:val="008049CB"/>
    <w:rsid w:val="00816798"/>
    <w:rsid w:val="00884E1C"/>
    <w:rsid w:val="008C208F"/>
    <w:rsid w:val="008C77F9"/>
    <w:rsid w:val="008C79AF"/>
    <w:rsid w:val="008D6106"/>
    <w:rsid w:val="00913B32"/>
    <w:rsid w:val="00946C97"/>
    <w:rsid w:val="0096241B"/>
    <w:rsid w:val="009625A8"/>
    <w:rsid w:val="00983739"/>
    <w:rsid w:val="009A131E"/>
    <w:rsid w:val="009C411E"/>
    <w:rsid w:val="009D3609"/>
    <w:rsid w:val="00A265E3"/>
    <w:rsid w:val="00A2779C"/>
    <w:rsid w:val="00A36E9F"/>
    <w:rsid w:val="00A45FD0"/>
    <w:rsid w:val="00A56D4C"/>
    <w:rsid w:val="00AA680F"/>
    <w:rsid w:val="00AB0E7E"/>
    <w:rsid w:val="00AC5742"/>
    <w:rsid w:val="00B04876"/>
    <w:rsid w:val="00B054B2"/>
    <w:rsid w:val="00B1650F"/>
    <w:rsid w:val="00B660A6"/>
    <w:rsid w:val="00B752DC"/>
    <w:rsid w:val="00B82653"/>
    <w:rsid w:val="00B84D60"/>
    <w:rsid w:val="00BC35F2"/>
    <w:rsid w:val="00BD3D1C"/>
    <w:rsid w:val="00BD63FD"/>
    <w:rsid w:val="00C7127B"/>
    <w:rsid w:val="00C91724"/>
    <w:rsid w:val="00C944DA"/>
    <w:rsid w:val="00CA3B26"/>
    <w:rsid w:val="00CC53C9"/>
    <w:rsid w:val="00CE0682"/>
    <w:rsid w:val="00CE2580"/>
    <w:rsid w:val="00CF0F1A"/>
    <w:rsid w:val="00D05635"/>
    <w:rsid w:val="00D25229"/>
    <w:rsid w:val="00D4433D"/>
    <w:rsid w:val="00D52AF6"/>
    <w:rsid w:val="00D644CF"/>
    <w:rsid w:val="00D64C17"/>
    <w:rsid w:val="00DA5687"/>
    <w:rsid w:val="00DE43B4"/>
    <w:rsid w:val="00DF058B"/>
    <w:rsid w:val="00DF411F"/>
    <w:rsid w:val="00DF7C8C"/>
    <w:rsid w:val="00E14217"/>
    <w:rsid w:val="00E16036"/>
    <w:rsid w:val="00E27BC0"/>
    <w:rsid w:val="00E56A63"/>
    <w:rsid w:val="00E570C5"/>
    <w:rsid w:val="00E62DD1"/>
    <w:rsid w:val="00E658A8"/>
    <w:rsid w:val="00EA099E"/>
    <w:rsid w:val="00EC1188"/>
    <w:rsid w:val="00EE380C"/>
    <w:rsid w:val="00F12BFD"/>
    <w:rsid w:val="00F429EB"/>
    <w:rsid w:val="00F4341F"/>
    <w:rsid w:val="00F80B20"/>
    <w:rsid w:val="00FE2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5E0E94"/>
    <w:rPr>
      <w:sz w:val="16"/>
      <w:szCs w:val="16"/>
    </w:rPr>
  </w:style>
  <w:style w:type="paragraph" w:styleId="CommentText">
    <w:name w:val="annotation text"/>
    <w:basedOn w:val="Normal"/>
    <w:link w:val="CommentTextChar"/>
    <w:uiPriority w:val="99"/>
    <w:semiHidden/>
    <w:unhideWhenUsed/>
    <w:rsid w:val="005E0E94"/>
    <w:pPr>
      <w:spacing w:line="240" w:lineRule="auto"/>
    </w:pPr>
    <w:rPr>
      <w:sz w:val="20"/>
      <w:szCs w:val="20"/>
    </w:rPr>
  </w:style>
  <w:style w:type="character" w:customStyle="1" w:styleId="CommentTextChar">
    <w:name w:val="Comment Text Char"/>
    <w:basedOn w:val="DefaultParagraphFont"/>
    <w:link w:val="CommentText"/>
    <w:uiPriority w:val="99"/>
    <w:semiHidden/>
    <w:rsid w:val="005E0E94"/>
    <w:rPr>
      <w:sz w:val="20"/>
      <w:szCs w:val="20"/>
    </w:rPr>
  </w:style>
  <w:style w:type="paragraph" w:styleId="CommentSubject">
    <w:name w:val="annotation subject"/>
    <w:basedOn w:val="CommentText"/>
    <w:next w:val="CommentText"/>
    <w:link w:val="CommentSubjectChar"/>
    <w:uiPriority w:val="99"/>
    <w:semiHidden/>
    <w:unhideWhenUsed/>
    <w:rsid w:val="005E0E94"/>
    <w:rPr>
      <w:b/>
      <w:bCs/>
    </w:rPr>
  </w:style>
  <w:style w:type="character" w:customStyle="1" w:styleId="CommentSubjectChar">
    <w:name w:val="Comment Subject Char"/>
    <w:basedOn w:val="CommentTextChar"/>
    <w:link w:val="CommentSubject"/>
    <w:uiPriority w:val="99"/>
    <w:semiHidden/>
    <w:rsid w:val="005E0E94"/>
    <w:rPr>
      <w:b/>
      <w:bCs/>
      <w:sz w:val="20"/>
      <w:szCs w:val="20"/>
    </w:rPr>
  </w:style>
  <w:style w:type="paragraph" w:styleId="BalloonText">
    <w:name w:val="Balloon Text"/>
    <w:basedOn w:val="Normal"/>
    <w:link w:val="BalloonTextChar"/>
    <w:uiPriority w:val="99"/>
    <w:semiHidden/>
    <w:unhideWhenUsed/>
    <w:rsid w:val="005E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94"/>
    <w:rPr>
      <w:rFonts w:ascii="Tahoma" w:hAnsi="Tahoma" w:cs="Tahoma"/>
      <w:sz w:val="16"/>
      <w:szCs w:val="16"/>
    </w:rPr>
  </w:style>
  <w:style w:type="paragraph" w:customStyle="1" w:styleId="Default">
    <w:name w:val="Default"/>
    <w:rsid w:val="008C77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4E70BD"/>
  </w:style>
  <w:style w:type="character" w:styleId="FootnoteReference">
    <w:name w:val="footnote reference"/>
    <w:basedOn w:val="DefaultParagraphFont"/>
    <w:uiPriority w:val="99"/>
    <w:semiHidden/>
    <w:unhideWhenUsed/>
    <w:rsid w:val="004E70BD"/>
    <w:rPr>
      <w:vertAlign w:val="superscript"/>
    </w:rPr>
  </w:style>
  <w:style w:type="paragraph" w:styleId="ListParagraph">
    <w:name w:val="List Paragraph"/>
    <w:basedOn w:val="Normal"/>
    <w:uiPriority w:val="34"/>
    <w:qFormat/>
    <w:rsid w:val="00DE43B4"/>
    <w:pPr>
      <w:ind w:left="720"/>
      <w:contextualSpacing/>
    </w:pPr>
    <w:rPr>
      <w:rFonts w:eastAsiaTheme="minorHAnsi"/>
      <w:lang w:val="en-US" w:eastAsia="en-US"/>
    </w:rPr>
  </w:style>
  <w:style w:type="paragraph" w:styleId="FootnoteText">
    <w:name w:val="footnote text"/>
    <w:basedOn w:val="Normal"/>
    <w:link w:val="FootnoteTextChar"/>
    <w:uiPriority w:val="99"/>
    <w:semiHidden/>
    <w:unhideWhenUsed/>
    <w:rsid w:val="00946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C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5E0E94"/>
    <w:rPr>
      <w:sz w:val="16"/>
      <w:szCs w:val="16"/>
    </w:rPr>
  </w:style>
  <w:style w:type="paragraph" w:styleId="CommentText">
    <w:name w:val="annotation text"/>
    <w:basedOn w:val="Normal"/>
    <w:link w:val="CommentTextChar"/>
    <w:uiPriority w:val="99"/>
    <w:semiHidden/>
    <w:unhideWhenUsed/>
    <w:rsid w:val="005E0E94"/>
    <w:pPr>
      <w:spacing w:line="240" w:lineRule="auto"/>
    </w:pPr>
    <w:rPr>
      <w:sz w:val="20"/>
      <w:szCs w:val="20"/>
    </w:rPr>
  </w:style>
  <w:style w:type="character" w:customStyle="1" w:styleId="CommentTextChar">
    <w:name w:val="Comment Text Char"/>
    <w:basedOn w:val="DefaultParagraphFont"/>
    <w:link w:val="CommentText"/>
    <w:uiPriority w:val="99"/>
    <w:semiHidden/>
    <w:rsid w:val="005E0E94"/>
    <w:rPr>
      <w:sz w:val="20"/>
      <w:szCs w:val="20"/>
    </w:rPr>
  </w:style>
  <w:style w:type="paragraph" w:styleId="CommentSubject">
    <w:name w:val="annotation subject"/>
    <w:basedOn w:val="CommentText"/>
    <w:next w:val="CommentText"/>
    <w:link w:val="CommentSubjectChar"/>
    <w:uiPriority w:val="99"/>
    <w:semiHidden/>
    <w:unhideWhenUsed/>
    <w:rsid w:val="005E0E94"/>
    <w:rPr>
      <w:b/>
      <w:bCs/>
    </w:rPr>
  </w:style>
  <w:style w:type="character" w:customStyle="1" w:styleId="CommentSubjectChar">
    <w:name w:val="Comment Subject Char"/>
    <w:basedOn w:val="CommentTextChar"/>
    <w:link w:val="CommentSubject"/>
    <w:uiPriority w:val="99"/>
    <w:semiHidden/>
    <w:rsid w:val="005E0E94"/>
    <w:rPr>
      <w:b/>
      <w:bCs/>
      <w:sz w:val="20"/>
      <w:szCs w:val="20"/>
    </w:rPr>
  </w:style>
  <w:style w:type="paragraph" w:styleId="BalloonText">
    <w:name w:val="Balloon Text"/>
    <w:basedOn w:val="Normal"/>
    <w:link w:val="BalloonTextChar"/>
    <w:uiPriority w:val="99"/>
    <w:semiHidden/>
    <w:unhideWhenUsed/>
    <w:rsid w:val="005E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94"/>
    <w:rPr>
      <w:rFonts w:ascii="Tahoma" w:hAnsi="Tahoma" w:cs="Tahoma"/>
      <w:sz w:val="16"/>
      <w:szCs w:val="16"/>
    </w:rPr>
  </w:style>
  <w:style w:type="paragraph" w:customStyle="1" w:styleId="Default">
    <w:name w:val="Default"/>
    <w:rsid w:val="008C77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4E70BD"/>
  </w:style>
  <w:style w:type="character" w:styleId="FootnoteReference">
    <w:name w:val="footnote reference"/>
    <w:basedOn w:val="DefaultParagraphFont"/>
    <w:uiPriority w:val="99"/>
    <w:semiHidden/>
    <w:unhideWhenUsed/>
    <w:rsid w:val="004E70BD"/>
    <w:rPr>
      <w:vertAlign w:val="superscript"/>
    </w:rPr>
  </w:style>
  <w:style w:type="paragraph" w:styleId="ListParagraph">
    <w:name w:val="List Paragraph"/>
    <w:basedOn w:val="Normal"/>
    <w:uiPriority w:val="34"/>
    <w:qFormat/>
    <w:rsid w:val="00DE43B4"/>
    <w:pPr>
      <w:ind w:left="720"/>
      <w:contextualSpacing/>
    </w:pPr>
    <w:rPr>
      <w:rFonts w:eastAsiaTheme="minorHAnsi"/>
      <w:lang w:val="en-US" w:eastAsia="en-US"/>
    </w:rPr>
  </w:style>
  <w:style w:type="paragraph" w:styleId="FootnoteText">
    <w:name w:val="footnote text"/>
    <w:basedOn w:val="Normal"/>
    <w:link w:val="FootnoteTextChar"/>
    <w:uiPriority w:val="99"/>
    <w:semiHidden/>
    <w:unhideWhenUsed/>
    <w:rsid w:val="00946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C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w.developments@communication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can.org.au/our-work/policy/1575-telstra-s-south-brisbane-velocity-network-time-for-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D4D8-74BE-4C99-B521-74C11BAC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Meredith Lea</cp:lastModifiedBy>
  <cp:revision>3</cp:revision>
  <dcterms:created xsi:type="dcterms:W3CDTF">2020-01-14T22:18:00Z</dcterms:created>
  <dcterms:modified xsi:type="dcterms:W3CDTF">2020-03-04T23:14:00Z</dcterms:modified>
</cp:coreProperties>
</file>