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71B3" w14:textId="77777777" w:rsidR="00C36EF0" w:rsidRDefault="00C36EF0" w:rsidP="00C6201E">
      <w:pPr>
        <w:pStyle w:val="BodyText1"/>
        <w:rPr>
          <w:rFonts w:asciiTheme="minorHAnsi" w:hAnsiTheme="minorHAnsi" w:cstheme="minorHAnsi"/>
        </w:rPr>
      </w:pPr>
    </w:p>
    <w:p w14:paraId="2D618D8A" w14:textId="77777777" w:rsidR="00C36EF0" w:rsidRDefault="00C36EF0" w:rsidP="00C6201E">
      <w:pPr>
        <w:pStyle w:val="BodyText1"/>
        <w:rPr>
          <w:rFonts w:asciiTheme="minorHAnsi" w:hAnsiTheme="minorHAnsi" w:cstheme="minorHAnsi"/>
        </w:rPr>
      </w:pPr>
    </w:p>
    <w:p w14:paraId="4671CC4A" w14:textId="77777777" w:rsidR="00C36EF0" w:rsidRDefault="00C36EF0" w:rsidP="00C6201E">
      <w:pPr>
        <w:pStyle w:val="BodyText1"/>
        <w:rPr>
          <w:rFonts w:asciiTheme="minorHAnsi" w:hAnsiTheme="minorHAnsi" w:cstheme="minorHAnsi"/>
        </w:rPr>
      </w:pPr>
    </w:p>
    <w:p w14:paraId="032DCA09" w14:textId="64A15AC3" w:rsidR="00C7127B" w:rsidRPr="00B44812" w:rsidRDefault="00C81FF6" w:rsidP="00C6201E">
      <w:pPr>
        <w:pStyle w:val="BodyTex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465FB">
        <w:rPr>
          <w:rFonts w:asciiTheme="minorHAnsi" w:hAnsiTheme="minorHAnsi" w:cstheme="minorHAnsi"/>
        </w:rPr>
        <w:t>9</w:t>
      </w:r>
      <w:r w:rsidR="00D7123B" w:rsidRPr="00B44812">
        <w:rPr>
          <w:rFonts w:asciiTheme="minorHAnsi" w:hAnsiTheme="minorHAnsi" w:cstheme="minorHAnsi"/>
        </w:rPr>
        <w:t xml:space="preserve"> March 2020</w:t>
      </w:r>
    </w:p>
    <w:p w14:paraId="741ACB43" w14:textId="77777777" w:rsidR="00F03FE7" w:rsidRPr="00B44812" w:rsidRDefault="00D7123B" w:rsidP="00F03FE7">
      <w:pPr>
        <w:pStyle w:val="BodyText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 xml:space="preserve">Eve </w:t>
      </w:r>
      <w:proofErr w:type="spellStart"/>
      <w:r w:rsidRPr="00B44812">
        <w:rPr>
          <w:rFonts w:asciiTheme="minorHAnsi" w:hAnsiTheme="minorHAnsi" w:cstheme="minorHAnsi"/>
        </w:rPr>
        <w:t>Osiowy</w:t>
      </w:r>
      <w:proofErr w:type="spellEnd"/>
      <w:r w:rsidRPr="00B44812">
        <w:rPr>
          <w:rFonts w:asciiTheme="minorHAnsi" w:hAnsiTheme="minorHAnsi" w:cstheme="minorHAnsi"/>
        </w:rPr>
        <w:br/>
        <w:t>Manager</w:t>
      </w:r>
      <w:r w:rsidRPr="00B44812">
        <w:rPr>
          <w:rFonts w:asciiTheme="minorHAnsi" w:hAnsiTheme="minorHAnsi" w:cstheme="minorHAnsi"/>
        </w:rPr>
        <w:br/>
        <w:t>Numbers Section</w:t>
      </w:r>
      <w:r w:rsidRPr="00B44812">
        <w:rPr>
          <w:rFonts w:asciiTheme="minorHAnsi" w:hAnsiTheme="minorHAnsi" w:cstheme="minorHAnsi"/>
        </w:rPr>
        <w:br/>
        <w:t>Australian Communications and Media Authority</w:t>
      </w:r>
      <w:r w:rsidR="00F03FE7" w:rsidRPr="00B44812">
        <w:rPr>
          <w:rFonts w:asciiTheme="minorHAnsi" w:hAnsiTheme="minorHAnsi" w:cstheme="minorHAnsi"/>
        </w:rPr>
        <w:br/>
        <w:t>PO Box 13112 Law Courts</w:t>
      </w:r>
      <w:r w:rsidR="00F03FE7" w:rsidRPr="00B44812">
        <w:rPr>
          <w:rFonts w:asciiTheme="minorHAnsi" w:hAnsiTheme="minorHAnsi" w:cstheme="minorHAnsi"/>
        </w:rPr>
        <w:br/>
        <w:t>Melbourne VIC 8010</w:t>
      </w:r>
    </w:p>
    <w:p w14:paraId="3F9E09B5" w14:textId="6FA09205" w:rsidR="00D7123B" w:rsidRPr="00B44812" w:rsidRDefault="00F03FE7" w:rsidP="00F03FE7">
      <w:pPr>
        <w:pStyle w:val="BodyText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>By email: N</w:t>
      </w:r>
      <w:r w:rsidR="00D7123B" w:rsidRPr="00B44812">
        <w:rPr>
          <w:rFonts w:asciiTheme="minorHAnsi" w:hAnsiTheme="minorHAnsi" w:cstheme="minorHAnsi"/>
        </w:rPr>
        <w:t>umbering@acma.gov.au</w:t>
      </w:r>
    </w:p>
    <w:p w14:paraId="3CECA262" w14:textId="77777777" w:rsidR="00D7123B" w:rsidRPr="00B44812" w:rsidRDefault="00D7123B" w:rsidP="00C6201E">
      <w:pPr>
        <w:pStyle w:val="BodyText1"/>
        <w:rPr>
          <w:rFonts w:asciiTheme="minorHAnsi" w:hAnsiTheme="minorHAnsi" w:cstheme="minorHAnsi"/>
        </w:rPr>
      </w:pPr>
    </w:p>
    <w:p w14:paraId="215FC8D2" w14:textId="4E3B5A0C" w:rsidR="00C6201E" w:rsidRPr="00B44812" w:rsidRDefault="00C6201E" w:rsidP="00C6201E">
      <w:pPr>
        <w:pStyle w:val="BodyText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>Dear</w:t>
      </w:r>
      <w:r w:rsidR="00D7123B" w:rsidRPr="00B44812">
        <w:rPr>
          <w:rFonts w:asciiTheme="minorHAnsi" w:hAnsiTheme="minorHAnsi" w:cstheme="minorHAnsi"/>
        </w:rPr>
        <w:t xml:space="preserve"> Eve</w:t>
      </w:r>
    </w:p>
    <w:p w14:paraId="72A7EE96" w14:textId="77777777" w:rsidR="00C7127B" w:rsidRPr="00B44812" w:rsidRDefault="00C6201E" w:rsidP="00C6201E">
      <w:pPr>
        <w:pStyle w:val="BodyText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  <w:b/>
        </w:rPr>
        <w:t>RE: Review of Telecommunications (Provision of Pre-Selection) Determination 2015</w:t>
      </w:r>
    </w:p>
    <w:p w14:paraId="681AC616" w14:textId="3DAB617A" w:rsidR="00A42C1D" w:rsidRPr="00B44812" w:rsidRDefault="00D7123B" w:rsidP="00F03FE7">
      <w:pPr>
        <w:pStyle w:val="BodyText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>ACCAN thanks the ACMA f</w:t>
      </w:r>
      <w:r w:rsidR="00F03FE7" w:rsidRPr="00B44812">
        <w:rPr>
          <w:rFonts w:asciiTheme="minorHAnsi" w:hAnsiTheme="minorHAnsi" w:cstheme="minorHAnsi"/>
        </w:rPr>
        <w:t>or the opportunity</w:t>
      </w:r>
      <w:r w:rsidRPr="00B44812">
        <w:rPr>
          <w:rFonts w:asciiTheme="minorHAnsi" w:hAnsiTheme="minorHAnsi" w:cstheme="minorHAnsi"/>
        </w:rPr>
        <w:t xml:space="preserve"> to comment on the review of the </w:t>
      </w:r>
      <w:r w:rsidR="00F03FE7" w:rsidRPr="00B44812">
        <w:rPr>
          <w:rFonts w:asciiTheme="minorHAnsi" w:hAnsiTheme="minorHAnsi" w:cstheme="minorHAnsi"/>
        </w:rPr>
        <w:t xml:space="preserve">Telecommunications (Provision of Pre-Selection) Determination 2015 </w:t>
      </w:r>
      <w:r w:rsidRPr="00B44812">
        <w:rPr>
          <w:rFonts w:asciiTheme="minorHAnsi" w:hAnsiTheme="minorHAnsi" w:cstheme="minorHAnsi"/>
        </w:rPr>
        <w:t>(hereafter the Determination).</w:t>
      </w:r>
      <w:r w:rsidR="00BD25B1" w:rsidRPr="00B44812">
        <w:rPr>
          <w:rFonts w:asciiTheme="minorHAnsi" w:hAnsiTheme="minorHAnsi" w:cstheme="minorHAnsi"/>
        </w:rPr>
        <w:t xml:space="preserve"> </w:t>
      </w:r>
    </w:p>
    <w:p w14:paraId="73D024B0" w14:textId="1BA42EB0" w:rsidR="00B44812" w:rsidRPr="00B44812" w:rsidRDefault="00B44812" w:rsidP="00B44812">
      <w:pPr>
        <w:pStyle w:val="BodyText1"/>
        <w:spacing w:after="100" w:afterAutospacing="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 xml:space="preserve">In </w:t>
      </w:r>
      <w:r w:rsidR="00143315">
        <w:rPr>
          <w:rFonts w:asciiTheme="minorHAnsi" w:hAnsiTheme="minorHAnsi" w:cstheme="minorHAnsi"/>
        </w:rPr>
        <w:t>2013</w:t>
      </w:r>
      <w:r w:rsidRPr="00B44812">
        <w:rPr>
          <w:rFonts w:asciiTheme="minorHAnsi" w:hAnsiTheme="minorHAnsi" w:cstheme="minorHAnsi"/>
        </w:rPr>
        <w:t xml:space="preserve">, ACCAN </w:t>
      </w:r>
      <w:r w:rsidR="003433E5">
        <w:rPr>
          <w:rFonts w:asciiTheme="minorHAnsi" w:hAnsiTheme="minorHAnsi" w:cstheme="minorHAnsi"/>
        </w:rPr>
        <w:t>noted</w:t>
      </w:r>
      <w:r w:rsidRPr="00B44812">
        <w:rPr>
          <w:rFonts w:asciiTheme="minorHAnsi" w:hAnsiTheme="minorHAnsi" w:cstheme="minorHAnsi"/>
        </w:rPr>
        <w:t xml:space="preserve"> a lack of consumer demand for pre-selection, </w:t>
      </w:r>
      <w:r w:rsidR="003433E5">
        <w:rPr>
          <w:rFonts w:asciiTheme="minorHAnsi" w:hAnsiTheme="minorHAnsi" w:cstheme="minorHAnsi"/>
        </w:rPr>
        <w:t xml:space="preserve">and for this reason </w:t>
      </w:r>
      <w:r w:rsidR="00281D56">
        <w:rPr>
          <w:rFonts w:asciiTheme="minorHAnsi" w:hAnsiTheme="minorHAnsi" w:cstheme="minorHAnsi"/>
        </w:rPr>
        <w:t xml:space="preserve">considered </w:t>
      </w:r>
      <w:r w:rsidR="00281D56" w:rsidRPr="00B44812">
        <w:rPr>
          <w:rFonts w:asciiTheme="minorHAnsi" w:hAnsiTheme="minorHAnsi" w:cstheme="minorHAnsi"/>
        </w:rPr>
        <w:t>that</w:t>
      </w:r>
      <w:r w:rsidR="009F551C">
        <w:rPr>
          <w:rFonts w:asciiTheme="minorHAnsi" w:hAnsiTheme="minorHAnsi" w:cstheme="minorHAnsi"/>
        </w:rPr>
        <w:t xml:space="preserve"> </w:t>
      </w:r>
      <w:r w:rsidRPr="00B44812">
        <w:rPr>
          <w:rFonts w:asciiTheme="minorHAnsi" w:hAnsiTheme="minorHAnsi" w:cstheme="minorHAnsi"/>
        </w:rPr>
        <w:t>only services delivered via copper network should be eligible for pre-selectable services.</w:t>
      </w:r>
      <w:r w:rsidRPr="00B44812">
        <w:rPr>
          <w:rStyle w:val="FootnoteReference"/>
          <w:rFonts w:asciiTheme="minorHAnsi" w:hAnsiTheme="minorHAnsi" w:cstheme="minorHAnsi"/>
        </w:rPr>
        <w:footnoteReference w:id="1"/>
      </w:r>
      <w:r w:rsidRPr="00B44812">
        <w:rPr>
          <w:rFonts w:asciiTheme="minorHAnsi" w:hAnsiTheme="minorHAnsi" w:cstheme="minorHAnsi"/>
        </w:rPr>
        <w:t xml:space="preserve"> </w:t>
      </w:r>
    </w:p>
    <w:p w14:paraId="05723E83" w14:textId="42CC8E42" w:rsidR="00C36EF0" w:rsidRDefault="00AC3B3D" w:rsidP="00C36EF0">
      <w:pPr>
        <w:pStyle w:val="BodyText1"/>
        <w:spacing w:after="100" w:afterAutospacing="1"/>
        <w:rPr>
          <w:rFonts w:asciiTheme="minorHAnsi" w:hAnsiTheme="minorHAnsi" w:cstheme="minorHAnsi"/>
        </w:rPr>
      </w:pPr>
      <w:bookmarkStart w:id="0" w:name="_Hlk35425970"/>
      <w:r>
        <w:rPr>
          <w:rFonts w:asciiTheme="minorHAnsi" w:hAnsiTheme="minorHAnsi" w:cstheme="minorHAnsi"/>
        </w:rPr>
        <w:t>ACCAN</w:t>
      </w:r>
      <w:r w:rsidRPr="00B44812">
        <w:rPr>
          <w:rFonts w:asciiTheme="minorHAnsi" w:hAnsiTheme="minorHAnsi" w:cstheme="minorHAnsi"/>
        </w:rPr>
        <w:t xml:space="preserve"> does not have access to granular data on the number of consumers </w:t>
      </w:r>
      <w:r w:rsidR="003433E5">
        <w:rPr>
          <w:rFonts w:asciiTheme="minorHAnsi" w:hAnsiTheme="minorHAnsi" w:cstheme="minorHAnsi"/>
        </w:rPr>
        <w:t xml:space="preserve">and small businesses </w:t>
      </w:r>
      <w:r w:rsidRPr="00B44812">
        <w:rPr>
          <w:rFonts w:asciiTheme="minorHAnsi" w:hAnsiTheme="minorHAnsi" w:cstheme="minorHAnsi"/>
        </w:rPr>
        <w:t>actively using pre-selectable services</w:t>
      </w:r>
      <w:r w:rsidR="002474C2">
        <w:rPr>
          <w:rFonts w:asciiTheme="minorHAnsi" w:hAnsiTheme="minorHAnsi" w:cstheme="minorHAnsi"/>
        </w:rPr>
        <w:t>,</w:t>
      </w:r>
      <w:r w:rsidRPr="00B44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 the number of</w:t>
      </w:r>
      <w:r w:rsidRPr="00B44812">
        <w:rPr>
          <w:rFonts w:asciiTheme="minorHAnsi" w:hAnsiTheme="minorHAnsi" w:cstheme="minorHAnsi"/>
        </w:rPr>
        <w:t xml:space="preserve"> </w:t>
      </w:r>
      <w:r w:rsidR="002474C2">
        <w:rPr>
          <w:rFonts w:asciiTheme="minorHAnsi" w:hAnsiTheme="minorHAnsi" w:cstheme="minorHAnsi"/>
        </w:rPr>
        <w:t xml:space="preserve">NBN fixed wireless or satellite </w:t>
      </w:r>
      <w:r>
        <w:rPr>
          <w:rFonts w:asciiTheme="minorHAnsi" w:hAnsiTheme="minorHAnsi" w:cstheme="minorHAnsi"/>
        </w:rPr>
        <w:t>consumers that</w:t>
      </w:r>
      <w:r w:rsidRPr="00B44812">
        <w:rPr>
          <w:rFonts w:asciiTheme="minorHAnsi" w:hAnsiTheme="minorHAnsi" w:cstheme="minorHAnsi"/>
        </w:rPr>
        <w:t xml:space="preserve"> will </w:t>
      </w:r>
      <w:r>
        <w:rPr>
          <w:rFonts w:asciiTheme="minorHAnsi" w:hAnsiTheme="minorHAnsi" w:cstheme="minorHAnsi"/>
        </w:rPr>
        <w:t>retain</w:t>
      </w:r>
      <w:r w:rsidRPr="00B44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access to these services </w:t>
      </w:r>
      <w:r w:rsidR="002474C2">
        <w:rPr>
          <w:rFonts w:asciiTheme="minorHAnsi" w:hAnsiTheme="minorHAnsi" w:cstheme="minorHAnsi"/>
        </w:rPr>
        <w:t>into the future</w:t>
      </w:r>
      <w:r w:rsidRPr="00B44812">
        <w:rPr>
          <w:rFonts w:asciiTheme="minorHAnsi" w:hAnsiTheme="minorHAnsi" w:cstheme="minorHAnsi"/>
        </w:rPr>
        <w:t>.</w:t>
      </w:r>
      <w:bookmarkEnd w:id="0"/>
      <w:r w:rsidRPr="00B44812">
        <w:rPr>
          <w:rFonts w:asciiTheme="minorHAnsi" w:hAnsiTheme="minorHAnsi" w:cstheme="minorHAnsi"/>
        </w:rPr>
        <w:t xml:space="preserve"> We urge the </w:t>
      </w:r>
      <w:r w:rsidR="00E95BE3">
        <w:rPr>
          <w:rFonts w:asciiTheme="minorHAnsi" w:hAnsiTheme="minorHAnsi" w:cstheme="minorHAnsi"/>
        </w:rPr>
        <w:t>ACMA</w:t>
      </w:r>
      <w:r w:rsidRPr="00B44812">
        <w:rPr>
          <w:rFonts w:asciiTheme="minorHAnsi" w:hAnsiTheme="minorHAnsi" w:cstheme="minorHAnsi"/>
        </w:rPr>
        <w:t xml:space="preserve"> to investigate </w:t>
      </w:r>
      <w:r>
        <w:rPr>
          <w:rFonts w:asciiTheme="minorHAnsi" w:hAnsiTheme="minorHAnsi" w:cstheme="minorHAnsi"/>
        </w:rPr>
        <w:t xml:space="preserve">this matter </w:t>
      </w:r>
      <w:r w:rsidRPr="00B44812">
        <w:rPr>
          <w:rFonts w:asciiTheme="minorHAnsi" w:hAnsiTheme="minorHAnsi" w:cstheme="minorHAnsi"/>
        </w:rPr>
        <w:t xml:space="preserve">further </w:t>
      </w:r>
      <w:r w:rsidR="007B48C6">
        <w:rPr>
          <w:rFonts w:asciiTheme="minorHAnsi" w:hAnsiTheme="minorHAnsi" w:cstheme="minorHAnsi"/>
        </w:rPr>
        <w:t xml:space="preserve">with Telstra and other </w:t>
      </w:r>
      <w:r w:rsidR="00A35317" w:rsidRPr="00B44812">
        <w:rPr>
          <w:rFonts w:asciiTheme="minorHAnsi" w:hAnsiTheme="minorHAnsi" w:cstheme="minorHAnsi"/>
        </w:rPr>
        <w:t xml:space="preserve">the </w:t>
      </w:r>
      <w:r w:rsidR="007B48C6">
        <w:rPr>
          <w:rFonts w:asciiTheme="minorHAnsi" w:hAnsiTheme="minorHAnsi" w:cstheme="minorHAnsi"/>
        </w:rPr>
        <w:t xml:space="preserve">RSPs </w:t>
      </w:r>
      <w:r w:rsidRPr="00B44812">
        <w:rPr>
          <w:rFonts w:asciiTheme="minorHAnsi" w:hAnsiTheme="minorHAnsi" w:cstheme="minorHAnsi"/>
        </w:rPr>
        <w:t>in order to assess the true impact of revoking or varying the Determination</w:t>
      </w:r>
      <w:r>
        <w:rPr>
          <w:rFonts w:asciiTheme="minorHAnsi" w:hAnsiTheme="minorHAnsi" w:cstheme="minorHAnsi"/>
        </w:rPr>
        <w:t xml:space="preserve">. </w:t>
      </w:r>
      <w:r w:rsidR="009D55E2">
        <w:rPr>
          <w:rFonts w:asciiTheme="minorHAnsi" w:hAnsiTheme="minorHAnsi" w:cstheme="minorHAnsi"/>
        </w:rPr>
        <w:t>Should the Determination be revoked or varied</w:t>
      </w:r>
      <w:r>
        <w:rPr>
          <w:rFonts w:asciiTheme="minorHAnsi" w:hAnsiTheme="minorHAnsi" w:cstheme="minorHAnsi"/>
        </w:rPr>
        <w:t>, the ACMA should establish</w:t>
      </w:r>
      <w:r w:rsidRPr="00B44812">
        <w:rPr>
          <w:rFonts w:asciiTheme="minorHAnsi" w:hAnsiTheme="minorHAnsi" w:cstheme="minorHAnsi"/>
        </w:rPr>
        <w:t xml:space="preserve"> transitionary measures</w:t>
      </w:r>
      <w:r>
        <w:rPr>
          <w:rFonts w:asciiTheme="minorHAnsi" w:hAnsiTheme="minorHAnsi" w:cstheme="minorHAnsi"/>
        </w:rPr>
        <w:t xml:space="preserve"> for affected consumers, especially in the interest of small business owners</w:t>
      </w:r>
      <w:r w:rsidRPr="00B44812">
        <w:rPr>
          <w:rFonts w:asciiTheme="minorHAnsi" w:hAnsiTheme="minorHAnsi" w:cstheme="minorHAnsi"/>
        </w:rPr>
        <w:t xml:space="preserve"> </w:t>
      </w:r>
      <w:r w:rsidR="006E24EF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whom pre-selectable services have traditionally been popular. </w:t>
      </w:r>
    </w:p>
    <w:p w14:paraId="7092F4F8" w14:textId="3C7A4F65" w:rsidR="00C36EF0" w:rsidRDefault="00DA5550" w:rsidP="00C36EF0">
      <w:pPr>
        <w:pStyle w:val="BodyText1"/>
        <w:spacing w:after="100" w:afterAutospacing="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lastRenderedPageBreak/>
        <w:t>The communications landscape has changed dramatically since the introduction of pre-selection</w:t>
      </w:r>
      <w:r>
        <w:rPr>
          <w:rFonts w:asciiTheme="minorHAnsi" w:hAnsiTheme="minorHAnsi" w:cstheme="minorHAnsi"/>
        </w:rPr>
        <w:t xml:space="preserve">. </w:t>
      </w:r>
      <w:r w:rsidR="00087094" w:rsidRPr="00B44812">
        <w:rPr>
          <w:rFonts w:asciiTheme="minorHAnsi" w:hAnsiTheme="minorHAnsi" w:cstheme="minorHAnsi"/>
        </w:rPr>
        <w:t xml:space="preserve">Various </w:t>
      </w:r>
      <w:r w:rsidR="00655E25" w:rsidRPr="00B44812">
        <w:rPr>
          <w:rFonts w:asciiTheme="minorHAnsi" w:hAnsiTheme="minorHAnsi" w:cstheme="minorHAnsi"/>
        </w:rPr>
        <w:t>developments in the communications market have reduced</w:t>
      </w:r>
      <w:r w:rsidR="0017228B" w:rsidRPr="00B44812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="0017228B" w:rsidRPr="00B44812">
        <w:rPr>
          <w:rFonts w:asciiTheme="minorHAnsi" w:hAnsiTheme="minorHAnsi" w:cstheme="minorHAnsi"/>
        </w:rPr>
        <w:t>consumer</w:t>
      </w:r>
      <w:r w:rsidR="00655E25" w:rsidRPr="00B44812">
        <w:rPr>
          <w:rFonts w:asciiTheme="minorHAnsi" w:hAnsiTheme="minorHAnsi" w:cstheme="minorHAnsi"/>
        </w:rPr>
        <w:t xml:space="preserve"> </w:t>
      </w:r>
      <w:r w:rsidR="0017228B" w:rsidRPr="00B44812">
        <w:rPr>
          <w:rFonts w:asciiTheme="minorHAnsi" w:hAnsiTheme="minorHAnsi" w:cstheme="minorHAnsi"/>
        </w:rPr>
        <w:t>demand for</w:t>
      </w:r>
      <w:r w:rsidR="00655E25" w:rsidRPr="00B44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pre-selectable</w:t>
      </w:r>
      <w:r w:rsidR="00000C49" w:rsidRPr="00B44812">
        <w:rPr>
          <w:rFonts w:asciiTheme="minorHAnsi" w:hAnsiTheme="minorHAnsi" w:cstheme="minorHAnsi"/>
        </w:rPr>
        <w:t xml:space="preserve"> service</w:t>
      </w:r>
      <w:r w:rsidR="00072746" w:rsidRPr="00B4481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for example</w:t>
      </w:r>
      <w:r w:rsidR="00655E25" w:rsidRPr="00B44812">
        <w:rPr>
          <w:rFonts w:asciiTheme="minorHAnsi" w:hAnsiTheme="minorHAnsi" w:cstheme="minorHAnsi"/>
        </w:rPr>
        <w:t>:</w:t>
      </w:r>
    </w:p>
    <w:p w14:paraId="673D8949" w14:textId="236EE6A4" w:rsidR="00655E25" w:rsidRPr="00B44812" w:rsidRDefault="00655E25" w:rsidP="00C36EF0">
      <w:pPr>
        <w:pStyle w:val="BodyText1"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 xml:space="preserve">Demand for fixed-line </w:t>
      </w:r>
      <w:r w:rsidR="0017228B" w:rsidRPr="00B44812">
        <w:rPr>
          <w:rFonts w:asciiTheme="minorHAnsi" w:hAnsiTheme="minorHAnsi" w:cstheme="minorHAnsi"/>
        </w:rPr>
        <w:t xml:space="preserve">voice services </w:t>
      </w:r>
      <w:r w:rsidR="00087094" w:rsidRPr="00B44812">
        <w:rPr>
          <w:rFonts w:asciiTheme="minorHAnsi" w:hAnsiTheme="minorHAnsi" w:cstheme="minorHAnsi"/>
        </w:rPr>
        <w:t>has been steadily dropping,</w:t>
      </w:r>
      <w:r w:rsidR="00087094" w:rsidRPr="00B44812">
        <w:rPr>
          <w:rStyle w:val="FootnoteReference"/>
          <w:rFonts w:asciiTheme="minorHAnsi" w:hAnsiTheme="minorHAnsi" w:cstheme="minorHAnsi"/>
        </w:rPr>
        <w:footnoteReference w:id="2"/>
      </w:r>
    </w:p>
    <w:p w14:paraId="50EAFC86" w14:textId="13D5244B" w:rsidR="0084721F" w:rsidRPr="00B44812" w:rsidRDefault="00087094" w:rsidP="00072746">
      <w:pPr>
        <w:pStyle w:val="BodyText1"/>
        <w:keepNext/>
        <w:keepLines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>F</w:t>
      </w:r>
      <w:r w:rsidR="0084721F" w:rsidRPr="00B44812">
        <w:rPr>
          <w:rFonts w:asciiTheme="minorHAnsi" w:hAnsiTheme="minorHAnsi" w:cstheme="minorHAnsi"/>
        </w:rPr>
        <w:t>ixed-line voice services</w:t>
      </w:r>
      <w:r w:rsidRPr="00B44812">
        <w:rPr>
          <w:rFonts w:asciiTheme="minorHAnsi" w:hAnsiTheme="minorHAnsi" w:cstheme="minorHAnsi"/>
        </w:rPr>
        <w:t xml:space="preserve"> delivered via the NBN</w:t>
      </w:r>
      <w:r w:rsidR="0084721F" w:rsidRPr="00B44812">
        <w:rPr>
          <w:rFonts w:asciiTheme="minorHAnsi" w:hAnsiTheme="minorHAnsi" w:cstheme="minorHAnsi"/>
        </w:rPr>
        <w:t xml:space="preserve"> </w:t>
      </w:r>
      <w:r w:rsidR="003433E5">
        <w:rPr>
          <w:rFonts w:asciiTheme="minorHAnsi" w:hAnsiTheme="minorHAnsi" w:cstheme="minorHAnsi"/>
        </w:rPr>
        <w:t xml:space="preserve">are </w:t>
      </w:r>
      <w:r w:rsidR="009D55E2">
        <w:rPr>
          <w:rFonts w:asciiTheme="minorHAnsi" w:hAnsiTheme="minorHAnsi" w:cstheme="minorHAnsi"/>
        </w:rPr>
        <w:t>not</w:t>
      </w:r>
      <w:r w:rsidR="0084721F" w:rsidRPr="00B44812">
        <w:rPr>
          <w:rFonts w:asciiTheme="minorHAnsi" w:hAnsiTheme="minorHAnsi" w:cstheme="minorHAnsi"/>
        </w:rPr>
        <w:t xml:space="preserve"> eligible for pre-selectable services,</w:t>
      </w:r>
      <w:r w:rsidR="0084721F" w:rsidRPr="00B44812">
        <w:rPr>
          <w:rStyle w:val="FootnoteReference"/>
          <w:rFonts w:asciiTheme="minorHAnsi" w:hAnsiTheme="minorHAnsi" w:cstheme="minorHAnsi"/>
        </w:rPr>
        <w:footnoteReference w:id="3"/>
      </w:r>
    </w:p>
    <w:p w14:paraId="6B8166AE" w14:textId="131F535A" w:rsidR="0084721F" w:rsidRPr="00B44812" w:rsidRDefault="0084721F" w:rsidP="00072746">
      <w:pPr>
        <w:pStyle w:val="BodyText1"/>
        <w:keepNext/>
        <w:keepLines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>International calling rates are</w:t>
      </w:r>
      <w:r w:rsidR="00087094" w:rsidRPr="00B44812">
        <w:rPr>
          <w:rFonts w:asciiTheme="minorHAnsi" w:hAnsiTheme="minorHAnsi" w:cstheme="minorHAnsi"/>
        </w:rPr>
        <w:t xml:space="preserve"> relatively</w:t>
      </w:r>
      <w:r w:rsidRPr="00B44812">
        <w:rPr>
          <w:rFonts w:asciiTheme="minorHAnsi" w:hAnsiTheme="minorHAnsi" w:cstheme="minorHAnsi"/>
        </w:rPr>
        <w:t xml:space="preserve"> </w:t>
      </w:r>
      <w:r w:rsidR="003433E5">
        <w:rPr>
          <w:rFonts w:asciiTheme="minorHAnsi" w:hAnsiTheme="minorHAnsi" w:cstheme="minorHAnsi"/>
        </w:rPr>
        <w:t>similar</w:t>
      </w:r>
      <w:r w:rsidRPr="00B44812">
        <w:rPr>
          <w:rFonts w:asciiTheme="minorHAnsi" w:hAnsiTheme="minorHAnsi" w:cstheme="minorHAnsi"/>
        </w:rPr>
        <w:t xml:space="preserve"> between providers, </w:t>
      </w:r>
      <w:r w:rsidR="00087094" w:rsidRPr="00B44812">
        <w:rPr>
          <w:rFonts w:asciiTheme="minorHAnsi" w:hAnsiTheme="minorHAnsi" w:cstheme="minorHAnsi"/>
        </w:rPr>
        <w:t>and many providers offer capped call rates or international calling bundl</w:t>
      </w:r>
      <w:r w:rsidR="0017228B" w:rsidRPr="00B44812">
        <w:rPr>
          <w:rFonts w:asciiTheme="minorHAnsi" w:hAnsiTheme="minorHAnsi" w:cstheme="minorHAnsi"/>
        </w:rPr>
        <w:t>es</w:t>
      </w:r>
      <w:r w:rsidR="00087094" w:rsidRPr="00B44812">
        <w:rPr>
          <w:rFonts w:asciiTheme="minorHAnsi" w:hAnsiTheme="minorHAnsi" w:cstheme="minorHAnsi"/>
        </w:rPr>
        <w:t>,</w:t>
      </w:r>
    </w:p>
    <w:p w14:paraId="24CA5D32" w14:textId="3AD8FB30" w:rsidR="00BD25B1" w:rsidRPr="00B44812" w:rsidRDefault="0017228B" w:rsidP="00072746">
      <w:pPr>
        <w:pStyle w:val="BodyText1"/>
        <w:keepNext/>
        <w:keepLines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 xml:space="preserve">Over-the-top messaging and calling apps like Skype or WhatsApp have emerged </w:t>
      </w:r>
      <w:r w:rsidR="00000C49" w:rsidRPr="00B44812">
        <w:rPr>
          <w:rFonts w:asciiTheme="minorHAnsi" w:hAnsiTheme="minorHAnsi" w:cstheme="minorHAnsi"/>
        </w:rPr>
        <w:t xml:space="preserve">as </w:t>
      </w:r>
      <w:r w:rsidR="002474C2">
        <w:rPr>
          <w:rFonts w:asciiTheme="minorHAnsi" w:hAnsiTheme="minorHAnsi" w:cstheme="minorHAnsi"/>
        </w:rPr>
        <w:t xml:space="preserve">popular </w:t>
      </w:r>
      <w:r w:rsidR="00000C49" w:rsidRPr="00B44812">
        <w:rPr>
          <w:rFonts w:asciiTheme="minorHAnsi" w:hAnsiTheme="minorHAnsi" w:cstheme="minorHAnsi"/>
        </w:rPr>
        <w:t>alternative</w:t>
      </w:r>
      <w:r w:rsidRPr="00B44812">
        <w:rPr>
          <w:rFonts w:asciiTheme="minorHAnsi" w:hAnsiTheme="minorHAnsi" w:cstheme="minorHAnsi"/>
        </w:rPr>
        <w:t xml:space="preserve"> international calling option</w:t>
      </w:r>
      <w:r w:rsidR="00000C49" w:rsidRPr="00B44812">
        <w:rPr>
          <w:rFonts w:asciiTheme="minorHAnsi" w:hAnsiTheme="minorHAnsi" w:cstheme="minorHAnsi"/>
        </w:rPr>
        <w:t>s</w:t>
      </w:r>
      <w:r w:rsidRPr="00B44812">
        <w:rPr>
          <w:rFonts w:asciiTheme="minorHAnsi" w:hAnsiTheme="minorHAnsi" w:cstheme="minorHAnsi"/>
        </w:rPr>
        <w:t xml:space="preserve">, </w:t>
      </w:r>
      <w:r w:rsidR="00000C49" w:rsidRPr="00B44812">
        <w:rPr>
          <w:rFonts w:asciiTheme="minorHAnsi" w:hAnsiTheme="minorHAnsi" w:cstheme="minorHAnsi"/>
        </w:rPr>
        <w:t>and</w:t>
      </w:r>
    </w:p>
    <w:p w14:paraId="4F841FAB" w14:textId="04A501FF" w:rsidR="0017228B" w:rsidRPr="00B44812" w:rsidRDefault="00072746" w:rsidP="00072746">
      <w:pPr>
        <w:pStyle w:val="BodyText1"/>
        <w:keepNext/>
        <w:keepLines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>Legacy</w:t>
      </w:r>
      <w:r w:rsidR="00000C49" w:rsidRPr="00B44812">
        <w:rPr>
          <w:rFonts w:asciiTheme="minorHAnsi" w:hAnsiTheme="minorHAnsi" w:cstheme="minorHAnsi"/>
        </w:rPr>
        <w:t xml:space="preserve"> voice</w:t>
      </w:r>
      <w:r w:rsidRPr="00B44812">
        <w:rPr>
          <w:rFonts w:asciiTheme="minorHAnsi" w:hAnsiTheme="minorHAnsi" w:cstheme="minorHAnsi"/>
        </w:rPr>
        <w:t xml:space="preserve"> service</w:t>
      </w:r>
      <w:r w:rsidR="00000C49" w:rsidRPr="00B44812">
        <w:rPr>
          <w:rFonts w:asciiTheme="minorHAnsi" w:hAnsiTheme="minorHAnsi" w:cstheme="minorHAnsi"/>
        </w:rPr>
        <w:t xml:space="preserve"> plans</w:t>
      </w:r>
      <w:r w:rsidR="0017228B" w:rsidRPr="00B44812">
        <w:rPr>
          <w:rFonts w:asciiTheme="minorHAnsi" w:hAnsiTheme="minorHAnsi" w:cstheme="minorHAnsi"/>
        </w:rPr>
        <w:t xml:space="preserve"> often </w:t>
      </w:r>
      <w:r w:rsidR="00AC3B3D">
        <w:rPr>
          <w:rFonts w:asciiTheme="minorHAnsi" w:hAnsiTheme="minorHAnsi" w:cstheme="minorHAnsi"/>
        </w:rPr>
        <w:t xml:space="preserve">include unlimited </w:t>
      </w:r>
      <w:r w:rsidR="0017228B" w:rsidRPr="00B44812">
        <w:rPr>
          <w:rFonts w:asciiTheme="minorHAnsi" w:hAnsiTheme="minorHAnsi" w:cstheme="minorHAnsi"/>
        </w:rPr>
        <w:t>national calls</w:t>
      </w:r>
      <w:r w:rsidR="00000C49" w:rsidRPr="00B44812">
        <w:rPr>
          <w:rFonts w:asciiTheme="minorHAnsi" w:hAnsiTheme="minorHAnsi" w:cstheme="minorHAnsi"/>
        </w:rPr>
        <w:t>, along with</w:t>
      </w:r>
      <w:r w:rsidR="0017228B" w:rsidRPr="00B44812">
        <w:rPr>
          <w:rFonts w:asciiTheme="minorHAnsi" w:hAnsiTheme="minorHAnsi" w:cstheme="minorHAnsi"/>
        </w:rPr>
        <w:t xml:space="preserve"> capped </w:t>
      </w:r>
      <w:r w:rsidRPr="00B44812">
        <w:rPr>
          <w:rFonts w:asciiTheme="minorHAnsi" w:hAnsiTheme="minorHAnsi" w:cstheme="minorHAnsi"/>
        </w:rPr>
        <w:t xml:space="preserve">mobile </w:t>
      </w:r>
      <w:r w:rsidR="0017228B" w:rsidRPr="00B44812">
        <w:rPr>
          <w:rFonts w:asciiTheme="minorHAnsi" w:hAnsiTheme="minorHAnsi" w:cstheme="minorHAnsi"/>
        </w:rPr>
        <w:t>call</w:t>
      </w:r>
      <w:r w:rsidRPr="00B44812">
        <w:rPr>
          <w:rFonts w:asciiTheme="minorHAnsi" w:hAnsiTheme="minorHAnsi" w:cstheme="minorHAnsi"/>
        </w:rPr>
        <w:t>ing rates</w:t>
      </w:r>
      <w:r w:rsidR="0017228B" w:rsidRPr="00B44812">
        <w:rPr>
          <w:rFonts w:asciiTheme="minorHAnsi" w:hAnsiTheme="minorHAnsi" w:cstheme="minorHAnsi"/>
        </w:rPr>
        <w:t xml:space="preserve">. </w:t>
      </w:r>
    </w:p>
    <w:p w14:paraId="74F46962" w14:textId="7520BA38" w:rsidR="002001F8" w:rsidRDefault="00314C6A" w:rsidP="002001F8">
      <w:pPr>
        <w:pStyle w:val="BodyText1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>For the</w:t>
      </w:r>
      <w:r w:rsidR="00072746" w:rsidRPr="00B44812">
        <w:rPr>
          <w:rFonts w:asciiTheme="minorHAnsi" w:hAnsiTheme="minorHAnsi" w:cstheme="minorHAnsi"/>
        </w:rPr>
        <w:t>se</w:t>
      </w:r>
      <w:r w:rsidRPr="00B44812">
        <w:rPr>
          <w:rFonts w:asciiTheme="minorHAnsi" w:hAnsiTheme="minorHAnsi" w:cstheme="minorHAnsi"/>
        </w:rPr>
        <w:t xml:space="preserve"> reasons, w</w:t>
      </w:r>
      <w:r w:rsidR="00000C49" w:rsidRPr="00B44812">
        <w:rPr>
          <w:rFonts w:asciiTheme="minorHAnsi" w:hAnsiTheme="minorHAnsi" w:cstheme="minorHAnsi"/>
        </w:rPr>
        <w:t xml:space="preserve">e </w:t>
      </w:r>
      <w:r w:rsidR="00CF46F7" w:rsidRPr="00B44812">
        <w:rPr>
          <w:rFonts w:asciiTheme="minorHAnsi" w:hAnsiTheme="minorHAnsi" w:cstheme="minorHAnsi"/>
        </w:rPr>
        <w:t>understand that</w:t>
      </w:r>
      <w:r w:rsidR="00480F75" w:rsidRPr="00B44812">
        <w:rPr>
          <w:rFonts w:asciiTheme="minorHAnsi" w:hAnsiTheme="minorHAnsi" w:cstheme="minorHAnsi"/>
        </w:rPr>
        <w:t xml:space="preserve"> </w:t>
      </w:r>
      <w:r w:rsidR="00072746" w:rsidRPr="00B44812">
        <w:rPr>
          <w:rFonts w:asciiTheme="minorHAnsi" w:hAnsiTheme="minorHAnsi" w:cstheme="minorHAnsi"/>
        </w:rPr>
        <w:t>pre</w:t>
      </w:r>
      <w:r w:rsidR="009F551C">
        <w:rPr>
          <w:rFonts w:asciiTheme="minorHAnsi" w:hAnsiTheme="minorHAnsi" w:cstheme="minorHAnsi"/>
        </w:rPr>
        <w:t>-</w:t>
      </w:r>
      <w:r w:rsidR="00072746" w:rsidRPr="00B44812">
        <w:rPr>
          <w:rFonts w:asciiTheme="minorHAnsi" w:hAnsiTheme="minorHAnsi" w:cstheme="minorHAnsi"/>
        </w:rPr>
        <w:t xml:space="preserve">selection is no longer necessary to support competitive pricing for </w:t>
      </w:r>
      <w:r w:rsidR="00A532FC">
        <w:rPr>
          <w:rFonts w:asciiTheme="minorHAnsi" w:hAnsiTheme="minorHAnsi" w:cstheme="minorHAnsi"/>
        </w:rPr>
        <w:t xml:space="preserve">residential and small business consumers making </w:t>
      </w:r>
      <w:r w:rsidR="00072746" w:rsidRPr="00B44812">
        <w:rPr>
          <w:rFonts w:asciiTheme="minorHAnsi" w:hAnsiTheme="minorHAnsi" w:cstheme="minorHAnsi"/>
        </w:rPr>
        <w:t xml:space="preserve">long-distance, international and mobile calls </w:t>
      </w:r>
      <w:r w:rsidR="002001F8">
        <w:rPr>
          <w:rFonts w:asciiTheme="minorHAnsi" w:hAnsiTheme="minorHAnsi" w:cstheme="minorHAnsi"/>
        </w:rPr>
        <w:t>via the</w:t>
      </w:r>
      <w:r w:rsidR="00756FE9">
        <w:rPr>
          <w:rFonts w:asciiTheme="minorHAnsi" w:hAnsiTheme="minorHAnsi" w:cstheme="minorHAnsi"/>
        </w:rPr>
        <w:t xml:space="preserve"> copper network</w:t>
      </w:r>
      <w:r w:rsidR="00072746" w:rsidRPr="00B44812">
        <w:rPr>
          <w:rFonts w:asciiTheme="minorHAnsi" w:hAnsiTheme="minorHAnsi" w:cstheme="minorHAnsi"/>
        </w:rPr>
        <w:t>.</w:t>
      </w:r>
      <w:r w:rsidR="00072746" w:rsidRPr="00B44812">
        <w:rPr>
          <w:rFonts w:asciiTheme="minorHAnsi" w:hAnsiTheme="minorHAnsi" w:cstheme="minorHAnsi"/>
          <w:color w:val="auto"/>
        </w:rPr>
        <w:t xml:space="preserve"> </w:t>
      </w:r>
      <w:r w:rsidR="00756FE9">
        <w:rPr>
          <w:rFonts w:asciiTheme="minorHAnsi" w:hAnsiTheme="minorHAnsi" w:cstheme="minorHAnsi"/>
        </w:rPr>
        <w:t>We expect</w:t>
      </w:r>
      <w:r w:rsidR="00072746" w:rsidRPr="00B44812">
        <w:rPr>
          <w:rFonts w:asciiTheme="minorHAnsi" w:hAnsiTheme="minorHAnsi" w:cstheme="minorHAnsi"/>
        </w:rPr>
        <w:t xml:space="preserve"> that </w:t>
      </w:r>
      <w:r w:rsidR="00480F75" w:rsidRPr="00B44812">
        <w:rPr>
          <w:rFonts w:asciiTheme="minorHAnsi" w:hAnsiTheme="minorHAnsi" w:cstheme="minorHAnsi"/>
        </w:rPr>
        <w:t xml:space="preserve">the removal of the Determination will </w:t>
      </w:r>
      <w:r w:rsidR="00CF46F7" w:rsidRPr="00B44812">
        <w:rPr>
          <w:rFonts w:asciiTheme="minorHAnsi" w:hAnsiTheme="minorHAnsi" w:cstheme="minorHAnsi"/>
        </w:rPr>
        <w:t>result in limited impact and minimal harm for</w:t>
      </w:r>
      <w:r w:rsidR="00480F75" w:rsidRPr="00B44812">
        <w:rPr>
          <w:rFonts w:asciiTheme="minorHAnsi" w:hAnsiTheme="minorHAnsi" w:cstheme="minorHAnsi"/>
        </w:rPr>
        <w:t xml:space="preserve"> </w:t>
      </w:r>
      <w:r w:rsidR="002001F8">
        <w:rPr>
          <w:rFonts w:asciiTheme="minorHAnsi" w:hAnsiTheme="minorHAnsi" w:cstheme="minorHAnsi"/>
        </w:rPr>
        <w:t>these consumers</w:t>
      </w:r>
      <w:r w:rsidR="00E95BE3">
        <w:rPr>
          <w:rFonts w:asciiTheme="minorHAnsi" w:hAnsiTheme="minorHAnsi" w:cstheme="minorHAnsi"/>
        </w:rPr>
        <w:t>.</w:t>
      </w:r>
      <w:r w:rsidR="002001F8">
        <w:rPr>
          <w:rFonts w:asciiTheme="minorHAnsi" w:hAnsiTheme="minorHAnsi" w:cstheme="minorHAnsi"/>
        </w:rPr>
        <w:t xml:space="preserve"> However,</w:t>
      </w:r>
      <w:r w:rsidR="00E95BE3">
        <w:rPr>
          <w:rFonts w:asciiTheme="minorHAnsi" w:hAnsiTheme="minorHAnsi" w:cstheme="minorHAnsi"/>
        </w:rPr>
        <w:t xml:space="preserve"> </w:t>
      </w:r>
      <w:r w:rsidR="000F2AB8">
        <w:rPr>
          <w:rFonts w:asciiTheme="minorHAnsi" w:hAnsiTheme="minorHAnsi" w:cstheme="minorHAnsi"/>
        </w:rPr>
        <w:t xml:space="preserve">while ACCAN has limited scope to address this </w:t>
      </w:r>
      <w:r w:rsidR="00482147">
        <w:rPr>
          <w:rFonts w:asciiTheme="minorHAnsi" w:hAnsiTheme="minorHAnsi" w:cstheme="minorHAnsi"/>
        </w:rPr>
        <w:t>issue</w:t>
      </w:r>
      <w:r w:rsidR="000F2AB8">
        <w:rPr>
          <w:rFonts w:asciiTheme="minorHAnsi" w:hAnsiTheme="minorHAnsi" w:cstheme="minorHAnsi"/>
        </w:rPr>
        <w:t xml:space="preserve">, </w:t>
      </w:r>
      <w:r w:rsidR="002001F8">
        <w:rPr>
          <w:rFonts w:asciiTheme="minorHAnsi" w:hAnsiTheme="minorHAnsi" w:cstheme="minorHAnsi"/>
        </w:rPr>
        <w:t>we recognise that the impact of</w:t>
      </w:r>
      <w:r w:rsidR="000F2AB8">
        <w:rPr>
          <w:rFonts w:asciiTheme="minorHAnsi" w:hAnsiTheme="minorHAnsi" w:cstheme="minorHAnsi"/>
        </w:rPr>
        <w:t xml:space="preserve"> removing</w:t>
      </w:r>
      <w:r w:rsidR="00DB337D">
        <w:rPr>
          <w:rFonts w:asciiTheme="minorHAnsi" w:hAnsiTheme="minorHAnsi" w:cstheme="minorHAnsi"/>
        </w:rPr>
        <w:t xml:space="preserve"> or restricting the Determination </w:t>
      </w:r>
      <w:r w:rsidR="00577025">
        <w:rPr>
          <w:rFonts w:asciiTheme="minorHAnsi" w:hAnsiTheme="minorHAnsi" w:cstheme="minorHAnsi"/>
        </w:rPr>
        <w:t>on</w:t>
      </w:r>
      <w:r w:rsidR="002001F8">
        <w:rPr>
          <w:rFonts w:asciiTheme="minorHAnsi" w:hAnsiTheme="minorHAnsi" w:cstheme="minorHAnsi"/>
        </w:rPr>
        <w:t xml:space="preserve"> larger businesses may warrant a modified approach. </w:t>
      </w:r>
    </w:p>
    <w:p w14:paraId="5AD0BB49" w14:textId="271B446D" w:rsidR="00A532FC" w:rsidRPr="002001F8" w:rsidRDefault="002001F8" w:rsidP="002001F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As mentioned above, further investigation into the number of consumers using pre-selectable services</w:t>
      </w:r>
      <w:r w:rsidR="000F2AB8">
        <w:rPr>
          <w:rFonts w:asciiTheme="minorHAnsi" w:hAnsiTheme="minorHAnsi" w:cstheme="minorHAnsi"/>
        </w:rPr>
        <w:t>, and the extent to which they are used,</w:t>
      </w:r>
      <w:r>
        <w:rPr>
          <w:rFonts w:asciiTheme="minorHAnsi" w:hAnsiTheme="minorHAnsi" w:cstheme="minorHAnsi"/>
        </w:rPr>
        <w:t xml:space="preserve"> will provide more accurate information on the impact the Determination’s withdrawal, and the transitionary arrangements that should be made. </w:t>
      </w:r>
      <w:r w:rsidRPr="00B44812">
        <w:rPr>
          <w:rFonts w:asciiTheme="minorHAnsi" w:hAnsiTheme="minorHAnsi" w:cstheme="minorHAnsi"/>
        </w:rPr>
        <w:t xml:space="preserve"> </w:t>
      </w:r>
    </w:p>
    <w:p w14:paraId="78FCCB1E" w14:textId="2F80C6F0" w:rsidR="003433E5" w:rsidRPr="00B44812" w:rsidRDefault="00143315" w:rsidP="003433E5">
      <w:pPr>
        <w:pStyle w:val="BodyTex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ACCAN has no objection to </w:t>
      </w:r>
      <w:r w:rsidR="003433E5" w:rsidRPr="00B44812">
        <w:rPr>
          <w:rFonts w:asciiTheme="minorHAnsi" w:hAnsiTheme="minorHAnsi" w:cstheme="minorHAnsi"/>
        </w:rPr>
        <w:t>the ACMA tak</w:t>
      </w:r>
      <w:r>
        <w:rPr>
          <w:rFonts w:asciiTheme="minorHAnsi" w:hAnsiTheme="minorHAnsi" w:cstheme="minorHAnsi"/>
        </w:rPr>
        <w:t>ing</w:t>
      </w:r>
      <w:r w:rsidR="003433E5" w:rsidRPr="00B44812">
        <w:rPr>
          <w:rFonts w:asciiTheme="minorHAnsi" w:hAnsiTheme="minorHAnsi" w:cstheme="minorHAnsi"/>
        </w:rPr>
        <w:t xml:space="preserve"> steps t</w:t>
      </w:r>
      <w:r>
        <w:rPr>
          <w:rFonts w:asciiTheme="minorHAnsi" w:hAnsiTheme="minorHAnsi" w:cstheme="minorHAnsi"/>
        </w:rPr>
        <w:t>o</w:t>
      </w:r>
      <w:r w:rsidR="003433E5" w:rsidRPr="00B44812">
        <w:rPr>
          <w:rFonts w:asciiTheme="minorHAnsi" w:hAnsiTheme="minorHAnsi" w:cstheme="minorHAnsi"/>
        </w:rPr>
        <w:t xml:space="preserve"> revoke the Determination, so long as consumers</w:t>
      </w:r>
      <w:r w:rsidR="007B48C6">
        <w:rPr>
          <w:rFonts w:asciiTheme="minorHAnsi" w:hAnsiTheme="minorHAnsi" w:cstheme="minorHAnsi"/>
        </w:rPr>
        <w:t xml:space="preserve"> and small businesses</w:t>
      </w:r>
      <w:r w:rsidR="003433E5" w:rsidRPr="00B44812">
        <w:rPr>
          <w:rFonts w:asciiTheme="minorHAnsi" w:hAnsiTheme="minorHAnsi" w:cstheme="minorHAnsi"/>
        </w:rPr>
        <w:t xml:space="preserve"> </w:t>
      </w:r>
      <w:r w:rsidR="003433E5">
        <w:rPr>
          <w:rFonts w:asciiTheme="minorHAnsi" w:hAnsiTheme="minorHAnsi" w:cstheme="minorHAnsi"/>
        </w:rPr>
        <w:t xml:space="preserve">currently </w:t>
      </w:r>
      <w:r w:rsidR="003433E5" w:rsidRPr="00B44812">
        <w:rPr>
          <w:rFonts w:asciiTheme="minorHAnsi" w:hAnsiTheme="minorHAnsi" w:cstheme="minorHAnsi"/>
        </w:rPr>
        <w:t>using pre-selectable services are provided with adequate information and support during the transition away from these services. Service providers must ensure that that any transitional arrangements:</w:t>
      </w:r>
    </w:p>
    <w:p w14:paraId="15093710" w14:textId="1ECBB322" w:rsidR="003433E5" w:rsidRPr="00B44812" w:rsidRDefault="000F2AB8" w:rsidP="003433E5">
      <w:pPr>
        <w:pStyle w:val="BodyText1"/>
        <w:numPr>
          <w:ilvl w:val="0"/>
          <w:numId w:val="9"/>
        </w:numPr>
        <w:spacing w:after="100" w:afterAutospacing="1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7B48C6">
        <w:rPr>
          <w:rFonts w:asciiTheme="minorHAnsi" w:hAnsiTheme="minorHAnsi" w:cstheme="minorHAnsi"/>
        </w:rPr>
        <w:t>mpose no additional costs on consumers and small businesses</w:t>
      </w:r>
      <w:r w:rsidR="00281D56">
        <w:rPr>
          <w:rFonts w:asciiTheme="minorHAnsi" w:hAnsiTheme="minorHAnsi" w:cstheme="minorHAnsi"/>
        </w:rPr>
        <w:t>,</w:t>
      </w:r>
    </w:p>
    <w:p w14:paraId="1D9214E4" w14:textId="77777777" w:rsidR="003433E5" w:rsidRPr="00B44812" w:rsidRDefault="003433E5" w:rsidP="003433E5">
      <w:pPr>
        <w:pStyle w:val="BodyText1"/>
        <w:numPr>
          <w:ilvl w:val="0"/>
          <w:numId w:val="9"/>
        </w:numPr>
        <w:spacing w:after="100" w:afterAutospacing="1"/>
        <w:ind w:left="714" w:hanging="357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>meet consumer needs, and</w:t>
      </w:r>
    </w:p>
    <w:p w14:paraId="0202EA5F" w14:textId="63EACB5C" w:rsidR="00A447BC" w:rsidRPr="00A447BC" w:rsidRDefault="003433E5" w:rsidP="0000666E">
      <w:pPr>
        <w:pStyle w:val="BodyText1"/>
        <w:numPr>
          <w:ilvl w:val="0"/>
          <w:numId w:val="9"/>
        </w:numPr>
        <w:spacing w:after="100" w:afterAutospacing="1"/>
        <w:ind w:left="714" w:hanging="357"/>
        <w:rPr>
          <w:rFonts w:asciiTheme="minorHAnsi" w:hAnsiTheme="minorHAnsi" w:cstheme="minorHAnsi"/>
        </w:rPr>
      </w:pPr>
      <w:r w:rsidRPr="00B44812">
        <w:rPr>
          <w:rFonts w:asciiTheme="minorHAnsi" w:hAnsiTheme="minorHAnsi" w:cstheme="minorHAnsi"/>
        </w:rPr>
        <w:t>provide an equivalent service.</w:t>
      </w:r>
    </w:p>
    <w:p w14:paraId="5DDEE1F7" w14:textId="41888600" w:rsidR="0000666E" w:rsidRDefault="00143315" w:rsidP="0000666E">
      <w:pPr>
        <w:pStyle w:val="BodyText1"/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addition, w</w:t>
      </w:r>
      <w:r w:rsidR="007B48C6">
        <w:rPr>
          <w:rFonts w:asciiTheme="minorHAnsi" w:hAnsiTheme="minorHAnsi" w:cstheme="minorHAnsi"/>
        </w:rPr>
        <w:t>e consider it prudent for t</w:t>
      </w:r>
      <w:r w:rsidR="00DA5550">
        <w:rPr>
          <w:rFonts w:asciiTheme="minorHAnsi" w:hAnsiTheme="minorHAnsi" w:cstheme="minorHAnsi"/>
        </w:rPr>
        <w:t>he</w:t>
      </w:r>
      <w:r w:rsidR="00B44812" w:rsidRPr="00B44812">
        <w:rPr>
          <w:rFonts w:asciiTheme="minorHAnsi" w:hAnsiTheme="minorHAnsi" w:cstheme="minorHAnsi"/>
        </w:rPr>
        <w:t xml:space="preserve"> </w:t>
      </w:r>
      <w:r w:rsidR="0000666E">
        <w:rPr>
          <w:rFonts w:asciiTheme="minorHAnsi" w:hAnsiTheme="minorHAnsi" w:cstheme="minorHAnsi"/>
        </w:rPr>
        <w:t xml:space="preserve">ACMA </w:t>
      </w:r>
      <w:r w:rsidR="007B48C6">
        <w:rPr>
          <w:rFonts w:asciiTheme="minorHAnsi" w:hAnsiTheme="minorHAnsi" w:cstheme="minorHAnsi"/>
        </w:rPr>
        <w:t>to</w:t>
      </w:r>
      <w:r w:rsidR="00DA5550">
        <w:rPr>
          <w:rFonts w:asciiTheme="minorHAnsi" w:hAnsiTheme="minorHAnsi" w:cstheme="minorHAnsi"/>
        </w:rPr>
        <w:t xml:space="preserve"> </w:t>
      </w:r>
      <w:r w:rsidR="005B63BC">
        <w:rPr>
          <w:rFonts w:asciiTheme="minorHAnsi" w:hAnsiTheme="minorHAnsi" w:cstheme="minorHAnsi"/>
        </w:rPr>
        <w:t>delay</w:t>
      </w:r>
      <w:r w:rsidR="0000666E">
        <w:rPr>
          <w:rFonts w:asciiTheme="minorHAnsi" w:hAnsiTheme="minorHAnsi" w:cstheme="minorHAnsi"/>
        </w:rPr>
        <w:t xml:space="preserve"> </w:t>
      </w:r>
      <w:r w:rsidR="00B44812" w:rsidRPr="00B44812">
        <w:rPr>
          <w:rFonts w:asciiTheme="minorHAnsi" w:hAnsiTheme="minorHAnsi" w:cstheme="minorHAnsi"/>
        </w:rPr>
        <w:t>revok</w:t>
      </w:r>
      <w:r w:rsidR="005B63BC">
        <w:rPr>
          <w:rFonts w:asciiTheme="minorHAnsi" w:hAnsiTheme="minorHAnsi" w:cstheme="minorHAnsi"/>
        </w:rPr>
        <w:t>ing</w:t>
      </w:r>
      <w:r w:rsidR="0000666E">
        <w:rPr>
          <w:rFonts w:asciiTheme="minorHAnsi" w:hAnsiTheme="minorHAnsi" w:cstheme="minorHAnsi"/>
        </w:rPr>
        <w:t xml:space="preserve"> the Determination</w:t>
      </w:r>
      <w:r w:rsidR="00B44812" w:rsidRPr="00B44812">
        <w:rPr>
          <w:rFonts w:asciiTheme="minorHAnsi" w:hAnsiTheme="minorHAnsi" w:cstheme="minorHAnsi"/>
        </w:rPr>
        <w:t xml:space="preserve"> once consumers</w:t>
      </w:r>
      <w:r w:rsidR="003433E5">
        <w:rPr>
          <w:rFonts w:asciiTheme="minorHAnsi" w:hAnsiTheme="minorHAnsi" w:cstheme="minorHAnsi"/>
        </w:rPr>
        <w:t xml:space="preserve"> in the fixed NBN footprint</w:t>
      </w:r>
      <w:r w:rsidR="00B44812" w:rsidRPr="00B44812">
        <w:rPr>
          <w:rFonts w:asciiTheme="minorHAnsi" w:hAnsiTheme="minorHAnsi" w:cstheme="minorHAnsi"/>
        </w:rPr>
        <w:t xml:space="preserve"> are fully transitioned </w:t>
      </w:r>
      <w:r w:rsidR="00B44812">
        <w:rPr>
          <w:rFonts w:asciiTheme="minorHAnsi" w:hAnsiTheme="minorHAnsi" w:cstheme="minorHAnsi"/>
        </w:rPr>
        <w:t>to the NBN</w:t>
      </w:r>
      <w:r w:rsidR="00B44812" w:rsidRPr="00B44812">
        <w:rPr>
          <w:rFonts w:asciiTheme="minorHAnsi" w:hAnsiTheme="minorHAnsi" w:cstheme="minorHAnsi"/>
        </w:rPr>
        <w:t xml:space="preserve">. This will </w:t>
      </w:r>
      <w:r w:rsidR="0000666E">
        <w:rPr>
          <w:rFonts w:asciiTheme="minorHAnsi" w:hAnsiTheme="minorHAnsi" w:cstheme="minorHAnsi"/>
        </w:rPr>
        <w:t xml:space="preserve">limit disruption </w:t>
      </w:r>
      <w:r w:rsidR="00DA5550">
        <w:rPr>
          <w:rFonts w:asciiTheme="minorHAnsi" w:hAnsiTheme="minorHAnsi" w:cstheme="minorHAnsi"/>
        </w:rPr>
        <w:t xml:space="preserve">and confusion </w:t>
      </w:r>
      <w:r w:rsidR="0000666E">
        <w:rPr>
          <w:rFonts w:asciiTheme="minorHAnsi" w:hAnsiTheme="minorHAnsi" w:cstheme="minorHAnsi"/>
        </w:rPr>
        <w:t xml:space="preserve">for </w:t>
      </w:r>
      <w:r w:rsidR="007B48C6">
        <w:rPr>
          <w:rFonts w:asciiTheme="minorHAnsi" w:hAnsiTheme="minorHAnsi" w:cstheme="minorHAnsi"/>
        </w:rPr>
        <w:t>use</w:t>
      </w:r>
      <w:r>
        <w:rPr>
          <w:rFonts w:asciiTheme="minorHAnsi" w:hAnsiTheme="minorHAnsi" w:cstheme="minorHAnsi"/>
        </w:rPr>
        <w:t>rs of</w:t>
      </w:r>
      <w:r w:rsidR="007B48C6">
        <w:rPr>
          <w:rFonts w:asciiTheme="minorHAnsi" w:hAnsiTheme="minorHAnsi" w:cstheme="minorHAnsi"/>
        </w:rPr>
        <w:t xml:space="preserve"> pre-selection </w:t>
      </w:r>
      <w:r w:rsidR="00DA5550">
        <w:rPr>
          <w:rFonts w:asciiTheme="minorHAnsi" w:hAnsiTheme="minorHAnsi" w:cstheme="minorHAnsi"/>
        </w:rPr>
        <w:t>who are yet to transition</w:t>
      </w:r>
      <w:r w:rsidR="0000666E">
        <w:rPr>
          <w:rFonts w:asciiTheme="minorHAnsi" w:hAnsiTheme="minorHAnsi" w:cstheme="minorHAnsi"/>
        </w:rPr>
        <w:t xml:space="preserve"> </w:t>
      </w:r>
      <w:r w:rsidR="003433E5">
        <w:rPr>
          <w:rFonts w:asciiTheme="minorHAnsi" w:hAnsiTheme="minorHAnsi" w:cstheme="minorHAnsi"/>
        </w:rPr>
        <w:t xml:space="preserve">their voice services </w:t>
      </w:r>
      <w:r w:rsidR="0000666E">
        <w:rPr>
          <w:rFonts w:asciiTheme="minorHAnsi" w:hAnsiTheme="minorHAnsi" w:cstheme="minorHAnsi"/>
        </w:rPr>
        <w:t xml:space="preserve">to the </w:t>
      </w:r>
      <w:r w:rsidR="00E95BE3">
        <w:rPr>
          <w:rFonts w:asciiTheme="minorHAnsi" w:hAnsiTheme="minorHAnsi" w:cstheme="minorHAnsi"/>
        </w:rPr>
        <w:t>new network</w:t>
      </w:r>
      <w:r w:rsidR="00DA5550">
        <w:rPr>
          <w:rFonts w:asciiTheme="minorHAnsi" w:hAnsiTheme="minorHAnsi" w:cstheme="minorHAnsi"/>
        </w:rPr>
        <w:t>.</w:t>
      </w:r>
    </w:p>
    <w:p w14:paraId="2D899853" w14:textId="77777777" w:rsidR="00A447BC" w:rsidRDefault="00A447BC" w:rsidP="0000666E">
      <w:pPr>
        <w:pStyle w:val="BodyText1"/>
        <w:spacing w:after="100" w:afterAutospacing="1"/>
        <w:rPr>
          <w:rFonts w:asciiTheme="minorHAnsi" w:hAnsiTheme="minorHAnsi" w:cstheme="minorHAnsi"/>
        </w:rPr>
      </w:pPr>
    </w:p>
    <w:p w14:paraId="04EC3D00" w14:textId="603E4CFA" w:rsidR="00756FE9" w:rsidRDefault="00756FE9" w:rsidP="00B44812">
      <w:pPr>
        <w:pStyle w:val="BodyText1"/>
        <w:spacing w:after="100" w:afterAutospacing="1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lastRenderedPageBreak/>
        <w:t xml:space="preserve">If you wish to discuss our position further, please contact Rebekah Sarkoezy (Policy Officer) at </w:t>
      </w:r>
      <w:hyperlink r:id="rId8" w:history="1">
        <w:r w:rsidRPr="00B27B00">
          <w:rPr>
            <w:rStyle w:val="Hyperlink"/>
            <w:rFonts w:asciiTheme="minorHAnsi" w:hAnsiTheme="minorHAnsi" w:cstheme="minorHAnsi"/>
          </w:rPr>
          <w:t>Rebekah.Sarkoezy@accan.org.au</w:t>
        </w:r>
      </w:hyperlink>
      <w:r>
        <w:rPr>
          <w:rFonts w:asciiTheme="minorHAnsi" w:hAnsiTheme="minorHAnsi" w:cstheme="minorHAnsi"/>
        </w:rPr>
        <w:t>, or call (02) 9288 400</w:t>
      </w:r>
      <w:r w:rsidR="009F551C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</w:p>
    <w:p w14:paraId="3047E36D" w14:textId="20C765D9" w:rsidR="00C7127B" w:rsidRPr="00B44812" w:rsidRDefault="00B44812" w:rsidP="00C6201E">
      <w:pPr>
        <w:pStyle w:val="BodyText1"/>
        <w:rPr>
          <w:rFonts w:asciiTheme="minorHAnsi" w:hAnsiTheme="minorHAnsi" w:cstheme="minorHAnsi"/>
          <w:color w:val="auto"/>
        </w:rPr>
      </w:pPr>
      <w:r w:rsidRPr="00B44812">
        <w:rPr>
          <w:rFonts w:asciiTheme="minorHAnsi" w:hAnsiTheme="minorHAnsi" w:cstheme="minorHAnsi"/>
          <w:color w:val="auto"/>
        </w:rPr>
        <w:t xml:space="preserve"> </w:t>
      </w:r>
      <w:r w:rsidR="00C81FF6">
        <w:rPr>
          <w:rFonts w:asciiTheme="minorHAnsi" w:hAnsiTheme="minorHAnsi" w:cstheme="minorHAnsi"/>
          <w:color w:val="auto"/>
        </w:rPr>
        <w:t>Yours s</w:t>
      </w:r>
      <w:r w:rsidR="00C7127B" w:rsidRPr="00B44812">
        <w:rPr>
          <w:rFonts w:asciiTheme="minorHAnsi" w:hAnsiTheme="minorHAnsi" w:cstheme="minorHAnsi"/>
          <w:color w:val="auto"/>
        </w:rPr>
        <w:t>incerely</w:t>
      </w:r>
      <w:r w:rsidR="00756FE9">
        <w:rPr>
          <w:rFonts w:asciiTheme="minorHAnsi" w:hAnsiTheme="minorHAnsi" w:cstheme="minorHAnsi"/>
          <w:color w:val="auto"/>
        </w:rPr>
        <w:t>,</w:t>
      </w:r>
    </w:p>
    <w:p w14:paraId="7881DE3D" w14:textId="77777777" w:rsidR="00DB337D" w:rsidRDefault="00DB337D" w:rsidP="007A2FE8">
      <w:pPr>
        <w:pStyle w:val="BodyText1"/>
        <w:rPr>
          <w:rFonts w:asciiTheme="minorHAnsi" w:hAnsiTheme="minorHAnsi" w:cstheme="minorHAnsi"/>
          <w:color w:val="auto"/>
        </w:rPr>
      </w:pPr>
    </w:p>
    <w:p w14:paraId="1DC8110D" w14:textId="42FCD4F0" w:rsidR="00E95BE3" w:rsidRDefault="00DB337D" w:rsidP="007A2FE8">
      <w:pPr>
        <w:pStyle w:val="BodyText1"/>
        <w:rPr>
          <w:rFonts w:asciiTheme="minorHAnsi" w:hAnsiTheme="minorHAnsi" w:cstheme="minorHAnsi"/>
          <w:color w:val="auto"/>
        </w:rPr>
      </w:pPr>
      <w:r>
        <w:rPr>
          <w:noProof/>
        </w:rPr>
        <w:drawing>
          <wp:inline distT="0" distB="0" distL="0" distR="0" wp14:anchorId="5DF00B33" wp14:editId="423E9D15">
            <wp:extent cx="1777042" cy="5340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89" cy="55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6B79" w14:textId="670A72E9" w:rsidR="003C4F7E" w:rsidRDefault="00756FE9" w:rsidP="007A2FE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Teresa Corbin</w:t>
      </w:r>
      <w:r>
        <w:rPr>
          <w:rFonts w:asciiTheme="minorHAnsi" w:hAnsiTheme="minorHAnsi" w:cstheme="minorHAnsi"/>
          <w:color w:val="auto"/>
        </w:rPr>
        <w:br/>
        <w:t>C</w:t>
      </w:r>
      <w:r w:rsidR="00C81FF6">
        <w:rPr>
          <w:rFonts w:asciiTheme="minorHAnsi" w:hAnsiTheme="minorHAnsi" w:cstheme="minorHAnsi"/>
          <w:color w:val="auto"/>
        </w:rPr>
        <w:t xml:space="preserve">hief </w:t>
      </w:r>
      <w:r>
        <w:rPr>
          <w:rFonts w:asciiTheme="minorHAnsi" w:hAnsiTheme="minorHAnsi" w:cstheme="minorHAnsi"/>
          <w:color w:val="auto"/>
        </w:rPr>
        <w:t>E</w:t>
      </w:r>
      <w:r w:rsidR="00C81FF6">
        <w:rPr>
          <w:rFonts w:asciiTheme="minorHAnsi" w:hAnsiTheme="minorHAnsi" w:cstheme="minorHAnsi"/>
          <w:color w:val="auto"/>
        </w:rPr>
        <w:t xml:space="preserve">xecutive Officer </w:t>
      </w:r>
    </w:p>
    <w:p w14:paraId="0CD103B5" w14:textId="07A3F4A0" w:rsidR="003C4F7E" w:rsidRPr="00B44812" w:rsidRDefault="003C4F7E" w:rsidP="007A2FE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sectPr w:rsidR="003C4F7E" w:rsidRPr="00B44812" w:rsidSect="00C7127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78EC" w14:textId="77777777" w:rsidR="001C5FA4" w:rsidRDefault="001C5FA4" w:rsidP="00C7127B">
      <w:pPr>
        <w:spacing w:after="0" w:line="240" w:lineRule="auto"/>
      </w:pPr>
      <w:r>
        <w:separator/>
      </w:r>
    </w:p>
  </w:endnote>
  <w:endnote w:type="continuationSeparator" w:id="0">
    <w:p w14:paraId="6EC23057" w14:textId="77777777" w:rsidR="001C5FA4" w:rsidRDefault="001C5FA4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7454" w14:textId="77777777" w:rsidR="00C7127B" w:rsidRPr="00E05115" w:rsidRDefault="00C7127B" w:rsidP="00C7127B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6213E9">
      <w:rPr>
        <w:noProof/>
      </w:rPr>
      <w:t>2</w:t>
    </w:r>
    <w:r w:rsidRPr="00C4251E">
      <w:rPr>
        <w:noProof/>
      </w:rPr>
      <w:fldChar w:fldCharType="end"/>
    </w:r>
  </w:p>
  <w:p w14:paraId="58CBB83E" w14:textId="77777777" w:rsidR="00C7127B" w:rsidRDefault="00C71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A425" w14:textId="77777777" w:rsidR="00C7127B" w:rsidRDefault="00C7127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1E3EE7D" wp14:editId="45770F39">
              <wp:simplePos x="0" y="0"/>
              <wp:positionH relativeFrom="column">
                <wp:posOffset>-138223</wp:posOffset>
              </wp:positionH>
              <wp:positionV relativeFrom="paragraph">
                <wp:posOffset>-768247</wp:posOffset>
              </wp:positionV>
              <wp:extent cx="6971664" cy="1473199"/>
              <wp:effectExtent l="0" t="0" r="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E01C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14:paraId="35854892" w14:textId="77777777" w:rsidR="00C7127B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14:paraId="553DDDEF" w14:textId="77777777" w:rsidR="00C7127B" w:rsidRPr="00E05115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14:paraId="4177EBF2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14:paraId="30A37FC0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14:paraId="0B68C49E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E3EE7D" id="Group 3" o:spid="_x0000_s1026" style="position:absolute;margin-left:-10.9pt;margin-top:-60.5pt;width:548.95pt;height:116pt;z-index:-251655168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1600;width:69716;height:1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83FE01C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14:paraId="35854892" w14:textId="77777777" w:rsidR="00C7127B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14:paraId="553DDDEF" w14:textId="77777777" w:rsidR="00C7127B" w:rsidRPr="00E05115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14:paraId="4177EBF2" w14:textId="77777777" w:rsidR="00C7127B" w:rsidRDefault="00C7127B" w:rsidP="00C7127B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14:paraId="30A37FC0" w14:textId="77777777" w:rsidR="00C7127B" w:rsidRDefault="00C7127B" w:rsidP="00C7127B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14:paraId="0B68C49E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1A04" w14:textId="77777777" w:rsidR="001C5FA4" w:rsidRDefault="001C5FA4" w:rsidP="00C7127B">
      <w:pPr>
        <w:spacing w:after="0" w:line="240" w:lineRule="auto"/>
      </w:pPr>
      <w:r>
        <w:separator/>
      </w:r>
    </w:p>
  </w:footnote>
  <w:footnote w:type="continuationSeparator" w:id="0">
    <w:p w14:paraId="2E410C05" w14:textId="77777777" w:rsidR="001C5FA4" w:rsidRDefault="001C5FA4" w:rsidP="00C7127B">
      <w:pPr>
        <w:spacing w:after="0" w:line="240" w:lineRule="auto"/>
      </w:pPr>
      <w:r>
        <w:continuationSeparator/>
      </w:r>
    </w:p>
  </w:footnote>
  <w:footnote w:id="1">
    <w:p w14:paraId="131C636F" w14:textId="77777777" w:rsidR="00B44812" w:rsidRPr="00B35E33" w:rsidRDefault="00B44812" w:rsidP="00B448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ACCAN 2013, ‘Deregulation: Initiatives in the Communications Sector’, </w:t>
      </w:r>
      <w:hyperlink r:id="rId1" w:history="1">
        <w:r>
          <w:rPr>
            <w:rStyle w:val="Hyperlink"/>
          </w:rPr>
          <w:t>https://www.communications.gov.au/sites/default/files/submissions/ACCAN.PDF</w:t>
        </w:r>
      </w:hyperlink>
      <w:r>
        <w:t>, p. 5</w:t>
      </w:r>
    </w:p>
  </w:footnote>
  <w:footnote w:id="2">
    <w:p w14:paraId="3A591893" w14:textId="2168DD1B" w:rsidR="00087094" w:rsidRPr="00087094" w:rsidRDefault="00087094" w:rsidP="000870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ACMA 2020, ‘Communications Report 2018–19’, </w:t>
      </w:r>
      <w:hyperlink r:id="rId2" w:history="1">
        <w:r w:rsidRPr="00B27B00">
          <w:rPr>
            <w:rStyle w:val="Hyperlink"/>
          </w:rPr>
          <w:t>https://www.acma.gov.au/sites/default/files/2020-02/Communications%20report%202018-19.pdf</w:t>
        </w:r>
      </w:hyperlink>
      <w:r>
        <w:t>, p. 4</w:t>
      </w:r>
    </w:p>
  </w:footnote>
  <w:footnote w:id="3">
    <w:p w14:paraId="6F614048" w14:textId="52ABC2AB" w:rsidR="0084721F" w:rsidRPr="0084721F" w:rsidRDefault="008472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ACMA 2015, </w:t>
      </w:r>
      <w:r w:rsidRPr="0084721F">
        <w:t>Telecommunications (Provision of Pre-selection) Determination 2015</w:t>
      </w:r>
      <w:r>
        <w:t xml:space="preserve">, </w:t>
      </w:r>
      <w:r w:rsidR="00DA5550">
        <w:t xml:space="preserve">S5.2, </w:t>
      </w:r>
      <w:hyperlink r:id="rId3" w:history="1">
        <w:r w:rsidR="00DA5550" w:rsidRPr="000E7F7A">
          <w:rPr>
            <w:rStyle w:val="Hyperlink"/>
          </w:rPr>
          <w:t>https://www.legislation.gov.au/Details/F2015C00750</w:t>
        </w:r>
      </w:hyperlink>
      <w:r>
        <w:t xml:space="preserve">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CAC7" w14:textId="77777777" w:rsidR="00C7127B" w:rsidRDefault="00C712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97C59" wp14:editId="4B2926DF">
          <wp:simplePos x="0" y="0"/>
          <wp:positionH relativeFrom="margin">
            <wp:align>right</wp:align>
          </wp:positionH>
          <wp:positionV relativeFrom="paragraph">
            <wp:posOffset>-14560</wp:posOffset>
          </wp:positionV>
          <wp:extent cx="756885" cy="350874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5" cy="35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18B2" w14:textId="77777777" w:rsidR="00C7127B" w:rsidRDefault="00C7127B" w:rsidP="00C7127B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9C2306E" wp14:editId="37D7DA2A">
          <wp:simplePos x="0" y="0"/>
          <wp:positionH relativeFrom="column">
            <wp:posOffset>4095750</wp:posOffset>
          </wp:positionH>
          <wp:positionV relativeFrom="paragraph">
            <wp:posOffset>286607</wp:posOffset>
          </wp:positionV>
          <wp:extent cx="1630800" cy="7560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8A0"/>
    <w:multiLevelType w:val="hybridMultilevel"/>
    <w:tmpl w:val="5C605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2782"/>
    <w:multiLevelType w:val="hybridMultilevel"/>
    <w:tmpl w:val="0576F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6CE8"/>
    <w:multiLevelType w:val="hybridMultilevel"/>
    <w:tmpl w:val="6150BE8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2295"/>
    <w:multiLevelType w:val="hybridMultilevel"/>
    <w:tmpl w:val="EE409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2FE8"/>
    <w:multiLevelType w:val="hybridMultilevel"/>
    <w:tmpl w:val="A198B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336C"/>
    <w:multiLevelType w:val="hybridMultilevel"/>
    <w:tmpl w:val="3F341D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185C"/>
    <w:multiLevelType w:val="hybridMultilevel"/>
    <w:tmpl w:val="94002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C61C7"/>
    <w:multiLevelType w:val="hybridMultilevel"/>
    <w:tmpl w:val="103C0C0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51CB5"/>
    <w:multiLevelType w:val="hybridMultilevel"/>
    <w:tmpl w:val="7296802C"/>
    <w:lvl w:ilvl="0" w:tplc="6D2C9E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60D1"/>
    <w:multiLevelType w:val="hybridMultilevel"/>
    <w:tmpl w:val="8EDC3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1170"/>
    <w:multiLevelType w:val="hybridMultilevel"/>
    <w:tmpl w:val="789EB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A4"/>
    <w:rsid w:val="00000C49"/>
    <w:rsid w:val="0000666E"/>
    <w:rsid w:val="00014E19"/>
    <w:rsid w:val="00072746"/>
    <w:rsid w:val="00087094"/>
    <w:rsid w:val="000F2AB8"/>
    <w:rsid w:val="00113426"/>
    <w:rsid w:val="0011641E"/>
    <w:rsid w:val="00143315"/>
    <w:rsid w:val="00155FA9"/>
    <w:rsid w:val="0017228B"/>
    <w:rsid w:val="001C5FA4"/>
    <w:rsid w:val="002001F8"/>
    <w:rsid w:val="002465FB"/>
    <w:rsid w:val="002474C2"/>
    <w:rsid w:val="00281D56"/>
    <w:rsid w:val="0031265B"/>
    <w:rsid w:val="00314C6A"/>
    <w:rsid w:val="003433E5"/>
    <w:rsid w:val="00344943"/>
    <w:rsid w:val="003B0A86"/>
    <w:rsid w:val="003C4F7E"/>
    <w:rsid w:val="00480F75"/>
    <w:rsid w:val="00482147"/>
    <w:rsid w:val="004902E4"/>
    <w:rsid w:val="00545597"/>
    <w:rsid w:val="00577025"/>
    <w:rsid w:val="005B63BC"/>
    <w:rsid w:val="00602950"/>
    <w:rsid w:val="006213E9"/>
    <w:rsid w:val="0063666A"/>
    <w:rsid w:val="00655E25"/>
    <w:rsid w:val="00665B11"/>
    <w:rsid w:val="006667CA"/>
    <w:rsid w:val="006706AB"/>
    <w:rsid w:val="0069585E"/>
    <w:rsid w:val="006C629D"/>
    <w:rsid w:val="006C6A48"/>
    <w:rsid w:val="006E24EF"/>
    <w:rsid w:val="00751E2B"/>
    <w:rsid w:val="007542B0"/>
    <w:rsid w:val="00756FE9"/>
    <w:rsid w:val="007A2FE8"/>
    <w:rsid w:val="007B48C6"/>
    <w:rsid w:val="007D458C"/>
    <w:rsid w:val="0084721F"/>
    <w:rsid w:val="008502A4"/>
    <w:rsid w:val="008740E0"/>
    <w:rsid w:val="008E7155"/>
    <w:rsid w:val="00906548"/>
    <w:rsid w:val="00926E60"/>
    <w:rsid w:val="00994D13"/>
    <w:rsid w:val="00995ECC"/>
    <w:rsid w:val="009D55E2"/>
    <w:rsid w:val="009F551C"/>
    <w:rsid w:val="00A1444A"/>
    <w:rsid w:val="00A35317"/>
    <w:rsid w:val="00A42C1D"/>
    <w:rsid w:val="00A447BC"/>
    <w:rsid w:val="00A532FC"/>
    <w:rsid w:val="00A94454"/>
    <w:rsid w:val="00A97510"/>
    <w:rsid w:val="00AC3B3D"/>
    <w:rsid w:val="00B13C1E"/>
    <w:rsid w:val="00B244AB"/>
    <w:rsid w:val="00B35E33"/>
    <w:rsid w:val="00B44812"/>
    <w:rsid w:val="00BB09C1"/>
    <w:rsid w:val="00BC25C7"/>
    <w:rsid w:val="00BD25B1"/>
    <w:rsid w:val="00C36EF0"/>
    <w:rsid w:val="00C44B2E"/>
    <w:rsid w:val="00C51862"/>
    <w:rsid w:val="00C53C52"/>
    <w:rsid w:val="00C6201E"/>
    <w:rsid w:val="00C7127B"/>
    <w:rsid w:val="00C81FF6"/>
    <w:rsid w:val="00C93CBD"/>
    <w:rsid w:val="00CF46F7"/>
    <w:rsid w:val="00D03AD5"/>
    <w:rsid w:val="00D15A2D"/>
    <w:rsid w:val="00D62EC4"/>
    <w:rsid w:val="00D7123B"/>
    <w:rsid w:val="00DA5550"/>
    <w:rsid w:val="00DB337D"/>
    <w:rsid w:val="00DB458E"/>
    <w:rsid w:val="00DD2BC7"/>
    <w:rsid w:val="00E95BE3"/>
    <w:rsid w:val="00EF1E52"/>
    <w:rsid w:val="00F03FE7"/>
    <w:rsid w:val="00F71539"/>
    <w:rsid w:val="00F90FEF"/>
    <w:rsid w:val="00F938C5"/>
    <w:rsid w:val="00F96967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07CA3F1"/>
  <w15:docId w15:val="{E819ACA3-8D61-4267-B4AB-1AE1C6B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5A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5A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5A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A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A2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472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5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kah.Sarkoezy@accan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slation.gov.au/Details/F2015C00750" TargetMode="External"/><Relationship Id="rId2" Type="http://schemas.openxmlformats.org/officeDocument/2006/relationships/hyperlink" Target="https://www.acma.gov.au/sites/default/files/2020-02/Communications%20report%202018-19.pdf" TargetMode="External"/><Relationship Id="rId1" Type="http://schemas.openxmlformats.org/officeDocument/2006/relationships/hyperlink" Target="https://www.communications.gov.au/sites/default/files/submissions/ACC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8\Short%20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68FA-22D0-4DE9-8F33-CC93E5F5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 Template</Template>
  <TotalTime>580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Sarkoezy</dc:creator>
  <cp:lastModifiedBy>Rebekah Sarkoezy</cp:lastModifiedBy>
  <cp:revision>57</cp:revision>
  <cp:lastPrinted>2020-03-19T06:17:00Z</cp:lastPrinted>
  <dcterms:created xsi:type="dcterms:W3CDTF">2020-03-13T02:37:00Z</dcterms:created>
  <dcterms:modified xsi:type="dcterms:W3CDTF">2020-03-19T06:22:00Z</dcterms:modified>
</cp:coreProperties>
</file>