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59" w:rsidRDefault="009F080A" w:rsidP="00B14DFB">
      <w:pPr>
        <w:pStyle w:val="Subtitle"/>
        <w:rPr>
          <w:rFonts w:eastAsiaTheme="majorEastAsia" w:cstheme="majorBidi"/>
          <w:b/>
          <w:spacing w:val="5"/>
          <w:kern w:val="28"/>
          <w:sz w:val="52"/>
          <w:szCs w:val="52"/>
        </w:rPr>
      </w:pPr>
      <w:r>
        <w:rPr>
          <w:rFonts w:eastAsiaTheme="majorEastAsia" w:cstheme="majorBidi"/>
          <w:b/>
          <w:spacing w:val="5"/>
          <w:kern w:val="28"/>
          <w:sz w:val="52"/>
          <w:szCs w:val="52"/>
        </w:rPr>
        <w:t>Online Copyright Infringement Discussion Paper</w:t>
      </w:r>
    </w:p>
    <w:p w:rsidR="009F080A" w:rsidRPr="009F080A" w:rsidRDefault="009F080A" w:rsidP="009F080A">
      <w:pPr>
        <w:rPr>
          <w:lang w:eastAsia="en-US"/>
        </w:rPr>
      </w:pPr>
    </w:p>
    <w:p w:rsidR="00E06C59" w:rsidRDefault="009F4B9D" w:rsidP="00B14DFB">
      <w:pPr>
        <w:pStyle w:val="Subtitle"/>
      </w:pPr>
      <w:r w:rsidRPr="003441E5">
        <w:t>Submission by A</w:t>
      </w:r>
      <w:r w:rsidR="009F080A">
        <w:t>CCAN</w:t>
      </w:r>
      <w:r w:rsidRPr="003441E5">
        <w:t xml:space="preserve"> to the </w:t>
      </w:r>
      <w:r w:rsidR="009F080A">
        <w:t>Attorn</w:t>
      </w:r>
      <w:r w:rsidR="000B1573">
        <w:t>e</w:t>
      </w:r>
      <w:r w:rsidR="009F080A">
        <w:t>y-General’s Department</w:t>
      </w:r>
      <w:r w:rsidR="000B1573">
        <w:t xml:space="preserve"> </w:t>
      </w:r>
    </w:p>
    <w:p w:rsidR="009F4B9D" w:rsidRPr="003441E5" w:rsidRDefault="007518B6" w:rsidP="00B14DFB">
      <w:pPr>
        <w:pStyle w:val="Subtitle"/>
      </w:pPr>
      <w:r>
        <w:t>September</w:t>
      </w:r>
      <w:r w:rsidR="000B1573">
        <w:t xml:space="preserve"> 2014</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rsidR="00643821">
        <w:t>represent</w:t>
      </w:r>
      <w:r w:rsidRPr="003441E5">
        <w:t xml:space="preserve"> its broad </w:t>
      </w:r>
      <w:r w:rsidR="00643821">
        <w:t xml:space="preserve">and diverse membership base to </w:t>
      </w:r>
      <w:r w:rsidRPr="003441E5">
        <w:t>get a better deal for all communications consumers. </w:t>
      </w:r>
    </w:p>
    <w:p w:rsidR="009F4B9D" w:rsidRPr="003441E5" w:rsidRDefault="009F4B9D" w:rsidP="00B14DFB">
      <w:pPr>
        <w:pStyle w:val="About"/>
      </w:pPr>
      <w:r w:rsidRPr="003441E5">
        <w:t>Contact</w:t>
      </w:r>
    </w:p>
    <w:p w:rsidR="00A93275" w:rsidRDefault="00A93275" w:rsidP="00B14DFB">
      <w:r>
        <w:t>Jonathan Gadir</w:t>
      </w:r>
    </w:p>
    <w:p w:rsidR="009F4B9D" w:rsidRPr="003441E5" w:rsidRDefault="009F4B9D" w:rsidP="00B14DFB">
      <w:bookmarkStart w:id="0" w:name="_GoBack"/>
      <w:bookmarkEnd w:id="0"/>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AD032B" w:rsidRPr="003441E5" w:rsidRDefault="00AD032B" w:rsidP="00EC1696"/>
    <w:p w:rsidR="009F4B9D" w:rsidRPr="003441E5" w:rsidRDefault="009F4B9D" w:rsidP="00B14DFB">
      <w:pPr>
        <w:rPr>
          <w:lang w:eastAsia="en-US"/>
        </w:rPr>
      </w:pPr>
    </w:p>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9F080A" w:rsidRDefault="009F080A" w:rsidP="009F080A"/>
    <w:p w:rsidR="00C2574F" w:rsidRDefault="00C2574F" w:rsidP="009F080A"/>
    <w:p w:rsidR="009F080A" w:rsidRDefault="0007144E" w:rsidP="009F080A">
      <w:r>
        <w:t>ACCAN thanks the Government for the opportunity to comment on this Discussion Paper.</w:t>
      </w:r>
    </w:p>
    <w:p w:rsidR="0009560F" w:rsidRDefault="0009560F" w:rsidP="008E0C4B">
      <w:pPr>
        <w:pStyle w:val="Heading2"/>
      </w:pPr>
      <w:r>
        <w:t>Extended authorisation liability</w:t>
      </w:r>
    </w:p>
    <w:p w:rsidR="0009560F" w:rsidRDefault="0009560F" w:rsidP="009F080A">
      <w:r>
        <w:t xml:space="preserve">The </w:t>
      </w:r>
      <w:r w:rsidR="002D31DD">
        <w:t>G</w:t>
      </w:r>
      <w:r>
        <w:t>overnment’s proposal is to extend authorisation liability, making it easier to hold I</w:t>
      </w:r>
      <w:r w:rsidR="002D31DD">
        <w:t>nternet Service Providers (I</w:t>
      </w:r>
      <w:r>
        <w:t>SPs</w:t>
      </w:r>
      <w:r w:rsidR="002D31DD">
        <w:t>)</w:t>
      </w:r>
      <w:r>
        <w:t xml:space="preserve"> liable for copyright infringement performed by their customers. ACCAN is concerned that ISPs will be induced by this change into expenditure on internal systems</w:t>
      </w:r>
      <w:r w:rsidR="008E0C4B">
        <w:t xml:space="preserve"> that will </w:t>
      </w:r>
      <w:r w:rsidR="00E80674">
        <w:t xml:space="preserve">be translated into higher costs for consumers and adversely impact affordability of </w:t>
      </w:r>
      <w:r w:rsidR="0050120D">
        <w:t>phone and</w:t>
      </w:r>
      <w:r w:rsidR="00E80674">
        <w:t xml:space="preserve"> internet</w:t>
      </w:r>
      <w:r w:rsidR="0050120D">
        <w:t xml:space="preserve"> services</w:t>
      </w:r>
      <w:r w:rsidR="00E80674">
        <w:t xml:space="preserve"> in Australia.</w:t>
      </w:r>
      <w:r w:rsidR="002D31DD">
        <w:t xml:space="preserve"> </w:t>
      </w:r>
      <w:r w:rsidR="008E0C4B">
        <w:t xml:space="preserve">It would be expected that in </w:t>
      </w:r>
      <w:r>
        <w:t>order to</w:t>
      </w:r>
      <w:r w:rsidR="00B10B1D">
        <w:t xml:space="preserve"> “discourage or reduce online copyright infringement” and thereby</w:t>
      </w:r>
      <w:r>
        <w:t xml:space="preserve"> reduce the risk of being found not to have taken “reasonable steps”</w:t>
      </w:r>
      <w:r w:rsidR="008E0C4B">
        <w:t>, ISPs w</w:t>
      </w:r>
      <w:r w:rsidR="00E80674">
        <w:t>ould</w:t>
      </w:r>
      <w:r w:rsidR="008E0C4B">
        <w:t xml:space="preserve"> </w:t>
      </w:r>
      <w:r w:rsidR="00E80674">
        <w:t>be undertaking such expenditure.</w:t>
      </w:r>
    </w:p>
    <w:p w:rsidR="00DF1911" w:rsidRDefault="00B10B1D" w:rsidP="009F080A">
      <w:r>
        <w:t xml:space="preserve">The proposed amendments “would clarify that the absence of a direct power to prevent a particular infringement would not, of itself, preclude a person from taking reasonable steps to prevent or avoid an infringing act”. </w:t>
      </w:r>
    </w:p>
    <w:p w:rsidR="0009560F" w:rsidRDefault="00C2574F" w:rsidP="009F080A">
      <w:r>
        <w:t>T</w:t>
      </w:r>
      <w:r w:rsidR="00B10B1D">
        <w:t xml:space="preserve">he primary </w:t>
      </w:r>
      <w:r w:rsidR="008E0C4B">
        <w:t>steps</w:t>
      </w:r>
      <w:r w:rsidR="00B10B1D">
        <w:t xml:space="preserve"> in the circumstances would</w:t>
      </w:r>
      <w:r>
        <w:t xml:space="preserve"> likely</w:t>
      </w:r>
      <w:r w:rsidR="00E80674">
        <w:t xml:space="preserve"> </w:t>
      </w:r>
      <w:r w:rsidR="00B10B1D">
        <w:t xml:space="preserve">be </w:t>
      </w:r>
      <w:r w:rsidR="008E0C4B">
        <w:t xml:space="preserve">to </w:t>
      </w:r>
      <w:r w:rsidR="00B10B1D">
        <w:t xml:space="preserve">notify </w:t>
      </w:r>
      <w:r w:rsidR="0050120D">
        <w:t xml:space="preserve">or warn </w:t>
      </w:r>
      <w:r w:rsidR="00B10B1D">
        <w:t xml:space="preserve">an alleged infringer. It appears that this approach would lend to a notice </w:t>
      </w:r>
      <w:r w:rsidR="0050120D">
        <w:t>(</w:t>
      </w:r>
      <w:r w:rsidR="00B10B1D">
        <w:t>or graduated response</w:t>
      </w:r>
      <w:r w:rsidR="0050120D">
        <w:t>)</w:t>
      </w:r>
      <w:r w:rsidR="00B10B1D">
        <w:t xml:space="preserve"> scheme a </w:t>
      </w:r>
      <w:r w:rsidR="00E80674">
        <w:t>significant</w:t>
      </w:r>
      <w:r w:rsidR="00B10B1D">
        <w:t xml:space="preserve"> legal </w:t>
      </w:r>
      <w:r w:rsidR="00E80674">
        <w:t>weight</w:t>
      </w:r>
      <w:r w:rsidR="00B10B1D">
        <w:t>, with ISPs running a high legal risk if they do not participate.</w:t>
      </w:r>
    </w:p>
    <w:p w:rsidR="00E80674" w:rsidRDefault="00E80674" w:rsidP="009F080A">
      <w:r>
        <w:t>We are concerned that th</w:t>
      </w:r>
      <w:r w:rsidR="00183571">
        <w:t>e significant expense for ISPs in establishing a notice scheme</w:t>
      </w:r>
      <w:r>
        <w:t xml:space="preserve"> </w:t>
      </w:r>
      <w:r w:rsidR="00183571">
        <w:t>will be borne by consumers through increased prices. Previous talks between the content industries and ISPs have demonstrated that the industries themselves are reluctant to internalise these costs.</w:t>
      </w:r>
      <w:r w:rsidR="002D31DD">
        <w:t xml:space="preserve"> </w:t>
      </w:r>
    </w:p>
    <w:p w:rsidR="00B574DA" w:rsidRDefault="00B10B1D" w:rsidP="009F080A">
      <w:r>
        <w:t xml:space="preserve">We are </w:t>
      </w:r>
      <w:r w:rsidR="00E80674">
        <w:t xml:space="preserve">further </w:t>
      </w:r>
      <w:r>
        <w:t xml:space="preserve">concerned that there does not appear to be any limitation of these changes to </w:t>
      </w:r>
      <w:r w:rsidR="00E80674">
        <w:t xml:space="preserve">the </w:t>
      </w:r>
      <w:r>
        <w:t>online</w:t>
      </w:r>
      <w:r w:rsidR="00E80674">
        <w:t xml:space="preserve"> space</w:t>
      </w:r>
      <w:r>
        <w:t xml:space="preserve">. This change </w:t>
      </w:r>
      <w:r w:rsidR="00E80674">
        <w:t xml:space="preserve">would appear to </w:t>
      </w:r>
      <w:r>
        <w:t>a</w:t>
      </w:r>
      <w:r w:rsidR="00E80674">
        <w:t xml:space="preserve">pply to </w:t>
      </w:r>
      <w:r>
        <w:t xml:space="preserve">all </w:t>
      </w:r>
      <w:proofErr w:type="gramStart"/>
      <w:r>
        <w:t>authorisation</w:t>
      </w:r>
      <w:proofErr w:type="gramEnd"/>
      <w:r>
        <w:t xml:space="preserve"> across all platforms and types of copyrighted material.</w:t>
      </w:r>
      <w:r w:rsidR="00E80674">
        <w:t xml:space="preserve"> </w:t>
      </w:r>
      <w:r w:rsidR="0050120D">
        <w:t>If this is the government’s intention, there is no explanation provided in the discussion paper about the merits of such a significant change to the settled law on authorisation.</w:t>
      </w:r>
      <w:r w:rsidR="00187CF8">
        <w:t xml:space="preserve"> Such a change would impact on a range of organisations including schools, universities, libraries, local councils, hotels and cafes.</w:t>
      </w:r>
    </w:p>
    <w:p w:rsidR="001A1ED1" w:rsidRDefault="002D31DD" w:rsidP="008E4BD5">
      <w:pPr>
        <w:pStyle w:val="Heading2"/>
      </w:pPr>
      <w:r>
        <w:t>Recommendations:</w:t>
      </w:r>
    </w:p>
    <w:p w:rsidR="002D31DD" w:rsidRDefault="002D31DD" w:rsidP="002D31DD">
      <w:pPr>
        <w:pStyle w:val="ListParagraph"/>
        <w:numPr>
          <w:ilvl w:val="0"/>
          <w:numId w:val="29"/>
        </w:numPr>
        <w:rPr>
          <w:b/>
        </w:rPr>
      </w:pPr>
      <w:r w:rsidRPr="002D31DD">
        <w:rPr>
          <w:b/>
        </w:rPr>
        <w:t>The Government should ensure that the cost of implementing an industry scheme is not passed on to consumers.</w:t>
      </w:r>
    </w:p>
    <w:p w:rsidR="002D31DD" w:rsidRPr="002D31DD" w:rsidRDefault="002D31DD" w:rsidP="002D31DD">
      <w:pPr>
        <w:pStyle w:val="ListParagraph"/>
        <w:rPr>
          <w:b/>
        </w:rPr>
      </w:pPr>
    </w:p>
    <w:p w:rsidR="002D31DD" w:rsidRPr="002D31DD" w:rsidRDefault="004571D2" w:rsidP="002D31DD">
      <w:pPr>
        <w:pStyle w:val="ListParagraph"/>
        <w:numPr>
          <w:ilvl w:val="0"/>
          <w:numId w:val="29"/>
        </w:numPr>
        <w:rPr>
          <w:b/>
        </w:rPr>
      </w:pPr>
      <w:r>
        <w:rPr>
          <w:b/>
        </w:rPr>
        <w:t>Any proposed extension</w:t>
      </w:r>
      <w:r w:rsidR="002D31DD" w:rsidRPr="002D31DD">
        <w:rPr>
          <w:b/>
        </w:rPr>
        <w:t xml:space="preserve"> to authorisation liability should be limited to online activities.</w:t>
      </w:r>
    </w:p>
    <w:p w:rsidR="002D31DD" w:rsidRDefault="002D31DD" w:rsidP="008E4BD5">
      <w:pPr>
        <w:pStyle w:val="Heading2"/>
      </w:pPr>
    </w:p>
    <w:p w:rsidR="008E4BD5" w:rsidRDefault="008E4BD5" w:rsidP="008E4BD5">
      <w:pPr>
        <w:pStyle w:val="Heading2"/>
      </w:pPr>
      <w:r>
        <w:t>Extended injunctive relief to block infringing overseas sites</w:t>
      </w:r>
    </w:p>
    <w:p w:rsidR="008E4BD5" w:rsidRDefault="008E4BD5" w:rsidP="008E4BD5">
      <w:r>
        <w:t xml:space="preserve">ACCAN has serious concerns about the practical application of such an injunction power. </w:t>
      </w:r>
      <w:r w:rsidR="00976120">
        <w:t>There</w:t>
      </w:r>
      <w:r>
        <w:t xml:space="preserve"> are many websites that are conduits for both infringing and non-infringing material. It is a significant power for a </w:t>
      </w:r>
      <w:r w:rsidR="00187F70">
        <w:t>c</w:t>
      </w:r>
      <w:r>
        <w:t xml:space="preserve">ourt to be able to block a website armed only with arguments from an aggrieved party. </w:t>
      </w:r>
      <w:r>
        <w:lastRenderedPageBreak/>
        <w:t>We are concerned there is no mechanism for legitimate users of a site to present arguments or evidence on any adverse consequences of an injunction.</w:t>
      </w:r>
    </w:p>
    <w:p w:rsidR="008E4BD5" w:rsidRDefault="008E4BD5" w:rsidP="008E4BD5">
      <w:r>
        <w:t xml:space="preserve">This is </w:t>
      </w:r>
      <w:r w:rsidR="00187CF8">
        <w:t xml:space="preserve">already </w:t>
      </w:r>
      <w:r>
        <w:t xml:space="preserve">evident </w:t>
      </w:r>
      <w:r w:rsidR="00187CF8">
        <w:t>from the experience in other countries.</w:t>
      </w:r>
      <w:r>
        <w:t xml:space="preserve"> </w:t>
      </w:r>
      <w:r w:rsidR="00187CF8">
        <w:t xml:space="preserve">In proceedings </w:t>
      </w:r>
      <w:r>
        <w:t>brought by rights holders in the Irish High Court to block the Pirate</w:t>
      </w:r>
      <w:r w:rsidR="00976120">
        <w:t xml:space="preserve"> B</w:t>
      </w:r>
      <w:r>
        <w:t>ay website</w:t>
      </w:r>
      <w:r w:rsidR="00187CF8">
        <w:t xml:space="preserve">, the Court refused an application for a civil society organisation, </w:t>
      </w:r>
      <w:r w:rsidR="00187CF8" w:rsidRPr="00D7113F">
        <w:t>Digital Rights Ireland,</w:t>
      </w:r>
      <w:r w:rsidR="00187CF8">
        <w:t xml:space="preserve"> to address the Court as </w:t>
      </w:r>
      <w:r w:rsidR="00187CF8" w:rsidRPr="00D7113F">
        <w:rPr>
          <w:i/>
        </w:rPr>
        <w:t>amicus curiae</w:t>
      </w:r>
      <w:r w:rsidR="00187CF8">
        <w:t xml:space="preserve"> because they could not be regarded as a neutral party.</w:t>
      </w:r>
      <w:r>
        <w:rPr>
          <w:rStyle w:val="FootnoteReference"/>
        </w:rPr>
        <w:footnoteReference w:id="1"/>
      </w:r>
      <w:r w:rsidR="0050120D">
        <w:t xml:space="preserve"> </w:t>
      </w:r>
    </w:p>
    <w:p w:rsidR="00187CF8" w:rsidRDefault="0050120D" w:rsidP="001A1ED1">
      <w:r>
        <w:t>Therefore, if the European model was followed i</w:t>
      </w:r>
      <w:r w:rsidR="008E4BD5">
        <w:t xml:space="preserve">n this type of injunction process, the </w:t>
      </w:r>
      <w:r w:rsidR="003C798E">
        <w:t>c</w:t>
      </w:r>
      <w:r w:rsidR="008E4BD5">
        <w:t xml:space="preserve">ourts generally will not have the benefit of hearing public interest arguments or arguments from those who may be non-infringing users of sites subject to a blocking application.  </w:t>
      </w:r>
    </w:p>
    <w:p w:rsidR="008E4BD5" w:rsidRPr="00B73639" w:rsidRDefault="008E4BD5" w:rsidP="008E4BD5">
      <w:r>
        <w:t xml:space="preserve">We would recommend that </w:t>
      </w:r>
      <w:r w:rsidR="00C2574F">
        <w:t xml:space="preserve">for this provision, if it were to be adopted, that </w:t>
      </w:r>
      <w:r>
        <w:t xml:space="preserve">there be a </w:t>
      </w:r>
      <w:r w:rsidR="00C2574F">
        <w:t xml:space="preserve">special </w:t>
      </w:r>
      <w:r>
        <w:t>presumption in favour of allowing parties to become interveners or amicus in the context of these injunction applications</w:t>
      </w:r>
      <w:r w:rsidR="00415D33">
        <w:t>. This should apply</w:t>
      </w:r>
      <w:r>
        <w:t xml:space="preserve"> both in circumstances where </w:t>
      </w:r>
      <w:r w:rsidR="00415D33">
        <w:t>parties</w:t>
      </w:r>
      <w:r>
        <w:t xml:space="preserve"> may have their interests affected by an injunction </w:t>
      </w:r>
      <w:r w:rsidR="003C798E">
        <w:t>and</w:t>
      </w:r>
      <w:r>
        <w:t xml:space="preserve"> where they wish to present public interest arguments against the granting of an injunction.</w:t>
      </w:r>
      <w:r w:rsidR="00C2574F">
        <w:t xml:space="preserve"> We would also support any other legal mechanism through which opposing arguments can be heard and considered by </w:t>
      </w:r>
      <w:r w:rsidR="003C798E">
        <w:t>the</w:t>
      </w:r>
      <w:r w:rsidR="00C2574F">
        <w:t xml:space="preserve"> </w:t>
      </w:r>
      <w:r w:rsidR="003C798E">
        <w:t>c</w:t>
      </w:r>
      <w:r w:rsidR="00C2574F">
        <w:t>ourt.</w:t>
      </w:r>
    </w:p>
    <w:p w:rsidR="001A1ED1" w:rsidRDefault="002D31DD" w:rsidP="00E80674">
      <w:pPr>
        <w:pStyle w:val="Heading2"/>
      </w:pPr>
      <w:r>
        <w:t>R</w:t>
      </w:r>
      <w:r w:rsidR="00415D33">
        <w:t>ecommendation</w:t>
      </w:r>
      <w:r>
        <w:t>:</w:t>
      </w:r>
    </w:p>
    <w:p w:rsidR="004E54B1" w:rsidRPr="004E54B1" w:rsidRDefault="004E54B1" w:rsidP="004E54B1">
      <w:pPr>
        <w:pStyle w:val="ListParagraph"/>
        <w:numPr>
          <w:ilvl w:val="0"/>
          <w:numId w:val="29"/>
        </w:numPr>
        <w:rPr>
          <w:b/>
        </w:rPr>
      </w:pPr>
      <w:r w:rsidRPr="004E54B1">
        <w:rPr>
          <w:b/>
        </w:rPr>
        <w:t>There should be a presumption in favour of allowing parties to become interveners or amicus in the context of these injunction applications.</w:t>
      </w:r>
    </w:p>
    <w:p w:rsidR="002D31DD" w:rsidRPr="002D31DD" w:rsidRDefault="002D31DD" w:rsidP="002D31DD">
      <w:pPr>
        <w:rPr>
          <w:lang w:eastAsia="en-US"/>
        </w:rPr>
      </w:pPr>
    </w:p>
    <w:p w:rsidR="00E80674" w:rsidRDefault="00E80674" w:rsidP="00E80674">
      <w:pPr>
        <w:pStyle w:val="Heading2"/>
      </w:pPr>
      <w:r>
        <w:t>Extended safe harbour scheme</w:t>
      </w:r>
    </w:p>
    <w:p w:rsidR="00187CF8" w:rsidRDefault="00183571" w:rsidP="009F080A">
      <w:r>
        <w:t xml:space="preserve">The safe harbour scheme limits the remedies available against ISPs in some circumstances, protecting the ISP industry against the award of financial damages for direct or authorised infringements. </w:t>
      </w:r>
      <w:r w:rsidR="00B574DA">
        <w:t>ACCAN is satisfied with the proposal to extend the safe harbour scheme</w:t>
      </w:r>
      <w:r w:rsidR="00C2574F">
        <w:t xml:space="preserve"> to a wider range of organisations</w:t>
      </w:r>
      <w:r w:rsidR="00B574DA">
        <w:t>. However the safe harbour scheme continues to contain a provision for the termination of the internet accounts of repeat infringers that, as ACCAN has repeatedly argued, is unacceptable from the standpoint of consumer rights</w:t>
      </w:r>
      <w:r w:rsidR="004571D2">
        <w:t xml:space="preserve"> and may affect access to essential services such as Triple Zero emergency</w:t>
      </w:r>
      <w:r w:rsidR="00B574DA">
        <w:t>.</w:t>
      </w:r>
      <w:r w:rsidR="00402F39">
        <w:rPr>
          <w:rStyle w:val="FootnoteReference"/>
        </w:rPr>
        <w:footnoteReference w:id="2"/>
      </w:r>
    </w:p>
    <w:p w:rsidR="002E669D" w:rsidRPr="002E669D" w:rsidRDefault="002E669D" w:rsidP="009F080A">
      <w:pPr>
        <w:rPr>
          <w:rFonts w:eastAsia="Times New Roman" w:cs="Times New Roman"/>
          <w:bCs/>
          <w:iCs/>
          <w:sz w:val="32"/>
          <w:szCs w:val="24"/>
          <w:lang w:eastAsia="en-US"/>
        </w:rPr>
      </w:pPr>
      <w:r w:rsidRPr="002E669D">
        <w:rPr>
          <w:rFonts w:eastAsia="Times New Roman" w:cs="Times New Roman"/>
          <w:bCs/>
          <w:iCs/>
          <w:sz w:val="32"/>
          <w:szCs w:val="24"/>
          <w:lang w:eastAsia="en-US"/>
        </w:rPr>
        <w:t>Account termination provisions should be repealed</w:t>
      </w:r>
    </w:p>
    <w:p w:rsidR="00C2574F" w:rsidRDefault="00402F39" w:rsidP="009F080A">
      <w:r>
        <w:t>T</w:t>
      </w:r>
      <w:r w:rsidR="00B574DA">
        <w:t>h</w:t>
      </w:r>
      <w:r>
        <w:t>e</w:t>
      </w:r>
      <w:r w:rsidR="00035B2A">
        <w:t xml:space="preserve"> </w:t>
      </w:r>
      <w:r w:rsidR="00B73639">
        <w:t>leg</w:t>
      </w:r>
      <w:r>
        <w:t>islative</w:t>
      </w:r>
      <w:r w:rsidR="00B73639">
        <w:t xml:space="preserve"> </w:t>
      </w:r>
      <w:r w:rsidR="00B574DA">
        <w:t xml:space="preserve">encouragement for account termination is </w:t>
      </w:r>
      <w:r w:rsidR="00B73639">
        <w:t>not</w:t>
      </w:r>
      <w:r w:rsidR="00035B2A">
        <w:t xml:space="preserve"> addressed </w:t>
      </w:r>
      <w:r>
        <w:t>despite</w:t>
      </w:r>
      <w:r w:rsidR="00767838">
        <w:t xml:space="preserve"> the D</w:t>
      </w:r>
      <w:r w:rsidR="00C2574F">
        <w:t xml:space="preserve">iscussion </w:t>
      </w:r>
      <w:r w:rsidR="00767838">
        <w:t>P</w:t>
      </w:r>
      <w:r w:rsidR="00C2574F">
        <w:t>aper say</w:t>
      </w:r>
      <w:r w:rsidR="00767838">
        <w:t>ing</w:t>
      </w:r>
      <w:r w:rsidR="00C2574F">
        <w:t xml:space="preserve"> the Government would not expect an industry notice scheme to contain measures that would “interrupt a subscriber’s internet access”. </w:t>
      </w:r>
    </w:p>
    <w:p w:rsidR="00B73639" w:rsidRDefault="00402F39" w:rsidP="009F080A">
      <w:r>
        <w:lastRenderedPageBreak/>
        <w:t>Indeed, a</w:t>
      </w:r>
      <w:r w:rsidR="00C2574F">
        <w:t xml:space="preserve">ccount terminations are </w:t>
      </w:r>
      <w:r w:rsidR="00035B2A">
        <w:t>no longer</w:t>
      </w:r>
      <w:r w:rsidR="00B73639">
        <w:t xml:space="preserve"> accepted as sound policy by any industry party. </w:t>
      </w:r>
      <w:r w:rsidR="002E669D">
        <w:t>C</w:t>
      </w:r>
      <w:r w:rsidR="00B73639">
        <w:t xml:space="preserve">ontent industry groups have over recent years </w:t>
      </w:r>
      <w:r w:rsidR="00884AF5">
        <w:t>moved away from</w:t>
      </w:r>
      <w:r>
        <w:t xml:space="preserve"> arguing that</w:t>
      </w:r>
      <w:r w:rsidR="00B73639">
        <w:t xml:space="preserve"> account termination </w:t>
      </w:r>
      <w:r>
        <w:t>is</w:t>
      </w:r>
      <w:r w:rsidR="00884AF5">
        <w:t xml:space="preserve"> a</w:t>
      </w:r>
      <w:r w:rsidR="00B73639">
        <w:t xml:space="preserve"> </w:t>
      </w:r>
      <w:r w:rsidR="00E80674">
        <w:t>necessary</w:t>
      </w:r>
      <w:r w:rsidR="00B73639">
        <w:t xml:space="preserve"> or desirable measure.</w:t>
      </w:r>
      <w:r w:rsidR="00B73639">
        <w:rPr>
          <w:rStyle w:val="FootnoteReference"/>
        </w:rPr>
        <w:footnoteReference w:id="3"/>
      </w:r>
    </w:p>
    <w:p w:rsidR="00B73639" w:rsidRPr="00B73639" w:rsidRDefault="00B73639" w:rsidP="00B73639">
      <w:r>
        <w:t>It has been recognised by almost all parties involved in copyright law reform discussions that a</w:t>
      </w:r>
      <w:r w:rsidRPr="00B73639">
        <w:t>ccess to the internet is now a practical necessity in everyday life</w:t>
      </w:r>
      <w:r>
        <w:t xml:space="preserve">, taking on the characteristics of a utility service. </w:t>
      </w:r>
      <w:r w:rsidRPr="00B73639">
        <w:t>Both internet and phone services are</w:t>
      </w:r>
      <w:r>
        <w:t xml:space="preserve"> of course</w:t>
      </w:r>
      <w:r w:rsidRPr="00B73639">
        <w:t xml:space="preserve"> often delivered over the same infrastructure and bundled into one account.</w:t>
      </w:r>
    </w:p>
    <w:p w:rsidR="00B73639" w:rsidRDefault="00E80674" w:rsidP="00B73639">
      <w:r>
        <w:t>T</w:t>
      </w:r>
      <w:r w:rsidR="00B73639">
        <w:t>here is</w:t>
      </w:r>
      <w:r>
        <w:t xml:space="preserve"> now</w:t>
      </w:r>
      <w:r w:rsidR="00B73639">
        <w:t xml:space="preserve"> a consensus among stakeholders in Australia that</w:t>
      </w:r>
      <w:r w:rsidR="00B73639" w:rsidRPr="00B73639">
        <w:t xml:space="preserve"> copyright infringement must not result in any person being disconnected from a phone or internet service. Disconnection from an essential utility service on the basis of copyright infringement is </w:t>
      </w:r>
      <w:r w:rsidR="00B73639">
        <w:t>disproportionate and could result in harm to individuals who have nothing to do with the infringing acts</w:t>
      </w:r>
      <w:r w:rsidR="00B73639" w:rsidRPr="00B73639">
        <w:t xml:space="preserve">. </w:t>
      </w:r>
    </w:p>
    <w:p w:rsidR="00187CF8" w:rsidRPr="00B73639" w:rsidRDefault="00187CF8" w:rsidP="00B73639">
      <w:r>
        <w:t>As this safe harbour condition arises from the 2004 Australia – United States Free Trade Agreement (AUSFTA)</w:t>
      </w:r>
      <w:r w:rsidR="00603412">
        <w:t>, it is significant that the</w:t>
      </w:r>
      <w:r>
        <w:t xml:space="preserve"> United States has similar</w:t>
      </w:r>
      <w:r w:rsidR="00603412">
        <w:t xml:space="preserve">ly seen a change in the views of stakeholders away from account termination. </w:t>
      </w:r>
      <w:r w:rsidR="00402F39">
        <w:t xml:space="preserve">This is to be expected as the </w:t>
      </w:r>
      <w:r w:rsidR="002E669D">
        <w:t>role the internet</w:t>
      </w:r>
      <w:r w:rsidR="00402F39">
        <w:t xml:space="preserve"> played in </w:t>
      </w:r>
      <w:r w:rsidR="002E669D">
        <w:t>2004 was very different from the</w:t>
      </w:r>
      <w:r w:rsidR="00603412">
        <w:t xml:space="preserve"> </w:t>
      </w:r>
      <w:r w:rsidR="002E669D">
        <w:t xml:space="preserve">role </w:t>
      </w:r>
      <w:r w:rsidR="00402F39">
        <w:t>it plays</w:t>
      </w:r>
      <w:r w:rsidR="00603412">
        <w:t xml:space="preserve"> </w:t>
      </w:r>
      <w:r w:rsidR="00402F39">
        <w:t xml:space="preserve">in </w:t>
      </w:r>
      <w:r w:rsidR="00603412">
        <w:t>2014.</w:t>
      </w:r>
    </w:p>
    <w:p w:rsidR="00F81497" w:rsidRDefault="00B73639" w:rsidP="00B73639">
      <w:r w:rsidRPr="00B73639">
        <w:t xml:space="preserve">The provisions in the Copyright Act which offer incentives for service providers to </w:t>
      </w:r>
      <w:r w:rsidR="00E80674">
        <w:t>terminate accounts</w:t>
      </w:r>
      <w:r w:rsidR="00743C46">
        <w:t xml:space="preserve"> </w:t>
      </w:r>
      <w:r w:rsidR="00603412">
        <w:t>are</w:t>
      </w:r>
      <w:r w:rsidR="00743C46">
        <w:t xml:space="preserve"> </w:t>
      </w:r>
      <w:r w:rsidR="00603412">
        <w:t>based on antiquated assumptions and should</w:t>
      </w:r>
      <w:r w:rsidR="00743C46">
        <w:t xml:space="preserve"> be repealed.</w:t>
      </w:r>
      <w:r w:rsidR="00402F39">
        <w:t xml:space="preserve"> </w:t>
      </w:r>
      <w:r w:rsidR="00743C46">
        <w:t>Serious consideration should also be given to repealing s116AG (3</w:t>
      </w:r>
      <w:proofErr w:type="gramStart"/>
      <w:r w:rsidR="00743C46">
        <w:t>)(</w:t>
      </w:r>
      <w:proofErr w:type="gramEnd"/>
      <w:r w:rsidR="00743C46">
        <w:t>b) which allows a court to order the termination of an account</w:t>
      </w:r>
      <w:r w:rsidR="00F81497">
        <w:t>.</w:t>
      </w:r>
    </w:p>
    <w:p w:rsidR="001A1ED1" w:rsidRDefault="004E54B1" w:rsidP="00806A33">
      <w:pPr>
        <w:pStyle w:val="Heading2"/>
      </w:pPr>
      <w:r>
        <w:t>R</w:t>
      </w:r>
      <w:r w:rsidR="00415D33">
        <w:t>ecommendation</w:t>
      </w:r>
      <w:r>
        <w:t>:</w:t>
      </w:r>
    </w:p>
    <w:p w:rsidR="004E54B1" w:rsidRPr="004E54B1" w:rsidRDefault="004E54B1" w:rsidP="004E54B1">
      <w:pPr>
        <w:pStyle w:val="ListParagraph"/>
        <w:numPr>
          <w:ilvl w:val="0"/>
          <w:numId w:val="29"/>
        </w:numPr>
        <w:rPr>
          <w:b/>
        </w:rPr>
      </w:pPr>
      <w:r w:rsidRPr="004E54B1">
        <w:rPr>
          <w:b/>
        </w:rPr>
        <w:t>The provisions in the Copyright Act which offer incentives for service providers to terminate accounts should be repealed.</w:t>
      </w:r>
    </w:p>
    <w:p w:rsidR="004E54B1" w:rsidRDefault="004E54B1" w:rsidP="00806A33">
      <w:pPr>
        <w:pStyle w:val="Heading2"/>
      </w:pPr>
    </w:p>
    <w:p w:rsidR="00806A33" w:rsidRDefault="00AD5674" w:rsidP="00806A33">
      <w:pPr>
        <w:pStyle w:val="Heading2"/>
      </w:pPr>
      <w:r>
        <w:t>Notice scheme c</w:t>
      </w:r>
      <w:r w:rsidR="00806A33">
        <w:t>onsumer rights</w:t>
      </w:r>
    </w:p>
    <w:p w:rsidR="00AD5674" w:rsidRDefault="00AD5674" w:rsidP="00626D2E">
      <w:r>
        <w:t>ACCAN believes the character of review processes will be dictated by the nature of any industry notice scheme adopted.</w:t>
      </w:r>
      <w:r w:rsidR="00715D17">
        <w:t xml:space="preserve"> We would urge that consumer organisations be part of the development process if a notice scheme was to be developed.</w:t>
      </w:r>
    </w:p>
    <w:p w:rsidR="00290870" w:rsidRDefault="00806A33" w:rsidP="00626D2E">
      <w:r>
        <w:t xml:space="preserve">In the US, </w:t>
      </w:r>
      <w:r w:rsidR="00626D2E">
        <w:t>the Copyright Alert System carries s</w:t>
      </w:r>
      <w:r w:rsidR="002E669D">
        <w:t>anctions</w:t>
      </w:r>
      <w:r w:rsidR="00626D2E">
        <w:t>.</w:t>
      </w:r>
      <w:r w:rsidR="002E669D">
        <w:rPr>
          <w:rStyle w:val="FootnoteReference"/>
        </w:rPr>
        <w:footnoteReference w:id="4"/>
      </w:r>
      <w:r w:rsidR="00626D2E">
        <w:t xml:space="preserve"> </w:t>
      </w:r>
      <w:r w:rsidRPr="00806A33">
        <w:t xml:space="preserve">Depending on the service provider, </w:t>
      </w:r>
      <w:r w:rsidR="00626D2E">
        <w:t xml:space="preserve">if infringement continues after notices are sent, </w:t>
      </w:r>
      <w:r w:rsidRPr="00806A33">
        <w:t>the ISP’s range of actions may include</w:t>
      </w:r>
      <w:r w:rsidR="00064464">
        <w:t xml:space="preserve"> a</w:t>
      </w:r>
      <w:r w:rsidRPr="00806A33">
        <w:t xml:space="preserve"> temporary reduction in </w:t>
      </w:r>
      <w:r w:rsidR="00737E4E">
        <w:t>i</w:t>
      </w:r>
      <w:r w:rsidRPr="00806A33">
        <w:t>nternet speed</w:t>
      </w:r>
      <w:r w:rsidR="00064464">
        <w:t>, a</w:t>
      </w:r>
      <w:r w:rsidRPr="00806A33">
        <w:t xml:space="preserve"> temporary downgrade in service or</w:t>
      </w:r>
      <w:r w:rsidR="00064464">
        <w:t xml:space="preserve"> r</w:t>
      </w:r>
      <w:r w:rsidRPr="00806A33">
        <w:t>edirect</w:t>
      </w:r>
      <w:r w:rsidR="00737E4E">
        <w:t xml:space="preserve">ion to a landing page for a </w:t>
      </w:r>
      <w:r w:rsidRPr="00806A33">
        <w:t>period of time until a subscriber contacts the ISP or until the subscriber completes an online copyright education program.</w:t>
      </w:r>
      <w:r w:rsidR="002E669D">
        <w:t xml:space="preserve"> </w:t>
      </w:r>
    </w:p>
    <w:p w:rsidR="00290870" w:rsidRDefault="007409D9" w:rsidP="00626D2E">
      <w:r>
        <w:lastRenderedPageBreak/>
        <w:t>It is therefore necessary for t</w:t>
      </w:r>
      <w:r w:rsidR="00626D2E">
        <w:t xml:space="preserve">here </w:t>
      </w:r>
      <w:r>
        <w:t>to be</w:t>
      </w:r>
      <w:r w:rsidR="00626D2E">
        <w:t xml:space="preserve"> an independent review process run by the American Arbitration Association</w:t>
      </w:r>
      <w:r w:rsidR="00064464">
        <w:t xml:space="preserve"> for consumers to use if they believe they </w:t>
      </w:r>
      <w:r w:rsidR="00AD5674">
        <w:t>have received an Alert in error</w:t>
      </w:r>
      <w:r w:rsidR="00290870">
        <w:t xml:space="preserve"> –</w:t>
      </w:r>
      <w:r w:rsidR="00AD5674">
        <w:t xml:space="preserve"> with</w:t>
      </w:r>
      <w:r w:rsidR="00290870">
        <w:t xml:space="preserve"> </w:t>
      </w:r>
      <w:r w:rsidR="00AD5674">
        <w:t>six grounds available to consumers to challenge a copyright alert.</w:t>
      </w:r>
      <w:r w:rsidR="00290870">
        <w:rPr>
          <w:rStyle w:val="FootnoteReference"/>
        </w:rPr>
        <w:footnoteReference w:id="5"/>
      </w:r>
      <w:r w:rsidR="00290870">
        <w:t xml:space="preserve"> Importantly, a consumer’s decision not</w:t>
      </w:r>
      <w:r w:rsidR="00767838">
        <w:t xml:space="preserve"> to</w:t>
      </w:r>
      <w:r w:rsidR="00290870">
        <w:t xml:space="preserve"> seek an independent review will not be construed as an admission or waiver in any other proceeding.</w:t>
      </w:r>
      <w:r w:rsidR="00290870">
        <w:rPr>
          <w:rStyle w:val="FootnoteReference"/>
        </w:rPr>
        <w:footnoteReference w:id="6"/>
      </w:r>
    </w:p>
    <w:p w:rsidR="007D65F2" w:rsidRDefault="007D65F2" w:rsidP="00626D2E">
      <w:r>
        <w:t xml:space="preserve">It is also important to note that the Fair Use objection, one of the six </w:t>
      </w:r>
      <w:proofErr w:type="gramStart"/>
      <w:r>
        <w:t>objection</w:t>
      </w:r>
      <w:proofErr w:type="gramEnd"/>
      <w:r>
        <w:t xml:space="preserve"> grounds available to consumers under the US scheme, i</w:t>
      </w:r>
      <w:r w:rsidR="00615BEB">
        <w:t>s unavailable in Australia. This highlights the importance of introducing the Fair Use reforms recommended by the Australian Law Reform Commission</w:t>
      </w:r>
      <w:r w:rsidR="00013FEA">
        <w:rPr>
          <w:rStyle w:val="FootnoteReference"/>
        </w:rPr>
        <w:footnoteReference w:id="7"/>
      </w:r>
      <w:r w:rsidR="00615BEB">
        <w:t xml:space="preserve"> </w:t>
      </w:r>
      <w:r w:rsidR="00107D6A">
        <w:t>in the context of these proposed measures</w:t>
      </w:r>
      <w:r w:rsidR="00013FEA">
        <w:t xml:space="preserve"> which could see such a scheme introduced in Australia</w:t>
      </w:r>
      <w:r w:rsidR="00107D6A">
        <w:t>.</w:t>
      </w:r>
    </w:p>
    <w:p w:rsidR="004F2005" w:rsidRPr="00806A33" w:rsidRDefault="004F2005" w:rsidP="00626D2E">
      <w:r>
        <w:t>On the whole ACCAN would argue against notice schemes with sanctions as they are likely to be costly to administer and counterproductive in the content industry’s efforts to build consumer goodwill and a culture of respect for copyright law.</w:t>
      </w:r>
    </w:p>
    <w:p w:rsidR="004E54B1" w:rsidRDefault="004E54B1" w:rsidP="004E54B1">
      <w:pPr>
        <w:pStyle w:val="Heading2"/>
      </w:pPr>
      <w:r>
        <w:br/>
        <w:t>Recommendations:</w:t>
      </w:r>
    </w:p>
    <w:p w:rsidR="00064464" w:rsidRPr="004F2005" w:rsidRDefault="004F2005" w:rsidP="00B73639">
      <w:pPr>
        <w:rPr>
          <w:b/>
        </w:rPr>
      </w:pPr>
      <w:r w:rsidRPr="004F2005">
        <w:rPr>
          <w:b/>
        </w:rPr>
        <w:t xml:space="preserve">An industry </w:t>
      </w:r>
      <w:r w:rsidR="00064464" w:rsidRPr="004F2005">
        <w:rPr>
          <w:b/>
        </w:rPr>
        <w:t>scheme must:</w:t>
      </w:r>
    </w:p>
    <w:p w:rsidR="00064464" w:rsidRPr="004E54B1" w:rsidRDefault="00064464" w:rsidP="00064464">
      <w:pPr>
        <w:pStyle w:val="ListParagraph"/>
        <w:numPr>
          <w:ilvl w:val="0"/>
          <w:numId w:val="28"/>
        </w:numPr>
        <w:rPr>
          <w:b/>
        </w:rPr>
      </w:pPr>
      <w:proofErr w:type="gramStart"/>
      <w:r w:rsidRPr="004E54B1">
        <w:rPr>
          <w:b/>
        </w:rPr>
        <w:t>uphold</w:t>
      </w:r>
      <w:proofErr w:type="gramEnd"/>
      <w:r w:rsidRPr="004E54B1">
        <w:rPr>
          <w:b/>
        </w:rPr>
        <w:t xml:space="preserve"> the right to free, independent review of any allegation and must afford due process to people who have allegations made against them – even if there are no sanctions attached to those allegations.</w:t>
      </w:r>
    </w:p>
    <w:p w:rsidR="00402F39" w:rsidRPr="004E54B1" w:rsidRDefault="00402F39" w:rsidP="00402F39">
      <w:pPr>
        <w:pStyle w:val="ListParagraph"/>
        <w:rPr>
          <w:b/>
        </w:rPr>
      </w:pPr>
    </w:p>
    <w:p w:rsidR="00402F39" w:rsidRPr="004E54B1" w:rsidRDefault="00737E4E" w:rsidP="00402F39">
      <w:pPr>
        <w:pStyle w:val="ListParagraph"/>
        <w:numPr>
          <w:ilvl w:val="0"/>
          <w:numId w:val="28"/>
        </w:numPr>
        <w:rPr>
          <w:b/>
        </w:rPr>
      </w:pPr>
      <w:r w:rsidRPr="004E54B1">
        <w:rPr>
          <w:b/>
        </w:rPr>
        <w:t>not indicate that a consumer’s decision not to seek independent review is an admission or waiver or carries other legal consequences</w:t>
      </w:r>
    </w:p>
    <w:p w:rsidR="00402F39" w:rsidRPr="004E54B1" w:rsidRDefault="00402F39" w:rsidP="00402F39">
      <w:pPr>
        <w:pStyle w:val="ListParagraph"/>
        <w:rPr>
          <w:b/>
        </w:rPr>
      </w:pPr>
    </w:p>
    <w:p w:rsidR="002E669D" w:rsidRPr="004E54B1" w:rsidRDefault="002E669D" w:rsidP="00064464">
      <w:pPr>
        <w:pStyle w:val="ListParagraph"/>
        <w:numPr>
          <w:ilvl w:val="0"/>
          <w:numId w:val="28"/>
        </w:numPr>
        <w:rPr>
          <w:b/>
        </w:rPr>
      </w:pPr>
      <w:r w:rsidRPr="004E54B1">
        <w:rPr>
          <w:b/>
        </w:rPr>
        <w:t>not impose financial penalties, given that liability is difficult to establish precisely in the context of online infringement</w:t>
      </w:r>
    </w:p>
    <w:p w:rsidR="00402F39" w:rsidRPr="004E54B1" w:rsidRDefault="00402F39" w:rsidP="00402F39">
      <w:pPr>
        <w:pStyle w:val="ListParagraph"/>
        <w:rPr>
          <w:b/>
        </w:rPr>
      </w:pPr>
    </w:p>
    <w:p w:rsidR="00064464" w:rsidRPr="004E54B1" w:rsidRDefault="00064464" w:rsidP="00064464">
      <w:pPr>
        <w:pStyle w:val="ListParagraph"/>
        <w:numPr>
          <w:ilvl w:val="0"/>
          <w:numId w:val="28"/>
        </w:numPr>
        <w:rPr>
          <w:b/>
        </w:rPr>
      </w:pPr>
      <w:r w:rsidRPr="004E54B1">
        <w:rPr>
          <w:b/>
        </w:rPr>
        <w:t>not compromise individual privacy and the right to confidentiality of online activities</w:t>
      </w:r>
    </w:p>
    <w:p w:rsidR="001A1ED1" w:rsidRPr="004E54B1" w:rsidRDefault="001A1ED1" w:rsidP="001A1ED1">
      <w:pPr>
        <w:pStyle w:val="ListParagraph"/>
        <w:rPr>
          <w:b/>
        </w:rPr>
      </w:pPr>
    </w:p>
    <w:p w:rsidR="001A1ED1" w:rsidRDefault="00064464" w:rsidP="00064464">
      <w:pPr>
        <w:pStyle w:val="ListParagraph"/>
        <w:numPr>
          <w:ilvl w:val="0"/>
          <w:numId w:val="28"/>
        </w:numPr>
        <w:rPr>
          <w:b/>
        </w:rPr>
      </w:pPr>
      <w:r w:rsidRPr="004E54B1">
        <w:rPr>
          <w:b/>
        </w:rPr>
        <w:t>not contain any measure that would have the result of disconnecting any person from a phone or internet service</w:t>
      </w:r>
    </w:p>
    <w:p w:rsidR="004E54B1" w:rsidRPr="004E54B1" w:rsidRDefault="004E54B1" w:rsidP="004E54B1">
      <w:pPr>
        <w:pStyle w:val="ListParagraph"/>
        <w:rPr>
          <w:b/>
        </w:rPr>
      </w:pPr>
    </w:p>
    <w:p w:rsidR="004E54B1" w:rsidRPr="004E54B1" w:rsidRDefault="004E54B1" w:rsidP="00064464">
      <w:pPr>
        <w:pStyle w:val="ListParagraph"/>
        <w:numPr>
          <w:ilvl w:val="0"/>
          <w:numId w:val="28"/>
        </w:numPr>
        <w:rPr>
          <w:b/>
        </w:rPr>
      </w:pPr>
      <w:r>
        <w:rPr>
          <w:b/>
        </w:rPr>
        <w:t>involve consumer organisations in</w:t>
      </w:r>
      <w:r w:rsidR="004F2005">
        <w:rPr>
          <w:b/>
        </w:rPr>
        <w:t xml:space="preserve"> the</w:t>
      </w:r>
      <w:r>
        <w:rPr>
          <w:b/>
        </w:rPr>
        <w:t xml:space="preserve"> development</w:t>
      </w:r>
      <w:r w:rsidR="004F2005">
        <w:rPr>
          <w:b/>
        </w:rPr>
        <w:t xml:space="preserve"> stage</w:t>
      </w:r>
    </w:p>
    <w:p w:rsidR="00064464" w:rsidRPr="001A1ED1" w:rsidRDefault="001A1ED1" w:rsidP="001A1ED1">
      <w:pPr>
        <w:tabs>
          <w:tab w:val="left" w:pos="5616"/>
        </w:tabs>
        <w:rPr>
          <w:lang w:eastAsia="en-US"/>
        </w:rPr>
      </w:pPr>
      <w:r>
        <w:rPr>
          <w:lang w:eastAsia="en-US"/>
        </w:rPr>
        <w:tab/>
      </w:r>
    </w:p>
    <w:sectPr w:rsidR="00064464" w:rsidRPr="001A1ED1"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8E" w:rsidRDefault="003C798E" w:rsidP="00B14DFB">
      <w:r>
        <w:separator/>
      </w:r>
    </w:p>
  </w:endnote>
  <w:endnote w:type="continuationSeparator" w:id="0">
    <w:p w:rsidR="003C798E" w:rsidRDefault="003C798E"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8E" w:rsidRDefault="003C798E"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A93275">
      <w:rPr>
        <w:noProof/>
      </w:rPr>
      <w:t>6</w:t>
    </w:r>
    <w:r w:rsidRPr="00C4251E">
      <w:rPr>
        <w:noProof/>
      </w:rPr>
      <w:fldChar w:fldCharType="end"/>
    </w:r>
  </w:p>
  <w:p w:rsidR="003C798E" w:rsidRPr="000F58CC" w:rsidRDefault="003C798E"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8E" w:rsidRDefault="003C798E" w:rsidP="00A13B92">
    <w:pPr>
      <w:pStyle w:val="Footerpage1"/>
    </w:pPr>
    <w:r w:rsidRPr="004A0B0A">
      <w:rPr>
        <w:color w:val="44C8F5"/>
      </w:rPr>
      <w:t>Australian Communications Consumer Action Network (ACCAN)</w:t>
    </w:r>
  </w:p>
  <w:p w:rsidR="003C798E" w:rsidRDefault="003C798E" w:rsidP="00A13B92">
    <w:pPr>
      <w:pStyle w:val="Footerpage1"/>
      <w:rPr>
        <w:i/>
      </w:rPr>
    </w:pPr>
    <w:r w:rsidRPr="004A0B0A">
      <w:rPr>
        <w:i/>
        <w:color w:val="44C8F5"/>
      </w:rPr>
      <w:t>Australia’s peak telecommunications consumer advocacy organisation</w:t>
    </w:r>
  </w:p>
  <w:p w:rsidR="003C798E" w:rsidRDefault="003C798E" w:rsidP="00A13B92">
    <w:pPr>
      <w:pStyle w:val="Footerpage1"/>
    </w:pPr>
    <w:r w:rsidRPr="008E763A">
      <w:rPr>
        <w:noProof/>
        <w:lang w:eastAsia="en-AU"/>
      </w:rPr>
      <mc:AlternateContent>
        <mc:Choice Requires="wps">
          <w:drawing>
            <wp:inline distT="0" distB="0" distL="0" distR="0" wp14:anchorId="79370EE9" wp14:editId="5044071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3C798E" w:rsidRDefault="003C798E" w:rsidP="00A13B92">
    <w:pPr>
      <w:pStyle w:val="Footerpage1"/>
    </w:pPr>
    <w:r w:rsidRPr="008E763A">
      <w:t>Tel: (02) 9288 4000 | TTY: (02) 9281 5322 | Fax: (02) 9288 4019</w:t>
    </w:r>
  </w:p>
  <w:p w:rsidR="003C798E" w:rsidRDefault="003C798E"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8E" w:rsidRDefault="003C798E" w:rsidP="00B14DFB">
      <w:r>
        <w:separator/>
      </w:r>
    </w:p>
  </w:footnote>
  <w:footnote w:type="continuationSeparator" w:id="0">
    <w:p w:rsidR="003C798E" w:rsidRDefault="003C798E" w:rsidP="00B14DFB">
      <w:r>
        <w:continuationSeparator/>
      </w:r>
    </w:p>
  </w:footnote>
  <w:footnote w:id="1">
    <w:p w:rsidR="003C798E" w:rsidRDefault="003C798E" w:rsidP="008E4BD5">
      <w:pPr>
        <w:pStyle w:val="FootnoteText"/>
      </w:pPr>
      <w:r>
        <w:rPr>
          <w:rStyle w:val="FootnoteReference"/>
        </w:rPr>
        <w:footnoteRef/>
      </w:r>
      <w:r>
        <w:t xml:space="preserve"> </w:t>
      </w:r>
      <w:r w:rsidRPr="00D7113F">
        <w:t xml:space="preserve">EMI Records (Ireland) Ltd &amp; </w:t>
      </w:r>
      <w:proofErr w:type="spellStart"/>
      <w:r w:rsidRPr="00D7113F">
        <w:t>Ors</w:t>
      </w:r>
      <w:proofErr w:type="spellEnd"/>
      <w:r w:rsidRPr="00D7113F">
        <w:t xml:space="preserve"> -v- UPC Communications Ireland Ltd &amp; </w:t>
      </w:r>
      <w:proofErr w:type="spellStart"/>
      <w:r w:rsidRPr="00D7113F">
        <w:t>Ors</w:t>
      </w:r>
      <w:proofErr w:type="spellEnd"/>
      <w:r>
        <w:t xml:space="preserve"> </w:t>
      </w:r>
      <w:hyperlink r:id="rId1" w:history="1">
        <w:r w:rsidRPr="00D7113F">
          <w:rPr>
            <w:rStyle w:val="Hyperlink"/>
          </w:rPr>
          <w:t>[2013] IEHC 204</w:t>
        </w:r>
      </w:hyperlink>
    </w:p>
  </w:footnote>
  <w:footnote w:id="2">
    <w:p w:rsidR="003C798E" w:rsidRDefault="003C798E">
      <w:pPr>
        <w:pStyle w:val="FootnoteText"/>
      </w:pPr>
      <w:r>
        <w:rPr>
          <w:rStyle w:val="FootnoteReference"/>
        </w:rPr>
        <w:footnoteRef/>
      </w:r>
      <w:r>
        <w:t xml:space="preserve"> Copyright Act (1968) Section 116AH Item 1, Condition 1</w:t>
      </w:r>
    </w:p>
  </w:footnote>
  <w:footnote w:id="3">
    <w:p w:rsidR="003C798E" w:rsidRDefault="003C798E">
      <w:pPr>
        <w:pStyle w:val="FootnoteText"/>
      </w:pPr>
      <w:r>
        <w:rPr>
          <w:rStyle w:val="FootnoteReference"/>
        </w:rPr>
        <w:footnoteRef/>
      </w:r>
      <w:r>
        <w:t xml:space="preserve"> For example, </w:t>
      </w:r>
      <w:hyperlink r:id="rId2" w:history="1">
        <w:r w:rsidRPr="00AD0A07">
          <w:rPr>
            <w:rStyle w:val="Hyperlink"/>
          </w:rPr>
          <w:t>http://www.itnews.com.au/News/311143,afact-defends-french-three-strikes-regime.aspx</w:t>
        </w:r>
      </w:hyperlink>
      <w:r>
        <w:t xml:space="preserve">; </w:t>
      </w:r>
      <w:hyperlink r:id="rId3" w:history="1">
        <w:r w:rsidRPr="00AD0A07">
          <w:rPr>
            <w:rStyle w:val="Hyperlink"/>
          </w:rPr>
          <w:t>http://www.billboard.com/biz/articles/news/1158567/australias-isps-proposes-controversial-anti-piracy-plan</w:t>
        </w:r>
      </w:hyperlink>
    </w:p>
    <w:p w:rsidR="003C798E" w:rsidRDefault="003C798E">
      <w:pPr>
        <w:pStyle w:val="FootnoteText"/>
      </w:pPr>
    </w:p>
  </w:footnote>
  <w:footnote w:id="4">
    <w:p w:rsidR="003C798E" w:rsidRDefault="003C798E">
      <w:pPr>
        <w:pStyle w:val="FootnoteText"/>
      </w:pPr>
      <w:r>
        <w:rPr>
          <w:rStyle w:val="FootnoteReference"/>
        </w:rPr>
        <w:footnoteRef/>
      </w:r>
      <w:r>
        <w:t xml:space="preserve"> </w:t>
      </w:r>
      <w:hyperlink r:id="rId4" w:history="1">
        <w:r w:rsidRPr="00AD0A07">
          <w:rPr>
            <w:rStyle w:val="Hyperlink"/>
          </w:rPr>
          <w:t>http://www.copyrightinformation.org/the-copyright-alert-system/what-is-a-copyright-alert/</w:t>
        </w:r>
      </w:hyperlink>
    </w:p>
  </w:footnote>
  <w:footnote w:id="5">
    <w:p w:rsidR="003C798E" w:rsidRDefault="003C798E">
      <w:pPr>
        <w:pStyle w:val="FootnoteText"/>
      </w:pPr>
      <w:r>
        <w:rPr>
          <w:rStyle w:val="FootnoteReference"/>
        </w:rPr>
        <w:footnoteRef/>
      </w:r>
      <w:r>
        <w:t xml:space="preserve"> </w:t>
      </w:r>
      <w:hyperlink r:id="rId5" w:history="1">
        <w:r w:rsidRPr="0013319E">
          <w:rPr>
            <w:rStyle w:val="Hyperlink"/>
          </w:rPr>
          <w:t>http://www.copyrightinformation.org/resources-faq/independent-review-faqs/what-are-the-grounds-for-requesting-a-review/</w:t>
        </w:r>
      </w:hyperlink>
    </w:p>
  </w:footnote>
  <w:footnote w:id="6">
    <w:p w:rsidR="003C798E" w:rsidRDefault="003C798E">
      <w:pPr>
        <w:pStyle w:val="FootnoteText"/>
      </w:pPr>
      <w:r>
        <w:rPr>
          <w:rStyle w:val="FootnoteReference"/>
        </w:rPr>
        <w:footnoteRef/>
      </w:r>
      <w:r>
        <w:t xml:space="preserve"> </w:t>
      </w:r>
      <w:hyperlink r:id="rId6" w:history="1">
        <w:r w:rsidRPr="0013319E">
          <w:rPr>
            <w:rStyle w:val="Hyperlink"/>
          </w:rPr>
          <w:t>http://www.copyrightinformation.org/resources-faq/independent-review-faqs/</w:t>
        </w:r>
      </w:hyperlink>
    </w:p>
  </w:footnote>
  <w:footnote w:id="7">
    <w:p w:rsidR="003C798E" w:rsidRDefault="003C798E">
      <w:pPr>
        <w:pStyle w:val="FootnoteText"/>
      </w:pPr>
      <w:r>
        <w:rPr>
          <w:rStyle w:val="FootnoteReference"/>
        </w:rPr>
        <w:footnoteRef/>
      </w:r>
      <w:r>
        <w:t xml:space="preserve"> </w:t>
      </w:r>
      <w:hyperlink r:id="rId7" w:history="1">
        <w:r w:rsidRPr="00B72BC0">
          <w:rPr>
            <w:rStyle w:val="Hyperlink"/>
          </w:rPr>
          <w:t>Copyright and the Digital Economy</w:t>
        </w:r>
      </w:hyperlink>
      <w:r>
        <w:t xml:space="preserve"> (ALRC Report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8E" w:rsidRDefault="003C798E" w:rsidP="0007144E">
    <w:pPr>
      <w:pStyle w:val="Header"/>
      <w:tabs>
        <w:tab w:val="left" w:pos="792"/>
      </w:tabs>
    </w:pPr>
    <w:r>
      <w:tab/>
    </w:r>
    <w:r>
      <w:tab/>
    </w:r>
    <w:r>
      <w:rPr>
        <w:noProof/>
        <w:lang w:eastAsia="en-AU"/>
      </w:rPr>
      <w:drawing>
        <wp:inline distT="0" distB="0" distL="0" distR="0" wp14:anchorId="5DCC4439" wp14:editId="00622E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8E" w:rsidRDefault="003C798E" w:rsidP="00B14DFB">
    <w:pPr>
      <w:pStyle w:val="Header"/>
      <w:jc w:val="center"/>
    </w:pPr>
    <w:r>
      <w:rPr>
        <w:noProof/>
        <w:lang w:eastAsia="en-AU"/>
      </w:rPr>
      <w:drawing>
        <wp:inline distT="0" distB="0" distL="0" distR="0" wp14:anchorId="518D7F6A" wp14:editId="3C5DE56B">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527"/>
    <w:multiLevelType w:val="hybridMultilevel"/>
    <w:tmpl w:val="F5C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4358D4"/>
    <w:multiLevelType w:val="hybridMultilevel"/>
    <w:tmpl w:val="39F836C4"/>
    <w:lvl w:ilvl="0" w:tplc="1EC83908">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nsid w:val="337C5FB2"/>
    <w:multiLevelType w:val="multilevel"/>
    <w:tmpl w:val="6AFEEB4C"/>
    <w:numStyleLink w:val="Bullets"/>
  </w:abstractNum>
  <w:abstractNum w:abstractNumId="4">
    <w:nsid w:val="33D9536F"/>
    <w:multiLevelType w:val="multilevel"/>
    <w:tmpl w:val="A7920A6E"/>
    <w:numStyleLink w:val="Headings"/>
  </w:abstractNum>
  <w:abstractNum w:abstractNumId="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39860C67"/>
    <w:multiLevelType w:val="multilevel"/>
    <w:tmpl w:val="A7920A6E"/>
    <w:numStyleLink w:val="Headings"/>
  </w:abstractNum>
  <w:abstractNum w:abstractNumId="7">
    <w:nsid w:val="3DF936BD"/>
    <w:multiLevelType w:val="multilevel"/>
    <w:tmpl w:val="A7920A6E"/>
    <w:numStyleLink w:val="Headings"/>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DAF4879"/>
    <w:multiLevelType w:val="hybridMultilevel"/>
    <w:tmpl w:val="77DED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AAF098D"/>
    <w:multiLevelType w:val="multilevel"/>
    <w:tmpl w:val="A7920A6E"/>
    <w:numStyleLink w:val="Headings"/>
  </w:abstractNum>
  <w:abstractNum w:abstractNumId="13">
    <w:nsid w:val="6AF76151"/>
    <w:multiLevelType w:val="multilevel"/>
    <w:tmpl w:val="3B16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6">
    <w:nsid w:val="7FB62E39"/>
    <w:multiLevelType w:val="hybridMultilevel"/>
    <w:tmpl w:val="003C5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5"/>
  </w:num>
  <w:num w:numId="17">
    <w:abstractNumId w:val="8"/>
  </w:num>
  <w:num w:numId="18">
    <w:abstractNumId w:val="9"/>
  </w:num>
  <w:num w:numId="19">
    <w:abstractNumId w:val="9"/>
  </w:num>
  <w:num w:numId="20">
    <w:abstractNumId w:val="14"/>
  </w:num>
  <w:num w:numId="21">
    <w:abstractNumId w:val="14"/>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6"/>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73"/>
    <w:rsid w:val="00013FEA"/>
    <w:rsid w:val="00024714"/>
    <w:rsid w:val="00027253"/>
    <w:rsid w:val="00035099"/>
    <w:rsid w:val="00035B2A"/>
    <w:rsid w:val="00037244"/>
    <w:rsid w:val="00043711"/>
    <w:rsid w:val="00043956"/>
    <w:rsid w:val="00047257"/>
    <w:rsid w:val="000607A0"/>
    <w:rsid w:val="00064464"/>
    <w:rsid w:val="0007144E"/>
    <w:rsid w:val="00076251"/>
    <w:rsid w:val="0008561C"/>
    <w:rsid w:val="0009560F"/>
    <w:rsid w:val="000A4F91"/>
    <w:rsid w:val="000B1573"/>
    <w:rsid w:val="000B5499"/>
    <w:rsid w:val="000C4B4C"/>
    <w:rsid w:val="000C7A3F"/>
    <w:rsid w:val="000D118A"/>
    <w:rsid w:val="000D24C0"/>
    <w:rsid w:val="000D51F4"/>
    <w:rsid w:val="000F3FDD"/>
    <w:rsid w:val="000F4F6C"/>
    <w:rsid w:val="000F58CC"/>
    <w:rsid w:val="001010AE"/>
    <w:rsid w:val="00102D48"/>
    <w:rsid w:val="00103B1E"/>
    <w:rsid w:val="00107BBB"/>
    <w:rsid w:val="00107D6A"/>
    <w:rsid w:val="00147A7F"/>
    <w:rsid w:val="001606F9"/>
    <w:rsid w:val="00173FF9"/>
    <w:rsid w:val="00183571"/>
    <w:rsid w:val="00187CF8"/>
    <w:rsid w:val="00187F70"/>
    <w:rsid w:val="001916EE"/>
    <w:rsid w:val="001931D2"/>
    <w:rsid w:val="001A1530"/>
    <w:rsid w:val="001A1ED1"/>
    <w:rsid w:val="001B0F0D"/>
    <w:rsid w:val="001C28E7"/>
    <w:rsid w:val="001C56C8"/>
    <w:rsid w:val="001C6657"/>
    <w:rsid w:val="001F0369"/>
    <w:rsid w:val="001F17B8"/>
    <w:rsid w:val="00202B24"/>
    <w:rsid w:val="0020471E"/>
    <w:rsid w:val="002127F0"/>
    <w:rsid w:val="0022431F"/>
    <w:rsid w:val="00234042"/>
    <w:rsid w:val="002406DC"/>
    <w:rsid w:val="002649FB"/>
    <w:rsid w:val="00271A6F"/>
    <w:rsid w:val="0027601A"/>
    <w:rsid w:val="00290870"/>
    <w:rsid w:val="00297E37"/>
    <w:rsid w:val="002A629E"/>
    <w:rsid w:val="002B17A4"/>
    <w:rsid w:val="002B333D"/>
    <w:rsid w:val="002B7A58"/>
    <w:rsid w:val="002D31DD"/>
    <w:rsid w:val="002E4872"/>
    <w:rsid w:val="002E669D"/>
    <w:rsid w:val="00337BFE"/>
    <w:rsid w:val="00337D0C"/>
    <w:rsid w:val="003441E5"/>
    <w:rsid w:val="00346DDE"/>
    <w:rsid w:val="00361AD0"/>
    <w:rsid w:val="003627A0"/>
    <w:rsid w:val="0036351B"/>
    <w:rsid w:val="00367537"/>
    <w:rsid w:val="003A6FE3"/>
    <w:rsid w:val="003B1499"/>
    <w:rsid w:val="003C3E12"/>
    <w:rsid w:val="003C798E"/>
    <w:rsid w:val="003D24DA"/>
    <w:rsid w:val="003E4DB7"/>
    <w:rsid w:val="003E50E5"/>
    <w:rsid w:val="003E6503"/>
    <w:rsid w:val="003E76C5"/>
    <w:rsid w:val="003F6199"/>
    <w:rsid w:val="00402F39"/>
    <w:rsid w:val="00415D33"/>
    <w:rsid w:val="00416198"/>
    <w:rsid w:val="00447E1F"/>
    <w:rsid w:val="00453E47"/>
    <w:rsid w:val="004552EA"/>
    <w:rsid w:val="004571D2"/>
    <w:rsid w:val="00466873"/>
    <w:rsid w:val="00470C8E"/>
    <w:rsid w:val="00472C7E"/>
    <w:rsid w:val="00472CA7"/>
    <w:rsid w:val="00477BDB"/>
    <w:rsid w:val="00494F2F"/>
    <w:rsid w:val="004A01EB"/>
    <w:rsid w:val="004A55CC"/>
    <w:rsid w:val="004A791B"/>
    <w:rsid w:val="004B7462"/>
    <w:rsid w:val="004C093A"/>
    <w:rsid w:val="004C3886"/>
    <w:rsid w:val="004D1334"/>
    <w:rsid w:val="004D60DD"/>
    <w:rsid w:val="004E54B1"/>
    <w:rsid w:val="004F2005"/>
    <w:rsid w:val="004F2201"/>
    <w:rsid w:val="004F4ADC"/>
    <w:rsid w:val="0050120D"/>
    <w:rsid w:val="005024E0"/>
    <w:rsid w:val="00511400"/>
    <w:rsid w:val="00542267"/>
    <w:rsid w:val="00553427"/>
    <w:rsid w:val="0057166A"/>
    <w:rsid w:val="005820C9"/>
    <w:rsid w:val="00592615"/>
    <w:rsid w:val="00593975"/>
    <w:rsid w:val="005972C3"/>
    <w:rsid w:val="005A673E"/>
    <w:rsid w:val="005C0011"/>
    <w:rsid w:val="005C2EBF"/>
    <w:rsid w:val="005D2DFB"/>
    <w:rsid w:val="005F1828"/>
    <w:rsid w:val="00601F39"/>
    <w:rsid w:val="00603412"/>
    <w:rsid w:val="00610DB0"/>
    <w:rsid w:val="006129D5"/>
    <w:rsid w:val="00613698"/>
    <w:rsid w:val="00615BEB"/>
    <w:rsid w:val="006243C6"/>
    <w:rsid w:val="00625A49"/>
    <w:rsid w:val="00626D2E"/>
    <w:rsid w:val="006314B1"/>
    <w:rsid w:val="00643821"/>
    <w:rsid w:val="00654E49"/>
    <w:rsid w:val="006578D7"/>
    <w:rsid w:val="00662F8A"/>
    <w:rsid w:val="0068207C"/>
    <w:rsid w:val="00685551"/>
    <w:rsid w:val="006B3666"/>
    <w:rsid w:val="006C7C58"/>
    <w:rsid w:val="006D153D"/>
    <w:rsid w:val="006D4B09"/>
    <w:rsid w:val="006E6711"/>
    <w:rsid w:val="00703FD3"/>
    <w:rsid w:val="00714866"/>
    <w:rsid w:val="00715D17"/>
    <w:rsid w:val="007268D9"/>
    <w:rsid w:val="00737E4E"/>
    <w:rsid w:val="007409D9"/>
    <w:rsid w:val="00742E2D"/>
    <w:rsid w:val="00743C46"/>
    <w:rsid w:val="0074725E"/>
    <w:rsid w:val="007506AE"/>
    <w:rsid w:val="007518B6"/>
    <w:rsid w:val="00755442"/>
    <w:rsid w:val="007571FD"/>
    <w:rsid w:val="00767838"/>
    <w:rsid w:val="007720B2"/>
    <w:rsid w:val="00783394"/>
    <w:rsid w:val="0078498A"/>
    <w:rsid w:val="007A3E1A"/>
    <w:rsid w:val="007D3A6B"/>
    <w:rsid w:val="007D3F16"/>
    <w:rsid w:val="007D65F2"/>
    <w:rsid w:val="007E046E"/>
    <w:rsid w:val="007F0737"/>
    <w:rsid w:val="00806A33"/>
    <w:rsid w:val="0082745E"/>
    <w:rsid w:val="008338A0"/>
    <w:rsid w:val="00837CCF"/>
    <w:rsid w:val="00874386"/>
    <w:rsid w:val="00874498"/>
    <w:rsid w:val="00884AF5"/>
    <w:rsid w:val="0088571C"/>
    <w:rsid w:val="00886444"/>
    <w:rsid w:val="008A19E7"/>
    <w:rsid w:val="008B1ABA"/>
    <w:rsid w:val="008C2F1C"/>
    <w:rsid w:val="008D7013"/>
    <w:rsid w:val="008D7D53"/>
    <w:rsid w:val="008E0C4B"/>
    <w:rsid w:val="008E1CC4"/>
    <w:rsid w:val="008E4BD5"/>
    <w:rsid w:val="008E7B9E"/>
    <w:rsid w:val="008F1E3A"/>
    <w:rsid w:val="008F7E90"/>
    <w:rsid w:val="00900A60"/>
    <w:rsid w:val="00927102"/>
    <w:rsid w:val="009317F3"/>
    <w:rsid w:val="0094459E"/>
    <w:rsid w:val="00952008"/>
    <w:rsid w:val="00964F81"/>
    <w:rsid w:val="00976120"/>
    <w:rsid w:val="00980F63"/>
    <w:rsid w:val="00984AF4"/>
    <w:rsid w:val="009A227B"/>
    <w:rsid w:val="009A2595"/>
    <w:rsid w:val="009A7313"/>
    <w:rsid w:val="009C2C46"/>
    <w:rsid w:val="009C61C5"/>
    <w:rsid w:val="009C639D"/>
    <w:rsid w:val="009E7E2F"/>
    <w:rsid w:val="009F080A"/>
    <w:rsid w:val="009F4B9D"/>
    <w:rsid w:val="009F6024"/>
    <w:rsid w:val="009F7162"/>
    <w:rsid w:val="00A022BC"/>
    <w:rsid w:val="00A057E8"/>
    <w:rsid w:val="00A13B92"/>
    <w:rsid w:val="00A23762"/>
    <w:rsid w:val="00A4447D"/>
    <w:rsid w:val="00A72D63"/>
    <w:rsid w:val="00A843FA"/>
    <w:rsid w:val="00A916ED"/>
    <w:rsid w:val="00A93275"/>
    <w:rsid w:val="00A96349"/>
    <w:rsid w:val="00AA686C"/>
    <w:rsid w:val="00AB14F1"/>
    <w:rsid w:val="00AC13E3"/>
    <w:rsid w:val="00AD032B"/>
    <w:rsid w:val="00AD374D"/>
    <w:rsid w:val="00AD5674"/>
    <w:rsid w:val="00AE08E3"/>
    <w:rsid w:val="00AE2840"/>
    <w:rsid w:val="00B02AEB"/>
    <w:rsid w:val="00B10B1D"/>
    <w:rsid w:val="00B148E5"/>
    <w:rsid w:val="00B14DFB"/>
    <w:rsid w:val="00B4140A"/>
    <w:rsid w:val="00B418A0"/>
    <w:rsid w:val="00B574DA"/>
    <w:rsid w:val="00B627FE"/>
    <w:rsid w:val="00B634AD"/>
    <w:rsid w:val="00B65EF1"/>
    <w:rsid w:val="00B708B3"/>
    <w:rsid w:val="00B72BC0"/>
    <w:rsid w:val="00B73639"/>
    <w:rsid w:val="00B8196E"/>
    <w:rsid w:val="00B87233"/>
    <w:rsid w:val="00B878D2"/>
    <w:rsid w:val="00BA591B"/>
    <w:rsid w:val="00BA5C36"/>
    <w:rsid w:val="00BF0A1D"/>
    <w:rsid w:val="00BF5309"/>
    <w:rsid w:val="00C02722"/>
    <w:rsid w:val="00C12182"/>
    <w:rsid w:val="00C174D7"/>
    <w:rsid w:val="00C2115B"/>
    <w:rsid w:val="00C2574F"/>
    <w:rsid w:val="00C340F3"/>
    <w:rsid w:val="00C359EB"/>
    <w:rsid w:val="00C42F43"/>
    <w:rsid w:val="00C57169"/>
    <w:rsid w:val="00C6013B"/>
    <w:rsid w:val="00C613FC"/>
    <w:rsid w:val="00C860BB"/>
    <w:rsid w:val="00C86B7F"/>
    <w:rsid w:val="00C915AF"/>
    <w:rsid w:val="00C97AED"/>
    <w:rsid w:val="00CC1488"/>
    <w:rsid w:val="00CC6D29"/>
    <w:rsid w:val="00CE0ACB"/>
    <w:rsid w:val="00CF0433"/>
    <w:rsid w:val="00CF5B31"/>
    <w:rsid w:val="00D17C22"/>
    <w:rsid w:val="00D24694"/>
    <w:rsid w:val="00D34878"/>
    <w:rsid w:val="00D3636E"/>
    <w:rsid w:val="00D40F13"/>
    <w:rsid w:val="00D53C23"/>
    <w:rsid w:val="00D55D8F"/>
    <w:rsid w:val="00D62BCE"/>
    <w:rsid w:val="00D7113F"/>
    <w:rsid w:val="00D76C0E"/>
    <w:rsid w:val="00D858EF"/>
    <w:rsid w:val="00DA5D17"/>
    <w:rsid w:val="00DC1B99"/>
    <w:rsid w:val="00DD7C1C"/>
    <w:rsid w:val="00DF1911"/>
    <w:rsid w:val="00DF2349"/>
    <w:rsid w:val="00DF287A"/>
    <w:rsid w:val="00E05115"/>
    <w:rsid w:val="00E06C59"/>
    <w:rsid w:val="00E15159"/>
    <w:rsid w:val="00E248A2"/>
    <w:rsid w:val="00E30643"/>
    <w:rsid w:val="00E45E4C"/>
    <w:rsid w:val="00E463CF"/>
    <w:rsid w:val="00E54047"/>
    <w:rsid w:val="00E80674"/>
    <w:rsid w:val="00E81ECD"/>
    <w:rsid w:val="00E82C28"/>
    <w:rsid w:val="00E844AB"/>
    <w:rsid w:val="00E87379"/>
    <w:rsid w:val="00E879CE"/>
    <w:rsid w:val="00E94D35"/>
    <w:rsid w:val="00EB2028"/>
    <w:rsid w:val="00EC1696"/>
    <w:rsid w:val="00EE1CFF"/>
    <w:rsid w:val="00F0608E"/>
    <w:rsid w:val="00F071A6"/>
    <w:rsid w:val="00F12A72"/>
    <w:rsid w:val="00F17D62"/>
    <w:rsid w:val="00F30E62"/>
    <w:rsid w:val="00F37F4D"/>
    <w:rsid w:val="00F40E6F"/>
    <w:rsid w:val="00F43B24"/>
    <w:rsid w:val="00F61950"/>
    <w:rsid w:val="00F627A6"/>
    <w:rsid w:val="00F71A8D"/>
    <w:rsid w:val="00F77AEE"/>
    <w:rsid w:val="00F81497"/>
    <w:rsid w:val="00F860D4"/>
    <w:rsid w:val="00F86854"/>
    <w:rsid w:val="00F86A14"/>
    <w:rsid w:val="00F87EF1"/>
    <w:rsid w:val="00F91DBB"/>
    <w:rsid w:val="00F978ED"/>
    <w:rsid w:val="00FA5FB9"/>
    <w:rsid w:val="00FB7EF9"/>
    <w:rsid w:val="00FC128C"/>
    <w:rsid w:val="00FC7C0F"/>
    <w:rsid w:val="00FD343B"/>
    <w:rsid w:val="00FE4182"/>
    <w:rsid w:val="00FF2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8E0C4B"/>
    <w:pPr>
      <w:keepNext/>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Default">
    <w:name w:val="Default"/>
    <w:rsid w:val="006E6711"/>
    <w:pPr>
      <w:autoSpaceDE w:val="0"/>
      <w:autoSpaceDN w:val="0"/>
      <w:adjustRightInd w:val="0"/>
    </w:pPr>
    <w:rPr>
      <w:rFonts w:ascii="Arial" w:hAnsi="Arial" w:cs="Arial"/>
      <w:color w:val="000000"/>
      <w:sz w:val="24"/>
      <w:szCs w:val="24"/>
    </w:rPr>
  </w:style>
  <w:style w:type="character" w:customStyle="1" w:styleId="st">
    <w:name w:val="st"/>
    <w:basedOn w:val="DefaultParagraphFont"/>
    <w:rsid w:val="00CC6D29"/>
  </w:style>
  <w:style w:type="character" w:styleId="Emphasis">
    <w:name w:val="Emphasis"/>
    <w:basedOn w:val="DefaultParagraphFont"/>
    <w:uiPriority w:val="20"/>
    <w:qFormat/>
    <w:rsid w:val="00CC6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8E0C4B"/>
    <w:pPr>
      <w:keepNext/>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Default">
    <w:name w:val="Default"/>
    <w:rsid w:val="006E6711"/>
    <w:pPr>
      <w:autoSpaceDE w:val="0"/>
      <w:autoSpaceDN w:val="0"/>
      <w:adjustRightInd w:val="0"/>
    </w:pPr>
    <w:rPr>
      <w:rFonts w:ascii="Arial" w:hAnsi="Arial" w:cs="Arial"/>
      <w:color w:val="000000"/>
      <w:sz w:val="24"/>
      <w:szCs w:val="24"/>
    </w:rPr>
  </w:style>
  <w:style w:type="character" w:customStyle="1" w:styleId="st">
    <w:name w:val="st"/>
    <w:basedOn w:val="DefaultParagraphFont"/>
    <w:rsid w:val="00CC6D29"/>
  </w:style>
  <w:style w:type="character" w:styleId="Emphasis">
    <w:name w:val="Emphasis"/>
    <w:basedOn w:val="DefaultParagraphFont"/>
    <w:uiPriority w:val="20"/>
    <w:qFormat/>
    <w:rsid w:val="00CC6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3671">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57993196">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991177737">
      <w:bodyDiv w:val="1"/>
      <w:marLeft w:val="0"/>
      <w:marRight w:val="0"/>
      <w:marTop w:val="0"/>
      <w:marBottom w:val="0"/>
      <w:divBdr>
        <w:top w:val="none" w:sz="0" w:space="0" w:color="auto"/>
        <w:left w:val="none" w:sz="0" w:space="0" w:color="auto"/>
        <w:bottom w:val="none" w:sz="0" w:space="0" w:color="auto"/>
        <w:right w:val="none" w:sz="0" w:space="0" w:color="auto"/>
      </w:divBdr>
    </w:div>
    <w:div w:id="1216694437">
      <w:bodyDiv w:val="1"/>
      <w:marLeft w:val="0"/>
      <w:marRight w:val="0"/>
      <w:marTop w:val="0"/>
      <w:marBottom w:val="0"/>
      <w:divBdr>
        <w:top w:val="none" w:sz="0" w:space="0" w:color="auto"/>
        <w:left w:val="none" w:sz="0" w:space="0" w:color="auto"/>
        <w:bottom w:val="none" w:sz="0" w:space="0" w:color="auto"/>
        <w:right w:val="none" w:sz="0" w:space="0" w:color="auto"/>
      </w:divBdr>
    </w:div>
    <w:div w:id="1514952043">
      <w:bodyDiv w:val="1"/>
      <w:marLeft w:val="0"/>
      <w:marRight w:val="0"/>
      <w:marTop w:val="0"/>
      <w:marBottom w:val="0"/>
      <w:divBdr>
        <w:top w:val="none" w:sz="0" w:space="0" w:color="auto"/>
        <w:left w:val="none" w:sz="0" w:space="0" w:color="auto"/>
        <w:bottom w:val="none" w:sz="0" w:space="0" w:color="auto"/>
        <w:right w:val="none" w:sz="0" w:space="0" w:color="auto"/>
      </w:divBdr>
    </w:div>
    <w:div w:id="1657029086">
      <w:bodyDiv w:val="1"/>
      <w:marLeft w:val="0"/>
      <w:marRight w:val="0"/>
      <w:marTop w:val="0"/>
      <w:marBottom w:val="0"/>
      <w:divBdr>
        <w:top w:val="none" w:sz="0" w:space="0" w:color="auto"/>
        <w:left w:val="none" w:sz="0" w:space="0" w:color="auto"/>
        <w:bottom w:val="none" w:sz="0" w:space="0" w:color="auto"/>
        <w:right w:val="none" w:sz="0" w:space="0" w:color="auto"/>
      </w:divBdr>
    </w:div>
    <w:div w:id="20494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illboard.com/biz/articles/news/1158567/australias-isps-proposes-controversial-anti-piracy-plan" TargetMode="External"/><Relationship Id="rId7" Type="http://schemas.openxmlformats.org/officeDocument/2006/relationships/hyperlink" Target="http://www.alrc.gov.au/publications/copyright-report-122" TargetMode="External"/><Relationship Id="rId2" Type="http://schemas.openxmlformats.org/officeDocument/2006/relationships/hyperlink" Target="http://www.itnews.com.au/News/311143,afact-defends-french-three-strikes-regime.aspx" TargetMode="External"/><Relationship Id="rId1" Type="http://schemas.openxmlformats.org/officeDocument/2006/relationships/hyperlink" Target="http://www.bailii.org/ie/cases/IEHC/2013/H204.html" TargetMode="External"/><Relationship Id="rId6" Type="http://schemas.openxmlformats.org/officeDocument/2006/relationships/hyperlink" Target="http://www.copyrightinformation.org/resources-faq/independent-review-faqs/" TargetMode="External"/><Relationship Id="rId5" Type="http://schemas.openxmlformats.org/officeDocument/2006/relationships/hyperlink" Target="http://www.copyrightinformation.org/resources-faq/independent-review-faqs/what-are-the-grounds-for-requesting-a-review/" TargetMode="External"/><Relationship Id="rId4" Type="http://schemas.openxmlformats.org/officeDocument/2006/relationships/hyperlink" Target="http://www.copyrightinformation.org/the-copyright-alert-system/what-is-a-copyright-ale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3368-C48C-4A41-8A7E-96C62A9D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1583</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Jonathan Gadir</cp:lastModifiedBy>
  <cp:revision>7</cp:revision>
  <cp:lastPrinted>2014-05-02T01:41:00Z</cp:lastPrinted>
  <dcterms:created xsi:type="dcterms:W3CDTF">2014-08-29T01:38:00Z</dcterms:created>
  <dcterms:modified xsi:type="dcterms:W3CDTF">2014-09-01T05:04:00Z</dcterms:modified>
</cp:coreProperties>
</file>