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7A" w:rsidRDefault="00AC247A" w:rsidP="00AC247A">
      <w:pPr>
        <w:rPr>
          <w:color w:val="FF0000"/>
          <w:sz w:val="28"/>
        </w:rPr>
      </w:pPr>
    </w:p>
    <w:p w:rsidR="005820C9" w:rsidRPr="003441E5" w:rsidRDefault="00A45BA3" w:rsidP="00B14DFB">
      <w:pPr>
        <w:pStyle w:val="Title"/>
      </w:pPr>
      <w:r>
        <w:t>Telecommunications Service Provider (NBN Line Testing) Determination 2018</w:t>
      </w:r>
    </w:p>
    <w:p w:rsidR="009F4B9D" w:rsidRPr="003441E5" w:rsidRDefault="009F4B9D" w:rsidP="00B14DFB">
      <w:pPr>
        <w:pStyle w:val="Subtitle"/>
      </w:pPr>
      <w:r w:rsidRPr="003441E5">
        <w:t>Submission</w:t>
      </w:r>
      <w:r w:rsidR="00A45BA3">
        <w:t xml:space="preserve"> to the Australian Communications and Media Authority</w:t>
      </w:r>
    </w:p>
    <w:p w:rsidR="009F4B9D" w:rsidRPr="003441E5" w:rsidRDefault="00394E6D" w:rsidP="00B14DFB">
      <w:pPr>
        <w:pStyle w:val="Subtitle"/>
      </w:pPr>
      <w:r>
        <w:t>11 May 2018</w:t>
      </w:r>
    </w:p>
    <w:p w:rsidR="009F4B9D" w:rsidRPr="003441E5" w:rsidRDefault="009F4B9D" w:rsidP="00A13B92">
      <w:r w:rsidRPr="003441E5">
        <w:br w:type="page"/>
      </w:r>
    </w:p>
    <w:p w:rsidR="009F4B9D" w:rsidRPr="003441E5" w:rsidRDefault="009F4B9D" w:rsidP="00B14DFB">
      <w:pPr>
        <w:pStyle w:val="About"/>
      </w:pPr>
      <w:r w:rsidRPr="003441E5">
        <w:lastRenderedPageBreak/>
        <w:t xml:space="preserve">About ACCAN </w:t>
      </w:r>
    </w:p>
    <w:p w:rsidR="009F4B9D" w:rsidRDefault="009F4B9D" w:rsidP="004824C2">
      <w:pPr>
        <w:jc w:val="both"/>
      </w:pPr>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cstheme="minorHAnsi"/>
        </w:rPr>
        <w:t>availability</w:t>
      </w:r>
      <w:r w:rsidRPr="003441E5">
        <w:t>, accessibility and affordability of communications services for all Australians.</w:t>
      </w:r>
    </w:p>
    <w:p w:rsidR="000B6FBF" w:rsidRPr="003441E5" w:rsidRDefault="000B6FBF" w:rsidP="004824C2">
      <w:pPr>
        <w:jc w:val="both"/>
      </w:pPr>
    </w:p>
    <w:p w:rsidR="00A615CC" w:rsidRPr="003441E5" w:rsidRDefault="00A615CC" w:rsidP="004824C2">
      <w:pPr>
        <w:jc w:val="both"/>
      </w:pPr>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0B6FBF" w:rsidRPr="003441E5" w:rsidRDefault="009F4B9D" w:rsidP="007A5642">
      <w:pPr>
        <w:pStyle w:val="About"/>
      </w:pPr>
      <w:r w:rsidRPr="003441E5">
        <w:t>Contact</w:t>
      </w:r>
    </w:p>
    <w:p w:rsidR="0065700B" w:rsidRDefault="0065700B" w:rsidP="00BF754D">
      <w:r>
        <w:t xml:space="preserve">Gareth Downing </w:t>
      </w:r>
    </w:p>
    <w:p w:rsidR="0065700B" w:rsidRDefault="0065700B" w:rsidP="00BF754D">
      <w:r>
        <w:t>Senior Policy Analyst</w:t>
      </w:r>
    </w:p>
    <w:p w:rsidR="0065700B" w:rsidRDefault="0065700B" w:rsidP="00BF754D"/>
    <w:p w:rsidR="00BF754D" w:rsidRDefault="00BF754D" w:rsidP="00BF754D">
      <w:r>
        <w:t>PO Box 639,</w:t>
      </w:r>
    </w:p>
    <w:p w:rsidR="00BF754D" w:rsidRDefault="00BF754D" w:rsidP="00BF754D">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 w:rsidR="009F4B9D" w:rsidRDefault="009F4B9D" w:rsidP="00B14DFB"/>
    <w:p w:rsidR="0076369E" w:rsidRDefault="0076369E" w:rsidP="00B14DFB"/>
    <w:p w:rsidR="0076369E" w:rsidRDefault="0076369E" w:rsidP="00B14DFB"/>
    <w:p w:rsidR="0076369E" w:rsidRDefault="0076369E" w:rsidP="00B14DFB"/>
    <w:p w:rsidR="0076369E" w:rsidRDefault="0076369E" w:rsidP="00B14DFB"/>
    <w:p w:rsidR="0076369E" w:rsidRDefault="0076369E" w:rsidP="00B14DFB"/>
    <w:p w:rsidR="0076369E" w:rsidRDefault="0076369E" w:rsidP="00B14DFB"/>
    <w:p w:rsidR="0076369E" w:rsidRDefault="0076369E" w:rsidP="00B14DFB"/>
    <w:p w:rsidR="0076369E" w:rsidRDefault="0076369E" w:rsidP="00B14DFB"/>
    <w:p w:rsidR="0076369E" w:rsidRDefault="0076369E" w:rsidP="00B14DFB"/>
    <w:p w:rsidR="0076369E" w:rsidRDefault="0076369E" w:rsidP="00B14DFB"/>
    <w:p w:rsidR="0076369E" w:rsidRDefault="0076369E" w:rsidP="00B14DFB"/>
    <w:p w:rsidR="007B2BD7" w:rsidRDefault="007B2BD7" w:rsidP="00B14DFB"/>
    <w:p w:rsidR="007B2BD7" w:rsidRDefault="007B2BD7" w:rsidP="00B14DFB"/>
    <w:p w:rsidR="007B2BD7" w:rsidRDefault="007B2BD7" w:rsidP="00B14DFB"/>
    <w:p w:rsidR="007B2BD7" w:rsidRDefault="007B2BD7" w:rsidP="00B14DFB"/>
    <w:p w:rsidR="007B2BD7" w:rsidRDefault="007B2BD7" w:rsidP="00B14DFB"/>
    <w:p w:rsidR="007B2BD7" w:rsidRDefault="007B2BD7" w:rsidP="00B14DFB"/>
    <w:p w:rsidR="007B2BD7" w:rsidRDefault="007B2BD7" w:rsidP="00B14DFB"/>
    <w:p w:rsidR="007B2BD7" w:rsidRDefault="007B2BD7" w:rsidP="00B14DFB"/>
    <w:p w:rsidR="007B2BD7" w:rsidRDefault="007B2BD7" w:rsidP="00B14DFB"/>
    <w:sdt>
      <w:sdtPr>
        <w:rPr>
          <w:rFonts w:asciiTheme="minorHAnsi" w:eastAsiaTheme="minorHAnsi" w:hAnsiTheme="minorHAnsi" w:cstheme="minorBidi"/>
          <w:bCs w:val="0"/>
          <w:sz w:val="24"/>
          <w:szCs w:val="24"/>
          <w:lang w:val="en-US"/>
        </w:rPr>
        <w:id w:val="701903652"/>
        <w:docPartObj>
          <w:docPartGallery w:val="Table of Contents"/>
          <w:docPartUnique/>
        </w:docPartObj>
      </w:sdtPr>
      <w:sdtEndPr>
        <w:rPr>
          <w:b/>
          <w:noProof/>
        </w:rPr>
      </w:sdtEndPr>
      <w:sdtContent>
        <w:p w:rsidR="00B454F4" w:rsidRDefault="00B454F4">
          <w:pPr>
            <w:pStyle w:val="TOCHeading"/>
          </w:pPr>
          <w:r>
            <w:t>Contents</w:t>
          </w:r>
        </w:p>
        <w:p w:rsidR="00B454F4" w:rsidRDefault="00B454F4" w:rsidP="00B454F4">
          <w:pPr>
            <w:pStyle w:val="TOC1"/>
            <w:rPr>
              <w:rFonts w:asciiTheme="minorHAnsi" w:hAnsiTheme="minorHAnsi"/>
              <w:lang w:val="en-US" w:eastAsia="en-US"/>
            </w:rPr>
          </w:pPr>
          <w:r>
            <w:fldChar w:fldCharType="begin"/>
          </w:r>
          <w:r>
            <w:instrText xml:space="preserve"> TOC \o "1-3" \h \z \u </w:instrText>
          </w:r>
          <w:r>
            <w:fldChar w:fldCharType="separate"/>
          </w:r>
          <w:hyperlink w:anchor="_Toc513812504" w:history="1">
            <w:r w:rsidRPr="001B7B45">
              <w:rPr>
                <w:rStyle w:val="Hyperlink"/>
              </w:rPr>
              <w:t>1.</w:t>
            </w:r>
            <w:r>
              <w:rPr>
                <w:rFonts w:asciiTheme="minorHAnsi" w:hAnsiTheme="minorHAnsi"/>
                <w:lang w:val="en-US" w:eastAsia="en-US"/>
              </w:rPr>
              <w:tab/>
            </w:r>
            <w:r w:rsidRPr="001B7B45">
              <w:rPr>
                <w:rStyle w:val="Hyperlink"/>
              </w:rPr>
              <w:t>Introductory Comments</w:t>
            </w:r>
            <w:r>
              <w:rPr>
                <w:webHidden/>
              </w:rPr>
              <w:tab/>
            </w:r>
            <w:r>
              <w:rPr>
                <w:webHidden/>
              </w:rPr>
              <w:fldChar w:fldCharType="begin"/>
            </w:r>
            <w:r>
              <w:rPr>
                <w:webHidden/>
              </w:rPr>
              <w:instrText xml:space="preserve"> PAGEREF _Toc513812504 \h </w:instrText>
            </w:r>
            <w:r>
              <w:rPr>
                <w:webHidden/>
              </w:rPr>
            </w:r>
            <w:r>
              <w:rPr>
                <w:webHidden/>
              </w:rPr>
              <w:fldChar w:fldCharType="separate"/>
            </w:r>
            <w:r w:rsidR="0049497C">
              <w:rPr>
                <w:webHidden/>
              </w:rPr>
              <w:t>4</w:t>
            </w:r>
            <w:r>
              <w:rPr>
                <w:webHidden/>
              </w:rPr>
              <w:fldChar w:fldCharType="end"/>
            </w:r>
          </w:hyperlink>
        </w:p>
        <w:p w:rsidR="00B454F4" w:rsidRPr="00B454F4" w:rsidRDefault="0049497C" w:rsidP="00B454F4">
          <w:pPr>
            <w:pStyle w:val="TOC1"/>
            <w:rPr>
              <w:color w:val="0000FF" w:themeColor="hyperlink"/>
              <w:u w:val="single"/>
            </w:rPr>
          </w:pPr>
          <w:hyperlink w:anchor="_Toc513812505" w:history="1">
            <w:r w:rsidR="00B454F4" w:rsidRPr="001B7B45">
              <w:rPr>
                <w:rStyle w:val="Hyperlink"/>
              </w:rPr>
              <w:t>2.</w:t>
            </w:r>
            <w:r w:rsidR="00B454F4">
              <w:rPr>
                <w:rFonts w:asciiTheme="minorHAnsi" w:hAnsiTheme="minorHAnsi"/>
                <w:lang w:val="en-US" w:eastAsia="en-US"/>
              </w:rPr>
              <w:tab/>
            </w:r>
            <w:r w:rsidR="00B454F4" w:rsidRPr="001B7B45">
              <w:rPr>
                <w:rStyle w:val="Hyperlink"/>
              </w:rPr>
              <w:t>Responses to consultation questions</w:t>
            </w:r>
            <w:r w:rsidR="00B454F4">
              <w:rPr>
                <w:webHidden/>
              </w:rPr>
              <w:tab/>
            </w:r>
            <w:r w:rsidR="00B454F4">
              <w:rPr>
                <w:webHidden/>
              </w:rPr>
              <w:fldChar w:fldCharType="begin"/>
            </w:r>
            <w:r w:rsidR="00B454F4">
              <w:rPr>
                <w:webHidden/>
              </w:rPr>
              <w:instrText xml:space="preserve"> PAGEREF _Toc513812505 \h </w:instrText>
            </w:r>
            <w:r w:rsidR="00B454F4">
              <w:rPr>
                <w:webHidden/>
              </w:rPr>
            </w:r>
            <w:r w:rsidR="00B454F4">
              <w:rPr>
                <w:webHidden/>
              </w:rPr>
              <w:fldChar w:fldCharType="separate"/>
            </w:r>
            <w:r>
              <w:rPr>
                <w:webHidden/>
              </w:rPr>
              <w:t>7</w:t>
            </w:r>
            <w:r w:rsidR="00B454F4">
              <w:rPr>
                <w:webHidden/>
              </w:rPr>
              <w:fldChar w:fldCharType="end"/>
            </w:r>
          </w:hyperlink>
        </w:p>
        <w:p w:rsidR="00B454F4" w:rsidRPr="00B454F4" w:rsidRDefault="00B454F4" w:rsidP="00B454F4">
          <w:pPr>
            <w:pStyle w:val="TOC1"/>
            <w:ind w:left="870"/>
            <w:rPr>
              <w:rStyle w:val="Hyperlink"/>
              <w:color w:val="auto"/>
              <w:u w:val="none"/>
            </w:rPr>
          </w:pPr>
          <w:r w:rsidRPr="00B454F4">
            <w:rPr>
              <w:rStyle w:val="Hyperlink"/>
              <w:color w:val="auto"/>
              <w:u w:val="none"/>
            </w:rPr>
            <w:t>2.1</w:t>
          </w:r>
          <w:r w:rsidRPr="00B454F4">
            <w:rPr>
              <w:rStyle w:val="Hyperlink"/>
              <w:color w:val="auto"/>
              <w:u w:val="none"/>
            </w:rPr>
            <w:tab/>
          </w:r>
          <w:hyperlink w:anchor="_Toc513812506" w:history="1">
            <w:r w:rsidRPr="00B454F4">
              <w:rPr>
                <w:rStyle w:val="Hyperlink"/>
                <w:color w:val="auto"/>
              </w:rPr>
              <w:t>Question 6</w:t>
            </w:r>
            <w:r w:rsidRPr="00B454F4">
              <w:rPr>
                <w:webHidden/>
              </w:rPr>
              <w:tab/>
            </w:r>
          </w:hyperlink>
          <w:r>
            <w:rPr>
              <w:rStyle w:val="Hyperlink"/>
              <w:color w:val="auto"/>
              <w:u w:val="none"/>
            </w:rPr>
            <w:t>7</w:t>
          </w:r>
        </w:p>
        <w:p w:rsidR="00B454F4" w:rsidRPr="00B454F4" w:rsidRDefault="00B454F4" w:rsidP="00B454F4">
          <w:pPr>
            <w:pStyle w:val="TOC1"/>
            <w:ind w:left="870"/>
            <w:rPr>
              <w:rStyle w:val="Hyperlink"/>
              <w:color w:val="auto"/>
              <w:u w:val="none"/>
            </w:rPr>
          </w:pPr>
          <w:r>
            <w:rPr>
              <w:rStyle w:val="Hyperlink"/>
              <w:color w:val="auto"/>
              <w:u w:val="none"/>
            </w:rPr>
            <w:t>2.2</w:t>
          </w:r>
          <w:r w:rsidRPr="00B454F4">
            <w:rPr>
              <w:rStyle w:val="Hyperlink"/>
              <w:color w:val="auto"/>
              <w:u w:val="none"/>
            </w:rPr>
            <w:tab/>
          </w:r>
          <w:hyperlink w:anchor="_Toc513812506" w:history="1">
            <w:r w:rsidRPr="00B454F4">
              <w:rPr>
                <w:rStyle w:val="Hyperlink"/>
                <w:color w:val="auto"/>
              </w:rPr>
              <w:t>Q</w:t>
            </w:r>
            <w:r>
              <w:rPr>
                <w:rStyle w:val="Hyperlink"/>
                <w:color w:val="auto"/>
              </w:rPr>
              <w:t>uestion 7</w:t>
            </w:r>
            <w:r w:rsidRPr="00B454F4">
              <w:rPr>
                <w:webHidden/>
              </w:rPr>
              <w:tab/>
            </w:r>
          </w:hyperlink>
          <w:r>
            <w:rPr>
              <w:rStyle w:val="Hyperlink"/>
              <w:color w:val="auto"/>
              <w:u w:val="none"/>
            </w:rPr>
            <w:t>8</w:t>
          </w:r>
        </w:p>
        <w:p w:rsidR="00B454F4" w:rsidRPr="00B454F4" w:rsidRDefault="00B454F4" w:rsidP="00B454F4">
          <w:pPr>
            <w:pStyle w:val="TOC1"/>
            <w:ind w:left="870"/>
          </w:pPr>
          <w:r>
            <w:rPr>
              <w:rStyle w:val="Hyperlink"/>
              <w:color w:val="auto"/>
              <w:u w:val="none"/>
            </w:rPr>
            <w:t>2.3</w:t>
          </w:r>
          <w:r w:rsidRPr="00B454F4">
            <w:rPr>
              <w:rStyle w:val="Hyperlink"/>
              <w:color w:val="auto"/>
              <w:u w:val="none"/>
            </w:rPr>
            <w:tab/>
          </w:r>
          <w:hyperlink w:anchor="_Toc513812506" w:history="1">
            <w:r w:rsidRPr="00B454F4">
              <w:rPr>
                <w:rStyle w:val="Hyperlink"/>
                <w:color w:val="auto"/>
              </w:rPr>
              <w:t>Q</w:t>
            </w:r>
            <w:r>
              <w:rPr>
                <w:rStyle w:val="Hyperlink"/>
                <w:color w:val="auto"/>
              </w:rPr>
              <w:t>uestion 8</w:t>
            </w:r>
            <w:r w:rsidRPr="00B454F4">
              <w:rPr>
                <w:webHidden/>
              </w:rPr>
              <w:tab/>
            </w:r>
          </w:hyperlink>
          <w:r>
            <w:rPr>
              <w:rStyle w:val="Hyperlink"/>
              <w:color w:val="auto"/>
              <w:u w:val="none"/>
            </w:rPr>
            <w:t>8</w:t>
          </w:r>
        </w:p>
        <w:p w:rsidR="00B454F4" w:rsidRDefault="0049497C" w:rsidP="00B454F4">
          <w:pPr>
            <w:pStyle w:val="TOC1"/>
            <w:rPr>
              <w:rFonts w:asciiTheme="minorHAnsi" w:hAnsiTheme="minorHAnsi"/>
              <w:lang w:val="en-US" w:eastAsia="en-US"/>
            </w:rPr>
          </w:pPr>
          <w:hyperlink w:anchor="_Toc513812507" w:history="1">
            <w:r w:rsidR="00B454F4" w:rsidRPr="001B7B45">
              <w:rPr>
                <w:rStyle w:val="Hyperlink"/>
              </w:rPr>
              <w:t>3.</w:t>
            </w:r>
            <w:r w:rsidR="00B454F4">
              <w:rPr>
                <w:rFonts w:asciiTheme="minorHAnsi" w:hAnsiTheme="minorHAnsi"/>
                <w:lang w:val="en-US" w:eastAsia="en-US"/>
              </w:rPr>
              <w:tab/>
            </w:r>
            <w:r w:rsidR="00B454F4" w:rsidRPr="001B7B45">
              <w:rPr>
                <w:rStyle w:val="Hyperlink"/>
              </w:rPr>
              <w:t>Conclusion</w:t>
            </w:r>
            <w:r w:rsidR="00B454F4">
              <w:rPr>
                <w:webHidden/>
              </w:rPr>
              <w:tab/>
            </w:r>
            <w:r w:rsidR="00B454F4">
              <w:rPr>
                <w:webHidden/>
              </w:rPr>
              <w:fldChar w:fldCharType="begin"/>
            </w:r>
            <w:r w:rsidR="00B454F4">
              <w:rPr>
                <w:webHidden/>
              </w:rPr>
              <w:instrText xml:space="preserve"> PAGEREF _Toc513812507 \h </w:instrText>
            </w:r>
            <w:r w:rsidR="00B454F4">
              <w:rPr>
                <w:webHidden/>
              </w:rPr>
            </w:r>
            <w:r w:rsidR="00B454F4">
              <w:rPr>
                <w:webHidden/>
              </w:rPr>
              <w:fldChar w:fldCharType="separate"/>
            </w:r>
            <w:r>
              <w:rPr>
                <w:webHidden/>
              </w:rPr>
              <w:t>9</w:t>
            </w:r>
            <w:r w:rsidR="00B454F4">
              <w:rPr>
                <w:webHidden/>
              </w:rPr>
              <w:fldChar w:fldCharType="end"/>
            </w:r>
          </w:hyperlink>
        </w:p>
        <w:p w:rsidR="00B454F4" w:rsidRDefault="00B454F4">
          <w:r>
            <w:rPr>
              <w:b/>
              <w:bCs/>
              <w:noProof/>
            </w:rPr>
            <w:fldChar w:fldCharType="end"/>
          </w:r>
        </w:p>
      </w:sdtContent>
    </w:sdt>
    <w:p w:rsidR="007B2BD7" w:rsidRPr="003441E5" w:rsidRDefault="007B2BD7" w:rsidP="00B14DFB"/>
    <w:p w:rsidR="00027253" w:rsidRDefault="00A45BA3" w:rsidP="002A629E">
      <w:pPr>
        <w:pStyle w:val="Heading1"/>
      </w:pPr>
      <w:bookmarkStart w:id="0" w:name="_Toc513812504"/>
      <w:r>
        <w:lastRenderedPageBreak/>
        <w:t>Introductory Comments</w:t>
      </w:r>
      <w:bookmarkEnd w:id="0"/>
      <w:r>
        <w:t xml:space="preserve"> </w:t>
      </w:r>
    </w:p>
    <w:p w:rsidR="006A74D0" w:rsidRPr="00D41700" w:rsidRDefault="00A45BA3" w:rsidP="00A45BA3">
      <w:pPr>
        <w:jc w:val="both"/>
      </w:pPr>
      <w:r w:rsidRPr="00D41700">
        <w:t xml:space="preserve">ACCAN would like to thank </w:t>
      </w:r>
      <w:r w:rsidR="001564CF">
        <w:t xml:space="preserve">the </w:t>
      </w:r>
      <w:r w:rsidR="007A5642">
        <w:t>ACMA</w:t>
      </w:r>
      <w:r w:rsidRPr="00D41700">
        <w:t xml:space="preserve"> for the opportunity to submit on the </w:t>
      </w:r>
      <w:r w:rsidRPr="00D41700">
        <w:rPr>
          <w:i/>
        </w:rPr>
        <w:t>NBN Line Testing Determination 201</w:t>
      </w:r>
      <w:r w:rsidRPr="00D41700">
        <w:t>8.</w:t>
      </w:r>
      <w:r w:rsidR="00EF6F79" w:rsidRPr="00D41700">
        <w:t xml:space="preserve"> </w:t>
      </w:r>
    </w:p>
    <w:p w:rsidR="006A74D0" w:rsidRPr="00D41700" w:rsidRDefault="006A74D0" w:rsidP="00A45BA3">
      <w:pPr>
        <w:jc w:val="both"/>
      </w:pPr>
    </w:p>
    <w:p w:rsidR="00C33A7D" w:rsidRPr="00D41700" w:rsidRDefault="006A74D0" w:rsidP="00EF6F79">
      <w:pPr>
        <w:jc w:val="both"/>
      </w:pPr>
      <w:r w:rsidRPr="006B6843">
        <w:rPr>
          <w:color w:val="000000" w:themeColor="text1"/>
        </w:rPr>
        <w:t>ACCAN supports</w:t>
      </w:r>
      <w:r w:rsidR="004824C2" w:rsidRPr="006B6843">
        <w:rPr>
          <w:color w:val="000000" w:themeColor="text1"/>
        </w:rPr>
        <w:t xml:space="preserve"> the draft</w:t>
      </w:r>
      <w:r w:rsidRPr="006B6843">
        <w:rPr>
          <w:color w:val="000000" w:themeColor="text1"/>
        </w:rPr>
        <w:t xml:space="preserve"> </w:t>
      </w:r>
      <w:r w:rsidRPr="006B6843">
        <w:rPr>
          <w:i/>
          <w:color w:val="000000" w:themeColor="text1"/>
        </w:rPr>
        <w:t>NBN Line Testing D</w:t>
      </w:r>
      <w:r w:rsidR="004824C2" w:rsidRPr="006B6843">
        <w:rPr>
          <w:i/>
          <w:color w:val="000000" w:themeColor="text1"/>
        </w:rPr>
        <w:t>etermination</w:t>
      </w:r>
      <w:r w:rsidR="004824C2" w:rsidRPr="006B6843">
        <w:rPr>
          <w:color w:val="000000" w:themeColor="text1"/>
        </w:rPr>
        <w:t xml:space="preserve"> </w:t>
      </w:r>
      <w:r w:rsidR="00B20B3F" w:rsidRPr="006B6843">
        <w:rPr>
          <w:color w:val="000000" w:themeColor="text1"/>
        </w:rPr>
        <w:t xml:space="preserve">as </w:t>
      </w:r>
      <w:r w:rsidR="004545A2" w:rsidRPr="006B6843">
        <w:rPr>
          <w:color w:val="000000" w:themeColor="text1"/>
        </w:rPr>
        <w:t xml:space="preserve">representing </w:t>
      </w:r>
      <w:r w:rsidR="004824C2" w:rsidRPr="006B6843">
        <w:rPr>
          <w:color w:val="000000" w:themeColor="text1"/>
        </w:rPr>
        <w:t xml:space="preserve">a marked step forward in addressing the challenges that consumers face in </w:t>
      </w:r>
      <w:r w:rsidR="006B6843" w:rsidRPr="006B6843">
        <w:rPr>
          <w:color w:val="000000" w:themeColor="text1"/>
        </w:rPr>
        <w:t>using</w:t>
      </w:r>
      <w:r w:rsidR="004824C2" w:rsidRPr="006B6843">
        <w:rPr>
          <w:color w:val="000000" w:themeColor="text1"/>
        </w:rPr>
        <w:t xml:space="preserve"> telecommunications services. </w:t>
      </w:r>
      <w:r w:rsidR="00EF6F79" w:rsidRPr="00D41700">
        <w:rPr>
          <w:bCs/>
          <w:iCs/>
        </w:rPr>
        <w:t xml:space="preserve">The absence of communications services - even for short periods - can result in social isolation, reduced economic livelihood and participation in social life, insecurity, and can potentially pose a risk to safety </w:t>
      </w:r>
      <w:r w:rsidR="004824C2" w:rsidRPr="00D41700">
        <w:rPr>
          <w:bCs/>
          <w:iCs/>
        </w:rPr>
        <w:t>-</w:t>
      </w:r>
      <w:r w:rsidR="00EF6F79" w:rsidRPr="00D41700">
        <w:rPr>
          <w:bCs/>
          <w:iCs/>
        </w:rPr>
        <w:softHyphen/>
        <w:t xml:space="preserve"> a cost to the community which is</w:t>
      </w:r>
      <w:r w:rsidR="00C33A7D" w:rsidRPr="00D41700">
        <w:rPr>
          <w:bCs/>
          <w:iCs/>
        </w:rPr>
        <w:t xml:space="preserve"> often undervalued</w:t>
      </w:r>
      <w:r w:rsidR="00EF6F79" w:rsidRPr="00D41700">
        <w:rPr>
          <w:bCs/>
          <w:iCs/>
        </w:rPr>
        <w:t>.</w:t>
      </w:r>
      <w:r w:rsidR="00EF6F79" w:rsidRPr="00D41700">
        <w:rPr>
          <w:bCs/>
          <w:iCs/>
          <w:vertAlign w:val="superscript"/>
        </w:rPr>
        <w:footnoteReference w:id="1"/>
      </w:r>
      <w:r w:rsidR="00EF6F79" w:rsidRPr="00D41700">
        <w:rPr>
          <w:bCs/>
          <w:iCs/>
        </w:rPr>
        <w:t xml:space="preserve"> </w:t>
      </w:r>
    </w:p>
    <w:p w:rsidR="00EF6F79" w:rsidRPr="00D41700" w:rsidRDefault="00EF6F79" w:rsidP="00EF6F79">
      <w:pPr>
        <w:jc w:val="both"/>
      </w:pPr>
    </w:p>
    <w:p w:rsidR="00EF6F79" w:rsidRPr="00D41700" w:rsidRDefault="00082342" w:rsidP="00EF6F79">
      <w:pPr>
        <w:jc w:val="both"/>
      </w:pPr>
      <w:r>
        <w:t xml:space="preserve">Currently </w:t>
      </w:r>
      <w:r w:rsidR="00EF6F79" w:rsidRPr="00D41700">
        <w:t>R</w:t>
      </w:r>
      <w:r w:rsidR="00E9627D">
        <w:t>S</w:t>
      </w:r>
      <w:r w:rsidR="00EF6F79" w:rsidRPr="00D41700">
        <w:t>Ps an</w:t>
      </w:r>
      <w:r w:rsidR="00C4540A">
        <w:t>d NBN Co have limited incentive</w:t>
      </w:r>
      <w:r w:rsidR="00EF6F79" w:rsidRPr="00D41700">
        <w:t xml:space="preserve"> to identify and rectify faults in a timely manner or in keeping with their contractual </w:t>
      </w:r>
      <w:r w:rsidR="007830FC" w:rsidRPr="00D41700">
        <w:t xml:space="preserve">obligations to their customers. </w:t>
      </w:r>
      <w:r w:rsidR="00EF6F79" w:rsidRPr="00D41700">
        <w:t xml:space="preserve">As a </w:t>
      </w:r>
      <w:r w:rsidR="000A277B" w:rsidRPr="00D41700">
        <w:t>consequence,</w:t>
      </w:r>
      <w:r w:rsidR="00EF6F79" w:rsidRPr="00D41700">
        <w:t xml:space="preserve"> consumers have suffered significant detriment through</w:t>
      </w:r>
      <w:r w:rsidR="00C4540A">
        <w:t xml:space="preserve"> unnecessary</w:t>
      </w:r>
      <w:r w:rsidR="00EF6F79" w:rsidRPr="00D41700">
        <w:t xml:space="preserve"> delays in fault rectification, poor service and </w:t>
      </w:r>
      <w:r w:rsidR="0030280C">
        <w:t>disconnection</w:t>
      </w:r>
      <w:r w:rsidR="00EF6F79" w:rsidRPr="00D41700">
        <w:t>.</w:t>
      </w:r>
    </w:p>
    <w:p w:rsidR="004044B9" w:rsidRDefault="004044B9" w:rsidP="00EF6F79">
      <w:pPr>
        <w:jc w:val="both"/>
      </w:pPr>
    </w:p>
    <w:p w:rsidR="00DA1306" w:rsidRDefault="00DA1306" w:rsidP="00EF6F79">
      <w:pPr>
        <w:jc w:val="both"/>
      </w:pPr>
      <w:r>
        <w:t xml:space="preserve">ACCAN supports the current drafting of the </w:t>
      </w:r>
      <w:r w:rsidR="00B454F4">
        <w:t>D</w:t>
      </w:r>
      <w:r>
        <w:t xml:space="preserve">etermination and the constraint on service providers from charging for services which are </w:t>
      </w:r>
      <w:r w:rsidR="0030280C">
        <w:t xml:space="preserve">not </w:t>
      </w:r>
      <w:r w:rsidR="00C4540A">
        <w:t>being provided in</w:t>
      </w:r>
      <w:r w:rsidR="0030280C">
        <w:t xml:space="preserve"> keeping with consumer expectations </w:t>
      </w:r>
      <w:r w:rsidR="00C4540A">
        <w:t>or</w:t>
      </w:r>
      <w:r w:rsidR="0030280C">
        <w:t xml:space="preserve"> contractual obligations</w:t>
      </w:r>
      <w:r>
        <w:t>. Restricting the capacity of service providers to charge in the absence of services provides strong</w:t>
      </w:r>
      <w:r w:rsidR="004044B9">
        <w:t xml:space="preserve"> </w:t>
      </w:r>
      <w:r w:rsidR="0030280C">
        <w:t>financial</w:t>
      </w:r>
      <w:r>
        <w:t xml:space="preserve"> incentives for </w:t>
      </w:r>
      <w:r w:rsidR="00C4540A">
        <w:t>service providers</w:t>
      </w:r>
      <w:r>
        <w:t xml:space="preserve"> to identify and rec</w:t>
      </w:r>
      <w:r w:rsidR="00C4540A">
        <w:t>tify faults in a timely fashion.</w:t>
      </w:r>
    </w:p>
    <w:p w:rsidR="00F206B4" w:rsidRDefault="00F206B4" w:rsidP="00F206B4">
      <w:pPr>
        <w:jc w:val="both"/>
      </w:pPr>
    </w:p>
    <w:p w:rsidR="00DA1306" w:rsidRPr="00DA1306" w:rsidRDefault="00F206B4" w:rsidP="00D0304F">
      <w:pPr>
        <w:jc w:val="both"/>
      </w:pPr>
      <w:r>
        <w:t>T</w:t>
      </w:r>
      <w:r w:rsidR="00B454F4">
        <w:t>he D</w:t>
      </w:r>
      <w:r w:rsidRPr="00D41700">
        <w:t>etermination will facilitate</w:t>
      </w:r>
      <w:r w:rsidR="00942EFD">
        <w:t xml:space="preserve"> </w:t>
      </w:r>
      <w:r w:rsidR="00942EFD" w:rsidRPr="00D41700">
        <w:t>better outcomes for consumers</w:t>
      </w:r>
      <w:r w:rsidR="00942EFD">
        <w:t xml:space="preserve"> through</w:t>
      </w:r>
      <w:r w:rsidRPr="00D41700">
        <w:t xml:space="preserve"> the early identification and rec</w:t>
      </w:r>
      <w:r w:rsidR="00B636F0">
        <w:t xml:space="preserve">tification of network faults </w:t>
      </w:r>
      <w:r w:rsidRPr="00D41700">
        <w:t>and allow for faster,</w:t>
      </w:r>
      <w:r w:rsidR="00942EFD">
        <w:t xml:space="preserve"> more convenient switch-over</w:t>
      </w:r>
      <w:r w:rsidRPr="00D41700">
        <w:t xml:space="preserve">. </w:t>
      </w:r>
      <w:r w:rsidR="00B454F4">
        <w:t>In the absence of the D</w:t>
      </w:r>
      <w:r w:rsidR="00DA1306">
        <w:t xml:space="preserve">etermination </w:t>
      </w:r>
      <w:r w:rsidR="0030280C">
        <w:t xml:space="preserve">and </w:t>
      </w:r>
      <w:r w:rsidR="00DA1306">
        <w:t xml:space="preserve">supporting consumer information and service continuity standards, consumers have faced significant </w:t>
      </w:r>
      <w:r w:rsidR="00200556">
        <w:t xml:space="preserve">detriment </w:t>
      </w:r>
      <w:r w:rsidR="00DA1306">
        <w:t>as a result of disconnection and poor service quality</w:t>
      </w:r>
      <w:r w:rsidR="00C4540A">
        <w:t>, set out in more detail below</w:t>
      </w:r>
      <w:r w:rsidR="00DA1306">
        <w:t>. ACCAN welcomes the package of reforms put forward by the ACMA in order to address these issues.</w:t>
      </w:r>
    </w:p>
    <w:p w:rsidR="00DA1306" w:rsidRPr="00D41700" w:rsidRDefault="00DA1306" w:rsidP="00D0304F">
      <w:pPr>
        <w:jc w:val="both"/>
        <w:rPr>
          <w:b/>
        </w:rPr>
      </w:pPr>
    </w:p>
    <w:p w:rsidR="003172FF" w:rsidRPr="00D41700" w:rsidRDefault="000B6FBF" w:rsidP="00D0304F">
      <w:pPr>
        <w:jc w:val="both"/>
        <w:rPr>
          <w:b/>
          <w:i/>
        </w:rPr>
      </w:pPr>
      <w:r w:rsidRPr="00D41700">
        <w:rPr>
          <w:b/>
          <w:i/>
        </w:rPr>
        <w:t xml:space="preserve">Consumer </w:t>
      </w:r>
      <w:r w:rsidR="003172FF" w:rsidRPr="00D41700">
        <w:rPr>
          <w:b/>
          <w:i/>
        </w:rPr>
        <w:t>losses from disconnection</w:t>
      </w:r>
    </w:p>
    <w:p w:rsidR="003850AB" w:rsidRPr="00D41700" w:rsidRDefault="003850AB" w:rsidP="003850AB">
      <w:pPr>
        <w:jc w:val="both"/>
      </w:pPr>
    </w:p>
    <w:p w:rsidR="00C33A7D" w:rsidRPr="00D41700" w:rsidRDefault="00C33A7D" w:rsidP="003850AB">
      <w:pPr>
        <w:jc w:val="both"/>
      </w:pPr>
      <w:r w:rsidRPr="00D41700">
        <w:t>Estimating the losses to consumers</w:t>
      </w:r>
      <w:r w:rsidR="00F73112">
        <w:t xml:space="preserve"> </w:t>
      </w:r>
      <w:r w:rsidRPr="00D41700">
        <w:t xml:space="preserve">as a result of </w:t>
      </w:r>
      <w:r w:rsidR="00741F8E">
        <w:t>disconnection of service</w:t>
      </w:r>
      <w:r w:rsidRPr="00D41700">
        <w:t xml:space="preserve"> is a difficult task, made more complex by the absence of comprehens</w:t>
      </w:r>
      <w:r w:rsidR="0023073F" w:rsidRPr="00D41700">
        <w:t xml:space="preserve">ive reporting on prices, </w:t>
      </w:r>
      <w:r w:rsidR="00741F8E">
        <w:t>population statistics for</w:t>
      </w:r>
      <w:r w:rsidR="0023073F" w:rsidRPr="00D41700">
        <w:t xml:space="preserve"> consumers affected by disconnection and</w:t>
      </w:r>
      <w:r w:rsidR="00741F8E">
        <w:t xml:space="preserve"> time</w:t>
      </w:r>
      <w:r w:rsidR="0023073F" w:rsidRPr="00D41700">
        <w:t xml:space="preserve"> periods of disconnection faced</w:t>
      </w:r>
      <w:r w:rsidRPr="00D41700">
        <w:t>.</w:t>
      </w:r>
      <w:r w:rsidR="002D7E61" w:rsidRPr="002D7E61">
        <w:rPr>
          <w:rStyle w:val="FootnoteReference"/>
        </w:rPr>
        <w:t xml:space="preserve"> </w:t>
      </w:r>
      <w:r w:rsidR="002D7E61">
        <w:rPr>
          <w:rStyle w:val="FootnoteReference"/>
        </w:rPr>
        <w:footnoteReference w:id="2"/>
      </w:r>
      <w:r w:rsidR="0023073F" w:rsidRPr="00D41700">
        <w:t xml:space="preserve"> Despite these difficulties estimates can be made of the losses consumers have experienced through the use of survey, pricing and population data.</w:t>
      </w:r>
      <w:r w:rsidRPr="00D41700">
        <w:t xml:space="preserve"> </w:t>
      </w:r>
    </w:p>
    <w:p w:rsidR="006006CC" w:rsidRDefault="006006CC" w:rsidP="003850AB">
      <w:pPr>
        <w:jc w:val="both"/>
      </w:pPr>
    </w:p>
    <w:p w:rsidR="00866F4F" w:rsidRPr="00D41700" w:rsidRDefault="00866F4F" w:rsidP="003850AB">
      <w:pPr>
        <w:jc w:val="both"/>
      </w:pPr>
    </w:p>
    <w:p w:rsidR="006006CC" w:rsidRPr="00D41700" w:rsidRDefault="006006CC" w:rsidP="00866F4F">
      <w:pPr>
        <w:keepNext/>
        <w:jc w:val="both"/>
      </w:pPr>
      <w:r w:rsidRPr="00D41700">
        <w:lastRenderedPageBreak/>
        <w:t>From a theoretical standpoint the loss accruing to the consumer as a result of di</w:t>
      </w:r>
      <w:r w:rsidR="0029474E" w:rsidRPr="00D41700">
        <w:t>sconnection can be estimated using a simple back of the envelope calculation</w:t>
      </w:r>
      <w:r w:rsidRPr="00D41700">
        <w:t>:</w:t>
      </w:r>
    </w:p>
    <w:p w:rsidR="00C33A7D" w:rsidRPr="00D41700" w:rsidRDefault="00C33A7D" w:rsidP="003850AB">
      <w:pPr>
        <w:jc w:val="both"/>
      </w:pPr>
    </w:p>
    <w:p w:rsidR="006006CC" w:rsidRPr="003850AB" w:rsidRDefault="00F73112" w:rsidP="006006CC">
      <w:pPr>
        <w:spacing w:after="200" w:line="276" w:lineRule="auto"/>
        <w:jc w:val="center"/>
        <w:rPr>
          <w:rFonts w:cs="Times New Roman"/>
          <w:i/>
        </w:rPr>
      </w:pPr>
      <w:r>
        <w:rPr>
          <w:rFonts w:cs="Times New Roman"/>
          <w:i/>
        </w:rPr>
        <w:t>Consumer</w:t>
      </w:r>
      <w:r w:rsidRPr="003850AB">
        <w:rPr>
          <w:rFonts w:cs="Times New Roman"/>
          <w:i/>
        </w:rPr>
        <w:t xml:space="preserve"> </w:t>
      </w:r>
      <w:r w:rsidR="006006CC" w:rsidRPr="003850AB">
        <w:rPr>
          <w:rFonts w:cs="Times New Roman"/>
          <w:i/>
        </w:rPr>
        <w:t xml:space="preserve">loss = price x </w:t>
      </w:r>
      <w:r w:rsidR="006006CC" w:rsidRPr="00D41700">
        <w:rPr>
          <w:rFonts w:cs="Times New Roman"/>
          <w:i/>
        </w:rPr>
        <w:t>time disconnected</w:t>
      </w:r>
      <w:r w:rsidR="006006CC" w:rsidRPr="003850AB">
        <w:rPr>
          <w:rFonts w:cs="Times New Roman"/>
          <w:i/>
        </w:rPr>
        <w:t xml:space="preserve"> x population affected by loss of service</w:t>
      </w:r>
    </w:p>
    <w:p w:rsidR="006006CC" w:rsidRPr="00D41700" w:rsidRDefault="006006CC" w:rsidP="006006CC">
      <w:pPr>
        <w:jc w:val="both"/>
      </w:pPr>
      <w:r w:rsidRPr="00D41700">
        <w:t>Currently comprehensive data concerning the population affected by disconnection and the period of disconnection are not available. However recent ACMA survey data indicates that 34% of households reported being left without the phone and/or internet servic</w:t>
      </w:r>
      <w:r w:rsidR="0030280C">
        <w:t>es when connecting to the NBN</w:t>
      </w:r>
      <w:r w:rsidR="0030280C" w:rsidRPr="00D41700">
        <w:t xml:space="preserve"> and</w:t>
      </w:r>
      <w:r w:rsidR="0029474E" w:rsidRPr="00D41700">
        <w:t xml:space="preserve"> provided</w:t>
      </w:r>
      <w:r w:rsidRPr="00D41700">
        <w:t xml:space="preserve"> </w:t>
      </w:r>
      <w:r w:rsidR="0029474E" w:rsidRPr="00D41700">
        <w:t xml:space="preserve">detailed breakdowns of </w:t>
      </w:r>
      <w:r w:rsidR="0030280C">
        <w:t xml:space="preserve">the </w:t>
      </w:r>
      <w:r w:rsidR="0029474E" w:rsidRPr="00D41700">
        <w:t>period of disconnection experienced by households</w:t>
      </w:r>
      <w:r w:rsidRPr="00D41700">
        <w:t>.</w:t>
      </w:r>
      <w:r w:rsidRPr="00D41700">
        <w:rPr>
          <w:rStyle w:val="FootnoteReference"/>
        </w:rPr>
        <w:footnoteReference w:id="3"/>
      </w:r>
      <w:r w:rsidRPr="00D41700">
        <w:t xml:space="preserve"> </w:t>
      </w:r>
    </w:p>
    <w:p w:rsidR="006006CC" w:rsidRPr="00D41700" w:rsidRDefault="006006CC" w:rsidP="003850AB">
      <w:pPr>
        <w:jc w:val="both"/>
      </w:pPr>
    </w:p>
    <w:p w:rsidR="00783F4D" w:rsidRPr="00D41700" w:rsidRDefault="00082342" w:rsidP="00FF6ADD">
      <w:pPr>
        <w:jc w:val="both"/>
      </w:pPr>
      <w:r>
        <w:t xml:space="preserve">If </w:t>
      </w:r>
      <w:r w:rsidR="00FF6ADD" w:rsidRPr="00D41700">
        <w:t xml:space="preserve">the experience of consumers </w:t>
      </w:r>
      <w:r>
        <w:t>from the survey was</w:t>
      </w:r>
      <w:r w:rsidR="00FF6ADD" w:rsidRPr="00D41700">
        <w:t xml:space="preserve"> replicated across the</w:t>
      </w:r>
      <w:r w:rsidR="0030280C">
        <w:t xml:space="preserve"> </w:t>
      </w:r>
      <w:r w:rsidR="0030280C" w:rsidRPr="00D41700">
        <w:t>790,569 premises c</w:t>
      </w:r>
      <w:r w:rsidR="0030280C">
        <w:t>onnected to the NBN in 2016-17</w:t>
      </w:r>
      <w:r w:rsidR="00FF6ADD" w:rsidRPr="00D41700">
        <w:t>,</w:t>
      </w:r>
      <w:r w:rsidR="0030280C" w:rsidRPr="0030280C">
        <w:rPr>
          <w:rStyle w:val="FootnoteReference"/>
        </w:rPr>
        <w:t xml:space="preserve"> </w:t>
      </w:r>
      <w:r w:rsidR="0030280C" w:rsidRPr="00D41700">
        <w:rPr>
          <w:rStyle w:val="FootnoteReference"/>
        </w:rPr>
        <w:footnoteReference w:id="4"/>
      </w:r>
      <w:r w:rsidR="0030280C">
        <w:t xml:space="preserve"> </w:t>
      </w:r>
      <w:r w:rsidR="00FF6ADD" w:rsidRPr="00D41700">
        <w:t xml:space="preserve"> this woul</w:t>
      </w:r>
      <w:r w:rsidR="006610E7" w:rsidRPr="00D41700">
        <w:t>d imply a minimum loss of</w:t>
      </w:r>
      <w:r w:rsidR="00C3382C" w:rsidRPr="00D41700">
        <w:t xml:space="preserve"> between</w:t>
      </w:r>
      <w:r w:rsidR="006610E7" w:rsidRPr="00D41700">
        <w:t xml:space="preserve"> $3.6 million</w:t>
      </w:r>
      <w:r w:rsidR="00F73112">
        <w:t xml:space="preserve"> to $5.5 million</w:t>
      </w:r>
      <w:r w:rsidR="006610E7" w:rsidRPr="00D41700">
        <w:t xml:space="preserve"> as a result of disconnection</w:t>
      </w:r>
      <w:r w:rsidR="0029474E" w:rsidRPr="00D41700">
        <w:t xml:space="preserve"> and delays in rectifying connection problems</w:t>
      </w:r>
      <w:r w:rsidR="007830FC" w:rsidRPr="00D41700">
        <w:t>.</w:t>
      </w:r>
      <w:r w:rsidR="006610E7" w:rsidRPr="00D41700">
        <w:rPr>
          <w:rStyle w:val="FootnoteReference"/>
        </w:rPr>
        <w:footnoteReference w:id="5"/>
      </w:r>
      <w:r w:rsidR="003172FF" w:rsidRPr="00D41700">
        <w:t xml:space="preserve"> </w:t>
      </w:r>
      <w:r w:rsidR="00F73112">
        <w:t>This figure represents the loss to consumers as a result of non-performance of contractual obligations</w:t>
      </w:r>
      <w:r w:rsidR="003B0A27">
        <w:t xml:space="preserve"> and does not include the </w:t>
      </w:r>
      <w:r w:rsidR="00F73112">
        <w:t xml:space="preserve">inconvenience </w:t>
      </w:r>
      <w:r w:rsidR="003B0A27">
        <w:t xml:space="preserve">or time costs </w:t>
      </w:r>
      <w:r w:rsidR="00F73112">
        <w:t>that consumers face is seeking to organize fault rectification and is therefore</w:t>
      </w:r>
      <w:r w:rsidR="002D7E61">
        <w:t xml:space="preserve"> </w:t>
      </w:r>
      <w:r w:rsidR="00F73112">
        <w:t xml:space="preserve">likely to be well below the </w:t>
      </w:r>
      <w:r w:rsidR="00B53E73">
        <w:t xml:space="preserve">actual level of detriment experienced by </w:t>
      </w:r>
      <w:r w:rsidR="00783F4D" w:rsidRPr="00D41700">
        <w:t>consumers.</w:t>
      </w:r>
      <w:r w:rsidR="00B53E73">
        <w:rPr>
          <w:rStyle w:val="FootnoteReference"/>
        </w:rPr>
        <w:footnoteReference w:id="6"/>
      </w:r>
      <w:r w:rsidR="00783F4D" w:rsidRPr="00D41700">
        <w:t xml:space="preserve"> </w:t>
      </w:r>
      <w:r w:rsidR="002D7E61">
        <w:t>T</w:t>
      </w:r>
      <w:r w:rsidR="00B53E73">
        <w:t>he losses faced by consumers during this period and historically have been material and far in excess of what consumers reasonably expected.</w:t>
      </w:r>
    </w:p>
    <w:p w:rsidR="00C3382C" w:rsidRDefault="00C3382C" w:rsidP="00FF6ADD">
      <w:pPr>
        <w:jc w:val="both"/>
      </w:pPr>
    </w:p>
    <w:p w:rsidR="003172FF" w:rsidRPr="00156370" w:rsidRDefault="003172FF" w:rsidP="00FF6ADD">
      <w:pPr>
        <w:jc w:val="both"/>
        <w:rPr>
          <w:b/>
          <w:i/>
        </w:rPr>
      </w:pPr>
      <w:r w:rsidRPr="00156370">
        <w:rPr>
          <w:b/>
          <w:i/>
        </w:rPr>
        <w:t xml:space="preserve">Consumer losses from slow services </w:t>
      </w:r>
    </w:p>
    <w:p w:rsidR="003172FF" w:rsidRDefault="003172FF" w:rsidP="00FF6ADD">
      <w:pPr>
        <w:jc w:val="both"/>
      </w:pPr>
    </w:p>
    <w:p w:rsidR="00E26018" w:rsidRDefault="002D7E61" w:rsidP="00FF6ADD">
      <w:pPr>
        <w:jc w:val="both"/>
      </w:pPr>
      <w:r>
        <w:t>L</w:t>
      </w:r>
      <w:r w:rsidR="00E26018">
        <w:t>oss</w:t>
      </w:r>
      <w:r w:rsidR="00AC0C07">
        <w:t>es also accrue</w:t>
      </w:r>
      <w:r w:rsidR="00E26018">
        <w:t xml:space="preserve"> to consumers where services are not provi</w:t>
      </w:r>
      <w:r w:rsidR="00AC0C07">
        <w:t>ded at the speeds contracted and paid for</w:t>
      </w:r>
      <w:r w:rsidR="00E26018">
        <w:t xml:space="preserve">. There is currently insufficient publicly available information to facilitate a robust estimate of </w:t>
      </w:r>
      <w:r w:rsidR="00200556">
        <w:t>this loss</w:t>
      </w:r>
      <w:r w:rsidR="00E26018">
        <w:t xml:space="preserve">; however the </w:t>
      </w:r>
      <w:r>
        <w:t xml:space="preserve">consumer </w:t>
      </w:r>
      <w:r w:rsidR="00E26018">
        <w:t>loss may be conceptualized as:</w:t>
      </w:r>
    </w:p>
    <w:p w:rsidR="00E26018" w:rsidRDefault="00E26018" w:rsidP="00FF6ADD">
      <w:pPr>
        <w:jc w:val="both"/>
      </w:pPr>
    </w:p>
    <w:p w:rsidR="00E26018" w:rsidRPr="00E26018" w:rsidRDefault="002D7E61" w:rsidP="00106FBF">
      <w:pPr>
        <w:jc w:val="center"/>
      </w:pPr>
      <w:r>
        <w:rPr>
          <w:rFonts w:cs="Times New Roman"/>
          <w:i/>
          <w:sz w:val="22"/>
          <w:szCs w:val="22"/>
        </w:rPr>
        <w:t>Consumer</w:t>
      </w:r>
      <w:r w:rsidRPr="003850AB">
        <w:rPr>
          <w:rFonts w:cs="Times New Roman"/>
          <w:i/>
          <w:sz w:val="22"/>
          <w:szCs w:val="22"/>
        </w:rPr>
        <w:t xml:space="preserve"> </w:t>
      </w:r>
      <w:r w:rsidR="00E26018" w:rsidRPr="003850AB">
        <w:rPr>
          <w:rFonts w:cs="Times New Roman"/>
          <w:i/>
          <w:sz w:val="22"/>
          <w:szCs w:val="22"/>
        </w:rPr>
        <w:t xml:space="preserve">loss = </w:t>
      </w:r>
      <w:r w:rsidR="00E26018" w:rsidRPr="00E26018">
        <w:rPr>
          <w:i/>
        </w:rPr>
        <w:t>[</w:t>
      </w:r>
      <w:r w:rsidR="00A43E42">
        <w:rPr>
          <w:i/>
        </w:rPr>
        <w:t>p</w:t>
      </w:r>
      <w:r w:rsidR="00E26018" w:rsidRPr="00E26018">
        <w:rPr>
          <w:i/>
        </w:rPr>
        <w:t xml:space="preserve">rice paid for service – price for speed provided] </w:t>
      </w:r>
      <w:r w:rsidR="00E26018" w:rsidRPr="003850AB">
        <w:rPr>
          <w:rFonts w:cs="Times New Roman"/>
          <w:i/>
          <w:sz w:val="22"/>
          <w:szCs w:val="22"/>
        </w:rPr>
        <w:t xml:space="preserve">x population affected </w:t>
      </w:r>
      <w:r w:rsidR="00E26018" w:rsidRPr="00E26018">
        <w:rPr>
          <w:rFonts w:cs="Times New Roman"/>
          <w:i/>
          <w:sz w:val="22"/>
          <w:szCs w:val="22"/>
        </w:rPr>
        <w:t>x time</w:t>
      </w:r>
      <w:r w:rsidR="00156370">
        <w:rPr>
          <w:rStyle w:val="FootnoteReference"/>
          <w:rFonts w:cs="Times New Roman"/>
          <w:i/>
          <w:sz w:val="22"/>
          <w:szCs w:val="22"/>
        </w:rPr>
        <w:footnoteReference w:id="7"/>
      </w:r>
    </w:p>
    <w:p w:rsidR="007830FC" w:rsidRPr="00106FBF" w:rsidRDefault="007830FC" w:rsidP="00FF6ADD">
      <w:pPr>
        <w:jc w:val="both"/>
      </w:pPr>
    </w:p>
    <w:p w:rsidR="00EA04ED" w:rsidRDefault="00E26018" w:rsidP="00FF6ADD">
      <w:pPr>
        <w:jc w:val="both"/>
      </w:pPr>
      <w:r w:rsidRPr="00741F8E">
        <w:t xml:space="preserve">Assessing the loss </w:t>
      </w:r>
      <w:r w:rsidR="00106FBF" w:rsidRPr="00741F8E">
        <w:t>for consumers suffering from slow speeds is a challenging task in the absence of detailed information co</w:t>
      </w:r>
      <w:r w:rsidR="00A43E42" w:rsidRPr="00741F8E">
        <w:t>ncerning the speeds of services.</w:t>
      </w:r>
      <w:r w:rsidR="00652978">
        <w:t xml:space="preserve"> </w:t>
      </w:r>
      <w:r w:rsidR="00AC0C07">
        <w:t>However,</w:t>
      </w:r>
      <w:r w:rsidR="00521086">
        <w:t xml:space="preserve"> consumer survey responses indicate that 68% of consumers are suffering from slow data speeds often or very often.</w:t>
      </w:r>
      <w:r w:rsidR="00521086">
        <w:rPr>
          <w:rStyle w:val="FootnoteReference"/>
        </w:rPr>
        <w:footnoteReference w:id="8"/>
      </w:r>
      <w:r w:rsidR="00521086">
        <w:t xml:space="preserve"> Recent enforcement action by the ACCC in seeking enforceable undertakings </w:t>
      </w:r>
      <w:r w:rsidR="00521086">
        <w:lastRenderedPageBreak/>
        <w:t xml:space="preserve">for </w:t>
      </w:r>
      <w:r w:rsidR="00F118E9">
        <w:t>misrepresentation of</w:t>
      </w:r>
      <w:r w:rsidR="00521086">
        <w:t xml:space="preserve"> actual speeds available to consumers further highlight</w:t>
      </w:r>
      <w:r w:rsidR="00F118E9">
        <w:t>s</w:t>
      </w:r>
      <w:r w:rsidR="002361CC">
        <w:t xml:space="preserve"> the</w:t>
      </w:r>
      <w:r w:rsidR="00521086">
        <w:t xml:space="preserve"> </w:t>
      </w:r>
      <w:r w:rsidR="002361CC">
        <w:t>detriment experienced</w:t>
      </w:r>
      <w:r w:rsidR="00521086">
        <w:t xml:space="preserve"> by consumers.</w:t>
      </w:r>
    </w:p>
    <w:p w:rsidR="003830E2" w:rsidRDefault="003830E2" w:rsidP="00FF6ADD">
      <w:pPr>
        <w:jc w:val="both"/>
      </w:pPr>
    </w:p>
    <w:p w:rsidR="003830E2" w:rsidRDefault="003830E2" w:rsidP="003830E2">
      <w:pPr>
        <w:jc w:val="both"/>
      </w:pPr>
      <w:r w:rsidRPr="00106FBF">
        <w:t xml:space="preserve">The loss to </w:t>
      </w:r>
      <w:r w:rsidR="00200556" w:rsidRPr="00106FBF">
        <w:t>consumers paying</w:t>
      </w:r>
      <w:r w:rsidRPr="00106FBF">
        <w:t xml:space="preserve"> for higher speeds which they are not receiving is driven by a fundamental information asymmetry that exists between consumers, R</w:t>
      </w:r>
      <w:r w:rsidR="001564CF">
        <w:t>S</w:t>
      </w:r>
      <w:r w:rsidRPr="00106FBF">
        <w:t xml:space="preserve">Ps and </w:t>
      </w:r>
      <w:r w:rsidR="00215FA6">
        <w:t>NBN</w:t>
      </w:r>
      <w:r w:rsidRPr="00106FBF">
        <w:t xml:space="preserve">. </w:t>
      </w:r>
      <w:r>
        <w:t>This information asymmetry is leading to</w:t>
      </w:r>
      <w:r w:rsidR="00F73112">
        <w:t xml:space="preserve"> </w:t>
      </w:r>
      <w:r w:rsidR="00200556">
        <w:t xml:space="preserve">consumer detriment in the short-term as consumers end up paying prices </w:t>
      </w:r>
      <w:r w:rsidR="002361CC">
        <w:t xml:space="preserve">in excess of </w:t>
      </w:r>
      <w:r>
        <w:t>what would be accepted were service quality known.</w:t>
      </w:r>
      <w:r w:rsidR="00CF7DAA">
        <w:t xml:space="preserve"> </w:t>
      </w:r>
    </w:p>
    <w:p w:rsidR="003830E2" w:rsidRDefault="003830E2" w:rsidP="003830E2">
      <w:pPr>
        <w:jc w:val="both"/>
      </w:pPr>
    </w:p>
    <w:p w:rsidR="00EA5493" w:rsidRDefault="00EF05BE" w:rsidP="003830E2">
      <w:pPr>
        <w:jc w:val="both"/>
      </w:pPr>
      <w:r>
        <w:t>I</w:t>
      </w:r>
      <w:r w:rsidR="002361CC">
        <w:t xml:space="preserve">n the short-term the distortions to the market are limited and the losses are materially </w:t>
      </w:r>
      <w:r w:rsidR="00B77902">
        <w:t>borne</w:t>
      </w:r>
      <w:r w:rsidR="002361CC">
        <w:t xml:space="preserve"> by consumers</w:t>
      </w:r>
      <w:r>
        <w:t>. However</w:t>
      </w:r>
      <w:r w:rsidR="002361CC">
        <w:t xml:space="preserve"> in the longer term the distortionary effects of asymmetrical information </w:t>
      </w:r>
      <w:r w:rsidR="003B0A27">
        <w:t xml:space="preserve">lead to losses accruing to both buyers and sellers. </w:t>
      </w:r>
      <w:r w:rsidR="002361CC">
        <w:t xml:space="preserve">As consumers become aware that they are receiving services well below the quality that they were promised under contract their willingness to pay for services of unverifiable quality will decline. </w:t>
      </w:r>
      <w:r w:rsidR="00C43AC1">
        <w:t>At a technical level this has historically led to consumers becoming unwilling to pay more than the average price</w:t>
      </w:r>
      <w:r w:rsidR="003B0A27">
        <w:t xml:space="preserve"> based on an estimate that all services are of average quality</w:t>
      </w:r>
      <w:r>
        <w:t>. This in turn</w:t>
      </w:r>
      <w:r w:rsidR="00C43AC1">
        <w:t xml:space="preserve"> has </w:t>
      </w:r>
      <w:r>
        <w:t>negative</w:t>
      </w:r>
      <w:r w:rsidR="00C43AC1">
        <w:t xml:space="preserve"> effects on the level of cost recovery by </w:t>
      </w:r>
      <w:r w:rsidR="00C43AC1" w:rsidRPr="00866F4F">
        <w:t>high quality service providers, who as a result of their higher cost structure</w:t>
      </w:r>
      <w:r w:rsidR="00866F4F">
        <w:t xml:space="preserve"> will be</w:t>
      </w:r>
      <w:r w:rsidR="00C43AC1" w:rsidRPr="00866F4F">
        <w:t xml:space="preserve"> driven out of the market.</w:t>
      </w:r>
      <w:r w:rsidR="00C43AC1" w:rsidRPr="00866F4F">
        <w:rPr>
          <w:rStyle w:val="FootnoteReference"/>
        </w:rPr>
        <w:footnoteReference w:id="9"/>
      </w:r>
      <w:r w:rsidR="00C43AC1" w:rsidRPr="00866F4F">
        <w:t xml:space="preserve"> </w:t>
      </w:r>
      <w:r w:rsidR="003830E2">
        <w:t xml:space="preserve">The </w:t>
      </w:r>
      <w:r w:rsidR="002361CC">
        <w:t xml:space="preserve">long term </w:t>
      </w:r>
      <w:r w:rsidR="003830E2">
        <w:t xml:space="preserve">losses that accrue </w:t>
      </w:r>
      <w:r w:rsidR="007F03FF">
        <w:t>as a result of</w:t>
      </w:r>
      <w:r w:rsidR="00EA5493">
        <w:t xml:space="preserve"> information asymmetries are well d</w:t>
      </w:r>
      <w:bookmarkStart w:id="1" w:name="_GoBack"/>
      <w:bookmarkEnd w:id="1"/>
      <w:r w:rsidR="00EA5493">
        <w:t>ocumented</w:t>
      </w:r>
      <w:r w:rsidR="00B77902">
        <w:t xml:space="preserve">, </w:t>
      </w:r>
      <w:r w:rsidR="00EA5493" w:rsidRPr="00EA5493">
        <w:rPr>
          <w:rStyle w:val="FootnoteReference"/>
          <w:color w:val="000000" w:themeColor="text1"/>
        </w:rPr>
        <w:t xml:space="preserve"> </w:t>
      </w:r>
      <w:r w:rsidR="00EA5493">
        <w:t xml:space="preserve">and the risks that insufficient </w:t>
      </w:r>
      <w:r w:rsidR="00B77902">
        <w:t>transparency concerning speed outcomes poses</w:t>
      </w:r>
      <w:r w:rsidR="00EA5493">
        <w:t xml:space="preserve"> to the sustainability of the market</w:t>
      </w:r>
      <w:r>
        <w:t>,</w:t>
      </w:r>
      <w:r w:rsidR="00EA5493">
        <w:t xml:space="preserve"> are significant.</w:t>
      </w:r>
    </w:p>
    <w:p w:rsidR="007F03FF" w:rsidRDefault="007F03FF" w:rsidP="00FF6ADD">
      <w:pPr>
        <w:jc w:val="both"/>
      </w:pPr>
    </w:p>
    <w:p w:rsidR="0065700B" w:rsidRPr="00106FBF" w:rsidRDefault="007F03FF" w:rsidP="00FF6ADD">
      <w:pPr>
        <w:jc w:val="both"/>
      </w:pPr>
      <w:r w:rsidRPr="00866F4F">
        <w:t>ACCAN</w:t>
      </w:r>
      <w:r w:rsidR="00EF05BE">
        <w:t xml:space="preserve"> also</w:t>
      </w:r>
      <w:r w:rsidRPr="00866F4F">
        <w:t xml:space="preserve"> considers that these</w:t>
      </w:r>
      <w:r w:rsidR="00200556" w:rsidRPr="00866F4F">
        <w:t xml:space="preserve"> </w:t>
      </w:r>
      <w:r w:rsidRPr="00866F4F">
        <w:t>losses are likely to be significant, and though in the short-term are borne by consumers</w:t>
      </w:r>
      <w:r w:rsidR="00123468" w:rsidRPr="00866F4F">
        <w:t>,</w:t>
      </w:r>
      <w:r w:rsidRPr="00866F4F">
        <w:t xml:space="preserve"> will flow through the system in the absence of effective regulation. </w:t>
      </w:r>
      <w:r w:rsidR="0065700B" w:rsidRPr="00866F4F">
        <w:t>To this end</w:t>
      </w:r>
      <w:r w:rsidR="005F75ED" w:rsidRPr="00866F4F">
        <w:t>,</w:t>
      </w:r>
      <w:r w:rsidR="0065700B" w:rsidRPr="00866F4F">
        <w:t xml:space="preserve"> consumers that would otherwise purchase faster, higher speed services may be holding off on doing so d</w:t>
      </w:r>
      <w:r w:rsidR="001A5E5E" w:rsidRPr="00866F4F">
        <w:t>ue t</w:t>
      </w:r>
      <w:r w:rsidR="0065700B" w:rsidRPr="00866F4F">
        <w:t>o the paucity of reliable information concerning the actual speed of services</w:t>
      </w:r>
      <w:r w:rsidR="001A5E5E" w:rsidRPr="00866F4F">
        <w:t>,</w:t>
      </w:r>
      <w:r w:rsidR="0065700B" w:rsidRPr="00866F4F">
        <w:t xml:space="preserve"> and high levels of public concern about speeds – to the detriment of both consumers and industry.</w:t>
      </w:r>
      <w:r w:rsidR="00EF05BE">
        <w:t xml:space="preserve"> We strongly argue that</w:t>
      </w:r>
      <w:r w:rsidR="0065700B" w:rsidRPr="00866F4F">
        <w:t xml:space="preserve"> </w:t>
      </w:r>
      <w:r w:rsidR="00EF05BE">
        <w:t>b</w:t>
      </w:r>
      <w:r w:rsidRPr="00866F4F">
        <w:t xml:space="preserve">y ensuring that consumers can assess the quality of the services that they are paying for </w:t>
      </w:r>
      <w:r>
        <w:t xml:space="preserve">through </w:t>
      </w:r>
      <w:r w:rsidR="00CF7DAA">
        <w:t>transparent testing as prov</w:t>
      </w:r>
      <w:r w:rsidR="00B454F4">
        <w:t>ided in the D</w:t>
      </w:r>
      <w:r w:rsidR="00F206B4">
        <w:t xml:space="preserve">etermination the current and potential </w:t>
      </w:r>
      <w:r w:rsidR="00200556">
        <w:t xml:space="preserve">economic </w:t>
      </w:r>
      <w:r w:rsidR="00F206B4">
        <w:t>l</w:t>
      </w:r>
      <w:r w:rsidR="0065700B">
        <w:t>osses arising as a result of this</w:t>
      </w:r>
      <w:r w:rsidR="00F206B4">
        <w:t xml:space="preserve"> perpetuation asymmetry can be rectified. </w:t>
      </w:r>
    </w:p>
    <w:p w:rsidR="0088571C" w:rsidRDefault="009F4B9D" w:rsidP="00156370">
      <w:pPr>
        <w:pStyle w:val="Heading1"/>
      </w:pPr>
      <w:bookmarkStart w:id="2" w:name="_Toc343010198"/>
      <w:bookmarkStart w:id="3" w:name="_Toc351382483"/>
      <w:bookmarkStart w:id="4" w:name="_Toc351382625"/>
      <w:bookmarkStart w:id="5" w:name="_Toc513812505"/>
      <w:r w:rsidRPr="003441E5">
        <w:lastRenderedPageBreak/>
        <w:t xml:space="preserve">Responses to </w:t>
      </w:r>
      <w:bookmarkEnd w:id="2"/>
      <w:bookmarkEnd w:id="3"/>
      <w:bookmarkEnd w:id="4"/>
      <w:r w:rsidR="007B2BD7">
        <w:t xml:space="preserve">consultation </w:t>
      </w:r>
      <w:r w:rsidR="00755B6C">
        <w:t>questions</w:t>
      </w:r>
      <w:bookmarkEnd w:id="5"/>
    </w:p>
    <w:p w:rsidR="007B2BD7" w:rsidRPr="007B2BD7" w:rsidRDefault="007B2BD7" w:rsidP="00156370">
      <w:pPr>
        <w:rPr>
          <w:rFonts w:ascii="Calibri" w:hAnsi="Calibri"/>
          <w:sz w:val="32"/>
          <w:szCs w:val="32"/>
          <w:lang w:val="en-AU"/>
        </w:rPr>
      </w:pPr>
      <w:r w:rsidRPr="007B2BD7">
        <w:rPr>
          <w:rFonts w:ascii="Calibri" w:hAnsi="Calibri"/>
          <w:sz w:val="32"/>
          <w:szCs w:val="32"/>
          <w:lang w:val="en-AU"/>
        </w:rPr>
        <w:t xml:space="preserve">2.1 </w:t>
      </w:r>
      <w:r>
        <w:rPr>
          <w:rFonts w:ascii="Calibri" w:hAnsi="Calibri"/>
          <w:sz w:val="32"/>
          <w:szCs w:val="32"/>
          <w:lang w:val="en-AU"/>
        </w:rPr>
        <w:t>Question 6</w:t>
      </w:r>
    </w:p>
    <w:p w:rsidR="00156370" w:rsidRDefault="00156370" w:rsidP="00156370">
      <w:pPr>
        <w:rPr>
          <w:lang w:val="en-AU"/>
        </w:rPr>
      </w:pPr>
    </w:p>
    <w:p w:rsidR="009F4B9D" w:rsidRPr="00755B6C" w:rsidRDefault="0092663F" w:rsidP="007B2BD7">
      <w:pPr>
        <w:jc w:val="both"/>
        <w:rPr>
          <w:b/>
          <w:lang w:val="en-AU"/>
        </w:rPr>
      </w:pPr>
      <w:bookmarkStart w:id="6" w:name="_Toc343010199"/>
      <w:bookmarkStart w:id="7" w:name="_Toc351382484"/>
      <w:bookmarkStart w:id="8" w:name="_Toc351382626"/>
      <w:r w:rsidRPr="007B2BD7">
        <w:rPr>
          <w:b/>
        </w:rPr>
        <w:t>Are there any elements of the draft Line Testing Determination that ca</w:t>
      </w:r>
      <w:bookmarkEnd w:id="6"/>
      <w:bookmarkEnd w:id="7"/>
      <w:bookmarkEnd w:id="8"/>
      <w:r w:rsidRPr="007B2BD7">
        <w:rPr>
          <w:b/>
        </w:rPr>
        <w:t>nnot be implemented or complied with for technical, operational or other reasons?</w:t>
      </w:r>
      <w:r w:rsidR="00D0304F" w:rsidRPr="007B2BD7">
        <w:rPr>
          <w:b/>
        </w:rPr>
        <w:t xml:space="preserve"> For </w:t>
      </w:r>
      <w:r w:rsidR="00432BD3" w:rsidRPr="007B2BD7">
        <w:rPr>
          <w:b/>
        </w:rPr>
        <w:t>example, what are the feasible time frames for the Determination to take effect? Please provide details.</w:t>
      </w:r>
    </w:p>
    <w:p w:rsidR="00755B6C" w:rsidRPr="004A36E1" w:rsidRDefault="00755B6C" w:rsidP="00755B6C">
      <w:pPr>
        <w:rPr>
          <w:color w:val="000000" w:themeColor="text1"/>
          <w:lang w:val="en-AU"/>
        </w:rPr>
      </w:pPr>
    </w:p>
    <w:p w:rsidR="00AC0C07" w:rsidRPr="006B6843" w:rsidRDefault="00072172" w:rsidP="008A58FB">
      <w:pPr>
        <w:jc w:val="both"/>
        <w:rPr>
          <w:color w:val="FF0000"/>
        </w:rPr>
      </w:pPr>
      <w:r w:rsidRPr="004A36E1">
        <w:rPr>
          <w:color w:val="000000" w:themeColor="text1"/>
        </w:rPr>
        <w:t xml:space="preserve">ACCAN has undertaken consultation with technical and industry specialists concerning potential constraints associated </w:t>
      </w:r>
      <w:r w:rsidR="00B454F4">
        <w:rPr>
          <w:color w:val="000000" w:themeColor="text1"/>
        </w:rPr>
        <w:t>with the implementation of the D</w:t>
      </w:r>
      <w:r w:rsidRPr="004A36E1">
        <w:rPr>
          <w:color w:val="000000" w:themeColor="text1"/>
        </w:rPr>
        <w:t xml:space="preserve">etermination. </w:t>
      </w:r>
      <w:r w:rsidR="00521086" w:rsidRPr="004A36E1">
        <w:rPr>
          <w:color w:val="000000" w:themeColor="text1"/>
        </w:rPr>
        <w:t xml:space="preserve"> </w:t>
      </w:r>
      <w:r w:rsidR="00B454F4">
        <w:rPr>
          <w:color w:val="000000" w:themeColor="text1"/>
        </w:rPr>
        <w:t>Although the D</w:t>
      </w:r>
      <w:r w:rsidR="00AC0C07" w:rsidRPr="004A36E1">
        <w:rPr>
          <w:color w:val="000000" w:themeColor="text1"/>
        </w:rPr>
        <w:t>etermination will require industry stake</w:t>
      </w:r>
      <w:r w:rsidR="00CF7EDD">
        <w:rPr>
          <w:color w:val="000000" w:themeColor="text1"/>
        </w:rPr>
        <w:t>holders to engage in collaboration</w:t>
      </w:r>
      <w:r w:rsidR="00AC0C07" w:rsidRPr="004A36E1">
        <w:rPr>
          <w:color w:val="000000" w:themeColor="text1"/>
        </w:rPr>
        <w:t xml:space="preserve"> and co-operate in order to meet </w:t>
      </w:r>
      <w:r w:rsidR="001A5E5E">
        <w:rPr>
          <w:color w:val="000000" w:themeColor="text1"/>
        </w:rPr>
        <w:t>its</w:t>
      </w:r>
      <w:r w:rsidR="00AC0C07" w:rsidRPr="004A36E1">
        <w:rPr>
          <w:color w:val="000000" w:themeColor="text1"/>
        </w:rPr>
        <w:t xml:space="preserve"> objectives</w:t>
      </w:r>
      <w:r w:rsidR="001A5E5E">
        <w:rPr>
          <w:color w:val="000000" w:themeColor="text1"/>
        </w:rPr>
        <w:t>,</w:t>
      </w:r>
      <w:r w:rsidR="00AC0C07" w:rsidRPr="004A36E1">
        <w:rPr>
          <w:color w:val="000000" w:themeColor="text1"/>
        </w:rPr>
        <w:t xml:space="preserve"> </w:t>
      </w:r>
      <w:r w:rsidR="007719FA">
        <w:rPr>
          <w:color w:val="000000" w:themeColor="text1"/>
        </w:rPr>
        <w:t xml:space="preserve">we are not aware </w:t>
      </w:r>
      <w:r w:rsidR="00200556">
        <w:rPr>
          <w:color w:val="000000" w:themeColor="text1"/>
        </w:rPr>
        <w:t xml:space="preserve">of </w:t>
      </w:r>
      <w:r w:rsidR="00200556" w:rsidRPr="004A36E1">
        <w:rPr>
          <w:color w:val="000000" w:themeColor="text1"/>
        </w:rPr>
        <w:t>material</w:t>
      </w:r>
      <w:r w:rsidR="00AC0C07" w:rsidRPr="004A36E1">
        <w:rPr>
          <w:color w:val="000000" w:themeColor="text1"/>
        </w:rPr>
        <w:t xml:space="preserve"> technical or operation</w:t>
      </w:r>
      <w:r w:rsidR="00082342">
        <w:rPr>
          <w:color w:val="000000" w:themeColor="text1"/>
        </w:rPr>
        <w:t>al</w:t>
      </w:r>
      <w:r w:rsidR="00AC0C07" w:rsidRPr="004A36E1">
        <w:rPr>
          <w:color w:val="000000" w:themeColor="text1"/>
        </w:rPr>
        <w:t xml:space="preserve"> constraints that would preclude implementation. </w:t>
      </w:r>
      <w:r w:rsidR="006B6843" w:rsidRPr="00866F4F">
        <w:t xml:space="preserve">Co-operation and co-ordination between service providers, service aggregators and </w:t>
      </w:r>
      <w:r w:rsidR="007719FA">
        <w:t xml:space="preserve">the </w:t>
      </w:r>
      <w:r w:rsidR="006B6843" w:rsidRPr="00866F4F">
        <w:t xml:space="preserve">wholesaler </w:t>
      </w:r>
      <w:r w:rsidR="001A5E5E" w:rsidRPr="00866F4F">
        <w:t xml:space="preserve">will </w:t>
      </w:r>
      <w:r w:rsidR="006B6843" w:rsidRPr="00866F4F">
        <w:t>continue to be essential for the operation of services following the transition.</w:t>
      </w:r>
    </w:p>
    <w:p w:rsidR="00CF7DAA" w:rsidRDefault="00CF7DAA" w:rsidP="008A58FB">
      <w:pPr>
        <w:jc w:val="both"/>
        <w:rPr>
          <w:color w:val="FF0000"/>
        </w:rPr>
      </w:pPr>
    </w:p>
    <w:p w:rsidR="00432BD3" w:rsidRDefault="00B454F4" w:rsidP="00072172">
      <w:pPr>
        <w:jc w:val="both"/>
        <w:rPr>
          <w:color w:val="000000" w:themeColor="text1"/>
        </w:rPr>
      </w:pPr>
      <w:r>
        <w:rPr>
          <w:color w:val="000000" w:themeColor="text1"/>
        </w:rPr>
        <w:t>ACCAN considers the D</w:t>
      </w:r>
      <w:r w:rsidR="00432BD3">
        <w:rPr>
          <w:color w:val="000000" w:themeColor="text1"/>
        </w:rPr>
        <w:t xml:space="preserve">etermination </w:t>
      </w:r>
      <w:r w:rsidR="007719FA">
        <w:rPr>
          <w:color w:val="000000" w:themeColor="text1"/>
        </w:rPr>
        <w:t>should be</w:t>
      </w:r>
      <w:r w:rsidR="00432BD3">
        <w:rPr>
          <w:color w:val="000000" w:themeColor="text1"/>
        </w:rPr>
        <w:t xml:space="preserve"> capable of being implemented within the three month timeframe proposed in the consul</w:t>
      </w:r>
      <w:r>
        <w:rPr>
          <w:color w:val="000000" w:themeColor="text1"/>
        </w:rPr>
        <w:t>tation paper. The line testing D</w:t>
      </w:r>
      <w:r w:rsidR="00432BD3">
        <w:rPr>
          <w:color w:val="000000" w:themeColor="text1"/>
        </w:rPr>
        <w:t>etermination imposes two primary obligations on service providers, the first is to co-ordinate to undertake initial post-activation of lines and the second is to undertake</w:t>
      </w:r>
      <w:r w:rsidR="007719FA">
        <w:rPr>
          <w:color w:val="000000" w:themeColor="text1"/>
        </w:rPr>
        <w:t xml:space="preserve"> speed</w:t>
      </w:r>
      <w:r w:rsidR="00432BD3">
        <w:rPr>
          <w:color w:val="000000" w:themeColor="text1"/>
        </w:rPr>
        <w:t xml:space="preserve"> testing where requested by a consumers. </w:t>
      </w:r>
    </w:p>
    <w:p w:rsidR="00432BD3" w:rsidRDefault="00432BD3" w:rsidP="00072172">
      <w:pPr>
        <w:jc w:val="both"/>
        <w:rPr>
          <w:color w:val="000000" w:themeColor="text1"/>
        </w:rPr>
      </w:pPr>
    </w:p>
    <w:p w:rsidR="00432BD3" w:rsidRDefault="00432BD3" w:rsidP="00072172">
      <w:pPr>
        <w:jc w:val="both"/>
        <w:rPr>
          <w:color w:val="000000" w:themeColor="text1"/>
        </w:rPr>
      </w:pPr>
      <w:r>
        <w:rPr>
          <w:color w:val="000000" w:themeColor="text1"/>
        </w:rPr>
        <w:t xml:space="preserve">The </w:t>
      </w:r>
      <w:r w:rsidR="002361CC">
        <w:rPr>
          <w:color w:val="000000" w:themeColor="text1"/>
        </w:rPr>
        <w:t xml:space="preserve">obligation </w:t>
      </w:r>
      <w:r>
        <w:rPr>
          <w:color w:val="000000" w:themeColor="text1"/>
        </w:rPr>
        <w:t>to undertake post-activ</w:t>
      </w:r>
      <w:r w:rsidR="00BD1FF7">
        <w:rPr>
          <w:color w:val="000000" w:themeColor="text1"/>
        </w:rPr>
        <w:t xml:space="preserve">ation </w:t>
      </w:r>
      <w:r w:rsidR="002D7E61">
        <w:rPr>
          <w:color w:val="000000" w:themeColor="text1"/>
        </w:rPr>
        <w:t xml:space="preserve">service </w:t>
      </w:r>
      <w:r w:rsidR="002361CC">
        <w:rPr>
          <w:color w:val="000000" w:themeColor="text1"/>
        </w:rPr>
        <w:t>testing requires</w:t>
      </w:r>
      <w:r w:rsidR="00BD1FF7">
        <w:rPr>
          <w:color w:val="000000" w:themeColor="text1"/>
        </w:rPr>
        <w:t xml:space="preserve"> future connections to be tested following activation and involves minimal co-ordination between RSPs and NBN Co at the time of connection to ascertain </w:t>
      </w:r>
      <w:r w:rsidR="002361CC">
        <w:rPr>
          <w:color w:val="000000" w:themeColor="text1"/>
        </w:rPr>
        <w:t>service functionality</w:t>
      </w:r>
      <w:r w:rsidR="00BD1FF7">
        <w:rPr>
          <w:color w:val="000000" w:themeColor="text1"/>
        </w:rPr>
        <w:t xml:space="preserve">. </w:t>
      </w:r>
      <w:r w:rsidR="002A5974">
        <w:rPr>
          <w:color w:val="000000" w:themeColor="text1"/>
        </w:rPr>
        <w:t xml:space="preserve">ACCAN’s understanding is that this type of connectivity test is technically straightforward. </w:t>
      </w:r>
      <w:r w:rsidR="00BD1FF7">
        <w:rPr>
          <w:color w:val="000000" w:themeColor="text1"/>
        </w:rPr>
        <w:t>Procedures</w:t>
      </w:r>
      <w:r w:rsidR="00B454F4">
        <w:rPr>
          <w:color w:val="000000" w:themeColor="text1"/>
        </w:rPr>
        <w:t xml:space="preserve"> for the implementation of the D</w:t>
      </w:r>
      <w:r w:rsidR="00BD1FF7">
        <w:rPr>
          <w:color w:val="000000" w:themeColor="text1"/>
        </w:rPr>
        <w:t>etermination can be</w:t>
      </w:r>
      <w:r w:rsidR="00CD3791">
        <w:rPr>
          <w:color w:val="000000" w:themeColor="text1"/>
        </w:rPr>
        <w:t xml:space="preserve"> established within the nominated period on an ad-hoc basis if necessary, followed by more formalized arrangements over the coming months.</w:t>
      </w:r>
    </w:p>
    <w:p w:rsidR="00432BD3" w:rsidRDefault="00432BD3" w:rsidP="00072172">
      <w:pPr>
        <w:jc w:val="both"/>
        <w:rPr>
          <w:color w:val="000000" w:themeColor="text1"/>
        </w:rPr>
      </w:pPr>
      <w:r>
        <w:rPr>
          <w:color w:val="000000" w:themeColor="text1"/>
        </w:rPr>
        <w:br/>
        <w:t xml:space="preserve">ACCAN considers that although </w:t>
      </w:r>
      <w:r w:rsidR="00CD3791">
        <w:rPr>
          <w:color w:val="000000" w:themeColor="text1"/>
        </w:rPr>
        <w:t>testing</w:t>
      </w:r>
      <w:r>
        <w:rPr>
          <w:color w:val="000000" w:themeColor="text1"/>
        </w:rPr>
        <w:t xml:space="preserve"> connected lines for speed may involve more administrative complexities than those associated with post-activation line testing, that the administrative burden will be low as testing will only be </w:t>
      </w:r>
      <w:r w:rsidR="00CD3791">
        <w:rPr>
          <w:color w:val="000000" w:themeColor="text1"/>
        </w:rPr>
        <w:t>triggered occasionally</w:t>
      </w:r>
      <w:r>
        <w:rPr>
          <w:color w:val="000000" w:themeColor="text1"/>
        </w:rPr>
        <w:t>. Accordingly only consumers facing</w:t>
      </w:r>
      <w:r w:rsidR="00CD3791">
        <w:rPr>
          <w:color w:val="000000" w:themeColor="text1"/>
        </w:rPr>
        <w:t xml:space="preserve"> speeds that are greatly disproportionate than those expected or contract</w:t>
      </w:r>
      <w:r w:rsidR="00EF05BE">
        <w:rPr>
          <w:color w:val="000000" w:themeColor="text1"/>
        </w:rPr>
        <w:t>ed</w:t>
      </w:r>
      <w:r w:rsidR="00CD3791">
        <w:rPr>
          <w:color w:val="000000" w:themeColor="text1"/>
        </w:rPr>
        <w:t xml:space="preserve"> for will trigger testing, limiting the applic</w:t>
      </w:r>
      <w:r w:rsidR="00B454F4">
        <w:rPr>
          <w:color w:val="000000" w:themeColor="text1"/>
        </w:rPr>
        <w:t>ability of this element of the D</w:t>
      </w:r>
      <w:r w:rsidR="00CD3791">
        <w:rPr>
          <w:color w:val="000000" w:themeColor="text1"/>
        </w:rPr>
        <w:t>etermination and consequently lowering the costs of compliance.</w:t>
      </w:r>
      <w:r>
        <w:rPr>
          <w:color w:val="000000" w:themeColor="text1"/>
        </w:rPr>
        <w:t xml:space="preserve">  </w:t>
      </w:r>
    </w:p>
    <w:p w:rsidR="00432BD3" w:rsidRDefault="00432BD3" w:rsidP="00072172">
      <w:pPr>
        <w:jc w:val="both"/>
        <w:rPr>
          <w:color w:val="000000" w:themeColor="text1"/>
        </w:rPr>
      </w:pPr>
    </w:p>
    <w:p w:rsidR="000A277B" w:rsidRDefault="00AC0C07" w:rsidP="00072172">
      <w:pPr>
        <w:jc w:val="both"/>
        <w:rPr>
          <w:color w:val="000000" w:themeColor="text1"/>
        </w:rPr>
      </w:pPr>
      <w:r w:rsidRPr="004A36E1">
        <w:rPr>
          <w:color w:val="000000" w:themeColor="text1"/>
        </w:rPr>
        <w:t>ACCAN considers th</w:t>
      </w:r>
      <w:r w:rsidR="00B454F4">
        <w:rPr>
          <w:color w:val="000000" w:themeColor="text1"/>
        </w:rPr>
        <w:t>e cost impacts of the D</w:t>
      </w:r>
      <w:r w:rsidRPr="004A36E1">
        <w:rPr>
          <w:color w:val="000000" w:themeColor="text1"/>
        </w:rPr>
        <w:t xml:space="preserve">etermination will </w:t>
      </w:r>
      <w:r w:rsidR="00EB4B43">
        <w:rPr>
          <w:color w:val="000000" w:themeColor="text1"/>
        </w:rPr>
        <w:t xml:space="preserve">be </w:t>
      </w:r>
      <w:r w:rsidR="000A277B">
        <w:rPr>
          <w:color w:val="000000" w:themeColor="text1"/>
        </w:rPr>
        <w:t>less than the benefits that accrue</w:t>
      </w:r>
      <w:r w:rsidR="00CD3791">
        <w:rPr>
          <w:color w:val="000000" w:themeColor="text1"/>
        </w:rPr>
        <w:t>.</w:t>
      </w:r>
      <w:r w:rsidR="00EB4B43">
        <w:rPr>
          <w:color w:val="000000" w:themeColor="text1"/>
        </w:rPr>
        <w:t xml:space="preserve"> </w:t>
      </w:r>
      <w:r w:rsidR="00CD3791">
        <w:rPr>
          <w:color w:val="000000" w:themeColor="text1"/>
        </w:rPr>
        <w:t>W</w:t>
      </w:r>
      <w:r w:rsidR="00EB4B43">
        <w:rPr>
          <w:color w:val="000000" w:themeColor="text1"/>
        </w:rPr>
        <w:t xml:space="preserve">here administrative costs arise </w:t>
      </w:r>
      <w:r w:rsidR="001A5E5E">
        <w:rPr>
          <w:color w:val="000000" w:themeColor="text1"/>
        </w:rPr>
        <w:t>they will</w:t>
      </w:r>
      <w:r w:rsidR="00DE1770">
        <w:rPr>
          <w:color w:val="000000" w:themeColor="text1"/>
        </w:rPr>
        <w:t xml:space="preserve"> form part of the cost structure</w:t>
      </w:r>
      <w:r w:rsidR="00EB4B43">
        <w:rPr>
          <w:color w:val="000000" w:themeColor="text1"/>
        </w:rPr>
        <w:t xml:space="preserve"> inherently required to ensure that services are provided in accordance with service providers</w:t>
      </w:r>
      <w:r w:rsidR="001A5E5E">
        <w:rPr>
          <w:color w:val="000000" w:themeColor="text1"/>
        </w:rPr>
        <w:t>’</w:t>
      </w:r>
      <w:r w:rsidR="00EB4B43">
        <w:rPr>
          <w:color w:val="000000" w:themeColor="text1"/>
        </w:rPr>
        <w:t xml:space="preserve"> contractual and statutory obligations.</w:t>
      </w:r>
      <w:r w:rsidRPr="004A36E1">
        <w:rPr>
          <w:color w:val="000000" w:themeColor="text1"/>
        </w:rPr>
        <w:t xml:space="preserve"> </w:t>
      </w:r>
    </w:p>
    <w:p w:rsidR="00EF05BE" w:rsidRDefault="00EF05BE" w:rsidP="00072172">
      <w:pPr>
        <w:jc w:val="both"/>
        <w:rPr>
          <w:color w:val="000000" w:themeColor="text1"/>
        </w:rPr>
      </w:pPr>
    </w:p>
    <w:p w:rsidR="00EF05BE" w:rsidRDefault="00EF05BE" w:rsidP="00072172">
      <w:pPr>
        <w:jc w:val="both"/>
        <w:rPr>
          <w:color w:val="000000" w:themeColor="text1"/>
        </w:rPr>
      </w:pPr>
    </w:p>
    <w:p w:rsidR="007B2BD7" w:rsidRDefault="007B2BD7" w:rsidP="00CD3791">
      <w:pPr>
        <w:rPr>
          <w:rFonts w:ascii="Calibri" w:hAnsi="Calibri"/>
          <w:sz w:val="32"/>
          <w:szCs w:val="32"/>
          <w:lang w:val="en-AU"/>
        </w:rPr>
      </w:pPr>
    </w:p>
    <w:p w:rsidR="007B2BD7" w:rsidRPr="007B2BD7" w:rsidRDefault="007B2BD7" w:rsidP="007B2BD7">
      <w:pPr>
        <w:rPr>
          <w:rFonts w:ascii="Calibri" w:hAnsi="Calibri"/>
          <w:sz w:val="32"/>
          <w:szCs w:val="32"/>
          <w:lang w:val="en-AU"/>
        </w:rPr>
      </w:pPr>
      <w:r>
        <w:rPr>
          <w:rFonts w:ascii="Calibri" w:hAnsi="Calibri"/>
          <w:sz w:val="32"/>
          <w:szCs w:val="32"/>
          <w:lang w:val="en-AU"/>
        </w:rPr>
        <w:lastRenderedPageBreak/>
        <w:t>2.2</w:t>
      </w:r>
      <w:r w:rsidRPr="007B2BD7">
        <w:rPr>
          <w:rFonts w:ascii="Calibri" w:hAnsi="Calibri"/>
          <w:sz w:val="32"/>
          <w:szCs w:val="32"/>
          <w:lang w:val="en-AU"/>
        </w:rPr>
        <w:t xml:space="preserve"> </w:t>
      </w:r>
      <w:r>
        <w:rPr>
          <w:rFonts w:ascii="Calibri" w:hAnsi="Calibri"/>
          <w:sz w:val="32"/>
          <w:szCs w:val="32"/>
          <w:lang w:val="en-AU"/>
        </w:rPr>
        <w:t>Question 7</w:t>
      </w:r>
    </w:p>
    <w:p w:rsidR="00755B6C" w:rsidRPr="00755B6C" w:rsidRDefault="00755B6C" w:rsidP="00755B6C">
      <w:pPr>
        <w:pStyle w:val="Heading2"/>
        <w:numPr>
          <w:ilvl w:val="0"/>
          <w:numId w:val="0"/>
        </w:numPr>
        <w:rPr>
          <w:i/>
          <w:sz w:val="24"/>
        </w:rPr>
      </w:pPr>
      <w:bookmarkStart w:id="9" w:name="_Toc513812506"/>
      <w:r w:rsidRPr="007B2BD7">
        <w:rPr>
          <w:b/>
          <w:sz w:val="24"/>
        </w:rPr>
        <w:t>Are the number of tests required under Part 3 of the Determination appropriate for determining the speed of a consumer’s service?</w:t>
      </w:r>
      <w:bookmarkEnd w:id="9"/>
    </w:p>
    <w:p w:rsidR="00755B6C" w:rsidRDefault="00755B6C" w:rsidP="004A36E1">
      <w:pPr>
        <w:jc w:val="both"/>
        <w:rPr>
          <w:color w:val="000000" w:themeColor="text1"/>
        </w:rPr>
      </w:pPr>
      <w:r w:rsidRPr="004A36E1">
        <w:rPr>
          <w:color w:val="000000" w:themeColor="text1"/>
        </w:rPr>
        <w:t xml:space="preserve">ACCAN considers the number of tests required under Part 3 of the </w:t>
      </w:r>
      <w:r w:rsidR="00B454F4">
        <w:rPr>
          <w:color w:val="000000" w:themeColor="text1"/>
        </w:rPr>
        <w:t>D</w:t>
      </w:r>
      <w:r w:rsidRPr="004A36E1">
        <w:rPr>
          <w:color w:val="000000" w:themeColor="text1"/>
        </w:rPr>
        <w:t xml:space="preserve">etermination </w:t>
      </w:r>
      <w:r w:rsidR="001A5E5E">
        <w:rPr>
          <w:color w:val="000000" w:themeColor="text1"/>
        </w:rPr>
        <w:t>is</w:t>
      </w:r>
      <w:r w:rsidRPr="004A36E1">
        <w:rPr>
          <w:color w:val="000000" w:themeColor="text1"/>
        </w:rPr>
        <w:t xml:space="preserve"> </w:t>
      </w:r>
      <w:r w:rsidR="004A36E1" w:rsidRPr="004A36E1">
        <w:rPr>
          <w:color w:val="000000" w:themeColor="text1"/>
        </w:rPr>
        <w:t xml:space="preserve">adequate for </w:t>
      </w:r>
      <w:r w:rsidR="001A5E5E">
        <w:rPr>
          <w:color w:val="000000" w:themeColor="text1"/>
        </w:rPr>
        <w:t xml:space="preserve">assessing </w:t>
      </w:r>
      <w:r w:rsidR="004A36E1" w:rsidRPr="004A36E1">
        <w:rPr>
          <w:color w:val="000000" w:themeColor="text1"/>
        </w:rPr>
        <w:t xml:space="preserve">the speed of a consumer’s service. </w:t>
      </w:r>
      <w:r w:rsidR="00866F4F">
        <w:rPr>
          <w:color w:val="000000" w:themeColor="text1"/>
        </w:rPr>
        <w:t>T</w:t>
      </w:r>
      <w:r w:rsidR="00B454F4">
        <w:rPr>
          <w:color w:val="000000" w:themeColor="text1"/>
        </w:rPr>
        <w:t>he D</w:t>
      </w:r>
      <w:r w:rsidR="004A36E1">
        <w:rPr>
          <w:color w:val="000000" w:themeColor="text1"/>
        </w:rPr>
        <w:t>etermination envisions that in some instances further testing may be appropriate where significant variance in speeds i</w:t>
      </w:r>
      <w:r w:rsidR="006D5FD9">
        <w:rPr>
          <w:color w:val="000000" w:themeColor="text1"/>
        </w:rPr>
        <w:t xml:space="preserve">s observed and there is continued consumer loss due to unreliable performance. </w:t>
      </w:r>
    </w:p>
    <w:p w:rsidR="006D5FD9" w:rsidRDefault="006D5FD9" w:rsidP="004A36E1">
      <w:pPr>
        <w:jc w:val="both"/>
        <w:rPr>
          <w:color w:val="000000" w:themeColor="text1"/>
        </w:rPr>
      </w:pPr>
    </w:p>
    <w:p w:rsidR="0076369E" w:rsidRPr="004044B9" w:rsidRDefault="006D5FD9" w:rsidP="004044B9">
      <w:pPr>
        <w:jc w:val="both"/>
        <w:rPr>
          <w:color w:val="000000" w:themeColor="text1"/>
        </w:rPr>
      </w:pPr>
      <w:r>
        <w:rPr>
          <w:color w:val="000000" w:themeColor="text1"/>
        </w:rPr>
        <w:t xml:space="preserve">The current drafting of Part 3 is in keeping with sound regulatory </w:t>
      </w:r>
      <w:r w:rsidR="005613D8">
        <w:rPr>
          <w:color w:val="000000" w:themeColor="text1"/>
        </w:rPr>
        <w:t>practice</w:t>
      </w:r>
      <w:r>
        <w:rPr>
          <w:color w:val="000000" w:themeColor="text1"/>
        </w:rPr>
        <w:t xml:space="preserve"> and provides a proportionate and balanced approach to addressing the problem of insufficient speeds.</w:t>
      </w:r>
      <w:r w:rsidR="005613D8">
        <w:rPr>
          <w:rStyle w:val="FootnoteReference"/>
          <w:color w:val="000000" w:themeColor="text1"/>
        </w:rPr>
        <w:footnoteReference w:id="10"/>
      </w:r>
      <w:r>
        <w:rPr>
          <w:color w:val="000000" w:themeColor="text1"/>
        </w:rPr>
        <w:t xml:space="preserve"> ACCAN considers the current drafting to provide sufficient protections, whilst avoiding unnecessarily onerous regulatory costs.</w:t>
      </w:r>
    </w:p>
    <w:p w:rsidR="000A277B" w:rsidRDefault="000A277B" w:rsidP="0092663F"/>
    <w:p w:rsidR="007B2BD7" w:rsidRPr="007B2BD7" w:rsidRDefault="007B2BD7" w:rsidP="007B2BD7">
      <w:pPr>
        <w:rPr>
          <w:rFonts w:ascii="Calibri" w:hAnsi="Calibri"/>
          <w:sz w:val="32"/>
          <w:szCs w:val="32"/>
          <w:lang w:val="en-AU"/>
        </w:rPr>
      </w:pPr>
      <w:r>
        <w:rPr>
          <w:rFonts w:ascii="Calibri" w:hAnsi="Calibri"/>
          <w:sz w:val="32"/>
          <w:szCs w:val="32"/>
          <w:lang w:val="en-AU"/>
        </w:rPr>
        <w:t>2.3</w:t>
      </w:r>
      <w:r w:rsidRPr="007B2BD7">
        <w:rPr>
          <w:rFonts w:ascii="Calibri" w:hAnsi="Calibri"/>
          <w:sz w:val="32"/>
          <w:szCs w:val="32"/>
          <w:lang w:val="en-AU"/>
        </w:rPr>
        <w:t xml:space="preserve"> </w:t>
      </w:r>
      <w:r>
        <w:rPr>
          <w:rFonts w:ascii="Calibri" w:hAnsi="Calibri"/>
          <w:sz w:val="32"/>
          <w:szCs w:val="32"/>
          <w:lang w:val="en-AU"/>
        </w:rPr>
        <w:t>Question 8</w:t>
      </w:r>
    </w:p>
    <w:p w:rsidR="007B2BD7" w:rsidRDefault="007B2BD7" w:rsidP="0092663F"/>
    <w:p w:rsidR="006D5FD9" w:rsidRPr="007B2BD7" w:rsidRDefault="00755B6C" w:rsidP="007B2BD7">
      <w:pPr>
        <w:jc w:val="both"/>
        <w:rPr>
          <w:b/>
        </w:rPr>
      </w:pPr>
      <w:r w:rsidRPr="007B2BD7">
        <w:rPr>
          <w:b/>
        </w:rPr>
        <w:t>Are there any additional measures that you would recommend including in the Determination? If so, what are those measures and why do you think they should</w:t>
      </w:r>
      <w:r w:rsidR="00473D10" w:rsidRPr="007B2BD7">
        <w:rPr>
          <w:b/>
        </w:rPr>
        <w:t xml:space="preserve"> be</w:t>
      </w:r>
      <w:r w:rsidRPr="007B2BD7">
        <w:rPr>
          <w:b/>
        </w:rPr>
        <w:t xml:space="preserve"> included?</w:t>
      </w:r>
    </w:p>
    <w:p w:rsidR="006D5FD9" w:rsidRDefault="006D5FD9" w:rsidP="0092663F">
      <w:pPr>
        <w:rPr>
          <w:color w:val="FF0000"/>
        </w:rPr>
      </w:pPr>
    </w:p>
    <w:p w:rsidR="00123468" w:rsidRDefault="004044B9" w:rsidP="007D58A1">
      <w:pPr>
        <w:jc w:val="both"/>
        <w:rPr>
          <w:color w:val="000000" w:themeColor="text1"/>
        </w:rPr>
      </w:pPr>
      <w:r w:rsidRPr="004044B9">
        <w:rPr>
          <w:color w:val="000000" w:themeColor="text1"/>
        </w:rPr>
        <w:t>ACCAN conside</w:t>
      </w:r>
      <w:r w:rsidR="00B454F4">
        <w:rPr>
          <w:color w:val="000000" w:themeColor="text1"/>
        </w:rPr>
        <w:t>rs the current drafting of the D</w:t>
      </w:r>
      <w:r w:rsidRPr="004044B9">
        <w:rPr>
          <w:color w:val="000000" w:themeColor="text1"/>
        </w:rPr>
        <w:t>etermination to be adequate to achieve the stated objectives. However ACCAN suppor</w:t>
      </w:r>
      <w:r w:rsidR="00B454F4">
        <w:rPr>
          <w:color w:val="000000" w:themeColor="text1"/>
        </w:rPr>
        <w:t>ts broadening the scope of the D</w:t>
      </w:r>
      <w:r w:rsidRPr="004044B9">
        <w:rPr>
          <w:color w:val="000000" w:themeColor="text1"/>
        </w:rPr>
        <w:t xml:space="preserve">etermination to encapsulate all broadband service providers including non-NBN providers. </w:t>
      </w:r>
    </w:p>
    <w:p w:rsidR="007D58A1" w:rsidRDefault="007D58A1" w:rsidP="007D58A1">
      <w:pPr>
        <w:jc w:val="both"/>
        <w:rPr>
          <w:color w:val="000000" w:themeColor="text1"/>
        </w:rPr>
      </w:pPr>
    </w:p>
    <w:p w:rsidR="00C47A61" w:rsidRDefault="007D58A1" w:rsidP="007D58A1">
      <w:pPr>
        <w:jc w:val="both"/>
        <w:rPr>
          <w:color w:val="000000" w:themeColor="text1"/>
        </w:rPr>
      </w:pPr>
      <w:r>
        <w:rPr>
          <w:color w:val="000000" w:themeColor="text1"/>
        </w:rPr>
        <w:t xml:space="preserve">The inclusion of non-NBN broadband providers is essential in order to ensure that all consumers are provided protection and do not face the problems experienced in switching to the NBN. </w:t>
      </w:r>
      <w:r w:rsidR="00870240">
        <w:rPr>
          <w:color w:val="000000" w:themeColor="text1"/>
        </w:rPr>
        <w:t>The problems associated with the NBN rollout merely highlight an underlying problem concerning information asymmetries between consumers, RSPs and wholesale network providers which is not unique to the NBN.</w:t>
      </w:r>
      <w:r w:rsidR="00C47A61">
        <w:rPr>
          <w:color w:val="000000" w:themeColor="text1"/>
        </w:rPr>
        <w:t xml:space="preserve"> </w:t>
      </w:r>
      <w:r w:rsidR="00870240">
        <w:rPr>
          <w:color w:val="000000" w:themeColor="text1"/>
        </w:rPr>
        <w:t>ACCAN considers that includ</w:t>
      </w:r>
      <w:r w:rsidR="00473D10">
        <w:rPr>
          <w:color w:val="000000" w:themeColor="text1"/>
        </w:rPr>
        <w:t>ing</w:t>
      </w:r>
      <w:r w:rsidR="00870240">
        <w:rPr>
          <w:color w:val="000000" w:themeColor="text1"/>
        </w:rPr>
        <w:t xml:space="preserve"> non-NBN providers will </w:t>
      </w:r>
      <w:r w:rsidR="00473D10">
        <w:rPr>
          <w:color w:val="000000" w:themeColor="text1"/>
        </w:rPr>
        <w:t>mean that</w:t>
      </w:r>
      <w:r w:rsidR="00870240">
        <w:rPr>
          <w:color w:val="000000" w:themeColor="text1"/>
        </w:rPr>
        <w:t xml:space="preserve"> consumers suffer</w:t>
      </w:r>
      <w:r w:rsidR="00473D10">
        <w:rPr>
          <w:color w:val="000000" w:themeColor="text1"/>
        </w:rPr>
        <w:t xml:space="preserve"> less</w:t>
      </w:r>
      <w:r w:rsidR="00870240">
        <w:rPr>
          <w:color w:val="000000" w:themeColor="text1"/>
        </w:rPr>
        <w:t xml:space="preserve"> detriment as a result of insufficient monitoring of connection speeds. </w:t>
      </w:r>
    </w:p>
    <w:p w:rsidR="00C47A61" w:rsidRDefault="00C47A61" w:rsidP="007D58A1">
      <w:pPr>
        <w:jc w:val="both"/>
        <w:rPr>
          <w:color w:val="000000" w:themeColor="text1"/>
        </w:rPr>
      </w:pPr>
    </w:p>
    <w:p w:rsidR="003B0A27" w:rsidRDefault="00870240" w:rsidP="007D58A1">
      <w:pPr>
        <w:jc w:val="both"/>
      </w:pPr>
      <w:r>
        <w:rPr>
          <w:color w:val="000000" w:themeColor="text1"/>
        </w:rPr>
        <w:t>The</w:t>
      </w:r>
      <w:r w:rsidR="00B454F4">
        <w:rPr>
          <w:color w:val="000000" w:themeColor="text1"/>
        </w:rPr>
        <w:t xml:space="preserve"> extension of the scope of the D</w:t>
      </w:r>
      <w:r>
        <w:rPr>
          <w:color w:val="000000" w:themeColor="text1"/>
        </w:rPr>
        <w:t xml:space="preserve">etermination requirements to non-NBN </w:t>
      </w:r>
      <w:r w:rsidR="00C47A61">
        <w:rPr>
          <w:color w:val="000000" w:themeColor="text1"/>
        </w:rPr>
        <w:t xml:space="preserve">broadband </w:t>
      </w:r>
      <w:r w:rsidR="00C47A61" w:rsidRPr="00866F4F">
        <w:t>providers</w:t>
      </w:r>
      <w:r w:rsidRPr="00866F4F">
        <w:t xml:space="preserve"> is also in keeping with sound regulatory principles concerning the neutral treatment of competitors in markets. </w:t>
      </w:r>
      <w:r w:rsidR="00C47A61" w:rsidRPr="00866F4F">
        <w:t xml:space="preserve">In particular there is a need to preclude </w:t>
      </w:r>
      <w:r w:rsidR="003B0A27">
        <w:t>regulatory treatment that distorts the market place by favoring any particular participant or technology.</w:t>
      </w:r>
    </w:p>
    <w:p w:rsidR="008E1CC4" w:rsidRDefault="009F4B9D" w:rsidP="003E76C5">
      <w:pPr>
        <w:pStyle w:val="Heading1"/>
      </w:pPr>
      <w:bookmarkStart w:id="10" w:name="_Toc343010203"/>
      <w:bookmarkStart w:id="11" w:name="_Toc351382488"/>
      <w:bookmarkStart w:id="12" w:name="_Toc351382630"/>
      <w:bookmarkStart w:id="13" w:name="_Toc513812507"/>
      <w:r w:rsidRPr="003441E5">
        <w:lastRenderedPageBreak/>
        <w:t>Conclusion</w:t>
      </w:r>
      <w:bookmarkEnd w:id="10"/>
      <w:bookmarkEnd w:id="11"/>
      <w:bookmarkEnd w:id="12"/>
      <w:bookmarkEnd w:id="13"/>
    </w:p>
    <w:p w:rsidR="0070390E" w:rsidRPr="0070390E" w:rsidRDefault="0070390E" w:rsidP="0070390E">
      <w:pPr>
        <w:jc w:val="both"/>
        <w:rPr>
          <w:color w:val="000000" w:themeColor="text1"/>
          <w:lang w:val="en-AU"/>
        </w:rPr>
      </w:pPr>
      <w:r w:rsidRPr="00EB4B43">
        <w:rPr>
          <w:color w:val="000000" w:themeColor="text1"/>
        </w:rPr>
        <w:t>ACCAN supp</w:t>
      </w:r>
      <w:r w:rsidR="00B454F4">
        <w:rPr>
          <w:color w:val="000000" w:themeColor="text1"/>
        </w:rPr>
        <w:t>orts the provisions within the D</w:t>
      </w:r>
      <w:r w:rsidRPr="00EB4B43">
        <w:rPr>
          <w:color w:val="000000" w:themeColor="text1"/>
        </w:rPr>
        <w:t>etermination as currently drafted and consider</w:t>
      </w:r>
      <w:r w:rsidR="00354F39">
        <w:rPr>
          <w:color w:val="000000" w:themeColor="text1"/>
        </w:rPr>
        <w:t>s</w:t>
      </w:r>
      <w:r w:rsidRPr="00EB4B43">
        <w:rPr>
          <w:color w:val="000000" w:themeColor="text1"/>
        </w:rPr>
        <w:t xml:space="preserve"> that these requirements are essential to addressing the high rates of failure reported by consumers in switching to the NBN.</w:t>
      </w:r>
      <w:r>
        <w:rPr>
          <w:color w:val="000000" w:themeColor="text1"/>
        </w:rPr>
        <w:t xml:space="preserve"> </w:t>
      </w:r>
      <w:r w:rsidR="00B454F4">
        <w:rPr>
          <w:color w:val="000000" w:themeColor="text1"/>
          <w:lang w:val="en-AU"/>
        </w:rPr>
        <w:t>The draft line testing D</w:t>
      </w:r>
      <w:r w:rsidRPr="0065700B">
        <w:rPr>
          <w:color w:val="000000" w:themeColor="text1"/>
          <w:lang w:val="en-AU"/>
        </w:rPr>
        <w:t>etermination provides a strong framework for ensuring the provision of valuable services to consumers in alignment with R</w:t>
      </w:r>
      <w:r w:rsidR="00354F39">
        <w:rPr>
          <w:color w:val="000000" w:themeColor="text1"/>
          <w:lang w:val="en-AU"/>
        </w:rPr>
        <w:t>S</w:t>
      </w:r>
      <w:r w:rsidRPr="0065700B">
        <w:rPr>
          <w:color w:val="000000" w:themeColor="text1"/>
          <w:lang w:val="en-AU"/>
        </w:rPr>
        <w:t>Ps contractual obligations and represents a prudent and proportionate regulatory response in align</w:t>
      </w:r>
      <w:r w:rsidR="00354F39">
        <w:rPr>
          <w:color w:val="000000" w:themeColor="text1"/>
          <w:lang w:val="en-AU"/>
        </w:rPr>
        <w:t>ment</w:t>
      </w:r>
      <w:r w:rsidRPr="0065700B">
        <w:rPr>
          <w:color w:val="000000" w:themeColor="text1"/>
          <w:lang w:val="en-AU"/>
        </w:rPr>
        <w:t xml:space="preserve"> with best practice principles.</w:t>
      </w:r>
      <w:r w:rsidRPr="0065700B">
        <w:rPr>
          <w:rStyle w:val="FootnoteReference"/>
          <w:color w:val="000000" w:themeColor="text1"/>
        </w:rPr>
        <w:footnoteReference w:id="11"/>
      </w:r>
    </w:p>
    <w:p w:rsidR="0070390E" w:rsidRDefault="0070390E" w:rsidP="0065700B">
      <w:pPr>
        <w:jc w:val="both"/>
        <w:rPr>
          <w:color w:val="000000" w:themeColor="text1"/>
          <w:lang w:val="en-AU"/>
        </w:rPr>
      </w:pPr>
    </w:p>
    <w:p w:rsidR="00DE1770" w:rsidRDefault="0065700B" w:rsidP="0065700B">
      <w:pPr>
        <w:jc w:val="both"/>
        <w:rPr>
          <w:color w:val="000000" w:themeColor="text1"/>
        </w:rPr>
      </w:pPr>
      <w:r w:rsidRPr="00EB4B43">
        <w:rPr>
          <w:color w:val="000000" w:themeColor="text1"/>
          <w:lang w:val="en-AU"/>
        </w:rPr>
        <w:t xml:space="preserve">In the light of high rates of fault experienced by consumers when initially switching to the </w:t>
      </w:r>
      <w:r w:rsidR="0070390E" w:rsidRPr="00EB4B43">
        <w:rPr>
          <w:color w:val="000000" w:themeColor="text1"/>
        </w:rPr>
        <w:t xml:space="preserve">NBN </w:t>
      </w:r>
      <w:r w:rsidR="0070390E">
        <w:rPr>
          <w:color w:val="000000" w:themeColor="text1"/>
        </w:rPr>
        <w:t>the</w:t>
      </w:r>
      <w:r w:rsidR="00DE1770">
        <w:rPr>
          <w:color w:val="000000" w:themeColor="text1"/>
        </w:rPr>
        <w:t xml:space="preserve"> requirement</w:t>
      </w:r>
      <w:r w:rsidRPr="00EB4B43">
        <w:rPr>
          <w:color w:val="000000" w:themeColor="text1"/>
        </w:rPr>
        <w:t xml:space="preserve"> to undertake post-activation line testing is fundamental to addressing the loss in consumer that occurs as a result of disconnection and slow service.</w:t>
      </w:r>
      <w:r w:rsidR="00DE1770">
        <w:rPr>
          <w:color w:val="000000" w:themeColor="text1"/>
        </w:rPr>
        <w:t xml:space="preserve"> The adoption of post-activation testing represents the least cost solution to the ongoing problems experienced by consumers by fixing them in the first instance.</w:t>
      </w:r>
    </w:p>
    <w:p w:rsidR="00C43AC1" w:rsidRPr="0070390E" w:rsidRDefault="00C43AC1" w:rsidP="0070390E">
      <w:pPr>
        <w:jc w:val="both"/>
        <w:rPr>
          <w:color w:val="000000" w:themeColor="text1"/>
        </w:rPr>
      </w:pPr>
    </w:p>
    <w:p w:rsidR="0065700B" w:rsidRPr="0070390E" w:rsidRDefault="00DE1770" w:rsidP="0070390E">
      <w:pPr>
        <w:jc w:val="both"/>
        <w:rPr>
          <w:color w:val="000000" w:themeColor="text1"/>
        </w:rPr>
      </w:pPr>
      <w:r w:rsidRPr="0070390E">
        <w:rPr>
          <w:color w:val="000000" w:themeColor="text1"/>
        </w:rPr>
        <w:t xml:space="preserve">The framework </w:t>
      </w:r>
      <w:r w:rsidR="0065700B" w:rsidRPr="0070390E">
        <w:rPr>
          <w:color w:val="000000" w:themeColor="text1"/>
        </w:rPr>
        <w:t xml:space="preserve">of </w:t>
      </w:r>
      <w:r w:rsidR="000A277B" w:rsidRPr="0070390E">
        <w:rPr>
          <w:color w:val="000000" w:themeColor="text1"/>
        </w:rPr>
        <w:t>customer-initiated</w:t>
      </w:r>
      <w:r w:rsidR="0065700B" w:rsidRPr="0070390E">
        <w:rPr>
          <w:color w:val="000000" w:themeColor="text1"/>
        </w:rPr>
        <w:t xml:space="preserve"> l</w:t>
      </w:r>
      <w:r w:rsidR="00EB4B43" w:rsidRPr="0070390E">
        <w:rPr>
          <w:color w:val="000000" w:themeColor="text1"/>
        </w:rPr>
        <w:t>ine testing provides an ongoing mechanism</w:t>
      </w:r>
      <w:r w:rsidR="0065700B" w:rsidRPr="0070390E">
        <w:rPr>
          <w:color w:val="000000" w:themeColor="text1"/>
        </w:rPr>
        <w:t xml:space="preserve"> to ensure the accountability of service providers to consumer</w:t>
      </w:r>
      <w:r w:rsidR="000A277B" w:rsidRPr="0070390E">
        <w:rPr>
          <w:color w:val="000000" w:themeColor="text1"/>
        </w:rPr>
        <w:t xml:space="preserve"> for the services they have promised to provide.</w:t>
      </w:r>
      <w:r w:rsidR="00215FA6">
        <w:rPr>
          <w:color w:val="000000" w:themeColor="text1"/>
        </w:rPr>
        <w:t xml:space="preserve"> </w:t>
      </w:r>
      <w:r w:rsidR="0070390E" w:rsidRPr="0070390E">
        <w:rPr>
          <w:color w:val="000000" w:themeColor="text1"/>
        </w:rPr>
        <w:t>This requirement is essential for both the protection of consumers but is also important to ensure the long-term health of the market for NBN services and</w:t>
      </w:r>
      <w:r w:rsidR="00EF05BE">
        <w:rPr>
          <w:color w:val="000000" w:themeColor="text1"/>
        </w:rPr>
        <w:t xml:space="preserve"> to</w:t>
      </w:r>
      <w:r w:rsidR="0070390E" w:rsidRPr="0070390E">
        <w:rPr>
          <w:color w:val="000000" w:themeColor="text1"/>
        </w:rPr>
        <w:t xml:space="preserve"> </w:t>
      </w:r>
      <w:r w:rsidR="00215FA6" w:rsidRPr="0070390E">
        <w:rPr>
          <w:color w:val="000000" w:themeColor="text1"/>
        </w:rPr>
        <w:t>avoid losses</w:t>
      </w:r>
      <w:r w:rsidR="0070390E" w:rsidRPr="0070390E">
        <w:rPr>
          <w:color w:val="000000" w:themeColor="text1"/>
        </w:rPr>
        <w:t xml:space="preserve"> to consumers and firms.</w:t>
      </w:r>
      <w:r w:rsidR="002D7E61">
        <w:rPr>
          <w:color w:val="000000" w:themeColor="text1"/>
        </w:rPr>
        <w:t xml:space="preserve"> </w:t>
      </w:r>
    </w:p>
    <w:p w:rsidR="003B0A27" w:rsidRDefault="003B0A27" w:rsidP="00123468">
      <w:pPr>
        <w:jc w:val="both"/>
        <w:rPr>
          <w:color w:val="000000" w:themeColor="text1"/>
        </w:rPr>
      </w:pPr>
    </w:p>
    <w:p w:rsidR="00215FA6" w:rsidRDefault="00215FA6" w:rsidP="00123468">
      <w:pPr>
        <w:jc w:val="both"/>
        <w:rPr>
          <w:color w:val="000000" w:themeColor="text1"/>
        </w:rPr>
      </w:pPr>
      <w:r>
        <w:rPr>
          <w:color w:val="000000" w:themeColor="text1"/>
        </w:rPr>
        <w:t xml:space="preserve">Consumers as buyers must have confidence in the quality of the services being offered to them by retailers and the NBN as sellers. </w:t>
      </w:r>
      <w:r w:rsidR="003B0A27">
        <w:rPr>
          <w:color w:val="000000" w:themeColor="text1"/>
        </w:rPr>
        <w:t>As</w:t>
      </w:r>
      <w:r>
        <w:rPr>
          <w:color w:val="000000" w:themeColor="text1"/>
        </w:rPr>
        <w:t xml:space="preserve"> this confidence and trust is eroded consumers will become increasingly unwilling to pay for notionally high value, high quality services that provide the greatest benefits and revenue to service providers</w:t>
      </w:r>
      <w:r w:rsidR="00EF05BE">
        <w:rPr>
          <w:color w:val="000000" w:themeColor="text1"/>
        </w:rPr>
        <w:t xml:space="preserve"> and not consumers</w:t>
      </w:r>
      <w:r>
        <w:rPr>
          <w:color w:val="000000" w:themeColor="text1"/>
        </w:rPr>
        <w:t>.</w:t>
      </w:r>
      <w:r w:rsidR="003B0A27">
        <w:rPr>
          <w:color w:val="000000" w:themeColor="text1"/>
        </w:rPr>
        <w:t xml:space="preserve"> This represents a loss to both those consumers that would otherwise benefit from higher value services but who are unwilling to pay for services of unknown quality</w:t>
      </w:r>
      <w:r w:rsidR="003D2478">
        <w:rPr>
          <w:color w:val="000000" w:themeColor="text1"/>
        </w:rPr>
        <w:t>,</w:t>
      </w:r>
      <w:r w:rsidR="00EF05BE">
        <w:rPr>
          <w:color w:val="000000" w:themeColor="text1"/>
        </w:rPr>
        <w:t xml:space="preserve"> as well as</w:t>
      </w:r>
      <w:r w:rsidR="003B0A27">
        <w:rPr>
          <w:color w:val="000000" w:themeColor="text1"/>
        </w:rPr>
        <w:t xml:space="preserve"> service providers who lose the opportunity to sell higher margin, higher value services to consumers but still face the same underlying fixed infrastructure costs.</w:t>
      </w:r>
      <w:r>
        <w:rPr>
          <w:color w:val="000000" w:themeColor="text1"/>
        </w:rPr>
        <w:t xml:space="preserve"> </w:t>
      </w:r>
    </w:p>
    <w:p w:rsidR="00215FA6" w:rsidRDefault="00215FA6" w:rsidP="00123468">
      <w:pPr>
        <w:jc w:val="both"/>
        <w:rPr>
          <w:color w:val="000000" w:themeColor="text1"/>
        </w:rPr>
      </w:pPr>
    </w:p>
    <w:p w:rsidR="00DE1770" w:rsidRDefault="00B454F4" w:rsidP="00123468">
      <w:pPr>
        <w:jc w:val="both"/>
        <w:rPr>
          <w:color w:val="000000" w:themeColor="text1"/>
        </w:rPr>
      </w:pPr>
      <w:r>
        <w:rPr>
          <w:color w:val="000000" w:themeColor="text1"/>
        </w:rPr>
        <w:t>The draft D</w:t>
      </w:r>
      <w:r w:rsidR="0070390E">
        <w:rPr>
          <w:color w:val="000000" w:themeColor="text1"/>
        </w:rPr>
        <w:t xml:space="preserve">etermination creates strong incentives for service providers to take appropriate steps to ensure that they are providing the service they promised by precluding charges from being collected. For the most vulnerable consumers this provision provides </w:t>
      </w:r>
      <w:r w:rsidR="00214E09">
        <w:rPr>
          <w:color w:val="000000" w:themeColor="text1"/>
        </w:rPr>
        <w:t>strong protections from unnecessary hardships and allows for access to be maintained.</w:t>
      </w:r>
    </w:p>
    <w:p w:rsidR="0070390E" w:rsidRDefault="0070390E" w:rsidP="0070390E">
      <w:pPr>
        <w:rPr>
          <w:color w:val="000000" w:themeColor="text1"/>
        </w:rPr>
      </w:pPr>
    </w:p>
    <w:p w:rsidR="0070390E" w:rsidRDefault="0070390E" w:rsidP="0070390E">
      <w:pPr>
        <w:jc w:val="both"/>
        <w:rPr>
          <w:color w:val="000000" w:themeColor="text1"/>
        </w:rPr>
      </w:pPr>
      <w:r w:rsidRPr="00F206B4">
        <w:rPr>
          <w:color w:val="000000" w:themeColor="text1"/>
        </w:rPr>
        <w:t xml:space="preserve">All </w:t>
      </w:r>
      <w:r>
        <w:rPr>
          <w:color w:val="000000" w:themeColor="text1"/>
        </w:rPr>
        <w:t>regulatory decision</w:t>
      </w:r>
      <w:r w:rsidR="00214E09">
        <w:rPr>
          <w:color w:val="000000" w:themeColor="text1"/>
        </w:rPr>
        <w:t>s</w:t>
      </w:r>
      <w:r w:rsidRPr="00F206B4">
        <w:rPr>
          <w:color w:val="000000" w:themeColor="text1"/>
        </w:rPr>
        <w:t xml:space="preserve"> entail an element of </w:t>
      </w:r>
      <w:r w:rsidR="00866F4F" w:rsidRPr="00F206B4">
        <w:rPr>
          <w:color w:val="000000" w:themeColor="text1"/>
        </w:rPr>
        <w:t>cost;</w:t>
      </w:r>
      <w:r w:rsidRPr="00F206B4">
        <w:rPr>
          <w:rStyle w:val="FootnoteReference"/>
          <w:color w:val="000000" w:themeColor="text1"/>
        </w:rPr>
        <w:footnoteReference w:id="12"/>
      </w:r>
      <w:r w:rsidRPr="00F206B4">
        <w:rPr>
          <w:color w:val="000000" w:themeColor="text1"/>
        </w:rPr>
        <w:t xml:space="preserve"> however the fundamental economic test for assessing whether a </w:t>
      </w:r>
      <w:r>
        <w:rPr>
          <w:color w:val="000000" w:themeColor="text1"/>
        </w:rPr>
        <w:t>policy</w:t>
      </w:r>
      <w:r w:rsidRPr="00F206B4">
        <w:rPr>
          <w:color w:val="000000" w:themeColor="text1"/>
        </w:rPr>
        <w:t xml:space="preserve"> should be implemented is whether total welfare</w:t>
      </w:r>
      <w:r w:rsidR="00215FA6">
        <w:rPr>
          <w:color w:val="000000" w:themeColor="text1"/>
        </w:rPr>
        <w:t xml:space="preserve"> </w:t>
      </w:r>
      <w:r w:rsidRPr="00F206B4">
        <w:rPr>
          <w:color w:val="000000" w:themeColor="text1"/>
        </w:rPr>
        <w:t>is enhanced as a consequence of implementation</w:t>
      </w:r>
      <w:r w:rsidR="009F6740">
        <w:rPr>
          <w:color w:val="000000" w:themeColor="text1"/>
        </w:rPr>
        <w:t xml:space="preserve"> – that is the net benefit test</w:t>
      </w:r>
      <w:r w:rsidRPr="00F206B4">
        <w:rPr>
          <w:color w:val="000000" w:themeColor="text1"/>
        </w:rPr>
        <w:t>.</w:t>
      </w:r>
      <w:r w:rsidRPr="00777161">
        <w:rPr>
          <w:rStyle w:val="FootnoteReference"/>
          <w:color w:val="000000" w:themeColor="text1"/>
        </w:rPr>
        <w:footnoteReference w:id="13"/>
      </w:r>
      <w:r w:rsidRPr="00777161">
        <w:rPr>
          <w:color w:val="000000" w:themeColor="text1"/>
        </w:rPr>
        <w:t xml:space="preserve"> </w:t>
      </w:r>
      <w:r w:rsidRPr="00F206B4">
        <w:rPr>
          <w:color w:val="000000" w:themeColor="text1"/>
        </w:rPr>
        <w:t>ACCAN considers that although costs will be imposed thr</w:t>
      </w:r>
      <w:r w:rsidR="00B454F4">
        <w:rPr>
          <w:color w:val="000000" w:themeColor="text1"/>
        </w:rPr>
        <w:t>ough the adoption of the draft D</w:t>
      </w:r>
      <w:r w:rsidRPr="00F206B4">
        <w:rPr>
          <w:color w:val="000000" w:themeColor="text1"/>
        </w:rPr>
        <w:t xml:space="preserve">etermination that these </w:t>
      </w:r>
      <w:r w:rsidRPr="00F206B4">
        <w:rPr>
          <w:color w:val="000000" w:themeColor="text1"/>
        </w:rPr>
        <w:lastRenderedPageBreak/>
        <w:t>costs are outweighed by the significant benefit</w:t>
      </w:r>
      <w:r>
        <w:rPr>
          <w:color w:val="000000" w:themeColor="text1"/>
        </w:rPr>
        <w:t xml:space="preserve">s that will accrue to consumers, </w:t>
      </w:r>
      <w:r w:rsidRPr="00F206B4">
        <w:rPr>
          <w:color w:val="000000" w:themeColor="text1"/>
        </w:rPr>
        <w:t>the broader community</w:t>
      </w:r>
      <w:r>
        <w:rPr>
          <w:color w:val="000000" w:themeColor="text1"/>
        </w:rPr>
        <w:t xml:space="preserve"> and industry in the longer term</w:t>
      </w:r>
      <w:r w:rsidRPr="00F206B4">
        <w:rPr>
          <w:color w:val="000000" w:themeColor="text1"/>
        </w:rPr>
        <w:t xml:space="preserve">. </w:t>
      </w:r>
    </w:p>
    <w:p w:rsidR="0070390E" w:rsidRDefault="0070390E" w:rsidP="00123468">
      <w:pPr>
        <w:jc w:val="both"/>
        <w:rPr>
          <w:color w:val="000000" w:themeColor="text1"/>
        </w:rPr>
      </w:pPr>
    </w:p>
    <w:sectPr w:rsidR="0070390E" w:rsidSect="00A13B9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60D1E2" w15:done="0"/>
  <w15:commentEx w15:paraId="2C492D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0D1E2" w16cid:durableId="1E9E683F"/>
  <w16cid:commentId w16cid:paraId="2C492D6C" w16cid:durableId="1E9E68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E7" w:rsidRDefault="00555DE7" w:rsidP="00B14DFB">
      <w:r>
        <w:separator/>
      </w:r>
    </w:p>
  </w:endnote>
  <w:endnote w:type="continuationSeparator" w:id="0">
    <w:p w:rsidR="00555DE7" w:rsidRDefault="00555DE7"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34" w:rsidRDefault="00183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49497C">
      <w:rPr>
        <w:noProof/>
      </w:rPr>
      <w:t>6</w:t>
    </w:r>
    <w:r w:rsidRPr="00C4251E">
      <w:rPr>
        <w:noProof/>
      </w:rPr>
      <w:fldChar w:fldCharType="end"/>
    </w:r>
  </w:p>
  <w:p w:rsidR="00A13B92" w:rsidRPr="000F58CC" w:rsidRDefault="00A13B92" w:rsidP="00A13B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organisation</w:t>
    </w:r>
  </w:p>
  <w:p w:rsidR="00A13B92" w:rsidRDefault="00A13B92" w:rsidP="00A13B92">
    <w:pPr>
      <w:pStyle w:val="Footerpage1"/>
    </w:pPr>
    <w:r w:rsidRPr="008E763A">
      <w:rPr>
        <w:noProof/>
        <w:lang w:val="en-US"/>
      </w:rPr>
      <mc:AlternateContent>
        <mc:Choice Requires="wps">
          <w:drawing>
            <wp:inline distT="0" distB="0" distL="0" distR="0" wp14:anchorId="1D677E35" wp14:editId="26616C15">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00BF754D">
      <w:t>PO Box 639, Broadway</w:t>
    </w:r>
    <w:r w:rsidRPr="008E763A">
      <w:t xml:space="preserve"> NSW 2007</w:t>
    </w:r>
  </w:p>
  <w:p w:rsidR="00A13B92" w:rsidRDefault="00A13B92" w:rsidP="00A13B92">
    <w:pPr>
      <w:pStyle w:val="Footerpage1"/>
    </w:pPr>
    <w:r w:rsidRPr="008E763A">
      <w:t>Tel: (02) 9288 4000 | Fax: (02) 9288 4019</w:t>
    </w:r>
    <w:r w:rsidR="00183034">
      <w:t xml:space="preserve"> | Contact us through the </w:t>
    </w:r>
    <w:hyperlink r:id="rId1" w:history="1">
      <w:r w:rsidR="00183034" w:rsidRPr="00FE6EAF">
        <w:rPr>
          <w:rStyle w:val="Hyperlink"/>
        </w:rPr>
        <w:t>National Relay Service</w:t>
      </w:r>
    </w:hyperlink>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E7" w:rsidRDefault="00555DE7" w:rsidP="00B14DFB">
      <w:r>
        <w:separator/>
      </w:r>
    </w:p>
  </w:footnote>
  <w:footnote w:type="continuationSeparator" w:id="0">
    <w:p w:rsidR="00555DE7" w:rsidRDefault="00555DE7" w:rsidP="00B14DFB">
      <w:r>
        <w:continuationSeparator/>
      </w:r>
    </w:p>
  </w:footnote>
  <w:footnote w:id="1">
    <w:p w:rsidR="00EF6F79" w:rsidRPr="007B72B1" w:rsidRDefault="00EF6F79" w:rsidP="007B72B1">
      <w:pPr>
        <w:pStyle w:val="FootnoteText"/>
        <w:spacing w:after="0"/>
        <w:jc w:val="both"/>
        <w:rPr>
          <w:rStyle w:val="FootnoteReference"/>
          <w:rFonts w:asciiTheme="minorHAnsi" w:hAnsiTheme="minorHAnsi" w:cs="Arial"/>
          <w:szCs w:val="18"/>
          <w:vertAlign w:val="baseline"/>
        </w:rPr>
      </w:pPr>
      <w:r w:rsidRPr="007B72B1">
        <w:rPr>
          <w:rStyle w:val="FootnoteReference"/>
          <w:rFonts w:asciiTheme="minorHAnsi" w:hAnsiTheme="minorHAnsi" w:cs="Arial"/>
          <w:szCs w:val="18"/>
        </w:rPr>
        <w:footnoteRef/>
      </w:r>
      <w:r w:rsidR="00A15389" w:rsidRPr="007B72B1">
        <w:rPr>
          <w:rStyle w:val="FootnoteReference"/>
          <w:rFonts w:asciiTheme="minorHAnsi" w:hAnsiTheme="minorHAnsi" w:cs="Arial"/>
          <w:szCs w:val="18"/>
          <w:vertAlign w:val="baseline"/>
        </w:rPr>
        <w:t>.</w:t>
      </w:r>
      <w:r w:rsidR="00A15389" w:rsidRPr="007B72B1">
        <w:rPr>
          <w:rFonts w:asciiTheme="minorHAnsi" w:hAnsiTheme="minorHAnsi" w:cs="Arial"/>
          <w:szCs w:val="18"/>
        </w:rPr>
        <w:t xml:space="preserve"> </w:t>
      </w:r>
      <w:r w:rsidRPr="007B72B1">
        <w:rPr>
          <w:rStyle w:val="FootnoteReference"/>
          <w:rFonts w:asciiTheme="minorHAnsi" w:hAnsiTheme="minorHAnsi" w:cs="Arial"/>
          <w:szCs w:val="18"/>
          <w:vertAlign w:val="baseline"/>
        </w:rPr>
        <w:t xml:space="preserve">Garnham, Nicholas. "Amartya Sen’s capabilities approach to the evaluation of welfare: Its application to communications." Communication, citizenship and social policy: Rethinking the limits of the welfare state (1999): 113-124; </w:t>
      </w:r>
      <w:r w:rsidRPr="007B72B1">
        <w:rPr>
          <w:rFonts w:asciiTheme="minorHAnsi" w:hAnsiTheme="minorHAnsi" w:cs="Arial"/>
          <w:szCs w:val="18"/>
          <w:shd w:val="clear" w:color="auto" w:fill="FFFFFF"/>
        </w:rPr>
        <w:t>Viscusi, W. Kip, and Clayton J. Masterman. "Income Elasticities and Global Values of a Statistical Life." </w:t>
      </w:r>
      <w:r w:rsidRPr="007B72B1">
        <w:rPr>
          <w:rFonts w:asciiTheme="minorHAnsi" w:hAnsiTheme="minorHAnsi" w:cs="Arial"/>
          <w:i/>
          <w:iCs/>
          <w:szCs w:val="18"/>
          <w:shd w:val="clear" w:color="auto" w:fill="FFFFFF"/>
        </w:rPr>
        <w:t>Journal of Benefit-Cost Analysis</w:t>
      </w:r>
      <w:r w:rsidRPr="007B72B1">
        <w:rPr>
          <w:rFonts w:asciiTheme="minorHAnsi" w:hAnsiTheme="minorHAnsi" w:cs="Arial"/>
          <w:szCs w:val="18"/>
          <w:shd w:val="clear" w:color="auto" w:fill="FFFFFF"/>
        </w:rPr>
        <w:t> 8, no. 2 (2017): 226-250.</w:t>
      </w:r>
    </w:p>
  </w:footnote>
  <w:footnote w:id="2">
    <w:p w:rsidR="002D7E61" w:rsidRPr="007B72B1" w:rsidRDefault="002D7E61" w:rsidP="007B72B1">
      <w:pPr>
        <w:pStyle w:val="FootnoteText"/>
        <w:jc w:val="both"/>
        <w:rPr>
          <w:szCs w:val="18"/>
          <w:lang w:val="en-US"/>
        </w:rPr>
      </w:pPr>
      <w:r w:rsidRPr="007B72B1">
        <w:rPr>
          <w:rStyle w:val="FootnoteReference"/>
          <w:szCs w:val="18"/>
        </w:rPr>
        <w:footnoteRef/>
      </w:r>
      <w:r w:rsidR="00A15389" w:rsidRPr="007B72B1">
        <w:rPr>
          <w:szCs w:val="18"/>
        </w:rPr>
        <w:t xml:space="preserve">. </w:t>
      </w:r>
      <w:r w:rsidR="00200556" w:rsidRPr="007B72B1">
        <w:rPr>
          <w:szCs w:val="18"/>
        </w:rPr>
        <w:t xml:space="preserve">In economics this is conceptualised as the loss to a consumers ‘welfare’ which encapsulates the intangible utility or wellbeing of consumers that arises through receipt of goods or services. </w:t>
      </w:r>
    </w:p>
  </w:footnote>
  <w:footnote w:id="3">
    <w:p w:rsidR="00521086" w:rsidRPr="007B72B1" w:rsidRDefault="006006CC" w:rsidP="007B72B1">
      <w:pPr>
        <w:pStyle w:val="FootnoteText"/>
        <w:spacing w:after="0"/>
        <w:jc w:val="both"/>
        <w:rPr>
          <w:rFonts w:asciiTheme="minorHAnsi" w:hAnsiTheme="minorHAnsi"/>
          <w:szCs w:val="18"/>
        </w:rPr>
      </w:pPr>
      <w:r w:rsidRPr="007B72B1">
        <w:rPr>
          <w:rStyle w:val="FootnoteReference"/>
          <w:rFonts w:asciiTheme="minorHAnsi" w:hAnsiTheme="minorHAnsi"/>
          <w:szCs w:val="18"/>
        </w:rPr>
        <w:footnoteRef/>
      </w:r>
      <w:r w:rsidRPr="007B72B1">
        <w:rPr>
          <w:rFonts w:asciiTheme="minorHAnsi" w:hAnsiTheme="minorHAnsi"/>
          <w:szCs w:val="18"/>
        </w:rPr>
        <w:t>.</w:t>
      </w:r>
      <w:r w:rsidR="00521086" w:rsidRPr="007B72B1">
        <w:rPr>
          <w:rFonts w:asciiTheme="minorHAnsi" w:hAnsiTheme="minorHAnsi"/>
          <w:szCs w:val="18"/>
        </w:rPr>
        <w:t xml:space="preserve"> ACMA 2018, </w:t>
      </w:r>
      <w:r w:rsidR="00521086" w:rsidRPr="007B72B1">
        <w:rPr>
          <w:rFonts w:asciiTheme="minorHAnsi" w:hAnsiTheme="minorHAnsi"/>
          <w:i/>
          <w:szCs w:val="18"/>
        </w:rPr>
        <w:t>NBN consumer experience – residential research snapshot</w:t>
      </w:r>
      <w:r w:rsidR="00521086" w:rsidRPr="007B72B1">
        <w:rPr>
          <w:rFonts w:asciiTheme="minorHAnsi" w:hAnsiTheme="minorHAnsi"/>
          <w:szCs w:val="18"/>
        </w:rPr>
        <w:t>,</w:t>
      </w:r>
    </w:p>
    <w:p w:rsidR="006006CC" w:rsidRPr="007B72B1" w:rsidRDefault="006006CC" w:rsidP="007B72B1">
      <w:pPr>
        <w:pStyle w:val="FootnoteText"/>
        <w:spacing w:after="0"/>
        <w:jc w:val="both"/>
        <w:rPr>
          <w:rFonts w:asciiTheme="minorHAnsi" w:hAnsiTheme="minorHAnsi"/>
          <w:szCs w:val="18"/>
          <w:lang w:val="en-US"/>
        </w:rPr>
      </w:pPr>
      <w:r w:rsidRPr="007B72B1">
        <w:rPr>
          <w:rFonts w:asciiTheme="minorHAnsi" w:hAnsiTheme="minorHAnsi"/>
          <w:szCs w:val="18"/>
        </w:rPr>
        <w:t xml:space="preserve"> </w:t>
      </w:r>
      <w:r w:rsidR="00521086" w:rsidRPr="007B72B1">
        <w:rPr>
          <w:rFonts w:asciiTheme="minorHAnsi" w:hAnsiTheme="minorHAnsi"/>
          <w:szCs w:val="18"/>
        </w:rPr>
        <w:t>&lt;</w:t>
      </w:r>
      <w:hyperlink r:id="rId1" w:history="1">
        <w:r w:rsidR="0029474E" w:rsidRPr="007B72B1">
          <w:rPr>
            <w:rStyle w:val="Hyperlink"/>
            <w:rFonts w:asciiTheme="minorHAnsi" w:hAnsiTheme="minorHAnsi"/>
            <w:szCs w:val="18"/>
          </w:rPr>
          <w:t>https://www.acma.gov.au/-/media/Research-and-Analysis/Research/pdf/Research-snapshot_NBN-pdf.pdf?la=en</w:t>
        </w:r>
      </w:hyperlink>
      <w:r w:rsidR="00521086" w:rsidRPr="007B72B1">
        <w:rPr>
          <w:rFonts w:asciiTheme="minorHAnsi" w:hAnsiTheme="minorHAnsi"/>
          <w:szCs w:val="18"/>
        </w:rPr>
        <w:t>&gt;</w:t>
      </w:r>
    </w:p>
  </w:footnote>
  <w:footnote w:id="4">
    <w:p w:rsidR="0030280C" w:rsidRPr="007B72B1" w:rsidRDefault="0030280C" w:rsidP="007B72B1">
      <w:pPr>
        <w:jc w:val="both"/>
        <w:rPr>
          <w:rFonts w:cs="Times New Roman"/>
          <w:i/>
          <w:color w:val="000000" w:themeColor="text1"/>
          <w:sz w:val="18"/>
          <w:szCs w:val="18"/>
        </w:rPr>
      </w:pPr>
      <w:r w:rsidRPr="007B72B1">
        <w:rPr>
          <w:rStyle w:val="FootnoteReference"/>
          <w:sz w:val="18"/>
          <w:szCs w:val="18"/>
        </w:rPr>
        <w:footnoteRef/>
      </w:r>
      <w:r w:rsidRPr="007B72B1">
        <w:rPr>
          <w:sz w:val="18"/>
          <w:szCs w:val="18"/>
        </w:rPr>
        <w:t xml:space="preserve">.  </w:t>
      </w:r>
      <w:r w:rsidRPr="007B72B1">
        <w:rPr>
          <w:rFonts w:cs="Times New Roman"/>
          <w:color w:val="000000" w:themeColor="text1"/>
          <w:sz w:val="18"/>
          <w:szCs w:val="18"/>
        </w:rPr>
        <w:t xml:space="preserve">Telecommunications Industry Ombudsman 2018, </w:t>
      </w:r>
      <w:r w:rsidRPr="007B72B1">
        <w:rPr>
          <w:rFonts w:cs="Times New Roman"/>
          <w:i/>
          <w:color w:val="000000" w:themeColor="text1"/>
          <w:sz w:val="18"/>
          <w:szCs w:val="18"/>
        </w:rPr>
        <w:t xml:space="preserve">2016-2017 Annual Report,   </w:t>
      </w:r>
      <w:r w:rsidRPr="007B72B1">
        <w:rPr>
          <w:rFonts w:cs="Times New Roman"/>
          <w:i/>
          <w:color w:val="000000" w:themeColor="text1"/>
          <w:sz w:val="18"/>
          <w:szCs w:val="18"/>
        </w:rPr>
        <w:tab/>
      </w:r>
      <w:r w:rsidRPr="007B72B1">
        <w:rPr>
          <w:rFonts w:cs="Times New Roman"/>
          <w:i/>
          <w:color w:val="000000" w:themeColor="text1"/>
          <w:sz w:val="18"/>
          <w:szCs w:val="18"/>
        </w:rPr>
        <w:tab/>
      </w:r>
      <w:r w:rsidRPr="007B72B1">
        <w:rPr>
          <w:rFonts w:cs="Times New Roman"/>
          <w:i/>
          <w:color w:val="000000" w:themeColor="text1"/>
          <w:sz w:val="18"/>
          <w:szCs w:val="18"/>
        </w:rPr>
        <w:tab/>
      </w:r>
      <w:r w:rsidRPr="007B72B1">
        <w:rPr>
          <w:rFonts w:cs="Times New Roman"/>
          <w:i/>
          <w:color w:val="000000" w:themeColor="text1"/>
          <w:sz w:val="18"/>
          <w:szCs w:val="18"/>
        </w:rPr>
        <w:tab/>
      </w:r>
    </w:p>
    <w:p w:rsidR="0030280C" w:rsidRPr="007B72B1" w:rsidRDefault="0030280C" w:rsidP="007B72B1">
      <w:pPr>
        <w:jc w:val="both"/>
        <w:rPr>
          <w:rFonts w:cs="Times New Roman"/>
          <w:color w:val="000000" w:themeColor="text1"/>
          <w:sz w:val="18"/>
          <w:szCs w:val="18"/>
        </w:rPr>
      </w:pPr>
      <w:r w:rsidRPr="007B72B1">
        <w:rPr>
          <w:rFonts w:cs="Times New Roman"/>
          <w:i/>
          <w:color w:val="000000" w:themeColor="text1"/>
          <w:sz w:val="18"/>
          <w:szCs w:val="18"/>
        </w:rPr>
        <w:t>&lt;</w:t>
      </w:r>
      <w:hyperlink r:id="rId2" w:history="1">
        <w:r w:rsidRPr="007B72B1">
          <w:rPr>
            <w:rStyle w:val="Hyperlink"/>
            <w:sz w:val="18"/>
            <w:szCs w:val="18"/>
          </w:rPr>
          <w:t>https://www.tio.com.au/__data/assets/pdf_file/0018/250911/Telecommunications-Industry-Ombudsman-Annual-Report-2017.pdf</w:t>
        </w:r>
      </w:hyperlink>
      <w:r w:rsidRPr="007B72B1">
        <w:rPr>
          <w:sz w:val="18"/>
          <w:szCs w:val="18"/>
        </w:rPr>
        <w:t>&gt;</w:t>
      </w:r>
    </w:p>
  </w:footnote>
  <w:footnote w:id="5">
    <w:p w:rsidR="006610E7" w:rsidRPr="007B72B1" w:rsidRDefault="006610E7" w:rsidP="007B72B1">
      <w:pPr>
        <w:pStyle w:val="FootnoteText"/>
        <w:spacing w:after="0"/>
        <w:jc w:val="both"/>
        <w:rPr>
          <w:rFonts w:asciiTheme="minorHAnsi" w:hAnsiTheme="minorHAnsi"/>
          <w:szCs w:val="18"/>
        </w:rPr>
      </w:pPr>
      <w:r w:rsidRPr="007B72B1">
        <w:rPr>
          <w:rStyle w:val="FootnoteReference"/>
          <w:rFonts w:asciiTheme="minorHAnsi" w:hAnsiTheme="minorHAnsi"/>
          <w:szCs w:val="18"/>
        </w:rPr>
        <w:footnoteRef/>
      </w:r>
      <w:r w:rsidR="00C3382C" w:rsidRPr="007B72B1">
        <w:rPr>
          <w:rFonts w:asciiTheme="minorHAnsi" w:hAnsiTheme="minorHAnsi"/>
          <w:szCs w:val="18"/>
        </w:rPr>
        <w:t xml:space="preserve">. This figure is prefaced on the survey data being representative of the experience of the population as whole. In order to ensure the estimate is robust contract prices have been set below average prices at $1.65 per day [$50 per month], time for disconnection has been calculated on basis of the lowest number of days in any given category of disconnection [e.g. 1 day for the 1-3 days category] and the 0-24 hour period has been eliminated from the calculation. The upper bound estimate for the 2016-17 </w:t>
      </w:r>
      <w:proofErr w:type="gramStart"/>
      <w:r w:rsidR="00C3382C" w:rsidRPr="007B72B1">
        <w:rPr>
          <w:rFonts w:asciiTheme="minorHAnsi" w:hAnsiTheme="minorHAnsi"/>
          <w:szCs w:val="18"/>
        </w:rPr>
        <w:t>period</w:t>
      </w:r>
      <w:proofErr w:type="gramEnd"/>
      <w:r w:rsidR="00C3382C" w:rsidRPr="007B72B1">
        <w:rPr>
          <w:rFonts w:asciiTheme="minorHAnsi" w:hAnsiTheme="minorHAnsi"/>
          <w:szCs w:val="18"/>
        </w:rPr>
        <w:t xml:space="preserve"> was $5.5 million.</w:t>
      </w:r>
    </w:p>
  </w:footnote>
  <w:footnote w:id="6">
    <w:p w:rsidR="00B53E73" w:rsidRPr="007B72B1" w:rsidRDefault="00B53E73" w:rsidP="007B72B1">
      <w:pPr>
        <w:jc w:val="both"/>
        <w:rPr>
          <w:sz w:val="18"/>
          <w:szCs w:val="18"/>
        </w:rPr>
      </w:pPr>
      <w:r w:rsidRPr="007B72B1">
        <w:rPr>
          <w:rStyle w:val="FootnoteReference"/>
          <w:sz w:val="18"/>
          <w:szCs w:val="18"/>
        </w:rPr>
        <w:footnoteRef/>
      </w:r>
      <w:r w:rsidRPr="007B72B1">
        <w:rPr>
          <w:sz w:val="18"/>
          <w:szCs w:val="18"/>
        </w:rPr>
        <w:t xml:space="preserve">. The above figure is one of pure economic loss and does not include the administrative costs borne by consumers in organizing rectification of faults, nor the loss of value associated with the withdrawal of existing services or the increased risk consumers’ face in being unable to access emergency services due to prolonged disconnection of services. </w:t>
      </w:r>
    </w:p>
  </w:footnote>
  <w:footnote w:id="7">
    <w:p w:rsidR="00156370" w:rsidRPr="007B72B1" w:rsidRDefault="00156370" w:rsidP="007B72B1">
      <w:pPr>
        <w:pStyle w:val="FootnoteText"/>
        <w:spacing w:after="0"/>
        <w:jc w:val="both"/>
        <w:rPr>
          <w:rFonts w:asciiTheme="minorHAnsi" w:hAnsiTheme="minorHAnsi"/>
          <w:szCs w:val="18"/>
          <w:lang w:val="en-US"/>
        </w:rPr>
      </w:pPr>
      <w:r w:rsidRPr="007B72B1">
        <w:rPr>
          <w:rStyle w:val="FootnoteReference"/>
          <w:rFonts w:asciiTheme="minorHAnsi" w:hAnsiTheme="minorHAnsi"/>
          <w:szCs w:val="18"/>
        </w:rPr>
        <w:footnoteRef/>
      </w:r>
      <w:r w:rsidRPr="007B72B1">
        <w:rPr>
          <w:rFonts w:asciiTheme="minorHAnsi" w:hAnsiTheme="minorHAnsi"/>
          <w:szCs w:val="18"/>
        </w:rPr>
        <w:t xml:space="preserve">. Willingness to pay figures </w:t>
      </w:r>
      <w:r w:rsidR="007E52C1" w:rsidRPr="007B72B1">
        <w:rPr>
          <w:rFonts w:asciiTheme="minorHAnsi" w:hAnsiTheme="minorHAnsi"/>
          <w:szCs w:val="18"/>
        </w:rPr>
        <w:t>may</w:t>
      </w:r>
      <w:r w:rsidRPr="007B72B1">
        <w:rPr>
          <w:rFonts w:asciiTheme="minorHAnsi" w:hAnsiTheme="minorHAnsi"/>
          <w:szCs w:val="18"/>
        </w:rPr>
        <w:t xml:space="preserve"> be elicited through various methods, but in the absence of such information price may be used as a proxy.</w:t>
      </w:r>
    </w:p>
  </w:footnote>
  <w:footnote w:id="8">
    <w:p w:rsidR="00521086" w:rsidRPr="007B72B1" w:rsidRDefault="00521086" w:rsidP="007B72B1">
      <w:pPr>
        <w:pStyle w:val="FootnoteText"/>
        <w:spacing w:after="0"/>
        <w:jc w:val="both"/>
        <w:rPr>
          <w:rFonts w:asciiTheme="minorHAnsi" w:hAnsiTheme="minorHAnsi"/>
          <w:szCs w:val="18"/>
        </w:rPr>
      </w:pPr>
      <w:r w:rsidRPr="007B72B1">
        <w:rPr>
          <w:rStyle w:val="FootnoteReference"/>
          <w:rFonts w:asciiTheme="minorHAnsi" w:hAnsiTheme="minorHAnsi"/>
          <w:szCs w:val="18"/>
        </w:rPr>
        <w:footnoteRef/>
      </w:r>
      <w:r w:rsidRPr="007B72B1">
        <w:rPr>
          <w:rFonts w:asciiTheme="minorHAnsi" w:hAnsiTheme="minorHAnsi"/>
          <w:szCs w:val="18"/>
        </w:rPr>
        <w:t xml:space="preserve">. ACMA 2018, </w:t>
      </w:r>
      <w:r w:rsidRPr="007B72B1">
        <w:rPr>
          <w:rFonts w:asciiTheme="minorHAnsi" w:hAnsiTheme="minorHAnsi"/>
          <w:i/>
          <w:szCs w:val="18"/>
        </w:rPr>
        <w:t>NBN consumer experience – residential research snapshot</w:t>
      </w:r>
      <w:r w:rsidRPr="007B72B1">
        <w:rPr>
          <w:rFonts w:asciiTheme="minorHAnsi" w:hAnsiTheme="minorHAnsi"/>
          <w:szCs w:val="18"/>
        </w:rPr>
        <w:t>,</w:t>
      </w:r>
    </w:p>
    <w:p w:rsidR="00521086" w:rsidRPr="007B72B1" w:rsidRDefault="00521086" w:rsidP="007B72B1">
      <w:pPr>
        <w:pStyle w:val="FootnoteText"/>
        <w:jc w:val="both"/>
        <w:rPr>
          <w:rFonts w:asciiTheme="minorHAnsi" w:hAnsiTheme="minorHAnsi"/>
          <w:szCs w:val="18"/>
        </w:rPr>
      </w:pPr>
      <w:r w:rsidRPr="007B72B1">
        <w:rPr>
          <w:rFonts w:asciiTheme="minorHAnsi" w:hAnsiTheme="minorHAnsi"/>
          <w:szCs w:val="18"/>
        </w:rPr>
        <w:t xml:space="preserve"> &lt;</w:t>
      </w:r>
      <w:hyperlink r:id="rId3" w:history="1">
        <w:r w:rsidRPr="007B72B1">
          <w:rPr>
            <w:rStyle w:val="Hyperlink"/>
            <w:rFonts w:asciiTheme="minorHAnsi" w:hAnsiTheme="minorHAnsi"/>
            <w:szCs w:val="18"/>
          </w:rPr>
          <w:t>https://www.acma.gov.au/-/media/Research-and-Analysis/Research/pdf/Research-snapshot_NBN-pdf.pdf?la=en</w:t>
        </w:r>
      </w:hyperlink>
      <w:r w:rsidRPr="007B72B1">
        <w:rPr>
          <w:rFonts w:asciiTheme="minorHAnsi" w:hAnsiTheme="minorHAnsi"/>
          <w:szCs w:val="18"/>
        </w:rPr>
        <w:t>&gt;.</w:t>
      </w:r>
    </w:p>
  </w:footnote>
  <w:footnote w:id="9">
    <w:p w:rsidR="00C43AC1" w:rsidRPr="007B72B1" w:rsidRDefault="00C43AC1" w:rsidP="007B72B1">
      <w:pPr>
        <w:widowControl w:val="0"/>
        <w:autoSpaceDE w:val="0"/>
        <w:autoSpaceDN w:val="0"/>
        <w:adjustRightInd w:val="0"/>
        <w:jc w:val="both"/>
        <w:rPr>
          <w:rFonts w:cs="Times New Roman"/>
          <w:sz w:val="18"/>
          <w:szCs w:val="18"/>
        </w:rPr>
      </w:pPr>
      <w:r w:rsidRPr="007B72B1">
        <w:rPr>
          <w:rStyle w:val="FootnoteReference"/>
          <w:rFonts w:cs="Times New Roman"/>
          <w:sz w:val="18"/>
          <w:szCs w:val="18"/>
        </w:rPr>
        <w:footnoteRef/>
      </w:r>
      <w:r w:rsidRPr="007B72B1">
        <w:rPr>
          <w:rFonts w:cs="Times New Roman"/>
          <w:sz w:val="18"/>
          <w:szCs w:val="18"/>
        </w:rPr>
        <w:t xml:space="preserve"> </w:t>
      </w:r>
      <w:proofErr w:type="spellStart"/>
      <w:r w:rsidRPr="007B72B1">
        <w:rPr>
          <w:rFonts w:cs="Times New Roman"/>
          <w:sz w:val="18"/>
          <w:szCs w:val="18"/>
        </w:rPr>
        <w:t>Akerlof</w:t>
      </w:r>
      <w:proofErr w:type="spellEnd"/>
      <w:r w:rsidRPr="007B72B1">
        <w:rPr>
          <w:rFonts w:cs="Times New Roman"/>
          <w:sz w:val="18"/>
          <w:szCs w:val="18"/>
        </w:rPr>
        <w:t xml:space="preserve">, G 1970, ‘The Market for “Lemons” Quality Uncertainty and the Market Mechanism’, </w:t>
      </w:r>
      <w:r w:rsidRPr="007B72B1">
        <w:rPr>
          <w:rFonts w:cs="Times New Roman"/>
          <w:i/>
          <w:sz w:val="18"/>
          <w:szCs w:val="18"/>
        </w:rPr>
        <w:t xml:space="preserve">Quarterly Journal of Economics, </w:t>
      </w:r>
      <w:r w:rsidRPr="007B72B1">
        <w:rPr>
          <w:rFonts w:cs="Times New Roman"/>
          <w:sz w:val="18"/>
          <w:szCs w:val="18"/>
        </w:rPr>
        <w:t>vol. 84, no. 3, pp. 488-500.</w:t>
      </w:r>
    </w:p>
  </w:footnote>
  <w:footnote w:id="10">
    <w:p w:rsidR="005613D8" w:rsidRPr="007B72B1" w:rsidRDefault="005613D8" w:rsidP="007B72B1">
      <w:pPr>
        <w:pStyle w:val="FootnoteText"/>
        <w:contextualSpacing/>
        <w:jc w:val="both"/>
        <w:rPr>
          <w:rFonts w:asciiTheme="minorHAnsi" w:hAnsiTheme="minorHAnsi"/>
          <w:szCs w:val="18"/>
        </w:rPr>
      </w:pPr>
      <w:r w:rsidRPr="007B72B1">
        <w:rPr>
          <w:rStyle w:val="FootnoteReference"/>
          <w:rFonts w:asciiTheme="minorHAnsi" w:hAnsiTheme="minorHAnsi"/>
          <w:szCs w:val="18"/>
        </w:rPr>
        <w:footnoteRef/>
      </w:r>
      <w:r w:rsidRPr="007B72B1">
        <w:rPr>
          <w:rFonts w:asciiTheme="minorHAnsi" w:hAnsiTheme="minorHAnsi"/>
          <w:szCs w:val="18"/>
        </w:rPr>
        <w:t xml:space="preserve">. </w:t>
      </w:r>
      <w:r w:rsidRPr="007B72B1">
        <w:rPr>
          <w:rFonts w:asciiTheme="minorHAnsi" w:hAnsiTheme="minorHAnsi" w:cs="Times New Roman"/>
          <w:szCs w:val="18"/>
        </w:rPr>
        <w:t xml:space="preserve">Organisation for Economic Co-operation and Development 2012, </w:t>
      </w:r>
      <w:r w:rsidRPr="007B72B1">
        <w:rPr>
          <w:rFonts w:asciiTheme="minorHAnsi" w:hAnsiTheme="minorHAnsi" w:cs="Times New Roman"/>
          <w:i/>
          <w:iCs/>
          <w:szCs w:val="18"/>
        </w:rPr>
        <w:t>Recommendation of the Council on Regulatory Policy and</w:t>
      </w:r>
      <w:r w:rsidR="00CF7DAA" w:rsidRPr="007B72B1">
        <w:rPr>
          <w:rFonts w:asciiTheme="minorHAnsi" w:hAnsiTheme="minorHAnsi" w:cs="Times New Roman"/>
          <w:i/>
          <w:iCs/>
          <w:szCs w:val="18"/>
        </w:rPr>
        <w:t xml:space="preserve"> </w:t>
      </w:r>
      <w:r w:rsidRPr="007B72B1">
        <w:rPr>
          <w:rFonts w:asciiTheme="minorHAnsi" w:hAnsiTheme="minorHAnsi" w:cs="Times New Roman"/>
          <w:i/>
          <w:iCs/>
          <w:szCs w:val="18"/>
        </w:rPr>
        <w:t>Governance,</w:t>
      </w:r>
      <w:r w:rsidRPr="007B72B1">
        <w:rPr>
          <w:rFonts w:asciiTheme="minorHAnsi" w:hAnsiTheme="minorHAnsi" w:cs="Times New Roman"/>
          <w:iCs/>
          <w:szCs w:val="18"/>
        </w:rPr>
        <w:t xml:space="preserve"> </w:t>
      </w:r>
      <w:r w:rsidRPr="007B72B1">
        <w:rPr>
          <w:rFonts w:asciiTheme="minorHAnsi" w:hAnsiTheme="minorHAnsi" w:cs="Times New Roman"/>
          <w:szCs w:val="18"/>
        </w:rPr>
        <w:t xml:space="preserve">OECD, </w:t>
      </w:r>
      <w:r w:rsidRPr="007B72B1">
        <w:rPr>
          <w:rFonts w:asciiTheme="minorHAnsi" w:hAnsiTheme="minorHAnsi" w:cs="Times New Roman"/>
          <w:iCs/>
          <w:szCs w:val="18"/>
        </w:rPr>
        <w:t>Paris.</w:t>
      </w:r>
    </w:p>
  </w:footnote>
  <w:footnote w:id="11">
    <w:p w:rsidR="0070390E" w:rsidRPr="007B72B1" w:rsidRDefault="0070390E" w:rsidP="007B72B1">
      <w:pPr>
        <w:pStyle w:val="FootnoteText"/>
        <w:contextualSpacing/>
        <w:jc w:val="both"/>
        <w:rPr>
          <w:rFonts w:asciiTheme="minorHAnsi" w:hAnsiTheme="minorHAnsi" w:cs="Times New Roman"/>
          <w:i/>
          <w:iCs/>
          <w:szCs w:val="18"/>
        </w:rPr>
      </w:pPr>
      <w:r w:rsidRPr="007B72B1">
        <w:rPr>
          <w:rStyle w:val="FootnoteReference"/>
          <w:rFonts w:asciiTheme="minorHAnsi" w:hAnsiTheme="minorHAnsi"/>
          <w:szCs w:val="18"/>
        </w:rPr>
        <w:footnoteRef/>
      </w:r>
      <w:r w:rsidRPr="007B72B1">
        <w:rPr>
          <w:rFonts w:asciiTheme="minorHAnsi" w:hAnsiTheme="minorHAnsi"/>
          <w:szCs w:val="18"/>
        </w:rPr>
        <w:t xml:space="preserve">. </w:t>
      </w:r>
      <w:r w:rsidRPr="007B72B1">
        <w:rPr>
          <w:rFonts w:asciiTheme="minorHAnsi" w:hAnsiTheme="minorHAnsi" w:cs="Times New Roman"/>
          <w:szCs w:val="18"/>
        </w:rPr>
        <w:t xml:space="preserve">Organisation for Economic Co-operation and Development 2012, </w:t>
      </w:r>
      <w:r w:rsidRPr="007B72B1">
        <w:rPr>
          <w:rFonts w:asciiTheme="minorHAnsi" w:hAnsiTheme="minorHAnsi" w:cs="Times New Roman"/>
          <w:i/>
          <w:iCs/>
          <w:szCs w:val="18"/>
        </w:rPr>
        <w:t>Recommendation of the Council on Regulatory Policy and Governance,</w:t>
      </w:r>
      <w:r w:rsidRPr="007B72B1">
        <w:rPr>
          <w:rFonts w:asciiTheme="minorHAnsi" w:hAnsiTheme="minorHAnsi" w:cs="Times New Roman"/>
          <w:iCs/>
          <w:szCs w:val="18"/>
        </w:rPr>
        <w:t xml:space="preserve"> </w:t>
      </w:r>
      <w:r w:rsidRPr="007B72B1">
        <w:rPr>
          <w:rFonts w:asciiTheme="minorHAnsi" w:hAnsiTheme="minorHAnsi" w:cs="Times New Roman"/>
          <w:szCs w:val="18"/>
        </w:rPr>
        <w:t xml:space="preserve">OECD, </w:t>
      </w:r>
      <w:r w:rsidRPr="007B72B1">
        <w:rPr>
          <w:rFonts w:asciiTheme="minorHAnsi" w:hAnsiTheme="minorHAnsi" w:cs="Times New Roman"/>
          <w:iCs/>
          <w:szCs w:val="18"/>
        </w:rPr>
        <w:t>Paris.</w:t>
      </w:r>
    </w:p>
  </w:footnote>
  <w:footnote w:id="12">
    <w:p w:rsidR="0070390E" w:rsidRPr="007B72B1" w:rsidRDefault="0070390E" w:rsidP="007B72B1">
      <w:pPr>
        <w:pStyle w:val="FootnoteText"/>
        <w:spacing w:after="0"/>
        <w:ind w:left="720" w:hanging="720"/>
        <w:contextualSpacing/>
        <w:jc w:val="both"/>
        <w:rPr>
          <w:rFonts w:asciiTheme="minorHAnsi" w:hAnsiTheme="minorHAnsi" w:cs="Times New Roman"/>
          <w:szCs w:val="18"/>
        </w:rPr>
      </w:pPr>
      <w:r w:rsidRPr="007B72B1">
        <w:rPr>
          <w:rStyle w:val="FootnoteReference"/>
          <w:rFonts w:asciiTheme="minorHAnsi" w:hAnsiTheme="minorHAnsi"/>
          <w:szCs w:val="18"/>
        </w:rPr>
        <w:footnoteRef/>
      </w:r>
      <w:r w:rsidRPr="007B72B1">
        <w:rPr>
          <w:rFonts w:asciiTheme="minorHAnsi" w:hAnsiTheme="minorHAnsi"/>
          <w:szCs w:val="18"/>
        </w:rPr>
        <w:t xml:space="preserve">. </w:t>
      </w:r>
      <w:proofErr w:type="spellStart"/>
      <w:r w:rsidRPr="007B72B1">
        <w:rPr>
          <w:rFonts w:asciiTheme="minorHAnsi" w:hAnsiTheme="minorHAnsi" w:cs="Times New Roman"/>
          <w:szCs w:val="18"/>
        </w:rPr>
        <w:t>Marneffe</w:t>
      </w:r>
      <w:proofErr w:type="spellEnd"/>
      <w:r w:rsidRPr="007B72B1">
        <w:rPr>
          <w:rFonts w:asciiTheme="minorHAnsi" w:hAnsiTheme="minorHAnsi" w:cs="Times New Roman"/>
          <w:szCs w:val="18"/>
        </w:rPr>
        <w:t xml:space="preserve">, W &amp; </w:t>
      </w:r>
      <w:proofErr w:type="spellStart"/>
      <w:r w:rsidRPr="007B72B1">
        <w:rPr>
          <w:rFonts w:asciiTheme="minorHAnsi" w:hAnsiTheme="minorHAnsi" w:cs="Times New Roman"/>
          <w:szCs w:val="18"/>
        </w:rPr>
        <w:t>Vereeck</w:t>
      </w:r>
      <w:proofErr w:type="spellEnd"/>
      <w:r w:rsidRPr="007B72B1">
        <w:rPr>
          <w:rFonts w:asciiTheme="minorHAnsi" w:hAnsiTheme="minorHAnsi" w:cs="Times New Roman"/>
          <w:szCs w:val="18"/>
        </w:rPr>
        <w:t xml:space="preserve">, L 2011, ‘The meaning of regulatory costs’, </w:t>
      </w:r>
      <w:r w:rsidRPr="007B72B1">
        <w:rPr>
          <w:rFonts w:asciiTheme="minorHAnsi" w:hAnsiTheme="minorHAnsi" w:cs="Times New Roman"/>
          <w:i/>
          <w:szCs w:val="18"/>
        </w:rPr>
        <w:t>European Journal of Law and Economics</w:t>
      </w:r>
      <w:r w:rsidRPr="007B72B1">
        <w:rPr>
          <w:rFonts w:asciiTheme="minorHAnsi" w:hAnsiTheme="minorHAnsi" w:cs="Times New Roman"/>
          <w:szCs w:val="18"/>
        </w:rPr>
        <w:t>, vol. 32,</w:t>
      </w:r>
    </w:p>
    <w:p w:rsidR="0070390E" w:rsidRPr="007B72B1" w:rsidRDefault="0070390E" w:rsidP="007B72B1">
      <w:pPr>
        <w:pStyle w:val="FootnoteText"/>
        <w:spacing w:after="0"/>
        <w:ind w:left="720" w:hanging="720"/>
        <w:contextualSpacing/>
        <w:jc w:val="both"/>
        <w:rPr>
          <w:rFonts w:asciiTheme="minorHAnsi" w:hAnsiTheme="minorHAnsi" w:cs="Times New Roman"/>
          <w:szCs w:val="18"/>
        </w:rPr>
      </w:pPr>
      <w:r w:rsidRPr="007B72B1">
        <w:rPr>
          <w:rFonts w:asciiTheme="minorHAnsi" w:hAnsiTheme="minorHAnsi" w:cs="Times New Roman"/>
          <w:szCs w:val="18"/>
        </w:rPr>
        <w:t>no. 3, pp. 341-356.</w:t>
      </w:r>
    </w:p>
  </w:footnote>
  <w:footnote w:id="13">
    <w:p w:rsidR="0070390E" w:rsidRPr="007B72B1" w:rsidRDefault="0070390E" w:rsidP="007B72B1">
      <w:pPr>
        <w:pStyle w:val="FootnoteText"/>
        <w:spacing w:after="0"/>
        <w:contextualSpacing/>
        <w:jc w:val="both"/>
        <w:rPr>
          <w:rFonts w:asciiTheme="minorHAnsi" w:hAnsiTheme="minorHAnsi" w:cs="Times New Roman"/>
          <w:szCs w:val="18"/>
        </w:rPr>
      </w:pPr>
      <w:r w:rsidRPr="007B72B1">
        <w:rPr>
          <w:rStyle w:val="FootnoteReference"/>
          <w:rFonts w:asciiTheme="minorHAnsi" w:hAnsiTheme="minorHAnsi"/>
          <w:szCs w:val="18"/>
        </w:rPr>
        <w:footnoteRef/>
      </w:r>
      <w:r w:rsidRPr="007B72B1">
        <w:rPr>
          <w:rFonts w:asciiTheme="minorHAnsi" w:hAnsiTheme="minorHAnsi"/>
          <w:szCs w:val="18"/>
        </w:rPr>
        <w:t xml:space="preserve"> </w:t>
      </w:r>
      <w:r w:rsidRPr="007B72B1">
        <w:rPr>
          <w:rFonts w:asciiTheme="minorHAnsi" w:hAnsiTheme="minorHAnsi" w:cs="Times New Roman"/>
          <w:szCs w:val="18"/>
        </w:rPr>
        <w:t xml:space="preserve">Hicks, J 1939, ‘The Foundations of Welfare Economics’, </w:t>
      </w:r>
      <w:r w:rsidRPr="007B72B1">
        <w:rPr>
          <w:rFonts w:asciiTheme="minorHAnsi" w:hAnsiTheme="minorHAnsi" w:cs="Times New Roman"/>
          <w:i/>
          <w:szCs w:val="18"/>
        </w:rPr>
        <w:t>The Economic Journal</w:t>
      </w:r>
      <w:r w:rsidRPr="007B72B1">
        <w:rPr>
          <w:rFonts w:asciiTheme="minorHAnsi" w:hAnsiTheme="minorHAnsi" w:cs="Times New Roman"/>
          <w:szCs w:val="18"/>
        </w:rPr>
        <w:t xml:space="preserve">, vol. 49, no. 196, pp. 696-712; </w:t>
      </w:r>
      <w:proofErr w:type="spellStart"/>
      <w:r w:rsidRPr="007B72B1">
        <w:rPr>
          <w:rFonts w:asciiTheme="minorHAnsi" w:hAnsiTheme="minorHAnsi" w:cs="Times New Roman"/>
          <w:szCs w:val="18"/>
        </w:rPr>
        <w:t>Kaldor</w:t>
      </w:r>
      <w:proofErr w:type="spellEnd"/>
      <w:r w:rsidRPr="007B72B1">
        <w:rPr>
          <w:rFonts w:asciiTheme="minorHAnsi" w:hAnsiTheme="minorHAnsi" w:cs="Times New Roman"/>
          <w:szCs w:val="18"/>
        </w:rPr>
        <w:t xml:space="preserve">, N 1939, ‘Welfare Propositions of Economics and Interpersonal Comparisons of Utility’, </w:t>
      </w:r>
      <w:r w:rsidRPr="007B72B1">
        <w:rPr>
          <w:rFonts w:asciiTheme="minorHAnsi" w:hAnsiTheme="minorHAnsi" w:cs="Times New Roman"/>
          <w:i/>
          <w:szCs w:val="18"/>
        </w:rPr>
        <w:t>The Economic Journal</w:t>
      </w:r>
      <w:r w:rsidRPr="007B72B1">
        <w:rPr>
          <w:rFonts w:asciiTheme="minorHAnsi" w:hAnsiTheme="minorHAnsi" w:cs="Times New Roman"/>
          <w:szCs w:val="18"/>
        </w:rPr>
        <w:t>, vol. 49, no. 195, pp. 549-552.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34" w:rsidRDefault="00183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val="en-US"/>
      </w:rPr>
      <w:drawing>
        <wp:inline distT="0" distB="0" distL="0" distR="0" wp14:anchorId="1C1DB962" wp14:editId="3B5DB380">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val="en-US"/>
      </w:rPr>
      <w:drawing>
        <wp:inline distT="0" distB="0" distL="0" distR="0" wp14:anchorId="14BC199B" wp14:editId="0F2F1C90">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263C"/>
    <w:multiLevelType w:val="hybridMultilevel"/>
    <w:tmpl w:val="1DD6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C5647"/>
    <w:multiLevelType w:val="hybridMultilevel"/>
    <w:tmpl w:val="F6EC5974"/>
    <w:lvl w:ilvl="0" w:tplc="50B83906">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E6F4E"/>
    <w:multiLevelType w:val="hybridMultilevel"/>
    <w:tmpl w:val="DB6A315A"/>
    <w:lvl w:ilvl="0" w:tplc="5D5E522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B63BEF"/>
    <w:multiLevelType w:val="hybridMultilevel"/>
    <w:tmpl w:val="F1F619BA"/>
    <w:lvl w:ilvl="0" w:tplc="5D5E522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5">
    <w:nsid w:val="337C5FB2"/>
    <w:multiLevelType w:val="multilevel"/>
    <w:tmpl w:val="6AFEEB4C"/>
    <w:numStyleLink w:val="Bullets"/>
  </w:abstractNum>
  <w:abstractNum w:abstractNumId="6">
    <w:nsid w:val="33D9536F"/>
    <w:multiLevelType w:val="multilevel"/>
    <w:tmpl w:val="A7920A6E"/>
    <w:numStyleLink w:val="Headings"/>
  </w:abstractNum>
  <w:abstractNum w:abstractNumId="7">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nsid w:val="37CA0F9B"/>
    <w:multiLevelType w:val="hybridMultilevel"/>
    <w:tmpl w:val="A928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60C67"/>
    <w:multiLevelType w:val="multilevel"/>
    <w:tmpl w:val="A7920A6E"/>
    <w:numStyleLink w:val="Headings"/>
  </w:abstractNum>
  <w:abstractNum w:abstractNumId="10">
    <w:nsid w:val="3DF936BD"/>
    <w:multiLevelType w:val="multilevel"/>
    <w:tmpl w:val="A7920A6E"/>
    <w:numStyleLink w:val="Headings"/>
  </w:abstractNum>
  <w:abstractNum w:abstractNumId="11">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51A2796B"/>
    <w:multiLevelType w:val="hybridMultilevel"/>
    <w:tmpl w:val="2F8C6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67144"/>
    <w:multiLevelType w:val="multilevel"/>
    <w:tmpl w:val="989E8E90"/>
    <w:numStyleLink w:val="Appendices"/>
  </w:abstractNum>
  <w:abstractNum w:abstractNumId="14">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AAF098D"/>
    <w:multiLevelType w:val="multilevel"/>
    <w:tmpl w:val="A7920A6E"/>
    <w:numStyleLink w:val="Headings"/>
  </w:abstractNum>
  <w:abstractNum w:abstractNumId="16">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4"/>
  </w:num>
  <w:num w:numId="2">
    <w:abstractNumId w:val="17"/>
  </w:num>
  <w:num w:numId="3">
    <w:abstractNumId w:val="17"/>
  </w:num>
  <w:num w:numId="4">
    <w:abstractNumId w:val="15"/>
  </w:num>
  <w:num w:numId="5">
    <w:abstractNumId w:val="9"/>
  </w:num>
  <w:num w:numId="6">
    <w:abstractNumId w:val="4"/>
  </w:num>
  <w:num w:numId="7">
    <w:abstractNumId w:val="10"/>
  </w:num>
  <w:num w:numId="8">
    <w:abstractNumId w:val="5"/>
  </w:num>
  <w:num w:numId="9">
    <w:abstractNumId w:val="5"/>
  </w:num>
  <w:num w:numId="10">
    <w:abstractNumId w:val="5"/>
  </w:num>
  <w:num w:numId="11">
    <w:abstractNumId w:val="5"/>
  </w:num>
  <w:num w:numId="12">
    <w:abstractNumId w:val="4"/>
  </w:num>
  <w:num w:numId="13">
    <w:abstractNumId w:val="6"/>
  </w:num>
  <w:num w:numId="14">
    <w:abstractNumId w:val="6"/>
  </w:num>
  <w:num w:numId="15">
    <w:abstractNumId w:val="6"/>
  </w:num>
  <w:num w:numId="16">
    <w:abstractNumId w:val="17"/>
  </w:num>
  <w:num w:numId="17">
    <w:abstractNumId w:val="11"/>
  </w:num>
  <w:num w:numId="18">
    <w:abstractNumId w:val="13"/>
  </w:num>
  <w:num w:numId="19">
    <w:abstractNumId w:val="13"/>
  </w:num>
  <w:num w:numId="20">
    <w:abstractNumId w:val="16"/>
  </w:num>
  <w:num w:numId="21">
    <w:abstractNumId w:val="16"/>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0"/>
  </w:num>
  <w:num w:numId="28">
    <w:abstractNumId w:val="8"/>
  </w:num>
  <w:num w:numId="29">
    <w:abstractNumId w:val="2"/>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29"/>
    <w:rsid w:val="00023BFE"/>
    <w:rsid w:val="00027253"/>
    <w:rsid w:val="00047257"/>
    <w:rsid w:val="00072172"/>
    <w:rsid w:val="00082342"/>
    <w:rsid w:val="000A26EE"/>
    <w:rsid w:val="000A277B"/>
    <w:rsid w:val="000B6FBF"/>
    <w:rsid w:val="000D51F4"/>
    <w:rsid w:val="000F58CC"/>
    <w:rsid w:val="00106FBF"/>
    <w:rsid w:val="00123468"/>
    <w:rsid w:val="00147A7F"/>
    <w:rsid w:val="00147DC6"/>
    <w:rsid w:val="00156370"/>
    <w:rsid w:val="001564CF"/>
    <w:rsid w:val="00183034"/>
    <w:rsid w:val="001A5E5E"/>
    <w:rsid w:val="001C28E7"/>
    <w:rsid w:val="001C6657"/>
    <w:rsid w:val="001F0F89"/>
    <w:rsid w:val="00200556"/>
    <w:rsid w:val="002127F0"/>
    <w:rsid w:val="00214E09"/>
    <w:rsid w:val="00215FA6"/>
    <w:rsid w:val="0023073F"/>
    <w:rsid w:val="00234042"/>
    <w:rsid w:val="00234BAB"/>
    <w:rsid w:val="002361CC"/>
    <w:rsid w:val="0029474E"/>
    <w:rsid w:val="002A5974"/>
    <w:rsid w:val="002A629E"/>
    <w:rsid w:val="002C4AE8"/>
    <w:rsid w:val="002D7E61"/>
    <w:rsid w:val="002E4872"/>
    <w:rsid w:val="0030280C"/>
    <w:rsid w:val="003172FF"/>
    <w:rsid w:val="003317CF"/>
    <w:rsid w:val="003441E5"/>
    <w:rsid w:val="00354F39"/>
    <w:rsid w:val="0035691D"/>
    <w:rsid w:val="0036351B"/>
    <w:rsid w:val="003830E2"/>
    <w:rsid w:val="003850AB"/>
    <w:rsid w:val="00394E6D"/>
    <w:rsid w:val="003B0A27"/>
    <w:rsid w:val="003B1499"/>
    <w:rsid w:val="003C2EC3"/>
    <w:rsid w:val="003D2478"/>
    <w:rsid w:val="003D5CCA"/>
    <w:rsid w:val="003E6503"/>
    <w:rsid w:val="003E76C5"/>
    <w:rsid w:val="003F6199"/>
    <w:rsid w:val="004044B9"/>
    <w:rsid w:val="00432BD3"/>
    <w:rsid w:val="00447E1F"/>
    <w:rsid w:val="004545A2"/>
    <w:rsid w:val="004552EA"/>
    <w:rsid w:val="00472C7E"/>
    <w:rsid w:val="00472CA7"/>
    <w:rsid w:val="00473D10"/>
    <w:rsid w:val="00477BDB"/>
    <w:rsid w:val="004824C2"/>
    <w:rsid w:val="0049497C"/>
    <w:rsid w:val="004A01EB"/>
    <w:rsid w:val="004A36E1"/>
    <w:rsid w:val="004A55CC"/>
    <w:rsid w:val="004A791B"/>
    <w:rsid w:val="004B7462"/>
    <w:rsid w:val="004C055B"/>
    <w:rsid w:val="004C3886"/>
    <w:rsid w:val="004F2201"/>
    <w:rsid w:val="00511400"/>
    <w:rsid w:val="00521086"/>
    <w:rsid w:val="00542267"/>
    <w:rsid w:val="00553427"/>
    <w:rsid w:val="00555DE7"/>
    <w:rsid w:val="005613D8"/>
    <w:rsid w:val="005669E3"/>
    <w:rsid w:val="005820C9"/>
    <w:rsid w:val="00592615"/>
    <w:rsid w:val="00593975"/>
    <w:rsid w:val="005A673E"/>
    <w:rsid w:val="005C2EBF"/>
    <w:rsid w:val="005F75ED"/>
    <w:rsid w:val="006006CC"/>
    <w:rsid w:val="00613698"/>
    <w:rsid w:val="00616AD7"/>
    <w:rsid w:val="006318E4"/>
    <w:rsid w:val="00652978"/>
    <w:rsid w:val="00654E49"/>
    <w:rsid w:val="0065700B"/>
    <w:rsid w:val="006578D7"/>
    <w:rsid w:val="006610E7"/>
    <w:rsid w:val="00673E4D"/>
    <w:rsid w:val="00676A8B"/>
    <w:rsid w:val="00681DFF"/>
    <w:rsid w:val="006A74D0"/>
    <w:rsid w:val="006B6843"/>
    <w:rsid w:val="006C7C58"/>
    <w:rsid w:val="006D153D"/>
    <w:rsid w:val="006D4B09"/>
    <w:rsid w:val="006D5FD9"/>
    <w:rsid w:val="0070390E"/>
    <w:rsid w:val="00741F8E"/>
    <w:rsid w:val="007506AE"/>
    <w:rsid w:val="007515BF"/>
    <w:rsid w:val="00754CFF"/>
    <w:rsid w:val="00755B6C"/>
    <w:rsid w:val="007571FD"/>
    <w:rsid w:val="0076369E"/>
    <w:rsid w:val="007719FA"/>
    <w:rsid w:val="00777161"/>
    <w:rsid w:val="007830FC"/>
    <w:rsid w:val="00783F4D"/>
    <w:rsid w:val="007A3E1A"/>
    <w:rsid w:val="007A5642"/>
    <w:rsid w:val="007B2BD7"/>
    <w:rsid w:val="007B72B1"/>
    <w:rsid w:val="007D3F16"/>
    <w:rsid w:val="007D58A1"/>
    <w:rsid w:val="007E52C1"/>
    <w:rsid w:val="007F03FF"/>
    <w:rsid w:val="007F0737"/>
    <w:rsid w:val="007F4004"/>
    <w:rsid w:val="007F5443"/>
    <w:rsid w:val="00806654"/>
    <w:rsid w:val="00811977"/>
    <w:rsid w:val="008219DE"/>
    <w:rsid w:val="008338A0"/>
    <w:rsid w:val="00866F4F"/>
    <w:rsid w:val="00870240"/>
    <w:rsid w:val="00874386"/>
    <w:rsid w:val="00881584"/>
    <w:rsid w:val="0088571C"/>
    <w:rsid w:val="00886444"/>
    <w:rsid w:val="008A19E7"/>
    <w:rsid w:val="008A58FB"/>
    <w:rsid w:val="008D7013"/>
    <w:rsid w:val="008E1CC4"/>
    <w:rsid w:val="008F7E90"/>
    <w:rsid w:val="00911AB9"/>
    <w:rsid w:val="00915329"/>
    <w:rsid w:val="009211C4"/>
    <w:rsid w:val="0092663F"/>
    <w:rsid w:val="00927102"/>
    <w:rsid w:val="00942EFD"/>
    <w:rsid w:val="00951B56"/>
    <w:rsid w:val="009828CE"/>
    <w:rsid w:val="009A227B"/>
    <w:rsid w:val="009C61C5"/>
    <w:rsid w:val="009F4B9D"/>
    <w:rsid w:val="009F6740"/>
    <w:rsid w:val="00A022BC"/>
    <w:rsid w:val="00A05DCB"/>
    <w:rsid w:val="00A13B92"/>
    <w:rsid w:val="00A15389"/>
    <w:rsid w:val="00A15946"/>
    <w:rsid w:val="00A253AF"/>
    <w:rsid w:val="00A34BD5"/>
    <w:rsid w:val="00A43E42"/>
    <w:rsid w:val="00A4447D"/>
    <w:rsid w:val="00A45BA3"/>
    <w:rsid w:val="00A615CC"/>
    <w:rsid w:val="00A924FC"/>
    <w:rsid w:val="00A96349"/>
    <w:rsid w:val="00AA686C"/>
    <w:rsid w:val="00AC0C07"/>
    <w:rsid w:val="00AC247A"/>
    <w:rsid w:val="00AD032B"/>
    <w:rsid w:val="00AE2840"/>
    <w:rsid w:val="00B02AEB"/>
    <w:rsid w:val="00B14DFB"/>
    <w:rsid w:val="00B20B3F"/>
    <w:rsid w:val="00B4140A"/>
    <w:rsid w:val="00B418A0"/>
    <w:rsid w:val="00B454F4"/>
    <w:rsid w:val="00B53E73"/>
    <w:rsid w:val="00B636F0"/>
    <w:rsid w:val="00B77902"/>
    <w:rsid w:val="00B87233"/>
    <w:rsid w:val="00B877D6"/>
    <w:rsid w:val="00BA5C36"/>
    <w:rsid w:val="00BB496C"/>
    <w:rsid w:val="00BD1FF7"/>
    <w:rsid w:val="00BF754D"/>
    <w:rsid w:val="00C02722"/>
    <w:rsid w:val="00C12182"/>
    <w:rsid w:val="00C3154B"/>
    <w:rsid w:val="00C3382C"/>
    <w:rsid w:val="00C33A7D"/>
    <w:rsid w:val="00C43AC1"/>
    <w:rsid w:val="00C4540A"/>
    <w:rsid w:val="00C4734F"/>
    <w:rsid w:val="00C474B0"/>
    <w:rsid w:val="00C47A61"/>
    <w:rsid w:val="00C613FC"/>
    <w:rsid w:val="00C860BB"/>
    <w:rsid w:val="00CD3791"/>
    <w:rsid w:val="00CF5B31"/>
    <w:rsid w:val="00CF7DAA"/>
    <w:rsid w:val="00CF7EDD"/>
    <w:rsid w:val="00D0304F"/>
    <w:rsid w:val="00D17C22"/>
    <w:rsid w:val="00D34878"/>
    <w:rsid w:val="00D3636E"/>
    <w:rsid w:val="00D41700"/>
    <w:rsid w:val="00D62BCE"/>
    <w:rsid w:val="00D76C0E"/>
    <w:rsid w:val="00DA1306"/>
    <w:rsid w:val="00DD7C1C"/>
    <w:rsid w:val="00DE1770"/>
    <w:rsid w:val="00DF2349"/>
    <w:rsid w:val="00DF287A"/>
    <w:rsid w:val="00E03339"/>
    <w:rsid w:val="00E05115"/>
    <w:rsid w:val="00E26018"/>
    <w:rsid w:val="00E30643"/>
    <w:rsid w:val="00E4510B"/>
    <w:rsid w:val="00E45E4C"/>
    <w:rsid w:val="00E54047"/>
    <w:rsid w:val="00E801BD"/>
    <w:rsid w:val="00E81ECD"/>
    <w:rsid w:val="00E8505A"/>
    <w:rsid w:val="00E8684F"/>
    <w:rsid w:val="00E879CE"/>
    <w:rsid w:val="00E95D07"/>
    <w:rsid w:val="00E9627D"/>
    <w:rsid w:val="00EA04ED"/>
    <w:rsid w:val="00EA5493"/>
    <w:rsid w:val="00EB4B43"/>
    <w:rsid w:val="00EC1696"/>
    <w:rsid w:val="00EC6945"/>
    <w:rsid w:val="00EE1CFF"/>
    <w:rsid w:val="00EF05BE"/>
    <w:rsid w:val="00EF6F79"/>
    <w:rsid w:val="00F118E9"/>
    <w:rsid w:val="00F12A72"/>
    <w:rsid w:val="00F13B67"/>
    <w:rsid w:val="00F206B4"/>
    <w:rsid w:val="00F34024"/>
    <w:rsid w:val="00F43B24"/>
    <w:rsid w:val="00F47F12"/>
    <w:rsid w:val="00F61950"/>
    <w:rsid w:val="00F627A6"/>
    <w:rsid w:val="00F73112"/>
    <w:rsid w:val="00F77AEE"/>
    <w:rsid w:val="00F825CC"/>
    <w:rsid w:val="00F860D4"/>
    <w:rsid w:val="00F86E77"/>
    <w:rsid w:val="00F91DBB"/>
    <w:rsid w:val="00FD154E"/>
    <w:rsid w:val="00FF6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D0304F"/>
    <w:rPr>
      <w:sz w:val="24"/>
      <w:szCs w:val="24"/>
      <w:lang w:val="en-US"/>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beforeAutospacing="1" w:afterAutospacing="1"/>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EC1696"/>
    <w:pPr>
      <w:keepNext/>
      <w:keepLines/>
      <w:spacing w:before="200" w:beforeAutospacing="1" w:afterAutospacing="1"/>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beforeAutospacing="1" w:after="360" w:afterAutospacing="1"/>
    </w:pPr>
    <w:rPr>
      <w:rFonts w:ascii="Tahoma" w:eastAsia="Times New Roman" w:hAnsi="Tahoma" w:cs="Times New Roman"/>
      <w:sz w:val="20"/>
      <w:lang w:val="en-AU"/>
    </w:rPr>
  </w:style>
  <w:style w:type="paragraph" w:customStyle="1" w:styleId="Line">
    <w:name w:val="Line"/>
    <w:basedOn w:val="Normal"/>
    <w:rsid w:val="003E76C5"/>
    <w:pPr>
      <w:tabs>
        <w:tab w:val="left" w:leader="underscore" w:pos="8640"/>
      </w:tabs>
      <w:spacing w:before="60" w:beforeAutospacing="1" w:after="100" w:afterAutospacing="1"/>
    </w:pPr>
    <w:rPr>
      <w:rFonts w:ascii="Tahoma" w:eastAsia="Times New Roman" w:hAnsi="Tahoma" w:cs="Times New Roman"/>
      <w:sz w:val="20"/>
      <w:lang w:val="en-AU"/>
    </w:rPr>
  </w:style>
  <w:style w:type="paragraph" w:customStyle="1" w:styleId="Thankyou">
    <w:name w:val="Thankyou"/>
    <w:basedOn w:val="Normal"/>
    <w:rsid w:val="003E76C5"/>
    <w:pPr>
      <w:keepNext/>
      <w:spacing w:before="100" w:beforeAutospacing="1" w:after="100" w:afterAutospacing="1"/>
      <w:jc w:val="center"/>
    </w:pPr>
    <w:rPr>
      <w:rFonts w:ascii="Tahoma" w:eastAsia="Times New Roman" w:hAnsi="Tahoma" w:cs="Times New Roman"/>
      <w:sz w:val="20"/>
      <w:lang w:val="en-AU"/>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B454F4"/>
    <w:pPr>
      <w:tabs>
        <w:tab w:val="left" w:pos="440"/>
        <w:tab w:val="right" w:leader="dot" w:pos="9016"/>
      </w:tabs>
      <w:spacing w:before="120" w:after="120"/>
      <w:ind w:left="435" w:hanging="435"/>
    </w:pPr>
    <w:rPr>
      <w:rFonts w:ascii="Calibri" w:eastAsiaTheme="minorEastAsia" w:hAnsi="Calibri"/>
      <w:noProof/>
      <w:sz w:val="22"/>
      <w:szCs w:val="22"/>
      <w:lang w:val="en-AU" w:eastAsia="en-AU"/>
    </w:rPr>
  </w:style>
  <w:style w:type="paragraph" w:styleId="TOC2">
    <w:name w:val="toc 2"/>
    <w:basedOn w:val="Normal"/>
    <w:next w:val="Normal"/>
    <w:autoRedefine/>
    <w:uiPriority w:val="39"/>
    <w:unhideWhenUsed/>
    <w:rsid w:val="004F2201"/>
    <w:pPr>
      <w:tabs>
        <w:tab w:val="left" w:pos="880"/>
        <w:tab w:val="right" w:leader="dot" w:pos="9016"/>
      </w:tabs>
      <w:spacing w:before="120" w:after="120"/>
      <w:ind w:left="232"/>
    </w:pPr>
    <w:rPr>
      <w:rFonts w:ascii="Calibri" w:eastAsiaTheme="minorEastAsia" w:hAnsi="Calibri"/>
      <w:noProof/>
      <w:sz w:val="22"/>
      <w:szCs w:val="22"/>
      <w:lang w:val="en-AU" w:eastAsia="en-AU"/>
    </w:rPr>
  </w:style>
  <w:style w:type="paragraph" w:styleId="TOC3">
    <w:name w:val="toc 3"/>
    <w:basedOn w:val="Normal"/>
    <w:next w:val="Normal"/>
    <w:autoRedefine/>
    <w:uiPriority w:val="39"/>
    <w:unhideWhenUsed/>
    <w:rsid w:val="004F2201"/>
    <w:pPr>
      <w:tabs>
        <w:tab w:val="left" w:pos="1320"/>
        <w:tab w:val="right" w:leader="dot" w:pos="9016"/>
      </w:tabs>
      <w:spacing w:before="120" w:after="120"/>
      <w:ind w:left="459"/>
    </w:pPr>
    <w:rPr>
      <w:rFonts w:ascii="Calibri" w:eastAsiaTheme="minorEastAsia" w:hAnsi="Calibri"/>
      <w:noProof/>
      <w:sz w:val="22"/>
      <w:szCs w:val="22"/>
      <w:lang w:val="en-AU" w:eastAsia="en-AU"/>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pPr>
      <w:spacing w:before="100" w:beforeAutospacing="1" w:after="100" w:afterAutospacing="1"/>
    </w:pPr>
    <w:rPr>
      <w:rFonts w:ascii="Calibri" w:hAnsi="Calibri"/>
      <w:sz w:val="20"/>
      <w:szCs w:val="20"/>
      <w:lang w:val="en-AU"/>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spacing w:before="100" w:beforeAutospacing="1" w:after="100" w:afterAutospacing="1"/>
      <w:ind w:left="8505"/>
    </w:pPr>
    <w:rPr>
      <w:rFonts w:ascii="Calibri" w:hAnsi="Calibri"/>
      <w:sz w:val="22"/>
      <w:szCs w:val="22"/>
      <w:lang w:val="en-AU"/>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pPr>
      <w:spacing w:before="100" w:beforeAutospacing="1" w:after="100" w:afterAutospacing="1"/>
    </w:pPr>
    <w:rPr>
      <w:rFonts w:ascii="Calibri" w:hAnsi="Calibri"/>
      <w:b/>
      <w:bCs/>
      <w:color w:val="4F81BD" w:themeColor="accent1"/>
      <w:sz w:val="18"/>
      <w:szCs w:val="18"/>
      <w:lang w:val="en-AU"/>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before="100" w:beforeAutospacing="1" w:after="100" w:afterAutospacing="1"/>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pPr>
      <w:spacing w:before="100" w:beforeAutospacing="1" w:after="100" w:afterAutospacing="1"/>
    </w:pPr>
    <w:rPr>
      <w:rFonts w:ascii="Times New Roman" w:eastAsia="Times New Roman" w:hAnsi="Times New Roman" w:cs="Times New Roman"/>
      <w:sz w:val="22"/>
      <w:lang w:val="en-AU"/>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beforeAutospacing="1" w:after="140" w:afterAutospacing="1"/>
    </w:pPr>
    <w:rPr>
      <w:rFonts w:ascii="Trebuchet MS" w:eastAsia="Times New Roman" w:hAnsi="Trebuchet MS" w:cs="Times New Roman"/>
      <w:lang w:val="en-AU" w:eastAsia="en-AU"/>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pPr>
      <w:spacing w:before="100" w:beforeAutospacing="1" w:after="100" w:afterAutospacing="1"/>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spacing w:before="100" w:beforeAutospacing="1" w:after="100" w:afterAutospacing="1"/>
      <w:ind w:left="720"/>
      <w:contextualSpacing/>
    </w:pPr>
    <w:rPr>
      <w:rFonts w:ascii="Calibri" w:hAnsi="Calibri"/>
      <w:sz w:val="22"/>
      <w:szCs w:val="22"/>
      <w:lang w:val="en-AU"/>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pPr>
      <w:spacing w:before="100" w:beforeAutospacing="1" w:after="100" w:afterAutospacing="1"/>
    </w:pPr>
    <w:rPr>
      <w:rFonts w:ascii="Calibri" w:eastAsiaTheme="minorEastAsia" w:hAnsi="Calibri"/>
      <w:b/>
      <w:sz w:val="22"/>
      <w:szCs w:val="22"/>
      <w:lang w:val="en-AU" w:eastAsia="en-AU"/>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spacing w:before="100" w:beforeAutospacing="1" w:after="100" w:afterAutospacing="1"/>
      <w:ind w:right="851"/>
    </w:pPr>
    <w:rPr>
      <w:rFonts w:ascii="Calibri" w:eastAsiaTheme="minorEastAsia" w:hAnsi="Calibri"/>
      <w:sz w:val="22"/>
      <w:szCs w:val="22"/>
      <w:lang w:val="en-AU"/>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spacing w:before="100" w:beforeAutospacing="1" w:after="100" w:afterAutospacing="1"/>
      <w:ind w:left="851" w:right="851"/>
    </w:pPr>
    <w:rPr>
      <w:rFonts w:ascii="Calibri" w:eastAsiaTheme="minorEastAsia" w:hAnsi="Calibri"/>
      <w:sz w:val="22"/>
      <w:szCs w:val="22"/>
      <w:lang w:val="en-AU"/>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spacing w:before="100" w:beforeAutospacing="1" w:after="100" w:afterAutospacing="1"/>
    </w:pPr>
    <w:rPr>
      <w:rFonts w:ascii="Calibri" w:eastAsiaTheme="minorEastAsia" w:hAnsi="Calibri"/>
      <w:sz w:val="22"/>
      <w:szCs w:val="22"/>
      <w:lang w:val="en-AU" w:eastAsia="en-AU"/>
    </w:r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spacing w:before="100" w:beforeAutospacing="1" w:after="100" w:afterAutospacing="1"/>
      <w:contextualSpacing/>
    </w:pPr>
    <w:rPr>
      <w:rFonts w:ascii="Calibri" w:eastAsiaTheme="minorEastAsia" w:hAnsi="Calibri"/>
      <w:sz w:val="20"/>
      <w:szCs w:val="22"/>
      <w:lang w:val="en-AU" w:eastAsia="en-AU"/>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spacing w:before="100" w:beforeAutospacing="1" w:after="100" w:afterAutospacing="1"/>
      <w:ind w:left="851" w:right="851"/>
    </w:pPr>
    <w:rPr>
      <w:rFonts w:ascii="Calibri" w:eastAsiaTheme="minorEastAsia" w:hAnsi="Calibri"/>
      <w:b/>
      <w:sz w:val="22"/>
      <w:szCs w:val="22"/>
      <w:lang w:val="en-AU"/>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styleId="Revision">
    <w:name w:val="Revision"/>
    <w:hidden/>
    <w:uiPriority w:val="99"/>
    <w:semiHidden/>
    <w:rsid w:val="000A277B"/>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D0304F"/>
    <w:rPr>
      <w:sz w:val="24"/>
      <w:szCs w:val="24"/>
      <w:lang w:val="en-US"/>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beforeAutospacing="1" w:afterAutospacing="1"/>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EC1696"/>
    <w:pPr>
      <w:keepNext/>
      <w:keepLines/>
      <w:spacing w:before="200" w:beforeAutospacing="1" w:afterAutospacing="1"/>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beforeAutospacing="1" w:after="360" w:afterAutospacing="1"/>
    </w:pPr>
    <w:rPr>
      <w:rFonts w:ascii="Tahoma" w:eastAsia="Times New Roman" w:hAnsi="Tahoma" w:cs="Times New Roman"/>
      <w:sz w:val="20"/>
      <w:lang w:val="en-AU"/>
    </w:rPr>
  </w:style>
  <w:style w:type="paragraph" w:customStyle="1" w:styleId="Line">
    <w:name w:val="Line"/>
    <w:basedOn w:val="Normal"/>
    <w:rsid w:val="003E76C5"/>
    <w:pPr>
      <w:tabs>
        <w:tab w:val="left" w:leader="underscore" w:pos="8640"/>
      </w:tabs>
      <w:spacing w:before="60" w:beforeAutospacing="1" w:after="100" w:afterAutospacing="1"/>
    </w:pPr>
    <w:rPr>
      <w:rFonts w:ascii="Tahoma" w:eastAsia="Times New Roman" w:hAnsi="Tahoma" w:cs="Times New Roman"/>
      <w:sz w:val="20"/>
      <w:lang w:val="en-AU"/>
    </w:rPr>
  </w:style>
  <w:style w:type="paragraph" w:customStyle="1" w:styleId="Thankyou">
    <w:name w:val="Thankyou"/>
    <w:basedOn w:val="Normal"/>
    <w:rsid w:val="003E76C5"/>
    <w:pPr>
      <w:keepNext/>
      <w:spacing w:before="100" w:beforeAutospacing="1" w:after="100" w:afterAutospacing="1"/>
      <w:jc w:val="center"/>
    </w:pPr>
    <w:rPr>
      <w:rFonts w:ascii="Tahoma" w:eastAsia="Times New Roman" w:hAnsi="Tahoma" w:cs="Times New Roman"/>
      <w:sz w:val="20"/>
      <w:lang w:val="en-AU"/>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B454F4"/>
    <w:pPr>
      <w:tabs>
        <w:tab w:val="left" w:pos="440"/>
        <w:tab w:val="right" w:leader="dot" w:pos="9016"/>
      </w:tabs>
      <w:spacing w:before="120" w:after="120"/>
      <w:ind w:left="435" w:hanging="435"/>
    </w:pPr>
    <w:rPr>
      <w:rFonts w:ascii="Calibri" w:eastAsiaTheme="minorEastAsia" w:hAnsi="Calibri"/>
      <w:noProof/>
      <w:sz w:val="22"/>
      <w:szCs w:val="22"/>
      <w:lang w:val="en-AU" w:eastAsia="en-AU"/>
    </w:rPr>
  </w:style>
  <w:style w:type="paragraph" w:styleId="TOC2">
    <w:name w:val="toc 2"/>
    <w:basedOn w:val="Normal"/>
    <w:next w:val="Normal"/>
    <w:autoRedefine/>
    <w:uiPriority w:val="39"/>
    <w:unhideWhenUsed/>
    <w:rsid w:val="004F2201"/>
    <w:pPr>
      <w:tabs>
        <w:tab w:val="left" w:pos="880"/>
        <w:tab w:val="right" w:leader="dot" w:pos="9016"/>
      </w:tabs>
      <w:spacing w:before="120" w:after="120"/>
      <w:ind w:left="232"/>
    </w:pPr>
    <w:rPr>
      <w:rFonts w:ascii="Calibri" w:eastAsiaTheme="minorEastAsia" w:hAnsi="Calibri"/>
      <w:noProof/>
      <w:sz w:val="22"/>
      <w:szCs w:val="22"/>
      <w:lang w:val="en-AU" w:eastAsia="en-AU"/>
    </w:rPr>
  </w:style>
  <w:style w:type="paragraph" w:styleId="TOC3">
    <w:name w:val="toc 3"/>
    <w:basedOn w:val="Normal"/>
    <w:next w:val="Normal"/>
    <w:autoRedefine/>
    <w:uiPriority w:val="39"/>
    <w:unhideWhenUsed/>
    <w:rsid w:val="004F2201"/>
    <w:pPr>
      <w:tabs>
        <w:tab w:val="left" w:pos="1320"/>
        <w:tab w:val="right" w:leader="dot" w:pos="9016"/>
      </w:tabs>
      <w:spacing w:before="120" w:after="120"/>
      <w:ind w:left="459"/>
    </w:pPr>
    <w:rPr>
      <w:rFonts w:ascii="Calibri" w:eastAsiaTheme="minorEastAsia" w:hAnsi="Calibri"/>
      <w:noProof/>
      <w:sz w:val="22"/>
      <w:szCs w:val="22"/>
      <w:lang w:val="en-AU" w:eastAsia="en-AU"/>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pPr>
      <w:spacing w:before="100" w:beforeAutospacing="1" w:after="100" w:afterAutospacing="1"/>
    </w:pPr>
    <w:rPr>
      <w:rFonts w:ascii="Calibri" w:hAnsi="Calibri"/>
      <w:sz w:val="20"/>
      <w:szCs w:val="20"/>
      <w:lang w:val="en-AU"/>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spacing w:before="100" w:beforeAutospacing="1" w:after="100" w:afterAutospacing="1"/>
      <w:ind w:left="8505"/>
    </w:pPr>
    <w:rPr>
      <w:rFonts w:ascii="Calibri" w:hAnsi="Calibri"/>
      <w:sz w:val="22"/>
      <w:szCs w:val="22"/>
      <w:lang w:val="en-AU"/>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pPr>
      <w:spacing w:before="100" w:beforeAutospacing="1" w:after="100" w:afterAutospacing="1"/>
    </w:pPr>
    <w:rPr>
      <w:rFonts w:ascii="Calibri" w:hAnsi="Calibri"/>
      <w:b/>
      <w:bCs/>
      <w:color w:val="4F81BD" w:themeColor="accent1"/>
      <w:sz w:val="18"/>
      <w:szCs w:val="18"/>
      <w:lang w:val="en-AU"/>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before="100" w:beforeAutospacing="1" w:after="100" w:afterAutospacing="1"/>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pPr>
      <w:spacing w:before="100" w:beforeAutospacing="1" w:after="100" w:afterAutospacing="1"/>
    </w:pPr>
    <w:rPr>
      <w:rFonts w:ascii="Times New Roman" w:eastAsia="Times New Roman" w:hAnsi="Times New Roman" w:cs="Times New Roman"/>
      <w:sz w:val="22"/>
      <w:lang w:val="en-AU"/>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beforeAutospacing="1" w:after="140" w:afterAutospacing="1"/>
    </w:pPr>
    <w:rPr>
      <w:rFonts w:ascii="Trebuchet MS" w:eastAsia="Times New Roman" w:hAnsi="Trebuchet MS" w:cs="Times New Roman"/>
      <w:lang w:val="en-AU" w:eastAsia="en-AU"/>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pPr>
      <w:spacing w:before="100" w:beforeAutospacing="1" w:after="100" w:afterAutospacing="1"/>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spacing w:before="100" w:beforeAutospacing="1" w:after="100" w:afterAutospacing="1"/>
      <w:ind w:left="720"/>
      <w:contextualSpacing/>
    </w:pPr>
    <w:rPr>
      <w:rFonts w:ascii="Calibri" w:hAnsi="Calibri"/>
      <w:sz w:val="22"/>
      <w:szCs w:val="22"/>
      <w:lang w:val="en-AU"/>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pPr>
      <w:spacing w:before="100" w:beforeAutospacing="1" w:after="100" w:afterAutospacing="1"/>
    </w:pPr>
    <w:rPr>
      <w:rFonts w:ascii="Calibri" w:eastAsiaTheme="minorEastAsia" w:hAnsi="Calibri"/>
      <w:b/>
      <w:sz w:val="22"/>
      <w:szCs w:val="22"/>
      <w:lang w:val="en-AU" w:eastAsia="en-AU"/>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spacing w:before="100" w:beforeAutospacing="1" w:after="100" w:afterAutospacing="1"/>
      <w:ind w:right="851"/>
    </w:pPr>
    <w:rPr>
      <w:rFonts w:ascii="Calibri" w:eastAsiaTheme="minorEastAsia" w:hAnsi="Calibri"/>
      <w:sz w:val="22"/>
      <w:szCs w:val="22"/>
      <w:lang w:val="en-AU"/>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spacing w:before="100" w:beforeAutospacing="1" w:after="100" w:afterAutospacing="1"/>
      <w:ind w:left="851" w:right="851"/>
    </w:pPr>
    <w:rPr>
      <w:rFonts w:ascii="Calibri" w:eastAsiaTheme="minorEastAsia" w:hAnsi="Calibri"/>
      <w:sz w:val="22"/>
      <w:szCs w:val="22"/>
      <w:lang w:val="en-AU"/>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spacing w:before="100" w:beforeAutospacing="1" w:after="100" w:afterAutospacing="1"/>
    </w:pPr>
    <w:rPr>
      <w:rFonts w:ascii="Calibri" w:eastAsiaTheme="minorEastAsia" w:hAnsi="Calibri"/>
      <w:sz w:val="22"/>
      <w:szCs w:val="22"/>
      <w:lang w:val="en-AU" w:eastAsia="en-AU"/>
    </w:r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spacing w:before="100" w:beforeAutospacing="1" w:after="100" w:afterAutospacing="1"/>
      <w:contextualSpacing/>
    </w:pPr>
    <w:rPr>
      <w:rFonts w:ascii="Calibri" w:eastAsiaTheme="minorEastAsia" w:hAnsi="Calibri"/>
      <w:sz w:val="20"/>
      <w:szCs w:val="22"/>
      <w:lang w:val="en-AU" w:eastAsia="en-AU"/>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spacing w:before="100" w:beforeAutospacing="1" w:after="100" w:afterAutospacing="1"/>
      <w:ind w:left="851" w:right="851"/>
    </w:pPr>
    <w:rPr>
      <w:rFonts w:ascii="Calibri" w:eastAsiaTheme="minorEastAsia" w:hAnsi="Calibri"/>
      <w:b/>
      <w:sz w:val="22"/>
      <w:szCs w:val="22"/>
      <w:lang w:val="en-AU"/>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styleId="Revision">
    <w:name w:val="Revision"/>
    <w:hidden/>
    <w:uiPriority w:val="99"/>
    <w:semiHidden/>
    <w:rsid w:val="000A277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ma.gov.au/-/media/Research-and-Analysis/Research/pdf/Research-snapshot_NBN-pdf.pdf?la=en" TargetMode="External"/><Relationship Id="rId2" Type="http://schemas.openxmlformats.org/officeDocument/2006/relationships/hyperlink" Target="https://www.tio.com.au/__data/assets/pdf_file/0018/250911/Telecommunications-Industry-Ombudsman-Annual-Report-2017.pdf" TargetMode="External"/><Relationship Id="rId1" Type="http://schemas.openxmlformats.org/officeDocument/2006/relationships/hyperlink" Target="https://www.acma.gov.au/-/media/Research-and-Analysis/Research/pdf/Research-snapshot_NBN-pdf.pdf?la=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9A0D-908A-4610-8765-22A21A41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2</TotalTime>
  <Pages>10</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Downing</dc:creator>
  <cp:lastModifiedBy>Gareth Downing</cp:lastModifiedBy>
  <cp:revision>3</cp:revision>
  <cp:lastPrinted>2018-05-11T06:46:00Z</cp:lastPrinted>
  <dcterms:created xsi:type="dcterms:W3CDTF">2018-05-11T06:46:00Z</dcterms:created>
  <dcterms:modified xsi:type="dcterms:W3CDTF">2018-05-11T06:47:00Z</dcterms:modified>
</cp:coreProperties>
</file>