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5340" w14:textId="4CBFCE1A" w:rsidR="00632EA6" w:rsidRPr="006855F1" w:rsidRDefault="00632EA6" w:rsidP="00632EA6">
      <w:pPr>
        <w:spacing w:after="0"/>
        <w:rPr>
          <w:rFonts w:cstheme="minorHAnsi"/>
        </w:rPr>
      </w:pPr>
    </w:p>
    <w:p w14:paraId="3F7655A2" w14:textId="77777777" w:rsidR="00632EA6" w:rsidRPr="006855F1" w:rsidRDefault="00632EA6" w:rsidP="00632EA6">
      <w:pPr>
        <w:spacing w:after="0"/>
        <w:rPr>
          <w:rFonts w:cstheme="minorHAnsi"/>
        </w:rPr>
      </w:pPr>
    </w:p>
    <w:p w14:paraId="61CD88E8" w14:textId="21B88941" w:rsidR="00632EA6" w:rsidRPr="006855F1" w:rsidRDefault="00632EA6" w:rsidP="00632EA6">
      <w:pPr>
        <w:spacing w:after="0"/>
        <w:rPr>
          <w:rFonts w:cstheme="minorHAnsi"/>
        </w:rPr>
      </w:pPr>
      <w:r w:rsidRPr="006855F1">
        <w:rPr>
          <w:rFonts w:cstheme="minorHAnsi"/>
        </w:rPr>
        <w:t>Director</w:t>
      </w:r>
    </w:p>
    <w:p w14:paraId="250A1555" w14:textId="0DBD9468" w:rsidR="00632EA6" w:rsidRPr="006855F1" w:rsidRDefault="00632EA6" w:rsidP="00632EA6">
      <w:pPr>
        <w:spacing w:after="0"/>
        <w:rPr>
          <w:rFonts w:cstheme="minorHAnsi"/>
        </w:rPr>
      </w:pPr>
      <w:r w:rsidRPr="006855F1">
        <w:rPr>
          <w:rFonts w:cstheme="minorHAnsi"/>
        </w:rPr>
        <w:t>Telecommunications Competition</w:t>
      </w:r>
    </w:p>
    <w:p w14:paraId="0EE12AAF" w14:textId="77777777" w:rsidR="00632EA6" w:rsidRPr="006855F1" w:rsidRDefault="00632EA6" w:rsidP="00632EA6">
      <w:pPr>
        <w:spacing w:after="0"/>
        <w:rPr>
          <w:rFonts w:cstheme="minorHAnsi"/>
        </w:rPr>
      </w:pPr>
      <w:r w:rsidRPr="006855F1">
        <w:rPr>
          <w:rFonts w:cstheme="minorHAnsi"/>
        </w:rPr>
        <w:t>Department of Infrastructure, Transport, Regional Development and Communications</w:t>
      </w:r>
    </w:p>
    <w:p w14:paraId="6F2F3604" w14:textId="77777777" w:rsidR="00632EA6" w:rsidRPr="006855F1" w:rsidRDefault="00632EA6" w:rsidP="00632EA6">
      <w:pPr>
        <w:spacing w:after="0"/>
        <w:rPr>
          <w:rFonts w:cstheme="minorHAnsi"/>
        </w:rPr>
      </w:pPr>
      <w:r w:rsidRPr="006855F1">
        <w:rPr>
          <w:rFonts w:cstheme="minorHAnsi"/>
        </w:rPr>
        <w:t>GPO Box 594</w:t>
      </w:r>
    </w:p>
    <w:p w14:paraId="357A9423" w14:textId="01382B5F" w:rsidR="00C7127B" w:rsidRPr="006855F1" w:rsidRDefault="00632EA6" w:rsidP="00632EA6">
      <w:pPr>
        <w:spacing w:after="0"/>
        <w:rPr>
          <w:rFonts w:cstheme="minorHAnsi"/>
        </w:rPr>
      </w:pPr>
      <w:r w:rsidRPr="006855F1">
        <w:rPr>
          <w:rFonts w:cstheme="minorHAnsi"/>
        </w:rPr>
        <w:t>Canberra ACT 2601</w:t>
      </w:r>
    </w:p>
    <w:p w14:paraId="754E5195" w14:textId="0333276B" w:rsidR="00632EA6" w:rsidRPr="006855F1" w:rsidRDefault="00632EA6" w:rsidP="00C7127B">
      <w:pPr>
        <w:pStyle w:val="BodyText1"/>
        <w:rPr>
          <w:rFonts w:asciiTheme="minorHAnsi" w:hAnsiTheme="minorHAnsi" w:cstheme="minorHAnsi"/>
        </w:rPr>
      </w:pPr>
    </w:p>
    <w:p w14:paraId="5C7BE6D2" w14:textId="0F8D084A" w:rsidR="00632EA6" w:rsidRPr="006855F1" w:rsidRDefault="00632EA6" w:rsidP="00C7127B">
      <w:pPr>
        <w:pStyle w:val="BodyText1"/>
        <w:rPr>
          <w:rFonts w:asciiTheme="minorHAnsi" w:hAnsiTheme="minorHAnsi" w:cstheme="minorHAnsi"/>
        </w:rPr>
      </w:pPr>
      <w:r w:rsidRPr="006855F1">
        <w:rPr>
          <w:rFonts w:asciiTheme="minorHAnsi" w:hAnsiTheme="minorHAnsi" w:cstheme="minorHAnsi"/>
        </w:rPr>
        <w:t xml:space="preserve">By email: </w:t>
      </w:r>
      <w:hyperlink r:id="rId8" w:history="1">
        <w:r w:rsidRPr="006855F1">
          <w:rPr>
            <w:rFonts w:asciiTheme="minorHAnsi" w:eastAsiaTheme="minorEastAsia" w:hAnsiTheme="minorHAnsi" w:cstheme="minorHAnsi"/>
            <w:color w:val="00478C"/>
            <w:u w:val="single"/>
            <w:shd w:val="clear" w:color="auto" w:fill="FFFFFF"/>
            <w:lang w:eastAsia="en-AU"/>
          </w:rPr>
          <w:t>InfrastructureAndAccess@communications.gov.au</w:t>
        </w:r>
      </w:hyperlink>
    </w:p>
    <w:p w14:paraId="178923E8" w14:textId="77777777" w:rsidR="00632EA6" w:rsidRPr="006855F1" w:rsidRDefault="00632EA6" w:rsidP="00C7127B">
      <w:pPr>
        <w:pStyle w:val="BodyText1"/>
        <w:rPr>
          <w:rFonts w:asciiTheme="minorHAnsi" w:hAnsiTheme="minorHAnsi" w:cstheme="minorHAnsi"/>
        </w:rPr>
      </w:pPr>
    </w:p>
    <w:p w14:paraId="0C987AE8" w14:textId="13ECA257" w:rsidR="00632EA6" w:rsidRPr="006855F1" w:rsidRDefault="00632EA6" w:rsidP="00C7127B">
      <w:pPr>
        <w:pStyle w:val="BodyText1"/>
        <w:rPr>
          <w:rFonts w:asciiTheme="minorHAnsi" w:hAnsiTheme="minorHAnsi" w:cstheme="minorHAnsi"/>
        </w:rPr>
      </w:pPr>
      <w:r w:rsidRPr="006855F1">
        <w:rPr>
          <w:rFonts w:asciiTheme="minorHAnsi" w:hAnsiTheme="minorHAnsi" w:cstheme="minorHAnsi"/>
        </w:rPr>
        <w:t>Dear Director,</w:t>
      </w:r>
    </w:p>
    <w:p w14:paraId="781C9FFF" w14:textId="0A5A936A" w:rsidR="00632EA6" w:rsidRPr="006855F1" w:rsidRDefault="00632EA6" w:rsidP="00C7127B">
      <w:pPr>
        <w:pStyle w:val="BodyText1"/>
        <w:rPr>
          <w:rFonts w:asciiTheme="minorHAnsi" w:hAnsiTheme="minorHAnsi" w:cstheme="minorHAnsi"/>
          <w:b/>
          <w:bCs/>
        </w:rPr>
      </w:pPr>
      <w:r w:rsidRPr="006855F1">
        <w:rPr>
          <w:rFonts w:asciiTheme="minorHAnsi" w:hAnsiTheme="minorHAnsi" w:cstheme="minorHAnsi"/>
          <w:b/>
          <w:bCs/>
        </w:rPr>
        <w:t xml:space="preserve">RE: </w:t>
      </w:r>
      <w:r w:rsidR="00D4179F" w:rsidRPr="006855F1">
        <w:rPr>
          <w:rFonts w:asciiTheme="minorHAnsi" w:hAnsiTheme="minorHAnsi" w:cstheme="minorHAnsi"/>
          <w:b/>
          <w:bCs/>
        </w:rPr>
        <w:t>Telstra’s request for extensions to Ministerial exemptions for its South Brisbane and Velocity networks.</w:t>
      </w:r>
    </w:p>
    <w:p w14:paraId="3A91DC68" w14:textId="15A80624" w:rsidR="00C7127B" w:rsidRPr="00CC239B" w:rsidRDefault="00C7127B" w:rsidP="009A37DB">
      <w:pPr>
        <w:pStyle w:val="BodyText1"/>
        <w:rPr>
          <w:rFonts w:asciiTheme="minorHAnsi" w:hAnsiTheme="minorHAnsi" w:cstheme="minorHAnsi"/>
        </w:rPr>
      </w:pPr>
      <w:r w:rsidRPr="006855F1">
        <w:rPr>
          <w:rFonts w:asciiTheme="minorHAnsi" w:hAnsiTheme="minorHAnsi" w:cstheme="minorHAnsi"/>
        </w:rPr>
        <w:t xml:space="preserve">ACCAN thanks </w:t>
      </w:r>
      <w:r w:rsidR="00D4179F" w:rsidRPr="006855F1">
        <w:rPr>
          <w:rFonts w:asciiTheme="minorHAnsi" w:hAnsiTheme="minorHAnsi" w:cstheme="minorHAnsi"/>
        </w:rPr>
        <w:t>the Department of Infrastructure, Transport, Regional Development and Communications</w:t>
      </w:r>
      <w:r w:rsidRPr="006855F1">
        <w:rPr>
          <w:rFonts w:asciiTheme="minorHAnsi" w:hAnsiTheme="minorHAnsi" w:cstheme="minorHAnsi"/>
        </w:rPr>
        <w:t xml:space="preserve"> for</w:t>
      </w:r>
      <w:r w:rsidRPr="00CC239B">
        <w:rPr>
          <w:rFonts w:asciiTheme="minorHAnsi" w:hAnsiTheme="minorHAnsi" w:cstheme="minorHAnsi"/>
        </w:rPr>
        <w:t xml:space="preserve"> the opportunity to </w:t>
      </w:r>
      <w:r w:rsidR="00D4179F" w:rsidRPr="00CC239B">
        <w:rPr>
          <w:rFonts w:asciiTheme="minorHAnsi" w:hAnsiTheme="minorHAnsi" w:cstheme="minorHAnsi"/>
        </w:rPr>
        <w:t xml:space="preserve">comment on Telstra’s request for extensions to </w:t>
      </w:r>
      <w:r w:rsidR="009A37DB">
        <w:rPr>
          <w:rFonts w:asciiTheme="minorHAnsi" w:hAnsiTheme="minorHAnsi" w:cstheme="minorHAnsi"/>
        </w:rPr>
        <w:t>(</w:t>
      </w:r>
      <w:r w:rsidR="009A37DB" w:rsidRPr="009A37DB">
        <w:rPr>
          <w:rFonts w:asciiTheme="minorHAnsi" w:hAnsiTheme="minorHAnsi" w:cstheme="minorHAnsi"/>
          <w:i/>
          <w:iCs/>
        </w:rPr>
        <w:t>Telecommunications (Network exemption – Telstra South Brisbane Network</w:t>
      </w:r>
      <w:r w:rsidR="009A37DB" w:rsidRPr="009A37DB">
        <w:rPr>
          <w:rFonts w:asciiTheme="minorHAnsi" w:hAnsiTheme="minorHAnsi" w:cstheme="minorHAnsi"/>
        </w:rPr>
        <w:t xml:space="preserve">) </w:t>
      </w:r>
      <w:r w:rsidR="009A37DB" w:rsidRPr="009A37DB">
        <w:rPr>
          <w:rFonts w:asciiTheme="minorHAnsi" w:hAnsiTheme="minorHAnsi" w:cstheme="minorHAnsi"/>
          <w:i/>
          <w:iCs/>
        </w:rPr>
        <w:t>Instrument 2012</w:t>
      </w:r>
      <w:r w:rsidR="009A37DB" w:rsidRPr="009A37DB">
        <w:rPr>
          <w:rFonts w:asciiTheme="minorHAnsi" w:hAnsiTheme="minorHAnsi" w:cstheme="minorHAnsi"/>
        </w:rPr>
        <w:t xml:space="preserve"> and</w:t>
      </w:r>
      <w:r w:rsidR="009A37DB">
        <w:rPr>
          <w:rFonts w:asciiTheme="minorHAnsi" w:hAnsiTheme="minorHAnsi" w:cstheme="minorHAnsi"/>
        </w:rPr>
        <w:t xml:space="preserve"> </w:t>
      </w:r>
      <w:r w:rsidR="009A37DB" w:rsidRPr="009A37DB">
        <w:rPr>
          <w:rFonts w:asciiTheme="minorHAnsi" w:hAnsiTheme="minorHAnsi" w:cstheme="minorHAnsi"/>
          <w:i/>
          <w:iCs/>
        </w:rPr>
        <w:t>Telecommunications (Network Exemption – Telstra Specified Velocity Networks) Instrument 2012)</w:t>
      </w:r>
      <w:r w:rsidR="009A37DB">
        <w:rPr>
          <w:rFonts w:asciiTheme="minorHAnsi" w:hAnsiTheme="minorHAnsi" w:cstheme="minorHAnsi"/>
        </w:rPr>
        <w:t>.</w:t>
      </w:r>
    </w:p>
    <w:p w14:paraId="02AE026D" w14:textId="5C04FA9A" w:rsidR="00A125F7" w:rsidRPr="00A53643" w:rsidRDefault="00A53643" w:rsidP="00A53643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ACCAN has engaged extensively </w:t>
      </w:r>
      <w:r w:rsidR="000D5FD2">
        <w:rPr>
          <w:rFonts w:asciiTheme="minorHAnsi" w:hAnsiTheme="minorHAnsi" w:cstheme="minorHAnsi"/>
          <w:color w:val="auto"/>
        </w:rPr>
        <w:t>with</w:t>
      </w:r>
      <w:r>
        <w:rPr>
          <w:rFonts w:asciiTheme="minorHAnsi" w:hAnsiTheme="minorHAnsi" w:cstheme="minorHAnsi"/>
          <w:color w:val="auto"/>
        </w:rPr>
        <w:t xml:space="preserve"> previous exemption requests </w:t>
      </w:r>
      <w:r w:rsidR="002222EE">
        <w:rPr>
          <w:rFonts w:asciiTheme="minorHAnsi" w:hAnsiTheme="minorHAnsi" w:cstheme="minorHAnsi"/>
          <w:color w:val="auto"/>
        </w:rPr>
        <w:t>sought by</w:t>
      </w:r>
      <w:r>
        <w:rPr>
          <w:rFonts w:asciiTheme="minorHAnsi" w:hAnsiTheme="minorHAnsi" w:cstheme="minorHAnsi"/>
          <w:color w:val="auto"/>
        </w:rPr>
        <w:t xml:space="preserve"> Telstra </w:t>
      </w:r>
      <w:r w:rsidR="00B54406">
        <w:rPr>
          <w:rFonts w:asciiTheme="minorHAnsi" w:hAnsiTheme="minorHAnsi" w:cstheme="minorHAnsi"/>
          <w:color w:val="auto"/>
        </w:rPr>
        <w:t xml:space="preserve">in relation </w:t>
      </w:r>
      <w:r>
        <w:rPr>
          <w:rFonts w:asciiTheme="minorHAnsi" w:hAnsiTheme="minorHAnsi" w:cstheme="minorHAnsi"/>
          <w:color w:val="auto"/>
        </w:rPr>
        <w:t xml:space="preserve">to </w:t>
      </w:r>
      <w:r w:rsidR="002222EE">
        <w:rPr>
          <w:rFonts w:asciiTheme="minorHAnsi" w:hAnsiTheme="minorHAnsi" w:cstheme="minorHAnsi"/>
          <w:color w:val="auto"/>
        </w:rPr>
        <w:t>its</w:t>
      </w:r>
      <w:r>
        <w:rPr>
          <w:rFonts w:asciiTheme="minorHAnsi" w:hAnsiTheme="minorHAnsi" w:cstheme="minorHAnsi"/>
          <w:color w:val="auto"/>
        </w:rPr>
        <w:t xml:space="preserve"> South Brisbane and Velocity networks</w:t>
      </w:r>
      <w:r w:rsidR="00F24FF6">
        <w:rPr>
          <w:rFonts w:asciiTheme="minorHAnsi" w:hAnsiTheme="minorHAnsi" w:cstheme="minorHAnsi"/>
          <w:color w:val="auto"/>
        </w:rPr>
        <w:t xml:space="preserve"> (the Networks)</w:t>
      </w:r>
      <w:r>
        <w:rPr>
          <w:rFonts w:asciiTheme="minorHAnsi" w:hAnsiTheme="minorHAnsi" w:cstheme="minorHAnsi"/>
          <w:color w:val="auto"/>
        </w:rPr>
        <w:t>.</w:t>
      </w:r>
      <w:r w:rsidR="000D5FD2">
        <w:rPr>
          <w:rFonts w:asciiTheme="minorHAnsi" w:hAnsiTheme="minorHAnsi" w:cstheme="minorHAnsi"/>
          <w:color w:val="auto"/>
        </w:rPr>
        <w:t xml:space="preserve"> Our concerns</w:t>
      </w:r>
      <w:r w:rsidR="00633B54">
        <w:rPr>
          <w:rFonts w:asciiTheme="minorHAnsi" w:hAnsiTheme="minorHAnsi" w:cstheme="minorHAnsi"/>
          <w:color w:val="auto"/>
        </w:rPr>
        <w:t xml:space="preserve"> with </w:t>
      </w:r>
      <w:r w:rsidR="00A52A4C">
        <w:rPr>
          <w:rFonts w:asciiTheme="minorHAnsi" w:hAnsiTheme="minorHAnsi" w:cstheme="minorHAnsi"/>
          <w:color w:val="auto"/>
        </w:rPr>
        <w:t xml:space="preserve">exemptions granted to date </w:t>
      </w:r>
      <w:r w:rsidR="000C140D">
        <w:rPr>
          <w:rFonts w:asciiTheme="minorHAnsi" w:hAnsiTheme="minorHAnsi" w:cstheme="minorHAnsi"/>
          <w:color w:val="auto"/>
        </w:rPr>
        <w:t>are</w:t>
      </w:r>
      <w:r w:rsidR="00A125F7">
        <w:rPr>
          <w:rFonts w:asciiTheme="minorHAnsi" w:hAnsiTheme="minorHAnsi" w:cstheme="minorHAnsi"/>
          <w:color w:val="auto"/>
        </w:rPr>
        <w:t xml:space="preserve"> predominantly in relation to:</w:t>
      </w:r>
    </w:p>
    <w:p w14:paraId="33CBA3F0" w14:textId="6C3A4D21" w:rsidR="00A125F7" w:rsidRDefault="00A125F7" w:rsidP="00F24FF6">
      <w:pPr>
        <w:pStyle w:val="BodyText1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Limited consumer choice </w:t>
      </w:r>
      <w:r w:rsidR="00D32663">
        <w:rPr>
          <w:rFonts w:asciiTheme="minorHAnsi" w:hAnsiTheme="minorHAnsi" w:cstheme="minorHAnsi"/>
          <w:color w:val="auto"/>
        </w:rPr>
        <w:t xml:space="preserve">between </w:t>
      </w:r>
      <w:r w:rsidR="00235D10">
        <w:rPr>
          <w:rFonts w:asciiTheme="minorHAnsi" w:hAnsiTheme="minorHAnsi" w:cstheme="minorHAnsi"/>
          <w:color w:val="auto"/>
        </w:rPr>
        <w:t xml:space="preserve">retail service </w:t>
      </w:r>
      <w:r w:rsidR="00D32663">
        <w:rPr>
          <w:rFonts w:asciiTheme="minorHAnsi" w:hAnsiTheme="minorHAnsi" w:cstheme="minorHAnsi"/>
          <w:color w:val="auto"/>
        </w:rPr>
        <w:t>providers</w:t>
      </w:r>
      <w:r w:rsidR="00235D10">
        <w:rPr>
          <w:rFonts w:asciiTheme="minorHAnsi" w:hAnsiTheme="minorHAnsi" w:cstheme="minorHAnsi"/>
          <w:color w:val="auto"/>
        </w:rPr>
        <w:t xml:space="preserve"> (RSPs)</w:t>
      </w:r>
      <w:r w:rsidR="00D32663">
        <w:rPr>
          <w:rFonts w:asciiTheme="minorHAnsi" w:hAnsiTheme="minorHAnsi" w:cstheme="minorHAnsi"/>
          <w:color w:val="auto"/>
        </w:rPr>
        <w:t xml:space="preserve"> servicing </w:t>
      </w:r>
      <w:r>
        <w:rPr>
          <w:rFonts w:asciiTheme="minorHAnsi" w:hAnsiTheme="minorHAnsi" w:cstheme="minorHAnsi"/>
          <w:color w:val="auto"/>
        </w:rPr>
        <w:t>the South Brisbane and Velocity footprints</w:t>
      </w:r>
      <w:r w:rsidR="00D32663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71B53810" w14:textId="4213C643" w:rsidR="00517795" w:rsidRDefault="00D32663" w:rsidP="00F24FF6">
      <w:pPr>
        <w:pStyle w:val="BodyText1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subsequent lack of an</w:t>
      </w:r>
      <w:r w:rsidR="00517795" w:rsidRPr="00A125F7">
        <w:rPr>
          <w:rFonts w:asciiTheme="minorHAnsi" w:hAnsiTheme="minorHAnsi" w:cstheme="minorHAnsi"/>
          <w:color w:val="auto"/>
        </w:rPr>
        <w:t xml:space="preserve"> economy of scale </w:t>
      </w:r>
      <w:r w:rsidR="00B016F5">
        <w:rPr>
          <w:rFonts w:asciiTheme="minorHAnsi" w:hAnsiTheme="minorHAnsi" w:cstheme="minorHAnsi"/>
          <w:color w:val="auto"/>
        </w:rPr>
        <w:t>that would</w:t>
      </w:r>
      <w:r w:rsidR="00517795" w:rsidRPr="00A125F7">
        <w:rPr>
          <w:rFonts w:asciiTheme="minorHAnsi" w:hAnsiTheme="minorHAnsi" w:cstheme="minorHAnsi"/>
          <w:color w:val="auto"/>
        </w:rPr>
        <w:t xml:space="preserve"> deliver </w:t>
      </w:r>
      <w:r w:rsidR="00633B54">
        <w:rPr>
          <w:rFonts w:asciiTheme="minorHAnsi" w:hAnsiTheme="minorHAnsi" w:cstheme="minorHAnsi"/>
          <w:color w:val="auto"/>
        </w:rPr>
        <w:t xml:space="preserve">competitive </w:t>
      </w:r>
      <w:r>
        <w:rPr>
          <w:rFonts w:asciiTheme="minorHAnsi" w:hAnsiTheme="minorHAnsi" w:cstheme="minorHAnsi"/>
          <w:color w:val="auto"/>
        </w:rPr>
        <w:t>service</w:t>
      </w:r>
      <w:r w:rsidR="00517795" w:rsidRPr="00A125F7">
        <w:rPr>
          <w:rFonts w:asciiTheme="minorHAnsi" w:hAnsiTheme="minorHAnsi" w:cstheme="minorHAnsi"/>
          <w:color w:val="auto"/>
        </w:rPr>
        <w:t xml:space="preserve"> pric</w:t>
      </w:r>
      <w:r w:rsidR="00633B54">
        <w:rPr>
          <w:rFonts w:asciiTheme="minorHAnsi" w:hAnsiTheme="minorHAnsi" w:cstheme="minorHAnsi"/>
          <w:color w:val="auto"/>
        </w:rPr>
        <w:t xml:space="preserve">es, </w:t>
      </w:r>
    </w:p>
    <w:p w14:paraId="25910874" w14:textId="6B043C27" w:rsidR="002222EE" w:rsidRDefault="002222EE" w:rsidP="00F24FF6">
      <w:pPr>
        <w:pStyle w:val="BodyText1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Information </w:t>
      </w:r>
      <w:r w:rsidR="00633B54">
        <w:rPr>
          <w:rFonts w:asciiTheme="minorHAnsi" w:hAnsiTheme="minorHAnsi" w:cstheme="minorHAnsi"/>
          <w:color w:val="auto"/>
        </w:rPr>
        <w:t xml:space="preserve">asymmetries between providers and consumers surrounding </w:t>
      </w:r>
      <w:r>
        <w:rPr>
          <w:rFonts w:asciiTheme="minorHAnsi" w:hAnsiTheme="minorHAnsi" w:cstheme="minorHAnsi"/>
          <w:color w:val="auto"/>
        </w:rPr>
        <w:t>the availability</w:t>
      </w:r>
      <w:r w:rsidR="004803B9">
        <w:rPr>
          <w:rFonts w:asciiTheme="minorHAnsi" w:hAnsiTheme="minorHAnsi" w:cstheme="minorHAnsi"/>
          <w:color w:val="auto"/>
        </w:rPr>
        <w:t xml:space="preserve">, capacity and pricing </w:t>
      </w:r>
      <w:r>
        <w:rPr>
          <w:rFonts w:asciiTheme="minorHAnsi" w:hAnsiTheme="minorHAnsi" w:cstheme="minorHAnsi"/>
          <w:color w:val="auto"/>
        </w:rPr>
        <w:t>of services</w:t>
      </w:r>
      <w:r w:rsidR="00060930">
        <w:rPr>
          <w:rFonts w:asciiTheme="minorHAnsi" w:hAnsiTheme="minorHAnsi" w:cstheme="minorHAnsi"/>
          <w:color w:val="auto"/>
        </w:rPr>
        <w:t xml:space="preserve">, </w:t>
      </w:r>
      <w:r w:rsidR="00B016F5">
        <w:rPr>
          <w:rFonts w:asciiTheme="minorHAnsi" w:hAnsiTheme="minorHAnsi" w:cstheme="minorHAnsi"/>
          <w:color w:val="auto"/>
        </w:rPr>
        <w:t>and</w:t>
      </w:r>
    </w:p>
    <w:p w14:paraId="0451A0B4" w14:textId="27459821" w:rsidR="00633B54" w:rsidRDefault="00633B54" w:rsidP="00F24FF6">
      <w:pPr>
        <w:pStyle w:val="BodyText1"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Technical constraints to the capacity of the </w:t>
      </w:r>
      <w:r w:rsidR="00B016F5">
        <w:rPr>
          <w:rFonts w:asciiTheme="minorHAnsi" w:hAnsiTheme="minorHAnsi" w:cstheme="minorHAnsi"/>
          <w:color w:val="auto"/>
        </w:rPr>
        <w:t>N</w:t>
      </w:r>
      <w:r>
        <w:rPr>
          <w:rFonts w:asciiTheme="minorHAnsi" w:hAnsiTheme="minorHAnsi" w:cstheme="minorHAnsi"/>
          <w:color w:val="auto"/>
        </w:rPr>
        <w:t xml:space="preserve">etworks, </w:t>
      </w:r>
      <w:r w:rsidR="00A52A4C">
        <w:rPr>
          <w:rFonts w:asciiTheme="minorHAnsi" w:hAnsiTheme="minorHAnsi" w:cstheme="minorHAnsi"/>
          <w:color w:val="auto"/>
        </w:rPr>
        <w:t xml:space="preserve">resulting in </w:t>
      </w:r>
      <w:r>
        <w:rPr>
          <w:rFonts w:asciiTheme="minorHAnsi" w:hAnsiTheme="minorHAnsi" w:cstheme="minorHAnsi"/>
          <w:color w:val="auto"/>
        </w:rPr>
        <w:t xml:space="preserve">services </w:t>
      </w:r>
      <w:r w:rsidR="004803B9">
        <w:rPr>
          <w:rFonts w:asciiTheme="minorHAnsi" w:hAnsiTheme="minorHAnsi" w:cstheme="minorHAnsi"/>
          <w:color w:val="auto"/>
        </w:rPr>
        <w:t xml:space="preserve">that </w:t>
      </w:r>
      <w:r>
        <w:rPr>
          <w:rFonts w:asciiTheme="minorHAnsi" w:hAnsiTheme="minorHAnsi" w:cstheme="minorHAnsi"/>
          <w:color w:val="auto"/>
        </w:rPr>
        <w:t xml:space="preserve">do not meet consumer expectations.  </w:t>
      </w:r>
    </w:p>
    <w:p w14:paraId="3E735850" w14:textId="0EEE1F72" w:rsidR="000C140D" w:rsidRPr="005D6C3E" w:rsidRDefault="000C140D" w:rsidP="005D6C3E">
      <w:pPr>
        <w:pStyle w:val="Heading2"/>
      </w:pPr>
      <w:r w:rsidRPr="005D6C3E">
        <w:lastRenderedPageBreak/>
        <w:t>ACCAN’s position on the exemption</w:t>
      </w:r>
      <w:r w:rsidR="007D3304">
        <w:t xml:space="preserve"> requests</w:t>
      </w:r>
    </w:p>
    <w:p w14:paraId="0CB5E86C" w14:textId="7FBB8B6B" w:rsidR="005D6C3E" w:rsidRDefault="00F24FF6" w:rsidP="000D4633">
      <w:pPr>
        <w:pStyle w:val="BodyText1"/>
        <w:keepNext/>
        <w:keepLines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It is disappointing that</w:t>
      </w:r>
      <w:r w:rsidR="005D6C3E">
        <w:rPr>
          <w:rFonts w:asciiTheme="minorHAnsi" w:hAnsiTheme="minorHAnsi" w:cstheme="minorHAnsi"/>
          <w:color w:val="auto"/>
        </w:rPr>
        <w:t xml:space="preserve"> there is still no </w:t>
      </w:r>
      <w:r w:rsidR="00B54406">
        <w:rPr>
          <w:rFonts w:asciiTheme="minorHAnsi" w:hAnsiTheme="minorHAnsi" w:cstheme="minorHAnsi"/>
          <w:color w:val="auto"/>
        </w:rPr>
        <w:t>clear plan for</w:t>
      </w:r>
      <w:r w:rsidR="005D6C3E">
        <w:rPr>
          <w:rFonts w:asciiTheme="minorHAnsi" w:hAnsiTheme="minorHAnsi" w:cstheme="minorHAnsi"/>
          <w:color w:val="auto"/>
        </w:rPr>
        <w:t xml:space="preserve"> how and when </w:t>
      </w:r>
      <w:r w:rsidR="000D4633">
        <w:rPr>
          <w:rFonts w:asciiTheme="minorHAnsi" w:hAnsiTheme="minorHAnsi" w:cstheme="minorHAnsi"/>
          <w:color w:val="auto"/>
        </w:rPr>
        <w:t>arrangements</w:t>
      </w:r>
      <w:r w:rsidR="005D6C3E">
        <w:rPr>
          <w:rFonts w:asciiTheme="minorHAnsi" w:hAnsiTheme="minorHAnsi" w:cstheme="minorHAnsi"/>
          <w:color w:val="auto"/>
        </w:rPr>
        <w:t xml:space="preserve"> for</w:t>
      </w:r>
      <w:r w:rsidR="000D4633">
        <w:rPr>
          <w:rFonts w:asciiTheme="minorHAnsi" w:hAnsiTheme="minorHAnsi" w:cstheme="minorHAnsi"/>
          <w:color w:val="auto"/>
        </w:rPr>
        <w:t xml:space="preserve"> services delivered over</w:t>
      </w:r>
      <w:r w:rsidR="005D6C3E">
        <w:rPr>
          <w:rFonts w:asciiTheme="minorHAnsi" w:hAnsiTheme="minorHAnsi" w:cstheme="minorHAnsi"/>
          <w:color w:val="auto"/>
        </w:rPr>
        <w:t xml:space="preserve"> the Networks will fall in line with </w:t>
      </w:r>
      <w:r w:rsidR="005D6C3E" w:rsidRPr="005D6C3E">
        <w:rPr>
          <w:rFonts w:asciiTheme="minorHAnsi" w:hAnsiTheme="minorHAnsi" w:cstheme="minorHAnsi"/>
          <w:color w:val="auto"/>
        </w:rPr>
        <w:t>Parts 7 and 8 of the Telecommunications Act</w:t>
      </w:r>
      <w:r w:rsidR="005D6C3E">
        <w:rPr>
          <w:rFonts w:asciiTheme="minorHAnsi" w:hAnsiTheme="minorHAnsi" w:cstheme="minorHAnsi"/>
          <w:color w:val="auto"/>
        </w:rPr>
        <w:t xml:space="preserve"> 1997 (the Act), despite: </w:t>
      </w:r>
    </w:p>
    <w:p w14:paraId="756BEF1B" w14:textId="3586B801" w:rsidR="005D6C3E" w:rsidRDefault="005D6C3E" w:rsidP="000D4633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Telstra seeking exemptions from Parts 7 and 8 of the Act for the Networks on a rolling basis since 2011,</w:t>
      </w:r>
      <w:r w:rsidR="000D4633">
        <w:rPr>
          <w:rFonts w:asciiTheme="minorHAnsi" w:hAnsiTheme="minorHAnsi" w:cstheme="minorHAnsi"/>
          <w:color w:val="auto"/>
        </w:rPr>
        <w:t xml:space="preserve"> wh</w:t>
      </w:r>
      <w:r w:rsidR="00B54406">
        <w:rPr>
          <w:rFonts w:asciiTheme="minorHAnsi" w:hAnsiTheme="minorHAnsi" w:cstheme="minorHAnsi"/>
          <w:color w:val="auto"/>
        </w:rPr>
        <w:t>en they have had</w:t>
      </w:r>
      <w:r w:rsidR="000D4633">
        <w:rPr>
          <w:rFonts w:asciiTheme="minorHAnsi" w:hAnsiTheme="minorHAnsi" w:cstheme="minorHAnsi"/>
          <w:color w:val="auto"/>
        </w:rPr>
        <w:t xml:space="preserve"> ample time to develop alternative arrangements for the Networks,</w:t>
      </w:r>
    </w:p>
    <w:p w14:paraId="66A9BD01" w14:textId="482C9CD1" w:rsidR="000D4633" w:rsidRDefault="00B016F5" w:rsidP="000D4633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</w:t>
      </w:r>
      <w:r w:rsidR="000D4633">
        <w:rPr>
          <w:rFonts w:asciiTheme="minorHAnsi" w:hAnsiTheme="minorHAnsi" w:cstheme="minorHAnsi"/>
          <w:color w:val="auto"/>
        </w:rPr>
        <w:t xml:space="preserve"> consumer detriment and anti-competitive </w:t>
      </w:r>
      <w:r>
        <w:rPr>
          <w:rFonts w:asciiTheme="minorHAnsi" w:hAnsiTheme="minorHAnsi" w:cstheme="minorHAnsi"/>
          <w:color w:val="auto"/>
        </w:rPr>
        <w:t xml:space="preserve">delivery of </w:t>
      </w:r>
      <w:r w:rsidR="000D4633">
        <w:rPr>
          <w:rFonts w:asciiTheme="minorHAnsi" w:hAnsiTheme="minorHAnsi" w:cstheme="minorHAnsi"/>
          <w:color w:val="auto"/>
        </w:rPr>
        <w:t>service</w:t>
      </w:r>
      <w:r>
        <w:rPr>
          <w:rFonts w:asciiTheme="minorHAnsi" w:hAnsiTheme="minorHAnsi" w:cstheme="minorHAnsi"/>
          <w:color w:val="auto"/>
        </w:rPr>
        <w:t>s</w:t>
      </w:r>
      <w:r w:rsidR="000D4633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having been brought to </w:t>
      </w:r>
      <w:r w:rsidR="00A52A4C">
        <w:rPr>
          <w:rFonts w:asciiTheme="minorHAnsi" w:hAnsiTheme="minorHAnsi" w:cstheme="minorHAnsi"/>
          <w:color w:val="auto"/>
        </w:rPr>
        <w:t xml:space="preserve">the attention of </w:t>
      </w:r>
      <w:r>
        <w:rPr>
          <w:rFonts w:asciiTheme="minorHAnsi" w:hAnsiTheme="minorHAnsi" w:cstheme="minorHAnsi"/>
          <w:color w:val="auto"/>
        </w:rPr>
        <w:t>respective Ministers</w:t>
      </w:r>
      <w:r w:rsidR="007D00A9">
        <w:rPr>
          <w:rFonts w:asciiTheme="minorHAnsi" w:hAnsiTheme="minorHAnsi" w:cstheme="minorHAnsi"/>
          <w:color w:val="auto"/>
        </w:rPr>
        <w:t>, and</w:t>
      </w:r>
    </w:p>
    <w:p w14:paraId="322A8358" w14:textId="78495909" w:rsidR="00B016F5" w:rsidRPr="00DA0DC1" w:rsidRDefault="000D4633" w:rsidP="00DA0DC1">
      <w:pPr>
        <w:pStyle w:val="BodyText1"/>
        <w:keepNext/>
        <w:keepLines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ACCAN’s repeated re-iterations </w:t>
      </w:r>
      <w:r w:rsidR="00B016F5">
        <w:rPr>
          <w:rFonts w:asciiTheme="minorHAnsi" w:hAnsiTheme="minorHAnsi" w:cstheme="minorHAnsi"/>
          <w:color w:val="auto"/>
        </w:rPr>
        <w:t>of our concerns about th</w:t>
      </w:r>
      <w:r w:rsidR="00B54406">
        <w:rPr>
          <w:rFonts w:asciiTheme="minorHAnsi" w:hAnsiTheme="minorHAnsi" w:cstheme="minorHAnsi"/>
          <w:color w:val="auto"/>
        </w:rPr>
        <w:t>e consumer</w:t>
      </w:r>
      <w:r w:rsidR="00B016F5">
        <w:rPr>
          <w:rFonts w:asciiTheme="minorHAnsi" w:hAnsiTheme="minorHAnsi" w:cstheme="minorHAnsi"/>
          <w:color w:val="auto"/>
        </w:rPr>
        <w:t xml:space="preserve"> detriment </w:t>
      </w:r>
      <w:r w:rsidR="00B54406">
        <w:rPr>
          <w:rFonts w:asciiTheme="minorHAnsi" w:hAnsiTheme="minorHAnsi" w:cstheme="minorHAnsi"/>
          <w:color w:val="auto"/>
        </w:rPr>
        <w:t>caused by extending the exemptions</w:t>
      </w:r>
      <w:r w:rsidR="00E93A06">
        <w:rPr>
          <w:rFonts w:asciiTheme="minorHAnsi" w:hAnsiTheme="minorHAnsi" w:cstheme="minorHAnsi"/>
          <w:color w:val="auto"/>
        </w:rPr>
        <w:t>,</w:t>
      </w:r>
      <w:r w:rsidR="00B016F5">
        <w:rPr>
          <w:rFonts w:asciiTheme="minorHAnsi" w:hAnsiTheme="minorHAnsi" w:cstheme="minorHAnsi"/>
          <w:color w:val="auto"/>
        </w:rPr>
        <w:t xml:space="preserve"> to both Telstra and the </w:t>
      </w:r>
      <w:r w:rsidR="00B54406">
        <w:rPr>
          <w:rFonts w:asciiTheme="minorHAnsi" w:hAnsiTheme="minorHAnsi" w:cstheme="minorHAnsi"/>
          <w:color w:val="auto"/>
        </w:rPr>
        <w:t>government</w:t>
      </w:r>
      <w:r w:rsidR="00B016F5">
        <w:rPr>
          <w:rFonts w:asciiTheme="minorHAnsi" w:hAnsiTheme="minorHAnsi" w:cstheme="minorHAnsi"/>
          <w:color w:val="auto"/>
        </w:rPr>
        <w:t xml:space="preserve">. </w:t>
      </w:r>
    </w:p>
    <w:p w14:paraId="34AC6907" w14:textId="0C5E504A" w:rsidR="00DB2F22" w:rsidRDefault="00930EAC" w:rsidP="00930EAC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ACCAN acknowledges the </w:t>
      </w:r>
      <w:r w:rsidR="00B54406">
        <w:rPr>
          <w:rFonts w:asciiTheme="minorHAnsi" w:hAnsiTheme="minorHAnsi" w:cstheme="minorHAnsi"/>
          <w:color w:val="auto"/>
        </w:rPr>
        <w:t xml:space="preserve">practical </w:t>
      </w:r>
      <w:r>
        <w:rPr>
          <w:rFonts w:asciiTheme="minorHAnsi" w:hAnsiTheme="minorHAnsi" w:cstheme="minorHAnsi"/>
          <w:color w:val="auto"/>
        </w:rPr>
        <w:t xml:space="preserve">need for the Minister to grant the exemptions sought </w:t>
      </w:r>
      <w:r w:rsidR="009003B9">
        <w:rPr>
          <w:rFonts w:asciiTheme="minorHAnsi" w:hAnsiTheme="minorHAnsi" w:cstheme="minorHAnsi"/>
          <w:color w:val="auto"/>
        </w:rPr>
        <w:t xml:space="preserve">by </w:t>
      </w:r>
      <w:r>
        <w:rPr>
          <w:rFonts w:asciiTheme="minorHAnsi" w:hAnsiTheme="minorHAnsi" w:cstheme="minorHAnsi"/>
          <w:color w:val="auto"/>
        </w:rPr>
        <w:t>Telstra</w:t>
      </w:r>
      <w:r w:rsidR="009003B9">
        <w:rPr>
          <w:rFonts w:asciiTheme="minorHAnsi" w:hAnsiTheme="minorHAnsi" w:cstheme="minorHAnsi"/>
          <w:color w:val="auto"/>
        </w:rPr>
        <w:t xml:space="preserve"> in the absence of any alternative arrangements, given the proximity of the Designated Date of 1 July 2020. We are concerned</w:t>
      </w:r>
      <w:r>
        <w:rPr>
          <w:rFonts w:asciiTheme="minorHAnsi" w:hAnsiTheme="minorHAnsi" w:cstheme="minorHAnsi"/>
          <w:color w:val="auto"/>
        </w:rPr>
        <w:t xml:space="preserve"> that withholding </w:t>
      </w:r>
      <w:r w:rsidR="009003B9">
        <w:rPr>
          <w:rFonts w:asciiTheme="minorHAnsi" w:hAnsiTheme="minorHAnsi" w:cstheme="minorHAnsi"/>
          <w:color w:val="auto"/>
        </w:rPr>
        <w:t xml:space="preserve">an extension of </w:t>
      </w:r>
      <w:r>
        <w:rPr>
          <w:rFonts w:asciiTheme="minorHAnsi" w:hAnsiTheme="minorHAnsi" w:cstheme="minorHAnsi"/>
          <w:color w:val="auto"/>
        </w:rPr>
        <w:t xml:space="preserve">the exemptions would create substantial service disruptions to affected customers, as Telstra </w:t>
      </w:r>
      <w:r w:rsidR="00A52A4C">
        <w:rPr>
          <w:rFonts w:asciiTheme="minorHAnsi" w:hAnsiTheme="minorHAnsi" w:cstheme="minorHAnsi"/>
          <w:color w:val="auto"/>
        </w:rPr>
        <w:t xml:space="preserve">has not put in place arrangements for a smooth transition </w:t>
      </w:r>
      <w:r>
        <w:rPr>
          <w:rFonts w:asciiTheme="minorHAnsi" w:hAnsiTheme="minorHAnsi" w:cstheme="minorHAnsi"/>
          <w:color w:val="auto"/>
        </w:rPr>
        <w:t xml:space="preserve">by 1 July 2020. </w:t>
      </w:r>
      <w:r w:rsidR="00DB2F22">
        <w:rPr>
          <w:rFonts w:asciiTheme="minorHAnsi" w:hAnsiTheme="minorHAnsi" w:cstheme="minorHAnsi"/>
          <w:color w:val="auto"/>
        </w:rPr>
        <w:t xml:space="preserve"> </w:t>
      </w:r>
    </w:p>
    <w:p w14:paraId="137FF9A5" w14:textId="02E74719" w:rsidR="005928E4" w:rsidRDefault="00A52A4C" w:rsidP="00930EAC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However, </w:t>
      </w:r>
      <w:r w:rsidR="005928E4">
        <w:rPr>
          <w:rFonts w:asciiTheme="minorHAnsi" w:hAnsiTheme="minorHAnsi" w:cstheme="minorHAnsi"/>
          <w:color w:val="auto"/>
        </w:rPr>
        <w:t>Telstra’s exemption request</w:t>
      </w:r>
      <w:r w:rsidR="004E1483">
        <w:rPr>
          <w:rFonts w:asciiTheme="minorHAnsi" w:hAnsiTheme="minorHAnsi" w:cstheme="minorHAnsi"/>
          <w:color w:val="auto"/>
        </w:rPr>
        <w:t>s</w:t>
      </w:r>
      <w:r w:rsidR="005928E4">
        <w:rPr>
          <w:rFonts w:asciiTheme="minorHAnsi" w:hAnsiTheme="minorHAnsi" w:cstheme="minorHAnsi"/>
          <w:color w:val="auto"/>
        </w:rPr>
        <w:t xml:space="preserve"> lack </w:t>
      </w:r>
      <w:proofErr w:type="gramStart"/>
      <w:r w:rsidR="005928E4">
        <w:rPr>
          <w:rFonts w:asciiTheme="minorHAnsi" w:hAnsiTheme="minorHAnsi" w:cstheme="minorHAnsi"/>
          <w:color w:val="auto"/>
        </w:rPr>
        <w:t>sufficient</w:t>
      </w:r>
      <w:proofErr w:type="gramEnd"/>
      <w:r w:rsidR="005928E4">
        <w:rPr>
          <w:rFonts w:asciiTheme="minorHAnsi" w:hAnsiTheme="minorHAnsi" w:cstheme="minorHAnsi"/>
          <w:color w:val="auto"/>
        </w:rPr>
        <w:t xml:space="preserve"> accountability mechanisms t</w:t>
      </w:r>
      <w:r>
        <w:rPr>
          <w:rFonts w:asciiTheme="minorHAnsi" w:hAnsiTheme="minorHAnsi" w:cstheme="minorHAnsi"/>
          <w:color w:val="auto"/>
        </w:rPr>
        <w:t xml:space="preserve">o </w:t>
      </w:r>
      <w:r w:rsidR="005928E4">
        <w:rPr>
          <w:rFonts w:asciiTheme="minorHAnsi" w:hAnsiTheme="minorHAnsi" w:cstheme="minorHAnsi"/>
          <w:color w:val="auto"/>
        </w:rPr>
        <w:t xml:space="preserve">guarantee a timely </w:t>
      </w:r>
      <w:r w:rsidR="00365AFB">
        <w:rPr>
          <w:rFonts w:asciiTheme="minorHAnsi" w:hAnsiTheme="minorHAnsi" w:cstheme="minorHAnsi"/>
          <w:color w:val="auto"/>
        </w:rPr>
        <w:t>sale</w:t>
      </w:r>
      <w:r w:rsidR="005928E4">
        <w:rPr>
          <w:rFonts w:asciiTheme="minorHAnsi" w:hAnsiTheme="minorHAnsi" w:cstheme="minorHAnsi"/>
          <w:color w:val="auto"/>
        </w:rPr>
        <w:t xml:space="preserve"> of the Networks</w:t>
      </w:r>
      <w:r>
        <w:rPr>
          <w:rFonts w:asciiTheme="minorHAnsi" w:hAnsiTheme="minorHAnsi" w:cstheme="minorHAnsi"/>
          <w:color w:val="auto"/>
        </w:rPr>
        <w:t xml:space="preserve"> and transition to new arrangements</w:t>
      </w:r>
      <w:r w:rsidR="005928E4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t>ACCAN considers that t</w:t>
      </w:r>
      <w:r w:rsidR="005928E4">
        <w:rPr>
          <w:rFonts w:asciiTheme="minorHAnsi" w:hAnsiTheme="minorHAnsi" w:cstheme="minorHAnsi"/>
          <w:color w:val="auto"/>
        </w:rPr>
        <w:t xml:space="preserve">he </w:t>
      </w:r>
      <w:r>
        <w:rPr>
          <w:rFonts w:asciiTheme="minorHAnsi" w:hAnsiTheme="minorHAnsi" w:cstheme="minorHAnsi"/>
          <w:color w:val="auto"/>
        </w:rPr>
        <w:t xml:space="preserve">following conditions should apply to address this problem: </w:t>
      </w:r>
    </w:p>
    <w:p w14:paraId="0BCE678B" w14:textId="316AF944" w:rsidR="005928E4" w:rsidRDefault="005928E4" w:rsidP="00BF4FBC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The exemption</w:t>
      </w:r>
      <w:r w:rsidR="004E1483">
        <w:rPr>
          <w:rFonts w:asciiTheme="minorHAnsi" w:hAnsiTheme="minorHAnsi" w:cstheme="minorHAnsi"/>
          <w:color w:val="auto"/>
        </w:rPr>
        <w:t>s</w:t>
      </w:r>
      <w:r>
        <w:rPr>
          <w:rFonts w:asciiTheme="minorHAnsi" w:hAnsiTheme="minorHAnsi" w:cstheme="minorHAnsi"/>
          <w:color w:val="auto"/>
        </w:rPr>
        <w:t xml:space="preserve"> </w:t>
      </w:r>
      <w:r w:rsidR="009B1E09">
        <w:rPr>
          <w:rFonts w:asciiTheme="minorHAnsi" w:hAnsiTheme="minorHAnsi" w:cstheme="minorHAnsi"/>
          <w:color w:val="auto"/>
        </w:rPr>
        <w:t>be</w:t>
      </w:r>
      <w:r>
        <w:rPr>
          <w:rFonts w:asciiTheme="minorHAnsi" w:hAnsiTheme="minorHAnsi" w:cstheme="minorHAnsi"/>
          <w:color w:val="auto"/>
        </w:rPr>
        <w:t xml:space="preserve"> granted for</w:t>
      </w:r>
      <w:r w:rsidR="004E1483">
        <w:rPr>
          <w:rFonts w:asciiTheme="minorHAnsi" w:hAnsiTheme="minorHAnsi" w:cstheme="minorHAnsi"/>
          <w:color w:val="auto"/>
        </w:rPr>
        <w:t xml:space="preserve"> either</w:t>
      </w:r>
      <w:r>
        <w:rPr>
          <w:rFonts w:asciiTheme="minorHAnsi" w:hAnsiTheme="minorHAnsi" w:cstheme="minorHAnsi"/>
          <w:color w:val="auto"/>
        </w:rPr>
        <w:t xml:space="preserve"> a period of 24 months (until 1 July 2022)</w:t>
      </w:r>
      <w:r w:rsidR="004E1483">
        <w:rPr>
          <w:rFonts w:asciiTheme="minorHAnsi" w:hAnsiTheme="minorHAnsi" w:cstheme="minorHAnsi"/>
          <w:color w:val="auto"/>
        </w:rPr>
        <w:t xml:space="preserve"> or 90 days after the sale of the Networks, </w:t>
      </w:r>
      <w:r w:rsidR="004E1483" w:rsidRPr="00E93A06">
        <w:rPr>
          <w:rFonts w:asciiTheme="minorHAnsi" w:hAnsiTheme="minorHAnsi" w:cstheme="minorHAnsi"/>
          <w:color w:val="auto"/>
        </w:rPr>
        <w:t>whichever comes first</w:t>
      </w:r>
      <w:r w:rsidR="004E1483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  <w:r w:rsidR="004E1483">
        <w:rPr>
          <w:rFonts w:asciiTheme="minorHAnsi" w:hAnsiTheme="minorHAnsi" w:cstheme="minorHAnsi"/>
          <w:color w:val="auto"/>
        </w:rPr>
        <w:t>B</w:t>
      </w:r>
      <w:r>
        <w:rPr>
          <w:rFonts w:asciiTheme="minorHAnsi" w:hAnsiTheme="minorHAnsi" w:cstheme="minorHAnsi"/>
          <w:color w:val="auto"/>
        </w:rPr>
        <w:t xml:space="preserve">y </w:t>
      </w:r>
      <w:r w:rsidR="004E1483">
        <w:rPr>
          <w:rFonts w:asciiTheme="minorHAnsi" w:hAnsiTheme="minorHAnsi" w:cstheme="minorHAnsi"/>
          <w:color w:val="auto"/>
        </w:rPr>
        <w:t>this</w:t>
      </w:r>
      <w:r>
        <w:rPr>
          <w:rFonts w:asciiTheme="minorHAnsi" w:hAnsiTheme="minorHAnsi" w:cstheme="minorHAnsi"/>
          <w:color w:val="auto"/>
        </w:rPr>
        <w:t xml:space="preserve"> time Telstra</w:t>
      </w:r>
      <w:r w:rsidR="004E1483">
        <w:rPr>
          <w:rFonts w:asciiTheme="minorHAnsi" w:hAnsiTheme="minorHAnsi" w:cstheme="minorHAnsi"/>
          <w:color w:val="auto"/>
        </w:rPr>
        <w:t xml:space="preserve"> </w:t>
      </w:r>
      <w:r w:rsidR="009B1E09">
        <w:rPr>
          <w:rFonts w:asciiTheme="minorHAnsi" w:hAnsiTheme="minorHAnsi" w:cstheme="minorHAnsi"/>
          <w:color w:val="auto"/>
        </w:rPr>
        <w:t xml:space="preserve">must </w:t>
      </w:r>
      <w:r w:rsidR="004E1483">
        <w:rPr>
          <w:rFonts w:asciiTheme="minorHAnsi" w:hAnsiTheme="minorHAnsi" w:cstheme="minorHAnsi"/>
          <w:color w:val="auto"/>
        </w:rPr>
        <w:t xml:space="preserve">have </w:t>
      </w:r>
      <w:r>
        <w:rPr>
          <w:rFonts w:asciiTheme="minorHAnsi" w:hAnsiTheme="minorHAnsi" w:cstheme="minorHAnsi"/>
          <w:color w:val="auto"/>
        </w:rPr>
        <w:t>cease</w:t>
      </w:r>
      <w:r w:rsidR="004E1483">
        <w:rPr>
          <w:rFonts w:asciiTheme="minorHAnsi" w:hAnsiTheme="minorHAnsi" w:cstheme="minorHAnsi"/>
          <w:color w:val="auto"/>
        </w:rPr>
        <w:t>d</w:t>
      </w:r>
      <w:r>
        <w:rPr>
          <w:rFonts w:asciiTheme="minorHAnsi" w:hAnsiTheme="minorHAnsi" w:cstheme="minorHAnsi"/>
          <w:color w:val="auto"/>
        </w:rPr>
        <w:t xml:space="preserve"> control of the network and affected customers </w:t>
      </w:r>
      <w:r w:rsidR="009B1E09">
        <w:rPr>
          <w:rFonts w:asciiTheme="minorHAnsi" w:hAnsiTheme="minorHAnsi" w:cstheme="minorHAnsi"/>
          <w:color w:val="auto"/>
        </w:rPr>
        <w:t>must</w:t>
      </w:r>
      <w:r w:rsidR="00E93A06">
        <w:rPr>
          <w:rFonts w:asciiTheme="minorHAnsi" w:hAnsiTheme="minorHAnsi" w:cstheme="minorHAnsi"/>
          <w:color w:val="auto"/>
        </w:rPr>
        <w:t xml:space="preserve"> </w:t>
      </w:r>
      <w:r w:rsidR="009B1E09">
        <w:rPr>
          <w:rFonts w:asciiTheme="minorHAnsi" w:hAnsiTheme="minorHAnsi" w:cstheme="minorHAnsi"/>
          <w:color w:val="auto"/>
        </w:rPr>
        <w:t xml:space="preserve">be </w:t>
      </w:r>
      <w:r w:rsidR="00E93A06">
        <w:rPr>
          <w:rFonts w:asciiTheme="minorHAnsi" w:hAnsiTheme="minorHAnsi" w:cstheme="minorHAnsi"/>
          <w:color w:val="auto"/>
        </w:rPr>
        <w:t xml:space="preserve">transitioned </w:t>
      </w:r>
      <w:r>
        <w:rPr>
          <w:rFonts w:asciiTheme="minorHAnsi" w:hAnsiTheme="minorHAnsi" w:cstheme="minorHAnsi"/>
          <w:color w:val="auto"/>
        </w:rPr>
        <w:t>to new network arrangements</w:t>
      </w:r>
      <w:r w:rsidR="004E1483">
        <w:rPr>
          <w:rFonts w:asciiTheme="minorHAnsi" w:hAnsiTheme="minorHAnsi" w:cstheme="minorHAnsi"/>
          <w:color w:val="auto"/>
        </w:rPr>
        <w:t>.</w:t>
      </w:r>
    </w:p>
    <w:p w14:paraId="2F5A7EF6" w14:textId="58A4C235" w:rsidR="00AE7774" w:rsidRPr="00AE7774" w:rsidRDefault="00DB2F22" w:rsidP="00BF4FBC">
      <w:pPr>
        <w:pStyle w:val="BodyText1"/>
        <w:keepNext/>
        <w:keepLines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Telstra is subject to reporting requirements whereby it provides a detailed </w:t>
      </w:r>
      <w:r w:rsidR="009B1E09">
        <w:rPr>
          <w:rFonts w:asciiTheme="minorHAnsi" w:hAnsiTheme="minorHAnsi" w:cstheme="minorHAnsi"/>
          <w:color w:val="auto"/>
        </w:rPr>
        <w:t xml:space="preserve">transition </w:t>
      </w:r>
      <w:r w:rsidR="005928E4">
        <w:rPr>
          <w:rFonts w:asciiTheme="minorHAnsi" w:hAnsiTheme="minorHAnsi" w:cstheme="minorHAnsi"/>
          <w:color w:val="auto"/>
        </w:rPr>
        <w:t>plan</w:t>
      </w:r>
      <w:r>
        <w:rPr>
          <w:rFonts w:asciiTheme="minorHAnsi" w:hAnsiTheme="minorHAnsi" w:cstheme="minorHAnsi"/>
          <w:color w:val="auto"/>
        </w:rPr>
        <w:t xml:space="preserve"> for </w:t>
      </w:r>
      <w:r w:rsidR="005928E4">
        <w:rPr>
          <w:rFonts w:asciiTheme="minorHAnsi" w:hAnsiTheme="minorHAnsi" w:cstheme="minorHAnsi"/>
          <w:color w:val="auto"/>
        </w:rPr>
        <w:t>ceasing control of the Networks to the Department and the ACCC</w:t>
      </w:r>
      <w:r>
        <w:rPr>
          <w:rFonts w:asciiTheme="minorHAnsi" w:hAnsiTheme="minorHAnsi" w:cstheme="minorHAnsi"/>
          <w:color w:val="auto"/>
        </w:rPr>
        <w:t>,</w:t>
      </w:r>
      <w:r w:rsidR="005928E4">
        <w:rPr>
          <w:rFonts w:asciiTheme="minorHAnsi" w:hAnsiTheme="minorHAnsi" w:cstheme="minorHAnsi"/>
          <w:color w:val="auto"/>
        </w:rPr>
        <w:t xml:space="preserve"> and periodically reports </w:t>
      </w:r>
      <w:r w:rsidR="009B1E09">
        <w:rPr>
          <w:rFonts w:asciiTheme="minorHAnsi" w:hAnsiTheme="minorHAnsi" w:cstheme="minorHAnsi"/>
          <w:color w:val="auto"/>
        </w:rPr>
        <w:t xml:space="preserve">to the ACCC </w:t>
      </w:r>
      <w:r w:rsidR="005928E4">
        <w:rPr>
          <w:rFonts w:asciiTheme="minorHAnsi" w:hAnsiTheme="minorHAnsi" w:cstheme="minorHAnsi"/>
          <w:color w:val="auto"/>
        </w:rPr>
        <w:t>on the extent to which that plan is being met</w:t>
      </w:r>
      <w:r w:rsidR="004E1483">
        <w:rPr>
          <w:rFonts w:asciiTheme="minorHAnsi" w:hAnsiTheme="minorHAnsi" w:cstheme="minorHAnsi"/>
          <w:color w:val="auto"/>
        </w:rPr>
        <w:t>.</w:t>
      </w:r>
    </w:p>
    <w:p w14:paraId="31E61B61" w14:textId="4BB4F86A" w:rsidR="004E1483" w:rsidRPr="004E1483" w:rsidRDefault="00365AFB" w:rsidP="004E1483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Historically, t</w:t>
      </w:r>
      <w:r w:rsidR="00A8627D">
        <w:rPr>
          <w:rFonts w:asciiTheme="minorHAnsi" w:hAnsiTheme="minorHAnsi" w:cstheme="minorHAnsi"/>
          <w:color w:val="auto"/>
        </w:rPr>
        <w:t xml:space="preserve">here </w:t>
      </w:r>
      <w:r>
        <w:rPr>
          <w:rFonts w:asciiTheme="minorHAnsi" w:hAnsiTheme="minorHAnsi" w:cstheme="minorHAnsi"/>
          <w:color w:val="auto"/>
        </w:rPr>
        <w:t>ha</w:t>
      </w:r>
      <w:r w:rsidR="00A8627D">
        <w:rPr>
          <w:rFonts w:asciiTheme="minorHAnsi" w:hAnsiTheme="minorHAnsi" w:cstheme="minorHAnsi"/>
          <w:color w:val="auto"/>
        </w:rPr>
        <w:t>s</w:t>
      </w:r>
      <w:r w:rsidR="009B1E09">
        <w:rPr>
          <w:rFonts w:asciiTheme="minorHAnsi" w:hAnsiTheme="minorHAnsi" w:cstheme="minorHAnsi"/>
          <w:color w:val="auto"/>
        </w:rPr>
        <w:t xml:space="preserve"> been</w:t>
      </w:r>
      <w:r w:rsidR="00A8627D">
        <w:rPr>
          <w:rFonts w:asciiTheme="minorHAnsi" w:hAnsiTheme="minorHAnsi" w:cstheme="minorHAnsi"/>
          <w:color w:val="auto"/>
        </w:rPr>
        <w:t xml:space="preserve"> limited impetus for Telstra </w:t>
      </w:r>
      <w:r w:rsidR="00817945">
        <w:rPr>
          <w:rFonts w:asciiTheme="minorHAnsi" w:hAnsiTheme="minorHAnsi" w:cstheme="minorHAnsi"/>
          <w:color w:val="auto"/>
        </w:rPr>
        <w:t xml:space="preserve">to cease control of the </w:t>
      </w:r>
      <w:r>
        <w:rPr>
          <w:rFonts w:asciiTheme="minorHAnsi" w:hAnsiTheme="minorHAnsi" w:cstheme="minorHAnsi"/>
          <w:color w:val="auto"/>
        </w:rPr>
        <w:t>N</w:t>
      </w:r>
      <w:r w:rsidR="00817945">
        <w:rPr>
          <w:rFonts w:asciiTheme="minorHAnsi" w:hAnsiTheme="minorHAnsi" w:cstheme="minorHAnsi"/>
          <w:color w:val="auto"/>
        </w:rPr>
        <w:t>etworks as illustrated by its repeated exemption requests</w:t>
      </w:r>
      <w:r w:rsidR="00A8627D">
        <w:rPr>
          <w:rFonts w:asciiTheme="minorHAnsi" w:hAnsiTheme="minorHAnsi" w:cstheme="minorHAnsi"/>
          <w:color w:val="auto"/>
        </w:rPr>
        <w:t xml:space="preserve">. </w:t>
      </w:r>
      <w:r w:rsidR="009B1E09">
        <w:rPr>
          <w:rFonts w:asciiTheme="minorHAnsi" w:hAnsiTheme="minorHAnsi" w:cstheme="minorHAnsi"/>
          <w:color w:val="auto"/>
        </w:rPr>
        <w:t>ACCAN considers i</w:t>
      </w:r>
      <w:r w:rsidR="00817945">
        <w:rPr>
          <w:rFonts w:asciiTheme="minorHAnsi" w:hAnsiTheme="minorHAnsi" w:cstheme="minorHAnsi"/>
          <w:color w:val="auto"/>
        </w:rPr>
        <w:t xml:space="preserve">ncreased </w:t>
      </w:r>
      <w:r w:rsidR="009B1E09">
        <w:rPr>
          <w:rFonts w:asciiTheme="minorHAnsi" w:hAnsiTheme="minorHAnsi" w:cstheme="minorHAnsi"/>
          <w:color w:val="auto"/>
        </w:rPr>
        <w:t xml:space="preserve">regulatory </w:t>
      </w:r>
      <w:r w:rsidR="00817945">
        <w:rPr>
          <w:rFonts w:asciiTheme="minorHAnsi" w:hAnsiTheme="minorHAnsi" w:cstheme="minorHAnsi"/>
          <w:color w:val="auto"/>
        </w:rPr>
        <w:t>oversight and shorter exemption timeframe</w:t>
      </w:r>
      <w:r w:rsidR="00E93A06">
        <w:rPr>
          <w:rFonts w:asciiTheme="minorHAnsi" w:hAnsiTheme="minorHAnsi" w:cstheme="minorHAnsi"/>
          <w:color w:val="auto"/>
        </w:rPr>
        <w:t>s</w:t>
      </w:r>
      <w:r w:rsidR="00817945">
        <w:rPr>
          <w:rFonts w:asciiTheme="minorHAnsi" w:hAnsiTheme="minorHAnsi" w:cstheme="minorHAnsi"/>
          <w:color w:val="auto"/>
        </w:rPr>
        <w:t xml:space="preserve"> will provide greater accountability and </w:t>
      </w:r>
      <w:r w:rsidR="009B1E09">
        <w:rPr>
          <w:rFonts w:asciiTheme="minorHAnsi" w:hAnsiTheme="minorHAnsi" w:cstheme="minorHAnsi"/>
          <w:color w:val="auto"/>
        </w:rPr>
        <w:t xml:space="preserve">deliver better consumer outcomes. </w:t>
      </w:r>
    </w:p>
    <w:p w14:paraId="7A1A29B5" w14:textId="2B909FB8" w:rsidR="00DB2F22" w:rsidRPr="004E1483" w:rsidRDefault="00DB2F22" w:rsidP="00BF4FBC">
      <w:pPr>
        <w:pStyle w:val="Heading2"/>
      </w:pPr>
      <w:r w:rsidRPr="004E1483">
        <w:t>Long-term issues with the Networks</w:t>
      </w:r>
    </w:p>
    <w:p w14:paraId="3C57E53E" w14:textId="77777777" w:rsidR="00F03941" w:rsidRDefault="00DB2F22" w:rsidP="00ED55CA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</w:t>
      </w:r>
      <w:r w:rsidR="00B016F5">
        <w:rPr>
          <w:rFonts w:asciiTheme="minorHAnsi" w:hAnsiTheme="minorHAnsi" w:cstheme="minorHAnsi"/>
          <w:color w:val="auto"/>
        </w:rPr>
        <w:t xml:space="preserve"> </w:t>
      </w:r>
      <w:r w:rsidR="009003B9">
        <w:rPr>
          <w:rFonts w:asciiTheme="minorHAnsi" w:hAnsiTheme="minorHAnsi" w:cstheme="minorHAnsi"/>
          <w:color w:val="auto"/>
        </w:rPr>
        <w:t>mentioned</w:t>
      </w:r>
      <w:r w:rsidR="00B016F5">
        <w:rPr>
          <w:rFonts w:asciiTheme="minorHAnsi" w:hAnsiTheme="minorHAnsi" w:cstheme="minorHAnsi"/>
          <w:color w:val="auto"/>
        </w:rPr>
        <w:t xml:space="preserve"> in previous </w:t>
      </w:r>
      <w:r w:rsidR="00A26635">
        <w:rPr>
          <w:rFonts w:asciiTheme="minorHAnsi" w:hAnsiTheme="minorHAnsi" w:cstheme="minorHAnsi"/>
          <w:color w:val="auto"/>
        </w:rPr>
        <w:t>representations on this issue</w:t>
      </w:r>
      <w:r w:rsidR="00B016F5">
        <w:rPr>
          <w:rFonts w:asciiTheme="minorHAnsi" w:hAnsiTheme="minorHAnsi" w:cstheme="minorHAnsi"/>
          <w:color w:val="auto"/>
        </w:rPr>
        <w:t>,</w:t>
      </w:r>
      <w:r w:rsidR="00A26635">
        <w:rPr>
          <w:rStyle w:val="FootnoteReference"/>
          <w:rFonts w:asciiTheme="minorHAnsi" w:hAnsiTheme="minorHAnsi" w:cstheme="minorHAnsi"/>
          <w:color w:val="auto"/>
        </w:rPr>
        <w:footnoteReference w:id="1"/>
      </w:r>
      <w:r w:rsidR="00B016F5">
        <w:rPr>
          <w:rFonts w:asciiTheme="minorHAnsi" w:hAnsiTheme="minorHAnsi" w:cstheme="minorHAnsi"/>
          <w:color w:val="auto"/>
        </w:rPr>
        <w:t xml:space="preserve"> </w:t>
      </w:r>
      <w:r w:rsidR="001523CC">
        <w:rPr>
          <w:rFonts w:asciiTheme="minorHAnsi" w:hAnsiTheme="minorHAnsi" w:cstheme="minorHAnsi"/>
          <w:color w:val="auto"/>
        </w:rPr>
        <w:t>we hold great concerns over the future of the Networks. T</w:t>
      </w:r>
      <w:r w:rsidR="00B016F5">
        <w:rPr>
          <w:rFonts w:asciiTheme="minorHAnsi" w:hAnsiTheme="minorHAnsi" w:cstheme="minorHAnsi"/>
          <w:color w:val="auto"/>
        </w:rPr>
        <w:t xml:space="preserve">he </w:t>
      </w:r>
      <w:r w:rsidR="00B016F5" w:rsidRPr="00B016F5">
        <w:rPr>
          <w:rFonts w:asciiTheme="minorHAnsi" w:hAnsiTheme="minorHAnsi" w:cstheme="minorHAnsi"/>
          <w:color w:val="auto"/>
        </w:rPr>
        <w:t xml:space="preserve">absence of strong competitive pressure placed on </w:t>
      </w:r>
      <w:r w:rsidR="00B016F5">
        <w:rPr>
          <w:rFonts w:asciiTheme="minorHAnsi" w:hAnsiTheme="minorHAnsi" w:cstheme="minorHAnsi"/>
          <w:color w:val="auto"/>
        </w:rPr>
        <w:t xml:space="preserve">Telstra as the wholesale </w:t>
      </w:r>
      <w:r w:rsidR="00B016F5" w:rsidRPr="00B016F5">
        <w:rPr>
          <w:rFonts w:asciiTheme="minorHAnsi" w:hAnsiTheme="minorHAnsi" w:cstheme="minorHAnsi"/>
          <w:color w:val="auto"/>
        </w:rPr>
        <w:t>operator</w:t>
      </w:r>
      <w:r w:rsidR="00ED55CA">
        <w:rPr>
          <w:rFonts w:asciiTheme="minorHAnsi" w:hAnsiTheme="minorHAnsi" w:cstheme="minorHAnsi"/>
          <w:color w:val="auto"/>
        </w:rPr>
        <w:t xml:space="preserve"> of the Networks</w:t>
      </w:r>
      <w:r w:rsidR="00A26635">
        <w:rPr>
          <w:rFonts w:asciiTheme="minorHAnsi" w:hAnsiTheme="minorHAnsi" w:cstheme="minorHAnsi"/>
          <w:color w:val="auto"/>
        </w:rPr>
        <w:t xml:space="preserve"> has delivered unfavourable</w:t>
      </w:r>
      <w:r w:rsidR="00B016F5" w:rsidRPr="00B016F5">
        <w:rPr>
          <w:rFonts w:asciiTheme="minorHAnsi" w:hAnsiTheme="minorHAnsi" w:cstheme="minorHAnsi"/>
          <w:color w:val="auto"/>
        </w:rPr>
        <w:t xml:space="preserve"> market outcomes </w:t>
      </w:r>
      <w:r w:rsidR="00A26635">
        <w:rPr>
          <w:rFonts w:asciiTheme="minorHAnsi" w:hAnsiTheme="minorHAnsi" w:cstheme="minorHAnsi"/>
          <w:color w:val="auto"/>
        </w:rPr>
        <w:t>and service standards for consumers, despite some</w:t>
      </w:r>
      <w:r w:rsidR="00E63667">
        <w:rPr>
          <w:rFonts w:asciiTheme="minorHAnsi" w:hAnsiTheme="minorHAnsi" w:cstheme="minorHAnsi"/>
          <w:color w:val="auto"/>
        </w:rPr>
        <w:t xml:space="preserve"> limited</w:t>
      </w:r>
      <w:r w:rsidR="00A26635">
        <w:rPr>
          <w:rFonts w:asciiTheme="minorHAnsi" w:hAnsiTheme="minorHAnsi" w:cstheme="minorHAnsi"/>
          <w:color w:val="auto"/>
        </w:rPr>
        <w:t xml:space="preserve"> intervention from the ACCC through its cap on the maximum price </w:t>
      </w:r>
    </w:p>
    <w:p w14:paraId="59417D19" w14:textId="77777777" w:rsidR="00F03941" w:rsidRDefault="00F03941" w:rsidP="00ED55CA">
      <w:pPr>
        <w:pStyle w:val="BodyText1"/>
        <w:rPr>
          <w:rFonts w:asciiTheme="minorHAnsi" w:hAnsiTheme="minorHAnsi" w:cstheme="minorHAnsi"/>
          <w:color w:val="auto"/>
        </w:rPr>
      </w:pPr>
    </w:p>
    <w:p w14:paraId="182804A6" w14:textId="77777777" w:rsidR="00F03941" w:rsidRDefault="00F03941" w:rsidP="00ED55CA">
      <w:pPr>
        <w:pStyle w:val="BodyText1"/>
        <w:rPr>
          <w:rFonts w:asciiTheme="minorHAnsi" w:hAnsiTheme="minorHAnsi" w:cstheme="minorHAnsi"/>
          <w:color w:val="auto"/>
        </w:rPr>
      </w:pPr>
    </w:p>
    <w:p w14:paraId="33E26BED" w14:textId="4069066B" w:rsidR="00235D10" w:rsidRDefault="00A26635" w:rsidP="00ED55CA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of wholesale services.</w:t>
      </w:r>
      <w:r>
        <w:rPr>
          <w:rStyle w:val="FootnoteReference"/>
          <w:rFonts w:asciiTheme="minorHAnsi" w:hAnsiTheme="minorHAnsi" w:cstheme="minorHAnsi"/>
          <w:color w:val="auto"/>
        </w:rPr>
        <w:footnoteReference w:id="2"/>
      </w:r>
      <w:r>
        <w:rPr>
          <w:rFonts w:asciiTheme="minorHAnsi" w:hAnsiTheme="minorHAnsi" w:cstheme="minorHAnsi"/>
          <w:color w:val="auto"/>
        </w:rPr>
        <w:t xml:space="preserve"> </w:t>
      </w:r>
      <w:r w:rsidRPr="00A26635">
        <w:rPr>
          <w:rFonts w:asciiTheme="minorHAnsi" w:hAnsiTheme="minorHAnsi" w:cstheme="minorHAnsi"/>
          <w:color w:val="auto"/>
        </w:rPr>
        <w:t>Although</w:t>
      </w:r>
      <w:r>
        <w:rPr>
          <w:rFonts w:asciiTheme="minorHAnsi" w:hAnsiTheme="minorHAnsi" w:cstheme="minorHAnsi"/>
          <w:color w:val="auto"/>
        </w:rPr>
        <w:t xml:space="preserve"> </w:t>
      </w:r>
      <w:r w:rsidR="00ED55CA">
        <w:rPr>
          <w:rFonts w:asciiTheme="minorHAnsi" w:hAnsiTheme="minorHAnsi" w:cstheme="minorHAnsi"/>
          <w:color w:val="auto"/>
        </w:rPr>
        <w:t>ACCC</w:t>
      </w:r>
      <w:r w:rsidRPr="00A26635">
        <w:rPr>
          <w:rFonts w:asciiTheme="minorHAnsi" w:hAnsiTheme="minorHAnsi" w:cstheme="minorHAnsi"/>
          <w:color w:val="auto"/>
        </w:rPr>
        <w:t xml:space="preserve"> regulation</w:t>
      </w:r>
      <w:r>
        <w:rPr>
          <w:rFonts w:asciiTheme="minorHAnsi" w:hAnsiTheme="minorHAnsi" w:cstheme="minorHAnsi"/>
          <w:color w:val="auto"/>
        </w:rPr>
        <w:t xml:space="preserve"> </w:t>
      </w:r>
      <w:r w:rsidRPr="00A26635">
        <w:rPr>
          <w:rFonts w:asciiTheme="minorHAnsi" w:hAnsiTheme="minorHAnsi" w:cstheme="minorHAnsi"/>
          <w:color w:val="auto"/>
        </w:rPr>
        <w:t>place</w:t>
      </w:r>
      <w:r>
        <w:rPr>
          <w:rFonts w:asciiTheme="minorHAnsi" w:hAnsiTheme="minorHAnsi" w:cstheme="minorHAnsi"/>
          <w:color w:val="auto"/>
        </w:rPr>
        <w:t xml:space="preserve">s some restraints on Telstra’s ability to </w:t>
      </w:r>
      <w:r w:rsidR="00ED55CA">
        <w:rPr>
          <w:rFonts w:asciiTheme="minorHAnsi" w:hAnsiTheme="minorHAnsi" w:cstheme="minorHAnsi"/>
          <w:color w:val="auto"/>
        </w:rPr>
        <w:t>exercise</w:t>
      </w:r>
      <w:r>
        <w:rPr>
          <w:rFonts w:asciiTheme="minorHAnsi" w:hAnsiTheme="minorHAnsi" w:cstheme="minorHAnsi"/>
          <w:color w:val="auto"/>
        </w:rPr>
        <w:t xml:space="preserve"> anti-competitive behaviour, </w:t>
      </w:r>
      <w:r w:rsidR="00ED55CA">
        <w:rPr>
          <w:rFonts w:asciiTheme="minorHAnsi" w:hAnsiTheme="minorHAnsi" w:cstheme="minorHAnsi"/>
          <w:color w:val="auto"/>
        </w:rPr>
        <w:t xml:space="preserve">current arrangements do not provide </w:t>
      </w:r>
      <w:r w:rsidRPr="00A26635">
        <w:rPr>
          <w:rFonts w:asciiTheme="minorHAnsi" w:hAnsiTheme="minorHAnsi" w:cstheme="minorHAnsi"/>
          <w:color w:val="auto"/>
        </w:rPr>
        <w:t xml:space="preserve">adequate incentives for competitive </w:t>
      </w:r>
      <w:r w:rsidR="00ED55CA">
        <w:rPr>
          <w:rFonts w:asciiTheme="minorHAnsi" w:hAnsiTheme="minorHAnsi" w:cstheme="minorHAnsi"/>
          <w:color w:val="auto"/>
        </w:rPr>
        <w:t xml:space="preserve">retail-level </w:t>
      </w:r>
      <w:r w:rsidRPr="00A26635">
        <w:rPr>
          <w:rFonts w:asciiTheme="minorHAnsi" w:hAnsiTheme="minorHAnsi" w:cstheme="minorHAnsi"/>
          <w:color w:val="auto"/>
        </w:rPr>
        <w:t>pricing</w:t>
      </w:r>
      <w:r w:rsidR="00ED55CA">
        <w:rPr>
          <w:rFonts w:asciiTheme="minorHAnsi" w:hAnsiTheme="minorHAnsi" w:cstheme="minorHAnsi"/>
          <w:color w:val="auto"/>
        </w:rPr>
        <w:t xml:space="preserve">, or for the provision of broadband services in line with consumer expectations or alternative networks like the NBN. </w:t>
      </w:r>
    </w:p>
    <w:p w14:paraId="34162FD6" w14:textId="75079014" w:rsidR="00235D10" w:rsidRDefault="00A04AD5" w:rsidP="00A26635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While we do not have access to information on the exact number of </w:t>
      </w:r>
      <w:r w:rsidR="00235D10">
        <w:rPr>
          <w:rFonts w:asciiTheme="minorHAnsi" w:hAnsiTheme="minorHAnsi" w:cstheme="minorHAnsi"/>
          <w:color w:val="auto"/>
        </w:rPr>
        <w:t>RSPs</w:t>
      </w:r>
      <w:r>
        <w:rPr>
          <w:rFonts w:asciiTheme="minorHAnsi" w:hAnsiTheme="minorHAnsi" w:cstheme="minorHAnsi"/>
          <w:color w:val="auto"/>
        </w:rPr>
        <w:t xml:space="preserve"> </w:t>
      </w:r>
      <w:r w:rsidR="00235D10">
        <w:rPr>
          <w:rFonts w:asciiTheme="minorHAnsi" w:hAnsiTheme="minorHAnsi" w:cstheme="minorHAnsi"/>
          <w:color w:val="auto"/>
        </w:rPr>
        <w:t xml:space="preserve">operating within the Networks’ footprint, and the prices at which they offer services, we do know that the number of RSPs offering services over the Networks is </w:t>
      </w:r>
      <w:r w:rsidR="00890909">
        <w:rPr>
          <w:rFonts w:asciiTheme="minorHAnsi" w:hAnsiTheme="minorHAnsi" w:cstheme="minorHAnsi"/>
          <w:color w:val="auto"/>
        </w:rPr>
        <w:t xml:space="preserve">very </w:t>
      </w:r>
      <w:r w:rsidR="00235D10">
        <w:rPr>
          <w:rFonts w:asciiTheme="minorHAnsi" w:hAnsiTheme="minorHAnsi" w:cstheme="minorHAnsi"/>
          <w:color w:val="auto"/>
        </w:rPr>
        <w:t>limited and has been reducing over the years.</w:t>
      </w:r>
      <w:r w:rsidR="00235D10">
        <w:rPr>
          <w:rStyle w:val="FootnoteReference"/>
          <w:rFonts w:asciiTheme="minorHAnsi" w:hAnsiTheme="minorHAnsi" w:cstheme="minorHAnsi"/>
          <w:color w:val="auto"/>
        </w:rPr>
        <w:footnoteReference w:id="3"/>
      </w:r>
      <w:r w:rsidR="00235D10">
        <w:rPr>
          <w:rFonts w:asciiTheme="minorHAnsi" w:hAnsiTheme="minorHAnsi" w:cstheme="minorHAnsi"/>
          <w:color w:val="auto"/>
        </w:rPr>
        <w:t xml:space="preserve"> We are</w:t>
      </w:r>
      <w:r w:rsidR="00692C29">
        <w:rPr>
          <w:rFonts w:asciiTheme="minorHAnsi" w:hAnsiTheme="minorHAnsi" w:cstheme="minorHAnsi"/>
          <w:color w:val="auto"/>
        </w:rPr>
        <w:t xml:space="preserve"> also</w:t>
      </w:r>
      <w:r w:rsidR="00235D10">
        <w:rPr>
          <w:rFonts w:asciiTheme="minorHAnsi" w:hAnsiTheme="minorHAnsi" w:cstheme="minorHAnsi"/>
          <w:color w:val="auto"/>
        </w:rPr>
        <w:t xml:space="preserve"> contacted by consumers within the Network</w:t>
      </w:r>
      <w:r w:rsidR="00692C29">
        <w:rPr>
          <w:rFonts w:asciiTheme="minorHAnsi" w:hAnsiTheme="minorHAnsi" w:cstheme="minorHAnsi"/>
          <w:color w:val="auto"/>
        </w:rPr>
        <w:t>s</w:t>
      </w:r>
      <w:r w:rsidR="00235D10">
        <w:rPr>
          <w:rFonts w:asciiTheme="minorHAnsi" w:hAnsiTheme="minorHAnsi" w:cstheme="minorHAnsi"/>
          <w:color w:val="auto"/>
        </w:rPr>
        <w:t xml:space="preserve"> periodically with co</w:t>
      </w:r>
      <w:r w:rsidR="00692C29">
        <w:rPr>
          <w:rFonts w:asciiTheme="minorHAnsi" w:hAnsiTheme="minorHAnsi" w:cstheme="minorHAnsi"/>
          <w:color w:val="auto"/>
        </w:rPr>
        <w:t xml:space="preserve">mplaints about </w:t>
      </w:r>
      <w:r w:rsidR="00235D10">
        <w:rPr>
          <w:rFonts w:asciiTheme="minorHAnsi" w:hAnsiTheme="minorHAnsi" w:cstheme="minorHAnsi"/>
          <w:color w:val="auto"/>
        </w:rPr>
        <w:t xml:space="preserve">their services. </w:t>
      </w:r>
    </w:p>
    <w:p w14:paraId="7C0F571E" w14:textId="7572BA35" w:rsidR="00930EAC" w:rsidRDefault="00A26635" w:rsidP="004E1483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Appendix A outlines two recent case studies brought to our attention</w:t>
      </w:r>
      <w:r w:rsidR="00ED55CA">
        <w:rPr>
          <w:rFonts w:asciiTheme="minorHAnsi" w:hAnsiTheme="minorHAnsi" w:cstheme="minorHAnsi"/>
          <w:color w:val="auto"/>
        </w:rPr>
        <w:t xml:space="preserve"> by consumers </w:t>
      </w:r>
      <w:r w:rsidR="00C46988">
        <w:rPr>
          <w:rFonts w:asciiTheme="minorHAnsi" w:hAnsiTheme="minorHAnsi" w:cstheme="minorHAnsi"/>
          <w:color w:val="auto"/>
        </w:rPr>
        <w:t>using</w:t>
      </w:r>
      <w:r w:rsidR="00ED55CA">
        <w:rPr>
          <w:rFonts w:asciiTheme="minorHAnsi" w:hAnsiTheme="minorHAnsi" w:cstheme="minorHAnsi"/>
          <w:color w:val="auto"/>
        </w:rPr>
        <w:t xml:space="preserve"> the South Brisbane</w:t>
      </w:r>
      <w:r w:rsidR="00692C29">
        <w:rPr>
          <w:rFonts w:asciiTheme="minorHAnsi" w:hAnsiTheme="minorHAnsi" w:cstheme="minorHAnsi"/>
          <w:color w:val="auto"/>
        </w:rPr>
        <w:t xml:space="preserve"> network</w:t>
      </w:r>
      <w:r w:rsidR="00ED55CA">
        <w:rPr>
          <w:rFonts w:asciiTheme="minorHAnsi" w:hAnsiTheme="minorHAnsi" w:cstheme="minorHAnsi"/>
          <w:color w:val="auto"/>
        </w:rPr>
        <w:t xml:space="preserve">. These cases </w:t>
      </w:r>
      <w:r>
        <w:rPr>
          <w:rFonts w:asciiTheme="minorHAnsi" w:hAnsiTheme="minorHAnsi" w:cstheme="minorHAnsi"/>
          <w:color w:val="auto"/>
        </w:rPr>
        <w:t>demonstrate in real terms the impact of limited choice and service capacity constraints in the Networks’ footprint.</w:t>
      </w:r>
      <w:r w:rsidR="00ED55CA">
        <w:rPr>
          <w:rFonts w:asciiTheme="minorHAnsi" w:hAnsiTheme="minorHAnsi" w:cstheme="minorHAnsi"/>
          <w:color w:val="auto"/>
        </w:rPr>
        <w:t xml:space="preserve"> </w:t>
      </w:r>
    </w:p>
    <w:p w14:paraId="39EB55D1" w14:textId="248777E5" w:rsidR="00A26635" w:rsidRDefault="00ED55CA" w:rsidP="00235D10">
      <w:pPr>
        <w:pStyle w:val="BodyText1"/>
        <w:keepNext/>
        <w:keepLines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 of December 2019, in the South Brisbane footprint alone (</w:t>
      </w:r>
      <w:r w:rsidRPr="00ED55CA">
        <w:rPr>
          <w:rFonts w:asciiTheme="minorHAnsi" w:hAnsiTheme="minorHAnsi" w:cstheme="minorHAnsi"/>
          <w:color w:val="auto"/>
        </w:rPr>
        <w:t>West End, South Brisbane and Highgate Hill</w:t>
      </w:r>
      <w:r>
        <w:rPr>
          <w:rFonts w:asciiTheme="minorHAnsi" w:hAnsiTheme="minorHAnsi" w:cstheme="minorHAnsi"/>
          <w:color w:val="auto"/>
        </w:rPr>
        <w:t xml:space="preserve"> SA2 statistical areas), there are: </w:t>
      </w:r>
    </w:p>
    <w:p w14:paraId="3D657B4C" w14:textId="66A1A28F" w:rsidR="00ED55CA" w:rsidRPr="00060930" w:rsidRDefault="00ED55CA" w:rsidP="00235D10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 w:rsidRPr="00060930">
        <w:rPr>
          <w:rFonts w:asciiTheme="minorHAnsi" w:hAnsiTheme="minorHAnsi" w:cstheme="minorHAnsi"/>
          <w:color w:val="auto"/>
        </w:rPr>
        <w:t>10</w:t>
      </w:r>
      <w:r>
        <w:rPr>
          <w:rFonts w:asciiTheme="minorHAnsi" w:hAnsiTheme="minorHAnsi" w:cstheme="minorHAnsi"/>
          <w:color w:val="auto"/>
        </w:rPr>
        <w:t>80</w:t>
      </w:r>
      <w:r w:rsidRPr="00060930">
        <w:rPr>
          <w:rFonts w:asciiTheme="minorHAnsi" w:hAnsiTheme="minorHAnsi" w:cstheme="minorHAnsi"/>
          <w:color w:val="auto"/>
        </w:rPr>
        <w:t xml:space="preserve"> Age Pension recipients</w:t>
      </w:r>
      <w:r>
        <w:rPr>
          <w:rFonts w:asciiTheme="minorHAnsi" w:hAnsiTheme="minorHAnsi" w:cstheme="minorHAnsi"/>
          <w:color w:val="auto"/>
        </w:rPr>
        <w:t>,</w:t>
      </w:r>
    </w:p>
    <w:p w14:paraId="7937D717" w14:textId="113F2EF8" w:rsidR="00ED55CA" w:rsidRPr="00060930" w:rsidRDefault="00ED55CA" w:rsidP="00235D10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 w:rsidRPr="00060930">
        <w:rPr>
          <w:rFonts w:asciiTheme="minorHAnsi" w:hAnsiTheme="minorHAnsi" w:cstheme="minorHAnsi"/>
          <w:color w:val="auto"/>
        </w:rPr>
        <w:t>62</w:t>
      </w:r>
      <w:r>
        <w:rPr>
          <w:rFonts w:asciiTheme="minorHAnsi" w:hAnsiTheme="minorHAnsi" w:cstheme="minorHAnsi"/>
          <w:color w:val="auto"/>
        </w:rPr>
        <w:t>3</w:t>
      </w:r>
      <w:r w:rsidRPr="00060930">
        <w:rPr>
          <w:rFonts w:asciiTheme="minorHAnsi" w:hAnsiTheme="minorHAnsi" w:cstheme="minorHAnsi"/>
          <w:color w:val="auto"/>
        </w:rPr>
        <w:t xml:space="preserve"> Disability Support Pension recipients</w:t>
      </w:r>
      <w:r>
        <w:rPr>
          <w:rFonts w:asciiTheme="minorHAnsi" w:hAnsiTheme="minorHAnsi" w:cstheme="minorHAnsi"/>
          <w:color w:val="auto"/>
        </w:rPr>
        <w:t>,</w:t>
      </w:r>
    </w:p>
    <w:p w14:paraId="6E438E4E" w14:textId="0C0C6123" w:rsidR="00ED55CA" w:rsidRPr="00060930" w:rsidRDefault="00ED55CA" w:rsidP="00235D10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 w:rsidRPr="00060930">
        <w:rPr>
          <w:rFonts w:asciiTheme="minorHAnsi" w:hAnsiTheme="minorHAnsi" w:cstheme="minorHAnsi"/>
          <w:color w:val="auto"/>
        </w:rPr>
        <w:t>7</w:t>
      </w:r>
      <w:r>
        <w:rPr>
          <w:rFonts w:asciiTheme="minorHAnsi" w:hAnsiTheme="minorHAnsi" w:cstheme="minorHAnsi"/>
          <w:color w:val="auto"/>
        </w:rPr>
        <w:t>7</w:t>
      </w:r>
      <w:r w:rsidRPr="00060930">
        <w:rPr>
          <w:rFonts w:asciiTheme="minorHAnsi" w:hAnsiTheme="minorHAnsi" w:cstheme="minorHAnsi"/>
          <w:color w:val="auto"/>
        </w:rPr>
        <w:t>6 F</w:t>
      </w:r>
      <w:r>
        <w:rPr>
          <w:rFonts w:asciiTheme="minorHAnsi" w:hAnsiTheme="minorHAnsi" w:cstheme="minorHAnsi"/>
          <w:color w:val="auto"/>
        </w:rPr>
        <w:t xml:space="preserve">amily </w:t>
      </w:r>
      <w:r w:rsidRPr="00060930">
        <w:rPr>
          <w:rFonts w:asciiTheme="minorHAnsi" w:hAnsiTheme="minorHAnsi" w:cstheme="minorHAnsi"/>
          <w:color w:val="auto"/>
        </w:rPr>
        <w:t>T</w:t>
      </w:r>
      <w:r>
        <w:rPr>
          <w:rFonts w:asciiTheme="minorHAnsi" w:hAnsiTheme="minorHAnsi" w:cstheme="minorHAnsi"/>
          <w:color w:val="auto"/>
        </w:rPr>
        <w:t xml:space="preserve">ax </w:t>
      </w:r>
      <w:r w:rsidRPr="00060930">
        <w:rPr>
          <w:rFonts w:asciiTheme="minorHAnsi" w:hAnsiTheme="minorHAnsi" w:cstheme="minorHAnsi"/>
          <w:color w:val="auto"/>
        </w:rPr>
        <w:t>B</w:t>
      </w:r>
      <w:r>
        <w:rPr>
          <w:rFonts w:asciiTheme="minorHAnsi" w:hAnsiTheme="minorHAnsi" w:cstheme="minorHAnsi"/>
          <w:color w:val="auto"/>
        </w:rPr>
        <w:t>enefit</w:t>
      </w:r>
      <w:r w:rsidRPr="00060930">
        <w:rPr>
          <w:rFonts w:asciiTheme="minorHAnsi" w:hAnsiTheme="minorHAnsi" w:cstheme="minorHAnsi"/>
          <w:color w:val="auto"/>
        </w:rPr>
        <w:t xml:space="preserve"> A recipients</w:t>
      </w:r>
      <w:r>
        <w:rPr>
          <w:rFonts w:asciiTheme="minorHAnsi" w:hAnsiTheme="minorHAnsi" w:cstheme="minorHAnsi"/>
          <w:color w:val="auto"/>
        </w:rPr>
        <w:t>,</w:t>
      </w:r>
    </w:p>
    <w:p w14:paraId="30B73767" w14:textId="4F72EBE8" w:rsidR="00ED55CA" w:rsidRPr="00060930" w:rsidRDefault="00ED55CA" w:rsidP="00235D10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 w:rsidRPr="00060930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17</w:t>
      </w:r>
      <w:r w:rsidRPr="00060930">
        <w:rPr>
          <w:rFonts w:asciiTheme="minorHAnsi" w:hAnsiTheme="minorHAnsi" w:cstheme="minorHAnsi"/>
          <w:color w:val="auto"/>
        </w:rPr>
        <w:t xml:space="preserve"> Carer’s Allowance recipients</w:t>
      </w:r>
      <w:r>
        <w:rPr>
          <w:rFonts w:asciiTheme="minorHAnsi" w:hAnsiTheme="minorHAnsi" w:cstheme="minorHAnsi"/>
          <w:color w:val="auto"/>
        </w:rPr>
        <w:t>,</w:t>
      </w:r>
    </w:p>
    <w:p w14:paraId="7FD54800" w14:textId="300D3CA5" w:rsidR="00ED55CA" w:rsidRPr="00060930" w:rsidRDefault="00ED55CA" w:rsidP="00235D10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576</w:t>
      </w:r>
      <w:r w:rsidRPr="00060930">
        <w:rPr>
          <w:rFonts w:asciiTheme="minorHAnsi" w:hAnsiTheme="minorHAnsi" w:cstheme="minorHAnsi"/>
          <w:color w:val="auto"/>
        </w:rPr>
        <w:t xml:space="preserve"> Youth Allowance recipients</w:t>
      </w:r>
      <w:r>
        <w:rPr>
          <w:rFonts w:asciiTheme="minorHAnsi" w:hAnsiTheme="minorHAnsi" w:cstheme="minorHAnsi"/>
          <w:color w:val="auto"/>
        </w:rPr>
        <w:t>,</w:t>
      </w:r>
    </w:p>
    <w:p w14:paraId="3438232F" w14:textId="077F12CF" w:rsidR="00ED55CA" w:rsidRDefault="00ED55CA" w:rsidP="00235D10">
      <w:pPr>
        <w:pStyle w:val="BodyText1"/>
        <w:keepNext/>
        <w:keepLines/>
        <w:numPr>
          <w:ilvl w:val="0"/>
          <w:numId w:val="1"/>
        </w:numPr>
        <w:contextualSpacing/>
        <w:rPr>
          <w:rFonts w:asciiTheme="minorHAnsi" w:hAnsiTheme="minorHAnsi" w:cstheme="minorHAnsi"/>
          <w:color w:val="auto"/>
        </w:rPr>
      </w:pPr>
      <w:r w:rsidRPr="00060930">
        <w:rPr>
          <w:rFonts w:asciiTheme="minorHAnsi" w:hAnsiTheme="minorHAnsi" w:cstheme="minorHAnsi"/>
          <w:color w:val="auto"/>
        </w:rPr>
        <w:t>1</w:t>
      </w:r>
      <w:r>
        <w:rPr>
          <w:rFonts w:asciiTheme="minorHAnsi" w:hAnsiTheme="minorHAnsi" w:cstheme="minorHAnsi"/>
          <w:color w:val="auto"/>
        </w:rPr>
        <w:t>8</w:t>
      </w:r>
      <w:r w:rsidRPr="00060930">
        <w:rPr>
          <w:rFonts w:asciiTheme="minorHAnsi" w:hAnsiTheme="minorHAnsi" w:cstheme="minorHAnsi"/>
          <w:color w:val="auto"/>
        </w:rPr>
        <w:t xml:space="preserve">33 Commonwealth Rent Assistance income </w:t>
      </w:r>
      <w:r w:rsidR="00A04AD5">
        <w:rPr>
          <w:rFonts w:asciiTheme="minorHAnsi" w:hAnsiTheme="minorHAnsi" w:cstheme="minorHAnsi"/>
          <w:color w:val="auto"/>
        </w:rPr>
        <w:t>recipients</w:t>
      </w:r>
      <w:r>
        <w:rPr>
          <w:rFonts w:asciiTheme="minorHAnsi" w:hAnsiTheme="minorHAnsi" w:cstheme="minorHAnsi"/>
          <w:color w:val="auto"/>
        </w:rPr>
        <w:t>, and</w:t>
      </w:r>
    </w:p>
    <w:p w14:paraId="033925E3" w14:textId="61D391EA" w:rsidR="00ED55CA" w:rsidRPr="00BF4FBC" w:rsidRDefault="00ED55CA" w:rsidP="00BF4FBC">
      <w:pPr>
        <w:pStyle w:val="BodyText1"/>
        <w:keepNext/>
        <w:keepLines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831 Newstart/</w:t>
      </w:r>
      <w:proofErr w:type="spellStart"/>
      <w:r>
        <w:rPr>
          <w:rFonts w:asciiTheme="minorHAnsi" w:hAnsiTheme="minorHAnsi" w:cstheme="minorHAnsi"/>
          <w:color w:val="auto"/>
        </w:rPr>
        <w:t>JobSeeker</w:t>
      </w:r>
      <w:proofErr w:type="spellEnd"/>
      <w:r>
        <w:rPr>
          <w:rFonts w:asciiTheme="minorHAnsi" w:hAnsiTheme="minorHAnsi" w:cstheme="minorHAnsi"/>
          <w:color w:val="auto"/>
        </w:rPr>
        <w:t xml:space="preserve"> recipients.</w:t>
      </w:r>
      <w:r>
        <w:rPr>
          <w:rStyle w:val="FootnoteReference"/>
          <w:rFonts w:asciiTheme="minorHAnsi" w:hAnsiTheme="minorHAnsi" w:cstheme="minorHAnsi"/>
          <w:color w:val="auto"/>
        </w:rPr>
        <w:footnoteReference w:id="4"/>
      </w:r>
    </w:p>
    <w:p w14:paraId="24A83980" w14:textId="495A88EE" w:rsidR="00A04AD5" w:rsidRDefault="00930EAC" w:rsidP="00A26635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</w:t>
      </w:r>
      <w:r w:rsidR="00A04AD5">
        <w:rPr>
          <w:rFonts w:asciiTheme="minorHAnsi" w:hAnsiTheme="minorHAnsi" w:cstheme="minorHAnsi"/>
          <w:color w:val="auto"/>
        </w:rPr>
        <w:t>t a generous estimate, there are up to 8500 price-sensitive consumers in t</w:t>
      </w:r>
      <w:r w:rsidR="001523CC">
        <w:rPr>
          <w:rFonts w:asciiTheme="minorHAnsi" w:hAnsiTheme="minorHAnsi" w:cstheme="minorHAnsi"/>
          <w:color w:val="auto"/>
        </w:rPr>
        <w:t xml:space="preserve">he South Brisbane </w:t>
      </w:r>
      <w:r w:rsidR="00A04AD5">
        <w:rPr>
          <w:rFonts w:asciiTheme="minorHAnsi" w:hAnsiTheme="minorHAnsi" w:cstheme="minorHAnsi"/>
          <w:color w:val="auto"/>
        </w:rPr>
        <w:t xml:space="preserve">footprint </w:t>
      </w:r>
      <w:r w:rsidR="001523CC">
        <w:rPr>
          <w:rFonts w:asciiTheme="minorHAnsi" w:hAnsiTheme="minorHAnsi" w:cstheme="minorHAnsi"/>
          <w:color w:val="auto"/>
        </w:rPr>
        <w:t xml:space="preserve">alone </w:t>
      </w:r>
      <w:r w:rsidR="00A04AD5">
        <w:rPr>
          <w:rFonts w:asciiTheme="minorHAnsi" w:hAnsiTheme="minorHAnsi" w:cstheme="minorHAnsi"/>
          <w:color w:val="auto"/>
        </w:rPr>
        <w:t xml:space="preserve">affected by </w:t>
      </w:r>
      <w:r w:rsidR="001523CC">
        <w:rPr>
          <w:rFonts w:asciiTheme="minorHAnsi" w:hAnsiTheme="minorHAnsi" w:cstheme="minorHAnsi"/>
          <w:color w:val="auto"/>
        </w:rPr>
        <w:t>a</w:t>
      </w:r>
      <w:r w:rsidR="00A04AD5">
        <w:rPr>
          <w:rFonts w:asciiTheme="minorHAnsi" w:hAnsiTheme="minorHAnsi" w:cstheme="minorHAnsi"/>
          <w:color w:val="auto"/>
        </w:rPr>
        <w:t xml:space="preserve"> lack of choice </w:t>
      </w:r>
      <w:r w:rsidR="001523CC">
        <w:rPr>
          <w:rFonts w:asciiTheme="minorHAnsi" w:hAnsiTheme="minorHAnsi" w:cstheme="minorHAnsi"/>
          <w:color w:val="auto"/>
        </w:rPr>
        <w:t>of</w:t>
      </w:r>
      <w:r w:rsidR="00A04AD5">
        <w:rPr>
          <w:rFonts w:asciiTheme="minorHAnsi" w:hAnsiTheme="minorHAnsi" w:cstheme="minorHAnsi"/>
          <w:color w:val="auto"/>
        </w:rPr>
        <w:t xml:space="preserve"> </w:t>
      </w:r>
      <w:r w:rsidR="00235D10">
        <w:rPr>
          <w:rFonts w:asciiTheme="minorHAnsi" w:hAnsiTheme="minorHAnsi" w:cstheme="minorHAnsi"/>
          <w:color w:val="auto"/>
        </w:rPr>
        <w:t>RSP</w:t>
      </w:r>
      <w:r w:rsidR="001523CC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and potentially locked out of the home broadband market due to the flow on effects of the exemptions on retail service pricing</w:t>
      </w:r>
      <w:r w:rsidR="00A04AD5">
        <w:rPr>
          <w:rFonts w:asciiTheme="minorHAnsi" w:hAnsiTheme="minorHAnsi" w:cstheme="minorHAnsi"/>
          <w:color w:val="auto"/>
        </w:rPr>
        <w:t xml:space="preserve">. </w:t>
      </w:r>
      <w:r w:rsidR="001523CC">
        <w:rPr>
          <w:rFonts w:asciiTheme="minorHAnsi" w:hAnsiTheme="minorHAnsi" w:cstheme="minorHAnsi"/>
          <w:color w:val="auto"/>
        </w:rPr>
        <w:t xml:space="preserve">We expect that the impact the COVID-19 outbreak </w:t>
      </w:r>
      <w:r w:rsidR="00692C29">
        <w:rPr>
          <w:rFonts w:asciiTheme="minorHAnsi" w:hAnsiTheme="minorHAnsi" w:cstheme="minorHAnsi"/>
          <w:color w:val="auto"/>
        </w:rPr>
        <w:t xml:space="preserve">has had both </w:t>
      </w:r>
      <w:r w:rsidR="001523CC">
        <w:rPr>
          <w:rFonts w:asciiTheme="minorHAnsi" w:hAnsiTheme="minorHAnsi" w:cstheme="minorHAnsi"/>
          <w:color w:val="auto"/>
        </w:rPr>
        <w:t>on the Australian labour market, and Australians’ reliance on home internet connections</w:t>
      </w:r>
      <w:r w:rsidR="00692C29">
        <w:rPr>
          <w:rFonts w:asciiTheme="minorHAnsi" w:hAnsiTheme="minorHAnsi" w:cstheme="minorHAnsi"/>
          <w:color w:val="auto"/>
        </w:rPr>
        <w:t>, has significantly increased the number of consumers with difficulty affording services delivered over the Networks, and the number of consumers who require a home internet service.</w:t>
      </w:r>
      <w:r w:rsidR="00890909">
        <w:rPr>
          <w:rFonts w:asciiTheme="minorHAnsi" w:hAnsiTheme="minorHAnsi" w:cstheme="minorHAnsi"/>
          <w:color w:val="auto"/>
        </w:rPr>
        <w:t xml:space="preserve"> It has also brought into focus the technical inadequacy of the </w:t>
      </w:r>
      <w:r w:rsidR="000E4A8C">
        <w:rPr>
          <w:rFonts w:asciiTheme="minorHAnsi" w:hAnsiTheme="minorHAnsi" w:cstheme="minorHAnsi"/>
          <w:color w:val="auto"/>
        </w:rPr>
        <w:t xml:space="preserve">low upload speeds on the </w:t>
      </w:r>
      <w:r w:rsidR="00890909">
        <w:rPr>
          <w:rFonts w:asciiTheme="minorHAnsi" w:hAnsiTheme="minorHAnsi" w:cstheme="minorHAnsi"/>
          <w:color w:val="auto"/>
        </w:rPr>
        <w:t>Telstra networks</w:t>
      </w:r>
      <w:r w:rsidR="000E4A8C">
        <w:rPr>
          <w:rFonts w:asciiTheme="minorHAnsi" w:hAnsiTheme="minorHAnsi" w:cstheme="minorHAnsi"/>
          <w:color w:val="auto"/>
        </w:rPr>
        <w:t>.</w:t>
      </w:r>
      <w:r w:rsidR="00890909">
        <w:rPr>
          <w:rFonts w:asciiTheme="minorHAnsi" w:hAnsiTheme="minorHAnsi" w:cstheme="minorHAnsi"/>
          <w:color w:val="auto"/>
        </w:rPr>
        <w:t xml:space="preserve"> </w:t>
      </w:r>
    </w:p>
    <w:p w14:paraId="2BCB1D13" w14:textId="632C88EA" w:rsidR="00366E1B" w:rsidRDefault="00365AFB" w:rsidP="00366E1B">
      <w:pPr>
        <w:pStyle w:val="Heading2"/>
      </w:pPr>
      <w:r>
        <w:t xml:space="preserve">Removal of the expiration date for </w:t>
      </w:r>
      <w:r w:rsidR="00366E1B">
        <w:t>Carrier Licensing Conditions</w:t>
      </w:r>
      <w:r>
        <w:t xml:space="preserve"> (CLCs)</w:t>
      </w:r>
    </w:p>
    <w:p w14:paraId="2BA9EC2E" w14:textId="77777777" w:rsidR="00F03941" w:rsidRDefault="00365AFB" w:rsidP="00F03941">
      <w:pPr>
        <w:rPr>
          <w:i/>
          <w:iCs/>
        </w:rPr>
      </w:pPr>
      <w:r>
        <w:t xml:space="preserve">In addition to </w:t>
      </w:r>
      <w:r w:rsidRPr="00365AFB">
        <w:t>granting</w:t>
      </w:r>
      <w:r>
        <w:t xml:space="preserve"> Telstra’s exemption requests on a </w:t>
      </w:r>
      <w:r w:rsidR="007D3304">
        <w:t xml:space="preserve">strictly </w:t>
      </w:r>
      <w:r>
        <w:t xml:space="preserve">limited basis, ACCAN supports the removal of the expiration date </w:t>
      </w:r>
      <w:r w:rsidR="007D3304">
        <w:t>of</w:t>
      </w:r>
      <w:r>
        <w:t xml:space="preserve"> the CLCs as proposed in suggested amendments to </w:t>
      </w:r>
      <w:r w:rsidRPr="00365AFB">
        <w:t xml:space="preserve">the </w:t>
      </w:r>
      <w:r w:rsidRPr="00F03941">
        <w:rPr>
          <w:i/>
          <w:iCs/>
        </w:rPr>
        <w:t xml:space="preserve">Carrier Licence Conditions (Networks supplying Superfast Carriage Services to Residential Customers) </w:t>
      </w:r>
    </w:p>
    <w:p w14:paraId="2E2E3026" w14:textId="77777777" w:rsidR="00F03941" w:rsidRDefault="00F03941" w:rsidP="00F03941">
      <w:pPr>
        <w:rPr>
          <w:i/>
          <w:iCs/>
        </w:rPr>
      </w:pPr>
    </w:p>
    <w:p w14:paraId="09D13377" w14:textId="3E2F4FEB" w:rsidR="00366E1B" w:rsidRPr="00366E1B" w:rsidRDefault="00365AFB" w:rsidP="00F03941">
      <w:r w:rsidRPr="00F03941">
        <w:rPr>
          <w:i/>
          <w:iCs/>
        </w:rPr>
        <w:t>Declaration 2014</w:t>
      </w:r>
      <w:r>
        <w:t>.</w:t>
      </w:r>
      <w:r>
        <w:rPr>
          <w:rStyle w:val="FootnoteReference"/>
        </w:rPr>
        <w:footnoteReference w:id="5"/>
      </w:r>
      <w:r>
        <w:t xml:space="preserve"> The CLCs, which </w:t>
      </w:r>
      <w:r w:rsidRPr="00365AFB">
        <w:t xml:space="preserve">require certain types of </w:t>
      </w:r>
      <w:r>
        <w:t>non-NBN</w:t>
      </w:r>
      <w:r w:rsidRPr="00365AFB">
        <w:t xml:space="preserve"> networks to operate </w:t>
      </w:r>
      <w:r>
        <w:t xml:space="preserve">separately to </w:t>
      </w:r>
      <w:r w:rsidR="009311D1">
        <w:t xml:space="preserve">their retail functions, </w:t>
      </w:r>
      <w:r w:rsidRPr="00365AFB">
        <w:t>and to offer wholesale services</w:t>
      </w:r>
      <w:r w:rsidR="009311D1">
        <w:t xml:space="preserve"> to other </w:t>
      </w:r>
      <w:r w:rsidR="00E93A06">
        <w:t>RSPs</w:t>
      </w:r>
      <w:r w:rsidRPr="00365AFB">
        <w:t xml:space="preserve"> on a non-discriminatory basis</w:t>
      </w:r>
      <w:r w:rsidR="009311D1">
        <w:t xml:space="preserve">, are fundamental to facilitating competition on non-NBN networks. This </w:t>
      </w:r>
      <w:r w:rsidR="007D3304">
        <w:t>instrument</w:t>
      </w:r>
      <w:r w:rsidR="009311D1">
        <w:t xml:space="preserve"> specifically allows providers who </w:t>
      </w:r>
      <w:r w:rsidR="00963FEA">
        <w:t xml:space="preserve">do not operate </w:t>
      </w:r>
      <w:r w:rsidR="009311D1">
        <w:t>a non-NBN network to offer services over that network</w:t>
      </w:r>
      <w:r w:rsidR="007D3304">
        <w:t>, placing downward pressure on prices</w:t>
      </w:r>
      <w:r w:rsidR="009311D1">
        <w:t xml:space="preserve">. The removal of the instrument’s expiration date of 30 June 2020 will ensure this </w:t>
      </w:r>
      <w:r w:rsidR="00963FEA">
        <w:t>arrangement</w:t>
      </w:r>
      <w:r w:rsidR="009311D1">
        <w:t xml:space="preserve"> is protected.  </w:t>
      </w:r>
    </w:p>
    <w:p w14:paraId="5EC0ACAF" w14:textId="481A1602" w:rsidR="00366E1B" w:rsidRDefault="00366E1B" w:rsidP="00F03941">
      <w:pPr>
        <w:pStyle w:val="Heading2"/>
      </w:pPr>
      <w:r>
        <w:t>Final comments</w:t>
      </w:r>
    </w:p>
    <w:p w14:paraId="0768321D" w14:textId="02C7B6B1" w:rsidR="00235D10" w:rsidRDefault="00930EAC" w:rsidP="001523CC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While we acknowledge that it is necessary for the Minister to grant the exemption requests</w:t>
      </w:r>
      <w:r w:rsidR="00C46988">
        <w:rPr>
          <w:rFonts w:asciiTheme="minorHAnsi" w:hAnsiTheme="minorHAnsi" w:cstheme="minorHAnsi"/>
          <w:color w:val="auto"/>
        </w:rPr>
        <w:t xml:space="preserve"> in the short term</w:t>
      </w:r>
      <w:r>
        <w:rPr>
          <w:rFonts w:asciiTheme="minorHAnsi" w:hAnsiTheme="minorHAnsi" w:cstheme="minorHAnsi"/>
          <w:color w:val="auto"/>
        </w:rPr>
        <w:t xml:space="preserve"> on this occasion to prevent major and widespread service disruptions</w:t>
      </w:r>
      <w:r w:rsidR="001523CC">
        <w:rPr>
          <w:rFonts w:asciiTheme="minorHAnsi" w:hAnsiTheme="minorHAnsi" w:cstheme="minorHAnsi"/>
          <w:color w:val="auto"/>
        </w:rPr>
        <w:t xml:space="preserve"> for consumers within the Networks’ footprint</w:t>
      </w:r>
      <w:r>
        <w:rPr>
          <w:rFonts w:asciiTheme="minorHAnsi" w:hAnsiTheme="minorHAnsi" w:cstheme="minorHAnsi"/>
          <w:color w:val="auto"/>
        </w:rPr>
        <w:t xml:space="preserve">, </w:t>
      </w:r>
      <w:r w:rsidR="001523CC">
        <w:rPr>
          <w:rFonts w:asciiTheme="minorHAnsi" w:hAnsiTheme="minorHAnsi" w:cstheme="minorHAnsi"/>
          <w:color w:val="auto"/>
        </w:rPr>
        <w:t xml:space="preserve">we </w:t>
      </w:r>
      <w:r w:rsidR="00366E1B">
        <w:rPr>
          <w:rFonts w:asciiTheme="minorHAnsi" w:hAnsiTheme="minorHAnsi" w:cstheme="minorHAnsi"/>
          <w:color w:val="auto"/>
        </w:rPr>
        <w:t>stress the need for direct oversight</w:t>
      </w:r>
      <w:r w:rsidR="002707F4">
        <w:rPr>
          <w:rFonts w:asciiTheme="minorHAnsi" w:hAnsiTheme="minorHAnsi" w:cstheme="minorHAnsi"/>
          <w:color w:val="auto"/>
        </w:rPr>
        <w:t xml:space="preserve"> of</w:t>
      </w:r>
      <w:r w:rsidR="00366E1B">
        <w:rPr>
          <w:rFonts w:asciiTheme="minorHAnsi" w:hAnsiTheme="minorHAnsi" w:cstheme="minorHAnsi"/>
          <w:color w:val="auto"/>
        </w:rPr>
        <w:t xml:space="preserve"> and strict timeframes for the </w:t>
      </w:r>
      <w:r w:rsidR="002707F4">
        <w:rPr>
          <w:rFonts w:asciiTheme="minorHAnsi" w:hAnsiTheme="minorHAnsi" w:cstheme="minorHAnsi"/>
          <w:color w:val="auto"/>
        </w:rPr>
        <w:t>sale</w:t>
      </w:r>
      <w:r w:rsidR="00366E1B">
        <w:rPr>
          <w:rFonts w:asciiTheme="minorHAnsi" w:hAnsiTheme="minorHAnsi" w:cstheme="minorHAnsi"/>
          <w:color w:val="auto"/>
        </w:rPr>
        <w:t xml:space="preserve"> of </w:t>
      </w:r>
      <w:r w:rsidR="002707F4">
        <w:rPr>
          <w:rFonts w:asciiTheme="minorHAnsi" w:hAnsiTheme="minorHAnsi" w:cstheme="minorHAnsi"/>
          <w:color w:val="auto"/>
        </w:rPr>
        <w:t>the Networks</w:t>
      </w:r>
      <w:r w:rsidR="00963FEA">
        <w:rPr>
          <w:rFonts w:asciiTheme="minorHAnsi" w:hAnsiTheme="minorHAnsi" w:cstheme="minorHAnsi"/>
          <w:color w:val="auto"/>
        </w:rPr>
        <w:t xml:space="preserve"> and transition arrangements</w:t>
      </w:r>
      <w:r w:rsidR="00366E1B">
        <w:rPr>
          <w:rFonts w:asciiTheme="minorHAnsi" w:hAnsiTheme="minorHAnsi" w:cstheme="minorHAnsi"/>
          <w:color w:val="auto"/>
        </w:rPr>
        <w:t xml:space="preserve">. </w:t>
      </w:r>
      <w:r w:rsidR="001523CC">
        <w:rPr>
          <w:rFonts w:asciiTheme="minorHAnsi" w:hAnsiTheme="minorHAnsi" w:cstheme="minorHAnsi"/>
          <w:color w:val="auto"/>
        </w:rPr>
        <w:t xml:space="preserve">We re-iterate that </w:t>
      </w:r>
      <w:r w:rsidR="001523CC" w:rsidRPr="001523CC">
        <w:rPr>
          <w:rFonts w:asciiTheme="minorHAnsi" w:hAnsiTheme="minorHAnsi" w:cstheme="minorHAnsi"/>
          <w:color w:val="auto"/>
        </w:rPr>
        <w:t xml:space="preserve">consumers </w:t>
      </w:r>
      <w:r w:rsidR="001523CC">
        <w:rPr>
          <w:rFonts w:asciiTheme="minorHAnsi" w:hAnsiTheme="minorHAnsi" w:cstheme="minorHAnsi"/>
          <w:color w:val="auto"/>
        </w:rPr>
        <w:t>who lack</w:t>
      </w:r>
      <w:r w:rsidR="001523CC" w:rsidRPr="001523CC">
        <w:rPr>
          <w:rFonts w:asciiTheme="minorHAnsi" w:hAnsiTheme="minorHAnsi" w:cstheme="minorHAnsi"/>
          <w:color w:val="auto"/>
        </w:rPr>
        <w:t xml:space="preserve"> access to competitively</w:t>
      </w:r>
      <w:r w:rsidR="001523CC">
        <w:rPr>
          <w:rFonts w:asciiTheme="minorHAnsi" w:hAnsiTheme="minorHAnsi" w:cstheme="minorHAnsi"/>
          <w:color w:val="auto"/>
        </w:rPr>
        <w:t xml:space="preserve"> </w:t>
      </w:r>
      <w:r w:rsidR="001523CC" w:rsidRPr="001523CC">
        <w:rPr>
          <w:rFonts w:asciiTheme="minorHAnsi" w:hAnsiTheme="minorHAnsi" w:cstheme="minorHAnsi"/>
          <w:color w:val="auto"/>
        </w:rPr>
        <w:t>priced services face</w:t>
      </w:r>
      <w:r w:rsidR="001523CC">
        <w:rPr>
          <w:rFonts w:asciiTheme="minorHAnsi" w:hAnsiTheme="minorHAnsi" w:cstheme="minorHAnsi"/>
          <w:color w:val="auto"/>
        </w:rPr>
        <w:t xml:space="preserve"> </w:t>
      </w:r>
      <w:r w:rsidR="001523CC" w:rsidRPr="001523CC">
        <w:rPr>
          <w:rFonts w:asciiTheme="minorHAnsi" w:hAnsiTheme="minorHAnsi" w:cstheme="minorHAnsi"/>
          <w:color w:val="auto"/>
        </w:rPr>
        <w:t>unnecessary detriment when seeking access</w:t>
      </w:r>
      <w:r w:rsidR="001523CC">
        <w:rPr>
          <w:rFonts w:asciiTheme="minorHAnsi" w:hAnsiTheme="minorHAnsi" w:cstheme="minorHAnsi"/>
          <w:color w:val="auto"/>
        </w:rPr>
        <w:t xml:space="preserve"> to</w:t>
      </w:r>
      <w:r w:rsidR="001523CC" w:rsidRPr="001523CC">
        <w:rPr>
          <w:rFonts w:asciiTheme="minorHAnsi" w:hAnsiTheme="minorHAnsi" w:cstheme="minorHAnsi"/>
          <w:color w:val="auto"/>
        </w:rPr>
        <w:t xml:space="preserve"> essential communications</w:t>
      </w:r>
      <w:r w:rsidR="001523CC">
        <w:rPr>
          <w:rFonts w:asciiTheme="minorHAnsi" w:hAnsiTheme="minorHAnsi" w:cstheme="minorHAnsi"/>
          <w:color w:val="auto"/>
        </w:rPr>
        <w:t xml:space="preserve">, and that consumers on limited incomes bear this detriment disproportionately. </w:t>
      </w:r>
    </w:p>
    <w:p w14:paraId="37342623" w14:textId="7FE7E2C5" w:rsidR="00F03941" w:rsidRDefault="00F03941" w:rsidP="00235D10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Thank you for considering our feedback. Please contact us on 02 9288 4000 or at </w:t>
      </w:r>
      <w:hyperlink r:id="rId9" w:history="1">
        <w:r w:rsidRPr="003516D9">
          <w:rPr>
            <w:rStyle w:val="Hyperlink"/>
            <w:rFonts w:asciiTheme="minorHAnsi" w:hAnsiTheme="minorHAnsi" w:cstheme="minorHAnsi"/>
          </w:rPr>
          <w:t>Rebekah.Sarkoezy@accan.org.au</w:t>
        </w:r>
      </w:hyperlink>
      <w:r>
        <w:rPr>
          <w:rFonts w:asciiTheme="minorHAnsi" w:hAnsiTheme="minorHAnsi" w:cstheme="minorHAnsi"/>
          <w:color w:val="auto"/>
        </w:rPr>
        <w:t xml:space="preserve"> </w:t>
      </w:r>
      <w:r w:rsidR="00472568">
        <w:rPr>
          <w:rFonts w:asciiTheme="minorHAnsi" w:hAnsiTheme="minorHAnsi" w:cstheme="minorHAnsi"/>
          <w:color w:val="auto"/>
        </w:rPr>
        <w:t xml:space="preserve">if you wish to discuss our position further. </w:t>
      </w:r>
      <w:bookmarkStart w:id="0" w:name="_GoBack"/>
      <w:bookmarkEnd w:id="0"/>
    </w:p>
    <w:p w14:paraId="520E09B7" w14:textId="77777777" w:rsidR="00F03941" w:rsidRDefault="00F03941" w:rsidP="00235D10">
      <w:pPr>
        <w:pStyle w:val="BodyText1"/>
        <w:rPr>
          <w:rFonts w:asciiTheme="minorHAnsi" w:hAnsiTheme="minorHAnsi" w:cstheme="minorHAnsi"/>
          <w:color w:val="auto"/>
        </w:rPr>
      </w:pPr>
    </w:p>
    <w:p w14:paraId="711B737E" w14:textId="66A7E521" w:rsidR="00235D10" w:rsidRPr="00CC239B" w:rsidRDefault="00235D10" w:rsidP="00235D10">
      <w:pPr>
        <w:pStyle w:val="BodyText1"/>
        <w:rPr>
          <w:rFonts w:asciiTheme="minorHAnsi" w:hAnsiTheme="minorHAnsi" w:cstheme="minorHAnsi"/>
          <w:color w:val="auto"/>
        </w:rPr>
      </w:pPr>
      <w:r w:rsidRPr="00CC239B">
        <w:rPr>
          <w:rFonts w:asciiTheme="minorHAnsi" w:hAnsiTheme="minorHAnsi" w:cstheme="minorHAnsi"/>
          <w:color w:val="auto"/>
        </w:rPr>
        <w:t>Sincerely</w:t>
      </w:r>
      <w:r w:rsidR="001523CC">
        <w:rPr>
          <w:rFonts w:asciiTheme="minorHAnsi" w:hAnsiTheme="minorHAnsi" w:cstheme="minorHAnsi"/>
          <w:color w:val="auto"/>
        </w:rPr>
        <w:t>,</w:t>
      </w:r>
    </w:p>
    <w:p w14:paraId="3CF6BB51" w14:textId="470F12EF" w:rsidR="00235D10" w:rsidRPr="00CC239B" w:rsidRDefault="001523CC" w:rsidP="00235D10">
      <w:pPr>
        <w:pStyle w:val="BodyText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Rebekah Sarkoezy</w:t>
      </w:r>
      <w:r>
        <w:rPr>
          <w:rFonts w:asciiTheme="minorHAnsi" w:hAnsiTheme="minorHAnsi" w:cstheme="minorHAnsi"/>
          <w:color w:val="auto"/>
        </w:rPr>
        <w:br/>
        <w:t>Policy Officer</w:t>
      </w:r>
    </w:p>
    <w:p w14:paraId="0366C6C6" w14:textId="18E4599F" w:rsidR="00235D10" w:rsidRDefault="00235D10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0B4EEB60" w14:textId="6B859420" w:rsidR="00235D10" w:rsidRDefault="00235D10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7E908389" w14:textId="5FFCB11E" w:rsidR="001523CC" w:rsidRDefault="001523CC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7C23AD4D" w14:textId="7FBC6844" w:rsidR="00DA0DC1" w:rsidRDefault="00DA0DC1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79F8FE4C" w14:textId="77777777" w:rsidR="00DA0DC1" w:rsidRDefault="00DA0DC1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3D980834" w14:textId="0C7F9340" w:rsidR="001523CC" w:rsidRDefault="001523CC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1540C85B" w14:textId="7153172F" w:rsidR="001523CC" w:rsidRDefault="001523CC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1BAD54E5" w14:textId="639EA18B" w:rsidR="001523CC" w:rsidRDefault="001523CC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12F48243" w14:textId="77777777" w:rsidR="001523CC" w:rsidRDefault="001523CC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297738F7" w14:textId="5DD12E73" w:rsidR="000C140D" w:rsidRDefault="000C140D" w:rsidP="000C140D">
      <w:pPr>
        <w:pStyle w:val="BodyText1"/>
        <w:rPr>
          <w:rFonts w:asciiTheme="minorHAnsi" w:hAnsiTheme="minorHAnsi" w:cstheme="minorHAnsi"/>
          <w:color w:val="auto"/>
        </w:rPr>
      </w:pPr>
    </w:p>
    <w:p w14:paraId="3CEFDFFF" w14:textId="4A4DD339" w:rsidR="000C140D" w:rsidRPr="000C140D" w:rsidRDefault="000C140D" w:rsidP="005D6C3E">
      <w:pPr>
        <w:pStyle w:val="Heading2"/>
      </w:pPr>
      <w:r w:rsidRPr="000C140D">
        <w:lastRenderedPageBreak/>
        <w:t>Appendix</w:t>
      </w:r>
      <w:r>
        <w:t xml:space="preserve"> A: </w:t>
      </w:r>
      <w:r w:rsidRPr="000C140D">
        <w:t>Consumer experiences of the South Brisbane</w:t>
      </w:r>
      <w:r w:rsidR="001523CC">
        <w:t xml:space="preserve"> Velocity</w:t>
      </w:r>
      <w:r w:rsidRPr="000C140D">
        <w:t xml:space="preserve"> network</w:t>
      </w:r>
    </w:p>
    <w:p w14:paraId="2DB1972B" w14:textId="5631FD36" w:rsidR="008C5305" w:rsidRPr="008C5305" w:rsidRDefault="00423CC8" w:rsidP="008C5305">
      <w:pPr>
        <w:pStyle w:val="Recommendation"/>
        <w:numPr>
          <w:ilvl w:val="0"/>
          <w:numId w:val="0"/>
        </w:numPr>
        <w:pBdr>
          <w:right w:val="single" w:sz="8" w:space="0" w:color="44C8F5"/>
        </w:pBdr>
        <w:ind w:left="851"/>
        <w:rPr>
          <w:b/>
          <w:bCs/>
        </w:rPr>
      </w:pPr>
      <w:r w:rsidRPr="00423CC8">
        <w:rPr>
          <w:b/>
          <w:bCs/>
        </w:rPr>
        <w:t xml:space="preserve">CASE STUDY 1: Richard’s story </w:t>
      </w:r>
      <w:r w:rsidR="008C5305">
        <w:rPr>
          <w:b/>
          <w:bCs/>
        </w:rPr>
        <w:br/>
      </w:r>
      <w:r w:rsidR="008C5305">
        <w:rPr>
          <w:b/>
          <w:bCs/>
        </w:rPr>
        <w:br/>
      </w:r>
      <w:r>
        <w:t xml:space="preserve">Richard lives </w:t>
      </w:r>
      <w:r w:rsidR="008C5305">
        <w:t xml:space="preserve">with his elderly </w:t>
      </w:r>
      <w:r w:rsidR="00C46988">
        <w:t>mother</w:t>
      </w:r>
      <w:r w:rsidR="008C5305">
        <w:t xml:space="preserve"> in a house in South Brisbane. Richard was on an </w:t>
      </w:r>
      <w:proofErr w:type="spellStart"/>
      <w:r w:rsidR="008C5305">
        <w:t>Exetel</w:t>
      </w:r>
      <w:proofErr w:type="spellEnd"/>
      <w:r w:rsidR="008C5305">
        <w:t xml:space="preserve"> broadband plan on Telstra’s velocity network, which cost $39/month. A few year ago, he was disconnected in error when trying to change the name on his account and when he sought to re-connect his service, </w:t>
      </w:r>
      <w:proofErr w:type="spellStart"/>
      <w:r w:rsidR="008C5305">
        <w:t>Exetel</w:t>
      </w:r>
      <w:proofErr w:type="spellEnd"/>
      <w:r w:rsidR="008C5305">
        <w:t xml:space="preserve"> told him that they couldn’t because his plan was no longer being offered and only Telstra serviced his address.  </w:t>
      </w:r>
    </w:p>
    <w:p w14:paraId="64D95A8B" w14:textId="7CD67565" w:rsidR="00423CC8" w:rsidRPr="008C5305" w:rsidRDefault="008C5305" w:rsidP="008C5305">
      <w:pPr>
        <w:pStyle w:val="Recommendation"/>
        <w:numPr>
          <w:ilvl w:val="0"/>
          <w:numId w:val="0"/>
        </w:numPr>
        <w:pBdr>
          <w:right w:val="single" w:sz="8" w:space="0" w:color="44C8F5"/>
        </w:pBdr>
        <w:ind w:left="851"/>
      </w:pPr>
      <w:r>
        <w:t xml:space="preserve">Richard receives a Centrelink Carer’s Allowance. He talked to Telstra to about getting a phone and internet plan, but he could not afford any of the available bundles. Richard </w:t>
      </w:r>
      <w:r w:rsidR="00C46988">
        <w:t>was able to get</w:t>
      </w:r>
      <w:r>
        <w:t xml:space="preserve"> a $25/month concessional home phone service with Telstra </w:t>
      </w:r>
      <w:r w:rsidR="00C46988">
        <w:t xml:space="preserve">due to his mother’s eligibility as an </w:t>
      </w:r>
      <w:r>
        <w:t>age pension</w:t>
      </w:r>
      <w:r w:rsidR="00C46988">
        <w:t>er</w:t>
      </w:r>
      <w:r>
        <w:t xml:space="preserve">, but he relies on a portable 4G Vodafone </w:t>
      </w:r>
      <w:proofErr w:type="spellStart"/>
      <w:r>
        <w:t>WiFi</w:t>
      </w:r>
      <w:proofErr w:type="spellEnd"/>
      <w:r>
        <w:t xml:space="preserve"> dongle for internet access because it is all he can afford. His mobile broadband performance is poor, as he lives in a densely populated area where the network is frequently congested. Richard told ACCAN that it’s unfair that he doesn’t have a choice about which fixed broadband provider he can use.</w:t>
      </w:r>
    </w:p>
    <w:p w14:paraId="5A975135" w14:textId="7A13467A" w:rsidR="008C5305" w:rsidRDefault="008C5305" w:rsidP="008C5305">
      <w:pPr>
        <w:pStyle w:val="BodyText1"/>
        <w:rPr>
          <w:rFonts w:asciiTheme="minorHAnsi" w:hAnsiTheme="minorHAnsi" w:cstheme="minorHAnsi"/>
          <w:color w:val="auto"/>
        </w:rPr>
      </w:pPr>
    </w:p>
    <w:p w14:paraId="1169FABF" w14:textId="39B3B74C" w:rsidR="008C5305" w:rsidRPr="00C863FD" w:rsidRDefault="008C5305" w:rsidP="008C5305">
      <w:pPr>
        <w:pStyle w:val="Recommendation"/>
        <w:numPr>
          <w:ilvl w:val="0"/>
          <w:numId w:val="0"/>
        </w:numPr>
        <w:pBdr>
          <w:right w:val="single" w:sz="8" w:space="0" w:color="44C8F5"/>
        </w:pBdr>
        <w:ind w:left="851"/>
      </w:pPr>
      <w:r w:rsidRPr="00423CC8">
        <w:rPr>
          <w:b/>
          <w:bCs/>
        </w:rPr>
        <w:t xml:space="preserve">CASE STUDY </w:t>
      </w:r>
      <w:r>
        <w:rPr>
          <w:b/>
          <w:bCs/>
        </w:rPr>
        <w:t>2</w:t>
      </w:r>
      <w:r w:rsidRPr="00423CC8">
        <w:rPr>
          <w:b/>
          <w:bCs/>
        </w:rPr>
        <w:t xml:space="preserve">: </w:t>
      </w:r>
      <w:r>
        <w:rPr>
          <w:b/>
          <w:bCs/>
        </w:rPr>
        <w:t>Sami</w:t>
      </w:r>
      <w:r w:rsidRPr="00423CC8">
        <w:rPr>
          <w:b/>
          <w:bCs/>
        </w:rPr>
        <w:t xml:space="preserve">’s story </w:t>
      </w:r>
      <w:r>
        <w:rPr>
          <w:b/>
          <w:bCs/>
        </w:rPr>
        <w:br/>
      </w:r>
      <w:r>
        <w:rPr>
          <w:b/>
          <w:bCs/>
        </w:rPr>
        <w:br/>
      </w:r>
      <w:r>
        <w:t xml:space="preserve">Sami lives in South Brisbane and has a 100/1 Mbps broadband service </w:t>
      </w:r>
      <w:r w:rsidR="000C140D">
        <w:t xml:space="preserve">with Telstra, </w:t>
      </w:r>
      <w:r>
        <w:t>delivered over the South Brisbane network.</w:t>
      </w:r>
      <w:r w:rsidR="000C140D">
        <w:t xml:space="preserve"> Sami works in IT and needed to start working from home due to the COVID-19 outbreak. Sami soon realised that her home internet connection could not sustain her working-from-home needs. She found that her plan’s upload speed was far too slow to allow her to work effectively</w:t>
      </w:r>
      <w:r w:rsidR="00AE7774">
        <w:t>, and this negatively impacted her ability to work from home</w:t>
      </w:r>
      <w:r w:rsidR="000C140D">
        <w:t>.</w:t>
      </w:r>
    </w:p>
    <w:p w14:paraId="65E5B0DC" w14:textId="77777777" w:rsidR="00060930" w:rsidRDefault="00060930" w:rsidP="00C7127B">
      <w:pPr>
        <w:pStyle w:val="BodyText1"/>
        <w:rPr>
          <w:rFonts w:asciiTheme="minorHAnsi" w:hAnsiTheme="minorHAnsi" w:cstheme="minorHAnsi"/>
          <w:color w:val="auto"/>
        </w:rPr>
      </w:pPr>
    </w:p>
    <w:p w14:paraId="639CBCB0" w14:textId="77777777" w:rsidR="00545597" w:rsidRDefault="00545597"/>
    <w:sectPr w:rsidR="00545597" w:rsidSect="000D75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17DF8" w14:textId="77777777" w:rsidR="004A4EC6" w:rsidRDefault="004A4EC6" w:rsidP="00C7127B">
      <w:pPr>
        <w:spacing w:after="0" w:line="240" w:lineRule="auto"/>
      </w:pPr>
      <w:r>
        <w:separator/>
      </w:r>
    </w:p>
  </w:endnote>
  <w:endnote w:type="continuationSeparator" w:id="0">
    <w:p w14:paraId="0FA77D22" w14:textId="77777777" w:rsidR="004A4EC6" w:rsidRDefault="004A4EC6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C021" w14:textId="77777777" w:rsidR="000D7545" w:rsidRPr="00E05115" w:rsidRDefault="000D7545" w:rsidP="000D7545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>
      <w:rPr>
        <w:noProof/>
      </w:rPr>
      <w:t>2</w:t>
    </w:r>
    <w:r w:rsidRPr="00C4251E">
      <w:rPr>
        <w:noProof/>
      </w:rPr>
      <w:fldChar w:fldCharType="end"/>
    </w:r>
  </w:p>
  <w:p w14:paraId="3B2E8370" w14:textId="77777777" w:rsidR="000D7545" w:rsidRDefault="000D7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8A074" w14:textId="77777777" w:rsidR="00C7127B" w:rsidRDefault="00C7127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D2030CC" wp14:editId="46FCCF23">
              <wp:simplePos x="0" y="0"/>
              <wp:positionH relativeFrom="column">
                <wp:posOffset>-624840</wp:posOffset>
              </wp:positionH>
              <wp:positionV relativeFrom="paragraph">
                <wp:posOffset>-759460</wp:posOffset>
              </wp:positionV>
              <wp:extent cx="6971664" cy="1473199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473199"/>
                        <a:chOff x="-49543" y="-160097"/>
                        <a:chExt cx="6971664" cy="138261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160097"/>
                          <a:ext cx="6971664" cy="13826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4110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Australian Communications Consumer Action Network (ACCAN)</w:t>
                            </w:r>
                          </w:p>
                          <w:p w14:paraId="7103EA5C" w14:textId="77777777" w:rsidR="00C7127B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  <w:r w:rsidRPr="00E05115">
                              <w:rPr>
                                <w:i/>
                                <w:color w:val="23B0E6"/>
                              </w:rPr>
                              <w:t xml:space="preserve">Australia’s peak </w:t>
                            </w:r>
                            <w:r>
                              <w:rPr>
                                <w:i/>
                                <w:color w:val="23B0E6"/>
                              </w:rPr>
                              <w:t>body representing communications consumers</w:t>
                            </w:r>
                          </w:p>
                          <w:p w14:paraId="3E42CCD3" w14:textId="77777777" w:rsidR="00C7127B" w:rsidRPr="00E05115" w:rsidRDefault="00C7127B" w:rsidP="00C7127B">
                            <w:pPr>
                              <w:spacing w:after="0"/>
                              <w:rPr>
                                <w:i/>
                                <w:color w:val="23B0E6"/>
                              </w:rPr>
                            </w:pPr>
                          </w:p>
                          <w:p w14:paraId="23B888CE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>PO Box 639, Broadway NSW 2007</w:t>
                            </w:r>
                          </w:p>
                          <w:p w14:paraId="79650B9E" w14:textId="77777777" w:rsidR="00C7127B" w:rsidRDefault="00C7127B" w:rsidP="00C7127B">
                            <w:pPr>
                              <w:spacing w:after="0"/>
                            </w:pPr>
                            <w:r>
                              <w:t xml:space="preserve">Tel: (02) 9288 4000 | Fax: (02) 9288 4019 | Contact us through the </w:t>
                            </w:r>
                            <w:hyperlink r:id="rId1" w:history="1">
                              <w:r w:rsidRPr="00FE6EAF">
                                <w:rPr>
                                  <w:rStyle w:val="Hyperlink"/>
                                </w:rPr>
                                <w:t>National Relay Service</w:t>
                              </w:r>
                            </w:hyperlink>
                          </w:p>
                          <w:p w14:paraId="347BA2DC" w14:textId="77777777" w:rsidR="00C7127B" w:rsidRPr="00E05115" w:rsidRDefault="00C7127B" w:rsidP="00C7127B">
                            <w:pPr>
                              <w:spacing w:after="0"/>
                              <w:rPr>
                                <w:color w:val="23B0E6"/>
                              </w:rPr>
                            </w:pPr>
                            <w:r w:rsidRPr="00E05115">
                              <w:rPr>
                                <w:color w:val="23B0E6"/>
                              </w:rPr>
                              <w:t>www.accan.org.au | info@accan.org.au | twitter: @ACCAN_AU</w:t>
                            </w:r>
                            <w:r>
                              <w:rPr>
                                <w:color w:val="23B0E6"/>
                              </w:rPr>
                              <w:t xml:space="preserve"> | www.facebook.com/accanau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2030CC" id="Group 3" o:spid="_x0000_s1026" style="position:absolute;margin-left:-49.2pt;margin-top:-59.8pt;width:548.95pt;height:116pt;z-index:-251655168;mso-width-relative:margin;mso-height-relative:margin" coordorigin="-495,-1600" coordsize="69716,13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1600;width:69716;height:13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BA34110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Australian Communications Consumer Action Network (ACCAN)</w:t>
                      </w:r>
                    </w:p>
                    <w:p w14:paraId="7103EA5C" w14:textId="77777777" w:rsidR="00C7127B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  <w:r w:rsidRPr="00E05115">
                        <w:rPr>
                          <w:i/>
                          <w:color w:val="23B0E6"/>
                        </w:rPr>
                        <w:t xml:space="preserve">Australia’s peak </w:t>
                      </w:r>
                      <w:r>
                        <w:rPr>
                          <w:i/>
                          <w:color w:val="23B0E6"/>
                        </w:rPr>
                        <w:t>body representing communications consumers</w:t>
                      </w:r>
                    </w:p>
                    <w:p w14:paraId="3E42CCD3" w14:textId="77777777" w:rsidR="00C7127B" w:rsidRPr="00E05115" w:rsidRDefault="00C7127B" w:rsidP="00C7127B">
                      <w:pPr>
                        <w:spacing w:after="0"/>
                        <w:rPr>
                          <w:i/>
                          <w:color w:val="23B0E6"/>
                        </w:rPr>
                      </w:pPr>
                    </w:p>
                    <w:p w14:paraId="23B888CE" w14:textId="77777777" w:rsidR="00C7127B" w:rsidRDefault="00C7127B" w:rsidP="00C7127B">
                      <w:pPr>
                        <w:spacing w:after="0"/>
                      </w:pPr>
                      <w:r>
                        <w:t>PO Box 639, Broadway NSW 2007</w:t>
                      </w:r>
                    </w:p>
                    <w:p w14:paraId="79650B9E" w14:textId="77777777" w:rsidR="00C7127B" w:rsidRDefault="00C7127B" w:rsidP="00C7127B">
                      <w:pPr>
                        <w:spacing w:after="0"/>
                      </w:pPr>
                      <w:r>
                        <w:t xml:space="preserve">Tel: (02) 9288 4000 | Fax: (02) 9288 4019 | Contact us through the </w:t>
                      </w:r>
                      <w:hyperlink r:id="rId2" w:history="1">
                        <w:r w:rsidRPr="00FE6EAF">
                          <w:rPr>
                            <w:rStyle w:val="Hyperlink"/>
                          </w:rPr>
                          <w:t>National Relay Service</w:t>
                        </w:r>
                      </w:hyperlink>
                    </w:p>
                    <w:p w14:paraId="347BA2DC" w14:textId="77777777" w:rsidR="00C7127B" w:rsidRPr="00E05115" w:rsidRDefault="00C7127B" w:rsidP="00C7127B">
                      <w:pPr>
                        <w:spacing w:after="0"/>
                        <w:rPr>
                          <w:color w:val="23B0E6"/>
                        </w:rPr>
                      </w:pPr>
                      <w:r w:rsidRPr="00E05115">
                        <w:rPr>
                          <w:color w:val="23B0E6"/>
                        </w:rPr>
                        <w:t>www.accan.org.au | info@accan.org.au | twitter: @ACCAN_AU</w:t>
                      </w:r>
                      <w:r>
                        <w:rPr>
                          <w:color w:val="23B0E6"/>
                        </w:rPr>
                        <w:t xml:space="preserve"> | www.facebook.com/accanau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6B27E" w14:textId="77777777" w:rsidR="004A4EC6" w:rsidRDefault="004A4EC6" w:rsidP="00C7127B">
      <w:pPr>
        <w:spacing w:after="0" w:line="240" w:lineRule="auto"/>
      </w:pPr>
      <w:r>
        <w:separator/>
      </w:r>
    </w:p>
  </w:footnote>
  <w:footnote w:type="continuationSeparator" w:id="0">
    <w:p w14:paraId="590B4C17" w14:textId="77777777" w:rsidR="004A4EC6" w:rsidRDefault="004A4EC6" w:rsidP="00C7127B">
      <w:pPr>
        <w:spacing w:after="0" w:line="240" w:lineRule="auto"/>
      </w:pPr>
      <w:r>
        <w:continuationSeparator/>
      </w:r>
    </w:p>
  </w:footnote>
  <w:footnote w:id="1">
    <w:p w14:paraId="74B6F496" w14:textId="6D27C30E" w:rsidR="00A26635" w:rsidRPr="00A04AD5" w:rsidRDefault="00A266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ACCAN (Australian Communications Consumer Action Network) </w:t>
      </w:r>
      <w:r w:rsidRPr="00A04AD5">
        <w:t xml:space="preserve">2018, </w:t>
      </w:r>
      <w:hyperlink r:id="rId1" w:history="1">
        <w:r w:rsidRPr="00A04AD5">
          <w:rPr>
            <w:rStyle w:val="Hyperlink"/>
          </w:rPr>
          <w:t>Telstra’s South Brisbane Velocity Network – time for change</w:t>
        </w:r>
      </w:hyperlink>
      <w:r w:rsidRPr="00A04AD5">
        <w:t>, Sydney.</w:t>
      </w:r>
    </w:p>
  </w:footnote>
  <w:footnote w:id="2">
    <w:p w14:paraId="1848FF59" w14:textId="0BC04D95" w:rsidR="00A26635" w:rsidRPr="00A04AD5" w:rsidRDefault="00A26635">
      <w:pPr>
        <w:pStyle w:val="FootnoteText"/>
        <w:rPr>
          <w:lang w:val="en-US"/>
        </w:rPr>
      </w:pPr>
      <w:r w:rsidRPr="00A04AD5">
        <w:rPr>
          <w:rStyle w:val="FootnoteReference"/>
        </w:rPr>
        <w:footnoteRef/>
      </w:r>
      <w:r w:rsidRPr="00A04AD5">
        <w:t xml:space="preserve"> ACCC (Australian Competition and Consumer Commission) 2017, </w:t>
      </w:r>
      <w:hyperlink r:id="rId2" w:history="1">
        <w:r w:rsidRPr="00A04AD5">
          <w:rPr>
            <w:rStyle w:val="Hyperlink"/>
          </w:rPr>
          <w:t>Superfast Broadband Access Service and Local Bitstream Access Service Final Access Determination joint inquiry - Final decision report</w:t>
        </w:r>
      </w:hyperlink>
      <w:r w:rsidRPr="00A04AD5">
        <w:t xml:space="preserve">, Sydney. </w:t>
      </w:r>
    </w:p>
  </w:footnote>
  <w:footnote w:id="3">
    <w:p w14:paraId="1FDE9D35" w14:textId="228538B7" w:rsidR="00235D10" w:rsidRPr="00235D10" w:rsidRDefault="00235D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ACCAN (Australian Communications Consumer Action Network) </w:t>
      </w:r>
      <w:r w:rsidRPr="00A04AD5">
        <w:t xml:space="preserve">2018, </w:t>
      </w:r>
      <w:hyperlink r:id="rId3" w:history="1">
        <w:r w:rsidRPr="00A04AD5">
          <w:rPr>
            <w:rStyle w:val="Hyperlink"/>
          </w:rPr>
          <w:t>Telstra’s South Brisbane Velocity Network – time for change</w:t>
        </w:r>
      </w:hyperlink>
      <w:r w:rsidRPr="00A04AD5">
        <w:t>, Sydney</w:t>
      </w:r>
      <w:r>
        <w:t>, p. 4</w:t>
      </w:r>
    </w:p>
  </w:footnote>
  <w:footnote w:id="4">
    <w:p w14:paraId="04A43702" w14:textId="0171620F" w:rsidR="00ED55CA" w:rsidRPr="00ED55CA" w:rsidRDefault="00ED55CA">
      <w:pPr>
        <w:pStyle w:val="FootnoteText"/>
        <w:rPr>
          <w:lang w:val="en-US"/>
        </w:rPr>
      </w:pPr>
      <w:r w:rsidRPr="00A04AD5">
        <w:rPr>
          <w:rStyle w:val="FootnoteReference"/>
        </w:rPr>
        <w:footnoteRef/>
      </w:r>
      <w:r w:rsidRPr="00A04AD5">
        <w:t xml:space="preserve"> </w:t>
      </w:r>
      <w:r w:rsidRPr="00A04AD5">
        <w:rPr>
          <w:lang w:val="en-US"/>
        </w:rPr>
        <w:t>DSS (Department of Social Services) 2019,</w:t>
      </w:r>
      <w:hyperlink r:id="rId4" w:history="1">
        <w:r w:rsidRPr="00A04AD5">
          <w:rPr>
            <w:rStyle w:val="Hyperlink"/>
            <w:lang w:val="en-US"/>
          </w:rPr>
          <w:t xml:space="preserve"> DSS Demographics December 2019</w:t>
        </w:r>
      </w:hyperlink>
      <w:r w:rsidR="00A04AD5" w:rsidRPr="00A04AD5">
        <w:rPr>
          <w:lang w:val="en-US"/>
        </w:rPr>
        <w:t>.</w:t>
      </w:r>
      <w:r w:rsidR="00A04AD5">
        <w:rPr>
          <w:lang w:val="en-US"/>
        </w:rPr>
        <w:t xml:space="preserve"> </w:t>
      </w:r>
    </w:p>
  </w:footnote>
  <w:footnote w:id="5">
    <w:p w14:paraId="5BA5D67D" w14:textId="3819BF91" w:rsidR="00365AFB" w:rsidRPr="000F1E98" w:rsidRDefault="00365A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DTIRDC (Department of Transport, Infrastructure, Regional Development and Communications) 2020, </w:t>
      </w:r>
      <w:hyperlink r:id="rId5" w:history="1">
        <w:r w:rsidRPr="00365AFB">
          <w:rPr>
            <w:rStyle w:val="Hyperlink"/>
          </w:rPr>
          <w:t>2020 Extension of Carrier Licence Conditions Declaration for Superfast Carriage Services</w:t>
        </w:r>
      </w:hyperlink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E895" w14:textId="77777777" w:rsidR="00C7127B" w:rsidRDefault="00C7127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098A9" wp14:editId="7F3D51AC">
          <wp:simplePos x="0" y="0"/>
          <wp:positionH relativeFrom="column">
            <wp:posOffset>4983480</wp:posOffset>
          </wp:positionH>
          <wp:positionV relativeFrom="paragraph">
            <wp:posOffset>175260</wp:posOffset>
          </wp:positionV>
          <wp:extent cx="731520" cy="339115"/>
          <wp:effectExtent l="0" t="0" r="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74" cy="3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8692" w14:textId="77777777" w:rsidR="00C7127B" w:rsidRDefault="00C7127B" w:rsidP="00C7127B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734238" wp14:editId="56C05F98">
          <wp:simplePos x="0" y="0"/>
          <wp:positionH relativeFrom="column">
            <wp:posOffset>4072890</wp:posOffset>
          </wp:positionH>
          <wp:positionV relativeFrom="paragraph">
            <wp:posOffset>338796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3D91"/>
    <w:multiLevelType w:val="hybridMultilevel"/>
    <w:tmpl w:val="DBEA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11EE0"/>
    <w:multiLevelType w:val="hybridMultilevel"/>
    <w:tmpl w:val="7CFC4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51C9E"/>
    <w:multiLevelType w:val="hybridMultilevel"/>
    <w:tmpl w:val="3090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1370"/>
    <w:multiLevelType w:val="multilevel"/>
    <w:tmpl w:val="968E3DC6"/>
    <w:styleLink w:val="Recommendations"/>
    <w:lvl w:ilvl="0">
      <w:start w:val="1"/>
      <w:numFmt w:val="decimal"/>
      <w:pStyle w:val="Recommendation"/>
      <w:lvlText w:val="Recommendation %1:"/>
      <w:lvlJc w:val="left"/>
      <w:pPr>
        <w:ind w:left="851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8C02710"/>
    <w:multiLevelType w:val="hybridMultilevel"/>
    <w:tmpl w:val="88A0E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77090"/>
    <w:multiLevelType w:val="hybridMultilevel"/>
    <w:tmpl w:val="3D820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C6"/>
    <w:rsid w:val="00060930"/>
    <w:rsid w:val="00063510"/>
    <w:rsid w:val="000C140D"/>
    <w:rsid w:val="000D4633"/>
    <w:rsid w:val="000D5FD2"/>
    <w:rsid w:val="000D7545"/>
    <w:rsid w:val="000E4A8C"/>
    <w:rsid w:val="000F1E98"/>
    <w:rsid w:val="001523CC"/>
    <w:rsid w:val="00155FA9"/>
    <w:rsid w:val="002222EE"/>
    <w:rsid w:val="00235D10"/>
    <w:rsid w:val="002707F4"/>
    <w:rsid w:val="00276FEC"/>
    <w:rsid w:val="00365AFB"/>
    <w:rsid w:val="00366E1B"/>
    <w:rsid w:val="00423CC8"/>
    <w:rsid w:val="00472568"/>
    <w:rsid w:val="004803B9"/>
    <w:rsid w:val="004A4EC6"/>
    <w:rsid w:val="004E1483"/>
    <w:rsid w:val="00517795"/>
    <w:rsid w:val="00545597"/>
    <w:rsid w:val="00581571"/>
    <w:rsid w:val="005928E4"/>
    <w:rsid w:val="005958D7"/>
    <w:rsid w:val="005D6C3E"/>
    <w:rsid w:val="00632EA6"/>
    <w:rsid w:val="00633B54"/>
    <w:rsid w:val="006667CA"/>
    <w:rsid w:val="006855F1"/>
    <w:rsid w:val="00692C29"/>
    <w:rsid w:val="006F2FB1"/>
    <w:rsid w:val="007D00A9"/>
    <w:rsid w:val="007D3304"/>
    <w:rsid w:val="00817104"/>
    <w:rsid w:val="00817945"/>
    <w:rsid w:val="008427F5"/>
    <w:rsid w:val="00890909"/>
    <w:rsid w:val="008C5305"/>
    <w:rsid w:val="009003B9"/>
    <w:rsid w:val="00930EAC"/>
    <w:rsid w:val="009311D1"/>
    <w:rsid w:val="00963FEA"/>
    <w:rsid w:val="009A37DB"/>
    <w:rsid w:val="009B1E09"/>
    <w:rsid w:val="00A04AD5"/>
    <w:rsid w:val="00A125F7"/>
    <w:rsid w:val="00A26635"/>
    <w:rsid w:val="00A52A4C"/>
    <w:rsid w:val="00A53643"/>
    <w:rsid w:val="00A853D4"/>
    <w:rsid w:val="00A8627D"/>
    <w:rsid w:val="00AE7774"/>
    <w:rsid w:val="00B016F5"/>
    <w:rsid w:val="00B54406"/>
    <w:rsid w:val="00BF4FBC"/>
    <w:rsid w:val="00C46988"/>
    <w:rsid w:val="00C7127B"/>
    <w:rsid w:val="00CC239B"/>
    <w:rsid w:val="00D00BF4"/>
    <w:rsid w:val="00D32663"/>
    <w:rsid w:val="00D4179F"/>
    <w:rsid w:val="00D7595B"/>
    <w:rsid w:val="00DA0DC1"/>
    <w:rsid w:val="00DB2F22"/>
    <w:rsid w:val="00E63667"/>
    <w:rsid w:val="00E93A06"/>
    <w:rsid w:val="00ED55CA"/>
    <w:rsid w:val="00F03941"/>
    <w:rsid w:val="00F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9D20A9"/>
  <w15:docId w15:val="{0DE87278-6D4A-488F-B502-BE540388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C3E"/>
    <w:pPr>
      <w:keepNext/>
      <w:keepLines/>
      <w:spacing w:before="40" w:after="0"/>
      <w:outlineLvl w:val="1"/>
    </w:pPr>
    <w:rPr>
      <w:rFonts w:eastAsiaTheme="majorEastAsia" w:cstheme="minorHAns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A6"/>
    <w:rPr>
      <w:rFonts w:ascii="Segoe UI" w:hAnsi="Segoe UI" w:cs="Segoe UI"/>
      <w:sz w:val="18"/>
      <w:szCs w:val="18"/>
    </w:rPr>
  </w:style>
  <w:style w:type="paragraph" w:customStyle="1" w:styleId="Recommendation">
    <w:name w:val="Recommendation"/>
    <w:basedOn w:val="Normal"/>
    <w:link w:val="RecommendationChar"/>
    <w:qFormat/>
    <w:rsid w:val="00423CC8"/>
    <w:pPr>
      <w:numPr>
        <w:numId w:val="3"/>
      </w:numPr>
      <w:pBdr>
        <w:top w:val="single" w:sz="8" w:space="6" w:color="44C8F5"/>
        <w:left w:val="single" w:sz="8" w:space="5" w:color="44C8F5"/>
        <w:bottom w:val="single" w:sz="8" w:space="6" w:color="44C8F5"/>
        <w:right w:val="single" w:sz="8" w:space="5" w:color="44C8F5"/>
      </w:pBdr>
      <w:spacing w:before="100" w:beforeAutospacing="1" w:after="240" w:line="240" w:lineRule="auto"/>
      <w:ind w:right="851"/>
    </w:pPr>
    <w:rPr>
      <w:rFonts w:ascii="Calibri" w:hAnsi="Calibri"/>
      <w:lang w:eastAsia="en-US"/>
    </w:rPr>
  </w:style>
  <w:style w:type="character" w:customStyle="1" w:styleId="RecommendationChar">
    <w:name w:val="Recommendation Char"/>
    <w:basedOn w:val="DefaultParagraphFont"/>
    <w:link w:val="Recommendation"/>
    <w:rsid w:val="00423CC8"/>
    <w:rPr>
      <w:rFonts w:ascii="Calibri" w:hAnsi="Calibri"/>
      <w:lang w:eastAsia="en-US"/>
    </w:rPr>
  </w:style>
  <w:style w:type="numbering" w:customStyle="1" w:styleId="Recommendations">
    <w:name w:val="Recommendations"/>
    <w:uiPriority w:val="99"/>
    <w:rsid w:val="00423CC8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C14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C3E"/>
    <w:rPr>
      <w:rFonts w:eastAsiaTheme="majorEastAsia" w:cstheme="minorHAnsi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6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6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663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66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rastructureAndAccess@communication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ekah.Sarkoezy@accan.org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layservice.gov.au/" TargetMode="External"/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ccan.org.au/our-work/1575-telstra-s-south-brisbane-velocity-network-time-for-change" TargetMode="External"/><Relationship Id="rId2" Type="http://schemas.openxmlformats.org/officeDocument/2006/relationships/hyperlink" Target="https://www.accc.gov.au/system/files/Final%20Report%20and%20Instruments%20-%20SBAS%20and%20LBAS%20FAD%20-%2026%20May%202017%20-%20Public%20copy.pdf" TargetMode="External"/><Relationship Id="rId1" Type="http://schemas.openxmlformats.org/officeDocument/2006/relationships/hyperlink" Target="http://accan.org.au/our-work/1575-telstra-s-south-brisbane-velocity-network-time-for-change" TargetMode="External"/><Relationship Id="rId5" Type="http://schemas.openxmlformats.org/officeDocument/2006/relationships/hyperlink" Target="https://www.communications.gov.au/have-your-say/2020-extension-carrier-licence-conditions-declaration-superfast-carriage-services" TargetMode="External"/><Relationship Id="rId4" Type="http://schemas.openxmlformats.org/officeDocument/2006/relationships/hyperlink" Target="https://data.gov.au/data/dataset/cff2ae8a-55e4-47db-a66d-e177fe0ac6a0/resource/1ab39d1b-328a-4311-8b35-ee13c3f0dfc7/download/dss-demographics-dec-2019-final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8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6B77-BBBE-4FDF-B07A-B8C3E450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955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Sarkoezy</dc:creator>
  <cp:lastModifiedBy>Rebekah Sarkoezy</cp:lastModifiedBy>
  <cp:revision>24</cp:revision>
  <cp:lastPrinted>2020-06-05T07:07:00Z</cp:lastPrinted>
  <dcterms:created xsi:type="dcterms:W3CDTF">2020-05-31T23:10:00Z</dcterms:created>
  <dcterms:modified xsi:type="dcterms:W3CDTF">2020-06-05T07:11:00Z</dcterms:modified>
</cp:coreProperties>
</file>