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881" w14:textId="77777777" w:rsidR="00EC4D03" w:rsidRPr="00EC4D03" w:rsidRDefault="00EC4D03" w:rsidP="00EC4D03">
      <w:pPr>
        <w:pStyle w:val="Subtitle"/>
        <w:rPr>
          <w:rFonts w:eastAsiaTheme="majorEastAsia" w:cstheme="majorBidi"/>
          <w:b/>
          <w:spacing w:val="5"/>
          <w:kern w:val="28"/>
          <w:sz w:val="52"/>
          <w:szCs w:val="52"/>
        </w:rPr>
      </w:pPr>
      <w:r w:rsidRPr="00EC4D03">
        <w:rPr>
          <w:rFonts w:eastAsiaTheme="majorEastAsia" w:cstheme="majorBidi"/>
          <w:b/>
          <w:spacing w:val="5"/>
          <w:kern w:val="28"/>
          <w:sz w:val="52"/>
          <w:szCs w:val="52"/>
        </w:rPr>
        <w:t>Consumer Data Right in the telecommunications sector</w:t>
      </w:r>
    </w:p>
    <w:p w14:paraId="72363C18" w14:textId="77777777" w:rsidR="00EC4D03" w:rsidRDefault="00EC4D03" w:rsidP="00EC4D03">
      <w:pPr>
        <w:pStyle w:val="Subtitle"/>
        <w:rPr>
          <w:rFonts w:eastAsiaTheme="majorEastAsia" w:cstheme="majorBidi"/>
          <w:b/>
          <w:spacing w:val="5"/>
          <w:kern w:val="28"/>
          <w:sz w:val="52"/>
          <w:szCs w:val="52"/>
        </w:rPr>
      </w:pPr>
      <w:r w:rsidRPr="00EC4D03">
        <w:rPr>
          <w:rFonts w:eastAsiaTheme="majorEastAsia" w:cstheme="majorBidi"/>
          <w:b/>
          <w:spacing w:val="5"/>
          <w:kern w:val="28"/>
          <w:sz w:val="52"/>
          <w:szCs w:val="52"/>
        </w:rPr>
        <w:t>CDR rules and standards design paper</w:t>
      </w:r>
    </w:p>
    <w:p w14:paraId="1F239786" w14:textId="435D6D48" w:rsidR="002D7299" w:rsidRDefault="009F4B9D" w:rsidP="00EC4D03">
      <w:pPr>
        <w:pStyle w:val="Subtitle"/>
      </w:pPr>
      <w:r w:rsidRPr="003441E5">
        <w:t>Submission by the Australian Communications Consumer Action Network to the</w:t>
      </w:r>
      <w:r w:rsidR="00D872DE" w:rsidRPr="00D872DE">
        <w:t xml:space="preserve"> Treasury and Data Standards Body</w:t>
      </w:r>
    </w:p>
    <w:p w14:paraId="5B900B8A" w14:textId="7EF4CA1E" w:rsidR="009F4B9D" w:rsidRPr="003441E5" w:rsidRDefault="00D37674" w:rsidP="00B14DFB">
      <w:pPr>
        <w:pStyle w:val="Subtitle"/>
      </w:pPr>
      <w:r>
        <w:t>5</w:t>
      </w:r>
      <w:r w:rsidR="004F427A">
        <w:t xml:space="preserve"> </w:t>
      </w:r>
      <w:r>
        <w:t>April</w:t>
      </w:r>
      <w:r w:rsidR="004F427A">
        <w:t xml:space="preserve"> 2022</w:t>
      </w:r>
    </w:p>
    <w:p w14:paraId="401796A2" w14:textId="77777777" w:rsidR="009F4B9D" w:rsidRPr="003441E5" w:rsidRDefault="009F4B9D" w:rsidP="00A13B92">
      <w:pPr>
        <w:rPr>
          <w:lang w:eastAsia="en-US"/>
        </w:rPr>
      </w:pPr>
      <w:r w:rsidRPr="003441E5">
        <w:rPr>
          <w:lang w:eastAsia="en-US"/>
        </w:rPr>
        <w:br w:type="page"/>
      </w:r>
    </w:p>
    <w:p w14:paraId="63FA9519" w14:textId="77777777" w:rsidR="009F4B9D" w:rsidRPr="003441E5" w:rsidRDefault="009F4B9D" w:rsidP="00B14DFB">
      <w:pPr>
        <w:pStyle w:val="About"/>
      </w:pPr>
      <w:r w:rsidRPr="003441E5">
        <w:lastRenderedPageBreak/>
        <w:t xml:space="preserve">About ACCAN </w:t>
      </w:r>
    </w:p>
    <w:p w14:paraId="1F36CE87"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149DE0D8"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07C7831B" w14:textId="77777777" w:rsidR="009F4B9D" w:rsidRPr="003441E5" w:rsidRDefault="009F4B9D" w:rsidP="00B14DFB">
      <w:pPr>
        <w:pStyle w:val="About"/>
      </w:pPr>
      <w:r w:rsidRPr="003441E5">
        <w:t>Contact</w:t>
      </w:r>
    </w:p>
    <w:p w14:paraId="131766D9" w14:textId="4384DC5F" w:rsidR="004F427A" w:rsidRPr="003441E5" w:rsidRDefault="004F427A" w:rsidP="00B14DFB">
      <w:r>
        <w:t>Samuel Kininmonth</w:t>
      </w:r>
      <w:r w:rsidR="00F81A54">
        <w:t xml:space="preserve"> - </w:t>
      </w:r>
      <w:r>
        <w:t>Policy Officer</w:t>
      </w:r>
    </w:p>
    <w:p w14:paraId="03D143C4" w14:textId="77777777" w:rsidR="00BF754D" w:rsidRDefault="00BF754D" w:rsidP="00BF754D">
      <w:pPr>
        <w:spacing w:after="0" w:afterAutospacing="0"/>
      </w:pPr>
      <w:r>
        <w:t xml:space="preserve">PO Box </w:t>
      </w:r>
      <w:r w:rsidR="009C7A51">
        <w:t>A1158</w:t>
      </w:r>
      <w:r>
        <w:t>,</w:t>
      </w:r>
    </w:p>
    <w:p w14:paraId="0E215AC6" w14:textId="77777777" w:rsidR="00BF754D" w:rsidRDefault="009C7A51" w:rsidP="00BF754D">
      <w:pPr>
        <w:spacing w:before="0" w:beforeAutospacing="0"/>
      </w:pPr>
      <w:r>
        <w:t>Sydney South</w:t>
      </w:r>
      <w:r w:rsidR="009F4B9D" w:rsidRPr="003441E5">
        <w:t xml:space="preserve"> NSW, </w:t>
      </w:r>
      <w:r>
        <w:t>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30A4039F"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1F2BAC40" w14:textId="77777777" w:rsidR="00EC1696" w:rsidRPr="003441E5" w:rsidRDefault="00EC1696" w:rsidP="00B175A3">
          <w:pPr>
            <w:pStyle w:val="TOCHeading"/>
          </w:pPr>
          <w:r w:rsidRPr="003441E5">
            <w:t>Contents</w:t>
          </w:r>
        </w:p>
        <w:p w14:paraId="799A951B" w14:textId="70FED089" w:rsidR="005B013D"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100060984" w:history="1">
            <w:r w:rsidR="005B013D" w:rsidRPr="007E0287">
              <w:rPr>
                <w:rStyle w:val="Hyperlink"/>
                <w:noProof/>
              </w:rPr>
              <w:t>1. Executive Summary</w:t>
            </w:r>
            <w:r w:rsidR="005B013D">
              <w:rPr>
                <w:noProof/>
                <w:webHidden/>
              </w:rPr>
              <w:tab/>
            </w:r>
            <w:r w:rsidR="005B013D">
              <w:rPr>
                <w:noProof/>
                <w:webHidden/>
              </w:rPr>
              <w:fldChar w:fldCharType="begin"/>
            </w:r>
            <w:r w:rsidR="005B013D">
              <w:rPr>
                <w:noProof/>
                <w:webHidden/>
              </w:rPr>
              <w:instrText xml:space="preserve"> PAGEREF _Toc100060984 \h </w:instrText>
            </w:r>
            <w:r w:rsidR="005B013D">
              <w:rPr>
                <w:noProof/>
                <w:webHidden/>
              </w:rPr>
            </w:r>
            <w:r w:rsidR="005B013D">
              <w:rPr>
                <w:noProof/>
                <w:webHidden/>
              </w:rPr>
              <w:fldChar w:fldCharType="separate"/>
            </w:r>
            <w:r w:rsidR="00264271">
              <w:rPr>
                <w:noProof/>
                <w:webHidden/>
              </w:rPr>
              <w:t>4</w:t>
            </w:r>
            <w:r w:rsidR="005B013D">
              <w:rPr>
                <w:noProof/>
                <w:webHidden/>
              </w:rPr>
              <w:fldChar w:fldCharType="end"/>
            </w:r>
          </w:hyperlink>
        </w:p>
        <w:p w14:paraId="3A571483" w14:textId="54D58898" w:rsidR="005B013D" w:rsidRDefault="00264271">
          <w:pPr>
            <w:pStyle w:val="TOC2"/>
            <w:rPr>
              <w:rFonts w:asciiTheme="minorHAnsi" w:hAnsiTheme="minorHAnsi"/>
            </w:rPr>
          </w:pPr>
          <w:hyperlink w:anchor="_Toc100060985" w:history="1">
            <w:r w:rsidR="005B013D" w:rsidRPr="007E0287">
              <w:rPr>
                <w:rStyle w:val="Hyperlink"/>
              </w:rPr>
              <w:t>1.1</w:t>
            </w:r>
            <w:r w:rsidR="005B013D">
              <w:rPr>
                <w:rFonts w:asciiTheme="minorHAnsi" w:hAnsiTheme="minorHAnsi"/>
              </w:rPr>
              <w:tab/>
            </w:r>
            <w:r w:rsidR="005B013D" w:rsidRPr="007E0287">
              <w:rPr>
                <w:rStyle w:val="Hyperlink"/>
              </w:rPr>
              <w:t>Key Recommendations</w:t>
            </w:r>
            <w:r w:rsidR="005B013D">
              <w:rPr>
                <w:webHidden/>
              </w:rPr>
              <w:tab/>
            </w:r>
            <w:r w:rsidR="005B013D">
              <w:rPr>
                <w:webHidden/>
              </w:rPr>
              <w:fldChar w:fldCharType="begin"/>
            </w:r>
            <w:r w:rsidR="005B013D">
              <w:rPr>
                <w:webHidden/>
              </w:rPr>
              <w:instrText xml:space="preserve"> PAGEREF _Toc100060985 \h </w:instrText>
            </w:r>
            <w:r w:rsidR="005B013D">
              <w:rPr>
                <w:webHidden/>
              </w:rPr>
            </w:r>
            <w:r w:rsidR="005B013D">
              <w:rPr>
                <w:webHidden/>
              </w:rPr>
              <w:fldChar w:fldCharType="separate"/>
            </w:r>
            <w:r>
              <w:rPr>
                <w:webHidden/>
              </w:rPr>
              <w:t>5</w:t>
            </w:r>
            <w:r w:rsidR="005B013D">
              <w:rPr>
                <w:webHidden/>
              </w:rPr>
              <w:fldChar w:fldCharType="end"/>
            </w:r>
          </w:hyperlink>
        </w:p>
        <w:p w14:paraId="39BAA80D" w14:textId="7A60B155" w:rsidR="005B013D" w:rsidRDefault="00264271">
          <w:pPr>
            <w:pStyle w:val="TOC1"/>
            <w:rPr>
              <w:rFonts w:asciiTheme="minorHAnsi" w:hAnsiTheme="minorHAnsi"/>
              <w:noProof/>
            </w:rPr>
          </w:pPr>
          <w:hyperlink w:anchor="_Toc100060986" w:history="1">
            <w:r w:rsidR="005B013D" w:rsidRPr="007E0287">
              <w:rPr>
                <w:rStyle w:val="Hyperlink"/>
                <w:noProof/>
              </w:rPr>
              <w:t>2. Responses to CDR rules and standards design paper</w:t>
            </w:r>
            <w:r w:rsidR="005B013D">
              <w:rPr>
                <w:noProof/>
                <w:webHidden/>
              </w:rPr>
              <w:tab/>
            </w:r>
            <w:r w:rsidR="005B013D">
              <w:rPr>
                <w:noProof/>
                <w:webHidden/>
              </w:rPr>
              <w:fldChar w:fldCharType="begin"/>
            </w:r>
            <w:r w:rsidR="005B013D">
              <w:rPr>
                <w:noProof/>
                <w:webHidden/>
              </w:rPr>
              <w:instrText xml:space="preserve"> PAGEREF _Toc100060986 \h </w:instrText>
            </w:r>
            <w:r w:rsidR="005B013D">
              <w:rPr>
                <w:noProof/>
                <w:webHidden/>
              </w:rPr>
            </w:r>
            <w:r w:rsidR="005B013D">
              <w:rPr>
                <w:noProof/>
                <w:webHidden/>
              </w:rPr>
              <w:fldChar w:fldCharType="separate"/>
            </w:r>
            <w:r>
              <w:rPr>
                <w:noProof/>
                <w:webHidden/>
              </w:rPr>
              <w:t>6</w:t>
            </w:r>
            <w:r w:rsidR="005B013D">
              <w:rPr>
                <w:noProof/>
                <w:webHidden/>
              </w:rPr>
              <w:fldChar w:fldCharType="end"/>
            </w:r>
          </w:hyperlink>
        </w:p>
        <w:p w14:paraId="48CDD8FB" w14:textId="4D23B88B" w:rsidR="005B013D" w:rsidRDefault="00264271">
          <w:pPr>
            <w:pStyle w:val="TOC2"/>
            <w:rPr>
              <w:rFonts w:asciiTheme="minorHAnsi" w:hAnsiTheme="minorHAnsi"/>
            </w:rPr>
          </w:pPr>
          <w:hyperlink w:anchor="_Toc100060987" w:history="1">
            <w:r w:rsidR="005B013D" w:rsidRPr="007E0287">
              <w:rPr>
                <w:rStyle w:val="Hyperlink"/>
              </w:rPr>
              <w:t>2.1 Scope of data sharing in the telecommunications sector</w:t>
            </w:r>
            <w:r w:rsidR="005B013D">
              <w:rPr>
                <w:webHidden/>
              </w:rPr>
              <w:tab/>
            </w:r>
            <w:r w:rsidR="005B013D">
              <w:rPr>
                <w:webHidden/>
              </w:rPr>
              <w:fldChar w:fldCharType="begin"/>
            </w:r>
            <w:r w:rsidR="005B013D">
              <w:rPr>
                <w:webHidden/>
              </w:rPr>
              <w:instrText xml:space="preserve"> PAGEREF _Toc100060987 \h </w:instrText>
            </w:r>
            <w:r w:rsidR="005B013D">
              <w:rPr>
                <w:webHidden/>
              </w:rPr>
            </w:r>
            <w:r w:rsidR="005B013D">
              <w:rPr>
                <w:webHidden/>
              </w:rPr>
              <w:fldChar w:fldCharType="separate"/>
            </w:r>
            <w:r>
              <w:rPr>
                <w:webHidden/>
              </w:rPr>
              <w:t>6</w:t>
            </w:r>
            <w:r w:rsidR="005B013D">
              <w:rPr>
                <w:webHidden/>
              </w:rPr>
              <w:fldChar w:fldCharType="end"/>
            </w:r>
          </w:hyperlink>
        </w:p>
        <w:p w14:paraId="1C0A025B" w14:textId="317FDB36" w:rsidR="005B013D" w:rsidRDefault="00264271">
          <w:pPr>
            <w:pStyle w:val="TOC2"/>
            <w:rPr>
              <w:rFonts w:asciiTheme="minorHAnsi" w:hAnsiTheme="minorHAnsi"/>
            </w:rPr>
          </w:pPr>
          <w:hyperlink w:anchor="_Toc100060988" w:history="1">
            <w:r w:rsidR="005B013D" w:rsidRPr="007E0287">
              <w:rPr>
                <w:rStyle w:val="Hyperlink"/>
              </w:rPr>
              <w:t>2.2 Eligible CDR consumers in the telecommunications sector</w:t>
            </w:r>
            <w:r w:rsidR="005B013D">
              <w:rPr>
                <w:webHidden/>
              </w:rPr>
              <w:tab/>
            </w:r>
            <w:r w:rsidR="005B013D">
              <w:rPr>
                <w:webHidden/>
              </w:rPr>
              <w:fldChar w:fldCharType="begin"/>
            </w:r>
            <w:r w:rsidR="005B013D">
              <w:rPr>
                <w:webHidden/>
              </w:rPr>
              <w:instrText xml:space="preserve"> PAGEREF _Toc100060988 \h </w:instrText>
            </w:r>
            <w:r w:rsidR="005B013D">
              <w:rPr>
                <w:webHidden/>
              </w:rPr>
            </w:r>
            <w:r w:rsidR="005B013D">
              <w:rPr>
                <w:webHidden/>
              </w:rPr>
              <w:fldChar w:fldCharType="separate"/>
            </w:r>
            <w:r>
              <w:rPr>
                <w:webHidden/>
              </w:rPr>
              <w:t>10</w:t>
            </w:r>
            <w:r w:rsidR="005B013D">
              <w:rPr>
                <w:webHidden/>
              </w:rPr>
              <w:fldChar w:fldCharType="end"/>
            </w:r>
          </w:hyperlink>
        </w:p>
        <w:p w14:paraId="4709297C" w14:textId="34A31967" w:rsidR="005B013D" w:rsidRDefault="00264271">
          <w:pPr>
            <w:pStyle w:val="TOC2"/>
            <w:rPr>
              <w:rFonts w:asciiTheme="minorHAnsi" w:hAnsiTheme="minorHAnsi"/>
            </w:rPr>
          </w:pPr>
          <w:hyperlink w:anchor="_Toc100060989" w:history="1">
            <w:r w:rsidR="005B013D" w:rsidRPr="007E0287">
              <w:rPr>
                <w:rStyle w:val="Hyperlink"/>
              </w:rPr>
              <w:t>2.3 Other design issues for the telecommunications sector</w:t>
            </w:r>
            <w:r w:rsidR="005B013D">
              <w:rPr>
                <w:webHidden/>
              </w:rPr>
              <w:tab/>
            </w:r>
            <w:r w:rsidR="005B013D">
              <w:rPr>
                <w:webHidden/>
              </w:rPr>
              <w:fldChar w:fldCharType="begin"/>
            </w:r>
            <w:r w:rsidR="005B013D">
              <w:rPr>
                <w:webHidden/>
              </w:rPr>
              <w:instrText xml:space="preserve"> PAGEREF _Toc100060989 \h </w:instrText>
            </w:r>
            <w:r w:rsidR="005B013D">
              <w:rPr>
                <w:webHidden/>
              </w:rPr>
            </w:r>
            <w:r w:rsidR="005B013D">
              <w:rPr>
                <w:webHidden/>
              </w:rPr>
              <w:fldChar w:fldCharType="separate"/>
            </w:r>
            <w:r>
              <w:rPr>
                <w:webHidden/>
              </w:rPr>
              <w:t>13</w:t>
            </w:r>
            <w:r w:rsidR="005B013D">
              <w:rPr>
                <w:webHidden/>
              </w:rPr>
              <w:fldChar w:fldCharType="end"/>
            </w:r>
          </w:hyperlink>
        </w:p>
        <w:p w14:paraId="164C4C08" w14:textId="45895E60" w:rsidR="00EC1696" w:rsidRPr="003441E5" w:rsidRDefault="00EC1696">
          <w:r w:rsidRPr="003441E5">
            <w:rPr>
              <w:b/>
              <w:bCs/>
              <w:noProof/>
            </w:rPr>
            <w:fldChar w:fldCharType="end"/>
          </w:r>
        </w:p>
      </w:sdtContent>
    </w:sdt>
    <w:p w14:paraId="080D9CFC" w14:textId="77777777" w:rsidR="00AD032B" w:rsidRPr="003441E5" w:rsidRDefault="00AD032B" w:rsidP="00EC1696"/>
    <w:p w14:paraId="0D4C2D5E" w14:textId="77777777" w:rsidR="009F4B9D" w:rsidRPr="003441E5" w:rsidRDefault="009F4B9D" w:rsidP="00B14DFB">
      <w:pPr>
        <w:rPr>
          <w:lang w:eastAsia="en-US"/>
        </w:rPr>
      </w:pPr>
    </w:p>
    <w:p w14:paraId="3E751D01" w14:textId="1A8EACFA" w:rsidR="00027253" w:rsidRPr="003441E5" w:rsidRDefault="002C3198" w:rsidP="002A629E">
      <w:pPr>
        <w:pStyle w:val="Heading1"/>
      </w:pPr>
      <w:bookmarkStart w:id="0" w:name="_Toc351382481"/>
      <w:bookmarkStart w:id="1" w:name="_Toc100060984"/>
      <w:r>
        <w:lastRenderedPageBreak/>
        <w:t xml:space="preserve">1. </w:t>
      </w:r>
      <w:r w:rsidR="004B7462" w:rsidRPr="003441E5">
        <w:t>Executive S</w:t>
      </w:r>
      <w:r w:rsidR="00A022BC" w:rsidRPr="003441E5">
        <w:t>ummary</w:t>
      </w:r>
      <w:bookmarkEnd w:id="0"/>
      <w:bookmarkEnd w:id="1"/>
    </w:p>
    <w:p w14:paraId="2DE68F7F" w14:textId="7D338D20" w:rsidR="004F427A" w:rsidRPr="00FB77AD" w:rsidRDefault="004F427A" w:rsidP="00F633AF">
      <w:pPr>
        <w:jc w:val="both"/>
        <w:rPr>
          <w:rFonts w:cs="Arial"/>
        </w:rPr>
      </w:pPr>
      <w:bookmarkStart w:id="2" w:name="_Toc351382482"/>
      <w:r w:rsidRPr="00FB77AD">
        <w:rPr>
          <w:rFonts w:cs="Arial"/>
        </w:rPr>
        <w:t>The Australian Communications Consumer Action Network (ACCAN) thanks the</w:t>
      </w:r>
      <w:r w:rsidR="002D7299" w:rsidRPr="002D7299">
        <w:rPr>
          <w:rFonts w:cs="Arial"/>
        </w:rPr>
        <w:t xml:space="preserve"> Treasury and Data Standards Body</w:t>
      </w:r>
      <w:r w:rsidRPr="00FB77AD">
        <w:rPr>
          <w:rFonts w:cs="Arial"/>
        </w:rPr>
        <w:t xml:space="preserve"> for the opportunity to comment on the </w:t>
      </w:r>
      <w:r w:rsidRPr="000034EC">
        <w:rPr>
          <w:rFonts w:cs="Arial"/>
          <w:i/>
          <w:iCs/>
        </w:rPr>
        <w:t>Consumer Data Right rules and standards design paper for</w:t>
      </w:r>
      <w:r w:rsidR="000265D2" w:rsidRPr="000034EC">
        <w:rPr>
          <w:rFonts w:cs="Arial"/>
          <w:i/>
          <w:iCs/>
        </w:rPr>
        <w:t xml:space="preserve"> the</w:t>
      </w:r>
      <w:r w:rsidRPr="000034EC">
        <w:rPr>
          <w:rFonts w:cs="Arial"/>
          <w:i/>
          <w:iCs/>
        </w:rPr>
        <w:t xml:space="preserve"> telecommunications sector</w:t>
      </w:r>
      <w:r w:rsidRPr="00FB77AD">
        <w:rPr>
          <w:rFonts w:cs="Arial"/>
        </w:rPr>
        <w:t xml:space="preserve">. </w:t>
      </w:r>
    </w:p>
    <w:p w14:paraId="011BD6B4" w14:textId="77777777" w:rsidR="004F427A" w:rsidRPr="00FB77AD" w:rsidRDefault="004F427A" w:rsidP="00F633AF">
      <w:pPr>
        <w:jc w:val="both"/>
        <w:rPr>
          <w:rFonts w:cs="Arial"/>
        </w:rPr>
      </w:pPr>
      <w:r w:rsidRPr="00FB77AD">
        <w:rPr>
          <w:rFonts w:cs="Arial"/>
        </w:rPr>
        <w:t>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14:paraId="7DEF07CA" w14:textId="09857343" w:rsidR="008117DD" w:rsidRDefault="004F427A" w:rsidP="00F633AF">
      <w:pPr>
        <w:jc w:val="both"/>
        <w:rPr>
          <w:rFonts w:cs="Arial"/>
        </w:rPr>
      </w:pPr>
      <w:r w:rsidRPr="00FB77AD">
        <w:rPr>
          <w:rFonts w:cs="Arial"/>
        </w:rPr>
        <w:t>As we have previously submitted</w:t>
      </w:r>
      <w:r w:rsidR="00F633AF">
        <w:rPr>
          <w:rFonts w:cs="Arial"/>
        </w:rPr>
        <w:t>,</w:t>
      </w:r>
      <w:r>
        <w:rPr>
          <w:rStyle w:val="FootnoteReference"/>
          <w:rFonts w:cs="Arial"/>
        </w:rPr>
        <w:footnoteReference w:id="2"/>
      </w:r>
      <w:r w:rsidR="00F633AF">
        <w:rPr>
          <w:rFonts w:cs="Arial"/>
        </w:rPr>
        <w:t xml:space="preserve"> </w:t>
      </w:r>
      <w:r>
        <w:rPr>
          <w:rStyle w:val="FootnoteReference"/>
          <w:rFonts w:cs="Arial"/>
        </w:rPr>
        <w:footnoteReference w:id="3"/>
      </w:r>
      <w:r w:rsidRPr="00FB77AD">
        <w:rPr>
          <w:rFonts w:cs="Arial"/>
        </w:rPr>
        <w:t xml:space="preserve"> ACCAN is supportive of the introduction of the Consumer Data Right</w:t>
      </w:r>
      <w:r w:rsidR="00B414F6">
        <w:rPr>
          <w:rFonts w:cs="Arial"/>
        </w:rPr>
        <w:t xml:space="preserve"> (CDR)</w:t>
      </w:r>
      <w:r w:rsidRPr="00FB77AD">
        <w:rPr>
          <w:rFonts w:cs="Arial"/>
        </w:rPr>
        <w:t xml:space="preserve"> regime across the telecommunications sector. It is widely understood that the telecommunications sector offers a wide range of complex and competing products and services to consumers. It is also widely known that issues of information asymmetry can put consumers at a disadvantage when looking for, and when choosing appropriate services. </w:t>
      </w:r>
      <w:r w:rsidR="00462AAD">
        <w:rPr>
          <w:rFonts w:cs="Arial"/>
        </w:rPr>
        <w:t>ACCAN ha</w:t>
      </w:r>
      <w:r w:rsidR="008C3FE7">
        <w:rPr>
          <w:rFonts w:cs="Arial"/>
        </w:rPr>
        <w:t>s argued for several years for</w:t>
      </w:r>
      <w:r w:rsidR="00B86C5A">
        <w:rPr>
          <w:rFonts w:cs="Arial"/>
        </w:rPr>
        <w:t xml:space="preserve"> free,</w:t>
      </w:r>
      <w:r w:rsidR="008C3FE7">
        <w:rPr>
          <w:rFonts w:cs="Arial"/>
        </w:rPr>
        <w:t xml:space="preserve"> </w:t>
      </w:r>
      <w:r w:rsidR="0003476E">
        <w:rPr>
          <w:rFonts w:cs="Arial"/>
        </w:rPr>
        <w:t>trusted,</w:t>
      </w:r>
      <w:r w:rsidR="00B86C5A">
        <w:rPr>
          <w:rFonts w:cs="Arial"/>
        </w:rPr>
        <w:t xml:space="preserve"> and</w:t>
      </w:r>
      <w:r w:rsidR="0081515F">
        <w:rPr>
          <w:rFonts w:cs="Arial"/>
        </w:rPr>
        <w:t xml:space="preserve"> independent comparison tools t</w:t>
      </w:r>
      <w:r w:rsidR="00D722B3">
        <w:rPr>
          <w:rFonts w:cs="Arial"/>
        </w:rPr>
        <w:t>o support telecommunication</w:t>
      </w:r>
      <w:r w:rsidR="00B414F6">
        <w:rPr>
          <w:rFonts w:cs="Arial"/>
        </w:rPr>
        <w:t>s</w:t>
      </w:r>
      <w:r w:rsidR="00D722B3">
        <w:rPr>
          <w:rFonts w:cs="Arial"/>
        </w:rPr>
        <w:t xml:space="preserve"> consumers to make more informed choices</w:t>
      </w:r>
      <w:r w:rsidR="00C24791">
        <w:rPr>
          <w:rFonts w:cs="Arial"/>
        </w:rPr>
        <w:t>.</w:t>
      </w:r>
      <w:r w:rsidR="002A39D3">
        <w:rPr>
          <w:rStyle w:val="FootnoteReference"/>
          <w:rFonts w:cs="Arial"/>
        </w:rPr>
        <w:footnoteReference w:id="4"/>
      </w:r>
      <w:r w:rsidR="002A39D3">
        <w:rPr>
          <w:rFonts w:cs="Arial"/>
        </w:rPr>
        <w:t xml:space="preserve"> A</w:t>
      </w:r>
      <w:r w:rsidR="00D5616F" w:rsidRPr="00D5616F">
        <w:rPr>
          <w:rFonts w:cs="Arial"/>
        </w:rPr>
        <w:t>CCAN expects that a well-considered CDR</w:t>
      </w:r>
      <w:r w:rsidR="00D5616F">
        <w:rPr>
          <w:rFonts w:cs="Arial"/>
        </w:rPr>
        <w:t xml:space="preserve"> </w:t>
      </w:r>
      <w:r w:rsidR="00D5616F" w:rsidRPr="00D5616F">
        <w:rPr>
          <w:rFonts w:cs="Arial"/>
        </w:rPr>
        <w:t>regime in the telecommunications sector will mitigate some of these issues and provide</w:t>
      </w:r>
      <w:r w:rsidR="00D5616F">
        <w:rPr>
          <w:rFonts w:cs="Arial"/>
        </w:rPr>
        <w:t xml:space="preserve"> </w:t>
      </w:r>
      <w:r w:rsidR="00D5616F" w:rsidRPr="00D5616F">
        <w:rPr>
          <w:rFonts w:cs="Arial"/>
        </w:rPr>
        <w:t>consumers with greater confidence and safety when making choices and signing up for services.</w:t>
      </w:r>
    </w:p>
    <w:p w14:paraId="7C876B3D" w14:textId="28310847" w:rsidR="00C50E15" w:rsidRDefault="00457292" w:rsidP="00F633AF">
      <w:pPr>
        <w:jc w:val="both"/>
        <w:rPr>
          <w:rFonts w:cs="Arial"/>
        </w:rPr>
      </w:pPr>
      <w:r w:rsidRPr="00457292">
        <w:rPr>
          <w:rFonts w:cs="Arial"/>
        </w:rPr>
        <w:t>However, ACCAN is keen to ensure that the development of the CDR in the telecommunications sector continues to be informed by the lived experiences of consumers, to make sure that this regime is as useful as possible for end users</w:t>
      </w:r>
      <w:r w:rsidR="00972F4C">
        <w:rPr>
          <w:rFonts w:cs="Arial"/>
        </w:rPr>
        <w:t>.</w:t>
      </w:r>
      <w:r w:rsidR="00BB3B6D">
        <w:rPr>
          <w:rFonts w:cs="Arial"/>
        </w:rPr>
        <w:t xml:space="preserve"> </w:t>
      </w:r>
      <w:r w:rsidR="005604CB">
        <w:rPr>
          <w:rFonts w:cs="Arial"/>
        </w:rPr>
        <w:t xml:space="preserve">Vulnerable consumers </w:t>
      </w:r>
      <w:r w:rsidR="00B50B82">
        <w:rPr>
          <w:rFonts w:cs="Arial"/>
        </w:rPr>
        <w:t>potentially</w:t>
      </w:r>
      <w:r w:rsidR="00026BA4">
        <w:rPr>
          <w:rFonts w:cs="Arial"/>
        </w:rPr>
        <w:t xml:space="preserve"> have</w:t>
      </w:r>
      <w:r w:rsidR="00B50B82">
        <w:rPr>
          <w:rFonts w:cs="Arial"/>
        </w:rPr>
        <w:t xml:space="preserve"> much to gain from the CDR</w:t>
      </w:r>
      <w:r w:rsidR="00B175A3">
        <w:rPr>
          <w:rFonts w:cs="Arial"/>
        </w:rPr>
        <w:t>,</w:t>
      </w:r>
      <w:r w:rsidR="0026504A">
        <w:rPr>
          <w:rFonts w:cs="Arial"/>
        </w:rPr>
        <w:t xml:space="preserve"> but </w:t>
      </w:r>
      <w:r w:rsidR="00376B91">
        <w:rPr>
          <w:rFonts w:cs="Arial"/>
        </w:rPr>
        <w:t xml:space="preserve">to succeed the scheme will need to </w:t>
      </w:r>
      <w:r w:rsidR="00082A67">
        <w:rPr>
          <w:rFonts w:cs="Arial"/>
        </w:rPr>
        <w:t>conduct meaningful, targeted</w:t>
      </w:r>
      <w:r w:rsidR="00240CC2">
        <w:rPr>
          <w:rFonts w:cs="Arial"/>
        </w:rPr>
        <w:t xml:space="preserve"> </w:t>
      </w:r>
      <w:r w:rsidR="002C0F60">
        <w:rPr>
          <w:rFonts w:cs="Arial"/>
        </w:rPr>
        <w:t>con</w:t>
      </w:r>
      <w:r w:rsidR="00E25FF2">
        <w:rPr>
          <w:rFonts w:cs="Arial"/>
        </w:rPr>
        <w:t>sultation</w:t>
      </w:r>
      <w:r w:rsidR="00292359">
        <w:rPr>
          <w:rFonts w:cs="Arial"/>
        </w:rPr>
        <w:t xml:space="preserve"> with them</w:t>
      </w:r>
      <w:r w:rsidR="00E25FF2">
        <w:rPr>
          <w:rFonts w:cs="Arial"/>
        </w:rPr>
        <w:t xml:space="preserve"> throughout the process</w:t>
      </w:r>
      <w:r w:rsidR="005A1D85">
        <w:rPr>
          <w:rFonts w:cs="Arial"/>
        </w:rPr>
        <w:t>.</w:t>
      </w:r>
      <w:r w:rsidR="005C6782">
        <w:rPr>
          <w:rFonts w:cs="Arial"/>
        </w:rPr>
        <w:t xml:space="preserve"> Proper consultation</w:t>
      </w:r>
      <w:r w:rsidR="00C50E15" w:rsidRPr="00C50E15">
        <w:rPr>
          <w:rFonts w:cs="Arial"/>
        </w:rPr>
        <w:t xml:space="preserve"> </w:t>
      </w:r>
      <w:r w:rsidR="00E25FF2">
        <w:rPr>
          <w:rFonts w:cs="Arial"/>
        </w:rPr>
        <w:t>will ensure that the CDR</w:t>
      </w:r>
      <w:r w:rsidR="00F4485B">
        <w:rPr>
          <w:rFonts w:cs="Arial"/>
        </w:rPr>
        <w:t xml:space="preserve"> scheme</w:t>
      </w:r>
      <w:r w:rsidR="00C50E15" w:rsidRPr="00C50E15">
        <w:rPr>
          <w:rFonts w:cs="Arial"/>
        </w:rPr>
        <w:t xml:space="preserve"> </w:t>
      </w:r>
      <w:r w:rsidR="00E25FF2">
        <w:rPr>
          <w:rFonts w:cs="Arial"/>
        </w:rPr>
        <w:t>benefits all</w:t>
      </w:r>
      <w:r w:rsidR="00C50E15" w:rsidRPr="00C50E15">
        <w:rPr>
          <w:rFonts w:cs="Arial"/>
        </w:rPr>
        <w:t xml:space="preserve"> consumers.</w:t>
      </w:r>
      <w:r w:rsidR="00843998">
        <w:rPr>
          <w:rFonts w:cs="Arial"/>
        </w:rPr>
        <w:t xml:space="preserve"> </w:t>
      </w:r>
    </w:p>
    <w:p w14:paraId="2804F4A6" w14:textId="0974D231" w:rsidR="00542267" w:rsidRDefault="009C2C94" w:rsidP="00F633AF">
      <w:pPr>
        <w:jc w:val="both"/>
        <w:rPr>
          <w:rFonts w:cs="Arial"/>
        </w:rPr>
      </w:pPr>
      <w:r>
        <w:rPr>
          <w:rFonts w:cs="Arial"/>
        </w:rPr>
        <w:t>ACCAN notes that this is an informal</w:t>
      </w:r>
      <w:r w:rsidR="00F637F0">
        <w:rPr>
          <w:rFonts w:cs="Arial"/>
        </w:rPr>
        <w:t xml:space="preserve"> design paper and looks forward</w:t>
      </w:r>
      <w:r w:rsidR="00B856D9">
        <w:rPr>
          <w:rFonts w:cs="Arial"/>
        </w:rPr>
        <w:t xml:space="preserve"> to providing further feedback as the consultation progresses.</w:t>
      </w:r>
      <w:r w:rsidR="00F637F0">
        <w:rPr>
          <w:rFonts w:cs="Arial"/>
        </w:rPr>
        <w:t xml:space="preserve"> </w:t>
      </w:r>
      <w:r w:rsidR="004F427A">
        <w:rPr>
          <w:rFonts w:cs="Arial"/>
        </w:rPr>
        <w:t xml:space="preserve">This submission will respond to select questions from the </w:t>
      </w:r>
      <w:r w:rsidR="00EE66E6">
        <w:rPr>
          <w:rFonts w:cs="Arial"/>
        </w:rPr>
        <w:t>design</w:t>
      </w:r>
      <w:r w:rsidR="004F427A">
        <w:rPr>
          <w:rFonts w:cs="Arial"/>
        </w:rPr>
        <w:t xml:space="preserve"> paper where ACCAN has expertise or concerns about consumer benefits or harms.</w:t>
      </w:r>
      <w:bookmarkEnd w:id="2"/>
    </w:p>
    <w:p w14:paraId="6231E4C8" w14:textId="77777777" w:rsidR="007C2325" w:rsidRDefault="007C2325">
      <w:pPr>
        <w:spacing w:before="0" w:beforeAutospacing="0" w:after="0" w:afterAutospacing="0"/>
        <w:rPr>
          <w:rFonts w:eastAsia="Times New Roman" w:cs="Times New Roman"/>
          <w:bCs/>
          <w:iCs/>
          <w:sz w:val="32"/>
          <w:szCs w:val="24"/>
          <w:lang w:eastAsia="en-US"/>
        </w:rPr>
      </w:pPr>
      <w:r>
        <w:br w:type="page"/>
      </w:r>
    </w:p>
    <w:p w14:paraId="3EA548F3" w14:textId="784D5AC7" w:rsidR="00F80794" w:rsidRDefault="004B0960" w:rsidP="00FF4AD7">
      <w:pPr>
        <w:pStyle w:val="Heading2"/>
        <w:numPr>
          <w:ilvl w:val="1"/>
          <w:numId w:val="27"/>
        </w:numPr>
      </w:pPr>
      <w:bookmarkStart w:id="3" w:name="_Toc100060985"/>
      <w:r>
        <w:lastRenderedPageBreak/>
        <w:t>Key</w:t>
      </w:r>
      <w:r w:rsidR="00AD5815">
        <w:t xml:space="preserve"> Recommendations</w:t>
      </w:r>
      <w:bookmarkEnd w:id="3"/>
    </w:p>
    <w:p w14:paraId="1273A9DC" w14:textId="77777777" w:rsidR="00FF4AD7" w:rsidRDefault="00FF4AD7" w:rsidP="00267C3D">
      <w:pPr>
        <w:pStyle w:val="Recommendation"/>
        <w:spacing w:after="240" w:afterAutospacing="0"/>
      </w:pPr>
      <w:r w:rsidRPr="00885E39">
        <w:t>ACCAN recommends that all CSPs be included in the CDR.</w:t>
      </w:r>
    </w:p>
    <w:p w14:paraId="4C152CF0" w14:textId="77777777" w:rsidR="00FF4AD7" w:rsidRDefault="00FF4AD7" w:rsidP="00267C3D">
      <w:pPr>
        <w:pStyle w:val="Recommendation"/>
        <w:spacing w:after="240" w:afterAutospacing="0"/>
      </w:pPr>
      <w:r w:rsidRPr="00885E39">
        <w:t>ACCAN recommends that once Treasury has drafted a document that lists classes and sub-categories of telecommunications products it should consult with stakeholders, including consumer advocacy groups, to ensure that the whole breadth of data is represented.</w:t>
      </w:r>
    </w:p>
    <w:p w14:paraId="5706C874" w14:textId="20B842AD" w:rsidR="00FF4AD7" w:rsidRDefault="00E644DB" w:rsidP="00267C3D">
      <w:pPr>
        <w:pStyle w:val="Recommendation"/>
        <w:spacing w:after="240" w:afterAutospacing="0"/>
      </w:pPr>
      <w:r>
        <w:t>ACCAN recommends</w:t>
      </w:r>
      <w:r w:rsidR="00FF4AD7" w:rsidRPr="00885E39">
        <w:t xml:space="preserve"> that all publicly offered products should be included in the CDR. </w:t>
      </w:r>
    </w:p>
    <w:p w14:paraId="5345E77E" w14:textId="627C1381" w:rsidR="00FF4AD7" w:rsidRDefault="00FF4AD7" w:rsidP="00267C3D">
      <w:pPr>
        <w:pStyle w:val="Recommendation"/>
        <w:spacing w:after="240" w:afterAutospacing="0"/>
      </w:pPr>
      <w:r w:rsidRPr="00885E39">
        <w:t>ACCAN recommends that the CDR eligibility threshold for small business be set at a maximum annual spend of $70,000 on telecommunications goods and services.</w:t>
      </w:r>
    </w:p>
    <w:p w14:paraId="39F60BC2" w14:textId="77777777" w:rsidR="00FF4AD7" w:rsidRDefault="00FF4AD7" w:rsidP="00267C3D">
      <w:pPr>
        <w:pStyle w:val="Recommendation"/>
        <w:spacing w:after="240" w:afterAutospacing="0"/>
      </w:pPr>
      <w:r w:rsidRPr="00885E39">
        <w:t>ACCAN recommends that Treasury and Data Standards conduct a thorough discovery consultation to identify any additional data sets that may benefit consumers. This process should be reviewed regularly to take advantage of the latest market developments.</w:t>
      </w:r>
    </w:p>
    <w:p w14:paraId="11410E7B" w14:textId="77777777" w:rsidR="00FF4AD7" w:rsidRDefault="00FF4AD7" w:rsidP="00267C3D">
      <w:pPr>
        <w:pStyle w:val="Recommendation"/>
        <w:spacing w:after="240" w:afterAutospacing="0"/>
      </w:pPr>
      <w:r w:rsidRPr="00885E39">
        <w:t>ACCAN recommends that hardship data be excluded from the CDR.</w:t>
      </w:r>
    </w:p>
    <w:p w14:paraId="0A867464" w14:textId="77777777" w:rsidR="00885E39" w:rsidRDefault="00885E39" w:rsidP="00267C3D">
      <w:pPr>
        <w:pStyle w:val="Recommendation"/>
        <w:spacing w:after="240" w:afterAutospacing="0"/>
      </w:pPr>
      <w:r w:rsidRPr="00885E39">
        <w:t xml:space="preserve">ACCAN recommends that consumers be able to access their historical data from an account whether it is closed or not.  </w:t>
      </w:r>
    </w:p>
    <w:p w14:paraId="06DCDEEB" w14:textId="5A6DEE26" w:rsidR="00FF4AD7" w:rsidRPr="00FF4AD7" w:rsidRDefault="00885E39" w:rsidP="00267C3D">
      <w:pPr>
        <w:pStyle w:val="Recommendation"/>
        <w:spacing w:after="240" w:afterAutospacing="0"/>
      </w:pPr>
      <w:r w:rsidRPr="00885E39">
        <w:t>Given risks with account sharing, ACCAN recommends careful consideration and consultation of how authorised representatives and end users interact with the CDR scheme.</w:t>
      </w:r>
    </w:p>
    <w:p w14:paraId="38202130" w14:textId="1C70527B" w:rsidR="00224B7B" w:rsidRPr="00224B7B" w:rsidRDefault="002C3198" w:rsidP="000F1C88">
      <w:pPr>
        <w:pStyle w:val="Heading1"/>
      </w:pPr>
      <w:bookmarkStart w:id="4" w:name="_Toc343010198"/>
      <w:bookmarkStart w:id="5" w:name="_Toc351382483"/>
      <w:bookmarkStart w:id="6" w:name="_Toc100060986"/>
      <w:r>
        <w:lastRenderedPageBreak/>
        <w:t xml:space="preserve">2. </w:t>
      </w:r>
      <w:r w:rsidR="009F4B9D" w:rsidRPr="003441E5">
        <w:t xml:space="preserve">Responses to </w:t>
      </w:r>
      <w:bookmarkEnd w:id="4"/>
      <w:bookmarkEnd w:id="5"/>
      <w:r w:rsidR="00F2619A" w:rsidRPr="00F2619A">
        <w:t>CDR rules and standards design paper</w:t>
      </w:r>
      <w:bookmarkEnd w:id="6"/>
    </w:p>
    <w:p w14:paraId="30E08952" w14:textId="0A65C9D3" w:rsidR="009F4B9D" w:rsidRDefault="0063305B" w:rsidP="00613698">
      <w:pPr>
        <w:pStyle w:val="Heading2"/>
      </w:pPr>
      <w:bookmarkStart w:id="7" w:name="_Toc100060987"/>
      <w:r>
        <w:t xml:space="preserve">2.1 </w:t>
      </w:r>
      <w:r w:rsidR="00B00935">
        <w:t xml:space="preserve">Scope of data sharing in the telecommunications </w:t>
      </w:r>
      <w:r w:rsidR="0076064F">
        <w:t>s</w:t>
      </w:r>
      <w:r w:rsidR="00B00935">
        <w:t>ector</w:t>
      </w:r>
      <w:bookmarkEnd w:id="7"/>
    </w:p>
    <w:p w14:paraId="3100EE2D" w14:textId="77777777" w:rsidR="00703E1C" w:rsidRDefault="00703E1C" w:rsidP="009C314D">
      <w:pPr>
        <w:pStyle w:val="QuestionQuote"/>
      </w:pPr>
      <w:r>
        <w:t>1. Do you support establishing a threshold for mandatory participation in CDR for the telecommunications sector (i.e. recommending a de minimis threshold)? How should such a threshold be established (for example, should it be based on the number of customers a carrier or CSP has)?</w:t>
      </w:r>
    </w:p>
    <w:p w14:paraId="0BBDF098" w14:textId="3F719277" w:rsidR="00703E1C" w:rsidRDefault="007C2325" w:rsidP="005B2BFB">
      <w:pPr>
        <w:jc w:val="both"/>
        <w:rPr>
          <w:lang w:eastAsia="en-US"/>
        </w:rPr>
      </w:pPr>
      <w:r w:rsidRPr="007C2325">
        <w:rPr>
          <w:lang w:eastAsia="en-US"/>
        </w:rPr>
        <w:t>ACCAN does not support a de minimis threshold.</w:t>
      </w:r>
      <w:r>
        <w:rPr>
          <w:lang w:eastAsia="en-US"/>
        </w:rPr>
        <w:t xml:space="preserve"> </w:t>
      </w:r>
      <w:r w:rsidR="00703E1C">
        <w:rPr>
          <w:lang w:eastAsia="en-US"/>
        </w:rPr>
        <w:t>ACCAN</w:t>
      </w:r>
      <w:r w:rsidR="00956744">
        <w:rPr>
          <w:lang w:eastAsia="en-US"/>
        </w:rPr>
        <w:t xml:space="preserve">’s view is that </w:t>
      </w:r>
      <w:r w:rsidR="00703E1C">
        <w:rPr>
          <w:lang w:eastAsia="en-US"/>
        </w:rPr>
        <w:t xml:space="preserve">all </w:t>
      </w:r>
      <w:r w:rsidR="0067574A">
        <w:rPr>
          <w:lang w:eastAsia="en-US"/>
        </w:rPr>
        <w:t>carriage service providers</w:t>
      </w:r>
      <w:r w:rsidR="00703E1C">
        <w:rPr>
          <w:lang w:eastAsia="en-US"/>
        </w:rPr>
        <w:t xml:space="preserve"> </w:t>
      </w:r>
      <w:r w:rsidR="006E6C5B">
        <w:rPr>
          <w:lang w:eastAsia="en-US"/>
        </w:rPr>
        <w:t>(CSPs)</w:t>
      </w:r>
      <w:r w:rsidR="00703E1C">
        <w:rPr>
          <w:lang w:eastAsia="en-US"/>
        </w:rPr>
        <w:t xml:space="preserve"> should be included in the CDR. All </w:t>
      </w:r>
      <w:r w:rsidR="00907C6C">
        <w:rPr>
          <w:lang w:eastAsia="en-US"/>
        </w:rPr>
        <w:t>service prov</w:t>
      </w:r>
      <w:r w:rsidR="001559DF">
        <w:rPr>
          <w:lang w:eastAsia="en-US"/>
        </w:rPr>
        <w:t>iders</w:t>
      </w:r>
      <w:r w:rsidR="00703E1C">
        <w:rPr>
          <w:lang w:eastAsia="en-US"/>
        </w:rPr>
        <w:t xml:space="preserve"> should participate in both consumer data sharing obligations and product data sharing obligations </w:t>
      </w:r>
      <w:r w:rsidR="00A2108B">
        <w:rPr>
          <w:lang w:eastAsia="en-US"/>
        </w:rPr>
        <w:t>to</w:t>
      </w:r>
      <w:r w:rsidR="00703E1C">
        <w:rPr>
          <w:lang w:eastAsia="en-US"/>
        </w:rPr>
        <w:t xml:space="preserve"> give consumers the most choice and best use of their data.</w:t>
      </w:r>
      <w:r w:rsidR="00B47C1F">
        <w:rPr>
          <w:lang w:eastAsia="en-US"/>
        </w:rPr>
        <w:t xml:space="preserve"> Including all service providers</w:t>
      </w:r>
      <w:r w:rsidR="00197624">
        <w:rPr>
          <w:lang w:eastAsia="en-US"/>
        </w:rPr>
        <w:t xml:space="preserve"> in the CDR scheme </w:t>
      </w:r>
      <w:r w:rsidR="00C12E5C">
        <w:rPr>
          <w:lang w:eastAsia="en-US"/>
        </w:rPr>
        <w:t xml:space="preserve">ensures that smaller </w:t>
      </w:r>
      <w:r w:rsidR="003555E4">
        <w:rPr>
          <w:lang w:eastAsia="en-US"/>
        </w:rPr>
        <w:t>telecommunications providers</w:t>
      </w:r>
      <w:r w:rsidR="00893E84">
        <w:rPr>
          <w:lang w:eastAsia="en-US"/>
        </w:rPr>
        <w:t xml:space="preserve"> </w:t>
      </w:r>
      <w:r w:rsidR="00661480">
        <w:rPr>
          <w:lang w:eastAsia="en-US"/>
        </w:rPr>
        <w:t xml:space="preserve">will be discoverable in recommendation tools and that </w:t>
      </w:r>
      <w:r w:rsidR="00365A23">
        <w:rPr>
          <w:lang w:eastAsia="en-US"/>
        </w:rPr>
        <w:t>specialised services can be matched to consumers who might use them.</w:t>
      </w:r>
    </w:p>
    <w:p w14:paraId="17A0D62F" w14:textId="2BC8DCBF" w:rsidR="007C2325" w:rsidRDefault="007C2325" w:rsidP="006D081A">
      <w:pPr>
        <w:pStyle w:val="Recommendation"/>
        <w:numPr>
          <w:ilvl w:val="0"/>
          <w:numId w:val="28"/>
        </w:numPr>
      </w:pPr>
      <w:r>
        <w:t xml:space="preserve">ACCAN recommends that </w:t>
      </w:r>
      <w:r w:rsidR="00FF4AD7">
        <w:t xml:space="preserve">all CSPs </w:t>
      </w:r>
      <w:r w:rsidR="00FF4AD7" w:rsidRPr="00FF4AD7">
        <w:t>be included in the CDR</w:t>
      </w:r>
      <w:r w:rsidR="00FF4AD7">
        <w:t>.</w:t>
      </w:r>
    </w:p>
    <w:p w14:paraId="3DB1BDC0" w14:textId="77777777" w:rsidR="00CE2BD5" w:rsidRDefault="00CE2BD5" w:rsidP="009C314D">
      <w:pPr>
        <w:pStyle w:val="QuestionQuote"/>
      </w:pPr>
      <w:bookmarkStart w:id="8" w:name="_Toc98337315"/>
      <w:r w:rsidRPr="00516DB7">
        <w:t>4. How can we best describe the core classes or types of phone, internet and broadband products across carriers and CSPs to support meaningful product</w:t>
      </w:r>
      <w:r>
        <w:t xml:space="preserve"> </w:t>
      </w:r>
      <w:r w:rsidRPr="00CC6CC3">
        <w:t>comparison and other use cases, and to ensure products are adequately described for the purposes of consumer engagement and consent?</w:t>
      </w:r>
      <w:bookmarkEnd w:id="8"/>
    </w:p>
    <w:p w14:paraId="10FE6950" w14:textId="651D5220" w:rsidR="006F0CA7" w:rsidRDefault="006F0CA7" w:rsidP="009C314D">
      <w:pPr>
        <w:pStyle w:val="QuestionQuote"/>
      </w:pPr>
      <w:r w:rsidRPr="006F0CA7">
        <w:t>14. How may usage data differ across products (for example, unlimited compared to limited products)?</w:t>
      </w:r>
    </w:p>
    <w:p w14:paraId="5206E522" w14:textId="06AD261F" w:rsidR="00CE2BD5" w:rsidRDefault="006F0CA7" w:rsidP="005B2BFB">
      <w:pPr>
        <w:jc w:val="both"/>
      </w:pPr>
      <w:r>
        <w:t xml:space="preserve">Broadly, these questions are asking </w:t>
      </w:r>
      <w:r w:rsidR="004E491F">
        <w:t>how telecommunications products are classified</w:t>
      </w:r>
      <w:r w:rsidR="009B413A">
        <w:t>,</w:t>
      </w:r>
      <w:r w:rsidR="004E491F">
        <w:t xml:space="preserve"> </w:t>
      </w:r>
      <w:r w:rsidR="004C0AD1">
        <w:t xml:space="preserve">marketed and used. </w:t>
      </w:r>
      <w:r w:rsidR="00133ACE">
        <w:t>ACCAN recommends that</w:t>
      </w:r>
      <w:r w:rsidR="0086187A">
        <w:t xml:space="preserve"> once</w:t>
      </w:r>
      <w:r w:rsidR="00133ACE">
        <w:t xml:space="preserve"> </w:t>
      </w:r>
      <w:r w:rsidR="00E3534B">
        <w:t>Treasury</w:t>
      </w:r>
      <w:r w:rsidR="0086187A">
        <w:t xml:space="preserve"> has</w:t>
      </w:r>
      <w:r w:rsidR="00E3534B">
        <w:t xml:space="preserve"> draft</w:t>
      </w:r>
      <w:r w:rsidR="00EE041C">
        <w:t>ed</w:t>
      </w:r>
      <w:r w:rsidR="00E3534B">
        <w:t xml:space="preserve"> a</w:t>
      </w:r>
      <w:r w:rsidR="002176F4">
        <w:t xml:space="preserve"> document</w:t>
      </w:r>
      <w:r w:rsidR="009F6169">
        <w:t xml:space="preserve"> that</w:t>
      </w:r>
      <w:r w:rsidR="00E3534B">
        <w:t xml:space="preserve"> list</w:t>
      </w:r>
      <w:r w:rsidR="009F6169">
        <w:t>s</w:t>
      </w:r>
      <w:r w:rsidR="00E3534B">
        <w:t xml:space="preserve"> </w:t>
      </w:r>
      <w:r w:rsidR="00671368">
        <w:t xml:space="preserve">classes and </w:t>
      </w:r>
      <w:r w:rsidR="008421B3">
        <w:t xml:space="preserve">sub-categories of telecommunications products </w:t>
      </w:r>
      <w:r w:rsidR="00660AB3">
        <w:t>it should</w:t>
      </w:r>
      <w:r w:rsidR="008421B3">
        <w:t xml:space="preserve"> </w:t>
      </w:r>
      <w:r w:rsidR="00CC4DF7">
        <w:t>consult with stakeholders</w:t>
      </w:r>
      <w:r w:rsidR="00D52CFC">
        <w:t>,</w:t>
      </w:r>
      <w:r w:rsidR="00CC4DF7">
        <w:t xml:space="preserve"> including consumer advocacy groups</w:t>
      </w:r>
      <w:r w:rsidR="00D52CFC">
        <w:t>,</w:t>
      </w:r>
      <w:r w:rsidR="00660AB3">
        <w:t xml:space="preserve"> to ensure </w:t>
      </w:r>
      <w:r w:rsidR="004E0488">
        <w:t xml:space="preserve">that the whole breadth of data is </w:t>
      </w:r>
      <w:r w:rsidR="005F75DE">
        <w:t>represented</w:t>
      </w:r>
      <w:r w:rsidR="00CC4DF7">
        <w:t xml:space="preserve">. </w:t>
      </w:r>
      <w:r w:rsidR="00CE4753">
        <w:t>Product classes</w:t>
      </w:r>
      <w:r w:rsidR="008A3553">
        <w:t xml:space="preserve"> and sub-categories should be broad enough to </w:t>
      </w:r>
      <w:r w:rsidR="00883BD3">
        <w:t xml:space="preserve">allow quick and easy comparison while </w:t>
      </w:r>
      <w:r w:rsidR="00473B93">
        <w:t>having enough depth to provide consumers with as granular a comparison as</w:t>
      </w:r>
      <w:r w:rsidR="00426DED">
        <w:t xml:space="preserve"> possible.</w:t>
      </w:r>
    </w:p>
    <w:p w14:paraId="2C37C6DE" w14:textId="7E9D3F52" w:rsidR="00B6037B" w:rsidRDefault="00B6037B" w:rsidP="005B2BFB">
      <w:pPr>
        <w:jc w:val="both"/>
      </w:pPr>
      <w:r>
        <w:t>An</w:t>
      </w:r>
      <w:r w:rsidR="00426DED">
        <w:t xml:space="preserve"> examp</w:t>
      </w:r>
      <w:r>
        <w:t>le</w:t>
      </w:r>
      <w:r w:rsidR="002932A0">
        <w:t xml:space="preserve"> </w:t>
      </w:r>
      <w:r w:rsidR="00BE7D7A">
        <w:t>where product classes need to be broad but flexible</w:t>
      </w:r>
      <w:r>
        <w:t xml:space="preserve"> is the </w:t>
      </w:r>
      <w:r w:rsidR="00426DED">
        <w:t xml:space="preserve">difference between </w:t>
      </w:r>
      <w:r w:rsidR="006829A8">
        <w:t>wireless broadband</w:t>
      </w:r>
      <w:r w:rsidR="00BF432E">
        <w:t xml:space="preserve"> (</w:t>
      </w:r>
      <w:r w:rsidR="006A3454">
        <w:t>e.g.</w:t>
      </w:r>
      <w:r w:rsidR="00BF432E">
        <w:t xml:space="preserve"> 4G</w:t>
      </w:r>
      <w:r w:rsidR="001322DD">
        <w:t xml:space="preserve"> and 5G)</w:t>
      </w:r>
      <w:r w:rsidR="006829A8">
        <w:t xml:space="preserve"> and </w:t>
      </w:r>
      <w:r w:rsidR="00BF432E">
        <w:t>fixed broadband (</w:t>
      </w:r>
      <w:r w:rsidR="006A3454">
        <w:t>e.g.</w:t>
      </w:r>
      <w:r w:rsidR="00BF432E">
        <w:t xml:space="preserve"> NBN FTTP)</w:t>
      </w:r>
      <w:r w:rsidR="001322DD">
        <w:t xml:space="preserve">. While there are meaningful differences between the </w:t>
      </w:r>
      <w:r w:rsidR="00201E50">
        <w:t>delivery modes, there are indications that service providers may position</w:t>
      </w:r>
      <w:r w:rsidR="002967F0">
        <w:t xml:space="preserve"> wireless broadband as a competitor to fixed broadband. </w:t>
      </w:r>
      <w:r w:rsidR="00C01414">
        <w:t>Therefore,</w:t>
      </w:r>
      <w:r w:rsidR="002967F0">
        <w:t xml:space="preserve"> it</w:t>
      </w:r>
      <w:r w:rsidR="00C01414">
        <w:t xml:space="preserve"> </w:t>
      </w:r>
      <w:r w:rsidRPr="00B6037B">
        <w:t>would be beneficial for consumers to be able to directly compare them.</w:t>
      </w:r>
    </w:p>
    <w:p w14:paraId="6D911B65" w14:textId="3BEA34B1" w:rsidR="00CE2BD5" w:rsidRDefault="0087270B" w:rsidP="005B2BFB">
      <w:pPr>
        <w:jc w:val="both"/>
      </w:pPr>
      <w:r>
        <w:t>Subcategories</w:t>
      </w:r>
      <w:r w:rsidR="00D31D3C">
        <w:t xml:space="preserve"> also require </w:t>
      </w:r>
      <w:r w:rsidR="00C85CF7">
        <w:t xml:space="preserve">careful consideration and </w:t>
      </w:r>
      <w:r w:rsidR="005F2619">
        <w:t>consultation. For example</w:t>
      </w:r>
      <w:r w:rsidR="009B3E31">
        <w:t>,</w:t>
      </w:r>
      <w:r w:rsidR="00077E54">
        <w:t xml:space="preserve"> a tool</w:t>
      </w:r>
      <w:r w:rsidR="00875143">
        <w:t xml:space="preserve"> would need to</w:t>
      </w:r>
      <w:r w:rsidR="009B3E31">
        <w:t xml:space="preserve"> not just separat</w:t>
      </w:r>
      <w:r w:rsidR="00875143">
        <w:t>e</w:t>
      </w:r>
      <w:r w:rsidR="009B3E31">
        <w:t xml:space="preserve"> pre and </w:t>
      </w:r>
      <w:r w:rsidR="00875143">
        <w:t>post-paid</w:t>
      </w:r>
      <w:r w:rsidR="009B3E31">
        <w:t xml:space="preserve"> mobile services </w:t>
      </w:r>
      <w:r w:rsidR="009B125E">
        <w:t xml:space="preserve">but </w:t>
      </w:r>
      <w:r w:rsidR="00F71192">
        <w:t>for many customers should</w:t>
      </w:r>
      <w:r w:rsidR="00EE6CDF">
        <w:t xml:space="preserve"> also</w:t>
      </w:r>
      <w:r w:rsidR="00F71192">
        <w:t xml:space="preserve"> factor in whether the ser</w:t>
      </w:r>
      <w:r>
        <w:t xml:space="preserve">vice offers free calls to </w:t>
      </w:r>
      <w:r w:rsidR="00CE2BD5">
        <w:t>1300 and 1800 numbers.</w:t>
      </w:r>
      <w:r>
        <w:t xml:space="preserve"> These numbers may be</w:t>
      </w:r>
      <w:r w:rsidR="000E1298">
        <w:t xml:space="preserve"> fundamental to access</w:t>
      </w:r>
      <w:r w:rsidR="00841D3F">
        <w:t xml:space="preserve"> government and support services. </w:t>
      </w:r>
    </w:p>
    <w:p w14:paraId="4859B819" w14:textId="647CA3A1" w:rsidR="00122CE7" w:rsidRDefault="00122CE7" w:rsidP="005B2BFB">
      <w:pPr>
        <w:jc w:val="both"/>
      </w:pPr>
      <w:r>
        <w:t>Another example of metering</w:t>
      </w:r>
      <w:r w:rsidR="009C494A">
        <w:t xml:space="preserve"> and peak and </w:t>
      </w:r>
      <w:r w:rsidR="00520331">
        <w:t>off-peak</w:t>
      </w:r>
      <w:r w:rsidR="009C494A">
        <w:t xml:space="preserve"> shaping</w:t>
      </w:r>
      <w:r w:rsidR="00A617F3">
        <w:t xml:space="preserve"> making an enormous difference</w:t>
      </w:r>
      <w:r w:rsidR="00B649B3">
        <w:t xml:space="preserve"> to consumers</w:t>
      </w:r>
      <w:r w:rsidR="00A617F3">
        <w:t xml:space="preserve"> is NBN’s</w:t>
      </w:r>
      <w:r w:rsidR="005E2D28">
        <w:t xml:space="preserve"> </w:t>
      </w:r>
      <w:r w:rsidR="00A617F3">
        <w:t>Sky</w:t>
      </w:r>
      <w:r w:rsidR="00625342">
        <w:t xml:space="preserve"> M</w:t>
      </w:r>
      <w:r w:rsidR="00A617F3">
        <w:t>uster</w:t>
      </w:r>
      <w:r w:rsidR="00625342">
        <w:t xml:space="preserve"> Plus</w:t>
      </w:r>
      <w:r w:rsidR="00B649B3">
        <w:t xml:space="preserve"> service</w:t>
      </w:r>
      <w:r w:rsidR="00625342">
        <w:t xml:space="preserve">. </w:t>
      </w:r>
      <w:r w:rsidR="0050373F" w:rsidRPr="0050373F">
        <w:t>Sky Muster Plus provides</w:t>
      </w:r>
      <w:r w:rsidR="00625342">
        <w:t xml:space="preserve"> </w:t>
      </w:r>
      <w:r w:rsidR="009C494A">
        <w:t xml:space="preserve">unmetered </w:t>
      </w:r>
      <w:r w:rsidR="00605F65">
        <w:t xml:space="preserve">internet access to </w:t>
      </w:r>
      <w:r w:rsidR="00605F65">
        <w:lastRenderedPageBreak/>
        <w:t>certain classes of activities</w:t>
      </w:r>
      <w:r w:rsidR="00300D24">
        <w:t xml:space="preserve"> at sel</w:t>
      </w:r>
      <w:r w:rsidR="00355751">
        <w:t>ect times</w:t>
      </w:r>
      <w:r w:rsidR="00520331">
        <w:t>.</w:t>
      </w:r>
      <w:r w:rsidR="005E00DB">
        <w:t xml:space="preserve"> </w:t>
      </w:r>
      <w:r w:rsidR="00091494">
        <w:t>NBN Co</w:t>
      </w:r>
      <w:r w:rsidR="0000785D">
        <w:t xml:space="preserve"> recently</w:t>
      </w:r>
      <w:r w:rsidR="006250ED">
        <w:t xml:space="preserve"> </w:t>
      </w:r>
      <w:r w:rsidR="00081226">
        <w:t xml:space="preserve">announced </w:t>
      </w:r>
      <w:r w:rsidR="00650D3B">
        <w:t>changes</w:t>
      </w:r>
      <w:r w:rsidR="003B6B6B">
        <w:t xml:space="preserve"> to these times.</w:t>
      </w:r>
      <w:r w:rsidR="00D95A1E">
        <w:rPr>
          <w:rStyle w:val="FootnoteReference"/>
        </w:rPr>
        <w:footnoteReference w:id="5"/>
      </w:r>
      <w:r w:rsidR="00520331">
        <w:t xml:space="preserve"> </w:t>
      </w:r>
      <w:r w:rsidR="00C2056B">
        <w:t xml:space="preserve">It is </w:t>
      </w:r>
      <w:r w:rsidR="00774EA6">
        <w:t xml:space="preserve">important that </w:t>
      </w:r>
      <w:r w:rsidR="00B71BA0">
        <w:t>peak</w:t>
      </w:r>
      <w:r w:rsidR="00F07D76">
        <w:t xml:space="preserve"> and </w:t>
      </w:r>
      <w:r w:rsidR="003B6B6B">
        <w:t>off-peak</w:t>
      </w:r>
      <w:r w:rsidR="00696D96">
        <w:t xml:space="preserve"> periods are clear</w:t>
      </w:r>
      <w:r w:rsidR="00CC41A5">
        <w:t xml:space="preserve"> and easy to understand. </w:t>
      </w:r>
      <w:r w:rsidR="00CD63C5">
        <w:t xml:space="preserve">Comparison tools would therefore need to account for what activities are metered and </w:t>
      </w:r>
      <w:r w:rsidR="00D0466D">
        <w:t>peak and off-peak shaping of internet speeds.</w:t>
      </w:r>
    </w:p>
    <w:p w14:paraId="5FC79811" w14:textId="77777777" w:rsidR="0026559B" w:rsidRDefault="00841D3F" w:rsidP="00A90AEE">
      <w:pPr>
        <w:jc w:val="both"/>
      </w:pPr>
      <w:r>
        <w:t xml:space="preserve">These are only </w:t>
      </w:r>
      <w:r w:rsidR="00CD63C5">
        <w:t>a few</w:t>
      </w:r>
      <w:r>
        <w:t xml:space="preserve"> examples of </w:t>
      </w:r>
      <w:r w:rsidR="00F713F6">
        <w:t xml:space="preserve">the need for consideration and </w:t>
      </w:r>
      <w:r w:rsidR="00513CEB">
        <w:t>consultation to develop useful classes and sub-categories</w:t>
      </w:r>
      <w:r w:rsidR="00B92048">
        <w:t xml:space="preserve"> to offer</w:t>
      </w:r>
      <w:r w:rsidR="00084E7D">
        <w:t xml:space="preserve"> consumers flexible, useful comparison and choice.</w:t>
      </w:r>
      <w:r w:rsidR="005621B1">
        <w:t xml:space="preserve"> </w:t>
      </w:r>
      <w:r w:rsidR="005621B1" w:rsidRPr="005621B1">
        <w:t>ACCAN expects that further examples will arise during consultations with consumers.</w:t>
      </w:r>
      <w:r w:rsidR="00A9195F" w:rsidRPr="00A9195F">
        <w:t xml:space="preserve"> </w:t>
      </w:r>
    </w:p>
    <w:p w14:paraId="72D4EDEB" w14:textId="513E5820" w:rsidR="00CE2BD5" w:rsidRDefault="00A9195F" w:rsidP="0026559B">
      <w:pPr>
        <w:pStyle w:val="Recommendation"/>
      </w:pPr>
      <w:r w:rsidRPr="00A9195F">
        <w:t>ACCAN recommends that once Treasury has drafted a document that lists classes and sub-categories of telecommunications products it should consult with stakeholders, including consumer advocacy groups, to ensure that the whole breadth of data is represented.</w:t>
      </w:r>
    </w:p>
    <w:p w14:paraId="6DB856DD" w14:textId="77777777" w:rsidR="00CE2BD5" w:rsidRDefault="00CE2BD5" w:rsidP="009C314D">
      <w:pPr>
        <w:pStyle w:val="QuestionQuote"/>
      </w:pPr>
      <w:bookmarkStart w:id="9" w:name="_Toc98337316"/>
      <w:r w:rsidRPr="00C84CF0">
        <w:t>5. Do you support excluding products offered to enterprise customers from product reference data sharing? Should this exclusion be limited to products that are not publicly available and are highly negotiated?</w:t>
      </w:r>
      <w:bookmarkEnd w:id="9"/>
    </w:p>
    <w:p w14:paraId="3646A6F3" w14:textId="77777777" w:rsidR="00BA6969" w:rsidRDefault="00BA6969" w:rsidP="00BA6969">
      <w:pPr>
        <w:pStyle w:val="QuestionQuote"/>
      </w:pPr>
      <w:bookmarkStart w:id="10" w:name="_Toc98337317"/>
      <w:r w:rsidRPr="00C33E18">
        <w:t>6. Are there any sectoral considerations in relation to limiting product data sharing to publicly offered products that we should be aware of?</w:t>
      </w:r>
      <w:bookmarkEnd w:id="10"/>
    </w:p>
    <w:p w14:paraId="213C7BBE" w14:textId="7585C62A" w:rsidR="00F471F0" w:rsidRDefault="00F471F0" w:rsidP="00BA6969">
      <w:pPr>
        <w:pStyle w:val="QuestionQuote"/>
      </w:pPr>
      <w:r w:rsidRPr="00F471F0">
        <w:t>29. Should the definition of eligible consumer for the telecommunications sector exclude some or all types of enterprise customers? If some enterprise customers should be excluded, how should the rules distinguish between eligible and ineligible enterprise customers?</w:t>
      </w:r>
    </w:p>
    <w:p w14:paraId="5061C264" w14:textId="3E366F3C" w:rsidR="00F61045" w:rsidRDefault="005E45A7" w:rsidP="005B2BFB">
      <w:pPr>
        <w:jc w:val="both"/>
      </w:pPr>
      <w:r>
        <w:t>Broadly</w:t>
      </w:r>
      <w:r w:rsidR="00912796">
        <w:t xml:space="preserve"> these</w:t>
      </w:r>
      <w:r>
        <w:t xml:space="preserve"> questions are </w:t>
      </w:r>
      <w:r w:rsidR="00D30163">
        <w:t xml:space="preserve">asking </w:t>
      </w:r>
      <w:r w:rsidR="001218C1">
        <w:t xml:space="preserve">about the inclusion of </w:t>
      </w:r>
      <w:r w:rsidR="0058411E">
        <w:t>large</w:t>
      </w:r>
      <w:r w:rsidR="009A161D">
        <w:t xml:space="preserve">r </w:t>
      </w:r>
      <w:r w:rsidR="00F61045">
        <w:t>business customers and enterprise products.</w:t>
      </w:r>
    </w:p>
    <w:p w14:paraId="64801640" w14:textId="5DB1C426" w:rsidR="00E556E6" w:rsidRDefault="00710EC7" w:rsidP="00DC2F13">
      <w:pPr>
        <w:pStyle w:val="Recommendation"/>
      </w:pPr>
      <w:r>
        <w:t>ACCAN recommends</w:t>
      </w:r>
      <w:r w:rsidR="006C198F">
        <w:t xml:space="preserve"> that all </w:t>
      </w:r>
      <w:r w:rsidR="006C198F" w:rsidRPr="006C198F">
        <w:t>publicly offered products should be included</w:t>
      </w:r>
      <w:r w:rsidR="00B25547">
        <w:t xml:space="preserve"> in the CDR. </w:t>
      </w:r>
    </w:p>
    <w:p w14:paraId="53E95E49" w14:textId="20C2A88F" w:rsidR="00CE2BD5" w:rsidRDefault="00871DB4" w:rsidP="005B2BFB">
      <w:pPr>
        <w:jc w:val="both"/>
      </w:pPr>
      <w:r>
        <w:t>ACCAN recommends that the CDR</w:t>
      </w:r>
      <w:r w:rsidR="00AC2487">
        <w:t xml:space="preserve"> </w:t>
      </w:r>
      <w:r w:rsidR="00A73DAD">
        <w:t>eligibility threshold be set at</w:t>
      </w:r>
      <w:r w:rsidR="004646D5">
        <w:t xml:space="preserve"> a maximum annual spend of</w:t>
      </w:r>
      <w:r w:rsidR="00A73DAD">
        <w:t xml:space="preserve"> </w:t>
      </w:r>
      <w:r w:rsidR="004646D5">
        <w:t xml:space="preserve">$70,000 </w:t>
      </w:r>
      <w:r w:rsidR="00F24E16">
        <w:t xml:space="preserve">on telecommunications goods and services </w:t>
      </w:r>
      <w:r w:rsidR="004646D5">
        <w:t xml:space="preserve">to reflect </w:t>
      </w:r>
      <w:r w:rsidR="008476F1">
        <w:t>the needs of small businesses operating in the digital economy.</w:t>
      </w:r>
      <w:r w:rsidR="00124D83">
        <w:t xml:space="preserve"> ACCAN understands that </w:t>
      </w:r>
      <w:r w:rsidR="005B5972">
        <w:t>the</w:t>
      </w:r>
      <w:r w:rsidR="00C641AD">
        <w:t xml:space="preserve"> eligibility of</w:t>
      </w:r>
      <w:r w:rsidR="00AA22EB">
        <w:t xml:space="preserve"> small business</w:t>
      </w:r>
      <w:r w:rsidR="00C641AD">
        <w:t xml:space="preserve"> </w:t>
      </w:r>
      <w:r w:rsidR="00AA22EB">
        <w:t>consumers to participate in the CDR</w:t>
      </w:r>
      <w:r w:rsidR="00714455">
        <w:t xml:space="preserve"> maybe be influenced by the definition of consumer in the</w:t>
      </w:r>
      <w:r w:rsidR="00714455" w:rsidRPr="00714455">
        <w:t xml:space="preserve"> </w:t>
      </w:r>
      <w:r w:rsidR="00714455" w:rsidRPr="00BC2A47">
        <w:rPr>
          <w:i/>
          <w:iCs/>
        </w:rPr>
        <w:t>Telecommunications Consumer Protections (TCP) Code</w:t>
      </w:r>
      <w:r w:rsidR="00714455">
        <w:t>.</w:t>
      </w:r>
      <w:r w:rsidR="008476F1">
        <w:t xml:space="preserve"> </w:t>
      </w:r>
      <w:r w:rsidR="00714455">
        <w:t>The</w:t>
      </w:r>
      <w:r w:rsidR="00265535">
        <w:t xml:space="preserve"> </w:t>
      </w:r>
      <w:r w:rsidR="00F13C9A">
        <w:t>TCP Code</w:t>
      </w:r>
      <w:r w:rsidR="008111B6">
        <w:rPr>
          <w:rStyle w:val="FootnoteReference"/>
        </w:rPr>
        <w:footnoteReference w:id="6"/>
      </w:r>
      <w:r w:rsidR="004303AE">
        <w:t xml:space="preserve"> </w:t>
      </w:r>
      <w:r w:rsidR="00834C89">
        <w:t>defines a consumer as</w:t>
      </w:r>
      <w:r w:rsidR="00155ECC">
        <w:t>:</w:t>
      </w:r>
    </w:p>
    <w:p w14:paraId="29EB30C7" w14:textId="1B01C0EC" w:rsidR="007734D0" w:rsidRDefault="000D7A42" w:rsidP="00346085">
      <w:pPr>
        <w:pStyle w:val="Blockquote"/>
        <w:numPr>
          <w:ilvl w:val="0"/>
          <w:numId w:val="26"/>
        </w:numPr>
        <w:jc w:val="both"/>
      </w:pPr>
      <w:r>
        <w:t xml:space="preserve">an individual who acquires or may acquire a Telecommunications Product for the primary purpose of personal or domestic use and not for resale; or </w:t>
      </w:r>
    </w:p>
    <w:p w14:paraId="395BEBEF" w14:textId="514046DB" w:rsidR="000D7A42" w:rsidRDefault="000D7A42" w:rsidP="00346085">
      <w:pPr>
        <w:pStyle w:val="Blockquote"/>
        <w:numPr>
          <w:ilvl w:val="0"/>
          <w:numId w:val="26"/>
        </w:numPr>
        <w:jc w:val="both"/>
      </w:pPr>
      <w:r>
        <w:t>a business or non-profit organisation which acquires or may acquire one or more Telecommunications Products which are not for resale and, at the time it enters into the Customer Contract, it:</w:t>
      </w:r>
    </w:p>
    <w:p w14:paraId="1676F5BC" w14:textId="77777777" w:rsidR="000D7A42" w:rsidRDefault="000D7A42" w:rsidP="005B2BFB">
      <w:pPr>
        <w:pStyle w:val="Blockquote"/>
        <w:ind w:left="1440"/>
        <w:jc w:val="both"/>
      </w:pPr>
      <w:r>
        <w:lastRenderedPageBreak/>
        <w:t>(i) does not have a genuine and reasonable opportunity to negotiate the terms of the Customer Contract; and</w:t>
      </w:r>
    </w:p>
    <w:p w14:paraId="01B9754D" w14:textId="6CBDF2D4" w:rsidR="000D7A42" w:rsidRDefault="000D7A42" w:rsidP="005B2BFB">
      <w:pPr>
        <w:pStyle w:val="Blockquote"/>
        <w:ind w:left="1440"/>
        <w:jc w:val="both"/>
      </w:pPr>
      <w:r>
        <w:t>(ii) has or will have an annual spend with the Supplier which is, or is estimated on reasonable grounds by the Supplier to be, no greater than $40,000, or, in the 5 months following Code commencement, an annual spend of $20,000.</w:t>
      </w:r>
    </w:p>
    <w:p w14:paraId="7875A8BB" w14:textId="7F3C9FB3" w:rsidR="00236289" w:rsidRDefault="00B1123F" w:rsidP="00642E2A">
      <w:pPr>
        <w:pStyle w:val="Blockquote"/>
        <w:ind w:left="0" w:right="-46"/>
        <w:jc w:val="both"/>
      </w:pPr>
      <w:r w:rsidRPr="00B1123F">
        <w:t xml:space="preserve">ACCAN’s small business members have </w:t>
      </w:r>
      <w:r w:rsidR="00236289">
        <w:t>recommended that the figure for the annual spend on telecommunications services be increased</w:t>
      </w:r>
      <w:r w:rsidR="00502ED3">
        <w:t xml:space="preserve"> </w:t>
      </w:r>
      <w:r w:rsidR="00236289">
        <w:t>to $70,000</w:t>
      </w:r>
      <w:r w:rsidR="00284E7D">
        <w:t>.</w:t>
      </w:r>
      <w:r w:rsidR="007815E3">
        <w:rPr>
          <w:rStyle w:val="FootnoteReference"/>
        </w:rPr>
        <w:footnoteReference w:id="7"/>
      </w:r>
      <w:r w:rsidR="00502ED3">
        <w:t xml:space="preserve"> </w:t>
      </w:r>
      <w:r w:rsidR="000D49C2">
        <w:t>This fi</w:t>
      </w:r>
      <w:r w:rsidR="00EE68DB">
        <w:t xml:space="preserve">gure better reflects the </w:t>
      </w:r>
      <w:r w:rsidR="0086670A">
        <w:t xml:space="preserve">Australian Government’s </w:t>
      </w:r>
      <w:r w:rsidR="004417BC">
        <w:t>D</w:t>
      </w:r>
      <w:r w:rsidR="00912B6D">
        <w:t xml:space="preserve">igital </w:t>
      </w:r>
      <w:r w:rsidR="004417BC">
        <w:t>E</w:t>
      </w:r>
      <w:r w:rsidR="00912B6D">
        <w:t>conomy</w:t>
      </w:r>
      <w:r w:rsidR="004417BC">
        <w:t xml:space="preserve"> Strategy</w:t>
      </w:r>
      <w:r w:rsidR="00912B6D">
        <w:t xml:space="preserve"> goals of 95% of SME’s using e-commerce tools and all new businesses being “born” digital</w:t>
      </w:r>
      <w:r w:rsidR="00284E7D">
        <w:t>.</w:t>
      </w:r>
      <w:r w:rsidR="004417BC">
        <w:rPr>
          <w:rStyle w:val="FootnoteReference"/>
        </w:rPr>
        <w:footnoteReference w:id="8"/>
      </w:r>
      <w:r w:rsidR="003915CC" w:rsidRPr="003915CC">
        <w:t xml:space="preserve"> </w:t>
      </w:r>
    </w:p>
    <w:p w14:paraId="25705876" w14:textId="0F60E5BE" w:rsidR="0020759D" w:rsidRDefault="00754D67" w:rsidP="0065347E">
      <w:pPr>
        <w:pStyle w:val="Blockquote"/>
        <w:ind w:left="0" w:right="-46"/>
        <w:jc w:val="both"/>
      </w:pPr>
      <w:r>
        <w:t>In past submissions</w:t>
      </w:r>
      <w:r w:rsidR="009A4BA4">
        <w:rPr>
          <w:rStyle w:val="FootnoteReference"/>
        </w:rPr>
        <w:footnoteReference w:id="9"/>
      </w:r>
      <w:r>
        <w:t xml:space="preserve"> </w:t>
      </w:r>
      <w:r w:rsidR="00C34026">
        <w:t>ACCAN</w:t>
      </w:r>
      <w:r>
        <w:t xml:space="preserve"> </w:t>
      </w:r>
      <w:r w:rsidR="00C34026">
        <w:t>has also</w:t>
      </w:r>
      <w:r w:rsidR="00004EA9">
        <w:t xml:space="preserve"> questioned the wording of</w:t>
      </w:r>
      <w:r>
        <w:t xml:space="preserve"> </w:t>
      </w:r>
      <w:r w:rsidRPr="00BB6042">
        <w:rPr>
          <w:i/>
          <w:iCs/>
        </w:rPr>
        <w:t>consumer</w:t>
      </w:r>
      <w:r w:rsidR="00ED630E">
        <w:rPr>
          <w:i/>
          <w:iCs/>
        </w:rPr>
        <w:t xml:space="preserve"> </w:t>
      </w:r>
      <w:r w:rsidR="00ED630E">
        <w:t>in the TCP Code</w:t>
      </w:r>
      <w:r w:rsidR="00BE17C3">
        <w:t>,</w:t>
      </w:r>
      <w:r w:rsidR="002A3857">
        <w:rPr>
          <w:rStyle w:val="FootnoteReference"/>
        </w:rPr>
        <w:footnoteReference w:id="10"/>
      </w:r>
      <w:r>
        <w:t xml:space="preserve"> relating to the </w:t>
      </w:r>
      <w:r w:rsidR="006E0FC2">
        <w:t>“</w:t>
      </w:r>
      <w:r>
        <w:t>opportunity</w:t>
      </w:r>
      <w:r w:rsidR="00004EA9">
        <w:t xml:space="preserve"> </w:t>
      </w:r>
      <w:r>
        <w:t>to negotiate the terms of the consumer contract</w:t>
      </w:r>
      <w:r w:rsidR="006E0FC2">
        <w:t>”</w:t>
      </w:r>
      <w:r w:rsidR="00390BE1">
        <w:t xml:space="preserve"> </w:t>
      </w:r>
      <w:r w:rsidR="00784C0E">
        <w:t>(p.9)</w:t>
      </w:r>
      <w:r>
        <w:t xml:space="preserve">. We suggest that </w:t>
      </w:r>
      <w:r w:rsidR="006E0FC2">
        <w:t>“</w:t>
      </w:r>
      <w:r>
        <w:t xml:space="preserve">reasonable </w:t>
      </w:r>
      <w:r w:rsidRPr="00C34026">
        <w:t>opportunity</w:t>
      </w:r>
      <w:r w:rsidR="006E0FC2">
        <w:rPr>
          <w:i/>
          <w:iCs/>
        </w:rPr>
        <w:t>”</w:t>
      </w:r>
      <w:r>
        <w:t xml:space="preserve"> be</w:t>
      </w:r>
      <w:r w:rsidR="00004EA9">
        <w:t xml:space="preserve"> </w:t>
      </w:r>
      <w:r>
        <w:t xml:space="preserve">changed to </w:t>
      </w:r>
      <w:r w:rsidRPr="00BB6042">
        <w:rPr>
          <w:i/>
          <w:iCs/>
        </w:rPr>
        <w:t>reasonable</w:t>
      </w:r>
      <w:r>
        <w:t xml:space="preserve"> </w:t>
      </w:r>
      <w:r w:rsidRPr="00BB6042">
        <w:rPr>
          <w:i/>
          <w:iCs/>
        </w:rPr>
        <w:t>capacity</w:t>
      </w:r>
      <w:r>
        <w:t>, as this more accurately reflects the reality that most small</w:t>
      </w:r>
      <w:r w:rsidR="00004EA9">
        <w:t xml:space="preserve"> </w:t>
      </w:r>
      <w:r>
        <w:t>businesses do not have access to in-house legal advice and cannot afford external legal advice to</w:t>
      </w:r>
      <w:r w:rsidR="00004EA9">
        <w:t xml:space="preserve"> </w:t>
      </w:r>
      <w:r>
        <w:t>negotiate a contract.</w:t>
      </w:r>
      <w:r w:rsidR="006E0FC2">
        <w:t xml:space="preserve"> </w:t>
      </w:r>
    </w:p>
    <w:p w14:paraId="3E11627B" w14:textId="5E0535B1" w:rsidR="00DC2F13" w:rsidRDefault="00DC2F13" w:rsidP="00DC2F13">
      <w:pPr>
        <w:pStyle w:val="Recommendation"/>
      </w:pPr>
      <w:r w:rsidRPr="00DC2F13">
        <w:t>ACCAN recommends that the CDR eligibility threshold</w:t>
      </w:r>
      <w:r w:rsidR="00E76C23">
        <w:t xml:space="preserve"> for small business</w:t>
      </w:r>
      <w:r w:rsidRPr="00DC2F13">
        <w:t xml:space="preserve"> be set at a maximum annual spend of $70,000 on telecommunications goods and services.</w:t>
      </w:r>
    </w:p>
    <w:p w14:paraId="78119F2E" w14:textId="77777777" w:rsidR="00CE2BD5" w:rsidRDefault="00CE2BD5" w:rsidP="009C314D">
      <w:pPr>
        <w:pStyle w:val="QuestionQuote"/>
      </w:pPr>
      <w:bookmarkStart w:id="11" w:name="_Toc98337319"/>
      <w:r w:rsidRPr="009338D8">
        <w:t>8. Are there any considerations specific to the telecommunications sector that we should be aware of in relation to customer datasets as outlined in this paper?</w:t>
      </w:r>
      <w:bookmarkEnd w:id="11"/>
    </w:p>
    <w:p w14:paraId="4D6F29C2" w14:textId="77777777" w:rsidR="009F0C9D" w:rsidRDefault="009F0C9D" w:rsidP="009F0C9D">
      <w:pPr>
        <w:pStyle w:val="QuestionQuote"/>
      </w:pPr>
      <w:r>
        <w:t>9. Should information about whether a customer’s account is associated with a hardship program be excluded?</w:t>
      </w:r>
    </w:p>
    <w:p w14:paraId="4C781970" w14:textId="3CA1E639" w:rsidR="009F0C9D" w:rsidRDefault="009F0C9D" w:rsidP="009F0C9D">
      <w:pPr>
        <w:pStyle w:val="QuestionQuote"/>
      </w:pPr>
      <w:r>
        <w:t>15. To what extent can insights be drawn about a consumer based on their usage data? Is usage data of interest to ADRs to support use cases (even with respect to plans with unlimited usage)?</w:t>
      </w:r>
    </w:p>
    <w:p w14:paraId="5A87D1EA" w14:textId="40EF362C" w:rsidR="0047495B" w:rsidRDefault="0047495B" w:rsidP="009F0C9D">
      <w:pPr>
        <w:pStyle w:val="QuestionQuote"/>
      </w:pPr>
      <w:r w:rsidRPr="0047495B">
        <w:t>20. If accessibility data were to be included as required product data, what types of accessibility data could be shared?</w:t>
      </w:r>
    </w:p>
    <w:p w14:paraId="7783237A" w14:textId="647EEFFA" w:rsidR="00FA7342" w:rsidRDefault="00842B6A" w:rsidP="005B2BFB">
      <w:pPr>
        <w:jc w:val="both"/>
        <w:rPr>
          <w:lang w:eastAsia="en-US"/>
        </w:rPr>
      </w:pPr>
      <w:r>
        <w:rPr>
          <w:lang w:eastAsia="en-US"/>
        </w:rPr>
        <w:t>Broadly</w:t>
      </w:r>
      <w:r w:rsidR="004B6892">
        <w:rPr>
          <w:lang w:eastAsia="en-US"/>
        </w:rPr>
        <w:t>,</w:t>
      </w:r>
      <w:r>
        <w:rPr>
          <w:lang w:eastAsia="en-US"/>
        </w:rPr>
        <w:t xml:space="preserve"> these questions relate to </w:t>
      </w:r>
      <w:r w:rsidR="00A45E6E">
        <w:rPr>
          <w:lang w:eastAsia="en-US"/>
        </w:rPr>
        <w:t xml:space="preserve">opportunities and risks </w:t>
      </w:r>
      <w:r w:rsidR="00FA7342">
        <w:rPr>
          <w:lang w:eastAsia="en-US"/>
        </w:rPr>
        <w:t xml:space="preserve">of including </w:t>
      </w:r>
      <w:r w:rsidR="009070BC">
        <w:rPr>
          <w:lang w:eastAsia="en-US"/>
        </w:rPr>
        <w:t xml:space="preserve">certain </w:t>
      </w:r>
      <w:r w:rsidR="009E21B5">
        <w:rPr>
          <w:lang w:eastAsia="en-US"/>
        </w:rPr>
        <w:t>kinds</w:t>
      </w:r>
      <w:r w:rsidR="00FA7342">
        <w:rPr>
          <w:lang w:eastAsia="en-US"/>
        </w:rPr>
        <w:t xml:space="preserve"> of</w:t>
      </w:r>
      <w:r w:rsidR="0092530F">
        <w:rPr>
          <w:lang w:eastAsia="en-US"/>
        </w:rPr>
        <w:t xml:space="preserve"> consumer</w:t>
      </w:r>
      <w:r w:rsidR="00FA7342">
        <w:rPr>
          <w:lang w:eastAsia="en-US"/>
        </w:rPr>
        <w:t xml:space="preserve"> data in the CDR.</w:t>
      </w:r>
    </w:p>
    <w:p w14:paraId="68C14856" w14:textId="1C6F3EEC" w:rsidR="0069590D" w:rsidRDefault="0053249C" w:rsidP="005B2BFB">
      <w:pPr>
        <w:jc w:val="both"/>
        <w:rPr>
          <w:lang w:eastAsia="en-US"/>
        </w:rPr>
      </w:pPr>
      <w:r>
        <w:rPr>
          <w:lang w:eastAsia="en-US"/>
        </w:rPr>
        <w:t>ACC</w:t>
      </w:r>
      <w:r w:rsidR="00410FE3">
        <w:rPr>
          <w:lang w:eastAsia="en-US"/>
        </w:rPr>
        <w:t xml:space="preserve">AN </w:t>
      </w:r>
      <w:r w:rsidR="00B076F3">
        <w:rPr>
          <w:lang w:eastAsia="en-US"/>
        </w:rPr>
        <w:t xml:space="preserve">supports the </w:t>
      </w:r>
      <w:r w:rsidR="00145350">
        <w:rPr>
          <w:lang w:eastAsia="en-US"/>
        </w:rPr>
        <w:t xml:space="preserve">inclusion of </w:t>
      </w:r>
      <w:r w:rsidR="0004391D">
        <w:rPr>
          <w:lang w:eastAsia="en-US"/>
        </w:rPr>
        <w:t xml:space="preserve">consumer data and product data </w:t>
      </w:r>
      <w:r w:rsidR="000B13E0">
        <w:rPr>
          <w:lang w:eastAsia="en-US"/>
        </w:rPr>
        <w:t xml:space="preserve">that can empower communications </w:t>
      </w:r>
      <w:r w:rsidR="00422FA8">
        <w:rPr>
          <w:lang w:eastAsia="en-US"/>
        </w:rPr>
        <w:t xml:space="preserve">consumers. As noted in our previous submissions, </w:t>
      </w:r>
      <w:r w:rsidR="008A6552">
        <w:rPr>
          <w:lang w:eastAsia="en-US"/>
        </w:rPr>
        <w:t>the CDR should only benefit consumers</w:t>
      </w:r>
      <w:r w:rsidR="00BA1BC6">
        <w:rPr>
          <w:lang w:eastAsia="en-US"/>
        </w:rPr>
        <w:t xml:space="preserve"> and not erode their existing </w:t>
      </w:r>
      <w:r w:rsidR="004E0A26">
        <w:rPr>
          <w:lang w:eastAsia="en-US"/>
        </w:rPr>
        <w:t>position. ACCAN’s</w:t>
      </w:r>
      <w:r w:rsidR="00CC12BC">
        <w:rPr>
          <w:lang w:eastAsia="en-US"/>
        </w:rPr>
        <w:t xml:space="preserve"> response to the CDR Telecommunications Sectoral </w:t>
      </w:r>
      <w:r w:rsidR="00CC12BC">
        <w:rPr>
          <w:lang w:eastAsia="en-US"/>
        </w:rPr>
        <w:lastRenderedPageBreak/>
        <w:t>Assessment</w:t>
      </w:r>
      <w:r w:rsidR="00700A9A">
        <w:rPr>
          <w:rStyle w:val="FootnoteReference"/>
          <w:lang w:eastAsia="en-US"/>
        </w:rPr>
        <w:footnoteReference w:id="11"/>
      </w:r>
      <w:r w:rsidR="006A1651">
        <w:rPr>
          <w:lang w:eastAsia="en-US"/>
        </w:rPr>
        <w:t xml:space="preserve"> in </w:t>
      </w:r>
      <w:r w:rsidR="004E0A26">
        <w:rPr>
          <w:lang w:eastAsia="en-US"/>
        </w:rPr>
        <w:t>202</w:t>
      </w:r>
      <w:r w:rsidR="006A1651">
        <w:rPr>
          <w:lang w:eastAsia="en-US"/>
        </w:rPr>
        <w:t>1 outlined that m</w:t>
      </w:r>
      <w:r w:rsidR="001C4F16">
        <w:rPr>
          <w:lang w:eastAsia="en-US"/>
        </w:rPr>
        <w:t>andatory data should</w:t>
      </w:r>
      <w:r w:rsidR="006A4259">
        <w:rPr>
          <w:lang w:eastAsia="en-US"/>
        </w:rPr>
        <w:t xml:space="preserve"> at minimum</w:t>
      </w:r>
      <w:r w:rsidR="001C4F16">
        <w:rPr>
          <w:lang w:eastAsia="en-US"/>
        </w:rPr>
        <w:t xml:space="preserve"> include</w:t>
      </w:r>
      <w:r w:rsidR="006A4259">
        <w:rPr>
          <w:lang w:eastAsia="en-US"/>
        </w:rPr>
        <w:t xml:space="preserve"> the following data sets:</w:t>
      </w:r>
    </w:p>
    <w:p w14:paraId="1E71E69C" w14:textId="77777777" w:rsidR="00D947AE" w:rsidRDefault="00D947AE" w:rsidP="005B2BFB">
      <w:pPr>
        <w:pStyle w:val="ListParagraph"/>
        <w:numPr>
          <w:ilvl w:val="0"/>
          <w:numId w:val="25"/>
        </w:numPr>
        <w:jc w:val="both"/>
      </w:pPr>
      <w:r>
        <w:t>Customer contact information</w:t>
      </w:r>
    </w:p>
    <w:p w14:paraId="12A8B0C4" w14:textId="2DC55DCE" w:rsidR="00D947AE" w:rsidRDefault="00D947AE" w:rsidP="005B2BFB">
      <w:pPr>
        <w:pStyle w:val="ListParagraph"/>
        <w:numPr>
          <w:ilvl w:val="0"/>
          <w:numId w:val="25"/>
        </w:numPr>
        <w:jc w:val="both"/>
      </w:pPr>
      <w:r>
        <w:t>Service information</w:t>
      </w:r>
    </w:p>
    <w:p w14:paraId="6C91FB42" w14:textId="40A07298" w:rsidR="00D947AE" w:rsidRDefault="00D947AE" w:rsidP="005B2BFB">
      <w:pPr>
        <w:pStyle w:val="ListParagraph"/>
        <w:numPr>
          <w:ilvl w:val="0"/>
          <w:numId w:val="25"/>
        </w:numPr>
        <w:jc w:val="both"/>
      </w:pPr>
      <w:r>
        <w:t>Rate plan</w:t>
      </w:r>
    </w:p>
    <w:p w14:paraId="37610BB0" w14:textId="1228416C" w:rsidR="00D947AE" w:rsidRDefault="00D947AE" w:rsidP="005B2BFB">
      <w:pPr>
        <w:pStyle w:val="ListParagraph"/>
        <w:numPr>
          <w:ilvl w:val="0"/>
          <w:numId w:val="25"/>
        </w:numPr>
        <w:jc w:val="both"/>
      </w:pPr>
      <w:r>
        <w:t>Fees and charges</w:t>
      </w:r>
    </w:p>
    <w:p w14:paraId="210A2A64" w14:textId="41B5C953" w:rsidR="00D947AE" w:rsidRDefault="00D947AE" w:rsidP="005B2BFB">
      <w:pPr>
        <w:pStyle w:val="ListParagraph"/>
        <w:numPr>
          <w:ilvl w:val="0"/>
          <w:numId w:val="25"/>
        </w:numPr>
        <w:jc w:val="both"/>
      </w:pPr>
      <w:r>
        <w:t>Contract information</w:t>
      </w:r>
    </w:p>
    <w:p w14:paraId="1E0914CC" w14:textId="7174ACF0" w:rsidR="00D947AE" w:rsidRDefault="00D947AE" w:rsidP="005B2BFB">
      <w:pPr>
        <w:pStyle w:val="ListParagraph"/>
        <w:numPr>
          <w:ilvl w:val="0"/>
          <w:numId w:val="25"/>
        </w:numPr>
        <w:jc w:val="both"/>
      </w:pPr>
      <w:r>
        <w:t>Hardware</w:t>
      </w:r>
    </w:p>
    <w:p w14:paraId="5D6FA11C" w14:textId="0A56A46B" w:rsidR="00D947AE" w:rsidRDefault="00D947AE" w:rsidP="005B2BFB">
      <w:pPr>
        <w:pStyle w:val="ListParagraph"/>
        <w:numPr>
          <w:ilvl w:val="0"/>
          <w:numId w:val="25"/>
        </w:numPr>
        <w:jc w:val="both"/>
      </w:pPr>
      <w:r>
        <w:t>Usage information</w:t>
      </w:r>
    </w:p>
    <w:p w14:paraId="1E84A88F" w14:textId="0EDDCDA7" w:rsidR="00D947AE" w:rsidRDefault="00D947AE" w:rsidP="005B2BFB">
      <w:pPr>
        <w:pStyle w:val="ListParagraph"/>
        <w:numPr>
          <w:ilvl w:val="0"/>
          <w:numId w:val="25"/>
        </w:numPr>
        <w:jc w:val="both"/>
      </w:pPr>
      <w:r>
        <w:t>Network information</w:t>
      </w:r>
    </w:p>
    <w:p w14:paraId="62433350" w14:textId="7F532E52" w:rsidR="00D947AE" w:rsidRDefault="00D947AE" w:rsidP="005B2BFB">
      <w:pPr>
        <w:pStyle w:val="ListParagraph"/>
        <w:numPr>
          <w:ilvl w:val="0"/>
          <w:numId w:val="25"/>
        </w:numPr>
        <w:jc w:val="both"/>
      </w:pPr>
      <w:r>
        <w:t>Technology information</w:t>
      </w:r>
    </w:p>
    <w:p w14:paraId="47147B33" w14:textId="7B367619" w:rsidR="00D947AE" w:rsidRDefault="00D947AE" w:rsidP="005B2BFB">
      <w:pPr>
        <w:pStyle w:val="ListParagraph"/>
        <w:numPr>
          <w:ilvl w:val="0"/>
          <w:numId w:val="25"/>
        </w:numPr>
        <w:jc w:val="both"/>
      </w:pPr>
      <w:r>
        <w:t>Internet speeds</w:t>
      </w:r>
    </w:p>
    <w:p w14:paraId="77C72605" w14:textId="1D16190F" w:rsidR="00D947AE" w:rsidRDefault="00D947AE" w:rsidP="005B2BFB">
      <w:pPr>
        <w:pStyle w:val="ListParagraph"/>
        <w:numPr>
          <w:ilvl w:val="0"/>
          <w:numId w:val="25"/>
        </w:numPr>
        <w:jc w:val="both"/>
      </w:pPr>
      <w:r>
        <w:t>Fault information</w:t>
      </w:r>
    </w:p>
    <w:p w14:paraId="2E0A8D7F" w14:textId="5F1486A3" w:rsidR="00D947AE" w:rsidRDefault="00D947AE" w:rsidP="005B2BFB">
      <w:pPr>
        <w:pStyle w:val="ListParagraph"/>
        <w:numPr>
          <w:ilvl w:val="0"/>
          <w:numId w:val="25"/>
        </w:numPr>
        <w:jc w:val="both"/>
      </w:pPr>
      <w:r>
        <w:t>Service details</w:t>
      </w:r>
    </w:p>
    <w:p w14:paraId="65E30864" w14:textId="354166A7" w:rsidR="00D947AE" w:rsidRDefault="00D947AE" w:rsidP="005B2BFB">
      <w:pPr>
        <w:pStyle w:val="ListParagraph"/>
        <w:numPr>
          <w:ilvl w:val="0"/>
          <w:numId w:val="25"/>
        </w:numPr>
        <w:jc w:val="both"/>
      </w:pPr>
      <w:r>
        <w:t>Internet speed</w:t>
      </w:r>
    </w:p>
    <w:p w14:paraId="51C5DA90" w14:textId="10B647A9" w:rsidR="00D947AE" w:rsidRDefault="00D947AE" w:rsidP="005B2BFB">
      <w:pPr>
        <w:pStyle w:val="ListParagraph"/>
        <w:numPr>
          <w:ilvl w:val="0"/>
          <w:numId w:val="25"/>
        </w:numPr>
        <w:jc w:val="both"/>
      </w:pPr>
      <w:r>
        <w:t>Contract information</w:t>
      </w:r>
    </w:p>
    <w:p w14:paraId="2E5EB848" w14:textId="280589E9" w:rsidR="00D947AE" w:rsidRDefault="00D947AE" w:rsidP="005B2BFB">
      <w:pPr>
        <w:pStyle w:val="ListParagraph"/>
        <w:numPr>
          <w:ilvl w:val="0"/>
          <w:numId w:val="25"/>
        </w:numPr>
        <w:jc w:val="both"/>
      </w:pPr>
      <w:r>
        <w:t>Charges and fees</w:t>
      </w:r>
    </w:p>
    <w:p w14:paraId="02D06033" w14:textId="6785F6AD" w:rsidR="00D947AE" w:rsidRDefault="00D947AE" w:rsidP="005B2BFB">
      <w:pPr>
        <w:pStyle w:val="ListParagraph"/>
        <w:numPr>
          <w:ilvl w:val="0"/>
          <w:numId w:val="25"/>
        </w:numPr>
        <w:jc w:val="both"/>
      </w:pPr>
      <w:r>
        <w:t>Network coverage</w:t>
      </w:r>
    </w:p>
    <w:p w14:paraId="72804458" w14:textId="29F48FAD" w:rsidR="0069590D" w:rsidRDefault="00D947AE" w:rsidP="005B2BFB">
      <w:pPr>
        <w:pStyle w:val="ListParagraph"/>
        <w:numPr>
          <w:ilvl w:val="0"/>
          <w:numId w:val="25"/>
        </w:numPr>
        <w:jc w:val="both"/>
      </w:pPr>
      <w:r>
        <w:t>Service quality.</w:t>
      </w:r>
    </w:p>
    <w:p w14:paraId="4C8A8B67" w14:textId="1C0B48D1" w:rsidR="00234C7B" w:rsidRDefault="00234C7B" w:rsidP="005B2BFB">
      <w:pPr>
        <w:jc w:val="both"/>
      </w:pPr>
      <w:r>
        <w:t>In</w:t>
      </w:r>
      <w:r w:rsidR="002774B5">
        <w:t xml:space="preserve"> </w:t>
      </w:r>
      <w:r w:rsidR="005B14AB">
        <w:t>addition,</w:t>
      </w:r>
      <w:r w:rsidR="002774B5">
        <w:t xml:space="preserve"> ACCAN recommended the following data sets </w:t>
      </w:r>
      <w:r w:rsidR="009A1997">
        <w:t xml:space="preserve">be included in the CDR scheme </w:t>
      </w:r>
      <w:r w:rsidR="002774B5">
        <w:t>to ensure</w:t>
      </w:r>
      <w:r w:rsidR="00773EF4">
        <w:t xml:space="preserve"> individualised recommendations drive real consumer choice and inclusive competition.</w:t>
      </w:r>
    </w:p>
    <w:p w14:paraId="1276FA3C" w14:textId="1947AC5D" w:rsidR="00234C7B" w:rsidRDefault="00234C7B" w:rsidP="005B2BFB">
      <w:pPr>
        <w:pStyle w:val="ListParagraph"/>
        <w:numPr>
          <w:ilvl w:val="0"/>
          <w:numId w:val="25"/>
        </w:numPr>
        <w:jc w:val="both"/>
      </w:pPr>
      <w:r>
        <w:t>Low-income products</w:t>
      </w:r>
    </w:p>
    <w:p w14:paraId="796A9374" w14:textId="73585130" w:rsidR="00234C7B" w:rsidRDefault="00234C7B" w:rsidP="005B2BFB">
      <w:pPr>
        <w:pStyle w:val="ListParagraph"/>
        <w:numPr>
          <w:ilvl w:val="0"/>
          <w:numId w:val="25"/>
        </w:numPr>
        <w:jc w:val="both"/>
      </w:pPr>
      <w:r>
        <w:t>Complaints data</w:t>
      </w:r>
    </w:p>
    <w:p w14:paraId="08A7CA2C" w14:textId="1697F9C6" w:rsidR="00234C7B" w:rsidRDefault="00234C7B" w:rsidP="005B2BFB">
      <w:pPr>
        <w:pStyle w:val="ListParagraph"/>
        <w:numPr>
          <w:ilvl w:val="0"/>
          <w:numId w:val="25"/>
        </w:numPr>
        <w:jc w:val="both"/>
      </w:pPr>
      <w:r>
        <w:t>Discounts available</w:t>
      </w:r>
    </w:p>
    <w:p w14:paraId="2803A55F" w14:textId="6D2C1A44" w:rsidR="00234C7B" w:rsidRDefault="00234C7B" w:rsidP="005B2BFB">
      <w:pPr>
        <w:pStyle w:val="ListParagraph"/>
        <w:numPr>
          <w:ilvl w:val="0"/>
          <w:numId w:val="25"/>
        </w:numPr>
        <w:jc w:val="both"/>
      </w:pPr>
      <w:r>
        <w:t>Bundled options</w:t>
      </w:r>
    </w:p>
    <w:p w14:paraId="2EEBE782" w14:textId="1ED997E2" w:rsidR="00234C7B" w:rsidRDefault="00234C7B" w:rsidP="005B2BFB">
      <w:pPr>
        <w:pStyle w:val="ListParagraph"/>
        <w:numPr>
          <w:ilvl w:val="0"/>
          <w:numId w:val="25"/>
        </w:numPr>
        <w:jc w:val="both"/>
      </w:pPr>
      <w:r>
        <w:t>Reliability</w:t>
      </w:r>
    </w:p>
    <w:p w14:paraId="21AB53AF" w14:textId="48EE3C5E" w:rsidR="00234C7B" w:rsidRDefault="00234C7B" w:rsidP="005B2BFB">
      <w:pPr>
        <w:pStyle w:val="ListParagraph"/>
        <w:numPr>
          <w:ilvl w:val="0"/>
          <w:numId w:val="25"/>
        </w:numPr>
        <w:jc w:val="both"/>
      </w:pPr>
      <w:r>
        <w:t>Special services i.e., Priority Assistance, Disability Equipment Programs</w:t>
      </w:r>
    </w:p>
    <w:p w14:paraId="2A4675D4" w14:textId="29EBCC9B" w:rsidR="00B50507" w:rsidRDefault="0034552A" w:rsidP="005B2BFB">
      <w:pPr>
        <w:jc w:val="both"/>
        <w:rPr>
          <w:lang w:eastAsia="en-US"/>
        </w:rPr>
      </w:pPr>
      <w:r>
        <w:rPr>
          <w:lang w:eastAsia="en-US"/>
        </w:rPr>
        <w:t>The datasets listed above should be taken as a minimum</w:t>
      </w:r>
      <w:r w:rsidR="00A85113">
        <w:rPr>
          <w:lang w:eastAsia="en-US"/>
        </w:rPr>
        <w:t>.</w:t>
      </w:r>
      <w:r>
        <w:rPr>
          <w:lang w:eastAsia="en-US"/>
        </w:rPr>
        <w:t xml:space="preserve"> ACCAN </w:t>
      </w:r>
      <w:r w:rsidR="00E85401">
        <w:rPr>
          <w:lang w:eastAsia="en-US"/>
        </w:rPr>
        <w:t xml:space="preserve">recommends a thorough discovery consultation with the telecommunications </w:t>
      </w:r>
      <w:r w:rsidR="006E74F7">
        <w:rPr>
          <w:lang w:eastAsia="en-US"/>
        </w:rPr>
        <w:t>industry</w:t>
      </w:r>
      <w:r w:rsidR="00E85401">
        <w:rPr>
          <w:lang w:eastAsia="en-US"/>
        </w:rPr>
        <w:t xml:space="preserve"> to iden</w:t>
      </w:r>
      <w:r w:rsidR="006E74F7">
        <w:rPr>
          <w:lang w:eastAsia="en-US"/>
        </w:rPr>
        <w:t>tify any additional</w:t>
      </w:r>
      <w:r w:rsidR="0079478D">
        <w:rPr>
          <w:lang w:eastAsia="en-US"/>
        </w:rPr>
        <w:t xml:space="preserve"> data</w:t>
      </w:r>
      <w:r w:rsidR="006E74F7">
        <w:rPr>
          <w:lang w:eastAsia="en-US"/>
        </w:rPr>
        <w:t xml:space="preserve"> sets that may benefit consumers if included in the CDR. </w:t>
      </w:r>
      <w:r w:rsidR="004B2E5E">
        <w:rPr>
          <w:lang w:eastAsia="en-US"/>
        </w:rPr>
        <w:t>Given th</w:t>
      </w:r>
      <w:r w:rsidR="007D57D5">
        <w:rPr>
          <w:lang w:eastAsia="en-US"/>
        </w:rPr>
        <w:t xml:space="preserve">e dynamic nature of the telecommunications industry, ACCAN recommends that </w:t>
      </w:r>
      <w:r w:rsidR="00146E0C">
        <w:rPr>
          <w:lang w:eastAsia="en-US"/>
        </w:rPr>
        <w:t xml:space="preserve">the included sets be </w:t>
      </w:r>
      <w:r w:rsidR="009D18F0">
        <w:rPr>
          <w:lang w:eastAsia="en-US"/>
        </w:rPr>
        <w:t>reviewed</w:t>
      </w:r>
      <w:r w:rsidR="00146E0C">
        <w:rPr>
          <w:lang w:eastAsia="en-US"/>
        </w:rPr>
        <w:t xml:space="preserve"> regularly </w:t>
      </w:r>
      <w:r w:rsidR="00F01726">
        <w:rPr>
          <w:lang w:eastAsia="en-US"/>
        </w:rPr>
        <w:t>as products and services evolve. This</w:t>
      </w:r>
      <w:r w:rsidR="009D18F0">
        <w:rPr>
          <w:lang w:eastAsia="en-US"/>
        </w:rPr>
        <w:t xml:space="preserve"> will</w:t>
      </w:r>
      <w:r w:rsidR="00F01726">
        <w:rPr>
          <w:lang w:eastAsia="en-US"/>
        </w:rPr>
        <w:t xml:space="preserve"> ensure that consumers </w:t>
      </w:r>
      <w:r w:rsidR="00E36750">
        <w:rPr>
          <w:lang w:eastAsia="en-US"/>
        </w:rPr>
        <w:t>can</w:t>
      </w:r>
      <w:r w:rsidR="00F01726">
        <w:rPr>
          <w:lang w:eastAsia="en-US"/>
        </w:rPr>
        <w:t xml:space="preserve"> benefit from the latest developments</w:t>
      </w:r>
      <w:r w:rsidR="00F33A58">
        <w:rPr>
          <w:lang w:eastAsia="en-US"/>
        </w:rPr>
        <w:t xml:space="preserve"> in the market.</w:t>
      </w:r>
    </w:p>
    <w:p w14:paraId="113EC714" w14:textId="6014A59B" w:rsidR="00082685" w:rsidRDefault="00082685" w:rsidP="00EA2FBC">
      <w:pPr>
        <w:pStyle w:val="Recommendation"/>
      </w:pPr>
      <w:r w:rsidRPr="00082685">
        <w:t xml:space="preserve">ACCAN recommends </w:t>
      </w:r>
      <w:r>
        <w:t xml:space="preserve">that </w:t>
      </w:r>
      <w:r w:rsidR="001B68DC">
        <w:t>Treasury and Data Standards conduct a</w:t>
      </w:r>
      <w:r w:rsidRPr="00082685">
        <w:t xml:space="preserve"> thorough discovery consultation to identify any additional</w:t>
      </w:r>
      <w:r w:rsidR="0079478D">
        <w:t xml:space="preserve"> data</w:t>
      </w:r>
      <w:r w:rsidRPr="00082685">
        <w:t xml:space="preserve"> sets that may benefit consumers.</w:t>
      </w:r>
      <w:r w:rsidR="008A04D4">
        <w:t xml:space="preserve"> This process should be reviewed regularly</w:t>
      </w:r>
      <w:r w:rsidR="00EA2FBC">
        <w:t xml:space="preserve"> to take advantage of the latest market developments.</w:t>
      </w:r>
    </w:p>
    <w:p w14:paraId="17062EB6" w14:textId="69300273" w:rsidR="00B50507" w:rsidRDefault="0058349D" w:rsidP="005B2BFB">
      <w:pPr>
        <w:jc w:val="both"/>
        <w:rPr>
          <w:vertAlign w:val="superscript"/>
          <w:lang w:eastAsia="en-US"/>
        </w:rPr>
      </w:pPr>
      <w:r>
        <w:rPr>
          <w:lang w:eastAsia="en-US"/>
        </w:rPr>
        <w:t xml:space="preserve">Regarding question </w:t>
      </w:r>
      <w:r w:rsidR="009E4B09">
        <w:rPr>
          <w:lang w:eastAsia="en-US"/>
        </w:rPr>
        <w:t>nine</w:t>
      </w:r>
      <w:r w:rsidR="009514FA">
        <w:rPr>
          <w:lang w:eastAsia="en-US"/>
        </w:rPr>
        <w:t xml:space="preserve">; should </w:t>
      </w:r>
      <w:r w:rsidR="008764AA" w:rsidRPr="008764AA">
        <w:rPr>
          <w:lang w:eastAsia="en-US"/>
        </w:rPr>
        <w:t>information about whether a customer’s account is associated with a hardship program</w:t>
      </w:r>
      <w:r w:rsidR="00F92B32">
        <w:rPr>
          <w:lang w:eastAsia="en-US"/>
        </w:rPr>
        <w:t xml:space="preserve"> be excluded</w:t>
      </w:r>
      <w:r w:rsidR="00B078A3">
        <w:rPr>
          <w:lang w:eastAsia="en-US"/>
        </w:rPr>
        <w:t>.</w:t>
      </w:r>
      <w:r w:rsidR="008764AA">
        <w:rPr>
          <w:lang w:eastAsia="en-US"/>
        </w:rPr>
        <w:t xml:space="preserve"> </w:t>
      </w:r>
      <w:r w:rsidR="00786806">
        <w:rPr>
          <w:lang w:eastAsia="en-US"/>
        </w:rPr>
        <w:t xml:space="preserve">ACCAN recommends that </w:t>
      </w:r>
      <w:r w:rsidR="00CB75FA">
        <w:rPr>
          <w:lang w:eastAsia="en-US"/>
        </w:rPr>
        <w:t>hardship data be excluded</w:t>
      </w:r>
      <w:r w:rsidR="008E6039">
        <w:rPr>
          <w:lang w:eastAsia="en-US"/>
        </w:rPr>
        <w:t xml:space="preserve"> </w:t>
      </w:r>
      <w:r w:rsidR="00431902">
        <w:rPr>
          <w:lang w:eastAsia="en-US"/>
        </w:rPr>
        <w:t xml:space="preserve">from the CDR. </w:t>
      </w:r>
      <w:r w:rsidR="008764AA">
        <w:rPr>
          <w:lang w:eastAsia="en-US"/>
        </w:rPr>
        <w:lastRenderedPageBreak/>
        <w:t>ACCAN</w:t>
      </w:r>
      <w:r w:rsidR="00B274FF">
        <w:rPr>
          <w:lang w:eastAsia="en-US"/>
        </w:rPr>
        <w:t xml:space="preserve"> has previously submitted that one of the key potential benefits of the CDR “is the ability to provide low-income consumers with independent and reliable advice on how to reduce their telecommunications expenses”</w:t>
      </w:r>
      <w:r w:rsidR="00B35DA3">
        <w:rPr>
          <w:lang w:eastAsia="en-US"/>
        </w:rPr>
        <w:t>.</w:t>
      </w:r>
      <w:r w:rsidR="00334043">
        <w:rPr>
          <w:rStyle w:val="FootnoteReference"/>
          <w:lang w:eastAsia="en-US"/>
        </w:rPr>
        <w:footnoteReference w:id="12"/>
      </w:r>
      <w:r w:rsidR="00334043">
        <w:rPr>
          <w:lang w:eastAsia="en-US"/>
        </w:rPr>
        <w:t xml:space="preserve"> </w:t>
      </w:r>
      <w:r w:rsidR="00650126">
        <w:rPr>
          <w:lang w:eastAsia="en-US"/>
        </w:rPr>
        <w:t>However</w:t>
      </w:r>
      <w:r w:rsidR="00DF1FA5">
        <w:rPr>
          <w:lang w:eastAsia="en-US"/>
        </w:rPr>
        <w:t>,</w:t>
      </w:r>
      <w:r w:rsidR="00650126">
        <w:rPr>
          <w:lang w:eastAsia="en-US"/>
        </w:rPr>
        <w:t xml:space="preserve"> </w:t>
      </w:r>
      <w:r w:rsidR="00431902">
        <w:rPr>
          <w:lang w:eastAsia="en-US"/>
        </w:rPr>
        <w:t xml:space="preserve">ACCAN is concerned that </w:t>
      </w:r>
      <w:r w:rsidR="00431902" w:rsidRPr="00431902">
        <w:rPr>
          <w:lang w:eastAsia="en-US"/>
        </w:rPr>
        <w:t xml:space="preserve">including </w:t>
      </w:r>
      <w:r w:rsidR="00BE5284">
        <w:rPr>
          <w:lang w:eastAsia="en-US"/>
        </w:rPr>
        <w:t>information</w:t>
      </w:r>
      <w:r w:rsidR="00431902" w:rsidRPr="00431902">
        <w:rPr>
          <w:lang w:eastAsia="en-US"/>
        </w:rPr>
        <w:t xml:space="preserve"> about a customer's access to hardship could be used against them and limit their access to services.</w:t>
      </w:r>
      <w:r w:rsidR="000032C4">
        <w:rPr>
          <w:lang w:eastAsia="en-US"/>
        </w:rPr>
        <w:t xml:space="preserve"> </w:t>
      </w:r>
      <w:r w:rsidR="00650126">
        <w:rPr>
          <w:lang w:eastAsia="en-US"/>
        </w:rPr>
        <w:t xml:space="preserve">ACCAN reiterates that </w:t>
      </w:r>
      <w:r w:rsidR="00B338B3">
        <w:rPr>
          <w:lang w:eastAsia="en-US"/>
        </w:rPr>
        <w:t xml:space="preserve">this data should only be used where it would benefit the consumer </w:t>
      </w:r>
      <w:r w:rsidR="00717A87">
        <w:rPr>
          <w:lang w:eastAsia="en-US"/>
        </w:rPr>
        <w:t xml:space="preserve">with choice and access to specialised services. </w:t>
      </w:r>
      <w:r w:rsidR="00327024">
        <w:rPr>
          <w:lang w:eastAsia="en-US"/>
        </w:rPr>
        <w:t>As ACCAN has previously recommended, the C</w:t>
      </w:r>
      <w:r w:rsidR="00DF2E0D">
        <w:rPr>
          <w:lang w:eastAsia="en-US"/>
        </w:rPr>
        <w:t>DR should be accompanied by “an extensive consumer education campaign to ensure that those consumer cohorts understand how they can benefit from the CDR and how their privacy and security will be protected”</w:t>
      </w:r>
      <w:r w:rsidR="00694EA2">
        <w:rPr>
          <w:lang w:eastAsia="en-US"/>
        </w:rPr>
        <w:t>.</w:t>
      </w:r>
      <w:r w:rsidR="002D6081">
        <w:rPr>
          <w:vertAlign w:val="superscript"/>
          <w:lang w:eastAsia="en-US"/>
        </w:rPr>
        <w:t>8</w:t>
      </w:r>
    </w:p>
    <w:p w14:paraId="04613514" w14:textId="3B1E01EF" w:rsidR="005F2D0B" w:rsidRDefault="005F2D0B" w:rsidP="005F2D0B">
      <w:pPr>
        <w:pStyle w:val="Recommendation"/>
      </w:pPr>
      <w:r w:rsidRPr="005F2D0B">
        <w:t>ACCAN recommends that hardship data be excluded from the CDR.</w:t>
      </w:r>
    </w:p>
    <w:p w14:paraId="514C1B04" w14:textId="77777777" w:rsidR="00DB1FCD" w:rsidRDefault="00DB1FCD" w:rsidP="006C1AB0">
      <w:pPr>
        <w:pStyle w:val="QuestionQuote"/>
      </w:pPr>
      <w:r>
        <w:t xml:space="preserve">16. Do you support the time frame of requiring carriers and CSPs to disclose consumer data for up to the past 2 years, subject to the earliest holding day of 1 January 2022? </w:t>
      </w:r>
    </w:p>
    <w:p w14:paraId="557D8333" w14:textId="055CC353" w:rsidR="009A62FD" w:rsidRDefault="009A62FD" w:rsidP="006C1AB0">
      <w:pPr>
        <w:pStyle w:val="QuestionQuote"/>
      </w:pPr>
      <w:r w:rsidRPr="009A62FD">
        <w:t>17. Are there any considerations specific to the telecommunications sector that we should be aware of in relation to historical data?</w:t>
      </w:r>
    </w:p>
    <w:p w14:paraId="1F84338B" w14:textId="75C5E8A5" w:rsidR="00B00935" w:rsidRDefault="00DB1FCD" w:rsidP="005B2BFB">
      <w:pPr>
        <w:jc w:val="both"/>
        <w:rPr>
          <w:lang w:eastAsia="en-US"/>
        </w:rPr>
      </w:pPr>
      <w:r>
        <w:rPr>
          <w:lang w:eastAsia="en-US"/>
        </w:rPr>
        <w:t>ACCAN supports th</w:t>
      </w:r>
      <w:r w:rsidR="00E875B8">
        <w:rPr>
          <w:lang w:eastAsia="en-US"/>
        </w:rPr>
        <w:t xml:space="preserve">e requirement for data holders to keep </w:t>
      </w:r>
      <w:r w:rsidR="00502869">
        <w:rPr>
          <w:lang w:eastAsia="en-US"/>
        </w:rPr>
        <w:t xml:space="preserve">and disclose consumer data for two years. As the </w:t>
      </w:r>
      <w:r w:rsidR="00115571">
        <w:rPr>
          <w:lang w:eastAsia="en-US"/>
        </w:rPr>
        <w:t>design paper notes, t</w:t>
      </w:r>
      <w:r>
        <w:rPr>
          <w:lang w:eastAsia="en-US"/>
        </w:rPr>
        <w:t xml:space="preserve">he </w:t>
      </w:r>
      <w:r w:rsidR="00115571">
        <w:rPr>
          <w:lang w:eastAsia="en-US"/>
        </w:rPr>
        <w:t>t</w:t>
      </w:r>
      <w:r>
        <w:rPr>
          <w:lang w:eastAsia="en-US"/>
        </w:rPr>
        <w:t xml:space="preserve">elecommunications sector </w:t>
      </w:r>
      <w:r w:rsidR="003857E0">
        <w:rPr>
          <w:lang w:eastAsia="en-US"/>
        </w:rPr>
        <w:t xml:space="preserve">is already required to </w:t>
      </w:r>
      <w:r>
        <w:rPr>
          <w:lang w:eastAsia="en-US"/>
        </w:rPr>
        <w:t>hold certain data</w:t>
      </w:r>
      <w:r w:rsidR="0025579C">
        <w:rPr>
          <w:lang w:eastAsia="en-US"/>
        </w:rPr>
        <w:t xml:space="preserve"> for two years</w:t>
      </w:r>
      <w:r w:rsidR="00B367E2">
        <w:rPr>
          <w:lang w:eastAsia="en-US"/>
        </w:rPr>
        <w:t xml:space="preserve"> by the </w:t>
      </w:r>
      <w:r w:rsidR="00B367E2" w:rsidRPr="008607FD">
        <w:rPr>
          <w:i/>
          <w:iCs/>
          <w:lang w:eastAsia="en-US"/>
        </w:rPr>
        <w:t>Telecommunications (Interception and Access) Act</w:t>
      </w:r>
      <w:r w:rsidR="00B367E2" w:rsidRPr="00B367E2">
        <w:rPr>
          <w:lang w:eastAsia="en-US"/>
        </w:rPr>
        <w:t xml:space="preserve"> 1979 (Cth) (TIA Act) </w:t>
      </w:r>
      <w:r w:rsidR="00B367E2">
        <w:rPr>
          <w:lang w:eastAsia="en-US"/>
        </w:rPr>
        <w:t xml:space="preserve">and </w:t>
      </w:r>
      <w:r w:rsidR="00B367E2" w:rsidRPr="00B367E2">
        <w:rPr>
          <w:lang w:eastAsia="en-US"/>
        </w:rPr>
        <w:t xml:space="preserve">the </w:t>
      </w:r>
      <w:r w:rsidR="00B367E2" w:rsidRPr="008607FD">
        <w:rPr>
          <w:i/>
          <w:iCs/>
          <w:lang w:eastAsia="en-US"/>
        </w:rPr>
        <w:t>Telecommunications (Consumer Complaints) Record-Keeping Rules</w:t>
      </w:r>
      <w:r w:rsidR="00B367E2" w:rsidRPr="00B367E2">
        <w:rPr>
          <w:lang w:eastAsia="en-US"/>
        </w:rPr>
        <w:t xml:space="preserve"> 2018</w:t>
      </w:r>
      <w:r w:rsidR="0025579C">
        <w:rPr>
          <w:lang w:eastAsia="en-US"/>
        </w:rPr>
        <w:t>.</w:t>
      </w:r>
    </w:p>
    <w:p w14:paraId="2DBA10C6" w14:textId="77777777" w:rsidR="00B00935" w:rsidRDefault="00B00935" w:rsidP="006C1AB0">
      <w:pPr>
        <w:pStyle w:val="QuestionQuote"/>
      </w:pPr>
      <w:r>
        <w:t>18. Do you support the inclusion of closed account data for customers with an open account?</w:t>
      </w:r>
    </w:p>
    <w:p w14:paraId="17CD2FD0" w14:textId="6ECDC2A9" w:rsidR="00FC1CD4" w:rsidRDefault="00FC1CD4" w:rsidP="006C1AB0">
      <w:pPr>
        <w:pStyle w:val="QuestionQuote"/>
      </w:pPr>
      <w:r w:rsidRPr="00FC1CD4">
        <w:t>19. Do you have any comments on the approach to sharing closed account data – for example, when a request could be made and how much data on a closed account could be shared?</w:t>
      </w:r>
      <w:r w:rsidR="00D57616">
        <w:t xml:space="preserve"> </w:t>
      </w:r>
    </w:p>
    <w:p w14:paraId="6BCA74FC" w14:textId="28724802" w:rsidR="00B00935" w:rsidRDefault="00B00935" w:rsidP="000F1C88">
      <w:pPr>
        <w:jc w:val="both"/>
        <w:rPr>
          <w:lang w:eastAsia="en-US"/>
        </w:rPr>
      </w:pPr>
      <w:r>
        <w:rPr>
          <w:lang w:eastAsia="en-US"/>
        </w:rPr>
        <w:t>ACCAN supports</w:t>
      </w:r>
      <w:r w:rsidR="00670F00">
        <w:rPr>
          <w:lang w:eastAsia="en-US"/>
        </w:rPr>
        <w:t xml:space="preserve"> all avenues for consumers to access and make use of their historical data including closed accounts.</w:t>
      </w:r>
      <w:r w:rsidR="009C3BB1">
        <w:rPr>
          <w:lang w:eastAsia="en-US"/>
        </w:rPr>
        <w:t xml:space="preserve"> </w:t>
      </w:r>
      <w:r w:rsidR="006852B6">
        <w:rPr>
          <w:lang w:eastAsia="en-US"/>
        </w:rPr>
        <w:t xml:space="preserve">Given that </w:t>
      </w:r>
      <w:r w:rsidR="0068642F">
        <w:rPr>
          <w:lang w:eastAsia="en-US"/>
        </w:rPr>
        <w:t xml:space="preserve">the design paper suggests a </w:t>
      </w:r>
      <w:r w:rsidR="006707CD">
        <w:rPr>
          <w:lang w:eastAsia="en-US"/>
        </w:rPr>
        <w:t>two-year</w:t>
      </w:r>
      <w:r w:rsidR="0068642F">
        <w:rPr>
          <w:lang w:eastAsia="en-US"/>
        </w:rPr>
        <w:t xml:space="preserve"> data retention period, consumers should be able to access </w:t>
      </w:r>
      <w:r w:rsidR="00FD2E8E">
        <w:rPr>
          <w:lang w:eastAsia="en-US"/>
        </w:rPr>
        <w:t>any available</w:t>
      </w:r>
      <w:r w:rsidR="0068642F">
        <w:rPr>
          <w:lang w:eastAsia="en-US"/>
        </w:rPr>
        <w:t xml:space="preserve"> data f</w:t>
      </w:r>
      <w:r w:rsidR="006707CD">
        <w:rPr>
          <w:lang w:eastAsia="en-US"/>
        </w:rPr>
        <w:t>rom</w:t>
      </w:r>
      <w:r w:rsidR="0015595A">
        <w:rPr>
          <w:lang w:eastAsia="en-US"/>
        </w:rPr>
        <w:t xml:space="preserve"> </w:t>
      </w:r>
      <w:r w:rsidR="00FD2E8E">
        <w:rPr>
          <w:lang w:eastAsia="en-US"/>
        </w:rPr>
        <w:t>an</w:t>
      </w:r>
      <w:r w:rsidR="0015595A">
        <w:rPr>
          <w:lang w:eastAsia="en-US"/>
        </w:rPr>
        <w:t xml:space="preserve"> account</w:t>
      </w:r>
      <w:r w:rsidR="005E69C0">
        <w:rPr>
          <w:lang w:eastAsia="en-US"/>
        </w:rPr>
        <w:t xml:space="preserve"> which</w:t>
      </w:r>
      <w:r w:rsidR="00FD2E8E">
        <w:rPr>
          <w:lang w:eastAsia="en-US"/>
        </w:rPr>
        <w:t xml:space="preserve"> has </w:t>
      </w:r>
      <w:r w:rsidR="00E36781">
        <w:rPr>
          <w:lang w:eastAsia="en-US"/>
        </w:rPr>
        <w:t xml:space="preserve">been </w:t>
      </w:r>
      <w:r w:rsidR="007168A0">
        <w:rPr>
          <w:lang w:eastAsia="en-US"/>
        </w:rPr>
        <w:t>closed</w:t>
      </w:r>
      <w:r w:rsidR="00693740">
        <w:rPr>
          <w:lang w:eastAsia="en-US"/>
        </w:rPr>
        <w:t xml:space="preserve"> within the last</w:t>
      </w:r>
      <w:r w:rsidR="005E69C0">
        <w:rPr>
          <w:lang w:eastAsia="en-US"/>
        </w:rPr>
        <w:t xml:space="preserve"> </w:t>
      </w:r>
      <w:r w:rsidR="006707CD">
        <w:rPr>
          <w:lang w:eastAsia="en-US"/>
        </w:rPr>
        <w:t>two years</w:t>
      </w:r>
      <w:r w:rsidR="009D3E55">
        <w:rPr>
          <w:lang w:eastAsia="en-US"/>
        </w:rPr>
        <w:t>.</w:t>
      </w:r>
      <w:r w:rsidR="00E4600B">
        <w:rPr>
          <w:lang w:eastAsia="en-US"/>
        </w:rPr>
        <w:t xml:space="preserve"> This historical data should be made available at no cost to the consumer.</w:t>
      </w:r>
    </w:p>
    <w:p w14:paraId="5AF3EB19" w14:textId="441CC033" w:rsidR="00DE373B" w:rsidRDefault="00DE373B" w:rsidP="00E4600B">
      <w:pPr>
        <w:pStyle w:val="Recommendation"/>
      </w:pPr>
      <w:r w:rsidRPr="00DE373B">
        <w:t xml:space="preserve">ACCAN recommends that consumers be able to access their historical data from an account whether it is closed or not.  </w:t>
      </w:r>
    </w:p>
    <w:p w14:paraId="50F6D22B" w14:textId="1E1FA5CA" w:rsidR="00703E1C" w:rsidRDefault="0063305B" w:rsidP="00703E1C">
      <w:pPr>
        <w:pStyle w:val="Heading2"/>
      </w:pPr>
      <w:bookmarkStart w:id="12" w:name="_Toc100060988"/>
      <w:r>
        <w:t xml:space="preserve">2.2 </w:t>
      </w:r>
      <w:r w:rsidR="00B00935">
        <w:t>Eligible CDR consumers in the telecommunications sector</w:t>
      </w:r>
      <w:bookmarkEnd w:id="12"/>
    </w:p>
    <w:p w14:paraId="27E9A7BF" w14:textId="77777777" w:rsidR="005C0849" w:rsidRDefault="005C0849" w:rsidP="006C1AB0">
      <w:pPr>
        <w:pStyle w:val="QuestionQuote"/>
      </w:pPr>
      <w:bookmarkStart w:id="13" w:name="_Toc98337335"/>
      <w:r w:rsidRPr="007775F6">
        <w:t xml:space="preserve">24. What kinds of ‘secondary users’ (users with account privileges, other than the account holder) exist in telecommunications? You may wish to comment generally on account structures and/or the prevalence of additional users with account privileges, and whether this is product or customer-type specific. Are user accounts </w:t>
      </w:r>
      <w:r w:rsidRPr="007775F6">
        <w:lastRenderedPageBreak/>
        <w:t>structured the same across different product types? If so, does this affect how secondary or other users should be defined?</w:t>
      </w:r>
      <w:bookmarkEnd w:id="13"/>
      <w:r w:rsidRPr="007775F6">
        <w:t xml:space="preserve"> </w:t>
      </w:r>
    </w:p>
    <w:p w14:paraId="6FD35258" w14:textId="77777777" w:rsidR="007F15EE" w:rsidRDefault="007F15EE" w:rsidP="006C1AB0">
      <w:pPr>
        <w:pStyle w:val="QuestionQuote"/>
      </w:pPr>
    </w:p>
    <w:p w14:paraId="6237FDA6" w14:textId="30FC33AB" w:rsidR="007F15EE" w:rsidRDefault="007F15EE" w:rsidP="006C1AB0">
      <w:pPr>
        <w:pStyle w:val="QuestionQuote"/>
      </w:pPr>
      <w:r w:rsidRPr="007F15EE">
        <w:t>27. Where account holders may be able to access consumer data about third party users of the account (for example where an employer is an account holder for an employee’s product or service), should data not be shared in these circumstances? If not, how can these types of accounts be excluded?</w:t>
      </w:r>
    </w:p>
    <w:p w14:paraId="4E373613" w14:textId="77777777" w:rsidR="00821675" w:rsidRDefault="00821675" w:rsidP="006C1AB0">
      <w:pPr>
        <w:pStyle w:val="QuestionQuote"/>
      </w:pPr>
    </w:p>
    <w:p w14:paraId="6ED6E49D" w14:textId="3E0093AA" w:rsidR="00821675" w:rsidRPr="007775F6" w:rsidRDefault="00821675" w:rsidP="006C1AB0">
      <w:pPr>
        <w:pStyle w:val="QuestionQuote"/>
      </w:pPr>
      <w:r w:rsidRPr="00821675">
        <w:t>31. What are the existing types of permissions for joint accounts or services and how are they managed over time?</w:t>
      </w:r>
    </w:p>
    <w:p w14:paraId="044C9AA1" w14:textId="44A473FA" w:rsidR="00174AB2" w:rsidRDefault="00AE6864" w:rsidP="005B2BFB">
      <w:pPr>
        <w:jc w:val="both"/>
      </w:pPr>
      <w:r>
        <w:t xml:space="preserve">Broadly these questions refer to </w:t>
      </w:r>
      <w:r w:rsidR="0054520B">
        <w:t xml:space="preserve">account structures in telecommunications and the </w:t>
      </w:r>
      <w:r w:rsidR="00DE0C21">
        <w:t xml:space="preserve">opportunities and risks of </w:t>
      </w:r>
      <w:r w:rsidR="00712397">
        <w:t>incorporating those structures into the CDR.</w:t>
      </w:r>
    </w:p>
    <w:p w14:paraId="01C241F9" w14:textId="6A695C5E" w:rsidR="008E75E6" w:rsidRDefault="009252E8" w:rsidP="005B2BFB">
      <w:pPr>
        <w:jc w:val="both"/>
      </w:pPr>
      <w:r>
        <w:t xml:space="preserve">According to the </w:t>
      </w:r>
      <w:r w:rsidRPr="009252E8">
        <w:rPr>
          <w:i/>
          <w:iCs/>
        </w:rPr>
        <w:t>Telecommunications Numbering Plan 2015</w:t>
      </w:r>
      <w:r>
        <w:rPr>
          <w:i/>
          <w:iCs/>
        </w:rPr>
        <w:t xml:space="preserve"> </w:t>
      </w:r>
      <w:r>
        <w:rPr>
          <w:iCs/>
        </w:rPr>
        <w:t>only one person</w:t>
      </w:r>
      <w:r w:rsidR="007701B5">
        <w:rPr>
          <w:iCs/>
        </w:rPr>
        <w:t>, the Customer,</w:t>
      </w:r>
      <w:r w:rsidR="00543F8F">
        <w:rPr>
          <w:iCs/>
        </w:rPr>
        <w:t xml:space="preserve"> can be issued a </w:t>
      </w:r>
      <w:r w:rsidR="007701B5">
        <w:rPr>
          <w:iCs/>
        </w:rPr>
        <w:t>phone number</w:t>
      </w:r>
      <w:r w:rsidR="00C6092A">
        <w:rPr>
          <w:iCs/>
        </w:rPr>
        <w:t>.</w:t>
      </w:r>
      <w:r w:rsidR="004B1540">
        <w:rPr>
          <w:rStyle w:val="FootnoteReference"/>
          <w:iCs/>
        </w:rPr>
        <w:footnoteReference w:id="13"/>
      </w:r>
      <w:r w:rsidR="007701B5">
        <w:rPr>
          <w:iCs/>
        </w:rPr>
        <w:t xml:space="preserve"> However, </w:t>
      </w:r>
      <w:r w:rsidR="00BE1501">
        <w:rPr>
          <w:iCs/>
        </w:rPr>
        <w:t xml:space="preserve">the Customer can </w:t>
      </w:r>
      <w:r w:rsidR="008E75E6">
        <w:rPr>
          <w:iCs/>
        </w:rPr>
        <w:t>designate an “authorised representative”</w:t>
      </w:r>
      <w:r w:rsidR="003F3C79">
        <w:rPr>
          <w:iCs/>
        </w:rPr>
        <w:t xml:space="preserve"> who </w:t>
      </w:r>
      <w:r w:rsidR="00091B2B">
        <w:rPr>
          <w:iCs/>
        </w:rPr>
        <w:t xml:space="preserve">can </w:t>
      </w:r>
      <w:r w:rsidR="008E75E6">
        <w:t>make changes</w:t>
      </w:r>
      <w:r w:rsidR="00091B2B">
        <w:t xml:space="preserve"> </w:t>
      </w:r>
      <w:r w:rsidR="008E75E6">
        <w:t>or incur charges on their behalf on that account</w:t>
      </w:r>
      <w:r w:rsidR="00091B2B">
        <w:t>.</w:t>
      </w:r>
      <w:r w:rsidR="0053447D">
        <w:t xml:space="preserve"> </w:t>
      </w:r>
      <w:r w:rsidR="007622F3">
        <w:t xml:space="preserve">In other </w:t>
      </w:r>
      <w:r w:rsidR="008551D6">
        <w:t>cases</w:t>
      </w:r>
      <w:r w:rsidR="007622F3">
        <w:t xml:space="preserve">, a Customer may give a </w:t>
      </w:r>
      <w:r w:rsidR="008E7414">
        <w:t>mobile phone to another person to use</w:t>
      </w:r>
      <w:r w:rsidR="003B4C06">
        <w:t>;</w:t>
      </w:r>
      <w:r w:rsidR="008E7414">
        <w:t xml:space="preserve"> for </w:t>
      </w:r>
      <w:r w:rsidR="0053447D">
        <w:t xml:space="preserve">example a parent </w:t>
      </w:r>
      <w:r w:rsidR="00B77A15">
        <w:t xml:space="preserve">may </w:t>
      </w:r>
      <w:r w:rsidR="00893862">
        <w:t xml:space="preserve">give a phone to a </w:t>
      </w:r>
      <w:r w:rsidR="006A3454">
        <w:t>child</w:t>
      </w:r>
      <w:r w:rsidR="008E7414">
        <w:t xml:space="preserve">. In these </w:t>
      </w:r>
      <w:r w:rsidR="008551D6">
        <w:t>instances</w:t>
      </w:r>
      <w:r w:rsidR="008E7414">
        <w:t xml:space="preserve">, while the child is the end user of the </w:t>
      </w:r>
      <w:r w:rsidR="008551D6">
        <w:t>phone</w:t>
      </w:r>
      <w:r w:rsidR="006A3454">
        <w:t>,</w:t>
      </w:r>
      <w:r w:rsidR="00893862">
        <w:t xml:space="preserve"> the parent would remain the </w:t>
      </w:r>
      <w:r w:rsidR="003F3C79">
        <w:t>C</w:t>
      </w:r>
      <w:r w:rsidR="00893862">
        <w:t>ustomer.</w:t>
      </w:r>
      <w:r w:rsidR="003D799C">
        <w:t xml:space="preserve"> </w:t>
      </w:r>
    </w:p>
    <w:p w14:paraId="5896A8AC" w14:textId="36A8FD67" w:rsidR="00C83AEB" w:rsidRDefault="00C83AEB" w:rsidP="005B2BFB">
      <w:pPr>
        <w:jc w:val="both"/>
      </w:pPr>
      <w:r>
        <w:t xml:space="preserve">As noted in the </w:t>
      </w:r>
      <w:r w:rsidR="004B78F7">
        <w:t>Communications Alliance</w:t>
      </w:r>
      <w:r w:rsidR="00D47C7B">
        <w:t xml:space="preserve"> </w:t>
      </w:r>
      <w:r w:rsidR="00E0384D" w:rsidRPr="00E0384D">
        <w:rPr>
          <w:i/>
          <w:iCs/>
        </w:rPr>
        <w:t>Assisting Customers Experiencing Domestic</w:t>
      </w:r>
      <w:r w:rsidR="00334BCB">
        <w:rPr>
          <w:i/>
          <w:iCs/>
        </w:rPr>
        <w:t xml:space="preserve"> </w:t>
      </w:r>
      <w:r w:rsidR="00E0384D" w:rsidRPr="00E0384D">
        <w:rPr>
          <w:i/>
          <w:iCs/>
        </w:rPr>
        <w:t xml:space="preserve">And Family Violence </w:t>
      </w:r>
      <w:r w:rsidR="00E0384D">
        <w:t>Industry Guideline</w:t>
      </w:r>
      <w:r w:rsidR="00D42AAD">
        <w:t xml:space="preserve">, </w:t>
      </w:r>
      <w:r w:rsidR="008551D6">
        <w:t xml:space="preserve">such </w:t>
      </w:r>
      <w:r w:rsidR="000E5E36">
        <w:t>“</w:t>
      </w:r>
      <w:r w:rsidR="000E5E36" w:rsidRPr="000E5E36">
        <w:t>legal distinctions can be exploited by perpetrators</w:t>
      </w:r>
      <w:r w:rsidR="000E5E36">
        <w:t>” of domestic and family violence</w:t>
      </w:r>
      <w:r w:rsidR="000D521F">
        <w:t xml:space="preserve"> (DFV)</w:t>
      </w:r>
      <w:r w:rsidR="003F3C79">
        <w:t>.</w:t>
      </w:r>
      <w:r w:rsidR="00334BCB">
        <w:rPr>
          <w:rStyle w:val="FootnoteReference"/>
        </w:rPr>
        <w:footnoteReference w:id="14"/>
      </w:r>
      <w:r w:rsidR="00D12719">
        <w:t xml:space="preserve"> The </w:t>
      </w:r>
      <w:r w:rsidR="00606129">
        <w:t>G</w:t>
      </w:r>
      <w:r w:rsidR="00D12719">
        <w:t xml:space="preserve">uideline provides several </w:t>
      </w:r>
      <w:r w:rsidR="00C06F76">
        <w:t>initial con</w:t>
      </w:r>
      <w:r w:rsidR="0023051C">
        <w:t xml:space="preserve">siderations to </w:t>
      </w:r>
      <w:r w:rsidR="000011AC">
        <w:t>illustrate the kinds of issues the CDR scheme must consider</w:t>
      </w:r>
      <w:r w:rsidR="00D66CD8">
        <w:t xml:space="preserve"> in relation to telecommunications account structures.</w:t>
      </w:r>
    </w:p>
    <w:p w14:paraId="7B6FA6EE" w14:textId="3C439C1F" w:rsidR="008E564B" w:rsidRDefault="008E564B" w:rsidP="005B2BFB">
      <w:pPr>
        <w:jc w:val="both"/>
      </w:pPr>
      <w:r>
        <w:t xml:space="preserve">Section </w:t>
      </w:r>
      <w:r w:rsidR="00866618">
        <w:t>nine</w:t>
      </w:r>
      <w:r>
        <w:t xml:space="preserve"> of the </w:t>
      </w:r>
      <w:r w:rsidR="008F7F7F">
        <w:t>G</w:t>
      </w:r>
      <w:r>
        <w:t>uideline</w:t>
      </w:r>
      <w:r w:rsidR="00EE7B58">
        <w:t xml:space="preserve"> </w:t>
      </w:r>
      <w:r w:rsidR="00F90B9E">
        <w:t>in particular</w:t>
      </w:r>
      <w:r w:rsidR="00EE7B58">
        <w:t xml:space="preserve"> outlines </w:t>
      </w:r>
      <w:r w:rsidR="008F7F7F">
        <w:t xml:space="preserve">the steps </w:t>
      </w:r>
      <w:r w:rsidR="005868E9">
        <w:t xml:space="preserve">carriers can take </w:t>
      </w:r>
      <w:r w:rsidR="00533FD0">
        <w:t xml:space="preserve">to facilitate a DFV survivor </w:t>
      </w:r>
      <w:r w:rsidR="00F4789F">
        <w:t xml:space="preserve">who is not the </w:t>
      </w:r>
      <w:r w:rsidR="000D521F">
        <w:t>C</w:t>
      </w:r>
      <w:r w:rsidR="00F4789F">
        <w:t xml:space="preserve">ustomer to </w:t>
      </w:r>
      <w:r w:rsidR="00C83DAB">
        <w:t>keep a phone number when leaving a perpetrator of DFV.</w:t>
      </w:r>
      <w:r w:rsidR="003418C9">
        <w:t xml:space="preserve"> This section </w:t>
      </w:r>
      <w:r w:rsidR="002B2A36">
        <w:t xml:space="preserve">notes that the survivor may not be the </w:t>
      </w:r>
      <w:r w:rsidR="00591AE4">
        <w:t>C</w:t>
      </w:r>
      <w:r w:rsidR="002B2A36">
        <w:t xml:space="preserve">ustomer but is the end user of </w:t>
      </w:r>
      <w:r w:rsidR="009E335E">
        <w:t>a number.</w:t>
      </w:r>
      <w:r w:rsidR="0058247C">
        <w:t xml:space="preserve"> When this process is completed</w:t>
      </w:r>
      <w:r w:rsidR="0034065A">
        <w:t>,</w:t>
      </w:r>
      <w:r w:rsidR="0058247C">
        <w:t xml:space="preserve"> </w:t>
      </w:r>
      <w:r w:rsidR="0034065A">
        <w:t>the</w:t>
      </w:r>
      <w:r w:rsidR="0058247C">
        <w:t xml:space="preserve"> number is then </w:t>
      </w:r>
      <w:r w:rsidR="009461B0">
        <w:t xml:space="preserve">transferred to a new account with the original end user as the </w:t>
      </w:r>
      <w:r w:rsidR="004002A4">
        <w:t>C</w:t>
      </w:r>
      <w:r w:rsidR="009461B0">
        <w:t>ustomer.</w:t>
      </w:r>
    </w:p>
    <w:p w14:paraId="2E88ED07" w14:textId="05DC0A13" w:rsidR="001C0086" w:rsidRDefault="001C0086" w:rsidP="005B2BFB">
      <w:pPr>
        <w:jc w:val="both"/>
      </w:pPr>
      <w:r>
        <w:t xml:space="preserve">It should also be noted that perpetrators of DFV may also be </w:t>
      </w:r>
      <w:r w:rsidR="00763434">
        <w:t xml:space="preserve">authorised representatives and use that status to control </w:t>
      </w:r>
      <w:r w:rsidR="006E691E">
        <w:t>the person experiencing DFV,</w:t>
      </w:r>
      <w:r w:rsidR="004A47A7">
        <w:t xml:space="preserve"> or </w:t>
      </w:r>
      <w:r w:rsidR="006E691E">
        <w:t xml:space="preserve">to </w:t>
      </w:r>
      <w:r w:rsidR="004A47A7">
        <w:t xml:space="preserve">commit </w:t>
      </w:r>
      <w:r w:rsidR="00315238">
        <w:t>financial abuse.</w:t>
      </w:r>
    </w:p>
    <w:p w14:paraId="6809C07E" w14:textId="561B8F61" w:rsidR="005C0849" w:rsidRDefault="007C70A2" w:rsidP="005B2BFB">
      <w:pPr>
        <w:jc w:val="both"/>
      </w:pPr>
      <w:r>
        <w:t xml:space="preserve">Using the example above, </w:t>
      </w:r>
      <w:r w:rsidR="00362729">
        <w:t>ACCAN recommends careful consideration and consultation</w:t>
      </w:r>
      <w:r>
        <w:t xml:space="preserve"> of </w:t>
      </w:r>
      <w:r w:rsidR="006C6746">
        <w:t xml:space="preserve">how authorised representatives and </w:t>
      </w:r>
      <w:r w:rsidR="00315238">
        <w:t xml:space="preserve">end users interact with </w:t>
      </w:r>
      <w:r w:rsidR="009D4D8D">
        <w:t>the CDR</w:t>
      </w:r>
      <w:r w:rsidR="006E691E">
        <w:t xml:space="preserve"> scheme</w:t>
      </w:r>
      <w:r w:rsidR="009D4D8D">
        <w:t>.</w:t>
      </w:r>
      <w:r w:rsidR="00523417">
        <w:t xml:space="preserve"> As ACCAN argues throughout this submission, CDR should only </w:t>
      </w:r>
      <w:r w:rsidR="00B608F7">
        <w:t>benefit</w:t>
      </w:r>
      <w:r w:rsidR="00523417">
        <w:t xml:space="preserve"> consumers and </w:t>
      </w:r>
      <w:r w:rsidR="000206C8">
        <w:t xml:space="preserve">as such, the data made available through this regime must </w:t>
      </w:r>
      <w:r w:rsidR="00523417">
        <w:t>not place them at greater risk of DFV.</w:t>
      </w:r>
    </w:p>
    <w:p w14:paraId="483A23A3" w14:textId="5433054A" w:rsidR="007A40DC" w:rsidRDefault="007A40DC" w:rsidP="006B5C79">
      <w:pPr>
        <w:pStyle w:val="Recommendation"/>
      </w:pPr>
      <w:r>
        <w:t xml:space="preserve">Given </w:t>
      </w:r>
      <w:r w:rsidR="006B5C79">
        <w:t xml:space="preserve">risks with account sharing, </w:t>
      </w:r>
      <w:r w:rsidRPr="007A40DC">
        <w:t>ACCAN recommends careful consideration and consultation of how authorised representatives and end users interact with the CDR scheme.</w:t>
      </w:r>
    </w:p>
    <w:p w14:paraId="592A8667" w14:textId="77777777" w:rsidR="005C0849" w:rsidRDefault="005C0849" w:rsidP="006C1AB0">
      <w:pPr>
        <w:pStyle w:val="QuestionQuote"/>
      </w:pPr>
      <w:r>
        <w:lastRenderedPageBreak/>
        <w:t xml:space="preserve">28. Should ‘offline customers’ (i.e. customers who do not have online access to the relevant account) be considered eligible CDR consumers? </w:t>
      </w:r>
    </w:p>
    <w:p w14:paraId="37B353E1" w14:textId="01631195" w:rsidR="005C0849" w:rsidRDefault="005C0849" w:rsidP="004002A4">
      <w:pPr>
        <w:jc w:val="both"/>
        <w:rPr>
          <w:lang w:eastAsia="en-US"/>
        </w:rPr>
      </w:pPr>
      <w:r>
        <w:rPr>
          <w:lang w:eastAsia="en-US"/>
        </w:rPr>
        <w:t>ACCAN fully supports all consumers having access to the benefits of CDR.</w:t>
      </w:r>
      <w:r w:rsidR="00701025">
        <w:rPr>
          <w:lang w:eastAsia="en-US"/>
        </w:rPr>
        <w:t xml:space="preserve"> ACCAN notes that </w:t>
      </w:r>
      <w:r w:rsidR="00B208F1">
        <w:rPr>
          <w:lang w:eastAsia="en-US"/>
        </w:rPr>
        <w:t xml:space="preserve">consumers </w:t>
      </w:r>
      <w:r w:rsidR="00A04567">
        <w:rPr>
          <w:lang w:eastAsia="en-US"/>
        </w:rPr>
        <w:t xml:space="preserve">who are offline may be those </w:t>
      </w:r>
      <w:r w:rsidR="002A27DE">
        <w:rPr>
          <w:lang w:eastAsia="en-US"/>
        </w:rPr>
        <w:t xml:space="preserve">who </w:t>
      </w:r>
      <w:r w:rsidR="00A04567">
        <w:rPr>
          <w:lang w:eastAsia="en-US"/>
        </w:rPr>
        <w:t>are able to benefit most from the comparison tools that the CDR may provide.</w:t>
      </w:r>
      <w:r>
        <w:rPr>
          <w:lang w:eastAsia="en-US"/>
        </w:rPr>
        <w:t xml:space="preserve"> We note that</w:t>
      </w:r>
      <w:r w:rsidR="0097247B">
        <w:rPr>
          <w:lang w:eastAsia="en-US"/>
        </w:rPr>
        <w:t xml:space="preserve"> </w:t>
      </w:r>
      <w:r w:rsidR="004A7D72">
        <w:rPr>
          <w:lang w:eastAsia="en-US"/>
        </w:rPr>
        <w:t>telecommunications</w:t>
      </w:r>
      <w:r w:rsidR="0097247B">
        <w:rPr>
          <w:lang w:eastAsia="en-US"/>
        </w:rPr>
        <w:t xml:space="preserve"> services</w:t>
      </w:r>
      <w:r w:rsidR="004A7D72">
        <w:rPr>
          <w:lang w:eastAsia="en-US"/>
        </w:rPr>
        <w:t xml:space="preserve"> may be sold in-store or over the phone</w:t>
      </w:r>
      <w:r w:rsidR="006003B2">
        <w:rPr>
          <w:lang w:eastAsia="en-US"/>
        </w:rPr>
        <w:t>. Not all telecommunications services,</w:t>
      </w:r>
      <w:r w:rsidR="004A7D72">
        <w:rPr>
          <w:lang w:eastAsia="en-US"/>
        </w:rPr>
        <w:t xml:space="preserve"> such as</w:t>
      </w:r>
      <w:r>
        <w:rPr>
          <w:lang w:eastAsia="en-US"/>
        </w:rPr>
        <w:t xml:space="preserve"> fixed voice services</w:t>
      </w:r>
      <w:r w:rsidR="004002A4">
        <w:rPr>
          <w:lang w:eastAsia="en-US"/>
        </w:rPr>
        <w:t>,</w:t>
      </w:r>
      <w:r>
        <w:rPr>
          <w:lang w:eastAsia="en-US"/>
        </w:rPr>
        <w:t xml:space="preserve"> </w:t>
      </w:r>
      <w:r w:rsidR="006003B2">
        <w:rPr>
          <w:lang w:eastAsia="en-US"/>
        </w:rPr>
        <w:t>provide</w:t>
      </w:r>
      <w:r>
        <w:rPr>
          <w:lang w:eastAsia="en-US"/>
        </w:rPr>
        <w:t xml:space="preserve"> consumers </w:t>
      </w:r>
      <w:r w:rsidR="00701025">
        <w:rPr>
          <w:lang w:eastAsia="en-US"/>
        </w:rPr>
        <w:t>with</w:t>
      </w:r>
      <w:r>
        <w:rPr>
          <w:lang w:eastAsia="en-US"/>
        </w:rPr>
        <w:t xml:space="preserve"> </w:t>
      </w:r>
      <w:r w:rsidR="00701025">
        <w:rPr>
          <w:lang w:eastAsia="en-US"/>
        </w:rPr>
        <w:t>internet</w:t>
      </w:r>
      <w:r>
        <w:rPr>
          <w:lang w:eastAsia="en-US"/>
        </w:rPr>
        <w:t xml:space="preserve"> access.</w:t>
      </w:r>
    </w:p>
    <w:p w14:paraId="75A5C0D1" w14:textId="77777777" w:rsidR="005C0849" w:rsidRDefault="005C0849" w:rsidP="006C1AB0">
      <w:pPr>
        <w:pStyle w:val="QuestionQuote"/>
      </w:pPr>
      <w:r>
        <w:t xml:space="preserve">30. Are the existing verification and authentication mechanisms in the telecommunications sector strong enough to protect primary and secondary users for CDR data sharing purposes? </w:t>
      </w:r>
    </w:p>
    <w:p w14:paraId="5F4448B5" w14:textId="77777777" w:rsidR="000F55C4" w:rsidRDefault="004A4D20" w:rsidP="005B2BFB">
      <w:pPr>
        <w:jc w:val="both"/>
        <w:rPr>
          <w:lang w:eastAsia="en-US"/>
        </w:rPr>
      </w:pPr>
      <w:r>
        <w:rPr>
          <w:lang w:eastAsia="en-US"/>
        </w:rPr>
        <w:t>ACCAN</w:t>
      </w:r>
      <w:r w:rsidR="00970553">
        <w:rPr>
          <w:lang w:eastAsia="en-US"/>
        </w:rPr>
        <w:t xml:space="preserve"> generally sup</w:t>
      </w:r>
      <w:r w:rsidR="00A22249">
        <w:rPr>
          <w:lang w:eastAsia="en-US"/>
        </w:rPr>
        <w:t xml:space="preserve">ports the existing </w:t>
      </w:r>
      <w:r w:rsidR="00F4698C">
        <w:rPr>
          <w:lang w:eastAsia="en-US"/>
        </w:rPr>
        <w:t>verification and authentication mechanisms in the telecommunications sector</w:t>
      </w:r>
      <w:r w:rsidR="00403FDC">
        <w:rPr>
          <w:lang w:eastAsia="en-US"/>
        </w:rPr>
        <w:t xml:space="preserve"> with qualifications that we have raised previously elsewhere.</w:t>
      </w:r>
      <w:r w:rsidR="00A05B98">
        <w:rPr>
          <w:lang w:eastAsia="en-US"/>
        </w:rPr>
        <w:t xml:space="preserve"> </w:t>
      </w:r>
    </w:p>
    <w:p w14:paraId="2967B8D0" w14:textId="1C78BF65" w:rsidR="008F497F" w:rsidRPr="005E2833" w:rsidRDefault="00920628" w:rsidP="005B2BFB">
      <w:pPr>
        <w:jc w:val="both"/>
        <w:rPr>
          <w:rFonts w:asciiTheme="minorHAnsi" w:eastAsia="Times New Roman" w:hAnsiTheme="minorHAnsi" w:cstheme="minorHAnsi"/>
        </w:rPr>
      </w:pPr>
      <w:r w:rsidRPr="005E2833">
        <w:rPr>
          <w:rFonts w:asciiTheme="minorHAnsi" w:hAnsiTheme="minorHAnsi" w:cstheme="minorHAnsi"/>
          <w:lang w:eastAsia="en-US"/>
        </w:rPr>
        <w:t xml:space="preserve">In a recent submission regarding </w:t>
      </w:r>
      <w:r w:rsidR="00434823" w:rsidRPr="005E2833">
        <w:rPr>
          <w:rFonts w:asciiTheme="minorHAnsi" w:hAnsiTheme="minorHAnsi" w:cstheme="minorHAnsi"/>
          <w:lang w:eastAsia="en-US"/>
        </w:rPr>
        <w:t xml:space="preserve">the </w:t>
      </w:r>
      <w:r w:rsidR="00434823" w:rsidRPr="005E2833">
        <w:rPr>
          <w:rStyle w:val="maintitle"/>
          <w:rFonts w:asciiTheme="minorHAnsi" w:hAnsiTheme="minorHAnsi" w:cstheme="minorHAnsi"/>
        </w:rPr>
        <w:t>ACMA</w:t>
      </w:r>
      <w:r w:rsidR="00434823" w:rsidRPr="005E2833">
        <w:rPr>
          <w:rFonts w:asciiTheme="minorHAnsi" w:hAnsiTheme="minorHAnsi" w:cstheme="minorHAnsi"/>
        </w:rPr>
        <w:t xml:space="preserve"> Customer ID Determination</w:t>
      </w:r>
      <w:r w:rsidR="000F6946" w:rsidRPr="005E2833">
        <w:rPr>
          <w:rFonts w:asciiTheme="minorHAnsi" w:hAnsiTheme="minorHAnsi" w:cstheme="minorHAnsi"/>
        </w:rPr>
        <w:t xml:space="preserve">, ACCAN </w:t>
      </w:r>
      <w:r w:rsidR="007D1CA1">
        <w:rPr>
          <w:rFonts w:asciiTheme="minorHAnsi" w:hAnsiTheme="minorHAnsi" w:cstheme="minorHAnsi"/>
        </w:rPr>
        <w:t>observed</w:t>
      </w:r>
      <w:r w:rsidR="000F6946" w:rsidRPr="005E2833">
        <w:rPr>
          <w:rFonts w:asciiTheme="minorHAnsi" w:hAnsiTheme="minorHAnsi" w:cstheme="minorHAnsi"/>
        </w:rPr>
        <w:t xml:space="preserve"> that</w:t>
      </w:r>
      <w:r w:rsidR="005761DA" w:rsidRPr="005E2833">
        <w:rPr>
          <w:rFonts w:asciiTheme="minorHAnsi" w:hAnsiTheme="minorHAnsi" w:cstheme="minorHAnsi"/>
        </w:rPr>
        <w:t xml:space="preserve"> </w:t>
      </w:r>
      <w:r w:rsidR="00A05B98" w:rsidRPr="005E2833">
        <w:rPr>
          <w:rFonts w:asciiTheme="minorHAnsi" w:hAnsiTheme="minorHAnsi" w:cstheme="minorHAnsi"/>
        </w:rPr>
        <w:t>“</w:t>
      </w:r>
      <w:r w:rsidR="005761DA" w:rsidRPr="005E2833">
        <w:rPr>
          <w:rFonts w:asciiTheme="minorHAnsi" w:hAnsiTheme="minorHAnsi" w:cstheme="minorHAnsi"/>
        </w:rPr>
        <w:t>telecommunications consumers have been placed at significant risk as a result of fraudulent activity conducted, without their knowledge or approval, on accounts they hold with telecommunications and other service providers”</w:t>
      </w:r>
      <w:r w:rsidR="00463B33">
        <w:rPr>
          <w:rFonts w:asciiTheme="minorHAnsi" w:hAnsiTheme="minorHAnsi" w:cstheme="minorHAnsi"/>
        </w:rPr>
        <w:t>.</w:t>
      </w:r>
      <w:r w:rsidR="0042788A" w:rsidRPr="005E2833">
        <w:rPr>
          <w:rStyle w:val="FootnoteReference"/>
          <w:rFonts w:asciiTheme="minorHAnsi" w:eastAsia="Times New Roman" w:hAnsiTheme="minorHAnsi" w:cstheme="minorHAnsi"/>
        </w:rPr>
        <w:footnoteReference w:id="15"/>
      </w:r>
      <w:r w:rsidR="005761DA" w:rsidRPr="005E2833">
        <w:rPr>
          <w:rFonts w:asciiTheme="minorHAnsi" w:hAnsiTheme="minorHAnsi" w:cstheme="minorHAnsi"/>
        </w:rPr>
        <w:t xml:space="preserve"> </w:t>
      </w:r>
      <w:r w:rsidR="000E2909" w:rsidRPr="005E2833">
        <w:rPr>
          <w:rFonts w:asciiTheme="minorHAnsi" w:hAnsiTheme="minorHAnsi" w:cstheme="minorHAnsi"/>
        </w:rPr>
        <w:t xml:space="preserve">The submission notes that </w:t>
      </w:r>
      <w:r w:rsidR="00B72617" w:rsidRPr="005E2833">
        <w:rPr>
          <w:rFonts w:asciiTheme="minorHAnsi" w:hAnsiTheme="minorHAnsi" w:cstheme="minorHAnsi"/>
        </w:rPr>
        <w:t>verification must be implemented carefully because</w:t>
      </w:r>
      <w:r w:rsidR="002D70B8" w:rsidRPr="005E2833">
        <w:rPr>
          <w:rFonts w:asciiTheme="minorHAnsi" w:hAnsiTheme="minorHAnsi" w:cstheme="minorHAnsi"/>
        </w:rPr>
        <w:t xml:space="preserve"> vulnerable </w:t>
      </w:r>
      <w:r w:rsidR="00F32CBD">
        <w:rPr>
          <w:rFonts w:asciiTheme="minorHAnsi" w:hAnsiTheme="minorHAnsi" w:cstheme="minorHAnsi"/>
        </w:rPr>
        <w:t>consumers</w:t>
      </w:r>
      <w:r w:rsidR="00F32CBD" w:rsidRPr="005E2833">
        <w:rPr>
          <w:rFonts w:asciiTheme="minorHAnsi" w:hAnsiTheme="minorHAnsi" w:cstheme="minorHAnsi"/>
        </w:rPr>
        <w:t xml:space="preserve"> </w:t>
      </w:r>
      <w:r w:rsidR="002D70B8" w:rsidRPr="005E2833">
        <w:rPr>
          <w:rFonts w:asciiTheme="minorHAnsi" w:hAnsiTheme="minorHAnsi" w:cstheme="minorHAnsi"/>
        </w:rPr>
        <w:t>are most at risk of fraud</w:t>
      </w:r>
      <w:r w:rsidR="00F24574" w:rsidRPr="005E2833">
        <w:rPr>
          <w:rFonts w:asciiTheme="minorHAnsi" w:hAnsiTheme="minorHAnsi" w:cstheme="minorHAnsi"/>
        </w:rPr>
        <w:t xml:space="preserve"> but are also more likely to face barriers from</w:t>
      </w:r>
      <w:r w:rsidR="00DE7B35" w:rsidRPr="005E2833">
        <w:rPr>
          <w:rFonts w:asciiTheme="minorHAnsi" w:hAnsiTheme="minorHAnsi" w:cstheme="minorHAnsi"/>
        </w:rPr>
        <w:t xml:space="preserve"> additional security mechanisms. </w:t>
      </w:r>
      <w:r w:rsidR="008F2EE5" w:rsidRPr="005E2833">
        <w:rPr>
          <w:rFonts w:asciiTheme="minorHAnsi" w:hAnsiTheme="minorHAnsi" w:cstheme="minorHAnsi"/>
        </w:rPr>
        <w:t xml:space="preserve">It </w:t>
      </w:r>
      <w:r w:rsidR="00892E53">
        <w:rPr>
          <w:rFonts w:asciiTheme="minorHAnsi" w:hAnsiTheme="minorHAnsi" w:cstheme="minorHAnsi"/>
        </w:rPr>
        <w:t>argues</w:t>
      </w:r>
      <w:r w:rsidR="008F2EE5" w:rsidRPr="005E2833">
        <w:rPr>
          <w:rFonts w:asciiTheme="minorHAnsi" w:hAnsiTheme="minorHAnsi" w:cstheme="minorHAnsi"/>
        </w:rPr>
        <w:t xml:space="preserve"> that authentication schemes must </w:t>
      </w:r>
      <w:r w:rsidR="0073235C" w:rsidRPr="005E2833">
        <w:rPr>
          <w:rFonts w:asciiTheme="minorHAnsi" w:hAnsiTheme="minorHAnsi" w:cstheme="minorHAnsi"/>
        </w:rPr>
        <w:t xml:space="preserve">be simple to use </w:t>
      </w:r>
      <w:r w:rsidR="00F04307" w:rsidRPr="005E2833">
        <w:rPr>
          <w:rFonts w:asciiTheme="minorHAnsi" w:hAnsiTheme="minorHAnsi" w:cstheme="minorHAnsi"/>
        </w:rPr>
        <w:t xml:space="preserve">and flexible </w:t>
      </w:r>
      <w:r w:rsidR="0073235C" w:rsidRPr="005E2833">
        <w:rPr>
          <w:rFonts w:asciiTheme="minorHAnsi" w:hAnsiTheme="minorHAnsi" w:cstheme="minorHAnsi"/>
        </w:rPr>
        <w:t xml:space="preserve">because some </w:t>
      </w:r>
      <w:r w:rsidR="00F24574" w:rsidRPr="005E2833">
        <w:rPr>
          <w:rFonts w:asciiTheme="minorHAnsi" w:eastAsia="Times New Roman" w:hAnsiTheme="minorHAnsi" w:cstheme="minorHAnsi"/>
        </w:rPr>
        <w:t>people, owing to disability, homelessness, cultural and linguistic barriers or</w:t>
      </w:r>
      <w:r w:rsidR="0073235C" w:rsidRPr="005E2833">
        <w:rPr>
          <w:rFonts w:asciiTheme="minorHAnsi" w:eastAsia="Times New Roman" w:hAnsiTheme="minorHAnsi" w:cstheme="minorHAnsi"/>
        </w:rPr>
        <w:t xml:space="preserve"> </w:t>
      </w:r>
      <w:r w:rsidR="00F24574" w:rsidRPr="005E2833">
        <w:rPr>
          <w:rFonts w:asciiTheme="minorHAnsi" w:eastAsia="Times New Roman" w:hAnsiTheme="minorHAnsi" w:cstheme="minorHAnsi"/>
        </w:rPr>
        <w:t>financial difficulty, conduct their telecommunications business by use of a third-party such as a legal</w:t>
      </w:r>
      <w:r w:rsidR="0073235C" w:rsidRPr="005E2833">
        <w:rPr>
          <w:rFonts w:asciiTheme="minorHAnsi" w:eastAsia="Times New Roman" w:hAnsiTheme="minorHAnsi" w:cstheme="minorHAnsi"/>
        </w:rPr>
        <w:t xml:space="preserve"> </w:t>
      </w:r>
      <w:r w:rsidR="00F24574" w:rsidRPr="005E2833">
        <w:rPr>
          <w:rFonts w:asciiTheme="minorHAnsi" w:eastAsia="Times New Roman" w:hAnsiTheme="minorHAnsi" w:cstheme="minorHAnsi"/>
        </w:rPr>
        <w:t>representative or financial counsello</w:t>
      </w:r>
      <w:r w:rsidR="0073235C" w:rsidRPr="005E2833">
        <w:rPr>
          <w:rFonts w:asciiTheme="minorHAnsi" w:eastAsia="Times New Roman" w:hAnsiTheme="minorHAnsi" w:cstheme="minorHAnsi"/>
        </w:rPr>
        <w:t>r</w:t>
      </w:r>
      <w:r w:rsidR="00F04307" w:rsidRPr="005E2833">
        <w:rPr>
          <w:rFonts w:asciiTheme="minorHAnsi" w:eastAsia="Times New Roman" w:hAnsiTheme="minorHAnsi" w:cstheme="minorHAnsi"/>
        </w:rPr>
        <w:t xml:space="preserve">. </w:t>
      </w:r>
      <w:r w:rsidR="0002693D" w:rsidRPr="005E2833">
        <w:rPr>
          <w:rFonts w:asciiTheme="minorHAnsi" w:eastAsia="Times New Roman" w:hAnsiTheme="minorHAnsi" w:cstheme="minorHAnsi"/>
        </w:rPr>
        <w:t xml:space="preserve">This flexibility must extend to </w:t>
      </w:r>
      <w:r w:rsidR="008F497F" w:rsidRPr="005E2833">
        <w:rPr>
          <w:rFonts w:asciiTheme="minorHAnsi" w:eastAsia="Times New Roman" w:hAnsiTheme="minorHAnsi" w:cstheme="minorHAnsi"/>
        </w:rPr>
        <w:t>sources of identification</w:t>
      </w:r>
      <w:r w:rsidR="00634A5B">
        <w:rPr>
          <w:rFonts w:asciiTheme="minorHAnsi" w:eastAsia="Times New Roman" w:hAnsiTheme="minorHAnsi" w:cstheme="minorHAnsi"/>
        </w:rPr>
        <w:t>,</w:t>
      </w:r>
      <w:r w:rsidR="003F770C" w:rsidRPr="005E2833">
        <w:rPr>
          <w:rFonts w:asciiTheme="minorHAnsi" w:eastAsia="Times New Roman" w:hAnsiTheme="minorHAnsi" w:cstheme="minorHAnsi"/>
        </w:rPr>
        <w:t xml:space="preserve"> and </w:t>
      </w:r>
      <w:r w:rsidR="003D7E02" w:rsidRPr="005E2833">
        <w:rPr>
          <w:rFonts w:asciiTheme="minorHAnsi" w:eastAsia="Times New Roman" w:hAnsiTheme="minorHAnsi" w:cstheme="minorHAnsi"/>
        </w:rPr>
        <w:t xml:space="preserve">consideration needs to be paid to </w:t>
      </w:r>
      <w:r w:rsidR="008F497F" w:rsidRPr="005E2833">
        <w:rPr>
          <w:rFonts w:asciiTheme="minorHAnsi" w:eastAsia="Times New Roman" w:hAnsiTheme="minorHAnsi" w:cstheme="minorHAnsi"/>
        </w:rPr>
        <w:t>people without drivers’ licences, birth certificates or fixed addresses.</w:t>
      </w:r>
    </w:p>
    <w:p w14:paraId="3E1EA6E4" w14:textId="10489E17" w:rsidR="009769AF" w:rsidRPr="005E2833" w:rsidRDefault="002F0AD6" w:rsidP="005B2BFB">
      <w:pPr>
        <w:jc w:val="both"/>
        <w:rPr>
          <w:rFonts w:asciiTheme="minorHAnsi" w:hAnsiTheme="minorHAnsi" w:cstheme="minorHAnsi"/>
          <w:lang w:eastAsia="en-US"/>
        </w:rPr>
      </w:pPr>
      <w:r w:rsidRPr="005E2833">
        <w:rPr>
          <w:rFonts w:asciiTheme="minorHAnsi" w:hAnsiTheme="minorHAnsi" w:cstheme="minorHAnsi"/>
          <w:lang w:eastAsia="en-US"/>
        </w:rPr>
        <w:t xml:space="preserve">However as mentioned previously regarding account structures, the </w:t>
      </w:r>
      <w:r w:rsidR="00912A0C">
        <w:rPr>
          <w:rFonts w:asciiTheme="minorHAnsi" w:hAnsiTheme="minorHAnsi" w:cstheme="minorHAnsi"/>
          <w:lang w:eastAsia="en-US"/>
        </w:rPr>
        <w:t xml:space="preserve">CDR </w:t>
      </w:r>
      <w:r w:rsidRPr="005E2833">
        <w:rPr>
          <w:rFonts w:asciiTheme="minorHAnsi" w:hAnsiTheme="minorHAnsi" w:cstheme="minorHAnsi"/>
          <w:lang w:eastAsia="en-US"/>
        </w:rPr>
        <w:t>scheme must be careful to pay due consideration to the abuse potential of verification and authentication mechanisms</w:t>
      </w:r>
      <w:r w:rsidR="00F66852">
        <w:rPr>
          <w:rFonts w:asciiTheme="minorHAnsi" w:hAnsiTheme="minorHAnsi" w:cstheme="minorHAnsi"/>
          <w:lang w:eastAsia="en-US"/>
        </w:rPr>
        <w:t>,</w:t>
      </w:r>
      <w:r w:rsidRPr="005E2833">
        <w:rPr>
          <w:rFonts w:asciiTheme="minorHAnsi" w:hAnsiTheme="minorHAnsi" w:cstheme="minorHAnsi"/>
          <w:lang w:eastAsia="en-US"/>
        </w:rPr>
        <w:t xml:space="preserve"> as </w:t>
      </w:r>
      <w:r w:rsidR="00F66852">
        <w:rPr>
          <w:rFonts w:asciiTheme="minorHAnsi" w:hAnsiTheme="minorHAnsi" w:cstheme="minorHAnsi"/>
          <w:lang w:eastAsia="en-US"/>
        </w:rPr>
        <w:t>noted</w:t>
      </w:r>
      <w:r w:rsidRPr="005E2833">
        <w:rPr>
          <w:rFonts w:asciiTheme="minorHAnsi" w:hAnsiTheme="minorHAnsi" w:cstheme="minorHAnsi"/>
          <w:lang w:eastAsia="en-US"/>
        </w:rPr>
        <w:t xml:space="preserve"> in the Communications Alliance </w:t>
      </w:r>
      <w:r w:rsidRPr="005E2833">
        <w:rPr>
          <w:rFonts w:asciiTheme="minorHAnsi" w:hAnsiTheme="minorHAnsi" w:cstheme="minorHAnsi"/>
          <w:i/>
          <w:iCs/>
          <w:lang w:eastAsia="en-US"/>
        </w:rPr>
        <w:t xml:space="preserve">Assisting Customers Experiencing Domestic </w:t>
      </w:r>
      <w:r w:rsidR="00C92B72" w:rsidRPr="005E2833">
        <w:rPr>
          <w:rFonts w:asciiTheme="minorHAnsi" w:hAnsiTheme="minorHAnsi" w:cstheme="minorHAnsi"/>
          <w:i/>
          <w:iCs/>
          <w:lang w:eastAsia="en-US"/>
        </w:rPr>
        <w:t>and</w:t>
      </w:r>
      <w:r w:rsidRPr="005E2833">
        <w:rPr>
          <w:rFonts w:asciiTheme="minorHAnsi" w:hAnsiTheme="minorHAnsi" w:cstheme="minorHAnsi"/>
          <w:i/>
          <w:iCs/>
          <w:lang w:eastAsia="en-US"/>
        </w:rPr>
        <w:t xml:space="preserve"> Family Violence Industry Guideline</w:t>
      </w:r>
      <w:r w:rsidRPr="005E2833">
        <w:rPr>
          <w:rFonts w:asciiTheme="minorHAnsi" w:hAnsiTheme="minorHAnsi" w:cstheme="minorHAnsi"/>
          <w:lang w:eastAsia="en-US"/>
        </w:rPr>
        <w:t>.</w:t>
      </w:r>
      <w:r w:rsidR="009769AF" w:rsidRPr="005E2833">
        <w:rPr>
          <w:rFonts w:asciiTheme="minorHAnsi" w:hAnsiTheme="minorHAnsi" w:cstheme="minorHAnsi"/>
          <w:lang w:eastAsia="en-US"/>
        </w:rPr>
        <w:t xml:space="preserve"> </w:t>
      </w:r>
      <w:r w:rsidR="00750F66" w:rsidRPr="005E2833">
        <w:rPr>
          <w:rFonts w:asciiTheme="minorHAnsi" w:hAnsiTheme="minorHAnsi" w:cstheme="minorHAnsi"/>
          <w:lang w:eastAsia="en-US"/>
        </w:rPr>
        <w:t xml:space="preserve">ACCAN continues to strongly </w:t>
      </w:r>
      <w:r w:rsidR="00097DC8" w:rsidRPr="005E2833">
        <w:rPr>
          <w:rFonts w:asciiTheme="minorHAnsi" w:hAnsiTheme="minorHAnsi" w:cstheme="minorHAnsi"/>
          <w:lang w:eastAsia="en-US"/>
        </w:rPr>
        <w:t>encourage</w:t>
      </w:r>
      <w:r w:rsidR="0085065C" w:rsidRPr="005E2833">
        <w:rPr>
          <w:rFonts w:asciiTheme="minorHAnsi" w:hAnsiTheme="minorHAnsi" w:cstheme="minorHAnsi"/>
          <w:lang w:eastAsia="en-US"/>
        </w:rPr>
        <w:t xml:space="preserve"> those developing </w:t>
      </w:r>
      <w:r w:rsidR="00DB41D9" w:rsidRPr="005E2833">
        <w:rPr>
          <w:rFonts w:asciiTheme="minorHAnsi" w:hAnsiTheme="minorHAnsi" w:cstheme="minorHAnsi"/>
          <w:lang w:eastAsia="en-US"/>
        </w:rPr>
        <w:t xml:space="preserve">authentication mechanisms to </w:t>
      </w:r>
      <w:r w:rsidR="009769AF" w:rsidRPr="005E2833">
        <w:rPr>
          <w:rFonts w:asciiTheme="minorHAnsi" w:hAnsiTheme="minorHAnsi" w:cstheme="minorHAnsi"/>
          <w:lang w:eastAsia="en-US"/>
        </w:rPr>
        <w:t xml:space="preserve">undertake targeted consultation with DFV experts to understand the possible impact of the </w:t>
      </w:r>
      <w:r w:rsidR="00626876" w:rsidRPr="005E2833">
        <w:rPr>
          <w:rFonts w:asciiTheme="minorHAnsi" w:hAnsiTheme="minorHAnsi" w:cstheme="minorHAnsi"/>
          <w:lang w:eastAsia="en-US"/>
        </w:rPr>
        <w:t>CDR</w:t>
      </w:r>
      <w:r w:rsidR="009769AF" w:rsidRPr="005E2833">
        <w:rPr>
          <w:rFonts w:asciiTheme="minorHAnsi" w:hAnsiTheme="minorHAnsi" w:cstheme="minorHAnsi"/>
          <w:lang w:eastAsia="en-US"/>
        </w:rPr>
        <w:t xml:space="preserve"> on </w:t>
      </w:r>
      <w:r w:rsidR="00136DBC">
        <w:rPr>
          <w:rFonts w:asciiTheme="minorHAnsi" w:hAnsiTheme="minorHAnsi" w:cstheme="minorHAnsi"/>
          <w:lang w:eastAsia="en-US"/>
        </w:rPr>
        <w:t xml:space="preserve">DFV </w:t>
      </w:r>
      <w:r w:rsidR="009769AF" w:rsidRPr="005E2833">
        <w:rPr>
          <w:rFonts w:asciiTheme="minorHAnsi" w:hAnsiTheme="minorHAnsi" w:cstheme="minorHAnsi"/>
          <w:lang w:eastAsia="en-US"/>
        </w:rPr>
        <w:t>survivors</w:t>
      </w:r>
      <w:r w:rsidR="00136DBC">
        <w:rPr>
          <w:rFonts w:asciiTheme="minorHAnsi" w:hAnsiTheme="minorHAnsi" w:cstheme="minorHAnsi"/>
          <w:lang w:eastAsia="en-US"/>
        </w:rPr>
        <w:t>.</w:t>
      </w:r>
      <w:r w:rsidR="00252AD3">
        <w:rPr>
          <w:rFonts w:asciiTheme="minorHAnsi" w:hAnsiTheme="minorHAnsi" w:cstheme="minorHAnsi"/>
          <w:vertAlign w:val="superscript"/>
          <w:lang w:eastAsia="en-US"/>
        </w:rPr>
        <w:t>11</w:t>
      </w:r>
      <w:r w:rsidR="009769AF" w:rsidRPr="005E2833">
        <w:rPr>
          <w:rFonts w:asciiTheme="minorHAnsi" w:hAnsiTheme="minorHAnsi" w:cstheme="minorHAnsi"/>
          <w:lang w:eastAsia="en-US"/>
        </w:rPr>
        <w:t xml:space="preserve"> It may be appropriate that </w:t>
      </w:r>
      <w:r w:rsidR="00F14728">
        <w:rPr>
          <w:rFonts w:asciiTheme="minorHAnsi" w:hAnsiTheme="minorHAnsi" w:cstheme="minorHAnsi"/>
          <w:lang w:eastAsia="en-US"/>
        </w:rPr>
        <w:t xml:space="preserve">the </w:t>
      </w:r>
      <w:r w:rsidR="00C32084" w:rsidRPr="005E2833">
        <w:rPr>
          <w:rFonts w:asciiTheme="minorHAnsi" w:hAnsiTheme="minorHAnsi" w:cstheme="minorHAnsi"/>
          <w:lang w:eastAsia="en-US"/>
        </w:rPr>
        <w:t>CDR</w:t>
      </w:r>
      <w:r w:rsidR="009769AF" w:rsidRPr="005E2833">
        <w:rPr>
          <w:rFonts w:asciiTheme="minorHAnsi" w:hAnsiTheme="minorHAnsi" w:cstheme="minorHAnsi"/>
          <w:lang w:eastAsia="en-US"/>
        </w:rPr>
        <w:t xml:space="preserve"> process</w:t>
      </w:r>
      <w:r w:rsidR="00C32084" w:rsidRPr="005E2833">
        <w:rPr>
          <w:rFonts w:asciiTheme="minorHAnsi" w:hAnsiTheme="minorHAnsi" w:cstheme="minorHAnsi"/>
          <w:lang w:eastAsia="en-US"/>
        </w:rPr>
        <w:t xml:space="preserve"> sets out </w:t>
      </w:r>
      <w:r w:rsidR="005E2833" w:rsidRPr="005E2833">
        <w:rPr>
          <w:rFonts w:asciiTheme="minorHAnsi" w:hAnsiTheme="minorHAnsi" w:cstheme="minorHAnsi"/>
          <w:lang w:eastAsia="en-US"/>
        </w:rPr>
        <w:t>separate authentication channels</w:t>
      </w:r>
      <w:r w:rsidR="009769AF" w:rsidRPr="005E2833">
        <w:rPr>
          <w:rFonts w:asciiTheme="minorHAnsi" w:hAnsiTheme="minorHAnsi" w:cstheme="minorHAnsi"/>
          <w:lang w:eastAsia="en-US"/>
        </w:rPr>
        <w:t xml:space="preserve"> for consumers who self-identify as experiencing DFV.</w:t>
      </w:r>
    </w:p>
    <w:p w14:paraId="0A152FF8" w14:textId="77777777" w:rsidR="006C1AB0" w:rsidRDefault="006C1AB0" w:rsidP="006C1AB0">
      <w:pPr>
        <w:pStyle w:val="QuestionQuote"/>
      </w:pPr>
      <w:r>
        <w:t xml:space="preserve">32. Do you have any feedback or further considerations specific to the telecommunications sector in relation to consumer dashboards? </w:t>
      </w:r>
    </w:p>
    <w:p w14:paraId="3336718C" w14:textId="0A45E492" w:rsidR="00A03BF7" w:rsidRDefault="00504451" w:rsidP="005B2BFB">
      <w:pPr>
        <w:jc w:val="both"/>
        <w:rPr>
          <w:lang w:eastAsia="en-US"/>
        </w:rPr>
      </w:pPr>
      <w:r>
        <w:rPr>
          <w:lang w:eastAsia="en-US"/>
        </w:rPr>
        <w:t xml:space="preserve">ACCAN </w:t>
      </w:r>
      <w:r w:rsidR="00AC1096">
        <w:rPr>
          <w:lang w:eastAsia="en-US"/>
        </w:rPr>
        <w:t>notes that consumer</w:t>
      </w:r>
      <w:r w:rsidR="006C1AB0">
        <w:rPr>
          <w:lang w:eastAsia="en-US"/>
        </w:rPr>
        <w:t xml:space="preserve"> dashboard</w:t>
      </w:r>
      <w:r w:rsidR="00AC1096">
        <w:rPr>
          <w:lang w:eastAsia="en-US"/>
        </w:rPr>
        <w:t>s</w:t>
      </w:r>
      <w:r w:rsidR="006C1AB0">
        <w:rPr>
          <w:lang w:eastAsia="en-US"/>
        </w:rPr>
        <w:t xml:space="preserve"> </w:t>
      </w:r>
      <w:r w:rsidR="00AC1096">
        <w:rPr>
          <w:lang w:eastAsia="en-US"/>
        </w:rPr>
        <w:t>must</w:t>
      </w:r>
      <w:r w:rsidR="006C1AB0">
        <w:rPr>
          <w:lang w:eastAsia="en-US"/>
        </w:rPr>
        <w:t xml:space="preserve"> </w:t>
      </w:r>
      <w:r w:rsidR="00390AD2">
        <w:rPr>
          <w:lang w:eastAsia="en-US"/>
        </w:rPr>
        <w:t xml:space="preserve">be accessible for all consumers and </w:t>
      </w:r>
      <w:r w:rsidR="00C72D41">
        <w:rPr>
          <w:lang w:eastAsia="en-US"/>
        </w:rPr>
        <w:t>easy to use</w:t>
      </w:r>
      <w:r w:rsidR="006C1AB0">
        <w:rPr>
          <w:lang w:eastAsia="en-US"/>
        </w:rPr>
        <w:t>.</w:t>
      </w:r>
      <w:r w:rsidR="00AC1096">
        <w:rPr>
          <w:lang w:eastAsia="en-US"/>
        </w:rPr>
        <w:t xml:space="preserve"> </w:t>
      </w:r>
      <w:r w:rsidR="007B5123">
        <w:rPr>
          <w:lang w:eastAsia="en-US"/>
        </w:rPr>
        <w:t>A</w:t>
      </w:r>
      <w:r w:rsidR="003B0703" w:rsidRPr="003B0703">
        <w:rPr>
          <w:lang w:eastAsia="en-US"/>
        </w:rPr>
        <w:t xml:space="preserve">ll signatories to the </w:t>
      </w:r>
      <w:r w:rsidR="003B0703" w:rsidRPr="00672941">
        <w:rPr>
          <w:i/>
          <w:iCs/>
          <w:lang w:eastAsia="en-US"/>
        </w:rPr>
        <w:t>Telecommunications Consumer Protections</w:t>
      </w:r>
      <w:r w:rsidR="003F06AF">
        <w:rPr>
          <w:i/>
          <w:iCs/>
          <w:lang w:eastAsia="en-US"/>
        </w:rPr>
        <w:t xml:space="preserve"> </w:t>
      </w:r>
      <w:r w:rsidR="003F06AF" w:rsidRPr="003F06AF">
        <w:rPr>
          <w:lang w:eastAsia="en-US"/>
        </w:rPr>
        <w:t>(TCP)</w:t>
      </w:r>
      <w:r w:rsidR="003B0703" w:rsidRPr="003B0703">
        <w:rPr>
          <w:lang w:eastAsia="en-US"/>
        </w:rPr>
        <w:t xml:space="preserve"> </w:t>
      </w:r>
      <w:r w:rsidR="00F14728" w:rsidRPr="003F06AF">
        <w:rPr>
          <w:i/>
          <w:iCs/>
          <w:lang w:eastAsia="en-US"/>
        </w:rPr>
        <w:t>C</w:t>
      </w:r>
      <w:r w:rsidR="003B0703" w:rsidRPr="003F06AF">
        <w:rPr>
          <w:i/>
          <w:iCs/>
          <w:lang w:eastAsia="en-US"/>
        </w:rPr>
        <w:t>ode</w:t>
      </w:r>
      <w:r w:rsidR="003B0703" w:rsidRPr="003B0703">
        <w:rPr>
          <w:lang w:eastAsia="en-US"/>
        </w:rPr>
        <w:t xml:space="preserve"> must already “communicate with a Consumer in a way that is appropriate to the Consumer’s communications needs, including Consumers with a disability”</w:t>
      </w:r>
      <w:r w:rsidR="00103BC9">
        <w:rPr>
          <w:lang w:eastAsia="en-US"/>
        </w:rPr>
        <w:t>.</w:t>
      </w:r>
      <w:r w:rsidR="0040443D">
        <w:rPr>
          <w:rStyle w:val="FootnoteReference"/>
          <w:lang w:eastAsia="en-US"/>
        </w:rPr>
        <w:footnoteReference w:id="16"/>
      </w:r>
      <w:r w:rsidR="00A03BF7" w:rsidRPr="00A03BF7">
        <w:rPr>
          <w:lang w:eastAsia="en-US"/>
        </w:rPr>
        <w:t xml:space="preserve"> The TCP </w:t>
      </w:r>
      <w:r w:rsidR="00B720A7">
        <w:rPr>
          <w:lang w:eastAsia="en-US"/>
        </w:rPr>
        <w:t>C</w:t>
      </w:r>
      <w:r w:rsidR="00A03BF7" w:rsidRPr="00A03BF7">
        <w:rPr>
          <w:lang w:eastAsia="en-US"/>
        </w:rPr>
        <w:t xml:space="preserve">ode also states that suppliers must </w:t>
      </w:r>
      <w:r w:rsidR="00B720A7">
        <w:rPr>
          <w:lang w:eastAsia="en-US"/>
        </w:rPr>
        <w:t xml:space="preserve">have </w:t>
      </w:r>
      <w:r w:rsidR="00A03BF7" w:rsidRPr="00A03BF7">
        <w:rPr>
          <w:lang w:eastAsia="en-US"/>
        </w:rPr>
        <w:t>regard</w:t>
      </w:r>
      <w:r w:rsidR="00B720A7">
        <w:rPr>
          <w:lang w:eastAsia="en-US"/>
        </w:rPr>
        <w:t xml:space="preserve"> to</w:t>
      </w:r>
      <w:r w:rsidR="00A03BF7" w:rsidRPr="00A03BF7">
        <w:rPr>
          <w:lang w:eastAsia="en-US"/>
        </w:rPr>
        <w:t xml:space="preserve"> “Web Content Accessibility Guidelines, developed by the World Wide Web Consortium (W3C)” for web resources.</w:t>
      </w:r>
      <w:r w:rsidR="008A6416">
        <w:rPr>
          <w:lang w:eastAsia="en-US"/>
        </w:rPr>
        <w:t xml:space="preserve"> ACCAN recommends that the CDR</w:t>
      </w:r>
      <w:r w:rsidR="00803510">
        <w:rPr>
          <w:lang w:eastAsia="en-US"/>
        </w:rPr>
        <w:t xml:space="preserve"> extend the same accessibility mandates outlined in the </w:t>
      </w:r>
      <w:r w:rsidR="003F06AF">
        <w:rPr>
          <w:lang w:eastAsia="en-US"/>
        </w:rPr>
        <w:t>TCP Code.</w:t>
      </w:r>
    </w:p>
    <w:p w14:paraId="0877D659" w14:textId="387AD326" w:rsidR="00703E1C" w:rsidRDefault="0063305B" w:rsidP="00703E1C">
      <w:pPr>
        <w:pStyle w:val="Heading2"/>
      </w:pPr>
      <w:bookmarkStart w:id="14" w:name="_Toc100060989"/>
      <w:r>
        <w:lastRenderedPageBreak/>
        <w:t xml:space="preserve">2.3 </w:t>
      </w:r>
      <w:r w:rsidR="00B00935">
        <w:t>Other design issues for the telecommunications sector</w:t>
      </w:r>
      <w:bookmarkEnd w:id="14"/>
    </w:p>
    <w:p w14:paraId="7866D4FE" w14:textId="77777777" w:rsidR="006C1AB0" w:rsidRDefault="006C1AB0" w:rsidP="006C1AB0">
      <w:pPr>
        <w:pStyle w:val="QuestionQuote"/>
      </w:pPr>
      <w:r>
        <w:t xml:space="preserve">33. Does the cross-sectoral approach to white labelling as outlined in this paper suit the telecommunications sector? Why/why not? </w:t>
      </w:r>
    </w:p>
    <w:p w14:paraId="62CB7486" w14:textId="6D0C635A" w:rsidR="00AD5E73" w:rsidRDefault="00AD5E73" w:rsidP="006C1AB0">
      <w:pPr>
        <w:pStyle w:val="QuestionQuote"/>
      </w:pPr>
      <w:r w:rsidRPr="00AD5E73">
        <w:t>34. If all brand owners are carriers or CSPs who have the contractual relationship with the consumer, are white labelling rules required for the telecommunications sector?</w:t>
      </w:r>
    </w:p>
    <w:p w14:paraId="5E458562" w14:textId="09A78201" w:rsidR="006C1AB0" w:rsidRDefault="00F16CE4" w:rsidP="005B2BFB">
      <w:pPr>
        <w:jc w:val="both"/>
        <w:rPr>
          <w:lang w:eastAsia="en-US"/>
        </w:rPr>
      </w:pPr>
      <w:r>
        <w:rPr>
          <w:lang w:eastAsia="en-US"/>
        </w:rPr>
        <w:t xml:space="preserve">ACCAN supports </w:t>
      </w:r>
      <w:r w:rsidR="00D928E3">
        <w:rPr>
          <w:lang w:eastAsia="en-US"/>
        </w:rPr>
        <w:t xml:space="preserve">the existing arrangement that </w:t>
      </w:r>
      <w:r w:rsidR="004F1546">
        <w:rPr>
          <w:lang w:eastAsia="en-US"/>
        </w:rPr>
        <w:t xml:space="preserve">the CSP that has the contractual relationship </w:t>
      </w:r>
      <w:r w:rsidR="002729CF">
        <w:rPr>
          <w:lang w:eastAsia="en-US"/>
        </w:rPr>
        <w:t xml:space="preserve">with the consumer </w:t>
      </w:r>
      <w:r w:rsidR="00E01295">
        <w:rPr>
          <w:lang w:eastAsia="en-US"/>
        </w:rPr>
        <w:t xml:space="preserve">is considered responsible for </w:t>
      </w:r>
      <w:r w:rsidR="004B5BD2">
        <w:rPr>
          <w:lang w:eastAsia="en-US"/>
        </w:rPr>
        <w:t>providing product and consumer data.</w:t>
      </w:r>
      <w:r w:rsidR="00F366D5">
        <w:rPr>
          <w:lang w:eastAsia="en-US"/>
        </w:rPr>
        <w:t xml:space="preserve"> However</w:t>
      </w:r>
      <w:r w:rsidR="00351876">
        <w:rPr>
          <w:lang w:eastAsia="en-US"/>
        </w:rPr>
        <w:t>,</w:t>
      </w:r>
      <w:r w:rsidR="00F366D5">
        <w:rPr>
          <w:lang w:eastAsia="en-US"/>
        </w:rPr>
        <w:t xml:space="preserve"> ACCAN requests further clarification a</w:t>
      </w:r>
      <w:r w:rsidR="00E25EF0">
        <w:rPr>
          <w:lang w:eastAsia="en-US"/>
        </w:rPr>
        <w:t xml:space="preserve">bout provisions where data holders may </w:t>
      </w:r>
      <w:r w:rsidR="008D5CD4">
        <w:rPr>
          <w:lang w:eastAsia="en-US"/>
        </w:rPr>
        <w:t xml:space="preserve">enter agreements with customers </w:t>
      </w:r>
      <w:r w:rsidR="004201CA">
        <w:rPr>
          <w:lang w:eastAsia="en-US"/>
        </w:rPr>
        <w:t xml:space="preserve">to shift the obligation </w:t>
      </w:r>
      <w:r w:rsidR="00CB577F">
        <w:rPr>
          <w:lang w:eastAsia="en-US"/>
        </w:rPr>
        <w:t>of providing product or consumer information to</w:t>
      </w:r>
      <w:r w:rsidR="004201CA">
        <w:rPr>
          <w:lang w:eastAsia="en-US"/>
        </w:rPr>
        <w:t xml:space="preserve"> the white label data holder</w:t>
      </w:r>
      <w:r w:rsidR="00CB577F">
        <w:rPr>
          <w:lang w:eastAsia="en-US"/>
        </w:rPr>
        <w:t>. ACCAN</w:t>
      </w:r>
      <w:r w:rsidR="00D74475">
        <w:rPr>
          <w:lang w:eastAsia="en-US"/>
        </w:rPr>
        <w:t xml:space="preserve"> </w:t>
      </w:r>
      <w:r w:rsidR="00945C88">
        <w:rPr>
          <w:lang w:eastAsia="en-US"/>
        </w:rPr>
        <w:t xml:space="preserve">has concerns that these arrangements might be used to obfuscate </w:t>
      </w:r>
      <w:r w:rsidR="003C2832">
        <w:rPr>
          <w:lang w:eastAsia="en-US"/>
        </w:rPr>
        <w:t>who is responsible for discharging CDR obligations on behalf of a customer.</w:t>
      </w:r>
    </w:p>
    <w:p w14:paraId="2C1ADABE" w14:textId="77777777" w:rsidR="006C1AB0" w:rsidRDefault="006C1AB0" w:rsidP="006C1AB0">
      <w:pPr>
        <w:pStyle w:val="QuestionQuote"/>
      </w:pPr>
      <w:r>
        <w:t xml:space="preserve">35. For internal dispute resolution, should existing sector-specific IDR provisions (such as the Complaints Handling Standard) be leveraged for data holders who become ADRs sharing telecommunications data? </w:t>
      </w:r>
    </w:p>
    <w:p w14:paraId="2947796E" w14:textId="2E078184" w:rsidR="006C1AB0" w:rsidRDefault="00C20AC6" w:rsidP="005B2BFB">
      <w:pPr>
        <w:jc w:val="both"/>
        <w:rPr>
          <w:lang w:eastAsia="en-US"/>
        </w:rPr>
      </w:pPr>
      <w:r>
        <w:rPr>
          <w:lang w:eastAsia="en-US"/>
        </w:rPr>
        <w:t xml:space="preserve">ACCAN supports </w:t>
      </w:r>
      <w:r w:rsidR="006567AD">
        <w:rPr>
          <w:lang w:eastAsia="en-US"/>
        </w:rPr>
        <w:t xml:space="preserve">the application of </w:t>
      </w:r>
      <w:r w:rsidR="00D502E0">
        <w:rPr>
          <w:lang w:eastAsia="en-US"/>
        </w:rPr>
        <w:t xml:space="preserve">the </w:t>
      </w:r>
      <w:r w:rsidR="00D502E0" w:rsidRPr="00715BDE">
        <w:rPr>
          <w:i/>
          <w:iCs/>
          <w:lang w:eastAsia="en-US"/>
        </w:rPr>
        <w:t xml:space="preserve">Telecommunications (Consumer Complaints Handling) Industry Standard </w:t>
      </w:r>
      <w:r w:rsidR="00D502E0" w:rsidRPr="00D502E0">
        <w:rPr>
          <w:lang w:eastAsia="en-US"/>
        </w:rPr>
        <w:t>2018</w:t>
      </w:r>
      <w:r w:rsidR="005E2F73">
        <w:rPr>
          <w:lang w:eastAsia="en-US"/>
        </w:rPr>
        <w:t xml:space="preserve"> and the </w:t>
      </w:r>
      <w:r w:rsidR="005E2F73" w:rsidRPr="00715BDE">
        <w:rPr>
          <w:i/>
          <w:iCs/>
          <w:lang w:eastAsia="en-US"/>
        </w:rPr>
        <w:t>Telecommunications (Consumer Complaints) Record-Keeping Rules</w:t>
      </w:r>
      <w:r w:rsidR="005E2F73" w:rsidRPr="005E2F73">
        <w:rPr>
          <w:lang w:eastAsia="en-US"/>
        </w:rPr>
        <w:t xml:space="preserve"> 2018</w:t>
      </w:r>
      <w:r w:rsidR="00D502E0">
        <w:rPr>
          <w:lang w:eastAsia="en-US"/>
        </w:rPr>
        <w:t xml:space="preserve"> to accredited data holders (ADRs)</w:t>
      </w:r>
      <w:r w:rsidR="000C3020">
        <w:rPr>
          <w:lang w:eastAsia="en-US"/>
        </w:rPr>
        <w:t xml:space="preserve"> as a starting point to ensur</w:t>
      </w:r>
      <w:r w:rsidR="003F717E">
        <w:rPr>
          <w:lang w:eastAsia="en-US"/>
        </w:rPr>
        <w:t>e</w:t>
      </w:r>
      <w:r w:rsidR="000C3020">
        <w:rPr>
          <w:lang w:eastAsia="en-US"/>
        </w:rPr>
        <w:t xml:space="preserve"> that </w:t>
      </w:r>
      <w:r w:rsidR="00FD2730">
        <w:rPr>
          <w:lang w:eastAsia="en-US"/>
        </w:rPr>
        <w:t xml:space="preserve">complaint </w:t>
      </w:r>
      <w:r w:rsidR="00BA6303">
        <w:rPr>
          <w:lang w:eastAsia="en-US"/>
        </w:rPr>
        <w:t>handling</w:t>
      </w:r>
      <w:r w:rsidR="009855DE">
        <w:rPr>
          <w:lang w:eastAsia="en-US"/>
        </w:rPr>
        <w:t xml:space="preserve"> and </w:t>
      </w:r>
      <w:r w:rsidR="00FD2730">
        <w:rPr>
          <w:lang w:eastAsia="en-US"/>
        </w:rPr>
        <w:t xml:space="preserve">resolution is </w:t>
      </w:r>
      <w:r w:rsidR="00EF6257">
        <w:rPr>
          <w:lang w:eastAsia="en-US"/>
        </w:rPr>
        <w:t>fast and simple to use for consumers.</w:t>
      </w:r>
      <w:r w:rsidR="00F731CE">
        <w:rPr>
          <w:lang w:eastAsia="en-US"/>
        </w:rPr>
        <w:t xml:space="preserve"> As ACCAN has previously submitted</w:t>
      </w:r>
      <w:r w:rsidR="00C75049">
        <w:rPr>
          <w:lang w:eastAsia="en-US"/>
        </w:rPr>
        <w:t xml:space="preserve">, there is room for improvement </w:t>
      </w:r>
      <w:r w:rsidR="000E403C">
        <w:rPr>
          <w:lang w:eastAsia="en-US"/>
        </w:rPr>
        <w:t>with the ex</w:t>
      </w:r>
      <w:r w:rsidR="00961684">
        <w:rPr>
          <w:lang w:eastAsia="en-US"/>
        </w:rPr>
        <w:t>isting complaints handing processes</w:t>
      </w:r>
      <w:r w:rsidR="00230B2E">
        <w:rPr>
          <w:lang w:eastAsia="en-US"/>
        </w:rPr>
        <w:t xml:space="preserve"> </w:t>
      </w:r>
      <w:r w:rsidR="003773E0">
        <w:rPr>
          <w:lang w:eastAsia="en-US"/>
        </w:rPr>
        <w:t>to reflect the needs and expectations of today’s consumers</w:t>
      </w:r>
      <w:r w:rsidR="00C814A8">
        <w:rPr>
          <w:lang w:eastAsia="en-US"/>
        </w:rPr>
        <w:t>.</w:t>
      </w:r>
      <w:r w:rsidR="003773E0">
        <w:rPr>
          <w:rStyle w:val="FootnoteReference"/>
          <w:lang w:eastAsia="en-US"/>
        </w:rPr>
        <w:footnoteReference w:id="17"/>
      </w:r>
    </w:p>
    <w:p w14:paraId="360A373F" w14:textId="77777777" w:rsidR="006C1AB0" w:rsidRDefault="006C1AB0" w:rsidP="006C1AB0">
      <w:pPr>
        <w:pStyle w:val="QuestionQuote"/>
      </w:pPr>
      <w:r>
        <w:t xml:space="preserve">38. Would you support a phased approach to the application of CDR obligations for the telecommunications sector? Why/why not? If you support a phased approach, how should it be phased? </w:t>
      </w:r>
    </w:p>
    <w:p w14:paraId="3F4BAB5E" w14:textId="17D97FD7" w:rsidR="006C1AB0" w:rsidRPr="00703E1C" w:rsidRDefault="006C1AB0" w:rsidP="005B2BFB">
      <w:pPr>
        <w:jc w:val="both"/>
        <w:rPr>
          <w:lang w:eastAsia="en-US"/>
        </w:rPr>
      </w:pPr>
      <w:r>
        <w:rPr>
          <w:lang w:eastAsia="en-US"/>
        </w:rPr>
        <w:t xml:space="preserve">ACCAN recommends that </w:t>
      </w:r>
      <w:r w:rsidR="00D07225">
        <w:rPr>
          <w:lang w:eastAsia="en-US"/>
        </w:rPr>
        <w:t>both product and consumer data</w:t>
      </w:r>
      <w:r>
        <w:rPr>
          <w:lang w:eastAsia="en-US"/>
        </w:rPr>
        <w:t xml:space="preserve"> CDR obligations be applied to all </w:t>
      </w:r>
      <w:r w:rsidR="000F5F3A">
        <w:rPr>
          <w:lang w:eastAsia="en-US"/>
        </w:rPr>
        <w:t xml:space="preserve">CSPs </w:t>
      </w:r>
      <w:r>
        <w:rPr>
          <w:lang w:eastAsia="en-US"/>
        </w:rPr>
        <w:t>simultaneously</w:t>
      </w:r>
      <w:r w:rsidR="008713B3">
        <w:rPr>
          <w:lang w:eastAsia="en-US"/>
        </w:rPr>
        <w:t>.</w:t>
      </w:r>
      <w:r w:rsidR="00365A23">
        <w:rPr>
          <w:lang w:eastAsia="en-US"/>
        </w:rPr>
        <w:t xml:space="preserve"> As discussed</w:t>
      </w:r>
      <w:r w:rsidR="003200E6">
        <w:rPr>
          <w:lang w:eastAsia="en-US"/>
        </w:rPr>
        <w:t xml:space="preserve"> earlier in relation to question one, </w:t>
      </w:r>
      <w:r w:rsidR="007C4332">
        <w:rPr>
          <w:lang w:eastAsia="en-US"/>
        </w:rPr>
        <w:t xml:space="preserve">ACCAN believes that </w:t>
      </w:r>
      <w:r w:rsidR="00E96457">
        <w:rPr>
          <w:lang w:eastAsia="en-US"/>
        </w:rPr>
        <w:t xml:space="preserve">including the greatest number of providers in the scheme will help </w:t>
      </w:r>
      <w:r w:rsidR="00981F19">
        <w:rPr>
          <w:lang w:eastAsia="en-US"/>
        </w:rPr>
        <w:t xml:space="preserve">consumers find services that best meet their needs. </w:t>
      </w:r>
      <w:r w:rsidR="00FC30C1">
        <w:rPr>
          <w:lang w:eastAsia="en-US"/>
        </w:rPr>
        <w:t xml:space="preserve">Excluding smaller providers risks not just reducing choice for consumers </w:t>
      </w:r>
      <w:r w:rsidR="008B5E01">
        <w:rPr>
          <w:lang w:eastAsia="en-US"/>
        </w:rPr>
        <w:t xml:space="preserve">but also </w:t>
      </w:r>
      <w:r w:rsidR="00920902">
        <w:rPr>
          <w:lang w:eastAsia="en-US"/>
        </w:rPr>
        <w:t>providing discoverability advantages to larger players that are included in comparison tools.</w:t>
      </w:r>
    </w:p>
    <w:sectPr w:rsidR="006C1AB0" w:rsidRPr="00703E1C" w:rsidSect="00A13B92">
      <w:headerReference w:type="default"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E89A" w14:textId="77777777" w:rsidR="00BF11D1" w:rsidRDefault="00BF11D1" w:rsidP="00B14DFB">
      <w:r>
        <w:separator/>
      </w:r>
    </w:p>
  </w:endnote>
  <w:endnote w:type="continuationSeparator" w:id="0">
    <w:p w14:paraId="1E6E12BB" w14:textId="77777777" w:rsidR="00BF11D1" w:rsidRDefault="00BF11D1" w:rsidP="00B14DFB">
      <w:r>
        <w:continuationSeparator/>
      </w:r>
    </w:p>
  </w:endnote>
  <w:endnote w:type="continuationNotice" w:id="1">
    <w:p w14:paraId="1C4FEB15" w14:textId="77777777" w:rsidR="00BF11D1" w:rsidRDefault="00BF11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695B"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6F779D79"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CC97" w14:textId="77777777" w:rsidR="00A13B92" w:rsidRDefault="00A13B92" w:rsidP="00A13B92">
    <w:pPr>
      <w:pStyle w:val="Footerpage1"/>
    </w:pPr>
    <w:r w:rsidRPr="004A0B0A">
      <w:rPr>
        <w:color w:val="44C8F5"/>
      </w:rPr>
      <w:t>Australian Communications Consumer Action Network (ACCAN)</w:t>
    </w:r>
  </w:p>
  <w:p w14:paraId="2E10A3BC" w14:textId="77777777" w:rsidR="00A13B92" w:rsidRDefault="00A13B92" w:rsidP="00A13B92">
    <w:pPr>
      <w:pStyle w:val="Footerpage1"/>
      <w:rPr>
        <w:i/>
      </w:rPr>
    </w:pPr>
    <w:r w:rsidRPr="004A0B0A">
      <w:rPr>
        <w:i/>
        <w:color w:val="44C8F5"/>
      </w:rPr>
      <w:t>Australia’s peak telecommunications consumer organisation</w:t>
    </w:r>
  </w:p>
  <w:p w14:paraId="4F6625D5" w14:textId="77777777" w:rsidR="00A13B92" w:rsidRDefault="00A13B92" w:rsidP="00A13B92">
    <w:pPr>
      <w:pStyle w:val="Footerpage1"/>
    </w:pPr>
    <w:r w:rsidRPr="008E763A">
      <w:rPr>
        <w:noProof/>
        <w:lang w:eastAsia="en-AU"/>
      </w:rPr>
      <mc:AlternateContent>
        <mc:Choice Requires="wps">
          <w:drawing>
            <wp:inline distT="0" distB="0" distL="0" distR="0" wp14:anchorId="13BF3BB7" wp14:editId="2A6286A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xmlns:arto="http://schemas.microsoft.com/office/word/2006/arto" xmlns:a="http://schemas.openxmlformats.org/drawingml/2006/main">
          <w:pict w14:anchorId="072FBFBF">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3b0e6" strokeweight="3pt" from="0,0" to="527.55pt,0" w14:anchorId="471AD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w10:anchorlock/>
            </v:line>
          </w:pict>
        </mc:Fallback>
      </mc:AlternateContent>
    </w:r>
    <w:r w:rsidR="00BF754D">
      <w:t xml:space="preserve">PO Box </w:t>
    </w:r>
    <w:r w:rsidR="009C7A51">
      <w:t>A1158, Sydney South NSW 1235</w:t>
    </w:r>
  </w:p>
  <w:p w14:paraId="1CC6419C" w14:textId="77777777" w:rsidR="00A13B92" w:rsidRDefault="00A13B92" w:rsidP="00A13B92">
    <w:pPr>
      <w:pStyle w:val="Footerpage1"/>
    </w:pPr>
    <w:r w:rsidRPr="008E763A">
      <w:t xml:space="preserve">Tel: (02) 9288 4000 </w:t>
    </w:r>
    <w:r w:rsidR="00183034">
      <w:t xml:space="preserve">| Contact us through the </w:t>
    </w:r>
    <w:hyperlink r:id="rId1" w:history="1">
      <w:r w:rsidR="00183034" w:rsidRPr="00FE6EAF">
        <w:rPr>
          <w:rStyle w:val="Hyperlink"/>
        </w:rPr>
        <w:t>National Relay Service</w:t>
      </w:r>
    </w:hyperlink>
  </w:p>
  <w:p w14:paraId="7CCFC05B"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2ACA" w14:textId="77777777" w:rsidR="00BF11D1" w:rsidRDefault="00BF11D1" w:rsidP="00B14DFB">
      <w:r>
        <w:separator/>
      </w:r>
    </w:p>
  </w:footnote>
  <w:footnote w:type="continuationSeparator" w:id="0">
    <w:p w14:paraId="33DFCD1C" w14:textId="77777777" w:rsidR="00BF11D1" w:rsidRDefault="00BF11D1" w:rsidP="00B14DFB">
      <w:r>
        <w:continuationSeparator/>
      </w:r>
    </w:p>
  </w:footnote>
  <w:footnote w:type="continuationNotice" w:id="1">
    <w:p w14:paraId="5FDE1859" w14:textId="77777777" w:rsidR="00BF11D1" w:rsidRDefault="00BF11D1">
      <w:pPr>
        <w:spacing w:before="0" w:after="0"/>
      </w:pPr>
    </w:p>
  </w:footnote>
  <w:footnote w:id="2">
    <w:p w14:paraId="20D40D08" w14:textId="09D238BB" w:rsidR="004F427A" w:rsidRDefault="004F427A" w:rsidP="004F427A">
      <w:pPr>
        <w:pStyle w:val="FootnoteText"/>
      </w:pPr>
      <w:r>
        <w:rPr>
          <w:rStyle w:val="FootnoteReference"/>
        </w:rPr>
        <w:footnoteRef/>
      </w:r>
      <w:r>
        <w:t xml:space="preserve"> </w:t>
      </w:r>
      <w:r w:rsidR="006A5BE9">
        <w:t xml:space="preserve">ACCAN 2022, </w:t>
      </w:r>
      <w:r w:rsidR="006A5BE9" w:rsidRPr="006A5BE9">
        <w:rPr>
          <w:i/>
          <w:iCs/>
        </w:rPr>
        <w:t>Consumer Data Right (CDR) Telco Sector Designation</w:t>
      </w:r>
      <w:r w:rsidR="006A5BE9">
        <w:t xml:space="preserve">, available: </w:t>
      </w:r>
      <w:r w:rsidRPr="008123BF">
        <w:t>https://accan.org.au/accans-work/submissions/1967-consumer-data-right-cdr-telco-sector-designation</w:t>
      </w:r>
    </w:p>
  </w:footnote>
  <w:footnote w:id="3">
    <w:p w14:paraId="0204C261" w14:textId="3F8ECCC9" w:rsidR="004F427A" w:rsidRDefault="004F427A" w:rsidP="004F427A">
      <w:pPr>
        <w:pStyle w:val="FootnoteText"/>
      </w:pPr>
      <w:r>
        <w:rPr>
          <w:rStyle w:val="FootnoteReference"/>
        </w:rPr>
        <w:footnoteRef/>
      </w:r>
      <w:r>
        <w:t xml:space="preserve"> </w:t>
      </w:r>
      <w:r w:rsidR="00744D60">
        <w:t xml:space="preserve">ACCAN 2021, </w:t>
      </w:r>
      <w:r w:rsidR="00744D60" w:rsidRPr="00E51414">
        <w:rPr>
          <w:i/>
          <w:iCs/>
        </w:rPr>
        <w:t>Consumer Data Right telecommunications sectoral assessment</w:t>
      </w:r>
      <w:r w:rsidR="00EC6467">
        <w:t>,</w:t>
      </w:r>
      <w:r w:rsidR="00744D60" w:rsidRPr="00744D60">
        <w:t xml:space="preserve"> </w:t>
      </w:r>
      <w:r w:rsidR="00EC6467">
        <w:t xml:space="preserve">available: </w:t>
      </w:r>
      <w:r w:rsidRPr="00EC5985">
        <w:t>https://accan.org.au/accans-work/submissions/1915-cdr-telco-assessment</w:t>
      </w:r>
    </w:p>
  </w:footnote>
  <w:footnote w:id="4">
    <w:p w14:paraId="779209DD" w14:textId="27712BE8" w:rsidR="002A39D3" w:rsidRDefault="002A39D3" w:rsidP="000726AB">
      <w:pPr>
        <w:pStyle w:val="FootnoteText"/>
      </w:pPr>
      <w:r>
        <w:rPr>
          <w:rStyle w:val="FootnoteReference"/>
        </w:rPr>
        <w:footnoteRef/>
      </w:r>
      <w:r>
        <w:t xml:space="preserve"> </w:t>
      </w:r>
      <w:r w:rsidR="00EC6467">
        <w:t>ACCAN 2020</w:t>
      </w:r>
      <w:r w:rsidR="000726AB">
        <w:t xml:space="preserve">, </w:t>
      </w:r>
      <w:r w:rsidR="000726AB" w:rsidRPr="00E51414">
        <w:rPr>
          <w:i/>
          <w:iCs/>
        </w:rPr>
        <w:t>ACCAN response to Consumer Safeguards Review Part C / Choice and Fairness</w:t>
      </w:r>
      <w:r w:rsidR="000726AB">
        <w:t xml:space="preserve">, available: </w:t>
      </w:r>
      <w:r w:rsidRPr="002A39D3">
        <w:t>https://accan.org.au/files/Submissions/2020/ACCAN%20Submission%20to%20Consumer%20Safeguards%20Review%20Part%20C%20V.1.1.pdf</w:t>
      </w:r>
    </w:p>
  </w:footnote>
  <w:footnote w:id="5">
    <w:p w14:paraId="7FF5E2B5" w14:textId="630E10CB" w:rsidR="00D95A1E" w:rsidRPr="00D95A1E" w:rsidRDefault="00D95A1E">
      <w:pPr>
        <w:pStyle w:val="FootnoteText"/>
        <w:rPr>
          <w:lang w:val="en-US"/>
        </w:rPr>
      </w:pPr>
      <w:r>
        <w:rPr>
          <w:rStyle w:val="FootnoteReference"/>
        </w:rPr>
        <w:footnoteRef/>
      </w:r>
      <w:r w:rsidR="00261CD9">
        <w:t xml:space="preserve"> BIRRR 2022, </w:t>
      </w:r>
      <w:r w:rsidR="003F1B4C" w:rsidRPr="003F1B4C">
        <w:rPr>
          <w:i/>
          <w:iCs/>
        </w:rPr>
        <w:t>BIRRR MEDIA RELEASE 22nd March 2022 WIN FOR BUSH ADVOCACY – nbn TO MAKE TRANSFORMATIVE CHANGES TO BUSH BROADBAND</w:t>
      </w:r>
      <w:r w:rsidR="003F1B4C">
        <w:t>,</w:t>
      </w:r>
      <w:r>
        <w:t xml:space="preserve"> </w:t>
      </w:r>
      <w:r w:rsidR="00E773A5" w:rsidRPr="00E773A5">
        <w:t>https://birrraus.com/2022/03/22/birrr-media-release-22nd-march-2022-win-for-bush-advocacy-nbn-to-make-transformative-changes-to-bush-broadband/</w:t>
      </w:r>
    </w:p>
  </w:footnote>
  <w:footnote w:id="6">
    <w:p w14:paraId="0348D62A" w14:textId="0FA4DE5F" w:rsidR="008111B6" w:rsidRPr="008111B6" w:rsidRDefault="008111B6">
      <w:pPr>
        <w:pStyle w:val="FootnoteText"/>
        <w:rPr>
          <w:lang w:val="en-US"/>
        </w:rPr>
      </w:pPr>
      <w:r>
        <w:rPr>
          <w:rStyle w:val="FootnoteReference"/>
        </w:rPr>
        <w:footnoteRef/>
      </w:r>
      <w:r>
        <w:t xml:space="preserve"> </w:t>
      </w:r>
      <w:r w:rsidR="00E52A7D">
        <w:t xml:space="preserve">Communications Alliance 2019, </w:t>
      </w:r>
      <w:r w:rsidR="00E52A7D" w:rsidRPr="00E15FC7">
        <w:rPr>
          <w:i/>
          <w:iCs/>
        </w:rPr>
        <w:t>C628:2019 Telecommunications Consumer Protections (TCP) Cod</w:t>
      </w:r>
      <w:r w:rsidR="00E15FC7" w:rsidRPr="00E15FC7">
        <w:rPr>
          <w:i/>
          <w:iCs/>
        </w:rPr>
        <w:t>e</w:t>
      </w:r>
      <w:r w:rsidR="00E52A7D">
        <w:t xml:space="preserve">, available: </w:t>
      </w:r>
      <w:r w:rsidRPr="008111B6">
        <w:t>https://www.commsalliance.com.au/Documents/all/codes/c628</w:t>
      </w:r>
    </w:p>
  </w:footnote>
  <w:footnote w:id="7">
    <w:p w14:paraId="0226CAB7" w14:textId="1DFE0FC3" w:rsidR="007815E3" w:rsidRPr="007815E3" w:rsidRDefault="007815E3" w:rsidP="00484BAE">
      <w:pPr>
        <w:pStyle w:val="FootnoteText"/>
        <w:rPr>
          <w:lang w:val="en-US"/>
        </w:rPr>
      </w:pPr>
      <w:r>
        <w:rPr>
          <w:rStyle w:val="FootnoteReference"/>
        </w:rPr>
        <w:footnoteRef/>
      </w:r>
      <w:r>
        <w:t xml:space="preserve"> </w:t>
      </w:r>
      <w:r w:rsidR="00484BAE">
        <w:t xml:space="preserve">ACCAN 2018, </w:t>
      </w:r>
      <w:r w:rsidR="00484BAE" w:rsidRPr="00686471">
        <w:rPr>
          <w:i/>
          <w:iCs/>
        </w:rPr>
        <w:t>Telecommunications (Consumer Complaints Handling) Industry Standard</w:t>
      </w:r>
      <w:r w:rsidR="00B80FE4" w:rsidRPr="00686471">
        <w:rPr>
          <w:i/>
          <w:iCs/>
        </w:rPr>
        <w:t xml:space="preserve"> </w:t>
      </w:r>
      <w:r w:rsidR="00484BAE" w:rsidRPr="00686471">
        <w:rPr>
          <w:i/>
          <w:iCs/>
        </w:rPr>
        <w:t>2018</w:t>
      </w:r>
      <w:r w:rsidR="00B80FE4">
        <w:t>, available:</w:t>
      </w:r>
      <w:r w:rsidR="00484BAE">
        <w:cr/>
      </w:r>
      <w:r w:rsidRPr="007815E3">
        <w:t>https://accan.org.au/ACMA%20Complaints%20Handling%20Standard_ACCAN%20submission%20180418.pdf</w:t>
      </w:r>
    </w:p>
  </w:footnote>
  <w:footnote w:id="8">
    <w:p w14:paraId="41971287" w14:textId="405CE7CB" w:rsidR="004417BC" w:rsidRPr="004417BC" w:rsidRDefault="004417BC">
      <w:pPr>
        <w:pStyle w:val="FootnoteText"/>
        <w:rPr>
          <w:lang w:val="en-US"/>
        </w:rPr>
      </w:pPr>
      <w:r>
        <w:rPr>
          <w:rStyle w:val="FootnoteReference"/>
        </w:rPr>
        <w:footnoteRef/>
      </w:r>
      <w:r w:rsidR="007767AC">
        <w:t xml:space="preserve"> For more information, see:</w:t>
      </w:r>
      <w:r>
        <w:t xml:space="preserve"> </w:t>
      </w:r>
      <w:r w:rsidRPr="004417BC">
        <w:t>https://digitaleconomy.pmc.gov.au/sites/default/files/2021-05/digital-economy-strategy-on-a-page.pdf</w:t>
      </w:r>
    </w:p>
  </w:footnote>
  <w:footnote w:id="9">
    <w:p w14:paraId="774EA3D4" w14:textId="32401734" w:rsidR="009A4BA4" w:rsidRPr="009A4BA4" w:rsidRDefault="009A4BA4">
      <w:pPr>
        <w:pStyle w:val="FootnoteText"/>
        <w:rPr>
          <w:lang w:val="en-US"/>
        </w:rPr>
      </w:pPr>
      <w:r>
        <w:rPr>
          <w:rStyle w:val="FootnoteReference"/>
        </w:rPr>
        <w:footnoteRef/>
      </w:r>
      <w:r>
        <w:t xml:space="preserve"> </w:t>
      </w:r>
      <w:r w:rsidRPr="009A4BA4">
        <w:t>ACCAN 2018, Telecommunications (Consumer Complaints Handling) Industry Standard 2018, available: https://accan.org.au/ACMA%20Complaints%20Handling%20Standard_ACCAN%20submission%20180418.pdf</w:t>
      </w:r>
    </w:p>
  </w:footnote>
  <w:footnote w:id="10">
    <w:p w14:paraId="5BCD3EC0" w14:textId="4A44E730" w:rsidR="002A3857" w:rsidRPr="002A3857" w:rsidRDefault="002A3857">
      <w:pPr>
        <w:pStyle w:val="FootnoteText"/>
        <w:rPr>
          <w:lang w:val="en-US"/>
        </w:rPr>
      </w:pPr>
      <w:r>
        <w:rPr>
          <w:rStyle w:val="FootnoteReference"/>
        </w:rPr>
        <w:footnoteRef/>
      </w:r>
      <w:r>
        <w:t xml:space="preserve"> </w:t>
      </w:r>
      <w:r w:rsidRPr="002A3857">
        <w:t>Communications Alliance 2019, C628:2019 Telecommunications Consumer Protections (TCP) Code, available: https://www.commsalliance.com.au/Documents/all/codes/c628</w:t>
      </w:r>
    </w:p>
  </w:footnote>
  <w:footnote w:id="11">
    <w:p w14:paraId="4A4E8D4C" w14:textId="354DB7B3" w:rsidR="00700A9A" w:rsidRPr="00CA784E" w:rsidRDefault="00700A9A" w:rsidP="00CA784E">
      <w:pPr>
        <w:pStyle w:val="FootnoteText"/>
      </w:pPr>
      <w:r>
        <w:rPr>
          <w:rStyle w:val="FootnoteReference"/>
        </w:rPr>
        <w:footnoteRef/>
      </w:r>
      <w:r>
        <w:t xml:space="preserve"> </w:t>
      </w:r>
      <w:r w:rsidR="007767AC">
        <w:t xml:space="preserve"> ACCAN </w:t>
      </w:r>
      <w:r w:rsidR="00CA784E">
        <w:t xml:space="preserve">2021, </w:t>
      </w:r>
      <w:r w:rsidR="00CA784E" w:rsidRPr="00686471">
        <w:rPr>
          <w:i/>
          <w:iCs/>
        </w:rPr>
        <w:t>Consumer Data Right (CDR) Telecommunications Sectoral Assessment</w:t>
      </w:r>
      <w:r w:rsidR="00CA784E">
        <w:t xml:space="preserve">, available: </w:t>
      </w:r>
      <w:r w:rsidRPr="00161A5A">
        <w:t>https://accan.org.au/files/Submissions/2021/ACCAN%20CDR%20telco%20assessment%20SUBMISSIONAugust%202021.pdf</w:t>
      </w:r>
    </w:p>
  </w:footnote>
  <w:footnote w:id="12">
    <w:p w14:paraId="35482C08" w14:textId="7755B524" w:rsidR="00334043" w:rsidRPr="00334043" w:rsidRDefault="00334043">
      <w:pPr>
        <w:pStyle w:val="FootnoteText"/>
        <w:rPr>
          <w:lang w:val="en-US"/>
        </w:rPr>
      </w:pPr>
      <w:r>
        <w:rPr>
          <w:rStyle w:val="FootnoteReference"/>
        </w:rPr>
        <w:footnoteRef/>
      </w:r>
      <w:r>
        <w:t xml:space="preserve"> </w:t>
      </w:r>
      <w:r w:rsidR="0099411B" w:rsidRPr="0099411B">
        <w:t xml:space="preserve">ACCAN 2021, </w:t>
      </w:r>
      <w:r w:rsidR="0099411B" w:rsidRPr="0099411B">
        <w:rPr>
          <w:i/>
          <w:iCs/>
        </w:rPr>
        <w:t>Consumer Data Right (CDR) Telecommunications Sectoral Assessment</w:t>
      </w:r>
      <w:r w:rsidR="0099411B" w:rsidRPr="0099411B">
        <w:t>, available: https://accan.org.au/files/Submissions/2021/ACCAN%20CDR%20telco%20assessment%20SUBMISSIONAugust%202021.pdf</w:t>
      </w:r>
    </w:p>
  </w:footnote>
  <w:footnote w:id="13">
    <w:p w14:paraId="66B1802F" w14:textId="29A8DDE2" w:rsidR="004B1540" w:rsidRDefault="004B1540">
      <w:pPr>
        <w:pStyle w:val="FootnoteText"/>
      </w:pPr>
      <w:r>
        <w:rPr>
          <w:rStyle w:val="FootnoteReference"/>
        </w:rPr>
        <w:footnoteRef/>
      </w:r>
      <w:r>
        <w:t xml:space="preserve"> </w:t>
      </w:r>
      <w:r w:rsidR="00AF09FB">
        <w:t xml:space="preserve">For more information, see: </w:t>
      </w:r>
      <w:r w:rsidRPr="004B1540">
        <w:t>https://www.legislation.gov.au/Details/F2015L00319</w:t>
      </w:r>
    </w:p>
  </w:footnote>
  <w:footnote w:id="14">
    <w:p w14:paraId="741D2E0D" w14:textId="325E8703" w:rsidR="00334BCB" w:rsidRDefault="00334BCB" w:rsidP="00D01C77">
      <w:pPr>
        <w:pStyle w:val="FootnoteText"/>
      </w:pPr>
      <w:r>
        <w:rPr>
          <w:rStyle w:val="FootnoteReference"/>
        </w:rPr>
        <w:footnoteRef/>
      </w:r>
      <w:r>
        <w:t xml:space="preserve"> </w:t>
      </w:r>
      <w:r w:rsidR="00D01C77">
        <w:t>Communications Alliance 2018</w:t>
      </w:r>
      <w:r w:rsidR="00D01C77" w:rsidRPr="00B812B0">
        <w:rPr>
          <w:i/>
          <w:iCs/>
        </w:rPr>
        <w:t xml:space="preserve">, </w:t>
      </w:r>
      <w:r w:rsidR="006034E4" w:rsidRPr="00B812B0">
        <w:rPr>
          <w:i/>
          <w:iCs/>
        </w:rPr>
        <w:t xml:space="preserve">Industry Guideline </w:t>
      </w:r>
      <w:r w:rsidR="00D01C77" w:rsidRPr="00B812B0">
        <w:rPr>
          <w:i/>
          <w:iCs/>
        </w:rPr>
        <w:t xml:space="preserve">G660:2018 </w:t>
      </w:r>
      <w:r w:rsidR="006034E4" w:rsidRPr="00B812B0">
        <w:rPr>
          <w:i/>
          <w:iCs/>
        </w:rPr>
        <w:t>Assisting Customers Experiencing Domestic and Family Violence</w:t>
      </w:r>
      <w:r w:rsidR="00D01C77">
        <w:t>, available:</w:t>
      </w:r>
      <w:r w:rsidR="00D01C77" w:rsidRPr="00334BCB">
        <w:t xml:space="preserve"> </w:t>
      </w:r>
      <w:r w:rsidRPr="00334BCB">
        <w:t>https://www.commsalliance.com.au/__data/assets/pdf_file/0003/61527/Communications-Guideline-G660-Assisting-Customers-Experiencing-Domestic-and-Family-Violence.pdf</w:t>
      </w:r>
    </w:p>
  </w:footnote>
  <w:footnote w:id="15">
    <w:p w14:paraId="52822E43" w14:textId="6AF105A0" w:rsidR="0042788A" w:rsidRDefault="0042788A">
      <w:pPr>
        <w:pStyle w:val="FootnoteText"/>
      </w:pPr>
      <w:r>
        <w:rPr>
          <w:rStyle w:val="FootnoteReference"/>
        </w:rPr>
        <w:footnoteRef/>
      </w:r>
      <w:r>
        <w:t xml:space="preserve"> </w:t>
      </w:r>
      <w:r w:rsidR="00341854">
        <w:t xml:space="preserve">ACCAN 2021, </w:t>
      </w:r>
      <w:r w:rsidR="00341854" w:rsidRPr="00341854">
        <w:t>ACMA Customer ID Determination</w:t>
      </w:r>
      <w:r w:rsidR="00341854">
        <w:t xml:space="preserve">, available: </w:t>
      </w:r>
      <w:r w:rsidRPr="0042788A">
        <w:t>https://accan.org.au/accans-work/submissions/1966-acma-customer-id-determination</w:t>
      </w:r>
    </w:p>
  </w:footnote>
  <w:footnote w:id="16">
    <w:p w14:paraId="35C36674" w14:textId="718E4659" w:rsidR="0040443D" w:rsidRDefault="0040443D">
      <w:pPr>
        <w:pStyle w:val="FootnoteText"/>
      </w:pPr>
      <w:r>
        <w:rPr>
          <w:rStyle w:val="FootnoteReference"/>
        </w:rPr>
        <w:footnoteRef/>
      </w:r>
      <w:r>
        <w:t xml:space="preserve"> </w:t>
      </w:r>
      <w:r w:rsidR="00F43F4A" w:rsidRPr="00F43F4A">
        <w:t xml:space="preserve">Communications Alliance 2019, </w:t>
      </w:r>
      <w:r w:rsidR="00F43F4A" w:rsidRPr="003F032F">
        <w:rPr>
          <w:i/>
          <w:iCs/>
        </w:rPr>
        <w:t>C628:2019 Telecommunications Consumer Protections (TCP) Code</w:t>
      </w:r>
      <w:r w:rsidR="00F43F4A" w:rsidRPr="00F43F4A">
        <w:t>, available: https://www.commsalliance.com.au/Documents/all/codes/c628</w:t>
      </w:r>
    </w:p>
  </w:footnote>
  <w:footnote w:id="17">
    <w:p w14:paraId="0BCC3731" w14:textId="5BDD92BB" w:rsidR="003773E0" w:rsidRDefault="003773E0" w:rsidP="003F032F">
      <w:pPr>
        <w:pStyle w:val="FootnoteText"/>
      </w:pPr>
      <w:r>
        <w:rPr>
          <w:rStyle w:val="FootnoteReference"/>
        </w:rPr>
        <w:footnoteRef/>
      </w:r>
      <w:r>
        <w:t xml:space="preserve"> </w:t>
      </w:r>
      <w:r w:rsidR="00BF06D2">
        <w:t>ACCAN</w:t>
      </w:r>
      <w:r w:rsidR="003F032F">
        <w:t xml:space="preserve"> 2018, </w:t>
      </w:r>
      <w:r w:rsidR="003F032F" w:rsidRPr="003F032F">
        <w:rPr>
          <w:i/>
          <w:iCs/>
        </w:rPr>
        <w:t>Telecommunications (Consumer Complaints Handling) Industry Standard 2018</w:t>
      </w:r>
      <w:r w:rsidR="003F032F">
        <w:t>, available:</w:t>
      </w:r>
      <w:r w:rsidR="003F032F" w:rsidRPr="009E0A0E">
        <w:t xml:space="preserve"> </w:t>
      </w:r>
      <w:r w:rsidR="009E0A0E" w:rsidRPr="009E0A0E">
        <w:t>https://accan.org.au/ACMA%20Complaints%20Handling%20Standard_ACCAN%20submission%20180418.pdf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67A" w14:textId="77777777" w:rsidR="00553427" w:rsidRDefault="00553427" w:rsidP="00E45E4C">
    <w:pPr>
      <w:pStyle w:val="Header"/>
      <w:jc w:val="right"/>
    </w:pPr>
    <w:r>
      <w:rPr>
        <w:noProof/>
        <w:lang w:eastAsia="en-AU"/>
      </w:rPr>
      <w:drawing>
        <wp:inline distT="0" distB="0" distL="0" distR="0" wp14:anchorId="7079DA5F" wp14:editId="0DBB6A85">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10FD" w14:textId="77777777" w:rsidR="00553427" w:rsidRDefault="00553427" w:rsidP="00B14DFB">
    <w:pPr>
      <w:pStyle w:val="Header"/>
      <w:jc w:val="center"/>
    </w:pPr>
    <w:r>
      <w:rPr>
        <w:noProof/>
        <w:lang w:eastAsia="en-AU"/>
      </w:rPr>
      <w:drawing>
        <wp:inline distT="0" distB="0" distL="0" distR="0" wp14:anchorId="69F23B78" wp14:editId="0CE04B8E">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0FB0"/>
    <w:multiLevelType w:val="hybridMultilevel"/>
    <w:tmpl w:val="C91AA2B2"/>
    <w:lvl w:ilvl="0" w:tplc="8766B65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2C4F0862"/>
    <w:multiLevelType w:val="multilevel"/>
    <w:tmpl w:val="6AFEEB4C"/>
    <w:styleLink w:val="Bullets"/>
    <w:lvl w:ilvl="0">
      <w:start w:val="1"/>
      <w:numFmt w:val="bullet"/>
      <w:lvlText w:val=""/>
      <w:lvlJc w:val="left"/>
      <w:pPr>
        <w:ind w:left="851" w:hanging="284"/>
      </w:pPr>
      <w:rPr>
        <w:rFonts w:ascii="Symbol" w:hAnsi="Symbol" w:hint="default"/>
      </w:rPr>
    </w:lvl>
    <w:lvl w:ilvl="1">
      <w:start w:val="1"/>
      <w:numFmt w:val="bullet"/>
      <w:lvlText w:val=""/>
      <w:lvlJc w:val="left"/>
      <w:pPr>
        <w:ind w:left="1418" w:hanging="284"/>
      </w:pPr>
      <w:rPr>
        <w:rFonts w:ascii="Symbol" w:hAnsi="Symbol" w:hint="default"/>
      </w:rPr>
    </w:lvl>
    <w:lvl w:ilvl="2">
      <w:start w:val="1"/>
      <w:numFmt w:val="bullet"/>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15:restartNumberingAfterBreak="0">
    <w:nsid w:val="2D427668"/>
    <w:multiLevelType w:val="multilevel"/>
    <w:tmpl w:val="AA7AA0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7C5FB2"/>
    <w:multiLevelType w:val="multilevel"/>
    <w:tmpl w:val="6AFEEB4C"/>
    <w:numStyleLink w:val="Bullets"/>
  </w:abstractNum>
  <w:abstractNum w:abstractNumId="4" w15:restartNumberingAfterBreak="0">
    <w:nsid w:val="33D9536F"/>
    <w:multiLevelType w:val="multilevel"/>
    <w:tmpl w:val="A7920A6E"/>
    <w:numStyleLink w:val="Headings"/>
  </w:abstractNum>
  <w:abstractNum w:abstractNumId="5" w15:restartNumberingAfterBreak="0">
    <w:nsid w:val="35F41370"/>
    <w:multiLevelType w:val="multilevel"/>
    <w:tmpl w:val="5CC8EBE4"/>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9860C67"/>
    <w:multiLevelType w:val="multilevel"/>
    <w:tmpl w:val="A7920A6E"/>
    <w:numStyleLink w:val="Headings"/>
  </w:abstractNum>
  <w:abstractNum w:abstractNumId="7" w15:restartNumberingAfterBreak="0">
    <w:nsid w:val="3DF936BD"/>
    <w:multiLevelType w:val="multilevel"/>
    <w:tmpl w:val="A7920A6E"/>
    <w:numStyleLink w:val="Headings"/>
  </w:abstractNum>
  <w:abstractNum w:abstractNumId="8"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A467144"/>
    <w:multiLevelType w:val="multilevel"/>
    <w:tmpl w:val="989E8E90"/>
    <w:numStyleLink w:val="Appendices"/>
  </w:abstractNum>
  <w:abstractNum w:abstractNumId="10"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AAF098D"/>
    <w:multiLevelType w:val="multilevel"/>
    <w:tmpl w:val="A7920A6E"/>
    <w:numStyleLink w:val="Headings"/>
  </w:abstractNum>
  <w:abstractNum w:abstractNumId="1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4" w15:restartNumberingAfterBreak="0">
    <w:nsid w:val="7E2C261C"/>
    <w:multiLevelType w:val="hybridMultilevel"/>
    <w:tmpl w:val="F4227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
  </w:num>
  <w:num w:numId="7">
    <w:abstractNumId w:val="7"/>
  </w:num>
  <w:num w:numId="8">
    <w:abstractNumId w:val="3"/>
  </w:num>
  <w:num w:numId="9">
    <w:abstractNumId w:val="3"/>
  </w:num>
  <w:num w:numId="10">
    <w:abstractNumId w:val="3"/>
  </w:num>
  <w:num w:numId="11">
    <w:abstractNumId w:val="3"/>
  </w:num>
  <w:num w:numId="12">
    <w:abstractNumId w:val="1"/>
  </w:num>
  <w:num w:numId="13">
    <w:abstractNumId w:val="4"/>
  </w:num>
  <w:num w:numId="14">
    <w:abstractNumId w:val="4"/>
  </w:num>
  <w:num w:numId="15">
    <w:abstractNumId w:val="4"/>
  </w:num>
  <w:num w:numId="16">
    <w:abstractNumId w:val="13"/>
  </w:num>
  <w:num w:numId="17">
    <w:abstractNumId w:val="8"/>
  </w:num>
  <w:num w:numId="18">
    <w:abstractNumId w:val="9"/>
  </w:num>
  <w:num w:numId="19">
    <w:abstractNumId w:val="9"/>
  </w:num>
  <w:num w:numId="20">
    <w:abstractNumId w:val="12"/>
  </w:num>
  <w:num w:numId="21">
    <w:abstractNumId w:val="12"/>
  </w:num>
  <w:num w:numId="22">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num>
  <w:num w:numId="27">
    <w:abstractNumId w:val="2"/>
  </w:num>
  <w:num w:numId="28">
    <w:abstractNumId w:val="5"/>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03"/>
    <w:rsid w:val="000011AC"/>
    <w:rsid w:val="000032C4"/>
    <w:rsid w:val="000034EC"/>
    <w:rsid w:val="00004EA9"/>
    <w:rsid w:val="00005FE4"/>
    <w:rsid w:val="0000785D"/>
    <w:rsid w:val="000206C8"/>
    <w:rsid w:val="00023BFE"/>
    <w:rsid w:val="000265D2"/>
    <w:rsid w:val="0002693D"/>
    <w:rsid w:val="00026BA4"/>
    <w:rsid w:val="00027253"/>
    <w:rsid w:val="000277E7"/>
    <w:rsid w:val="000330FE"/>
    <w:rsid w:val="0003476E"/>
    <w:rsid w:val="00035A8B"/>
    <w:rsid w:val="00037628"/>
    <w:rsid w:val="0004391D"/>
    <w:rsid w:val="00046208"/>
    <w:rsid w:val="00047257"/>
    <w:rsid w:val="0004726F"/>
    <w:rsid w:val="00050B61"/>
    <w:rsid w:val="000629BB"/>
    <w:rsid w:val="000674A3"/>
    <w:rsid w:val="0007097E"/>
    <w:rsid w:val="000726AB"/>
    <w:rsid w:val="0007292A"/>
    <w:rsid w:val="00077E54"/>
    <w:rsid w:val="00081226"/>
    <w:rsid w:val="00082685"/>
    <w:rsid w:val="00082A67"/>
    <w:rsid w:val="00084E7D"/>
    <w:rsid w:val="0008536B"/>
    <w:rsid w:val="00091494"/>
    <w:rsid w:val="00091B2B"/>
    <w:rsid w:val="000976A2"/>
    <w:rsid w:val="00097DC8"/>
    <w:rsid w:val="000A0574"/>
    <w:rsid w:val="000A4CF6"/>
    <w:rsid w:val="000A5A03"/>
    <w:rsid w:val="000B0103"/>
    <w:rsid w:val="000B13E0"/>
    <w:rsid w:val="000B49F3"/>
    <w:rsid w:val="000B6489"/>
    <w:rsid w:val="000C3020"/>
    <w:rsid w:val="000D49C2"/>
    <w:rsid w:val="000D51F4"/>
    <w:rsid w:val="000D521F"/>
    <w:rsid w:val="000D5C5D"/>
    <w:rsid w:val="000D7A42"/>
    <w:rsid w:val="000E0A09"/>
    <w:rsid w:val="000E1298"/>
    <w:rsid w:val="000E2909"/>
    <w:rsid w:val="000E403C"/>
    <w:rsid w:val="000E5E36"/>
    <w:rsid w:val="000F1C88"/>
    <w:rsid w:val="000F55C4"/>
    <w:rsid w:val="000F58CC"/>
    <w:rsid w:val="000F5F3A"/>
    <w:rsid w:val="000F6946"/>
    <w:rsid w:val="00103BC9"/>
    <w:rsid w:val="0010456D"/>
    <w:rsid w:val="0010759F"/>
    <w:rsid w:val="00115571"/>
    <w:rsid w:val="001160BD"/>
    <w:rsid w:val="001169C2"/>
    <w:rsid w:val="00116BDF"/>
    <w:rsid w:val="001178AE"/>
    <w:rsid w:val="001218C1"/>
    <w:rsid w:val="00122CE7"/>
    <w:rsid w:val="00124D83"/>
    <w:rsid w:val="00127A3F"/>
    <w:rsid w:val="00131C25"/>
    <w:rsid w:val="001322DD"/>
    <w:rsid w:val="00133ACE"/>
    <w:rsid w:val="00136DBC"/>
    <w:rsid w:val="00145350"/>
    <w:rsid w:val="00146E0C"/>
    <w:rsid w:val="00147A7F"/>
    <w:rsid w:val="00155894"/>
    <w:rsid w:val="0015595A"/>
    <w:rsid w:val="001559DF"/>
    <w:rsid w:val="00155ECC"/>
    <w:rsid w:val="0015617E"/>
    <w:rsid w:val="001619F6"/>
    <w:rsid w:val="00161A5A"/>
    <w:rsid w:val="00164C39"/>
    <w:rsid w:val="00174755"/>
    <w:rsid w:val="00174AB2"/>
    <w:rsid w:val="00175D48"/>
    <w:rsid w:val="001816B9"/>
    <w:rsid w:val="00183034"/>
    <w:rsid w:val="00184AFE"/>
    <w:rsid w:val="001877D6"/>
    <w:rsid w:val="00191C19"/>
    <w:rsid w:val="00194C68"/>
    <w:rsid w:val="00197624"/>
    <w:rsid w:val="001A77B4"/>
    <w:rsid w:val="001B16DD"/>
    <w:rsid w:val="001B26A5"/>
    <w:rsid w:val="001B68DC"/>
    <w:rsid w:val="001C0086"/>
    <w:rsid w:val="001C0618"/>
    <w:rsid w:val="001C28E7"/>
    <w:rsid w:val="001C3996"/>
    <w:rsid w:val="001C4888"/>
    <w:rsid w:val="001C4F16"/>
    <w:rsid w:val="001C6628"/>
    <w:rsid w:val="001C6657"/>
    <w:rsid w:val="001D5AB3"/>
    <w:rsid w:val="001E0C84"/>
    <w:rsid w:val="001F58D2"/>
    <w:rsid w:val="00201367"/>
    <w:rsid w:val="00201E50"/>
    <w:rsid w:val="00206008"/>
    <w:rsid w:val="0020759D"/>
    <w:rsid w:val="002127F0"/>
    <w:rsid w:val="00214A01"/>
    <w:rsid w:val="002176F4"/>
    <w:rsid w:val="00222F26"/>
    <w:rsid w:val="00224B7B"/>
    <w:rsid w:val="0023051C"/>
    <w:rsid w:val="00230B2E"/>
    <w:rsid w:val="00234042"/>
    <w:rsid w:val="0023431B"/>
    <w:rsid w:val="00234C7B"/>
    <w:rsid w:val="00236289"/>
    <w:rsid w:val="00240CC2"/>
    <w:rsid w:val="0024135D"/>
    <w:rsid w:val="002436AD"/>
    <w:rsid w:val="00251197"/>
    <w:rsid w:val="00252189"/>
    <w:rsid w:val="00252AD3"/>
    <w:rsid w:val="00253530"/>
    <w:rsid w:val="0025377B"/>
    <w:rsid w:val="002548A2"/>
    <w:rsid w:val="0025579C"/>
    <w:rsid w:val="00261CD9"/>
    <w:rsid w:val="00264271"/>
    <w:rsid w:val="0026504A"/>
    <w:rsid w:val="00265535"/>
    <w:rsid w:val="0026559B"/>
    <w:rsid w:val="00267C3D"/>
    <w:rsid w:val="002729CF"/>
    <w:rsid w:val="002774B5"/>
    <w:rsid w:val="00282E1D"/>
    <w:rsid w:val="00284E7D"/>
    <w:rsid w:val="00285E58"/>
    <w:rsid w:val="00292359"/>
    <w:rsid w:val="002932A0"/>
    <w:rsid w:val="00295805"/>
    <w:rsid w:val="002967F0"/>
    <w:rsid w:val="00297F51"/>
    <w:rsid w:val="002A27DE"/>
    <w:rsid w:val="002A3857"/>
    <w:rsid w:val="002A39D3"/>
    <w:rsid w:val="002A629E"/>
    <w:rsid w:val="002B2A36"/>
    <w:rsid w:val="002B4C32"/>
    <w:rsid w:val="002B66CA"/>
    <w:rsid w:val="002C09EF"/>
    <w:rsid w:val="002C0F60"/>
    <w:rsid w:val="002C3198"/>
    <w:rsid w:val="002C405F"/>
    <w:rsid w:val="002C4AE8"/>
    <w:rsid w:val="002D0298"/>
    <w:rsid w:val="002D2996"/>
    <w:rsid w:val="002D6081"/>
    <w:rsid w:val="002D70B8"/>
    <w:rsid w:val="002D7299"/>
    <w:rsid w:val="002E13A4"/>
    <w:rsid w:val="002E4872"/>
    <w:rsid w:val="002F087C"/>
    <w:rsid w:val="002F0AD6"/>
    <w:rsid w:val="00300D24"/>
    <w:rsid w:val="00305CBE"/>
    <w:rsid w:val="00306E2C"/>
    <w:rsid w:val="00307C97"/>
    <w:rsid w:val="00311763"/>
    <w:rsid w:val="00315238"/>
    <w:rsid w:val="003200E6"/>
    <w:rsid w:val="00326BE3"/>
    <w:rsid w:val="00327024"/>
    <w:rsid w:val="00332CC9"/>
    <w:rsid w:val="00333E6E"/>
    <w:rsid w:val="00334043"/>
    <w:rsid w:val="00334BCB"/>
    <w:rsid w:val="0034065A"/>
    <w:rsid w:val="00341854"/>
    <w:rsid w:val="003418C9"/>
    <w:rsid w:val="003441E5"/>
    <w:rsid w:val="0034552A"/>
    <w:rsid w:val="00346085"/>
    <w:rsid w:val="00351876"/>
    <w:rsid w:val="003555E4"/>
    <w:rsid w:val="00355751"/>
    <w:rsid w:val="00361EE7"/>
    <w:rsid w:val="00362729"/>
    <w:rsid w:val="0036351B"/>
    <w:rsid w:val="003654B4"/>
    <w:rsid w:val="00365A23"/>
    <w:rsid w:val="00375551"/>
    <w:rsid w:val="00376B91"/>
    <w:rsid w:val="003773E0"/>
    <w:rsid w:val="003857E0"/>
    <w:rsid w:val="0038634F"/>
    <w:rsid w:val="00390AD2"/>
    <w:rsid w:val="00390BE1"/>
    <w:rsid w:val="003915CC"/>
    <w:rsid w:val="003B0703"/>
    <w:rsid w:val="003B1499"/>
    <w:rsid w:val="003B4C06"/>
    <w:rsid w:val="003B6B6B"/>
    <w:rsid w:val="003B7D0E"/>
    <w:rsid w:val="003C2832"/>
    <w:rsid w:val="003D27D6"/>
    <w:rsid w:val="003D799C"/>
    <w:rsid w:val="003D7E02"/>
    <w:rsid w:val="003E3FDF"/>
    <w:rsid w:val="003E6503"/>
    <w:rsid w:val="003E76C5"/>
    <w:rsid w:val="003F032F"/>
    <w:rsid w:val="003F06AF"/>
    <w:rsid w:val="003F1B4C"/>
    <w:rsid w:val="003F2DAE"/>
    <w:rsid w:val="003F3C79"/>
    <w:rsid w:val="003F6199"/>
    <w:rsid w:val="003F717E"/>
    <w:rsid w:val="003F770C"/>
    <w:rsid w:val="004002A4"/>
    <w:rsid w:val="00403878"/>
    <w:rsid w:val="00403FDC"/>
    <w:rsid w:val="0040443D"/>
    <w:rsid w:val="0040721C"/>
    <w:rsid w:val="00410FE3"/>
    <w:rsid w:val="00415D50"/>
    <w:rsid w:val="00416242"/>
    <w:rsid w:val="004201CA"/>
    <w:rsid w:val="00422FA8"/>
    <w:rsid w:val="0042444D"/>
    <w:rsid w:val="00426DED"/>
    <w:rsid w:val="004275D6"/>
    <w:rsid w:val="0042788A"/>
    <w:rsid w:val="004303AE"/>
    <w:rsid w:val="00431902"/>
    <w:rsid w:val="00434823"/>
    <w:rsid w:val="00440758"/>
    <w:rsid w:val="004417BC"/>
    <w:rsid w:val="00447E1F"/>
    <w:rsid w:val="00450F3F"/>
    <w:rsid w:val="004552EA"/>
    <w:rsid w:val="00457292"/>
    <w:rsid w:val="00462AAD"/>
    <w:rsid w:val="00463B33"/>
    <w:rsid w:val="004646D5"/>
    <w:rsid w:val="00467438"/>
    <w:rsid w:val="00471148"/>
    <w:rsid w:val="00471355"/>
    <w:rsid w:val="00472C7E"/>
    <w:rsid w:val="00472CA7"/>
    <w:rsid w:val="00473B93"/>
    <w:rsid w:val="0047495B"/>
    <w:rsid w:val="0047565C"/>
    <w:rsid w:val="00475CDE"/>
    <w:rsid w:val="00477BDB"/>
    <w:rsid w:val="004827C3"/>
    <w:rsid w:val="00483818"/>
    <w:rsid w:val="00483D7A"/>
    <w:rsid w:val="00484BAE"/>
    <w:rsid w:val="00491E3E"/>
    <w:rsid w:val="004A01EB"/>
    <w:rsid w:val="004A2224"/>
    <w:rsid w:val="004A47A7"/>
    <w:rsid w:val="004A4D20"/>
    <w:rsid w:val="004A55CC"/>
    <w:rsid w:val="004A6655"/>
    <w:rsid w:val="004A791B"/>
    <w:rsid w:val="004A7D72"/>
    <w:rsid w:val="004B0960"/>
    <w:rsid w:val="004B1185"/>
    <w:rsid w:val="004B1540"/>
    <w:rsid w:val="004B2E5E"/>
    <w:rsid w:val="004B5BD2"/>
    <w:rsid w:val="004B6892"/>
    <w:rsid w:val="004B7462"/>
    <w:rsid w:val="004B78F7"/>
    <w:rsid w:val="004C055B"/>
    <w:rsid w:val="004C0A7C"/>
    <w:rsid w:val="004C0AD1"/>
    <w:rsid w:val="004C3886"/>
    <w:rsid w:val="004D0EC9"/>
    <w:rsid w:val="004D539A"/>
    <w:rsid w:val="004E0488"/>
    <w:rsid w:val="004E0A26"/>
    <w:rsid w:val="004E491F"/>
    <w:rsid w:val="004F0672"/>
    <w:rsid w:val="004F1546"/>
    <w:rsid w:val="004F2201"/>
    <w:rsid w:val="004F427A"/>
    <w:rsid w:val="00502869"/>
    <w:rsid w:val="00502ED3"/>
    <w:rsid w:val="0050337F"/>
    <w:rsid w:val="0050373F"/>
    <w:rsid w:val="00504451"/>
    <w:rsid w:val="00511400"/>
    <w:rsid w:val="00513CEB"/>
    <w:rsid w:val="00514E71"/>
    <w:rsid w:val="00520331"/>
    <w:rsid w:val="00522F2E"/>
    <w:rsid w:val="00523417"/>
    <w:rsid w:val="0053249C"/>
    <w:rsid w:val="00533FD0"/>
    <w:rsid w:val="0053447D"/>
    <w:rsid w:val="0053525F"/>
    <w:rsid w:val="00535FBF"/>
    <w:rsid w:val="00541340"/>
    <w:rsid w:val="00542267"/>
    <w:rsid w:val="00542DEB"/>
    <w:rsid w:val="00543F8F"/>
    <w:rsid w:val="0054520B"/>
    <w:rsid w:val="00550277"/>
    <w:rsid w:val="00552FEF"/>
    <w:rsid w:val="00553427"/>
    <w:rsid w:val="005569BE"/>
    <w:rsid w:val="005604CB"/>
    <w:rsid w:val="005621B1"/>
    <w:rsid w:val="00574238"/>
    <w:rsid w:val="005761DA"/>
    <w:rsid w:val="005820C9"/>
    <w:rsid w:val="0058247C"/>
    <w:rsid w:val="0058349D"/>
    <w:rsid w:val="0058411E"/>
    <w:rsid w:val="0058525D"/>
    <w:rsid w:val="005868E9"/>
    <w:rsid w:val="0058738D"/>
    <w:rsid w:val="00587810"/>
    <w:rsid w:val="005909A4"/>
    <w:rsid w:val="00591AE4"/>
    <w:rsid w:val="00592615"/>
    <w:rsid w:val="00593975"/>
    <w:rsid w:val="005A0325"/>
    <w:rsid w:val="005A1D85"/>
    <w:rsid w:val="005A598E"/>
    <w:rsid w:val="005A673E"/>
    <w:rsid w:val="005B013D"/>
    <w:rsid w:val="005B07E0"/>
    <w:rsid w:val="005B14AB"/>
    <w:rsid w:val="005B2BFB"/>
    <w:rsid w:val="005B3900"/>
    <w:rsid w:val="005B5640"/>
    <w:rsid w:val="005B5972"/>
    <w:rsid w:val="005B6585"/>
    <w:rsid w:val="005C0849"/>
    <w:rsid w:val="005C2EBF"/>
    <w:rsid w:val="005C5353"/>
    <w:rsid w:val="005C6782"/>
    <w:rsid w:val="005C6931"/>
    <w:rsid w:val="005E00DB"/>
    <w:rsid w:val="005E0960"/>
    <w:rsid w:val="005E2833"/>
    <w:rsid w:val="005E2D28"/>
    <w:rsid w:val="005E2F73"/>
    <w:rsid w:val="005E45A7"/>
    <w:rsid w:val="005E69C0"/>
    <w:rsid w:val="005E787D"/>
    <w:rsid w:val="005F2619"/>
    <w:rsid w:val="005F2D0B"/>
    <w:rsid w:val="005F75DE"/>
    <w:rsid w:val="006003B2"/>
    <w:rsid w:val="00601732"/>
    <w:rsid w:val="006024D6"/>
    <w:rsid w:val="006034E4"/>
    <w:rsid w:val="00605F65"/>
    <w:rsid w:val="00606129"/>
    <w:rsid w:val="00613698"/>
    <w:rsid w:val="00617620"/>
    <w:rsid w:val="006247E5"/>
    <w:rsid w:val="006250ED"/>
    <w:rsid w:val="00625342"/>
    <w:rsid w:val="00626876"/>
    <w:rsid w:val="00632D33"/>
    <w:rsid w:val="0063305B"/>
    <w:rsid w:val="00633C9B"/>
    <w:rsid w:val="00634A5B"/>
    <w:rsid w:val="006351F8"/>
    <w:rsid w:val="00642E2A"/>
    <w:rsid w:val="00650126"/>
    <w:rsid w:val="00650C25"/>
    <w:rsid w:val="00650D3B"/>
    <w:rsid w:val="0065347E"/>
    <w:rsid w:val="00654E49"/>
    <w:rsid w:val="006567AD"/>
    <w:rsid w:val="006578D7"/>
    <w:rsid w:val="00657EFF"/>
    <w:rsid w:val="00660AB3"/>
    <w:rsid w:val="00661480"/>
    <w:rsid w:val="00666287"/>
    <w:rsid w:val="006707CD"/>
    <w:rsid w:val="00670F00"/>
    <w:rsid w:val="00671368"/>
    <w:rsid w:val="00672941"/>
    <w:rsid w:val="0067574A"/>
    <w:rsid w:val="006829A8"/>
    <w:rsid w:val="006852B6"/>
    <w:rsid w:val="0068642F"/>
    <w:rsid w:val="00686471"/>
    <w:rsid w:val="00693740"/>
    <w:rsid w:val="00694EA2"/>
    <w:rsid w:val="00694FEC"/>
    <w:rsid w:val="0069590D"/>
    <w:rsid w:val="00696D96"/>
    <w:rsid w:val="006A1651"/>
    <w:rsid w:val="006A3454"/>
    <w:rsid w:val="006A4259"/>
    <w:rsid w:val="006A5BE9"/>
    <w:rsid w:val="006A7170"/>
    <w:rsid w:val="006B0F32"/>
    <w:rsid w:val="006B2450"/>
    <w:rsid w:val="006B5C79"/>
    <w:rsid w:val="006C198F"/>
    <w:rsid w:val="006C1AB0"/>
    <w:rsid w:val="006C6746"/>
    <w:rsid w:val="006C7C58"/>
    <w:rsid w:val="006D081A"/>
    <w:rsid w:val="006D153D"/>
    <w:rsid w:val="006D31A7"/>
    <w:rsid w:val="006D4B09"/>
    <w:rsid w:val="006E0669"/>
    <w:rsid w:val="006E0FC2"/>
    <w:rsid w:val="006E53EF"/>
    <w:rsid w:val="006E691E"/>
    <w:rsid w:val="006E6C5B"/>
    <w:rsid w:val="006E74F7"/>
    <w:rsid w:val="006F0CA7"/>
    <w:rsid w:val="006F184E"/>
    <w:rsid w:val="006F4349"/>
    <w:rsid w:val="00700A9A"/>
    <w:rsid w:val="00701025"/>
    <w:rsid w:val="00702F03"/>
    <w:rsid w:val="00703E1C"/>
    <w:rsid w:val="00710EC7"/>
    <w:rsid w:val="00712397"/>
    <w:rsid w:val="00714455"/>
    <w:rsid w:val="00715BDE"/>
    <w:rsid w:val="007168A0"/>
    <w:rsid w:val="00717A87"/>
    <w:rsid w:val="007276AC"/>
    <w:rsid w:val="00731A2F"/>
    <w:rsid w:val="0073235C"/>
    <w:rsid w:val="00733D3A"/>
    <w:rsid w:val="007347B7"/>
    <w:rsid w:val="00737D28"/>
    <w:rsid w:val="007448C4"/>
    <w:rsid w:val="00744D60"/>
    <w:rsid w:val="007453F0"/>
    <w:rsid w:val="007506AE"/>
    <w:rsid w:val="00750944"/>
    <w:rsid w:val="00750F66"/>
    <w:rsid w:val="00754D67"/>
    <w:rsid w:val="00756380"/>
    <w:rsid w:val="007571FD"/>
    <w:rsid w:val="0076064F"/>
    <w:rsid w:val="00760C8F"/>
    <w:rsid w:val="007622F3"/>
    <w:rsid w:val="00763434"/>
    <w:rsid w:val="00765312"/>
    <w:rsid w:val="007671C8"/>
    <w:rsid w:val="007701B5"/>
    <w:rsid w:val="007734D0"/>
    <w:rsid w:val="00773EF4"/>
    <w:rsid w:val="00774E7C"/>
    <w:rsid w:val="00774EA6"/>
    <w:rsid w:val="007767AC"/>
    <w:rsid w:val="007815E3"/>
    <w:rsid w:val="00784C0E"/>
    <w:rsid w:val="00786806"/>
    <w:rsid w:val="0079478D"/>
    <w:rsid w:val="00797B41"/>
    <w:rsid w:val="007A382C"/>
    <w:rsid w:val="007A3E1A"/>
    <w:rsid w:val="007A40DC"/>
    <w:rsid w:val="007A5DC1"/>
    <w:rsid w:val="007A75EB"/>
    <w:rsid w:val="007B0FDD"/>
    <w:rsid w:val="007B5123"/>
    <w:rsid w:val="007C2325"/>
    <w:rsid w:val="007C4332"/>
    <w:rsid w:val="007C70A2"/>
    <w:rsid w:val="007D1CA1"/>
    <w:rsid w:val="007D3EAA"/>
    <w:rsid w:val="007D3F16"/>
    <w:rsid w:val="007D57D5"/>
    <w:rsid w:val="007F0737"/>
    <w:rsid w:val="007F0BF5"/>
    <w:rsid w:val="007F15EE"/>
    <w:rsid w:val="007F42E8"/>
    <w:rsid w:val="007F74A7"/>
    <w:rsid w:val="00803510"/>
    <w:rsid w:val="008111B6"/>
    <w:rsid w:val="008117DD"/>
    <w:rsid w:val="0081515F"/>
    <w:rsid w:val="00821675"/>
    <w:rsid w:val="008224DC"/>
    <w:rsid w:val="00826423"/>
    <w:rsid w:val="00830B88"/>
    <w:rsid w:val="008338A0"/>
    <w:rsid w:val="00834C89"/>
    <w:rsid w:val="00841D3F"/>
    <w:rsid w:val="008421B3"/>
    <w:rsid w:val="00842B6A"/>
    <w:rsid w:val="00843998"/>
    <w:rsid w:val="008476F1"/>
    <w:rsid w:val="00847800"/>
    <w:rsid w:val="00847B58"/>
    <w:rsid w:val="0085065C"/>
    <w:rsid w:val="008551D6"/>
    <w:rsid w:val="008607FD"/>
    <w:rsid w:val="0086084C"/>
    <w:rsid w:val="0086187A"/>
    <w:rsid w:val="00862F09"/>
    <w:rsid w:val="00866618"/>
    <w:rsid w:val="0086670A"/>
    <w:rsid w:val="00866E1E"/>
    <w:rsid w:val="008713B3"/>
    <w:rsid w:val="00871DB4"/>
    <w:rsid w:val="0087270B"/>
    <w:rsid w:val="00874386"/>
    <w:rsid w:val="00875143"/>
    <w:rsid w:val="008764AA"/>
    <w:rsid w:val="00881552"/>
    <w:rsid w:val="00882984"/>
    <w:rsid w:val="00883BD3"/>
    <w:rsid w:val="0088571C"/>
    <w:rsid w:val="00885E39"/>
    <w:rsid w:val="00886444"/>
    <w:rsid w:val="00892E53"/>
    <w:rsid w:val="00893168"/>
    <w:rsid w:val="00893862"/>
    <w:rsid w:val="00893E84"/>
    <w:rsid w:val="008970F3"/>
    <w:rsid w:val="008A04D4"/>
    <w:rsid w:val="008A19E7"/>
    <w:rsid w:val="008A214C"/>
    <w:rsid w:val="008A3553"/>
    <w:rsid w:val="008A6416"/>
    <w:rsid w:val="008A6552"/>
    <w:rsid w:val="008B0947"/>
    <w:rsid w:val="008B1F6B"/>
    <w:rsid w:val="008B5E01"/>
    <w:rsid w:val="008B65CB"/>
    <w:rsid w:val="008C3FE7"/>
    <w:rsid w:val="008C7005"/>
    <w:rsid w:val="008D125A"/>
    <w:rsid w:val="008D5CD4"/>
    <w:rsid w:val="008D5D57"/>
    <w:rsid w:val="008D7013"/>
    <w:rsid w:val="008E1CC4"/>
    <w:rsid w:val="008E564B"/>
    <w:rsid w:val="008E6039"/>
    <w:rsid w:val="008E7414"/>
    <w:rsid w:val="008E75E6"/>
    <w:rsid w:val="008F2EE5"/>
    <w:rsid w:val="008F497F"/>
    <w:rsid w:val="008F4D1B"/>
    <w:rsid w:val="008F7E90"/>
    <w:rsid w:val="008F7F7F"/>
    <w:rsid w:val="0090202E"/>
    <w:rsid w:val="009070BC"/>
    <w:rsid w:val="00907C6C"/>
    <w:rsid w:val="00912796"/>
    <w:rsid w:val="00912A0C"/>
    <w:rsid w:val="00912B6D"/>
    <w:rsid w:val="00920628"/>
    <w:rsid w:val="00920902"/>
    <w:rsid w:val="009252E8"/>
    <w:rsid w:val="0092530F"/>
    <w:rsid w:val="00927102"/>
    <w:rsid w:val="00934C20"/>
    <w:rsid w:val="009359B7"/>
    <w:rsid w:val="00936E01"/>
    <w:rsid w:val="00943D29"/>
    <w:rsid w:val="00943E9D"/>
    <w:rsid w:val="00945C88"/>
    <w:rsid w:val="009461B0"/>
    <w:rsid w:val="009501ED"/>
    <w:rsid w:val="009514FA"/>
    <w:rsid w:val="00955971"/>
    <w:rsid w:val="00956744"/>
    <w:rsid w:val="00961684"/>
    <w:rsid w:val="00965764"/>
    <w:rsid w:val="00970553"/>
    <w:rsid w:val="0097247B"/>
    <w:rsid w:val="00972F4C"/>
    <w:rsid w:val="009769AF"/>
    <w:rsid w:val="00981F19"/>
    <w:rsid w:val="00984AAE"/>
    <w:rsid w:val="009855DE"/>
    <w:rsid w:val="0099411B"/>
    <w:rsid w:val="009959DD"/>
    <w:rsid w:val="00995B8C"/>
    <w:rsid w:val="009966BA"/>
    <w:rsid w:val="009A161D"/>
    <w:rsid w:val="009A1997"/>
    <w:rsid w:val="009A227B"/>
    <w:rsid w:val="009A4BA4"/>
    <w:rsid w:val="009A586E"/>
    <w:rsid w:val="009A62FD"/>
    <w:rsid w:val="009B125E"/>
    <w:rsid w:val="009B3E31"/>
    <w:rsid w:val="009B413A"/>
    <w:rsid w:val="009C2532"/>
    <w:rsid w:val="009C2C94"/>
    <w:rsid w:val="009C314D"/>
    <w:rsid w:val="009C3BB1"/>
    <w:rsid w:val="009C494A"/>
    <w:rsid w:val="009C61C5"/>
    <w:rsid w:val="009C75D8"/>
    <w:rsid w:val="009C7A51"/>
    <w:rsid w:val="009D136C"/>
    <w:rsid w:val="009D18F0"/>
    <w:rsid w:val="009D3E55"/>
    <w:rsid w:val="009D4D8D"/>
    <w:rsid w:val="009D7025"/>
    <w:rsid w:val="009E0A0E"/>
    <w:rsid w:val="009E21B5"/>
    <w:rsid w:val="009E335E"/>
    <w:rsid w:val="009E3542"/>
    <w:rsid w:val="009E4B09"/>
    <w:rsid w:val="009F0C9D"/>
    <w:rsid w:val="009F4B9D"/>
    <w:rsid w:val="009F6169"/>
    <w:rsid w:val="00A016F9"/>
    <w:rsid w:val="00A01C82"/>
    <w:rsid w:val="00A022BC"/>
    <w:rsid w:val="00A03BF7"/>
    <w:rsid w:val="00A04567"/>
    <w:rsid w:val="00A05B98"/>
    <w:rsid w:val="00A13B92"/>
    <w:rsid w:val="00A2108B"/>
    <w:rsid w:val="00A221F9"/>
    <w:rsid w:val="00A22249"/>
    <w:rsid w:val="00A2428C"/>
    <w:rsid w:val="00A245B4"/>
    <w:rsid w:val="00A4447D"/>
    <w:rsid w:val="00A45E6E"/>
    <w:rsid w:val="00A615CC"/>
    <w:rsid w:val="00A617F3"/>
    <w:rsid w:val="00A67933"/>
    <w:rsid w:val="00A73DAD"/>
    <w:rsid w:val="00A75362"/>
    <w:rsid w:val="00A76A37"/>
    <w:rsid w:val="00A85113"/>
    <w:rsid w:val="00A90AEE"/>
    <w:rsid w:val="00A9195F"/>
    <w:rsid w:val="00A96349"/>
    <w:rsid w:val="00AA22EB"/>
    <w:rsid w:val="00AA686C"/>
    <w:rsid w:val="00AB6E39"/>
    <w:rsid w:val="00AC1096"/>
    <w:rsid w:val="00AC247A"/>
    <w:rsid w:val="00AC2487"/>
    <w:rsid w:val="00AD032B"/>
    <w:rsid w:val="00AD39A4"/>
    <w:rsid w:val="00AD5815"/>
    <w:rsid w:val="00AD5E73"/>
    <w:rsid w:val="00AE2840"/>
    <w:rsid w:val="00AE5606"/>
    <w:rsid w:val="00AE6864"/>
    <w:rsid w:val="00AE7B1D"/>
    <w:rsid w:val="00AF09FB"/>
    <w:rsid w:val="00B000FA"/>
    <w:rsid w:val="00B00935"/>
    <w:rsid w:val="00B02AEB"/>
    <w:rsid w:val="00B076F3"/>
    <w:rsid w:val="00B078A3"/>
    <w:rsid w:val="00B1123F"/>
    <w:rsid w:val="00B14DFB"/>
    <w:rsid w:val="00B175A3"/>
    <w:rsid w:val="00B208F1"/>
    <w:rsid w:val="00B2347B"/>
    <w:rsid w:val="00B25547"/>
    <w:rsid w:val="00B25DF2"/>
    <w:rsid w:val="00B274FF"/>
    <w:rsid w:val="00B338B3"/>
    <w:rsid w:val="00B35DA3"/>
    <w:rsid w:val="00B367E2"/>
    <w:rsid w:val="00B4140A"/>
    <w:rsid w:val="00B414F6"/>
    <w:rsid w:val="00B418A0"/>
    <w:rsid w:val="00B4677D"/>
    <w:rsid w:val="00B47C1F"/>
    <w:rsid w:val="00B50507"/>
    <w:rsid w:val="00B50B82"/>
    <w:rsid w:val="00B51178"/>
    <w:rsid w:val="00B6037B"/>
    <w:rsid w:val="00B608F7"/>
    <w:rsid w:val="00B649B3"/>
    <w:rsid w:val="00B712B9"/>
    <w:rsid w:val="00B71BA0"/>
    <w:rsid w:val="00B720A7"/>
    <w:rsid w:val="00B72617"/>
    <w:rsid w:val="00B76985"/>
    <w:rsid w:val="00B77A15"/>
    <w:rsid w:val="00B80FE4"/>
    <w:rsid w:val="00B81030"/>
    <w:rsid w:val="00B812B0"/>
    <w:rsid w:val="00B826C2"/>
    <w:rsid w:val="00B83B77"/>
    <w:rsid w:val="00B856D9"/>
    <w:rsid w:val="00B86C5A"/>
    <w:rsid w:val="00B87233"/>
    <w:rsid w:val="00B92048"/>
    <w:rsid w:val="00BA1BC6"/>
    <w:rsid w:val="00BA2EBF"/>
    <w:rsid w:val="00BA3B39"/>
    <w:rsid w:val="00BA5C36"/>
    <w:rsid w:val="00BA6303"/>
    <w:rsid w:val="00BA6969"/>
    <w:rsid w:val="00BB3B6D"/>
    <w:rsid w:val="00BB496C"/>
    <w:rsid w:val="00BB5A47"/>
    <w:rsid w:val="00BB6042"/>
    <w:rsid w:val="00BB711E"/>
    <w:rsid w:val="00BC2A47"/>
    <w:rsid w:val="00BC5AB2"/>
    <w:rsid w:val="00BC6CB9"/>
    <w:rsid w:val="00BC70FF"/>
    <w:rsid w:val="00BD5B47"/>
    <w:rsid w:val="00BE1501"/>
    <w:rsid w:val="00BE17C3"/>
    <w:rsid w:val="00BE5284"/>
    <w:rsid w:val="00BE7D7A"/>
    <w:rsid w:val="00BF06D2"/>
    <w:rsid w:val="00BF11D1"/>
    <w:rsid w:val="00BF223F"/>
    <w:rsid w:val="00BF432E"/>
    <w:rsid w:val="00BF754D"/>
    <w:rsid w:val="00C00F20"/>
    <w:rsid w:val="00C01414"/>
    <w:rsid w:val="00C02722"/>
    <w:rsid w:val="00C06048"/>
    <w:rsid w:val="00C06F76"/>
    <w:rsid w:val="00C12182"/>
    <w:rsid w:val="00C12E5C"/>
    <w:rsid w:val="00C13743"/>
    <w:rsid w:val="00C16D2C"/>
    <w:rsid w:val="00C2056B"/>
    <w:rsid w:val="00C20AC6"/>
    <w:rsid w:val="00C2344A"/>
    <w:rsid w:val="00C24791"/>
    <w:rsid w:val="00C32084"/>
    <w:rsid w:val="00C34026"/>
    <w:rsid w:val="00C449F8"/>
    <w:rsid w:val="00C44F13"/>
    <w:rsid w:val="00C47F71"/>
    <w:rsid w:val="00C50C3B"/>
    <w:rsid w:val="00C50E15"/>
    <w:rsid w:val="00C5399D"/>
    <w:rsid w:val="00C579AD"/>
    <w:rsid w:val="00C6092A"/>
    <w:rsid w:val="00C613FC"/>
    <w:rsid w:val="00C62E44"/>
    <w:rsid w:val="00C641AD"/>
    <w:rsid w:val="00C72D41"/>
    <w:rsid w:val="00C73FA3"/>
    <w:rsid w:val="00C74843"/>
    <w:rsid w:val="00C75049"/>
    <w:rsid w:val="00C80F26"/>
    <w:rsid w:val="00C814A8"/>
    <w:rsid w:val="00C83AEB"/>
    <w:rsid w:val="00C83DAB"/>
    <w:rsid w:val="00C85CF7"/>
    <w:rsid w:val="00C860BB"/>
    <w:rsid w:val="00C92B72"/>
    <w:rsid w:val="00CA1153"/>
    <w:rsid w:val="00CA1420"/>
    <w:rsid w:val="00CA784E"/>
    <w:rsid w:val="00CB0DC2"/>
    <w:rsid w:val="00CB54CA"/>
    <w:rsid w:val="00CB577F"/>
    <w:rsid w:val="00CB6258"/>
    <w:rsid w:val="00CB75FA"/>
    <w:rsid w:val="00CC0302"/>
    <w:rsid w:val="00CC12BC"/>
    <w:rsid w:val="00CC41A5"/>
    <w:rsid w:val="00CC4DF7"/>
    <w:rsid w:val="00CC7E40"/>
    <w:rsid w:val="00CD126E"/>
    <w:rsid w:val="00CD1D78"/>
    <w:rsid w:val="00CD407D"/>
    <w:rsid w:val="00CD63C5"/>
    <w:rsid w:val="00CE19C4"/>
    <w:rsid w:val="00CE2BD5"/>
    <w:rsid w:val="00CE4753"/>
    <w:rsid w:val="00CE50D3"/>
    <w:rsid w:val="00CF5B31"/>
    <w:rsid w:val="00CF7A31"/>
    <w:rsid w:val="00D01C77"/>
    <w:rsid w:val="00D0466D"/>
    <w:rsid w:val="00D04D33"/>
    <w:rsid w:val="00D07225"/>
    <w:rsid w:val="00D122AA"/>
    <w:rsid w:val="00D12719"/>
    <w:rsid w:val="00D17C22"/>
    <w:rsid w:val="00D30163"/>
    <w:rsid w:val="00D31D3C"/>
    <w:rsid w:val="00D327E0"/>
    <w:rsid w:val="00D34878"/>
    <w:rsid w:val="00D3636E"/>
    <w:rsid w:val="00D37674"/>
    <w:rsid w:val="00D37BCF"/>
    <w:rsid w:val="00D42AAD"/>
    <w:rsid w:val="00D44EB5"/>
    <w:rsid w:val="00D4662D"/>
    <w:rsid w:val="00D47C7B"/>
    <w:rsid w:val="00D502E0"/>
    <w:rsid w:val="00D52CFC"/>
    <w:rsid w:val="00D5616F"/>
    <w:rsid w:val="00D5745D"/>
    <w:rsid w:val="00D57616"/>
    <w:rsid w:val="00D62735"/>
    <w:rsid w:val="00D62BCE"/>
    <w:rsid w:val="00D641FB"/>
    <w:rsid w:val="00D66CD8"/>
    <w:rsid w:val="00D70AB7"/>
    <w:rsid w:val="00D722B3"/>
    <w:rsid w:val="00D74475"/>
    <w:rsid w:val="00D7573D"/>
    <w:rsid w:val="00D76C0E"/>
    <w:rsid w:val="00D819D8"/>
    <w:rsid w:val="00D85E57"/>
    <w:rsid w:val="00D872DE"/>
    <w:rsid w:val="00D928E3"/>
    <w:rsid w:val="00D947AE"/>
    <w:rsid w:val="00D95017"/>
    <w:rsid w:val="00D95A1E"/>
    <w:rsid w:val="00DB1FCD"/>
    <w:rsid w:val="00DB41D9"/>
    <w:rsid w:val="00DB7153"/>
    <w:rsid w:val="00DC10A2"/>
    <w:rsid w:val="00DC1D30"/>
    <w:rsid w:val="00DC2F13"/>
    <w:rsid w:val="00DD345A"/>
    <w:rsid w:val="00DD5EFB"/>
    <w:rsid w:val="00DD7C1C"/>
    <w:rsid w:val="00DE0C21"/>
    <w:rsid w:val="00DE1F88"/>
    <w:rsid w:val="00DE373B"/>
    <w:rsid w:val="00DE7B35"/>
    <w:rsid w:val="00DF1FA5"/>
    <w:rsid w:val="00DF2349"/>
    <w:rsid w:val="00DF287A"/>
    <w:rsid w:val="00DF2986"/>
    <w:rsid w:val="00DF2D99"/>
    <w:rsid w:val="00DF2E0D"/>
    <w:rsid w:val="00DF2F6E"/>
    <w:rsid w:val="00E01295"/>
    <w:rsid w:val="00E0384D"/>
    <w:rsid w:val="00E038B6"/>
    <w:rsid w:val="00E05115"/>
    <w:rsid w:val="00E11695"/>
    <w:rsid w:val="00E122F7"/>
    <w:rsid w:val="00E1596D"/>
    <w:rsid w:val="00E15FC7"/>
    <w:rsid w:val="00E2251F"/>
    <w:rsid w:val="00E25EF0"/>
    <w:rsid w:val="00E25FF2"/>
    <w:rsid w:val="00E30643"/>
    <w:rsid w:val="00E3534B"/>
    <w:rsid w:val="00E35E7F"/>
    <w:rsid w:val="00E36750"/>
    <w:rsid w:val="00E36781"/>
    <w:rsid w:val="00E41B5D"/>
    <w:rsid w:val="00E45167"/>
    <w:rsid w:val="00E45E4C"/>
    <w:rsid w:val="00E4600B"/>
    <w:rsid w:val="00E51414"/>
    <w:rsid w:val="00E52A7D"/>
    <w:rsid w:val="00E53F48"/>
    <w:rsid w:val="00E54047"/>
    <w:rsid w:val="00E556E6"/>
    <w:rsid w:val="00E644DB"/>
    <w:rsid w:val="00E64F98"/>
    <w:rsid w:val="00E66DBA"/>
    <w:rsid w:val="00E76C23"/>
    <w:rsid w:val="00E773A5"/>
    <w:rsid w:val="00E81ECD"/>
    <w:rsid w:val="00E8505A"/>
    <w:rsid w:val="00E85401"/>
    <w:rsid w:val="00E875B8"/>
    <w:rsid w:val="00E879CE"/>
    <w:rsid w:val="00E94978"/>
    <w:rsid w:val="00E96457"/>
    <w:rsid w:val="00EA09F4"/>
    <w:rsid w:val="00EA2FBC"/>
    <w:rsid w:val="00EB49C4"/>
    <w:rsid w:val="00EC1696"/>
    <w:rsid w:val="00EC4D03"/>
    <w:rsid w:val="00EC6467"/>
    <w:rsid w:val="00ED630E"/>
    <w:rsid w:val="00EE041C"/>
    <w:rsid w:val="00EE1CFF"/>
    <w:rsid w:val="00EE66E6"/>
    <w:rsid w:val="00EE68DB"/>
    <w:rsid w:val="00EE6CDF"/>
    <w:rsid w:val="00EE7B58"/>
    <w:rsid w:val="00EF3D9B"/>
    <w:rsid w:val="00EF6257"/>
    <w:rsid w:val="00F01726"/>
    <w:rsid w:val="00F04307"/>
    <w:rsid w:val="00F07D76"/>
    <w:rsid w:val="00F12A72"/>
    <w:rsid w:val="00F13C9A"/>
    <w:rsid w:val="00F14728"/>
    <w:rsid w:val="00F16CE4"/>
    <w:rsid w:val="00F17E8D"/>
    <w:rsid w:val="00F24574"/>
    <w:rsid w:val="00F24E16"/>
    <w:rsid w:val="00F25FCC"/>
    <w:rsid w:val="00F2619A"/>
    <w:rsid w:val="00F32CBD"/>
    <w:rsid w:val="00F3364F"/>
    <w:rsid w:val="00F33A58"/>
    <w:rsid w:val="00F366D5"/>
    <w:rsid w:val="00F43B24"/>
    <w:rsid w:val="00F43F4A"/>
    <w:rsid w:val="00F4485B"/>
    <w:rsid w:val="00F4698C"/>
    <w:rsid w:val="00F471F0"/>
    <w:rsid w:val="00F4789F"/>
    <w:rsid w:val="00F61045"/>
    <w:rsid w:val="00F61950"/>
    <w:rsid w:val="00F627A6"/>
    <w:rsid w:val="00F62EB8"/>
    <w:rsid w:val="00F633AF"/>
    <w:rsid w:val="00F637F0"/>
    <w:rsid w:val="00F66852"/>
    <w:rsid w:val="00F71192"/>
    <w:rsid w:val="00F713F6"/>
    <w:rsid w:val="00F731CE"/>
    <w:rsid w:val="00F733E2"/>
    <w:rsid w:val="00F741D5"/>
    <w:rsid w:val="00F767C4"/>
    <w:rsid w:val="00F77AEE"/>
    <w:rsid w:val="00F80794"/>
    <w:rsid w:val="00F81A54"/>
    <w:rsid w:val="00F860D4"/>
    <w:rsid w:val="00F90B9E"/>
    <w:rsid w:val="00F91DBB"/>
    <w:rsid w:val="00F92B32"/>
    <w:rsid w:val="00FA3319"/>
    <w:rsid w:val="00FA7342"/>
    <w:rsid w:val="00FC1CD4"/>
    <w:rsid w:val="00FC30C1"/>
    <w:rsid w:val="00FC3D53"/>
    <w:rsid w:val="00FC6E7E"/>
    <w:rsid w:val="00FD2730"/>
    <w:rsid w:val="00FD2E8E"/>
    <w:rsid w:val="00FD6D00"/>
    <w:rsid w:val="00FD7D3F"/>
    <w:rsid w:val="00FE16E2"/>
    <w:rsid w:val="00FE64CA"/>
    <w:rsid w:val="00FF4AD7"/>
    <w:rsid w:val="00FF5E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54E32"/>
  <w15:docId w15:val="{01014848-1BB3-4E12-9B87-DCDEC333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link w:val="FootnoteTextChar"/>
    <w:uiPriority w:val="99"/>
    <w:unhideWhenUsed/>
    <w:rsid w:val="003E76C5"/>
    <w:pPr>
      <w:spacing w:after="120"/>
    </w:pPr>
    <w:rPr>
      <w:rFonts w:ascii="Calibri" w:hAnsi="Calibri"/>
      <w:sz w:val="18"/>
      <w:szCs w:val="20"/>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ind w:left="851" w:hanging="284"/>
    </w:pPr>
  </w:style>
  <w:style w:type="paragraph" w:customStyle="1" w:styleId="Bulletlist2">
    <w:name w:val="Bullet list 2"/>
    <w:basedOn w:val="Bulletlist1"/>
    <w:link w:val="Bulletlist2Char"/>
    <w:qFormat/>
    <w:rsid w:val="00EC1696"/>
    <w:pPr>
      <w:ind w:left="1418"/>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ind w:left="1985"/>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8"/>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ind w:left="0" w:firstLine="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QuestionQuote">
    <w:name w:val="Question Quote"/>
    <w:basedOn w:val="Blockquote"/>
    <w:link w:val="QuestionQuoteChar"/>
    <w:qFormat/>
    <w:rsid w:val="006C1AB0"/>
    <w:pPr>
      <w:shd w:val="pct5" w:color="auto" w:fill="auto"/>
      <w:ind w:left="720"/>
      <w:contextualSpacing/>
    </w:pPr>
  </w:style>
  <w:style w:type="character" w:customStyle="1" w:styleId="QuestionQuoteChar">
    <w:name w:val="Question Quote Char"/>
    <w:basedOn w:val="BlockquoteChar"/>
    <w:link w:val="QuestionQuote"/>
    <w:rsid w:val="006C1AB0"/>
    <w:rPr>
      <w:rFonts w:ascii="Calibri" w:eastAsiaTheme="minorEastAsia" w:hAnsi="Calibri"/>
      <w:shd w:val="pct5" w:color="auto" w:fill="auto"/>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0"/>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9"/>
      </w:numPr>
    </w:pPr>
  </w:style>
  <w:style w:type="paragraph" w:styleId="Quote">
    <w:name w:val="Quote"/>
    <w:basedOn w:val="Normal"/>
    <w:next w:val="Normal"/>
    <w:link w:val="QuoteChar"/>
    <w:uiPriority w:val="29"/>
    <w:rsid w:val="006C1A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1AB0"/>
    <w:rPr>
      <w:rFonts w:ascii="Calibri" w:eastAsiaTheme="minorEastAsia" w:hAnsi="Calibri"/>
      <w:i/>
      <w:iCs/>
      <w:color w:val="404040" w:themeColor="text1" w:themeTint="BF"/>
      <w:lang w:eastAsia="en-AU"/>
    </w:rPr>
  </w:style>
  <w:style w:type="character" w:styleId="UnresolvedMention">
    <w:name w:val="Unresolved Mention"/>
    <w:basedOn w:val="DefaultParagraphFont"/>
    <w:uiPriority w:val="99"/>
    <w:semiHidden/>
    <w:unhideWhenUsed/>
    <w:rsid w:val="0025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725">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17675500">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5608725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986395550">
      <w:bodyDiv w:val="1"/>
      <w:marLeft w:val="0"/>
      <w:marRight w:val="0"/>
      <w:marTop w:val="0"/>
      <w:marBottom w:val="0"/>
      <w:divBdr>
        <w:top w:val="none" w:sz="0" w:space="0" w:color="auto"/>
        <w:left w:val="none" w:sz="0" w:space="0" w:color="auto"/>
        <w:bottom w:val="none" w:sz="0" w:space="0" w:color="auto"/>
        <w:right w:val="none" w:sz="0" w:space="0" w:color="auto"/>
      </w:divBdr>
    </w:div>
    <w:div w:id="1262497014">
      <w:bodyDiv w:val="1"/>
      <w:marLeft w:val="0"/>
      <w:marRight w:val="0"/>
      <w:marTop w:val="0"/>
      <w:marBottom w:val="0"/>
      <w:divBdr>
        <w:top w:val="none" w:sz="0" w:space="0" w:color="auto"/>
        <w:left w:val="none" w:sz="0" w:space="0" w:color="auto"/>
        <w:bottom w:val="none" w:sz="0" w:space="0" w:color="auto"/>
        <w:right w:val="none" w:sz="0" w:space="0" w:color="auto"/>
      </w:divBdr>
    </w:div>
    <w:div w:id="1377508791">
      <w:bodyDiv w:val="1"/>
      <w:marLeft w:val="0"/>
      <w:marRight w:val="0"/>
      <w:marTop w:val="0"/>
      <w:marBottom w:val="0"/>
      <w:divBdr>
        <w:top w:val="none" w:sz="0" w:space="0" w:color="auto"/>
        <w:left w:val="none" w:sz="0" w:space="0" w:color="auto"/>
        <w:bottom w:val="none" w:sz="0" w:space="0" w:color="auto"/>
        <w:right w:val="none" w:sz="0" w:space="0" w:color="auto"/>
      </w:divBdr>
    </w:div>
    <w:div w:id="1425612712">
      <w:bodyDiv w:val="1"/>
      <w:marLeft w:val="0"/>
      <w:marRight w:val="0"/>
      <w:marTop w:val="0"/>
      <w:marBottom w:val="0"/>
      <w:divBdr>
        <w:top w:val="none" w:sz="0" w:space="0" w:color="auto"/>
        <w:left w:val="none" w:sz="0" w:space="0" w:color="auto"/>
        <w:bottom w:val="none" w:sz="0" w:space="0" w:color="auto"/>
        <w:right w:val="none" w:sz="0" w:space="0" w:color="auto"/>
      </w:divBdr>
    </w:div>
    <w:div w:id="1838381723">
      <w:bodyDiv w:val="1"/>
      <w:marLeft w:val="0"/>
      <w:marRight w:val="0"/>
      <w:marTop w:val="0"/>
      <w:marBottom w:val="0"/>
      <w:divBdr>
        <w:top w:val="none" w:sz="0" w:space="0" w:color="auto"/>
        <w:left w:val="none" w:sz="0" w:space="0" w:color="auto"/>
        <w:bottom w:val="none" w:sz="0" w:space="0" w:color="auto"/>
        <w:right w:val="none" w:sz="0" w:space="0" w:color="auto"/>
      </w:divBdr>
    </w:div>
    <w:div w:id="18588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Kininmonth\ACCAN\ACCAN%20-%20ACCAN%20Docs\Policy%20&amp;%20Campaigns\Policy%20Issues\Consumer%20Data%20Right\CDR%20Rules%20and%20Standards%20Paper%20March%202022\ACCAN%20submission%20Consumer%20Data%20Right%20Telecommunications%20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2119C-E970-4D43-A03B-75B2CD38A80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2afa1a33-c191-48ee-b288-192490d33fec"/>
    <ds:schemaRef ds:uri="2d8fb88f-3a1f-4799-a700-b6f357ce140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50A41A5-DBEE-4DDC-84CE-DBC574EF5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ACCAN submission Consumer Data Right Telecommunications Sector</Template>
  <TotalTime>446</TotalTime>
  <Pages>21</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25299</CharactersWithSpaces>
  <SharedDoc>false</SharedDoc>
  <HLinks>
    <vt:vector size="54" baseType="variant">
      <vt:variant>
        <vt:i4>1638454</vt:i4>
      </vt:variant>
      <vt:variant>
        <vt:i4>38</vt:i4>
      </vt:variant>
      <vt:variant>
        <vt:i4>0</vt:i4>
      </vt:variant>
      <vt:variant>
        <vt:i4>5</vt:i4>
      </vt:variant>
      <vt:variant>
        <vt:lpwstr/>
      </vt:variant>
      <vt:variant>
        <vt:lpwstr>_Toc100059271</vt:lpwstr>
      </vt:variant>
      <vt:variant>
        <vt:i4>1638454</vt:i4>
      </vt:variant>
      <vt:variant>
        <vt:i4>32</vt:i4>
      </vt:variant>
      <vt:variant>
        <vt:i4>0</vt:i4>
      </vt:variant>
      <vt:variant>
        <vt:i4>5</vt:i4>
      </vt:variant>
      <vt:variant>
        <vt:lpwstr/>
      </vt:variant>
      <vt:variant>
        <vt:lpwstr>_Toc100059270</vt:lpwstr>
      </vt:variant>
      <vt:variant>
        <vt:i4>1572918</vt:i4>
      </vt:variant>
      <vt:variant>
        <vt:i4>26</vt:i4>
      </vt:variant>
      <vt:variant>
        <vt:i4>0</vt:i4>
      </vt:variant>
      <vt:variant>
        <vt:i4>5</vt:i4>
      </vt:variant>
      <vt:variant>
        <vt:lpwstr/>
      </vt:variant>
      <vt:variant>
        <vt:lpwstr>_Toc100059269</vt:lpwstr>
      </vt:variant>
      <vt:variant>
        <vt:i4>1572918</vt:i4>
      </vt:variant>
      <vt:variant>
        <vt:i4>20</vt:i4>
      </vt:variant>
      <vt:variant>
        <vt:i4>0</vt:i4>
      </vt:variant>
      <vt:variant>
        <vt:i4>5</vt:i4>
      </vt:variant>
      <vt:variant>
        <vt:lpwstr/>
      </vt:variant>
      <vt:variant>
        <vt:lpwstr>_Toc100059268</vt:lpwstr>
      </vt:variant>
      <vt:variant>
        <vt:i4>1572918</vt:i4>
      </vt:variant>
      <vt:variant>
        <vt:i4>14</vt:i4>
      </vt:variant>
      <vt:variant>
        <vt:i4>0</vt:i4>
      </vt:variant>
      <vt:variant>
        <vt:i4>5</vt:i4>
      </vt:variant>
      <vt:variant>
        <vt:lpwstr/>
      </vt:variant>
      <vt:variant>
        <vt:lpwstr>_Toc100059267</vt:lpwstr>
      </vt:variant>
      <vt:variant>
        <vt:i4>1572918</vt:i4>
      </vt:variant>
      <vt:variant>
        <vt:i4>8</vt:i4>
      </vt:variant>
      <vt:variant>
        <vt:i4>0</vt:i4>
      </vt:variant>
      <vt:variant>
        <vt:i4>5</vt:i4>
      </vt:variant>
      <vt:variant>
        <vt:lpwstr/>
      </vt:variant>
      <vt:variant>
        <vt:lpwstr>_Toc100059266</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2490480</vt:i4>
      </vt:variant>
      <vt:variant>
        <vt:i4>3</vt:i4>
      </vt:variant>
      <vt:variant>
        <vt:i4>0</vt:i4>
      </vt:variant>
      <vt:variant>
        <vt:i4>5</vt:i4>
      </vt:variant>
      <vt:variant>
        <vt:lpwstr>http://relayservice.gov.au/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Kininmonth</dc:creator>
  <cp:keywords/>
  <cp:lastModifiedBy>Caidee Heriot</cp:lastModifiedBy>
  <cp:revision>211</cp:revision>
  <cp:lastPrinted>2022-04-06T23:34:00Z</cp:lastPrinted>
  <dcterms:created xsi:type="dcterms:W3CDTF">2022-04-02T00:32:00Z</dcterms:created>
  <dcterms:modified xsi:type="dcterms:W3CDTF">2022-04-06T23:34:00Z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