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49B3" w14:textId="1D34EE98" w:rsidR="00C7127B" w:rsidRPr="00D93E22" w:rsidRDefault="00B30305" w:rsidP="00592AE9">
      <w:r>
        <w:t>28 August 2020</w:t>
      </w:r>
    </w:p>
    <w:p w14:paraId="0CD0FA46" w14:textId="77777777" w:rsidR="00C7127B" w:rsidRPr="00D93E22" w:rsidRDefault="00C7127B" w:rsidP="00592AE9"/>
    <w:p w14:paraId="4270AF4E" w14:textId="6FE20C49" w:rsidR="00C7127B" w:rsidRDefault="00211026" w:rsidP="003860A7">
      <w:pPr>
        <w:spacing w:after="0"/>
      </w:pPr>
      <w:r w:rsidRPr="00D93E22">
        <w:t>Telecommunications Industry Ombudsman</w:t>
      </w:r>
    </w:p>
    <w:p w14:paraId="1396DF31" w14:textId="77777777" w:rsidR="00592AE9" w:rsidRDefault="00592AE9" w:rsidP="003860A7">
      <w:pPr>
        <w:spacing w:after="0"/>
      </w:pPr>
      <w:r w:rsidRPr="00592AE9">
        <w:t>PO Box 276</w:t>
      </w:r>
      <w:bookmarkStart w:id="0" w:name="_GoBack"/>
      <w:bookmarkEnd w:id="0"/>
    </w:p>
    <w:p w14:paraId="2F29D8E0" w14:textId="37A165E4" w:rsidR="00592AE9" w:rsidRPr="00D93E22" w:rsidRDefault="00592AE9" w:rsidP="003860A7">
      <w:pPr>
        <w:spacing w:after="0"/>
      </w:pPr>
      <w:r w:rsidRPr="00592AE9">
        <w:t>Collins Street West</w:t>
      </w:r>
      <w:r>
        <w:t xml:space="preserve"> </w:t>
      </w:r>
      <w:r w:rsidRPr="00592AE9">
        <w:t>VIC 8007</w:t>
      </w:r>
    </w:p>
    <w:p w14:paraId="45C5DFF0" w14:textId="7371CD68" w:rsidR="00D93E22" w:rsidRPr="003860A7" w:rsidRDefault="00C7127B" w:rsidP="003860A7">
      <w:pPr>
        <w:spacing w:after="0"/>
      </w:pPr>
      <w:r w:rsidRPr="003860A7">
        <w:t>Via email:</w:t>
      </w:r>
      <w:r w:rsidR="00AA4238" w:rsidRPr="003860A7">
        <w:t xml:space="preserve"> </w:t>
      </w:r>
      <w:hyperlink r:id="rId8" w:history="1">
        <w:r w:rsidR="00341857" w:rsidRPr="003860A7">
          <w:rPr>
            <w:rStyle w:val="Hyperlink"/>
          </w:rPr>
          <w:t>PublicConsultation@tio.com.au</w:t>
        </w:r>
      </w:hyperlink>
    </w:p>
    <w:p w14:paraId="5AD967CF" w14:textId="77777777" w:rsidR="00592AE9" w:rsidRDefault="00592AE9" w:rsidP="00592AE9"/>
    <w:p w14:paraId="3CE55A4C" w14:textId="113AE604" w:rsidR="00D93E22" w:rsidRPr="004A74F8" w:rsidRDefault="00D93E22" w:rsidP="00592AE9">
      <w:pPr>
        <w:pStyle w:val="Heading1"/>
      </w:pPr>
      <w:r w:rsidRPr="004A74F8">
        <w:t xml:space="preserve">Re: </w:t>
      </w:r>
      <w:r w:rsidR="00853557">
        <w:t xml:space="preserve">Consultation on </w:t>
      </w:r>
      <w:r w:rsidRPr="004A74F8">
        <w:t>Modernising the Telecommunications Industry Ombudsman Terms of Reference July 2020</w:t>
      </w:r>
      <w:r w:rsidR="00853557">
        <w:t xml:space="preserve"> </w:t>
      </w:r>
    </w:p>
    <w:p w14:paraId="1DE6B355" w14:textId="3E0F0959" w:rsidR="00C7127B" w:rsidRPr="00592AE9" w:rsidRDefault="00D93E22" w:rsidP="00A46879">
      <w:pPr>
        <w:spacing w:before="240"/>
      </w:pPr>
      <w:r w:rsidRPr="00592AE9">
        <w:t>The Australian Communications Consumer Action Network (</w:t>
      </w:r>
      <w:r w:rsidR="00C7127B" w:rsidRPr="00592AE9">
        <w:t>ACCAN</w:t>
      </w:r>
      <w:r w:rsidRPr="00592AE9">
        <w:t>)</w:t>
      </w:r>
      <w:r w:rsidR="00C7127B" w:rsidRPr="00592AE9">
        <w:t xml:space="preserve"> thanks the </w:t>
      </w:r>
      <w:r w:rsidR="00AA4238" w:rsidRPr="00592AE9">
        <w:t>Telecommunications Industry Ombudsman</w:t>
      </w:r>
      <w:r w:rsidR="00C7127B" w:rsidRPr="00592AE9">
        <w:t xml:space="preserve"> </w:t>
      </w:r>
      <w:r w:rsidR="009B6E60" w:rsidRPr="00592AE9">
        <w:t xml:space="preserve">(TIO) </w:t>
      </w:r>
      <w:r w:rsidR="00C7127B" w:rsidRPr="00592AE9">
        <w:t xml:space="preserve">for the opportunity to </w:t>
      </w:r>
      <w:r w:rsidR="003B45C0" w:rsidRPr="00592AE9">
        <w:t>respond to the</w:t>
      </w:r>
      <w:r w:rsidR="009B6E60" w:rsidRPr="00592AE9">
        <w:t xml:space="preserve"> questions raised </w:t>
      </w:r>
      <w:r w:rsidR="00853557">
        <w:t>in</w:t>
      </w:r>
      <w:r w:rsidR="009B6E60" w:rsidRPr="00592AE9">
        <w:t xml:space="preserve"> the Discussion Paper Modernising the Telecommunications Industry Ombudsman Terms of Reference July 2020.</w:t>
      </w:r>
    </w:p>
    <w:p w14:paraId="0BD4A1E4" w14:textId="7D31E21F" w:rsidR="00D3667C" w:rsidRPr="00592AE9" w:rsidRDefault="008E4B3A" w:rsidP="00592AE9">
      <w:r w:rsidRPr="00592AE9">
        <w:t>As the Discussion Paper highlights, evolving</w:t>
      </w:r>
      <w:r w:rsidR="00A77658" w:rsidRPr="00592AE9">
        <w:t xml:space="preserve"> technologies, changing consumer needs, and the growth of smart devices are significantly transforming the way the telco sector designs and offers products and services to consumers</w:t>
      </w:r>
      <w:r w:rsidR="00D93E22" w:rsidRPr="00592AE9">
        <w:t>.</w:t>
      </w:r>
      <w:r w:rsidR="00865795">
        <w:t>(</w:t>
      </w:r>
      <w:r w:rsidR="00D93E22" w:rsidRPr="00592AE9">
        <w:rPr>
          <w:rStyle w:val="FootnoteReference"/>
          <w:vertAlign w:val="baseline"/>
        </w:rPr>
        <w:footnoteReference w:id="1"/>
      </w:r>
      <w:r w:rsidR="00865795">
        <w:t>)</w:t>
      </w:r>
      <w:r w:rsidR="003B45C0" w:rsidRPr="00592AE9">
        <w:t xml:space="preserve"> It is essential that the </w:t>
      </w:r>
      <w:r w:rsidR="00A77658" w:rsidRPr="00592AE9">
        <w:t>TIO keep</w:t>
      </w:r>
      <w:r w:rsidR="003B45C0" w:rsidRPr="00592AE9">
        <w:t>s</w:t>
      </w:r>
      <w:r w:rsidR="00A77658" w:rsidRPr="00592AE9">
        <w:t xml:space="preserve"> pace with this rapidly changing landscape </w:t>
      </w:r>
      <w:r w:rsidRPr="00592AE9">
        <w:t>so that it continues</w:t>
      </w:r>
      <w:r w:rsidR="00A77658" w:rsidRPr="00592AE9">
        <w:t xml:space="preserve"> to meet community </w:t>
      </w:r>
      <w:r w:rsidR="00853557">
        <w:t xml:space="preserve">and consumer </w:t>
      </w:r>
      <w:r w:rsidR="00A77658" w:rsidRPr="00592AE9">
        <w:t>expectations.</w:t>
      </w:r>
      <w:r w:rsidR="004A74F8" w:rsidRPr="00592AE9">
        <w:t xml:space="preserve"> </w:t>
      </w:r>
      <w:r w:rsidR="002E3BE7" w:rsidRPr="00592AE9">
        <w:t xml:space="preserve">ACCAN </w:t>
      </w:r>
      <w:r w:rsidR="004A74F8" w:rsidRPr="00592AE9">
        <w:t xml:space="preserve">therefore </w:t>
      </w:r>
      <w:r w:rsidR="002E3BE7" w:rsidRPr="00592AE9">
        <w:t xml:space="preserve">welcomes the proposed adjustments to the TIO’s </w:t>
      </w:r>
      <w:r w:rsidR="00865795">
        <w:t>Terms of Reference</w:t>
      </w:r>
      <w:r w:rsidR="004A74F8" w:rsidRPr="00592AE9">
        <w:t>,</w:t>
      </w:r>
      <w:r w:rsidR="002E3BE7" w:rsidRPr="00592AE9">
        <w:t xml:space="preserve"> including an increase in compensation for consumers; extending the ability to accept complaints about devices and equipment</w:t>
      </w:r>
      <w:r w:rsidRPr="00592AE9">
        <w:t>;</w:t>
      </w:r>
      <w:r w:rsidR="00D3667C" w:rsidRPr="00592AE9">
        <w:t xml:space="preserve"> and</w:t>
      </w:r>
      <w:r w:rsidR="002E3BE7" w:rsidRPr="00592AE9">
        <w:t xml:space="preserve"> the ability to refer a consumer’s complaint to more than one </w:t>
      </w:r>
      <w:r w:rsidR="00597242" w:rsidRPr="00592AE9">
        <w:t>service</w:t>
      </w:r>
      <w:r w:rsidRPr="00592AE9">
        <w:t xml:space="preserve"> provider</w:t>
      </w:r>
      <w:r w:rsidR="002E3BE7" w:rsidRPr="00592AE9">
        <w:t>.</w:t>
      </w:r>
    </w:p>
    <w:p w14:paraId="166F2B22" w14:textId="5EF50257" w:rsidR="00C7127B" w:rsidRPr="00592AE9" w:rsidRDefault="00A344EF" w:rsidP="00592AE9">
      <w:pPr>
        <w:pStyle w:val="Heading2"/>
      </w:pPr>
      <w:r w:rsidRPr="00592AE9">
        <w:t>Q1 – Is the proposal to link the small business definition to the Australian Consumer Law the most appropriate test to use, or is there a better definition? What else should we consider when deciding whether a small business consumer is eligible to access our scheme?</w:t>
      </w:r>
    </w:p>
    <w:p w14:paraId="044A401B" w14:textId="27C90DEB" w:rsidR="00E52B00" w:rsidRDefault="00D848E2" w:rsidP="00A46879">
      <w:pPr>
        <w:spacing w:before="240"/>
      </w:pPr>
      <w:r w:rsidRPr="00D93E22">
        <w:t>ACCAN welcomes the proposal to link the definition of small business in the TIO Terms of Reference to the</w:t>
      </w:r>
      <w:r w:rsidR="00E8418F">
        <w:t xml:space="preserve"> definition for small business used for unfair contract terms protections in the</w:t>
      </w:r>
      <w:r w:rsidRPr="00D93E22">
        <w:t xml:space="preserve"> </w:t>
      </w:r>
      <w:r w:rsidRPr="00D93E22">
        <w:rPr>
          <w:i/>
          <w:iCs/>
        </w:rPr>
        <w:t>Australian Consumer Law</w:t>
      </w:r>
      <w:r w:rsidRPr="00D93E22">
        <w:t xml:space="preserve"> (ACL).</w:t>
      </w:r>
      <w:r w:rsidR="00E52B00">
        <w:t xml:space="preserve"> </w:t>
      </w:r>
      <w:r w:rsidR="00E52B00" w:rsidRPr="00D93E22">
        <w:t>A consistent definition of small business across sectors is a key priority to make it easier for small businesses to navigate the regulatory landscape.</w:t>
      </w:r>
    </w:p>
    <w:p w14:paraId="0572B360" w14:textId="77777777" w:rsidR="00E8418F" w:rsidRDefault="00E52B00" w:rsidP="00592AE9">
      <w:r>
        <w:t>The</w:t>
      </w:r>
      <w:r w:rsidR="00E8418F">
        <w:t xml:space="preserve"> </w:t>
      </w:r>
      <w:r w:rsidRPr="00D93E22">
        <w:t>definition of small business</w:t>
      </w:r>
      <w:r w:rsidR="00E8418F">
        <w:t xml:space="preserve"> </w:t>
      </w:r>
      <w:r w:rsidRPr="00D93E22">
        <w:t>as comprising less than 20 employees</w:t>
      </w:r>
      <w:r w:rsidR="00E8418F">
        <w:t xml:space="preserve"> </w:t>
      </w:r>
      <w:r w:rsidRPr="00D93E22">
        <w:t>captures 97% of Australian businesses</w:t>
      </w:r>
      <w:r w:rsidR="00E8418F">
        <w:t xml:space="preserve">. By not restricting the volume of annual turnover of small businesses in the definition, the full spectrum of small businesses will be covered by the TIO’s complaints process. </w:t>
      </w:r>
    </w:p>
    <w:p w14:paraId="7F13F721" w14:textId="4538D985" w:rsidR="007219C2" w:rsidRDefault="00E8418F" w:rsidP="007219C2">
      <w:r>
        <w:lastRenderedPageBreak/>
        <w:t>ACCAN notes that a</w:t>
      </w:r>
      <w:r w:rsidR="00E52B00">
        <w:t>s small business</w:t>
      </w:r>
      <w:r>
        <w:t xml:space="preserve">es </w:t>
      </w:r>
      <w:r w:rsidR="00E52B00">
        <w:t>change</w:t>
      </w:r>
      <w:r>
        <w:t xml:space="preserve"> </w:t>
      </w:r>
      <w:r w:rsidR="00E52B00">
        <w:t>over time, t</w:t>
      </w:r>
      <w:r w:rsidR="00D848E2" w:rsidRPr="00D93E22">
        <w:t>his</w:t>
      </w:r>
      <w:r w:rsidR="006D332B" w:rsidRPr="00D93E22">
        <w:t xml:space="preserve"> definition will need to be open to </w:t>
      </w:r>
      <w:r w:rsidR="00E52B00">
        <w:t xml:space="preserve">ongoing </w:t>
      </w:r>
      <w:r w:rsidR="006D332B" w:rsidRPr="00D93E22">
        <w:t>revision</w:t>
      </w:r>
      <w:r w:rsidR="00B26BD0">
        <w:t>, and it is appropriate that the TIO’s proposed definition will be adjusted as the definition of small business adopted by the ACL changes</w:t>
      </w:r>
      <w:r w:rsidR="006D332B" w:rsidRPr="00D93E22">
        <w:t>.</w:t>
      </w:r>
    </w:p>
    <w:p w14:paraId="499D47D2" w14:textId="1AAD2292" w:rsidR="00A344EF" w:rsidRDefault="00A344EF" w:rsidP="007219C2">
      <w:pPr>
        <w:pStyle w:val="Heading2"/>
        <w:spacing w:before="0"/>
      </w:pPr>
      <w:r w:rsidRPr="00D93E22">
        <w:t>Q2 – Is $100,000 an appropriate financial limit for Telecommunications Industry Ombudsman decisions?</w:t>
      </w:r>
    </w:p>
    <w:p w14:paraId="2A4E5EB2" w14:textId="08E0BE79" w:rsidR="00580497" w:rsidRPr="00580497" w:rsidRDefault="00580497" w:rsidP="00592AE9">
      <w:pPr>
        <w:pStyle w:val="Heading2"/>
      </w:pPr>
      <w:r w:rsidRPr="00D93E22">
        <w:t>Q3 – If not, what would be the more appropriate financial limit for Telecommunications Industry Ombudsman decisions and why?</w:t>
      </w:r>
    </w:p>
    <w:p w14:paraId="63F73A76" w14:textId="498E3EB2" w:rsidR="006B463B" w:rsidRPr="00D93E22" w:rsidRDefault="00AC507C" w:rsidP="003860A7">
      <w:pPr>
        <w:spacing w:before="240" w:line="240" w:lineRule="auto"/>
      </w:pPr>
      <w:r w:rsidRPr="00D93E22">
        <w:t>ACCAN welcomes an increase in the amount of compensation availa</w:t>
      </w:r>
      <w:r w:rsidR="00522E31" w:rsidRPr="00D93E22">
        <w:t>ble from $50,000</w:t>
      </w:r>
      <w:r w:rsidR="00D848E2" w:rsidRPr="00D93E22">
        <w:t>. H</w:t>
      </w:r>
      <w:r w:rsidR="00522E31" w:rsidRPr="00D93E22">
        <w:t>owever</w:t>
      </w:r>
      <w:r w:rsidR="00D848E2" w:rsidRPr="00D93E22">
        <w:t xml:space="preserve">, </w:t>
      </w:r>
      <w:r w:rsidR="00522E31" w:rsidRPr="00D93E22">
        <w:t xml:space="preserve">we would not support capping </w:t>
      </w:r>
      <w:r w:rsidR="00D00A8A" w:rsidRPr="00D93E22">
        <w:t>c</w:t>
      </w:r>
      <w:r w:rsidR="00522E31" w:rsidRPr="00D93E22">
        <w:t>ompensation at $100,000</w:t>
      </w:r>
      <w:r w:rsidR="00D848E2" w:rsidRPr="00D93E22">
        <w:t xml:space="preserve"> </w:t>
      </w:r>
      <w:r w:rsidR="00207305" w:rsidRPr="00D93E22">
        <w:t xml:space="preserve">because it has the potential to limit the adequacy of compensation and obstruct consumer access to justice. </w:t>
      </w:r>
    </w:p>
    <w:p w14:paraId="1F6ED82E" w14:textId="77777777" w:rsidR="00EB6BBB" w:rsidRPr="00D93E22" w:rsidRDefault="00207305" w:rsidP="003860A7">
      <w:pPr>
        <w:pStyle w:val="Heading3"/>
        <w:spacing w:after="120"/>
      </w:pPr>
      <w:r w:rsidRPr="00D93E22">
        <w:t>Inadequate compensation</w:t>
      </w:r>
    </w:p>
    <w:p w14:paraId="5486F379" w14:textId="30F7E2C7" w:rsidR="00EB6BBB" w:rsidRPr="00D93E22" w:rsidRDefault="00EB6BBB" w:rsidP="00592AE9">
      <w:r w:rsidRPr="00D93E22">
        <w:t>The full amount of compensation a consumer is entitled to may need to exceed $100,000 in cases where both financial and non-financial loss</w:t>
      </w:r>
      <w:r w:rsidR="006B463B">
        <w:t>es</w:t>
      </w:r>
      <w:r w:rsidRPr="00D93E22">
        <w:t xml:space="preserve"> are </w:t>
      </w:r>
      <w:proofErr w:type="gramStart"/>
      <w:r w:rsidRPr="00D93E22">
        <w:t>taken into account</w:t>
      </w:r>
      <w:proofErr w:type="gramEnd"/>
      <w:r w:rsidR="006B463B">
        <w:t>. A</w:t>
      </w:r>
      <w:r w:rsidRPr="00D93E22">
        <w:t xml:space="preserve"> $100,000 cap would compromise the adequacy of compensation</w:t>
      </w:r>
      <w:r w:rsidR="006B463B">
        <w:t xml:space="preserve"> in these instances</w:t>
      </w:r>
      <w:r w:rsidRPr="00D93E22">
        <w:t>.</w:t>
      </w:r>
    </w:p>
    <w:p w14:paraId="6145A214" w14:textId="24B6E35D" w:rsidR="00207305" w:rsidRPr="00D93E22" w:rsidRDefault="00EB6BBB" w:rsidP="00592AE9">
      <w:r w:rsidRPr="00D93E22">
        <w:t xml:space="preserve">It takes valuable time for both consumers and small businesses to continually follow up the status of </w:t>
      </w:r>
      <w:r w:rsidR="00C4028B">
        <w:t xml:space="preserve">their complaints to providers and </w:t>
      </w:r>
      <w:r w:rsidRPr="00D93E22">
        <w:t>TIO complaints</w:t>
      </w:r>
      <w:r w:rsidR="00C4028B">
        <w:t>,</w:t>
      </w:r>
      <w:r w:rsidRPr="00D93E22">
        <w:t xml:space="preserve"> and when this is quantified the non-financial loss suffered by parties seeking a complaints resolution is considerable.</w:t>
      </w:r>
      <w:r w:rsidR="006B463B">
        <w:t xml:space="preserve"> </w:t>
      </w:r>
      <w:r w:rsidRPr="00D93E22">
        <w:t xml:space="preserve">In terms of compensation for small business, although </w:t>
      </w:r>
      <w:r w:rsidR="006B463B">
        <w:t xml:space="preserve">a </w:t>
      </w:r>
      <w:r w:rsidRPr="00D93E22">
        <w:t xml:space="preserve">$100,000 cap may cover most claims, there are a small percentage of cases – for example, small manufacturing businesses </w:t>
      </w:r>
      <w:r w:rsidR="006B463B">
        <w:t>–</w:t>
      </w:r>
      <w:r w:rsidRPr="00D93E22">
        <w:t xml:space="preserve"> where adequate compensation would exceed $100,000, particularly when non-financial loss is quantified.</w:t>
      </w:r>
      <w:r w:rsidR="006B463B">
        <w:t xml:space="preserve"> </w:t>
      </w:r>
      <w:r w:rsidRPr="00D93E22">
        <w:t>Similarly, i</w:t>
      </w:r>
      <w:r w:rsidR="00D848E2" w:rsidRPr="00D93E22">
        <w:t>n the case of service disputes</w:t>
      </w:r>
      <w:r w:rsidR="00C4028B">
        <w:t>,</w:t>
      </w:r>
      <w:r w:rsidRPr="00D93E22">
        <w:t xml:space="preserve"> adequate</w:t>
      </w:r>
      <w:r w:rsidR="00D848E2" w:rsidRPr="00D93E22">
        <w:t xml:space="preserve"> compensation may need to exceed $100,000 when both financial and non-financial loss</w:t>
      </w:r>
      <w:r w:rsidRPr="00D93E22">
        <w:t>es</w:t>
      </w:r>
      <w:r w:rsidR="00D848E2" w:rsidRPr="00D93E22">
        <w:t xml:space="preserve"> are taken into </w:t>
      </w:r>
      <w:r w:rsidRPr="00D93E22">
        <w:t>consideration</w:t>
      </w:r>
      <w:r w:rsidR="00D848E2" w:rsidRPr="00D93E22">
        <w:t xml:space="preserve">. </w:t>
      </w:r>
    </w:p>
    <w:p w14:paraId="53BA5DFA" w14:textId="190B5AA3" w:rsidR="00EB6BBB" w:rsidRPr="00592AE9" w:rsidRDefault="00EB6BBB" w:rsidP="003860A7">
      <w:pPr>
        <w:pStyle w:val="Heading3"/>
        <w:spacing w:after="120"/>
      </w:pPr>
      <w:r w:rsidRPr="00592AE9">
        <w:t>Consumer a</w:t>
      </w:r>
      <w:r w:rsidR="00207305" w:rsidRPr="00592AE9">
        <w:t xml:space="preserve">ccess </w:t>
      </w:r>
      <w:r w:rsidRPr="00592AE9">
        <w:t>to justice</w:t>
      </w:r>
    </w:p>
    <w:p w14:paraId="3DC33E59" w14:textId="0C045EE6" w:rsidR="007219C2" w:rsidRDefault="00522E31" w:rsidP="007219C2">
      <w:r w:rsidRPr="00D93E22">
        <w:t xml:space="preserve">A cap of $100,000 compensation may serve as a disincentive for consumers to seek </w:t>
      </w:r>
      <w:r w:rsidR="00D848E2" w:rsidRPr="00D93E22">
        <w:t xml:space="preserve">financial </w:t>
      </w:r>
      <w:r w:rsidRPr="00D93E22">
        <w:t>redress</w:t>
      </w:r>
      <w:r w:rsidR="007F57E2" w:rsidRPr="00D93E22">
        <w:t xml:space="preserve"> for telecommunications issues</w:t>
      </w:r>
      <w:r w:rsidR="00B467A8" w:rsidRPr="00D93E22">
        <w:t>. Once the TIO has been exhausted as an avenue of redress</w:t>
      </w:r>
      <w:r w:rsidR="00F44BA2" w:rsidRPr="00D93E22">
        <w:t xml:space="preserve">, consumers may be hesitant to pursue </w:t>
      </w:r>
      <w:r w:rsidRPr="00D93E22">
        <w:t xml:space="preserve">claims </w:t>
      </w:r>
      <w:r w:rsidR="00B467A8" w:rsidRPr="00D93E22">
        <w:t xml:space="preserve">over </w:t>
      </w:r>
      <w:r w:rsidRPr="00D93E22">
        <w:t>the $100,000 limit</w:t>
      </w:r>
      <w:r w:rsidR="00F44BA2" w:rsidRPr="00D93E22">
        <w:t xml:space="preserve"> in court </w:t>
      </w:r>
      <w:r w:rsidR="006B463B">
        <w:t>–</w:t>
      </w:r>
      <w:r w:rsidR="00F44BA2" w:rsidRPr="00D93E22">
        <w:t xml:space="preserve"> the only other avenue of redress available</w:t>
      </w:r>
      <w:r w:rsidR="007D7B9A" w:rsidRPr="00D93E22">
        <w:t xml:space="preserve"> – due to lack of confidence and financial resources</w:t>
      </w:r>
      <w:r w:rsidRPr="00D93E22">
        <w:t xml:space="preserve">. </w:t>
      </w:r>
    </w:p>
    <w:p w14:paraId="7EECCA99" w14:textId="4582960D" w:rsidR="00A344EF" w:rsidRPr="00D93E22" w:rsidRDefault="00A344EF" w:rsidP="007219C2">
      <w:pPr>
        <w:pStyle w:val="Heading2"/>
        <w:spacing w:before="0"/>
      </w:pPr>
      <w:r w:rsidRPr="00D93E22">
        <w:t>Q4 – Should we include a financial limit for non-financial loss compensation? If so, what is an appropriate financial limit?</w:t>
      </w:r>
    </w:p>
    <w:p w14:paraId="7F2CA3E1" w14:textId="3F83522B" w:rsidR="00D00A8A" w:rsidRPr="00D93E22" w:rsidRDefault="00277FB3" w:rsidP="00526AF7">
      <w:pPr>
        <w:spacing w:before="240"/>
      </w:pPr>
      <w:r w:rsidRPr="00D93E22">
        <w:t>Providing c</w:t>
      </w:r>
      <w:r w:rsidR="00410D84" w:rsidRPr="00D93E22">
        <w:t xml:space="preserve">ompensation for non-financial loss is a welcome </w:t>
      </w:r>
      <w:r w:rsidR="00D00A8A" w:rsidRPr="00D93E22">
        <w:t>move</w:t>
      </w:r>
      <w:r w:rsidR="00410D84" w:rsidRPr="00D93E22">
        <w:t xml:space="preserve">. </w:t>
      </w:r>
      <w:r w:rsidR="00D00A8A" w:rsidRPr="00D93E22">
        <w:t xml:space="preserve">ACCAN is aware that the time taken by consumers in dealing with </w:t>
      </w:r>
      <w:r w:rsidR="00C161AF">
        <w:t xml:space="preserve">service </w:t>
      </w:r>
      <w:r w:rsidR="002F3A0B">
        <w:t>providers</w:t>
      </w:r>
      <w:r w:rsidR="00D00A8A" w:rsidRPr="00D93E22">
        <w:t xml:space="preserve"> to resolve complaints is an important consideration in calculating compensation for non-financial loss.</w:t>
      </w:r>
    </w:p>
    <w:p w14:paraId="14052319" w14:textId="7DBCBA37" w:rsidR="00067477" w:rsidRPr="00D93E22" w:rsidRDefault="00F21C75" w:rsidP="00592AE9">
      <w:r w:rsidRPr="00D93E22">
        <w:t>Long customer service wait times and poor reliability are significant issues facing telecommunication</w:t>
      </w:r>
      <w:r w:rsidR="003532B9">
        <w:t>s</w:t>
      </w:r>
      <w:r w:rsidRPr="00D93E22">
        <w:t xml:space="preserve"> customers, and this has a non-financial cost for consumers. Recent research by ACCAN</w:t>
      </w:r>
      <w:r w:rsidR="00C6083F">
        <w:t xml:space="preserve"> (as yet unpublished)</w:t>
      </w:r>
      <w:r w:rsidR="002B332D">
        <w:t>, undertaken in 2019,</w:t>
      </w:r>
      <w:r w:rsidRPr="00D93E22">
        <w:t xml:space="preserve"> </w:t>
      </w:r>
      <w:r w:rsidR="00C4028B">
        <w:t xml:space="preserve">conservatively </w:t>
      </w:r>
      <w:r w:rsidRPr="00D93E22">
        <w:t>estimate</w:t>
      </w:r>
      <w:r w:rsidR="00C4028B">
        <w:t>s</w:t>
      </w:r>
      <w:r w:rsidRPr="00D93E22">
        <w:t xml:space="preserve"> </w:t>
      </w:r>
      <w:r w:rsidR="00067477" w:rsidRPr="00D93E22">
        <w:t>the</w:t>
      </w:r>
      <w:r w:rsidRPr="00D93E22">
        <w:t xml:space="preserve"> </w:t>
      </w:r>
      <w:r w:rsidR="00067477" w:rsidRPr="00D93E22">
        <w:t xml:space="preserve">average cost to a consumer of </w:t>
      </w:r>
      <w:r w:rsidR="00067477" w:rsidRPr="00D93E22">
        <w:lastRenderedPageBreak/>
        <w:t>waiting to have telecommunications service issues resolved.</w:t>
      </w:r>
      <w:r w:rsidR="003532B9">
        <w:rPr>
          <w:rStyle w:val="FootnoteReference"/>
          <w:sz w:val="24"/>
          <w:szCs w:val="24"/>
        </w:rPr>
        <w:footnoteReference w:id="2"/>
      </w:r>
      <w:r w:rsidR="003532B9">
        <w:t xml:space="preserve"> </w:t>
      </w:r>
      <w:r w:rsidR="00067477" w:rsidRPr="00D93E22">
        <w:t>The average cost to consumers was $18.58 per phone call, $16.78 per in store visit, $13.11 per email contact, $11.39 per discussion forum, $10.57 per live chat and $10.27 per social media engagement with customer service</w:t>
      </w:r>
      <w:r w:rsidR="00B51C6B" w:rsidRPr="00D93E22">
        <w:t xml:space="preserve"> assistants</w:t>
      </w:r>
      <w:r w:rsidR="00067477" w:rsidRPr="00D93E22">
        <w:t xml:space="preserve">. </w:t>
      </w:r>
      <w:bookmarkStart w:id="1" w:name="_Toc47962579"/>
      <w:r w:rsidR="00B51C6B" w:rsidRPr="00D93E22">
        <w:t>In 2019, the</w:t>
      </w:r>
      <w:r w:rsidRPr="00D93E22">
        <w:t xml:space="preserve"> </w:t>
      </w:r>
      <w:r w:rsidR="00B51C6B" w:rsidRPr="00D93E22">
        <w:t xml:space="preserve">total </w:t>
      </w:r>
      <w:r w:rsidRPr="00D93E22">
        <w:t xml:space="preserve">cost in time foregone by consumers waiting to have an issue resolved with a service provider </w:t>
      </w:r>
      <w:bookmarkEnd w:id="1"/>
      <w:r w:rsidRPr="00D93E22">
        <w:t>was $151 million</w:t>
      </w:r>
      <w:r w:rsidR="002B332D">
        <w:t>. T</w:t>
      </w:r>
      <w:r w:rsidR="00B51C6B" w:rsidRPr="00D93E22">
        <w:t>he</w:t>
      </w:r>
      <w:r w:rsidRPr="00D93E22">
        <w:t xml:space="preserve"> total time </w:t>
      </w:r>
      <w:r w:rsidR="002B332D">
        <w:t xml:space="preserve">consumers </w:t>
      </w:r>
      <w:r w:rsidRPr="00D93E22">
        <w:t>spent on having these issues resolved is estimated to be over 8 million hours.</w:t>
      </w:r>
      <w:r w:rsidR="00301E34" w:rsidRPr="00D93E22">
        <w:rPr>
          <w:rStyle w:val="FootnoteReference"/>
          <w:sz w:val="24"/>
          <w:szCs w:val="24"/>
        </w:rPr>
        <w:footnoteReference w:id="3"/>
      </w:r>
    </w:p>
    <w:p w14:paraId="327D2C87" w14:textId="1EB94618" w:rsidR="007219C2" w:rsidRDefault="00CD4226" w:rsidP="007219C2">
      <w:r w:rsidRPr="00D93E22">
        <w:t xml:space="preserve">In the interests of fairness, consumers </w:t>
      </w:r>
      <w:r w:rsidR="00C53E9D" w:rsidRPr="00D93E22">
        <w:t>are entitled to compensation</w:t>
      </w:r>
      <w:r w:rsidRPr="00D93E22">
        <w:t xml:space="preserve"> for non-financial loss</w:t>
      </w:r>
      <w:r w:rsidR="005E19DA" w:rsidRPr="00D93E22">
        <w:t xml:space="preserve"> arising from time spent in customer service queues</w:t>
      </w:r>
      <w:r w:rsidRPr="00D93E22">
        <w:t xml:space="preserve"> </w:t>
      </w:r>
      <w:r w:rsidR="005E19DA" w:rsidRPr="00D93E22">
        <w:t>and aggravated by the</w:t>
      </w:r>
      <w:r w:rsidRPr="00D93E22">
        <w:t xml:space="preserve"> inconvenience </w:t>
      </w:r>
      <w:r w:rsidR="00D00A8A" w:rsidRPr="00D93E22">
        <w:t>and</w:t>
      </w:r>
      <w:r w:rsidR="00522E31" w:rsidRPr="00D93E22">
        <w:t xml:space="preserve"> stress</w:t>
      </w:r>
      <w:r w:rsidRPr="00D93E22">
        <w:t xml:space="preserve"> </w:t>
      </w:r>
      <w:r w:rsidR="00997320" w:rsidRPr="00D93E22">
        <w:t>resulting from service providers failing to meet customer service standards</w:t>
      </w:r>
      <w:r w:rsidR="00301E34" w:rsidRPr="00D93E22">
        <w:t>.</w:t>
      </w:r>
      <w:r w:rsidR="005E19DA" w:rsidRPr="00D93E22">
        <w:t xml:space="preserve"> </w:t>
      </w:r>
      <w:r w:rsidR="00410D84" w:rsidRPr="00D93E22">
        <w:t>ACCAN would be concerned if any financial limit for non-financial loss compensation became restrictive</w:t>
      </w:r>
      <w:r w:rsidR="00D00A8A" w:rsidRPr="00D93E22">
        <w:t>.</w:t>
      </w:r>
    </w:p>
    <w:p w14:paraId="49739E03" w14:textId="64A53F60" w:rsidR="005E19DA" w:rsidRPr="00D93E22" w:rsidRDefault="00A344EF" w:rsidP="007219C2">
      <w:pPr>
        <w:pStyle w:val="Heading2"/>
        <w:spacing w:before="0"/>
      </w:pPr>
      <w:r w:rsidRPr="00D93E22">
        <w:t>Q5 Are there any other things the Telecommunications Industry Ombudsman should consider when updating our remit for c</w:t>
      </w:r>
      <w:r w:rsidR="00410D84" w:rsidRPr="00D93E22">
        <w:t>om</w:t>
      </w:r>
      <w:r w:rsidRPr="00D93E22">
        <w:t>plaints?</w:t>
      </w:r>
    </w:p>
    <w:p w14:paraId="7D87EE1F" w14:textId="2FAB8003" w:rsidR="003E4247" w:rsidRPr="00D93E22" w:rsidRDefault="003E4247" w:rsidP="003860A7">
      <w:pPr>
        <w:pStyle w:val="Heading3"/>
        <w:spacing w:after="120"/>
      </w:pPr>
      <w:r w:rsidRPr="00D93E22">
        <w:t>Complaints resolution</w:t>
      </w:r>
    </w:p>
    <w:p w14:paraId="0BFC7280" w14:textId="39035FF6" w:rsidR="00FB1FAF" w:rsidRPr="00D93E22" w:rsidRDefault="003A7092" w:rsidP="00592AE9">
      <w:bookmarkStart w:id="2" w:name="_Hlk49432487"/>
      <w:r w:rsidRPr="00D93E22">
        <w:t xml:space="preserve">Currently under </w:t>
      </w:r>
      <w:r w:rsidR="008E0FC3" w:rsidRPr="00D93E22">
        <w:t>Part</w:t>
      </w:r>
      <w:r w:rsidRPr="00D93E22">
        <w:t xml:space="preserve"> 3 of the TIO’s Complaints Handling Process</w:t>
      </w:r>
      <w:r w:rsidR="008E0FC3" w:rsidRPr="00D93E22">
        <w:t xml:space="preserve"> (1 July 2020)</w:t>
      </w:r>
      <w:r w:rsidRPr="00D93E22">
        <w:t>, after a complaint is referred to a service provider the TIO allows the</w:t>
      </w:r>
      <w:r w:rsidR="00940A07">
        <w:t xml:space="preserve"> service</w:t>
      </w:r>
      <w:r w:rsidRPr="00D93E22">
        <w:t xml:space="preserve"> provider a maximum of ten days to resolve the complaint by responding directly to the consumer. However, </w:t>
      </w:r>
      <w:r w:rsidR="00C161AF">
        <w:t xml:space="preserve">service </w:t>
      </w:r>
      <w:r w:rsidRPr="00D93E22">
        <w:t>providers are not obligated to inform the TIO about the outcome.</w:t>
      </w:r>
      <w:r w:rsidR="008E0FC3" w:rsidRPr="00D93E22">
        <w:rPr>
          <w:rStyle w:val="FootnoteReference"/>
          <w:sz w:val="24"/>
          <w:szCs w:val="24"/>
        </w:rPr>
        <w:footnoteReference w:id="4"/>
      </w:r>
      <w:r w:rsidR="00FB1FAF" w:rsidRPr="00D93E22">
        <w:t xml:space="preserve"> </w:t>
      </w:r>
      <w:bookmarkStart w:id="3" w:name="_Hlk49432563"/>
      <w:bookmarkEnd w:id="2"/>
      <w:r w:rsidR="00CF7440" w:rsidRPr="00D93E22">
        <w:t>Th</w:t>
      </w:r>
      <w:r w:rsidR="00855F6C" w:rsidRPr="00D93E22">
        <w:t xml:space="preserve">ere is a need for increased oversight by the TIO of </w:t>
      </w:r>
      <w:r w:rsidR="00284932">
        <w:t>the action taken by the</w:t>
      </w:r>
      <w:r w:rsidR="00B46882">
        <w:t xml:space="preserve"> service</w:t>
      </w:r>
      <w:r w:rsidR="00284932">
        <w:t xml:space="preserve"> provider to ensure that resolution is offered within the ten</w:t>
      </w:r>
      <w:r w:rsidR="00423B40">
        <w:t>-</w:t>
      </w:r>
      <w:r w:rsidR="00284932">
        <w:t xml:space="preserve">day timeframe. </w:t>
      </w:r>
    </w:p>
    <w:p w14:paraId="007C6A88" w14:textId="6DECA7E7" w:rsidR="00F7512F" w:rsidRPr="00D93E22" w:rsidRDefault="00855F6C" w:rsidP="00592AE9">
      <w:r w:rsidRPr="00D93E22">
        <w:t>In circumstances where</w:t>
      </w:r>
      <w:r w:rsidR="003E4247" w:rsidRPr="00D93E22">
        <w:t xml:space="preserve"> consumers do</w:t>
      </w:r>
      <w:r w:rsidR="006C2A0F" w:rsidRPr="00D93E22">
        <w:t xml:space="preserve"> not </w:t>
      </w:r>
      <w:r w:rsidR="003E4247" w:rsidRPr="00D93E22">
        <w:t xml:space="preserve">have their complaints resolved within the </w:t>
      </w:r>
      <w:r w:rsidR="006C2A0F" w:rsidRPr="00D93E22">
        <w:t xml:space="preserve">specified </w:t>
      </w:r>
      <w:r w:rsidR="003E4247" w:rsidRPr="00D93E22">
        <w:t xml:space="preserve">timeframe, </w:t>
      </w:r>
      <w:r w:rsidR="006C2A0F" w:rsidRPr="00D93E22">
        <w:t>do not</w:t>
      </w:r>
      <w:r w:rsidR="003E4247" w:rsidRPr="00D93E22">
        <w:t xml:space="preserve"> </w:t>
      </w:r>
      <w:r w:rsidRPr="00D93E22">
        <w:t>receive</w:t>
      </w:r>
      <w:r w:rsidR="003E4247" w:rsidRPr="00D93E22">
        <w:t xml:space="preserve"> a satisfactory</w:t>
      </w:r>
      <w:r w:rsidRPr="00D93E22">
        <w:t xml:space="preserve"> complaints resolution</w:t>
      </w:r>
      <w:r w:rsidR="003E4247" w:rsidRPr="00D93E22">
        <w:t xml:space="preserve"> outcome </w:t>
      </w:r>
      <w:r w:rsidR="00C4028B">
        <w:t>or</w:t>
      </w:r>
      <w:r w:rsidR="003E4247" w:rsidRPr="00D93E22">
        <w:t xml:space="preserve"> may not be able to advocate for themselves</w:t>
      </w:r>
      <w:r w:rsidRPr="00D93E22">
        <w:t xml:space="preserve">, </w:t>
      </w:r>
      <w:r w:rsidR="00BD28EC" w:rsidRPr="00D93E22">
        <w:t xml:space="preserve">more </w:t>
      </w:r>
      <w:r w:rsidR="006B7BE4" w:rsidRPr="00D93E22">
        <w:t xml:space="preserve">accountability </w:t>
      </w:r>
      <w:r w:rsidR="00BD28EC" w:rsidRPr="00D93E22">
        <w:t xml:space="preserve">by the </w:t>
      </w:r>
      <w:r w:rsidR="00423B40">
        <w:t>service providers</w:t>
      </w:r>
      <w:r w:rsidR="00BD28EC" w:rsidRPr="00D93E22">
        <w:t xml:space="preserve"> is required</w:t>
      </w:r>
      <w:r w:rsidR="006B7BE4" w:rsidRPr="00D93E22">
        <w:t>.</w:t>
      </w:r>
      <w:r w:rsidR="00FB1FAF" w:rsidRPr="00D93E22">
        <w:t xml:space="preserve"> S</w:t>
      </w:r>
      <w:r w:rsidR="0054617E" w:rsidRPr="00D93E22">
        <w:t xml:space="preserve">ervice providers should be obligated to </w:t>
      </w:r>
      <w:r w:rsidR="003E4247" w:rsidRPr="00D93E22">
        <w:t>report back to the TIO</w:t>
      </w:r>
      <w:r w:rsidR="0054617E" w:rsidRPr="00D93E22">
        <w:t xml:space="preserve"> </w:t>
      </w:r>
      <w:r w:rsidR="006B7BE4" w:rsidRPr="00D93E22">
        <w:t>about</w:t>
      </w:r>
      <w:r w:rsidR="0054617E" w:rsidRPr="00D93E22">
        <w:t xml:space="preserve"> the outcome of dispute resolution</w:t>
      </w:r>
      <w:r w:rsidR="006B7BE4" w:rsidRPr="00D93E22">
        <w:t xml:space="preserve"> after referral</w:t>
      </w:r>
      <w:r w:rsidR="00FB1FAF" w:rsidRPr="00D93E22">
        <w:t xml:space="preserve"> to increase the transparency of the process</w:t>
      </w:r>
      <w:r w:rsidR="0054617E" w:rsidRPr="00D93E22">
        <w:t>.</w:t>
      </w:r>
      <w:r w:rsidR="00EF0B8B">
        <w:t xml:space="preserve"> </w:t>
      </w:r>
      <w:r w:rsidR="0054617E" w:rsidRPr="00D93E22">
        <w:t xml:space="preserve">For example, a </w:t>
      </w:r>
      <w:r w:rsidR="00423B40">
        <w:t>service provider</w:t>
      </w:r>
      <w:r w:rsidR="0054617E" w:rsidRPr="00D93E22">
        <w:t xml:space="preserve"> might be required to copy the TIO </w:t>
      </w:r>
      <w:r w:rsidR="006B7BE4" w:rsidRPr="00D93E22">
        <w:t xml:space="preserve">in </w:t>
      </w:r>
      <w:r w:rsidR="0054617E" w:rsidRPr="00D93E22">
        <w:t xml:space="preserve">on any correspondence </w:t>
      </w:r>
      <w:r w:rsidR="006B7BE4" w:rsidRPr="00D93E22">
        <w:t>regarding complaints</w:t>
      </w:r>
      <w:r w:rsidR="003E4247" w:rsidRPr="00D93E22">
        <w:t xml:space="preserve"> resolution with the consumer</w:t>
      </w:r>
      <w:r w:rsidR="006B7BE4" w:rsidRPr="00D93E22">
        <w:t xml:space="preserve"> to allow the TIO to have oversight of the complaints handling process</w:t>
      </w:r>
      <w:r w:rsidR="003E4247" w:rsidRPr="00D93E22">
        <w:t>.</w:t>
      </w:r>
    </w:p>
    <w:bookmarkEnd w:id="3"/>
    <w:p w14:paraId="2D154474" w14:textId="252A7E76" w:rsidR="003F09F2" w:rsidRPr="00D93E22" w:rsidRDefault="00865795" w:rsidP="003F09F2">
      <w:pPr>
        <w:pStyle w:val="Heading3"/>
        <w:spacing w:before="0" w:after="120"/>
      </w:pPr>
      <w:r>
        <w:t xml:space="preserve">Enhanced </w:t>
      </w:r>
      <w:r w:rsidR="003F09F2" w:rsidRPr="00D93E22">
        <w:t>EDR</w:t>
      </w:r>
      <w:r>
        <w:t xml:space="preserve"> Role</w:t>
      </w:r>
    </w:p>
    <w:p w14:paraId="23EFCF8A" w14:textId="0BE3AD35" w:rsidR="003F09F2" w:rsidRDefault="003F09F2" w:rsidP="003F09F2">
      <w:r>
        <w:t xml:space="preserve">Under the </w:t>
      </w:r>
      <w:r w:rsidRPr="00671ADF">
        <w:rPr>
          <w:i/>
          <w:iCs/>
        </w:rPr>
        <w:t>Telecommunications (Consumer Protection and Service Standards) Act 1999</w:t>
      </w:r>
      <w:r>
        <w:t xml:space="preserve"> carriers and eligible carriage service providers are required to provide a dispute resolution service under the TIO scheme to deal with complaints. However,</w:t>
      </w:r>
      <w:r w:rsidR="00A5602B">
        <w:t xml:space="preserve"> ACCAN sees benefit in an enhanced role for the TIO in providing a timely systemic </w:t>
      </w:r>
      <w:r>
        <w:t xml:space="preserve">feedback mechanism </w:t>
      </w:r>
      <w:r w:rsidR="00A5602B">
        <w:t>for</w:t>
      </w:r>
      <w:r>
        <w:t xml:space="preserve"> service providers, industry and regulators, </w:t>
      </w:r>
      <w:r w:rsidR="00A5602B">
        <w:t xml:space="preserve">given </w:t>
      </w:r>
      <w:r w:rsidR="00865795">
        <w:lastRenderedPageBreak/>
        <w:t xml:space="preserve">its </w:t>
      </w:r>
      <w:r w:rsidR="00A5602B">
        <w:t xml:space="preserve">unique insights </w:t>
      </w:r>
      <w:r w:rsidR="00865795">
        <w:t xml:space="preserve">based on </w:t>
      </w:r>
      <w:r w:rsidR="00A5602B">
        <w:t>complaints data and analysis</w:t>
      </w:r>
      <w:r w:rsidR="0071414B">
        <w:t>,</w:t>
      </w:r>
      <w:r w:rsidR="00A5602B">
        <w:t xml:space="preserve"> </w:t>
      </w:r>
      <w:r>
        <w:t>with the intelligence gained from</w:t>
      </w:r>
      <w:r w:rsidR="0071414B">
        <w:t xml:space="preserve"> TIO</w:t>
      </w:r>
      <w:r>
        <w:t xml:space="preserve"> feedback forming the basis for proactive change in the industry</w:t>
      </w:r>
    </w:p>
    <w:p w14:paraId="41F999DB" w14:textId="051FFF56" w:rsidR="003F09F2" w:rsidRDefault="003F09F2" w:rsidP="003F09F2">
      <w:r w:rsidRPr="00D93E22">
        <w:t>The revised</w:t>
      </w:r>
      <w:r>
        <w:t xml:space="preserve"> TIO’s</w:t>
      </w:r>
      <w:r w:rsidRPr="00D93E22">
        <w:t xml:space="preserve"> Terms of Reference provides a</w:t>
      </w:r>
      <w:r w:rsidR="0071414B">
        <w:t xml:space="preserve">n opportunity </w:t>
      </w:r>
      <w:r w:rsidRPr="00D93E22">
        <w:t xml:space="preserve">for the implementation of </w:t>
      </w:r>
      <w:r w:rsidR="0071414B">
        <w:t>such</w:t>
      </w:r>
      <w:r w:rsidRPr="00D93E22">
        <w:t xml:space="preserve"> </w:t>
      </w:r>
      <w:r>
        <w:t>improve</w:t>
      </w:r>
      <w:r w:rsidR="0071414B">
        <w:t>ments,</w:t>
      </w:r>
      <w:r w:rsidRPr="00D93E22">
        <w:t xml:space="preserve"> modelled </w:t>
      </w:r>
      <w:r w:rsidR="0071414B">
        <w:t>o</w:t>
      </w:r>
      <w:r w:rsidRPr="00D93E22">
        <w:t>n the United Kingdom’s energy industry.</w:t>
      </w:r>
      <w:r>
        <w:t xml:space="preserve"> The scheme takes a three-pronged approach:</w:t>
      </w:r>
      <w:r w:rsidRPr="00D93E22">
        <w:t xml:space="preserve"> </w:t>
      </w:r>
    </w:p>
    <w:p w14:paraId="1F902D4B" w14:textId="77777777" w:rsidR="003F09F2" w:rsidRPr="00D93E22" w:rsidRDefault="003F09F2" w:rsidP="003F09F2">
      <w:pPr>
        <w:pStyle w:val="ListParagraph"/>
        <w:numPr>
          <w:ilvl w:val="0"/>
          <w:numId w:val="11"/>
        </w:numPr>
      </w:pPr>
      <w:r w:rsidRPr="00D93E22">
        <w:t>Resolution of individual complaints;</w:t>
      </w:r>
    </w:p>
    <w:p w14:paraId="79265BB4" w14:textId="77777777" w:rsidR="003F09F2" w:rsidRPr="00D93E22" w:rsidRDefault="003F09F2" w:rsidP="003F09F2">
      <w:pPr>
        <w:pStyle w:val="ListParagraph"/>
        <w:numPr>
          <w:ilvl w:val="0"/>
          <w:numId w:val="11"/>
        </w:numPr>
      </w:pPr>
      <w:r w:rsidRPr="00D93E22">
        <w:t xml:space="preserve">Identification of issues in individual </w:t>
      </w:r>
      <w:r>
        <w:t>service providers</w:t>
      </w:r>
      <w:r w:rsidRPr="00D93E22">
        <w:t xml:space="preserve"> to enable improvement in complaint handling processes; and</w:t>
      </w:r>
    </w:p>
    <w:p w14:paraId="4F98F0D7" w14:textId="77777777" w:rsidR="003F09F2" w:rsidRPr="00D93E22" w:rsidRDefault="003F09F2" w:rsidP="003F09F2">
      <w:pPr>
        <w:pStyle w:val="ListParagraph"/>
        <w:numPr>
          <w:ilvl w:val="0"/>
          <w:numId w:val="11"/>
        </w:numPr>
      </w:pPr>
      <w:r w:rsidRPr="00D93E22">
        <w:t>Identification of systemic industry-wide issues which can either be resolved or referred to the appropriate regulatory body.</w:t>
      </w:r>
      <w:r w:rsidRPr="00BA78E6">
        <w:rPr>
          <w:rStyle w:val="FootnoteReference"/>
          <w:rFonts w:eastAsia="Times New Roman"/>
          <w:sz w:val="24"/>
          <w:szCs w:val="24"/>
          <w:lang w:eastAsia="en-AU"/>
        </w:rPr>
        <w:footnoteReference w:id="5"/>
      </w:r>
    </w:p>
    <w:p w14:paraId="395C4A0A" w14:textId="77777777" w:rsidR="003F09F2" w:rsidRDefault="003F09F2" w:rsidP="003F09F2">
      <w:r>
        <w:t>We note that the TIO’s Terms of Reference already allows these functions to be performed under section 4.11. The TIO may share information with regulators, government bodies, the community and industry (in compliance with privacy legislation and policies) in order to:</w:t>
      </w:r>
    </w:p>
    <w:p w14:paraId="2491249F" w14:textId="77777777" w:rsidR="003F09F2" w:rsidRDefault="003F09F2" w:rsidP="003F09F2">
      <w:pPr>
        <w:pStyle w:val="ListParagraph"/>
        <w:numPr>
          <w:ilvl w:val="0"/>
          <w:numId w:val="13"/>
        </w:numPr>
      </w:pPr>
      <w:r>
        <w:t>Assist the investigation or enforcement roles of a regulator:</w:t>
      </w:r>
    </w:p>
    <w:p w14:paraId="6F36AA12" w14:textId="77777777" w:rsidR="003F09F2" w:rsidRDefault="003F09F2" w:rsidP="003F09F2">
      <w:pPr>
        <w:pStyle w:val="ListParagraph"/>
        <w:numPr>
          <w:ilvl w:val="0"/>
          <w:numId w:val="13"/>
        </w:numPr>
      </w:pPr>
      <w:r>
        <w:t>Increase legal compliance or promote good practice;</w:t>
      </w:r>
    </w:p>
    <w:p w14:paraId="1F276B3A" w14:textId="77777777" w:rsidR="003F09F2" w:rsidRDefault="003F09F2" w:rsidP="003F09F2">
      <w:pPr>
        <w:pStyle w:val="ListParagraph"/>
        <w:numPr>
          <w:ilvl w:val="0"/>
          <w:numId w:val="13"/>
        </w:numPr>
      </w:pPr>
      <w:r>
        <w:t>Provide an independent voice about consumer telecommunications issues.</w:t>
      </w:r>
    </w:p>
    <w:p w14:paraId="46495F1F" w14:textId="77777777" w:rsidR="003F09F2" w:rsidRDefault="003F09F2" w:rsidP="003F09F2">
      <w:r>
        <w:t>Under Section 5 the TIO can also work with members to resolve any systemic issues in their consumer-facing practices.</w:t>
      </w:r>
    </w:p>
    <w:p w14:paraId="07D2F3F1" w14:textId="7B9921D9" w:rsidR="003F09F2" w:rsidRPr="00D93E22" w:rsidRDefault="003F09F2" w:rsidP="003F09F2">
      <w:r>
        <w:t xml:space="preserve">However, while these are good principles, they </w:t>
      </w:r>
      <w:r w:rsidR="004E6DCF">
        <w:t xml:space="preserve">are tentatively expressed. </w:t>
      </w:r>
      <w:r>
        <w:t xml:space="preserve"> ACCAN would like to see such practices</w:t>
      </w:r>
      <w:r w:rsidR="004E6DCF">
        <w:t xml:space="preserve"> explicitly </w:t>
      </w:r>
      <w:r>
        <w:t xml:space="preserve">included in the TOR as an integral part of the TIO’s </w:t>
      </w:r>
      <w:r w:rsidR="004E6DCF">
        <w:t xml:space="preserve">remit. </w:t>
      </w:r>
      <w:r>
        <w:t xml:space="preserve">This would facilitate a complaints </w:t>
      </w:r>
      <w:r w:rsidRPr="00D93E22">
        <w:t xml:space="preserve">feedback mechanism </w:t>
      </w:r>
      <w:r>
        <w:t xml:space="preserve">that provided </w:t>
      </w:r>
      <w:r w:rsidRPr="00D93E22">
        <w:t>valuable</w:t>
      </w:r>
      <w:r>
        <w:t xml:space="preserve"> industry</w:t>
      </w:r>
      <w:r w:rsidRPr="00D93E22">
        <w:t xml:space="preserve"> insights </w:t>
      </w:r>
      <w:r>
        <w:t>to regulators,</w:t>
      </w:r>
      <w:r w:rsidR="00526AF7">
        <w:t xml:space="preserve"> </w:t>
      </w:r>
      <w:r>
        <w:t>forming the basis for improvement of practices across the industry.</w:t>
      </w:r>
    </w:p>
    <w:p w14:paraId="6BEA8A6C" w14:textId="1B5FCB2E" w:rsidR="00284932" w:rsidRDefault="00284932" w:rsidP="003860A7">
      <w:pPr>
        <w:pStyle w:val="Heading3"/>
        <w:spacing w:before="0" w:after="120"/>
      </w:pPr>
      <w:r>
        <w:t xml:space="preserve">Increased </w:t>
      </w:r>
      <w:r w:rsidR="0083279C">
        <w:t xml:space="preserve">public </w:t>
      </w:r>
      <w:r>
        <w:t>reporting and service provider accountability</w:t>
      </w:r>
    </w:p>
    <w:p w14:paraId="082B7EDB" w14:textId="30FD99DC" w:rsidR="00833CA9" w:rsidRDefault="003F09F2" w:rsidP="00592AE9">
      <w:r>
        <w:t xml:space="preserve">ACCAN </w:t>
      </w:r>
      <w:r w:rsidR="004E6DCF">
        <w:t xml:space="preserve">believes </w:t>
      </w:r>
      <w:r>
        <w:t xml:space="preserve">the introduction of </w:t>
      </w:r>
      <w:r w:rsidR="004E6DCF">
        <w:t xml:space="preserve">enhanced </w:t>
      </w:r>
      <w:r>
        <w:t xml:space="preserve">public reporting practices </w:t>
      </w:r>
      <w:r w:rsidR="004E6DCF">
        <w:t>by the</w:t>
      </w:r>
      <w:r>
        <w:t xml:space="preserve"> TIO</w:t>
      </w:r>
      <w:r w:rsidR="004E6DCF">
        <w:t xml:space="preserve">, formally recognised in the Terms of Reference, would </w:t>
      </w:r>
      <w:r w:rsidR="00EA2167">
        <w:t>support</w:t>
      </w:r>
      <w:r>
        <w:t xml:space="preserve"> behavioural change by service providers. </w:t>
      </w:r>
      <w:r w:rsidR="00833CA9" w:rsidRPr="00D93E22">
        <w:t xml:space="preserve">Public reporting practices drive change in </w:t>
      </w:r>
      <w:r w:rsidR="00833CA9">
        <w:t>EDR</w:t>
      </w:r>
      <w:r w:rsidR="00833CA9" w:rsidRPr="00D93E22">
        <w:t xml:space="preserve"> schemes because individual service providers are faced with the threat of reputational damage and, consequently, a decline in sales to consumers</w:t>
      </w:r>
      <w:r>
        <w:t xml:space="preserve"> if they do not </w:t>
      </w:r>
      <w:r w:rsidR="00A1425E">
        <w:t xml:space="preserve">adequately </w:t>
      </w:r>
      <w:r>
        <w:t>deal with complaints</w:t>
      </w:r>
      <w:r w:rsidR="00833CA9" w:rsidRPr="00D93E22">
        <w:t xml:space="preserve">.  </w:t>
      </w:r>
      <w:r w:rsidR="00EA2167">
        <w:t xml:space="preserve">Reporting by the Australian Financial </w:t>
      </w:r>
      <w:r w:rsidR="00C61D66">
        <w:t xml:space="preserve">Complaints Authority </w:t>
      </w:r>
      <w:r w:rsidR="00F0317B">
        <w:t xml:space="preserve">(AFCA) </w:t>
      </w:r>
      <w:r w:rsidR="00C61D66">
        <w:t>sets a useful precedent</w:t>
      </w:r>
      <w:r w:rsidR="00C61D66">
        <w:rPr>
          <w:rStyle w:val="FootnoteReference"/>
        </w:rPr>
        <w:footnoteReference w:id="6"/>
      </w:r>
      <w:r w:rsidR="00C61D66">
        <w:t xml:space="preserve">, </w:t>
      </w:r>
      <w:r w:rsidR="0083279C">
        <w:t>in</w:t>
      </w:r>
      <w:r w:rsidR="00C61D66">
        <w:t xml:space="preserve"> identif</w:t>
      </w:r>
      <w:r w:rsidR="0083279C">
        <w:t>ying</w:t>
      </w:r>
      <w:r w:rsidR="00C61D66">
        <w:t xml:space="preserve"> the </w:t>
      </w:r>
      <w:r w:rsidR="00F0317B">
        <w:t xml:space="preserve">number of complaints received by AFCA by </w:t>
      </w:r>
      <w:r w:rsidR="00C61D66">
        <w:t>firm</w:t>
      </w:r>
      <w:r w:rsidR="00F0317B">
        <w:t xml:space="preserve">, level at which complaints were resolved, rate of resolution, and broad area of complaint.  </w:t>
      </w:r>
      <w:r w:rsidR="0083279C">
        <w:t xml:space="preserve">This level of </w:t>
      </w:r>
      <w:r w:rsidR="0083279C">
        <w:lastRenderedPageBreak/>
        <w:t xml:space="preserve">granularity drives greater accountability by firms performing poorly, while at the same time showing which firms promptly resolve complaints at an early stage of the process. </w:t>
      </w:r>
    </w:p>
    <w:p w14:paraId="69F7CB36" w14:textId="23CC9841" w:rsidR="00865795" w:rsidRPr="00D93E22" w:rsidRDefault="006D6CD4" w:rsidP="00865795">
      <w:r>
        <w:t xml:space="preserve">While ACCAN values the complaints statistics and trend analyses that the TIO publishes in accordance with section 6.6 of the TOR, we would welcome more detailed information in the </w:t>
      </w:r>
      <w:r w:rsidR="00865795" w:rsidRPr="00D93E22">
        <w:t>TIO quarterly</w:t>
      </w:r>
      <w:r w:rsidRPr="00D93E22">
        <w:t xml:space="preserve"> reports</w:t>
      </w:r>
      <w:r>
        <w:t xml:space="preserve">. </w:t>
      </w:r>
      <w:r w:rsidR="00865795">
        <w:t xml:space="preserve">More detailed information about the nature of complaints by service provider </w:t>
      </w:r>
      <w:r w:rsidR="00865795" w:rsidRPr="00D93E22">
        <w:t>would</w:t>
      </w:r>
      <w:r w:rsidR="00865795">
        <w:t xml:space="preserve"> be a very useful resource for ACCAN’s work, as it assists in </w:t>
      </w:r>
      <w:r w:rsidR="00865795" w:rsidRPr="00D93E22">
        <w:t>identif</w:t>
      </w:r>
      <w:r w:rsidR="00865795">
        <w:t>ying</w:t>
      </w:r>
      <w:r w:rsidR="00865795" w:rsidRPr="00D93E22">
        <w:t xml:space="preserve"> key industry issues in need of advocacy and reform. </w:t>
      </w:r>
    </w:p>
    <w:p w14:paraId="5AAFC773" w14:textId="36E69673" w:rsidR="006C2A0F" w:rsidRPr="00D93E22" w:rsidRDefault="002B5E5F" w:rsidP="003860A7">
      <w:pPr>
        <w:pStyle w:val="Heading3"/>
        <w:spacing w:before="0" w:after="120"/>
      </w:pPr>
      <w:r>
        <w:t>Fair and accessible complaints process</w:t>
      </w:r>
    </w:p>
    <w:p w14:paraId="0CD7F53B" w14:textId="44C2C476" w:rsidR="007219C2" w:rsidRPr="00D93E22" w:rsidRDefault="006C2A0F" w:rsidP="007219C2">
      <w:pPr>
        <w:spacing w:after="120"/>
      </w:pPr>
      <w:r w:rsidRPr="00D93E22">
        <w:t xml:space="preserve">A one size fits all </w:t>
      </w:r>
      <w:r w:rsidR="004467E0" w:rsidRPr="00D93E22">
        <w:t xml:space="preserve">complaints handling </w:t>
      </w:r>
      <w:r w:rsidRPr="00D93E22">
        <w:t>model is not adequate</w:t>
      </w:r>
      <w:r w:rsidR="007A6163" w:rsidRPr="00D93E22">
        <w:t xml:space="preserve"> for the needs of all consumers. An effective</w:t>
      </w:r>
      <w:r w:rsidR="004467E0" w:rsidRPr="00D93E22">
        <w:t xml:space="preserve"> </w:t>
      </w:r>
      <w:r w:rsidR="007A6163" w:rsidRPr="00D93E22">
        <w:t>complaints handling process</w:t>
      </w:r>
      <w:r w:rsidR="004467E0" w:rsidRPr="00D93E22">
        <w:t xml:space="preserve"> </w:t>
      </w:r>
      <w:r w:rsidRPr="00D93E22">
        <w:t xml:space="preserve">needs to take account of accessibility issues for </w:t>
      </w:r>
      <w:r w:rsidR="007A6163" w:rsidRPr="00D93E22">
        <w:t>all consumers</w:t>
      </w:r>
      <w:r w:rsidR="004C4620">
        <w:t>,</w:t>
      </w:r>
      <w:r w:rsidR="007A6163" w:rsidRPr="00D93E22">
        <w:t xml:space="preserve"> including those </w:t>
      </w:r>
      <w:r w:rsidRPr="00D93E22">
        <w:t>with disability.</w:t>
      </w:r>
      <w:r w:rsidR="00E11CAE">
        <w:t xml:space="preserve"> </w:t>
      </w:r>
      <w:r w:rsidR="009F2EDC" w:rsidRPr="00D93E22">
        <w:t>To this end, the a</w:t>
      </w:r>
      <w:r w:rsidRPr="00D93E22">
        <w:t xml:space="preserve">ccessibility of the TIO complaints system needs </w:t>
      </w:r>
      <w:r w:rsidR="00865795">
        <w:t xml:space="preserve">resourcing as much as possible </w:t>
      </w:r>
      <w:r w:rsidRPr="002F0D78">
        <w:t>to</w:t>
      </w:r>
      <w:r w:rsidRPr="00D93E22">
        <w:t xml:space="preserve"> </w:t>
      </w:r>
      <w:proofErr w:type="gramStart"/>
      <w:r w:rsidR="00865795">
        <w:t xml:space="preserve">enable </w:t>
      </w:r>
      <w:r w:rsidRPr="00D93E22">
        <w:t xml:space="preserve"> </w:t>
      </w:r>
      <w:r w:rsidR="009F2EDC" w:rsidRPr="00D93E22">
        <w:t>all</w:t>
      </w:r>
      <w:proofErr w:type="gramEnd"/>
      <w:r w:rsidR="009F2EDC" w:rsidRPr="00D93E22">
        <w:t xml:space="preserve"> </w:t>
      </w:r>
      <w:r w:rsidRPr="00D93E22">
        <w:t xml:space="preserve">consumers to </w:t>
      </w:r>
      <w:r w:rsidR="009F2EDC" w:rsidRPr="00D93E22">
        <w:t>make complaints, both during and after standard business hours</w:t>
      </w:r>
      <w:r w:rsidR="00FC66A9" w:rsidRPr="00D93E22">
        <w:t xml:space="preserve"> and</w:t>
      </w:r>
      <w:r w:rsidR="009F2EDC" w:rsidRPr="00D93E22">
        <w:t xml:space="preserve"> in a range of formats. </w:t>
      </w:r>
      <w:r w:rsidR="00E11CAE">
        <w:t xml:space="preserve">Information about </w:t>
      </w:r>
      <w:r w:rsidR="00865795">
        <w:t xml:space="preserve">how to make a </w:t>
      </w:r>
      <w:proofErr w:type="gramStart"/>
      <w:r w:rsidR="00865795">
        <w:t xml:space="preserve">complaint </w:t>
      </w:r>
      <w:r w:rsidR="00E11CAE">
        <w:t xml:space="preserve"> must</w:t>
      </w:r>
      <w:proofErr w:type="gramEnd"/>
      <w:r w:rsidR="00E11CAE">
        <w:t xml:space="preserve"> also be made available in</w:t>
      </w:r>
      <w:r w:rsidR="00304559">
        <w:t xml:space="preserve"> multiple language</w:t>
      </w:r>
      <w:r w:rsidR="00865795">
        <w:t>s</w:t>
      </w:r>
      <w:r w:rsidR="00304559">
        <w:t>, and</w:t>
      </w:r>
      <w:r w:rsidR="00E11CAE">
        <w:t xml:space="preserve"> a range of</w:t>
      </w:r>
      <w:r w:rsidR="006B3CB1">
        <w:t xml:space="preserve"> digital and non-digital</w:t>
      </w:r>
      <w:r w:rsidR="00E11CAE">
        <w:t xml:space="preserve"> accessible formats, including for instance,</w:t>
      </w:r>
      <w:r w:rsidR="006B3CB1">
        <w:t xml:space="preserve"> plain English, Easy </w:t>
      </w:r>
      <w:r w:rsidR="004C4620">
        <w:t>English</w:t>
      </w:r>
      <w:r w:rsidR="006B3CB1">
        <w:t>, braille, large print</w:t>
      </w:r>
      <w:r w:rsidR="00E11CAE">
        <w:t xml:space="preserve"> and </w:t>
      </w:r>
      <w:proofErr w:type="spellStart"/>
      <w:r w:rsidR="00E11CAE">
        <w:t>Auslan</w:t>
      </w:r>
      <w:proofErr w:type="spellEnd"/>
      <w:r w:rsidR="00E11CAE">
        <w:t xml:space="preserve"> </w:t>
      </w:r>
      <w:r w:rsidR="006B3CB1">
        <w:t>resources</w:t>
      </w:r>
      <w:r w:rsidR="00E11CAE">
        <w:t>.</w:t>
      </w:r>
    </w:p>
    <w:p w14:paraId="418D5AAF" w14:textId="6D6F8FFF" w:rsidR="00A344EF" w:rsidRPr="00D93E22" w:rsidRDefault="00A344EF" w:rsidP="00592AE9">
      <w:pPr>
        <w:pStyle w:val="Heading2"/>
      </w:pPr>
      <w:r w:rsidRPr="00D93E22">
        <w:t xml:space="preserve">Q6 – Are there any </w:t>
      </w:r>
      <w:proofErr w:type="gramStart"/>
      <w:r w:rsidRPr="00D93E22">
        <w:t>particular devices</w:t>
      </w:r>
      <w:proofErr w:type="gramEnd"/>
      <w:r w:rsidRPr="00D93E22">
        <w:t xml:space="preserve"> and equipment that should be explicitly excluded from or included in the Telecommunications Industry Ombudsman’s remit? If yes, what are these and why?</w:t>
      </w:r>
    </w:p>
    <w:p w14:paraId="4A86EF3B" w14:textId="100DD892" w:rsidR="001C686C" w:rsidRDefault="00231287" w:rsidP="00592AE9">
      <w:pPr>
        <w:spacing w:before="240"/>
      </w:pPr>
      <w:r>
        <w:t>ACCAN welcomes extending the TIO’s jurisdiction to include complaints about devices and equipment that are offered and supplied by a member</w:t>
      </w:r>
      <w:r w:rsidR="001C686C">
        <w:t xml:space="preserve"> (e.g. n</w:t>
      </w:r>
      <w:r>
        <w:t>e</w:t>
      </w:r>
      <w:r w:rsidR="001C686C">
        <w:t>w smart devices</w:t>
      </w:r>
      <w:r>
        <w:t xml:space="preserve"> and equipment such as smart home controls, smart fridges and other products</w:t>
      </w:r>
      <w:r w:rsidR="001C686C">
        <w:t>)</w:t>
      </w:r>
      <w:r>
        <w:t xml:space="preserve"> including products provided in non-traditional ways such as redemption by customer loyalty points</w:t>
      </w:r>
      <w:r w:rsidR="001C686C">
        <w:t xml:space="preserve">. This extension will provide more appropriate and comprehensive coverage for consumer complaints in accordance with the industry-based dispute resolution Benchmark and allow the TIO to deal with the ‘vast majority of complaints’ in the telecommunications industry and the ‘whole of each such complaint’. </w:t>
      </w:r>
    </w:p>
    <w:p w14:paraId="7AD0FBC5" w14:textId="7F24AAD8" w:rsidR="00E63023" w:rsidRPr="00D93E22" w:rsidRDefault="001C686C" w:rsidP="00592AE9">
      <w:r>
        <w:t>T</w:t>
      </w:r>
      <w:r w:rsidR="00571B39" w:rsidRPr="00D93E22">
        <w:t xml:space="preserve">he </w:t>
      </w:r>
      <w:r>
        <w:t xml:space="preserve">rapid </w:t>
      </w:r>
      <w:r w:rsidR="00571B39" w:rsidRPr="00D93E22">
        <w:t>increase in smart device ownership in Australia</w:t>
      </w:r>
      <w:r w:rsidR="007F7E17">
        <w:t>,</w:t>
      </w:r>
      <w:r>
        <w:t xml:space="preserve"> and the current rollout of 5G technology across the country</w:t>
      </w:r>
      <w:r w:rsidR="007F7E17">
        <w:t xml:space="preserve"> enabling</w:t>
      </w:r>
      <w:r>
        <w:t xml:space="preserve"> the use of a greater range of smart devices</w:t>
      </w:r>
      <w:r w:rsidR="004A3E0A">
        <w:t xml:space="preserve"> in the future</w:t>
      </w:r>
      <w:r>
        <w:t>,</w:t>
      </w:r>
      <w:r w:rsidR="004A3E0A">
        <w:rPr>
          <w:rStyle w:val="FootnoteReference"/>
          <w:sz w:val="24"/>
          <w:szCs w:val="24"/>
        </w:rPr>
        <w:footnoteReference w:id="7"/>
      </w:r>
      <w:r>
        <w:t xml:space="preserve"> means there will be an increased volume of complaints about these devices.</w:t>
      </w:r>
      <w:r w:rsidR="007F7E17">
        <w:t xml:space="preserve"> </w:t>
      </w:r>
      <w:r>
        <w:t xml:space="preserve"> The TIO will play a crucial role in managing complaints and dispute resolution about issues arising from these devices</w:t>
      </w:r>
      <w:r w:rsidR="007F7E17">
        <w:t>,</w:t>
      </w:r>
      <w:r w:rsidR="00571B39" w:rsidRPr="00D93E22">
        <w:t xml:space="preserve"> </w:t>
      </w:r>
      <w:r w:rsidR="007F7E17">
        <w:t xml:space="preserve">including </w:t>
      </w:r>
      <w:r w:rsidR="00571B39" w:rsidRPr="00D93E22">
        <w:t xml:space="preserve">the consumer threats posed by breaches of data privacy and cybersecurity. </w:t>
      </w:r>
    </w:p>
    <w:p w14:paraId="072CAADB" w14:textId="115FB987" w:rsidR="00A344EF" w:rsidRPr="00D93E22" w:rsidRDefault="00E63023" w:rsidP="00592AE9">
      <w:r w:rsidRPr="00D93E22">
        <w:t>ACCAN notes that t</w:t>
      </w:r>
      <w:r w:rsidR="00571B39" w:rsidRPr="00D93E22">
        <w:t>h</w:t>
      </w:r>
      <w:r w:rsidR="00F40EBD" w:rsidRPr="00D93E22">
        <w:t>e</w:t>
      </w:r>
      <w:r w:rsidR="007F7E17">
        <w:t>re is inevitable discrepancy in consumer protection that arises from the fact the jurisdiction of the</w:t>
      </w:r>
      <w:r w:rsidR="00F40EBD" w:rsidRPr="00D93E22">
        <w:t xml:space="preserve"> TIO</w:t>
      </w:r>
      <w:r w:rsidR="007F7E17">
        <w:t>’s</w:t>
      </w:r>
      <w:r w:rsidR="00F40EBD" w:rsidRPr="00D93E22">
        <w:t xml:space="preserve"> complaints resolution</w:t>
      </w:r>
      <w:r w:rsidRPr="00D93E22">
        <w:t xml:space="preserve"> scheme </w:t>
      </w:r>
      <w:r w:rsidR="007F7E17">
        <w:t>only extends to TIO</w:t>
      </w:r>
      <w:r w:rsidR="001B3E26">
        <w:t xml:space="preserve"> members</w:t>
      </w:r>
      <w:r w:rsidR="00B82473" w:rsidRPr="00D93E22">
        <w:t xml:space="preserve">. </w:t>
      </w:r>
      <w:r w:rsidR="007F7E17">
        <w:t>However,</w:t>
      </w:r>
      <w:r w:rsidR="00B82473" w:rsidRPr="00D93E22">
        <w:t xml:space="preserve"> th</w:t>
      </w:r>
      <w:r w:rsidR="004A3E0A">
        <w:t>e solution to this</w:t>
      </w:r>
      <w:r w:rsidR="00B82473" w:rsidRPr="00D93E22">
        <w:t xml:space="preserve"> issue lies outside the</w:t>
      </w:r>
      <w:r w:rsidR="004A3E0A">
        <w:t xml:space="preserve"> framework</w:t>
      </w:r>
      <w:r w:rsidR="00B82473" w:rsidRPr="00D93E22">
        <w:t xml:space="preserve"> </w:t>
      </w:r>
      <w:r w:rsidR="004A3E0A">
        <w:t>of the</w:t>
      </w:r>
      <w:r w:rsidR="00B82473" w:rsidRPr="00D93E22">
        <w:t xml:space="preserve"> TIO’s Terms of Reference</w:t>
      </w:r>
      <w:r w:rsidR="004A3E0A">
        <w:t>.</w:t>
      </w:r>
    </w:p>
    <w:p w14:paraId="2D8A1A36" w14:textId="58440F3C" w:rsidR="00A344EF" w:rsidRPr="00D93E22" w:rsidRDefault="00A344EF" w:rsidP="00592AE9">
      <w:pPr>
        <w:pStyle w:val="Heading2"/>
      </w:pPr>
      <w:r w:rsidRPr="00D93E22">
        <w:lastRenderedPageBreak/>
        <w:t>Q7 – What issues are raised by joining more than one member to a complaint and how can we address these issues?</w:t>
      </w:r>
    </w:p>
    <w:p w14:paraId="24DE1EA3" w14:textId="5F483B40" w:rsidR="003D5410" w:rsidRPr="00D93E22" w:rsidRDefault="00D43DEE" w:rsidP="00592AE9">
      <w:pPr>
        <w:spacing w:before="240"/>
      </w:pPr>
      <w:r w:rsidRPr="00D93E22">
        <w:t xml:space="preserve">ACCAN welcomes changes </w:t>
      </w:r>
      <w:r w:rsidR="003D5410" w:rsidRPr="00D93E22">
        <w:t xml:space="preserve">to the Terms of Reference </w:t>
      </w:r>
      <w:r w:rsidRPr="00D93E22">
        <w:t xml:space="preserve">that </w:t>
      </w:r>
      <w:r w:rsidR="003D5410" w:rsidRPr="00D93E22">
        <w:t>allow</w:t>
      </w:r>
      <w:r w:rsidRPr="00D93E22">
        <w:t xml:space="preserve"> more than one party </w:t>
      </w:r>
      <w:r w:rsidR="003D5410" w:rsidRPr="00D93E22">
        <w:t xml:space="preserve">to be joined </w:t>
      </w:r>
      <w:r w:rsidRPr="00D93E22">
        <w:t xml:space="preserve">in dealing with a complaint. </w:t>
      </w:r>
      <w:r w:rsidR="003D5410" w:rsidRPr="00D93E22">
        <w:t xml:space="preserve">The joining of more than one party to a complaint will make it easier to resolve complaints involving more than one </w:t>
      </w:r>
      <w:r w:rsidR="00897094">
        <w:t xml:space="preserve">service </w:t>
      </w:r>
      <w:r w:rsidR="003D5410" w:rsidRPr="00D93E22">
        <w:t>provider, such as issues with the NBN and issues with mobile</w:t>
      </w:r>
      <w:r w:rsidR="001B3E26">
        <w:t xml:space="preserve"> and local</w:t>
      </w:r>
      <w:r w:rsidR="003D5410" w:rsidRPr="00D93E22">
        <w:t xml:space="preserve"> number porting from one </w:t>
      </w:r>
      <w:r w:rsidR="00897094">
        <w:t xml:space="preserve">service </w:t>
      </w:r>
      <w:r w:rsidR="003D5410" w:rsidRPr="00D93E22">
        <w:t>provider to another. In</w:t>
      </w:r>
      <w:r w:rsidRPr="00D93E22">
        <w:t xml:space="preserve"> some cases</w:t>
      </w:r>
      <w:r w:rsidR="003D5410" w:rsidRPr="00D93E22">
        <w:t xml:space="preserve">, to achieve a reasonable outcome for consumers, </w:t>
      </w:r>
      <w:r w:rsidRPr="00D93E22">
        <w:t xml:space="preserve">there </w:t>
      </w:r>
      <w:r w:rsidR="003D5410" w:rsidRPr="00D93E22">
        <w:t>may</w:t>
      </w:r>
      <w:r w:rsidRPr="00D93E22">
        <w:t xml:space="preserve"> be a need for parties to be compelled to participate in complaints handling.</w:t>
      </w:r>
    </w:p>
    <w:p w14:paraId="1BC7D5B5" w14:textId="7238BED1" w:rsidR="00D43DEE" w:rsidRPr="00D93E22" w:rsidRDefault="003D5410" w:rsidP="00592AE9">
      <w:r w:rsidRPr="00D93E22">
        <w:t xml:space="preserve">In addition, </w:t>
      </w:r>
      <w:r w:rsidR="00D43DEE" w:rsidRPr="00D93E22">
        <w:t>ACCAN supports the TIO’s position that it may be reasonable in some circumstances to split the costs of complaint handling between more than one joined member.</w:t>
      </w:r>
    </w:p>
    <w:p w14:paraId="1881962A" w14:textId="46FEFCFD" w:rsidR="003D5410" w:rsidRPr="00D93E22" w:rsidRDefault="00A344EF" w:rsidP="00592AE9">
      <w:pPr>
        <w:pStyle w:val="Heading2"/>
      </w:pPr>
      <w:r w:rsidRPr="00D93E22">
        <w:t xml:space="preserve">Q8 – Looking at the Terms of Reference as a whole, are there other changes we should consider </w:t>
      </w:r>
      <w:proofErr w:type="gramStart"/>
      <w:r w:rsidRPr="00D93E22">
        <w:t>to ensure</w:t>
      </w:r>
      <w:proofErr w:type="gramEnd"/>
      <w:r w:rsidRPr="00D93E22">
        <w:t xml:space="preserve"> our scheme continues to meet community expectations for best practice external dispute resolution in the telecommunications sector?</w:t>
      </w:r>
    </w:p>
    <w:p w14:paraId="3EBC3528" w14:textId="58FC6303" w:rsidR="00BF6B57" w:rsidRPr="00D93E22" w:rsidRDefault="00BF6B57" w:rsidP="003860A7">
      <w:pPr>
        <w:pStyle w:val="Heading3"/>
        <w:spacing w:after="120"/>
      </w:pPr>
      <w:r w:rsidRPr="00D93E22">
        <w:t>Consumer education and accessibility</w:t>
      </w:r>
    </w:p>
    <w:p w14:paraId="422CE1C2" w14:textId="3177554D" w:rsidR="00EB355C" w:rsidRDefault="007827BB" w:rsidP="00592AE9">
      <w:r w:rsidRPr="00D93E22">
        <w:t>The telecommunications complaints handling landscape is complex and difficult for consumers to navigate.</w:t>
      </w:r>
      <w:r w:rsidR="001F0283">
        <w:t xml:space="preserve"> </w:t>
      </w:r>
      <w:r w:rsidR="00BF6B57" w:rsidRPr="00D93E22">
        <w:t xml:space="preserve">For example, where </w:t>
      </w:r>
      <w:r w:rsidRPr="00D93E22">
        <w:t>a consumer is being</w:t>
      </w:r>
      <w:r w:rsidR="00BF6B57" w:rsidRPr="00D93E22">
        <w:t xml:space="preserve"> pursued </w:t>
      </w:r>
      <w:r w:rsidRPr="00D93E22">
        <w:t xml:space="preserve">for non-payment </w:t>
      </w:r>
      <w:r w:rsidR="00BF6B57" w:rsidRPr="00D93E22">
        <w:t>by</w:t>
      </w:r>
      <w:r w:rsidRPr="00D93E22">
        <w:t xml:space="preserve"> a</w:t>
      </w:r>
      <w:r w:rsidR="00BF6B57" w:rsidRPr="00D93E22">
        <w:t xml:space="preserve"> third</w:t>
      </w:r>
      <w:r w:rsidR="00EB355C">
        <w:t>-</w:t>
      </w:r>
      <w:r w:rsidR="00BF6B57" w:rsidRPr="00D93E22">
        <w:t xml:space="preserve">party debt collector on behalf </w:t>
      </w:r>
      <w:r w:rsidRPr="00D93E22">
        <w:t xml:space="preserve">of a service provider, the consumer </w:t>
      </w:r>
      <w:r w:rsidR="00FB1FAF" w:rsidRPr="00D93E22">
        <w:t>must</w:t>
      </w:r>
      <w:r w:rsidRPr="00D93E22">
        <w:t xml:space="preserve"> lodge a complaint</w:t>
      </w:r>
      <w:r w:rsidR="00FB1FAF" w:rsidRPr="00D93E22">
        <w:t xml:space="preserve"> with AFCA</w:t>
      </w:r>
      <w:r w:rsidR="00BF6B57" w:rsidRPr="00D93E22">
        <w:t>. O</w:t>
      </w:r>
      <w:r w:rsidRPr="00D93E22">
        <w:t>n the other hand, in cases where a consumer is being pursued for non-payment directly by a service provider, the TIO can accept this complaint</w:t>
      </w:r>
      <w:r w:rsidR="00BF6B57" w:rsidRPr="00D93E22">
        <w:t>.</w:t>
      </w:r>
    </w:p>
    <w:p w14:paraId="11672EE4" w14:textId="4A30C932" w:rsidR="00BF6B57" w:rsidRPr="00D93E22" w:rsidRDefault="007827BB" w:rsidP="00592AE9">
      <w:r w:rsidRPr="00D93E22">
        <w:t>For the average consumer,</w:t>
      </w:r>
      <w:r w:rsidR="00BF6B57" w:rsidRPr="00D93E22">
        <w:t xml:space="preserve"> </w:t>
      </w:r>
      <w:r w:rsidR="00EB355C" w:rsidRPr="00D93E22">
        <w:t>th</w:t>
      </w:r>
      <w:r w:rsidR="00EB355C">
        <w:t>e</w:t>
      </w:r>
      <w:r w:rsidR="00EB355C" w:rsidRPr="00D93E22">
        <w:t xml:space="preserve"> </w:t>
      </w:r>
      <w:r w:rsidRPr="00D93E22">
        <w:t xml:space="preserve">distinction </w:t>
      </w:r>
      <w:r w:rsidR="00FB1FAF" w:rsidRPr="00D93E22">
        <w:t>between the appropriate avenues for redress</w:t>
      </w:r>
      <w:r w:rsidR="00EB355C">
        <w:t xml:space="preserve"> in a case such as this </w:t>
      </w:r>
      <w:r w:rsidR="00FB1FAF" w:rsidRPr="00D93E22">
        <w:t>are</w:t>
      </w:r>
      <w:r w:rsidRPr="00D93E22">
        <w:t xml:space="preserve"> difficult to understand </w:t>
      </w:r>
      <w:r w:rsidR="00FB1FAF" w:rsidRPr="00D93E22">
        <w:t>and may serve as a deterrent for consumers seeking to make a complaint.</w:t>
      </w:r>
      <w:r w:rsidR="00EB355C">
        <w:t xml:space="preserve"> Accessible c</w:t>
      </w:r>
      <w:r w:rsidR="00EB355C" w:rsidRPr="00BA2876">
        <w:t>onsumer information is</w:t>
      </w:r>
      <w:r w:rsidR="00EB355C">
        <w:t xml:space="preserve"> crucial</w:t>
      </w:r>
      <w:r w:rsidR="00EB355C" w:rsidRPr="00BA2876">
        <w:t xml:space="preserve"> </w:t>
      </w:r>
      <w:r w:rsidR="00EB355C">
        <w:t>to enable consumers to</w:t>
      </w:r>
      <w:r w:rsidR="00EB355C" w:rsidRPr="00BA2876">
        <w:t xml:space="preserve"> understand </w:t>
      </w:r>
      <w:r w:rsidR="00EB355C">
        <w:t xml:space="preserve">not only </w:t>
      </w:r>
      <w:r w:rsidR="00EB355C" w:rsidRPr="00BA2876">
        <w:t>what they are buying</w:t>
      </w:r>
      <w:r w:rsidR="00EB355C">
        <w:t xml:space="preserve"> and </w:t>
      </w:r>
      <w:r w:rsidR="00EB355C" w:rsidRPr="00BA2876">
        <w:t>how to use their service</w:t>
      </w:r>
      <w:r w:rsidR="00EB355C">
        <w:t>, but also allow them to</w:t>
      </w:r>
      <w:r w:rsidR="00EB355C" w:rsidRPr="00BA2876">
        <w:t xml:space="preserve"> constructively solve future issues that may arise.</w:t>
      </w:r>
    </w:p>
    <w:p w14:paraId="40647BE2" w14:textId="77777777" w:rsidR="00EB355C" w:rsidRDefault="00BA2876" w:rsidP="00592AE9">
      <w:r>
        <w:t>Simple</w:t>
      </w:r>
      <w:r w:rsidR="00FB1FAF" w:rsidRPr="00D93E22">
        <w:t xml:space="preserve"> education</w:t>
      </w:r>
      <w:r w:rsidR="00EB355C">
        <w:t>al</w:t>
      </w:r>
      <w:r w:rsidR="00FB1FAF" w:rsidRPr="00D93E22">
        <w:t xml:space="preserve"> materials explaining the</w:t>
      </w:r>
      <w:r w:rsidR="009E1DEB">
        <w:t xml:space="preserve"> role of the</w:t>
      </w:r>
      <w:r w:rsidR="00FB1FAF" w:rsidRPr="00D93E22">
        <w:t xml:space="preserve"> TIO</w:t>
      </w:r>
      <w:r w:rsidR="009E1DEB">
        <w:t xml:space="preserve"> and the variety of</w:t>
      </w:r>
      <w:r w:rsidR="00FB1FAF" w:rsidRPr="00D93E22">
        <w:t xml:space="preserve"> complaints handling processes</w:t>
      </w:r>
      <w:r>
        <w:t xml:space="preserve"> would help people from all backgrounds to </w:t>
      </w:r>
      <w:r w:rsidR="009E1DEB">
        <w:t>understand where and how to lodge complaints, empower them</w:t>
      </w:r>
      <w:r w:rsidR="009E1DEB" w:rsidRPr="00D93E22">
        <w:t xml:space="preserve"> to </w:t>
      </w:r>
      <w:r w:rsidR="009E1DEB">
        <w:t xml:space="preserve">act </w:t>
      </w:r>
      <w:r w:rsidR="00EB355C">
        <w:t xml:space="preserve">and </w:t>
      </w:r>
      <w:r w:rsidR="009E1DEB">
        <w:t xml:space="preserve">provide a guide to </w:t>
      </w:r>
      <w:r w:rsidR="009E1DEB" w:rsidRPr="00D93E22">
        <w:t xml:space="preserve">which avenues need to be pursued in </w:t>
      </w:r>
      <w:r w:rsidR="00EB355C">
        <w:t>various</w:t>
      </w:r>
      <w:r w:rsidR="00EB355C" w:rsidRPr="00D93E22">
        <w:t xml:space="preserve"> </w:t>
      </w:r>
      <w:r w:rsidR="009E1DEB" w:rsidRPr="00D93E22">
        <w:t>circumstance</w:t>
      </w:r>
      <w:r w:rsidR="009E1DEB">
        <w:t>s</w:t>
      </w:r>
      <w:r w:rsidR="009E1DEB" w:rsidRPr="00D93E22">
        <w:t>.</w:t>
      </w:r>
    </w:p>
    <w:p w14:paraId="4CD15D21" w14:textId="6BD08B30" w:rsidR="00FB1FAF" w:rsidRPr="00D93E22" w:rsidRDefault="009E1DEB" w:rsidP="00592AE9">
      <w:r>
        <w:t xml:space="preserve">For maximum accessibility, this information </w:t>
      </w:r>
      <w:r w:rsidR="001F0283">
        <w:t xml:space="preserve">must </w:t>
      </w:r>
      <w:r>
        <w:t xml:space="preserve">also </w:t>
      </w:r>
      <w:r w:rsidR="001F0283">
        <w:t xml:space="preserve">be made available in a range of digital and non-digital formats. </w:t>
      </w:r>
    </w:p>
    <w:p w14:paraId="13DB9498" w14:textId="125D3D3A" w:rsidR="00A344EF" w:rsidRPr="00D93E22" w:rsidRDefault="00A344EF" w:rsidP="00592AE9">
      <w:pPr>
        <w:pStyle w:val="Heading2"/>
      </w:pPr>
      <w:r w:rsidRPr="00D93E22">
        <w:t>Q9 – Are the proposed Terms of Reference easy to follow and understand?</w:t>
      </w:r>
    </w:p>
    <w:p w14:paraId="0F007863" w14:textId="25923901" w:rsidR="005B4B30" w:rsidRPr="00D93E22" w:rsidRDefault="001B3E26" w:rsidP="00592AE9">
      <w:pPr>
        <w:spacing w:before="240"/>
      </w:pPr>
      <w:r>
        <w:t xml:space="preserve">While the </w:t>
      </w:r>
      <w:r w:rsidR="005B4B30" w:rsidRPr="00D93E22">
        <w:t xml:space="preserve">Terms of Reference </w:t>
      </w:r>
      <w:r>
        <w:t>are clearly set out</w:t>
      </w:r>
      <w:r w:rsidR="009A5B3B">
        <w:t>, ACCAN considers mo</w:t>
      </w:r>
      <w:r w:rsidR="001F0283">
        <w:t xml:space="preserve">re work is required to ensure that the Terms of Reference are accessible and easy </w:t>
      </w:r>
      <w:r w:rsidR="00616EC4">
        <w:t>for consumers to</w:t>
      </w:r>
      <w:r w:rsidR="001F0283">
        <w:t xml:space="preserve"> understand.</w:t>
      </w:r>
      <w:r w:rsidR="009A5B3B">
        <w:t xml:space="preserve"> The document </w:t>
      </w:r>
      <w:r w:rsidR="009A5B3B">
        <w:lastRenderedPageBreak/>
        <w:t xml:space="preserve">could be produced in different formats such as easy English, different languages including </w:t>
      </w:r>
      <w:proofErr w:type="spellStart"/>
      <w:r w:rsidR="009A5B3B">
        <w:t>Auslan</w:t>
      </w:r>
      <w:proofErr w:type="spellEnd"/>
      <w:r w:rsidR="009A5B3B">
        <w:t xml:space="preserve">, and accompanied by infographics where appropriate. </w:t>
      </w:r>
    </w:p>
    <w:p w14:paraId="35770730" w14:textId="59903A86" w:rsidR="00D93E22" w:rsidRPr="00D93E22" w:rsidRDefault="00D93E22" w:rsidP="00482E23">
      <w:r w:rsidRPr="00D93E22">
        <w:t>Thank you again for the opportunity to provide feedback on the proposed Terms of Reference. We look forward to discussing our feedback with you in more detail</w:t>
      </w:r>
      <w:r w:rsidR="00482E23">
        <w:t xml:space="preserve">. </w:t>
      </w:r>
      <w:r w:rsidRPr="00D93E22">
        <w:t xml:space="preserve"> </w:t>
      </w:r>
    </w:p>
    <w:p w14:paraId="68CA0342" w14:textId="6DD7E0BB" w:rsidR="00545597" w:rsidRPr="00D93E22" w:rsidRDefault="00545597" w:rsidP="00592AE9"/>
    <w:sectPr w:rsidR="00545597" w:rsidRPr="00D93E22" w:rsidSect="005E3BAC">
      <w:footerReference w:type="default" r:id="rId9"/>
      <w:headerReference w:type="first" r:id="rId10"/>
      <w:footerReference w:type="first" r:id="rId11"/>
      <w:pgSz w:w="11906" w:h="16838"/>
      <w:pgMar w:top="2126" w:right="1418" w:bottom="1985" w:left="1418" w:header="709"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E876" w14:textId="77777777" w:rsidR="000D3D23" w:rsidRDefault="000D3D23" w:rsidP="00592AE9">
      <w:r>
        <w:separator/>
      </w:r>
    </w:p>
  </w:endnote>
  <w:endnote w:type="continuationSeparator" w:id="0">
    <w:p w14:paraId="5AE8D25C" w14:textId="77777777" w:rsidR="000D3D23" w:rsidRDefault="000D3D23" w:rsidP="005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7DF7" w14:textId="77777777" w:rsidR="00BF6B57" w:rsidRPr="00E05115" w:rsidRDefault="00BF6B57" w:rsidP="00592AE9">
    <w:r w:rsidRPr="00E05115">
      <w:t>www.accan.org.au | info@accan.org.au | twitter: @ACCAN_AU</w:t>
    </w:r>
    <w:r>
      <w:tab/>
    </w:r>
    <w:r>
      <w:tab/>
    </w:r>
    <w:r>
      <w:tab/>
    </w:r>
    <w:r>
      <w:tab/>
    </w:r>
    <w: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2AC037E3" w14:textId="77777777" w:rsidR="00BF6B57" w:rsidRDefault="00BF6B57" w:rsidP="0059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5F80" w14:textId="77777777" w:rsidR="005E3BAC" w:rsidRPr="00381391" w:rsidRDefault="005E3BAC" w:rsidP="005E3BAC">
    <w:pPr>
      <w:pStyle w:val="Footerpage1"/>
      <w:pBdr>
        <w:top w:val="thinThickSmallGap" w:sz="24" w:space="0" w:color="365F91"/>
      </w:pBdr>
      <w:ind w:left="0"/>
      <w:rPr>
        <w:color w:val="365F91"/>
      </w:rPr>
    </w:pPr>
    <w:r w:rsidRPr="00381391">
      <w:rPr>
        <w:color w:val="365F91"/>
      </w:rPr>
      <w:t>Australian Communications Consumer Action Network (ACCAN)</w:t>
    </w:r>
  </w:p>
  <w:p w14:paraId="1549A8A4" w14:textId="77777777" w:rsidR="005E3BAC" w:rsidRPr="00381391" w:rsidRDefault="005E3BAC" w:rsidP="005E3BAC">
    <w:pPr>
      <w:pStyle w:val="Footerpage1"/>
      <w:spacing w:after="0"/>
      <w:ind w:left="0"/>
      <w:rPr>
        <w:color w:val="365F91"/>
      </w:rPr>
    </w:pPr>
    <w:r w:rsidRPr="00381391">
      <w:rPr>
        <w:color w:val="365F91"/>
      </w:rPr>
      <w:t>www.accan.org.au | info@accan.org.au | twitter: @ACCAN_AU</w:t>
    </w:r>
  </w:p>
  <w:p w14:paraId="45D747B6" w14:textId="77777777" w:rsidR="005E3BAC" w:rsidRDefault="005E3BAC" w:rsidP="005E3BAC">
    <w:pPr>
      <w:pStyle w:val="Footerpage1"/>
      <w:ind w:left="0"/>
    </w:pPr>
    <w:r w:rsidRPr="008E763A">
      <w:t>Suite 4.02, 55 Mountain St, Ultimo NSW 2007</w:t>
    </w:r>
  </w:p>
  <w:p w14:paraId="1BCDC593" w14:textId="71B04E5C" w:rsidR="00BF6B57" w:rsidRDefault="005E3BAC" w:rsidP="005E3BAC">
    <w:pPr>
      <w:pStyle w:val="Footerpage1"/>
      <w:ind w:left="0"/>
    </w:pPr>
    <w:r w:rsidRPr="008E763A">
      <w:t>Tel: (02) 9288 4000 | Fax: (02) 9288 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8E80" w14:textId="77777777" w:rsidR="000D3D23" w:rsidRDefault="000D3D23" w:rsidP="00592AE9">
      <w:r>
        <w:separator/>
      </w:r>
    </w:p>
  </w:footnote>
  <w:footnote w:type="continuationSeparator" w:id="0">
    <w:p w14:paraId="2A470317" w14:textId="77777777" w:rsidR="000D3D23" w:rsidRDefault="000D3D23" w:rsidP="00592AE9">
      <w:r>
        <w:continuationSeparator/>
      </w:r>
    </w:p>
  </w:footnote>
  <w:footnote w:id="1">
    <w:p w14:paraId="5391C1E1" w14:textId="4922A554" w:rsidR="00D93E22" w:rsidRDefault="00D93E22" w:rsidP="00592AE9">
      <w:pPr>
        <w:pStyle w:val="FootnoteText"/>
      </w:pPr>
      <w:r>
        <w:rPr>
          <w:rStyle w:val="FootnoteReference"/>
        </w:rPr>
        <w:footnoteRef/>
      </w:r>
      <w:r>
        <w:t xml:space="preserve"> </w:t>
      </w:r>
      <w:r w:rsidR="00231287">
        <w:t xml:space="preserve">Telecommunications Industry Ombudsman, </w:t>
      </w:r>
      <w:r w:rsidR="00231287" w:rsidRPr="00231287">
        <w:t>Modernising the Telecommunications Industry Ombudsman Terms of Reference</w:t>
      </w:r>
      <w:r w:rsidR="00231287">
        <w:t>, July 2020, p6</w:t>
      </w:r>
    </w:p>
  </w:footnote>
  <w:footnote w:id="2">
    <w:p w14:paraId="6393E222" w14:textId="382F461C" w:rsidR="003532B9" w:rsidRDefault="003532B9" w:rsidP="00592AE9">
      <w:pPr>
        <w:pStyle w:val="FootnoteText"/>
      </w:pPr>
      <w:r>
        <w:rPr>
          <w:rStyle w:val="FootnoteReference"/>
        </w:rPr>
        <w:footnoteRef/>
      </w:r>
      <w:r>
        <w:t xml:space="preserve"> </w:t>
      </w:r>
      <w:r w:rsidR="00231287">
        <w:t xml:space="preserve">ACCAN, </w:t>
      </w:r>
      <w:r w:rsidR="00231287" w:rsidRPr="00347BB9">
        <w:rPr>
          <w:i/>
          <w:iCs/>
        </w:rPr>
        <w:t>Still Waiting</w:t>
      </w:r>
      <w:r w:rsidR="00231287">
        <w:t>, 2020</w:t>
      </w:r>
    </w:p>
  </w:footnote>
  <w:footnote w:id="3">
    <w:p w14:paraId="535569AE" w14:textId="5E78B05A" w:rsidR="00BF6B57" w:rsidRDefault="00BF6B57" w:rsidP="00592AE9">
      <w:pPr>
        <w:pStyle w:val="FootnoteText"/>
      </w:pPr>
      <w:r>
        <w:rPr>
          <w:rStyle w:val="FootnoteReference"/>
        </w:rPr>
        <w:footnoteRef/>
      </w:r>
      <w:r>
        <w:t xml:space="preserve"> </w:t>
      </w:r>
      <w:r w:rsidR="00231287">
        <w:t>Ibid</w:t>
      </w:r>
    </w:p>
  </w:footnote>
  <w:footnote w:id="4">
    <w:p w14:paraId="74478F7E" w14:textId="75674AEC" w:rsidR="00BF6B57" w:rsidRDefault="00BF6B57" w:rsidP="00592AE9">
      <w:pPr>
        <w:pStyle w:val="FootnoteText"/>
      </w:pPr>
      <w:r>
        <w:rPr>
          <w:rStyle w:val="FootnoteReference"/>
        </w:rPr>
        <w:footnoteRef/>
      </w:r>
      <w:r>
        <w:t xml:space="preserve"> Telecommunications Industry Ombudsman, </w:t>
      </w:r>
      <w:r w:rsidRPr="00BD28EC">
        <w:rPr>
          <w:i/>
          <w:iCs/>
        </w:rPr>
        <w:t>Complaints Handling Process</w:t>
      </w:r>
      <w:r>
        <w:t xml:space="preserve">, </w:t>
      </w:r>
      <w:r w:rsidRPr="00BD28EC">
        <w:t>1 July 2020</w:t>
      </w:r>
      <w:r>
        <w:t xml:space="preserve">, ss 3.1 to 3.3 – accessed at </w:t>
      </w:r>
      <w:r w:rsidRPr="008E0FC3">
        <w:t>ww.tio.com.au/about-us/policies-and-procedures#pt3</w:t>
      </w:r>
      <w:r>
        <w:t xml:space="preserve"> </w:t>
      </w:r>
    </w:p>
  </w:footnote>
  <w:footnote w:id="5">
    <w:p w14:paraId="5B075FC9" w14:textId="755C8D95" w:rsidR="003F09F2" w:rsidRDefault="003F09F2" w:rsidP="003F09F2">
      <w:pPr>
        <w:pStyle w:val="FootnoteText"/>
      </w:pPr>
      <w:r>
        <w:rPr>
          <w:rStyle w:val="FootnoteReference"/>
        </w:rPr>
        <w:footnoteRef/>
      </w:r>
      <w:r>
        <w:t xml:space="preserve"> </w:t>
      </w:r>
      <w:r w:rsidR="009A7864" w:rsidRPr="009A7864">
        <w:t xml:space="preserve"> </w:t>
      </w:r>
      <w:proofErr w:type="spellStart"/>
      <w:r w:rsidR="009A7864">
        <w:t>Lucerner</w:t>
      </w:r>
      <w:proofErr w:type="spellEnd"/>
      <w:r w:rsidR="009A7864">
        <w:t xml:space="preserve"> Partners, </w:t>
      </w:r>
      <w:r w:rsidR="009A7864" w:rsidRPr="00800A9C">
        <w:rPr>
          <w:i/>
          <w:iCs/>
        </w:rPr>
        <w:t>Review of ombudsmen services: energy. A report for Ofgem</w:t>
      </w:r>
      <w:r w:rsidR="009A7864">
        <w:t xml:space="preserve">, July 2015, p18 – accessed at </w:t>
      </w:r>
      <w:hyperlink r:id="rId1" w:history="1">
        <w:r w:rsidR="009A7864">
          <w:rPr>
            <w:rStyle w:val="Hyperlink"/>
          </w:rPr>
          <w:t>https://www.ofgem.gov.uk/sites/default/files/docs/2015/09/review_of_ombudsman_services_energy_2.pdf</w:t>
        </w:r>
      </w:hyperlink>
    </w:p>
  </w:footnote>
  <w:footnote w:id="6">
    <w:p w14:paraId="51EA5A9F" w14:textId="58A63875" w:rsidR="00C61D66" w:rsidRDefault="00C61D66">
      <w:pPr>
        <w:pStyle w:val="FootnoteText"/>
      </w:pPr>
      <w:r>
        <w:rPr>
          <w:rStyle w:val="FootnoteReference"/>
        </w:rPr>
        <w:footnoteRef/>
      </w:r>
      <w:r>
        <w:t xml:space="preserve"> </w:t>
      </w:r>
      <w:r w:rsidRPr="00C61D66">
        <w:t>https://data.afca.org.au/complaints-by-firm</w:t>
      </w:r>
    </w:p>
  </w:footnote>
  <w:footnote w:id="7">
    <w:p w14:paraId="65C5FF6C" w14:textId="77777777" w:rsidR="00FE5FB5" w:rsidRDefault="004A3E0A" w:rsidP="00592AE9">
      <w:pPr>
        <w:pStyle w:val="FootnoteText"/>
      </w:pPr>
      <w:r>
        <w:rPr>
          <w:rStyle w:val="FootnoteReference"/>
        </w:rPr>
        <w:footnoteRef/>
      </w:r>
      <w:r>
        <w:t xml:space="preserve"> </w:t>
      </w:r>
      <w:proofErr w:type="spellStart"/>
      <w:r w:rsidR="00FE5FB5" w:rsidRPr="00AB5ECB">
        <w:t>Sivaraman</w:t>
      </w:r>
      <w:proofErr w:type="spellEnd"/>
      <w:r w:rsidR="00FE5FB5" w:rsidRPr="00AB5ECB">
        <w:t>,</w:t>
      </w:r>
      <w:r w:rsidR="00FE5FB5">
        <w:t xml:space="preserve"> V.</w:t>
      </w:r>
      <w:r w:rsidR="00FE5FB5" w:rsidRPr="00AB5ECB">
        <w:t xml:space="preserve"> </w:t>
      </w:r>
      <w:proofErr w:type="spellStart"/>
      <w:r w:rsidR="00FE5FB5" w:rsidRPr="00AB5ECB">
        <w:t>Gharakheili</w:t>
      </w:r>
      <w:proofErr w:type="spellEnd"/>
      <w:r w:rsidR="00FE5FB5" w:rsidRPr="00AB5ECB">
        <w:t xml:space="preserve">, </w:t>
      </w:r>
      <w:r w:rsidR="00FE5FB5">
        <w:t xml:space="preserve">H. and </w:t>
      </w:r>
      <w:r w:rsidR="00FE5FB5" w:rsidRPr="00AB5ECB">
        <w:t>Fernandes</w:t>
      </w:r>
      <w:r w:rsidR="00FE5FB5">
        <w:t xml:space="preserve">, C. </w:t>
      </w:r>
      <w:r w:rsidR="00FE5FB5" w:rsidRPr="00AB5ECB">
        <w:rPr>
          <w:i/>
          <w:iCs/>
        </w:rPr>
        <w:t>Inside job: Security and privacy threats for smart-home IoT devices</w:t>
      </w:r>
      <w:r w:rsidR="00FE5FB5">
        <w:t xml:space="preserve">, May 2017 - accessed at </w:t>
      </w:r>
      <w:hyperlink r:id="rId2" w:history="1">
        <w:r w:rsidR="00FE5FB5" w:rsidRPr="005B326D">
          <w:rPr>
            <w:rStyle w:val="Hyperlink"/>
          </w:rPr>
          <w:t>https://accan.org.au/files/Grants/UNSW-ACCAN_InsideJob_web.pdf</w:t>
        </w:r>
      </w:hyperlink>
    </w:p>
    <w:p w14:paraId="03D79394" w14:textId="77E4C0D3" w:rsidR="004A3E0A" w:rsidRDefault="004A3E0A" w:rsidP="00592A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ACEF" w14:textId="77777777" w:rsidR="00BF6B57" w:rsidRDefault="00BF6B57" w:rsidP="00592AE9">
    <w:pPr>
      <w:pStyle w:val="Header"/>
    </w:pPr>
    <w:r>
      <w:rPr>
        <w:noProof/>
      </w:rPr>
      <w:drawing>
        <wp:anchor distT="0" distB="0" distL="114300" distR="114300" simplePos="0" relativeHeight="251663360" behindDoc="1" locked="0" layoutInCell="1" allowOverlap="1" wp14:anchorId="3B64ECC9" wp14:editId="0E10C120">
          <wp:simplePos x="0" y="0"/>
          <wp:positionH relativeFrom="margin">
            <wp:align>right</wp:align>
          </wp:positionH>
          <wp:positionV relativeFrom="paragraph">
            <wp:posOffset>46990</wp:posOffset>
          </wp:positionV>
          <wp:extent cx="1630800" cy="756000"/>
          <wp:effectExtent l="0" t="0" r="762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4284"/>
    <w:multiLevelType w:val="hybridMultilevel"/>
    <w:tmpl w:val="6F86F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B25901"/>
    <w:multiLevelType w:val="hybridMultilevel"/>
    <w:tmpl w:val="A4CCB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4373DE"/>
    <w:multiLevelType w:val="hybridMultilevel"/>
    <w:tmpl w:val="DA14D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302D38"/>
    <w:multiLevelType w:val="hybridMultilevel"/>
    <w:tmpl w:val="D156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C0360"/>
    <w:multiLevelType w:val="hybridMultilevel"/>
    <w:tmpl w:val="52563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6450F9"/>
    <w:multiLevelType w:val="hybridMultilevel"/>
    <w:tmpl w:val="31109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54D76AB"/>
    <w:multiLevelType w:val="hybridMultilevel"/>
    <w:tmpl w:val="BF6C2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B81027"/>
    <w:multiLevelType w:val="hybridMultilevel"/>
    <w:tmpl w:val="BDAC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C7330"/>
    <w:multiLevelType w:val="hybridMultilevel"/>
    <w:tmpl w:val="7538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0C748D"/>
    <w:multiLevelType w:val="hybridMultilevel"/>
    <w:tmpl w:val="21226F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9D4332"/>
    <w:multiLevelType w:val="hybridMultilevel"/>
    <w:tmpl w:val="E0B049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8CC0D0D"/>
    <w:multiLevelType w:val="hybridMultilevel"/>
    <w:tmpl w:val="B42E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D61644"/>
    <w:multiLevelType w:val="hybridMultilevel"/>
    <w:tmpl w:val="C0D89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8"/>
  </w:num>
  <w:num w:numId="6">
    <w:abstractNumId w:val="5"/>
  </w:num>
  <w:num w:numId="7">
    <w:abstractNumId w:val="0"/>
  </w:num>
  <w:num w:numId="8">
    <w:abstractNumId w:val="6"/>
  </w:num>
  <w:num w:numId="9">
    <w:abstractNumId w:val="1"/>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4D"/>
    <w:rsid w:val="00007841"/>
    <w:rsid w:val="00010926"/>
    <w:rsid w:val="00024A11"/>
    <w:rsid w:val="000553B8"/>
    <w:rsid w:val="00067477"/>
    <w:rsid w:val="000A0FE3"/>
    <w:rsid w:val="000D3D23"/>
    <w:rsid w:val="001215CE"/>
    <w:rsid w:val="00145B11"/>
    <w:rsid w:val="00155FA9"/>
    <w:rsid w:val="001B3E26"/>
    <w:rsid w:val="001C686C"/>
    <w:rsid w:val="001D3ABC"/>
    <w:rsid w:val="001F0283"/>
    <w:rsid w:val="00207305"/>
    <w:rsid w:val="00211026"/>
    <w:rsid w:val="00214278"/>
    <w:rsid w:val="00231287"/>
    <w:rsid w:val="00260D6C"/>
    <w:rsid w:val="00273954"/>
    <w:rsid w:val="00277FB3"/>
    <w:rsid w:val="00284932"/>
    <w:rsid w:val="002B332D"/>
    <w:rsid w:val="002B5E5F"/>
    <w:rsid w:val="002D3635"/>
    <w:rsid w:val="002D691C"/>
    <w:rsid w:val="002E253A"/>
    <w:rsid w:val="002E3BE7"/>
    <w:rsid w:val="002F0D78"/>
    <w:rsid w:val="002F3A0B"/>
    <w:rsid w:val="003008D9"/>
    <w:rsid w:val="00301E34"/>
    <w:rsid w:val="00304559"/>
    <w:rsid w:val="00341857"/>
    <w:rsid w:val="00343B84"/>
    <w:rsid w:val="00347BB9"/>
    <w:rsid w:val="003532B9"/>
    <w:rsid w:val="003860A7"/>
    <w:rsid w:val="003A7092"/>
    <w:rsid w:val="003B2E2A"/>
    <w:rsid w:val="003B45C0"/>
    <w:rsid w:val="003B72B7"/>
    <w:rsid w:val="003D5410"/>
    <w:rsid w:val="003E4247"/>
    <w:rsid w:val="003F09F2"/>
    <w:rsid w:val="00410D84"/>
    <w:rsid w:val="00423B40"/>
    <w:rsid w:val="004467E0"/>
    <w:rsid w:val="00476871"/>
    <w:rsid w:val="00477ED5"/>
    <w:rsid w:val="00482E23"/>
    <w:rsid w:val="00485002"/>
    <w:rsid w:val="004A3E0A"/>
    <w:rsid w:val="004A74F8"/>
    <w:rsid w:val="004C4620"/>
    <w:rsid w:val="004D39B7"/>
    <w:rsid w:val="004E6DCF"/>
    <w:rsid w:val="00522E31"/>
    <w:rsid w:val="00526AF7"/>
    <w:rsid w:val="00540A94"/>
    <w:rsid w:val="00543122"/>
    <w:rsid w:val="00545597"/>
    <w:rsid w:val="0054617E"/>
    <w:rsid w:val="00571B39"/>
    <w:rsid w:val="00580497"/>
    <w:rsid w:val="00592AE9"/>
    <w:rsid w:val="00597242"/>
    <w:rsid w:val="005B4B30"/>
    <w:rsid w:val="005C06C8"/>
    <w:rsid w:val="005E19DA"/>
    <w:rsid w:val="005E3BAC"/>
    <w:rsid w:val="00616EC4"/>
    <w:rsid w:val="006479BA"/>
    <w:rsid w:val="0066026D"/>
    <w:rsid w:val="00661C22"/>
    <w:rsid w:val="006667CA"/>
    <w:rsid w:val="00671ADF"/>
    <w:rsid w:val="00673269"/>
    <w:rsid w:val="00683B04"/>
    <w:rsid w:val="0069218E"/>
    <w:rsid w:val="006B3CB1"/>
    <w:rsid w:val="006B463B"/>
    <w:rsid w:val="006B7BE4"/>
    <w:rsid w:val="006C2A0F"/>
    <w:rsid w:val="006D332B"/>
    <w:rsid w:val="006D6CD4"/>
    <w:rsid w:val="006E13D7"/>
    <w:rsid w:val="006F52EE"/>
    <w:rsid w:val="0071414B"/>
    <w:rsid w:val="007219C2"/>
    <w:rsid w:val="0074074D"/>
    <w:rsid w:val="00746B4A"/>
    <w:rsid w:val="00763C9F"/>
    <w:rsid w:val="007740F5"/>
    <w:rsid w:val="007827BB"/>
    <w:rsid w:val="00786C9E"/>
    <w:rsid w:val="00791B18"/>
    <w:rsid w:val="007A6163"/>
    <w:rsid w:val="007D0611"/>
    <w:rsid w:val="007D3B9C"/>
    <w:rsid w:val="007D75AE"/>
    <w:rsid w:val="007D7B9A"/>
    <w:rsid w:val="007F57E2"/>
    <w:rsid w:val="007F7E17"/>
    <w:rsid w:val="00800A9C"/>
    <w:rsid w:val="0081574E"/>
    <w:rsid w:val="0083279C"/>
    <w:rsid w:val="00833CA9"/>
    <w:rsid w:val="00853557"/>
    <w:rsid w:val="00855F6C"/>
    <w:rsid w:val="00865795"/>
    <w:rsid w:val="0087167D"/>
    <w:rsid w:val="00893F50"/>
    <w:rsid w:val="00897094"/>
    <w:rsid w:val="008C3DE2"/>
    <w:rsid w:val="008E0FC3"/>
    <w:rsid w:val="008E4B3A"/>
    <w:rsid w:val="00913107"/>
    <w:rsid w:val="0092586C"/>
    <w:rsid w:val="00934278"/>
    <w:rsid w:val="009403CD"/>
    <w:rsid w:val="00940A07"/>
    <w:rsid w:val="009670FB"/>
    <w:rsid w:val="00997320"/>
    <w:rsid w:val="009A5B3B"/>
    <w:rsid w:val="009A7864"/>
    <w:rsid w:val="009B6E60"/>
    <w:rsid w:val="009C1356"/>
    <w:rsid w:val="009E1DEB"/>
    <w:rsid w:val="009F2EDC"/>
    <w:rsid w:val="00A13D57"/>
    <w:rsid w:val="00A1425E"/>
    <w:rsid w:val="00A168FA"/>
    <w:rsid w:val="00A30113"/>
    <w:rsid w:val="00A344EF"/>
    <w:rsid w:val="00A46879"/>
    <w:rsid w:val="00A5602B"/>
    <w:rsid w:val="00A60CC9"/>
    <w:rsid w:val="00A77658"/>
    <w:rsid w:val="00A95DE5"/>
    <w:rsid w:val="00AA4238"/>
    <w:rsid w:val="00AC3E0C"/>
    <w:rsid w:val="00AC507C"/>
    <w:rsid w:val="00AD008A"/>
    <w:rsid w:val="00B26BD0"/>
    <w:rsid w:val="00B30305"/>
    <w:rsid w:val="00B46782"/>
    <w:rsid w:val="00B467A8"/>
    <w:rsid w:val="00B46882"/>
    <w:rsid w:val="00B51C6B"/>
    <w:rsid w:val="00B66F4B"/>
    <w:rsid w:val="00B82473"/>
    <w:rsid w:val="00BA2876"/>
    <w:rsid w:val="00BA78E6"/>
    <w:rsid w:val="00BB583D"/>
    <w:rsid w:val="00BC5FC0"/>
    <w:rsid w:val="00BD135D"/>
    <w:rsid w:val="00BD28EC"/>
    <w:rsid w:val="00BF6B57"/>
    <w:rsid w:val="00C161AF"/>
    <w:rsid w:val="00C248A1"/>
    <w:rsid w:val="00C4028B"/>
    <w:rsid w:val="00C471F9"/>
    <w:rsid w:val="00C508B9"/>
    <w:rsid w:val="00C53E9D"/>
    <w:rsid w:val="00C6083F"/>
    <w:rsid w:val="00C61D66"/>
    <w:rsid w:val="00C7127B"/>
    <w:rsid w:val="00CA4B79"/>
    <w:rsid w:val="00CB0ADA"/>
    <w:rsid w:val="00CD15AA"/>
    <w:rsid w:val="00CD4226"/>
    <w:rsid w:val="00CF7440"/>
    <w:rsid w:val="00D00A8A"/>
    <w:rsid w:val="00D118BF"/>
    <w:rsid w:val="00D3317C"/>
    <w:rsid w:val="00D3667C"/>
    <w:rsid w:val="00D41FF8"/>
    <w:rsid w:val="00D43DEE"/>
    <w:rsid w:val="00D46E53"/>
    <w:rsid w:val="00D772BF"/>
    <w:rsid w:val="00D848E2"/>
    <w:rsid w:val="00D93E22"/>
    <w:rsid w:val="00D947C5"/>
    <w:rsid w:val="00DF61DA"/>
    <w:rsid w:val="00E11CAE"/>
    <w:rsid w:val="00E222DE"/>
    <w:rsid w:val="00E375DB"/>
    <w:rsid w:val="00E4097D"/>
    <w:rsid w:val="00E52B00"/>
    <w:rsid w:val="00E60641"/>
    <w:rsid w:val="00E63023"/>
    <w:rsid w:val="00E8418F"/>
    <w:rsid w:val="00EA06EE"/>
    <w:rsid w:val="00EA2167"/>
    <w:rsid w:val="00EA39C6"/>
    <w:rsid w:val="00EB355C"/>
    <w:rsid w:val="00EB6BBB"/>
    <w:rsid w:val="00EB7DFA"/>
    <w:rsid w:val="00EF0B8B"/>
    <w:rsid w:val="00F0317B"/>
    <w:rsid w:val="00F21C75"/>
    <w:rsid w:val="00F40EBD"/>
    <w:rsid w:val="00F44BA2"/>
    <w:rsid w:val="00F67CB7"/>
    <w:rsid w:val="00F7512F"/>
    <w:rsid w:val="00FB1FAF"/>
    <w:rsid w:val="00FC66A9"/>
    <w:rsid w:val="00FE5FB5"/>
    <w:rsid w:val="00FF3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FA78"/>
  <w15:docId w15:val="{40338FE9-609C-46B3-B9E5-D1A15D9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E9"/>
    <w:rPr>
      <w:rFonts w:eastAsia="Times New Roman" w:cstheme="minorHAnsi"/>
    </w:rPr>
  </w:style>
  <w:style w:type="paragraph" w:styleId="Heading1">
    <w:name w:val="heading 1"/>
    <w:basedOn w:val="Normal"/>
    <w:next w:val="Normal"/>
    <w:link w:val="Heading1Char"/>
    <w:uiPriority w:val="9"/>
    <w:qFormat/>
    <w:rsid w:val="00616EC4"/>
    <w:pPr>
      <w:keepNext/>
      <w:keepLines/>
      <w:spacing w:before="240" w:after="0" w:line="24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92AE9"/>
    <w:pPr>
      <w:keepNext/>
      <w:keepLines/>
      <w:spacing w:before="40" w:after="0"/>
      <w:outlineLvl w:val="1"/>
    </w:pPr>
    <w:rPr>
      <w:b/>
      <w:bCs/>
      <w:i/>
      <w:iCs/>
    </w:rPr>
  </w:style>
  <w:style w:type="paragraph" w:styleId="Heading3">
    <w:name w:val="heading 3"/>
    <w:basedOn w:val="Normal"/>
    <w:next w:val="Normal"/>
    <w:link w:val="Heading3Char"/>
    <w:uiPriority w:val="9"/>
    <w:unhideWhenUsed/>
    <w:qFormat/>
    <w:rsid w:val="00592AE9"/>
    <w:pPr>
      <w:spacing w:before="2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A3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EF"/>
    <w:rPr>
      <w:rFonts w:ascii="Segoe UI" w:hAnsi="Segoe UI" w:cs="Segoe UI"/>
      <w:sz w:val="18"/>
      <w:szCs w:val="18"/>
    </w:rPr>
  </w:style>
  <w:style w:type="character" w:customStyle="1" w:styleId="Heading2Char">
    <w:name w:val="Heading 2 Char"/>
    <w:basedOn w:val="DefaultParagraphFont"/>
    <w:link w:val="Heading2"/>
    <w:uiPriority w:val="9"/>
    <w:rsid w:val="00592AE9"/>
    <w:rPr>
      <w:rFonts w:eastAsia="Times New Roman" w:cstheme="minorHAnsi"/>
      <w:b/>
      <w:bCs/>
      <w:i/>
      <w:iCs/>
    </w:rPr>
  </w:style>
  <w:style w:type="table" w:styleId="TableGrid">
    <w:name w:val="Table Grid"/>
    <w:basedOn w:val="TableNormal"/>
    <w:uiPriority w:val="59"/>
    <w:rsid w:val="00AC50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D84"/>
    <w:rPr>
      <w:sz w:val="16"/>
      <w:szCs w:val="16"/>
    </w:rPr>
  </w:style>
  <w:style w:type="paragraph" w:styleId="CommentText">
    <w:name w:val="annotation text"/>
    <w:basedOn w:val="Normal"/>
    <w:link w:val="CommentTextChar"/>
    <w:uiPriority w:val="99"/>
    <w:unhideWhenUsed/>
    <w:rsid w:val="00410D8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410D84"/>
    <w:rPr>
      <w:rFonts w:eastAsiaTheme="minorHAnsi"/>
      <w:sz w:val="20"/>
      <w:szCs w:val="20"/>
      <w:lang w:eastAsia="en-US"/>
    </w:rPr>
  </w:style>
  <w:style w:type="character" w:customStyle="1" w:styleId="Heading3Char">
    <w:name w:val="Heading 3 Char"/>
    <w:basedOn w:val="DefaultParagraphFont"/>
    <w:link w:val="Heading3"/>
    <w:uiPriority w:val="9"/>
    <w:rsid w:val="00592AE9"/>
    <w:rPr>
      <w:rFonts w:eastAsia="Times New Roman" w:cstheme="minorHAnsi"/>
      <w:u w:val="single"/>
    </w:rPr>
  </w:style>
  <w:style w:type="paragraph" w:styleId="FootnoteText">
    <w:name w:val="footnote text"/>
    <w:basedOn w:val="Normal"/>
    <w:link w:val="FootnoteTextChar"/>
    <w:uiPriority w:val="99"/>
    <w:unhideWhenUsed/>
    <w:rsid w:val="00347BB9"/>
    <w:pPr>
      <w:spacing w:after="0" w:line="240" w:lineRule="auto"/>
    </w:pPr>
    <w:rPr>
      <w:sz w:val="20"/>
      <w:szCs w:val="20"/>
    </w:rPr>
  </w:style>
  <w:style w:type="character" w:customStyle="1" w:styleId="FootnoteTextChar">
    <w:name w:val="Footnote Text Char"/>
    <w:basedOn w:val="DefaultParagraphFont"/>
    <w:link w:val="FootnoteText"/>
    <w:uiPriority w:val="99"/>
    <w:rsid w:val="00347BB9"/>
    <w:rPr>
      <w:sz w:val="20"/>
      <w:szCs w:val="20"/>
    </w:rPr>
  </w:style>
  <w:style w:type="character" w:styleId="FootnoteReference">
    <w:name w:val="footnote reference"/>
    <w:basedOn w:val="DefaultParagraphFont"/>
    <w:uiPriority w:val="99"/>
    <w:semiHidden/>
    <w:unhideWhenUsed/>
    <w:rsid w:val="00347BB9"/>
    <w:rPr>
      <w:vertAlign w:val="superscript"/>
    </w:rPr>
  </w:style>
  <w:style w:type="paragraph" w:styleId="ListParagraph">
    <w:name w:val="List Paragraph"/>
    <w:basedOn w:val="Normal"/>
    <w:uiPriority w:val="34"/>
    <w:qFormat/>
    <w:rsid w:val="00522E31"/>
    <w:pPr>
      <w:ind w:left="720"/>
      <w:contextualSpacing/>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467A8"/>
    <w:rPr>
      <w:rFonts w:eastAsiaTheme="minorEastAsia"/>
      <w:b/>
      <w:bCs/>
      <w:lang w:eastAsia="en-AU"/>
    </w:rPr>
  </w:style>
  <w:style w:type="character" w:customStyle="1" w:styleId="CommentSubjectChar">
    <w:name w:val="Comment Subject Char"/>
    <w:basedOn w:val="CommentTextChar"/>
    <w:link w:val="CommentSubject"/>
    <w:uiPriority w:val="99"/>
    <w:semiHidden/>
    <w:rsid w:val="00B467A8"/>
    <w:rPr>
      <w:rFonts w:eastAsiaTheme="minorHAnsi"/>
      <w:b/>
      <w:bCs/>
      <w:sz w:val="20"/>
      <w:szCs w:val="20"/>
      <w:lang w:eastAsia="en-US"/>
    </w:rPr>
  </w:style>
  <w:style w:type="character" w:styleId="UnresolvedMention">
    <w:name w:val="Unresolved Mention"/>
    <w:basedOn w:val="DefaultParagraphFont"/>
    <w:uiPriority w:val="99"/>
    <w:semiHidden/>
    <w:unhideWhenUsed/>
    <w:rsid w:val="00B467A8"/>
    <w:rPr>
      <w:color w:val="605E5C"/>
      <w:shd w:val="clear" w:color="auto" w:fill="E1DFDD"/>
    </w:rPr>
  </w:style>
  <w:style w:type="paragraph" w:styleId="Caption">
    <w:name w:val="caption"/>
    <w:basedOn w:val="Normal"/>
    <w:next w:val="Normal"/>
    <w:uiPriority w:val="35"/>
    <w:unhideWhenUsed/>
    <w:qFormat/>
    <w:rsid w:val="00997320"/>
    <w:pPr>
      <w:spacing w:line="240" w:lineRule="auto"/>
    </w:pPr>
    <w:rPr>
      <w:rFonts w:eastAsiaTheme="minorHAnsi"/>
      <w:i/>
      <w:iCs/>
      <w:color w:val="1F497D" w:themeColor="text2"/>
      <w:sz w:val="18"/>
      <w:szCs w:val="18"/>
      <w:lang w:eastAsia="en-US"/>
    </w:rPr>
  </w:style>
  <w:style w:type="table" w:styleId="GridTable2-Accent1">
    <w:name w:val="Grid Table 2 Accent 1"/>
    <w:basedOn w:val="TableNormal"/>
    <w:uiPriority w:val="47"/>
    <w:rsid w:val="00997320"/>
    <w:pPr>
      <w:spacing w:after="0" w:line="240" w:lineRule="auto"/>
    </w:pPr>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616EC4"/>
    <w:rPr>
      <w:rFonts w:eastAsiaTheme="majorEastAsia" w:cstheme="majorBidi"/>
      <w:b/>
      <w:sz w:val="24"/>
      <w:szCs w:val="32"/>
    </w:rPr>
  </w:style>
  <w:style w:type="character" w:styleId="FollowedHyperlink">
    <w:name w:val="FollowedHyperlink"/>
    <w:basedOn w:val="DefaultParagraphFont"/>
    <w:uiPriority w:val="99"/>
    <w:semiHidden/>
    <w:unhideWhenUsed/>
    <w:rsid w:val="006479BA"/>
    <w:rPr>
      <w:color w:val="800080" w:themeColor="followedHyperlink"/>
      <w:u w:val="single"/>
    </w:rPr>
  </w:style>
  <w:style w:type="paragraph" w:styleId="Revision">
    <w:name w:val="Revision"/>
    <w:hidden/>
    <w:uiPriority w:val="99"/>
    <w:semiHidden/>
    <w:rsid w:val="0071414B"/>
    <w:pPr>
      <w:spacing w:after="0" w:line="240" w:lineRule="auto"/>
    </w:pPr>
    <w:rPr>
      <w:rFonts w:eastAsia="Times New Roman" w:cstheme="minorHAnsi"/>
    </w:rPr>
  </w:style>
  <w:style w:type="paragraph" w:customStyle="1" w:styleId="Footerpage1">
    <w:name w:val="Footer page 1"/>
    <w:rsid w:val="005E3BAC"/>
    <w:pPr>
      <w:spacing w:line="240" w:lineRule="auto"/>
      <w:ind w:left="-754"/>
      <w:contextualSpacing/>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nsultation@tio.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ccan.org.au/files/Grants/UNSW-ACCAN_InsideJob_web.pdf" TargetMode="External"/><Relationship Id="rId1" Type="http://schemas.openxmlformats.org/officeDocument/2006/relationships/hyperlink" Target="https://www.ofgem.gov.uk/sites/default/files/docs/2015/09/review_of_ombudsman_services_energy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9119-2323-452E-93A0-DAAC22FD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5</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Whitelock</dc:creator>
  <cp:lastModifiedBy>Richard Van Der Male</cp:lastModifiedBy>
  <cp:revision>3</cp:revision>
  <cp:lastPrinted>2020-09-01T22:36:00Z</cp:lastPrinted>
  <dcterms:created xsi:type="dcterms:W3CDTF">2020-09-01T22:36:00Z</dcterms:created>
  <dcterms:modified xsi:type="dcterms:W3CDTF">2020-09-01T22:39:00Z</dcterms:modified>
</cp:coreProperties>
</file>