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A07" w:rsidRDefault="00D25451" w:rsidP="000C0D1E">
      <w:pPr>
        <w:spacing w:after="0"/>
        <w:rPr>
          <w:rFonts w:cstheme="minorHAnsi"/>
          <w:sz w:val="23"/>
          <w:szCs w:val="23"/>
        </w:rPr>
      </w:pPr>
      <w:r>
        <w:rPr>
          <w:rFonts w:cstheme="minorHAnsi"/>
          <w:sz w:val="23"/>
          <w:szCs w:val="23"/>
        </w:rPr>
        <w:t>28</w:t>
      </w:r>
      <w:r w:rsidR="002F6A07">
        <w:rPr>
          <w:rFonts w:cstheme="minorHAnsi"/>
          <w:sz w:val="23"/>
          <w:szCs w:val="23"/>
        </w:rPr>
        <w:t xml:space="preserve"> June 2019</w:t>
      </w:r>
    </w:p>
    <w:p w:rsidR="002F6A07" w:rsidRDefault="002F6A07" w:rsidP="000C0D1E">
      <w:pPr>
        <w:spacing w:after="0"/>
        <w:rPr>
          <w:rFonts w:cstheme="minorHAnsi"/>
          <w:sz w:val="23"/>
          <w:szCs w:val="23"/>
        </w:rPr>
      </w:pPr>
    </w:p>
    <w:p w:rsidR="000C0D1E" w:rsidRPr="00CC1AE1" w:rsidRDefault="000C0D1E" w:rsidP="000C0D1E">
      <w:pPr>
        <w:spacing w:after="0"/>
        <w:rPr>
          <w:rFonts w:cstheme="minorHAnsi"/>
          <w:sz w:val="23"/>
          <w:szCs w:val="23"/>
        </w:rPr>
      </w:pPr>
      <w:r w:rsidRPr="00CC1AE1">
        <w:rPr>
          <w:rFonts w:cstheme="minorHAnsi"/>
          <w:sz w:val="23"/>
          <w:szCs w:val="23"/>
        </w:rPr>
        <w:t>Ms Gayle Neville-Hill</w:t>
      </w:r>
    </w:p>
    <w:p w:rsidR="000C0D1E" w:rsidRPr="00CC1AE1" w:rsidRDefault="000C0D1E" w:rsidP="000C0D1E">
      <w:pPr>
        <w:spacing w:after="0"/>
        <w:rPr>
          <w:rFonts w:cstheme="minorHAnsi"/>
          <w:sz w:val="23"/>
          <w:szCs w:val="23"/>
        </w:rPr>
      </w:pPr>
      <w:r w:rsidRPr="00CC1AE1">
        <w:rPr>
          <w:rFonts w:cstheme="minorHAnsi"/>
          <w:sz w:val="23"/>
          <w:szCs w:val="23"/>
        </w:rPr>
        <w:t>Company Secretary</w:t>
      </w:r>
    </w:p>
    <w:p w:rsidR="000C0D1E" w:rsidRPr="00CC1AE1" w:rsidRDefault="000C0D1E" w:rsidP="000C0D1E">
      <w:pPr>
        <w:spacing w:after="0"/>
        <w:rPr>
          <w:rFonts w:cstheme="minorHAnsi"/>
          <w:sz w:val="23"/>
          <w:szCs w:val="23"/>
        </w:rPr>
      </w:pPr>
      <w:r w:rsidRPr="00CC1AE1">
        <w:rPr>
          <w:rFonts w:cstheme="minorHAnsi"/>
          <w:sz w:val="23"/>
          <w:szCs w:val="23"/>
        </w:rPr>
        <w:t>Telecommunications Industry Ombudsman</w:t>
      </w:r>
      <w:r w:rsidR="00402350">
        <w:rPr>
          <w:rFonts w:cstheme="minorHAnsi"/>
          <w:sz w:val="23"/>
          <w:szCs w:val="23"/>
        </w:rPr>
        <w:t xml:space="preserve"> (TIO) Limited</w:t>
      </w:r>
    </w:p>
    <w:p w:rsidR="00C7127B" w:rsidRDefault="00402350" w:rsidP="000C0D1E">
      <w:pPr>
        <w:spacing w:after="0"/>
        <w:rPr>
          <w:rFonts w:cstheme="minorHAnsi"/>
          <w:sz w:val="23"/>
          <w:szCs w:val="23"/>
        </w:rPr>
      </w:pPr>
      <w:r>
        <w:rPr>
          <w:rFonts w:cstheme="minorHAnsi"/>
          <w:sz w:val="23"/>
          <w:szCs w:val="23"/>
        </w:rPr>
        <w:t>e</w:t>
      </w:r>
      <w:r w:rsidR="00277C59">
        <w:rPr>
          <w:rFonts w:cstheme="minorHAnsi"/>
          <w:sz w:val="23"/>
          <w:szCs w:val="23"/>
        </w:rPr>
        <w:t xml:space="preserve">mail: </w:t>
      </w:r>
      <w:hyperlink r:id="rId9" w:history="1">
        <w:r w:rsidRPr="0097071D">
          <w:rPr>
            <w:rStyle w:val="Hyperlink"/>
            <w:rFonts w:cstheme="minorHAnsi"/>
            <w:sz w:val="23"/>
            <w:szCs w:val="23"/>
          </w:rPr>
          <w:t>OptionsPaper@tio.com.au</w:t>
        </w:r>
      </w:hyperlink>
    </w:p>
    <w:p w:rsidR="000C0D1E" w:rsidRPr="00CC1AE1" w:rsidRDefault="00277C59" w:rsidP="00277C59">
      <w:pPr>
        <w:tabs>
          <w:tab w:val="left" w:pos="2282"/>
        </w:tabs>
        <w:spacing w:after="0"/>
        <w:rPr>
          <w:rFonts w:cstheme="minorHAnsi"/>
          <w:sz w:val="23"/>
          <w:szCs w:val="23"/>
        </w:rPr>
      </w:pPr>
      <w:r>
        <w:rPr>
          <w:rFonts w:cstheme="minorHAnsi"/>
          <w:sz w:val="23"/>
          <w:szCs w:val="23"/>
        </w:rPr>
        <w:tab/>
      </w:r>
    </w:p>
    <w:p w:rsidR="00402350" w:rsidRDefault="00402350" w:rsidP="000C0D1E">
      <w:pPr>
        <w:spacing w:after="0"/>
        <w:rPr>
          <w:rFonts w:cstheme="minorHAnsi"/>
          <w:sz w:val="23"/>
          <w:szCs w:val="23"/>
        </w:rPr>
      </w:pPr>
    </w:p>
    <w:p w:rsidR="00402350" w:rsidRDefault="00402350" w:rsidP="000C0D1E">
      <w:pPr>
        <w:spacing w:after="0"/>
        <w:rPr>
          <w:rFonts w:cstheme="minorHAnsi"/>
          <w:sz w:val="23"/>
          <w:szCs w:val="23"/>
        </w:rPr>
      </w:pPr>
    </w:p>
    <w:p w:rsidR="000C0D1E" w:rsidRPr="00CC1AE1" w:rsidRDefault="000C0D1E" w:rsidP="000C0D1E">
      <w:pPr>
        <w:spacing w:after="0"/>
        <w:rPr>
          <w:rFonts w:cstheme="minorHAnsi"/>
          <w:sz w:val="23"/>
          <w:szCs w:val="23"/>
        </w:rPr>
      </w:pPr>
      <w:r w:rsidRPr="00CC1AE1">
        <w:rPr>
          <w:rFonts w:cstheme="minorHAnsi"/>
          <w:sz w:val="23"/>
          <w:szCs w:val="23"/>
        </w:rPr>
        <w:t>Dear Ms Neville-Hill</w:t>
      </w:r>
    </w:p>
    <w:p w:rsidR="000C0D1E" w:rsidRPr="00CC1AE1" w:rsidRDefault="000C0D1E" w:rsidP="000C0D1E">
      <w:pPr>
        <w:spacing w:after="0"/>
        <w:rPr>
          <w:rFonts w:cstheme="minorHAnsi"/>
          <w:sz w:val="23"/>
          <w:szCs w:val="23"/>
        </w:rPr>
      </w:pPr>
    </w:p>
    <w:p w:rsidR="000C0D1E" w:rsidRPr="00CC1AE1" w:rsidRDefault="000C0D1E" w:rsidP="000C0D1E">
      <w:pPr>
        <w:spacing w:after="0"/>
        <w:rPr>
          <w:rFonts w:cstheme="minorHAnsi"/>
          <w:b/>
        </w:rPr>
      </w:pPr>
      <w:r w:rsidRPr="00CC1AE1">
        <w:rPr>
          <w:rFonts w:cstheme="minorHAnsi"/>
          <w:b/>
        </w:rPr>
        <w:t>Response to TIO Options Paper: Possible Amendments to Constitution</w:t>
      </w:r>
    </w:p>
    <w:p w:rsidR="000C0D1E" w:rsidRPr="00CC1AE1" w:rsidRDefault="000C0D1E" w:rsidP="000C0D1E">
      <w:pPr>
        <w:spacing w:after="0"/>
        <w:rPr>
          <w:rFonts w:cstheme="minorHAnsi"/>
        </w:rPr>
      </w:pPr>
    </w:p>
    <w:p w:rsidR="00A972D3" w:rsidRPr="00CC1AE1" w:rsidRDefault="000C0D1E" w:rsidP="00BC001E">
      <w:pPr>
        <w:pStyle w:val="BodyText1"/>
        <w:rPr>
          <w:rFonts w:asciiTheme="minorHAnsi" w:hAnsiTheme="minorHAnsi" w:cstheme="minorHAnsi"/>
        </w:rPr>
      </w:pPr>
      <w:r w:rsidRPr="00CC1AE1">
        <w:rPr>
          <w:rFonts w:asciiTheme="minorHAnsi" w:hAnsiTheme="minorHAnsi" w:cstheme="minorHAnsi"/>
        </w:rPr>
        <w:t>ACCAN thanks the TIO</w:t>
      </w:r>
      <w:r w:rsidR="00C7127B" w:rsidRPr="00CC1AE1">
        <w:rPr>
          <w:rFonts w:asciiTheme="minorHAnsi" w:hAnsiTheme="minorHAnsi" w:cstheme="minorHAnsi"/>
        </w:rPr>
        <w:t xml:space="preserve"> for the opportunity</w:t>
      </w:r>
      <w:r w:rsidR="00A972D3" w:rsidRPr="00CC1AE1">
        <w:rPr>
          <w:rFonts w:asciiTheme="minorHAnsi" w:hAnsiTheme="minorHAnsi" w:cstheme="minorHAnsi"/>
        </w:rPr>
        <w:t xml:space="preserve"> to contribute to its review of possible </w:t>
      </w:r>
      <w:r w:rsidR="00CC1AE1">
        <w:rPr>
          <w:rFonts w:asciiTheme="minorHAnsi" w:hAnsiTheme="minorHAnsi" w:cstheme="minorHAnsi"/>
        </w:rPr>
        <w:t xml:space="preserve">amendments to its Constitution in light of </w:t>
      </w:r>
      <w:r w:rsidR="00BC001E">
        <w:rPr>
          <w:rFonts w:asciiTheme="minorHAnsi" w:hAnsiTheme="minorHAnsi" w:cstheme="minorHAnsi"/>
        </w:rPr>
        <w:t xml:space="preserve">recommendations from </w:t>
      </w:r>
      <w:r w:rsidR="00CC1AE1">
        <w:rPr>
          <w:rFonts w:asciiTheme="minorHAnsi" w:hAnsiTheme="minorHAnsi" w:cstheme="minorHAnsi"/>
        </w:rPr>
        <w:t xml:space="preserve">Consumer Safeguards Review Part A: Complaints Handling and Redress. </w:t>
      </w:r>
      <w:r w:rsidR="00BC001E" w:rsidRPr="00BC001E">
        <w:rPr>
          <w:rFonts w:asciiTheme="minorHAnsi" w:hAnsiTheme="minorHAnsi" w:cstheme="minorHAnsi"/>
        </w:rPr>
        <w:t xml:space="preserve">ACCAN is </w:t>
      </w:r>
      <w:r w:rsidR="00BC001E">
        <w:rPr>
          <w:rFonts w:asciiTheme="minorHAnsi" w:hAnsiTheme="minorHAnsi" w:cstheme="minorHAnsi"/>
        </w:rPr>
        <w:t xml:space="preserve">Australia’s peak communications </w:t>
      </w:r>
      <w:r w:rsidR="00BC001E" w:rsidRPr="00BC001E">
        <w:rPr>
          <w:rFonts w:asciiTheme="minorHAnsi" w:hAnsiTheme="minorHAnsi" w:cstheme="minorHAnsi"/>
        </w:rPr>
        <w:t>consumer organisation representing individuals, small business</w:t>
      </w:r>
      <w:r w:rsidR="00BC001E">
        <w:rPr>
          <w:rFonts w:asciiTheme="minorHAnsi" w:hAnsiTheme="minorHAnsi" w:cstheme="minorHAnsi"/>
        </w:rPr>
        <w:t xml:space="preserve">es and not-for-profit groups as </w:t>
      </w:r>
      <w:r w:rsidR="00BC001E" w:rsidRPr="00BC001E">
        <w:rPr>
          <w:rFonts w:asciiTheme="minorHAnsi" w:hAnsiTheme="minorHAnsi" w:cstheme="minorHAnsi"/>
        </w:rPr>
        <w:t>consumers of communications products and services.</w:t>
      </w:r>
    </w:p>
    <w:p w:rsidR="00B044B6" w:rsidRDefault="00CC1AE1" w:rsidP="00425AC2">
      <w:pPr>
        <w:pStyle w:val="BodyText1"/>
        <w:rPr>
          <w:rFonts w:asciiTheme="minorHAnsi" w:hAnsiTheme="minorHAnsi" w:cstheme="minorHAnsi"/>
        </w:rPr>
      </w:pPr>
      <w:r>
        <w:rPr>
          <w:rFonts w:asciiTheme="minorHAnsi" w:hAnsiTheme="minorHAnsi" w:cstheme="minorHAnsi"/>
        </w:rPr>
        <w:t xml:space="preserve">We welcome </w:t>
      </w:r>
      <w:r w:rsidR="00B044B6">
        <w:rPr>
          <w:rFonts w:asciiTheme="minorHAnsi" w:hAnsiTheme="minorHAnsi" w:cstheme="minorHAnsi"/>
        </w:rPr>
        <w:t>amendments</w:t>
      </w:r>
      <w:r>
        <w:rPr>
          <w:rFonts w:asciiTheme="minorHAnsi" w:hAnsiTheme="minorHAnsi" w:cstheme="minorHAnsi"/>
        </w:rPr>
        <w:t xml:space="preserve"> to the TIO </w:t>
      </w:r>
      <w:r w:rsidR="001370F2">
        <w:rPr>
          <w:rFonts w:asciiTheme="minorHAnsi" w:hAnsiTheme="minorHAnsi" w:cstheme="minorHAnsi"/>
        </w:rPr>
        <w:t>Constitution that strengthen the</w:t>
      </w:r>
      <w:r>
        <w:rPr>
          <w:rFonts w:asciiTheme="minorHAnsi" w:hAnsiTheme="minorHAnsi" w:cstheme="minorHAnsi"/>
        </w:rPr>
        <w:t xml:space="preserve"> consumer voice in Board ma</w:t>
      </w:r>
      <w:r w:rsidR="00B044B6">
        <w:rPr>
          <w:rFonts w:asciiTheme="minorHAnsi" w:hAnsiTheme="minorHAnsi" w:cstheme="minorHAnsi"/>
        </w:rPr>
        <w:t xml:space="preserve">tters.  We also welcome </w:t>
      </w:r>
      <w:r w:rsidR="00BC001E">
        <w:rPr>
          <w:rFonts w:asciiTheme="minorHAnsi" w:hAnsiTheme="minorHAnsi" w:cstheme="minorHAnsi"/>
        </w:rPr>
        <w:t>changes</w:t>
      </w:r>
      <w:r>
        <w:rPr>
          <w:rFonts w:asciiTheme="minorHAnsi" w:hAnsiTheme="minorHAnsi" w:cstheme="minorHAnsi"/>
        </w:rPr>
        <w:t xml:space="preserve"> </w:t>
      </w:r>
      <w:r w:rsidR="00B044B6">
        <w:rPr>
          <w:rFonts w:asciiTheme="minorHAnsi" w:hAnsiTheme="minorHAnsi" w:cstheme="minorHAnsi"/>
        </w:rPr>
        <w:t>that</w:t>
      </w:r>
      <w:r w:rsidR="00D65029">
        <w:rPr>
          <w:rFonts w:asciiTheme="minorHAnsi" w:hAnsiTheme="minorHAnsi" w:cstheme="minorHAnsi"/>
        </w:rPr>
        <w:t xml:space="preserve"> reinforce</w:t>
      </w:r>
      <w:r>
        <w:rPr>
          <w:rFonts w:asciiTheme="minorHAnsi" w:hAnsiTheme="minorHAnsi" w:cstheme="minorHAnsi"/>
        </w:rPr>
        <w:t xml:space="preserve"> the independence of the TIO</w:t>
      </w:r>
      <w:r w:rsidR="00D65029">
        <w:rPr>
          <w:rFonts w:asciiTheme="minorHAnsi" w:hAnsiTheme="minorHAnsi" w:cstheme="minorHAnsi"/>
        </w:rPr>
        <w:t>. I</w:t>
      </w:r>
      <w:r w:rsidR="00B044B6">
        <w:rPr>
          <w:rFonts w:asciiTheme="minorHAnsi" w:hAnsiTheme="minorHAnsi" w:cstheme="minorHAnsi"/>
        </w:rPr>
        <w:t>t is</w:t>
      </w:r>
      <w:r w:rsidR="00D65029">
        <w:rPr>
          <w:rFonts w:asciiTheme="minorHAnsi" w:hAnsiTheme="minorHAnsi" w:cstheme="minorHAnsi"/>
        </w:rPr>
        <w:t xml:space="preserve"> </w:t>
      </w:r>
      <w:r w:rsidR="00BC001E">
        <w:rPr>
          <w:rFonts w:asciiTheme="minorHAnsi" w:hAnsiTheme="minorHAnsi" w:cstheme="minorHAnsi"/>
        </w:rPr>
        <w:t>essential that the Board of an external dispute resolution (EDR) scheme is</w:t>
      </w:r>
      <w:r w:rsidR="00D65029">
        <w:rPr>
          <w:rFonts w:asciiTheme="minorHAnsi" w:hAnsiTheme="minorHAnsi" w:cstheme="minorHAnsi"/>
        </w:rPr>
        <w:t xml:space="preserve"> reflective of </w:t>
      </w:r>
      <w:r w:rsidR="00C4143A">
        <w:rPr>
          <w:rFonts w:asciiTheme="minorHAnsi" w:hAnsiTheme="minorHAnsi" w:cstheme="minorHAnsi"/>
        </w:rPr>
        <w:t>its</w:t>
      </w:r>
      <w:r w:rsidR="00D65029">
        <w:rPr>
          <w:rFonts w:asciiTheme="minorHAnsi" w:hAnsiTheme="minorHAnsi" w:cstheme="minorHAnsi"/>
        </w:rPr>
        <w:t xml:space="preserve"> broad stakeholder base</w:t>
      </w:r>
      <w:r w:rsidR="001370F2">
        <w:rPr>
          <w:rFonts w:asciiTheme="minorHAnsi" w:hAnsiTheme="minorHAnsi" w:cstheme="minorHAnsi"/>
        </w:rPr>
        <w:t>,</w:t>
      </w:r>
      <w:r w:rsidR="00D65029">
        <w:rPr>
          <w:rFonts w:asciiTheme="minorHAnsi" w:hAnsiTheme="minorHAnsi" w:cstheme="minorHAnsi"/>
        </w:rPr>
        <w:t xml:space="preserve"> without</w:t>
      </w:r>
      <w:r w:rsidR="00C65A2E">
        <w:rPr>
          <w:rFonts w:asciiTheme="minorHAnsi" w:hAnsiTheme="minorHAnsi" w:cstheme="minorHAnsi"/>
        </w:rPr>
        <w:t xml:space="preserve"> compromising</w:t>
      </w:r>
      <w:r w:rsidR="00BC001E">
        <w:rPr>
          <w:rFonts w:asciiTheme="minorHAnsi" w:hAnsiTheme="minorHAnsi" w:cstheme="minorHAnsi"/>
        </w:rPr>
        <w:t xml:space="preserve"> the scheme’s</w:t>
      </w:r>
      <w:r w:rsidR="00C65A2E">
        <w:rPr>
          <w:rFonts w:asciiTheme="minorHAnsi" w:hAnsiTheme="minorHAnsi" w:cstheme="minorHAnsi"/>
        </w:rPr>
        <w:t xml:space="preserve"> </w:t>
      </w:r>
      <w:r w:rsidR="00D65029">
        <w:rPr>
          <w:rFonts w:asciiTheme="minorHAnsi" w:hAnsiTheme="minorHAnsi" w:cstheme="minorHAnsi"/>
        </w:rPr>
        <w:t>independence</w:t>
      </w:r>
      <w:r w:rsidR="00C65A2E">
        <w:rPr>
          <w:rFonts w:asciiTheme="minorHAnsi" w:hAnsiTheme="minorHAnsi" w:cstheme="minorHAnsi"/>
        </w:rPr>
        <w:t xml:space="preserve"> </w:t>
      </w:r>
      <w:r w:rsidR="00BC001E">
        <w:rPr>
          <w:rFonts w:asciiTheme="minorHAnsi" w:hAnsiTheme="minorHAnsi" w:cstheme="minorHAnsi"/>
        </w:rPr>
        <w:t>or</w:t>
      </w:r>
      <w:r w:rsidR="00C65A2E">
        <w:rPr>
          <w:rFonts w:asciiTheme="minorHAnsi" w:hAnsiTheme="minorHAnsi" w:cstheme="minorHAnsi"/>
        </w:rPr>
        <w:t xml:space="preserve"> integrity</w:t>
      </w:r>
      <w:r w:rsidR="00D65029">
        <w:rPr>
          <w:rFonts w:asciiTheme="minorHAnsi" w:hAnsiTheme="minorHAnsi" w:cstheme="minorHAnsi"/>
        </w:rPr>
        <w:t xml:space="preserve">. </w:t>
      </w:r>
      <w:r w:rsidR="00210D32">
        <w:rPr>
          <w:rFonts w:asciiTheme="minorHAnsi" w:hAnsiTheme="minorHAnsi" w:cstheme="minorHAnsi"/>
        </w:rPr>
        <w:t xml:space="preserve">We </w:t>
      </w:r>
      <w:r w:rsidR="00AA1443">
        <w:rPr>
          <w:rFonts w:asciiTheme="minorHAnsi" w:hAnsiTheme="minorHAnsi" w:cstheme="minorHAnsi"/>
        </w:rPr>
        <w:t>strongly support</w:t>
      </w:r>
      <w:r w:rsidR="00210D32">
        <w:rPr>
          <w:rFonts w:asciiTheme="minorHAnsi" w:hAnsiTheme="minorHAnsi" w:cstheme="minorHAnsi"/>
        </w:rPr>
        <w:t xml:space="preserve"> </w:t>
      </w:r>
      <w:r w:rsidR="00425AC2">
        <w:rPr>
          <w:rFonts w:asciiTheme="minorHAnsi" w:hAnsiTheme="minorHAnsi" w:cstheme="minorHAnsi"/>
        </w:rPr>
        <w:t xml:space="preserve">the essential criteria an EDR scheme should fulfil </w:t>
      </w:r>
      <w:r w:rsidR="00577A1C">
        <w:rPr>
          <w:rFonts w:asciiTheme="minorHAnsi" w:hAnsiTheme="minorHAnsi" w:cstheme="minorHAnsi"/>
        </w:rPr>
        <w:t>according to</w:t>
      </w:r>
      <w:r w:rsidR="00425AC2">
        <w:rPr>
          <w:rFonts w:asciiTheme="minorHAnsi" w:hAnsiTheme="minorHAnsi" w:cstheme="minorHAnsi"/>
        </w:rPr>
        <w:t xml:space="preserve"> the </w:t>
      </w:r>
      <w:r w:rsidR="00AA1443" w:rsidRPr="00AA1443">
        <w:rPr>
          <w:rFonts w:asciiTheme="minorHAnsi" w:hAnsiTheme="minorHAnsi" w:cstheme="minorHAnsi"/>
        </w:rPr>
        <w:t>Australian and New Zealand Ombudsman Association</w:t>
      </w:r>
      <w:r w:rsidR="00425AC2">
        <w:rPr>
          <w:rFonts w:asciiTheme="minorHAnsi" w:hAnsiTheme="minorHAnsi" w:cstheme="minorHAnsi"/>
        </w:rPr>
        <w:t xml:space="preserve"> (ANZOA). We agree </w:t>
      </w:r>
      <w:r w:rsidR="00471C94">
        <w:rPr>
          <w:rFonts w:asciiTheme="minorHAnsi" w:hAnsiTheme="minorHAnsi" w:cstheme="minorHAnsi"/>
        </w:rPr>
        <w:t>with their assertion that</w:t>
      </w:r>
      <w:r w:rsidR="00425AC2">
        <w:rPr>
          <w:rFonts w:asciiTheme="minorHAnsi" w:hAnsiTheme="minorHAnsi" w:cstheme="minorHAnsi"/>
        </w:rPr>
        <w:t xml:space="preserve"> an EDR scheme ‘</w:t>
      </w:r>
      <w:r w:rsidR="00425AC2" w:rsidRPr="00425AC2">
        <w:rPr>
          <w:rFonts w:asciiTheme="minorHAnsi" w:hAnsiTheme="minorHAnsi" w:cstheme="minorHAnsi"/>
        </w:rPr>
        <w:t>must not be—or be able to be perceiv</w:t>
      </w:r>
      <w:r w:rsidR="00425AC2">
        <w:rPr>
          <w:rFonts w:asciiTheme="minorHAnsi" w:hAnsiTheme="minorHAnsi" w:cstheme="minorHAnsi"/>
        </w:rPr>
        <w:t xml:space="preserve">ed as—an advocate for a special </w:t>
      </w:r>
      <w:r w:rsidR="00425AC2" w:rsidRPr="00425AC2">
        <w:rPr>
          <w:rFonts w:asciiTheme="minorHAnsi" w:hAnsiTheme="minorHAnsi" w:cstheme="minorHAnsi"/>
        </w:rPr>
        <w:t>interest group, agency or company</w:t>
      </w:r>
      <w:r w:rsidR="00425AC2">
        <w:rPr>
          <w:rFonts w:asciiTheme="minorHAnsi" w:hAnsiTheme="minorHAnsi" w:cstheme="minorHAnsi"/>
        </w:rPr>
        <w:t>’</w:t>
      </w:r>
      <w:r w:rsidR="00425AC2" w:rsidRPr="00425AC2">
        <w:rPr>
          <w:rFonts w:asciiTheme="minorHAnsi" w:hAnsiTheme="minorHAnsi" w:cstheme="minorHAnsi"/>
        </w:rPr>
        <w:t>.</w:t>
      </w:r>
      <w:r w:rsidR="00425AC2">
        <w:rPr>
          <w:rStyle w:val="FootnoteReference"/>
          <w:rFonts w:asciiTheme="minorHAnsi" w:hAnsiTheme="minorHAnsi" w:cstheme="minorHAnsi"/>
        </w:rPr>
        <w:footnoteReference w:id="1"/>
      </w:r>
    </w:p>
    <w:p w:rsidR="005B229F" w:rsidRDefault="005B229F" w:rsidP="00D65029">
      <w:pPr>
        <w:pStyle w:val="BodyText1"/>
        <w:rPr>
          <w:rFonts w:asciiTheme="minorHAnsi" w:hAnsiTheme="minorHAnsi" w:cstheme="minorHAnsi"/>
        </w:rPr>
      </w:pPr>
      <w:r>
        <w:rPr>
          <w:rFonts w:asciiTheme="minorHAnsi" w:hAnsiTheme="minorHAnsi" w:cstheme="minorHAnsi"/>
        </w:rPr>
        <w:t xml:space="preserve">ACCAN wishes to highlight that the measures proposed in this submission are intended to enhance the independence of the TIO Board, rather than secure it. The current governance structure </w:t>
      </w:r>
      <w:r w:rsidR="00210D32">
        <w:rPr>
          <w:rFonts w:asciiTheme="minorHAnsi" w:hAnsiTheme="minorHAnsi" w:cstheme="minorHAnsi"/>
        </w:rPr>
        <w:t>ensures basic principles of independence are taken into account</w:t>
      </w:r>
      <w:r w:rsidR="00277C59">
        <w:rPr>
          <w:rFonts w:asciiTheme="minorHAnsi" w:hAnsiTheme="minorHAnsi" w:cstheme="minorHAnsi"/>
        </w:rPr>
        <w:t>.</w:t>
      </w:r>
      <w:r w:rsidR="00210D32">
        <w:rPr>
          <w:rFonts w:asciiTheme="minorHAnsi" w:hAnsiTheme="minorHAnsi" w:cstheme="minorHAnsi"/>
        </w:rPr>
        <w:t xml:space="preserve"> However, we support changes that </w:t>
      </w:r>
      <w:r w:rsidR="00D25451">
        <w:rPr>
          <w:rFonts w:asciiTheme="minorHAnsi" w:hAnsiTheme="minorHAnsi" w:cstheme="minorHAnsi"/>
        </w:rPr>
        <w:t xml:space="preserve">would </w:t>
      </w:r>
      <w:r w:rsidR="00210D32">
        <w:rPr>
          <w:rFonts w:asciiTheme="minorHAnsi" w:hAnsiTheme="minorHAnsi" w:cstheme="minorHAnsi"/>
        </w:rPr>
        <w:t xml:space="preserve">reinforce the TIO’s independence even further.  </w:t>
      </w:r>
    </w:p>
    <w:p w:rsidR="00A972D3" w:rsidRPr="005F2B4C" w:rsidRDefault="00A972D3" w:rsidP="00C7127B">
      <w:pPr>
        <w:pStyle w:val="BodyText1"/>
        <w:rPr>
          <w:rFonts w:asciiTheme="minorHAnsi" w:hAnsiTheme="minorHAnsi" w:cstheme="minorHAnsi"/>
          <w:b/>
          <w:sz w:val="24"/>
        </w:rPr>
      </w:pPr>
      <w:r w:rsidRPr="005F2B4C">
        <w:rPr>
          <w:rFonts w:asciiTheme="minorHAnsi" w:hAnsiTheme="minorHAnsi" w:cstheme="minorHAnsi"/>
          <w:b/>
          <w:sz w:val="24"/>
        </w:rPr>
        <w:t>Independence of Directors</w:t>
      </w:r>
    </w:p>
    <w:p w:rsidR="00A972D3" w:rsidRPr="00245F81" w:rsidRDefault="00A972D3" w:rsidP="00A972D3">
      <w:pPr>
        <w:pStyle w:val="BodyText1"/>
        <w:rPr>
          <w:rFonts w:asciiTheme="minorHAnsi" w:hAnsiTheme="minorHAnsi" w:cstheme="minorHAnsi"/>
          <w:i/>
        </w:rPr>
      </w:pPr>
      <w:r w:rsidRPr="00CC1AE1">
        <w:rPr>
          <w:rFonts w:asciiTheme="minorHAnsi" w:hAnsiTheme="minorHAnsi" w:cstheme="minorHAnsi"/>
          <w:i/>
        </w:rPr>
        <w:t xml:space="preserve">Should all of TIO </w:t>
      </w:r>
      <w:proofErr w:type="spellStart"/>
      <w:r w:rsidRPr="00CC1AE1">
        <w:rPr>
          <w:rFonts w:asciiTheme="minorHAnsi" w:hAnsiTheme="minorHAnsi" w:cstheme="minorHAnsi"/>
          <w:i/>
        </w:rPr>
        <w:t>Ltd’s</w:t>
      </w:r>
      <w:proofErr w:type="spellEnd"/>
      <w:r w:rsidRPr="00CC1AE1">
        <w:rPr>
          <w:rFonts w:asciiTheme="minorHAnsi" w:hAnsiTheme="minorHAnsi" w:cstheme="minorHAnsi"/>
          <w:i/>
        </w:rPr>
        <w:t xml:space="preserve"> Directors be independent of any current employment or engagement by </w:t>
      </w:r>
      <w:r w:rsidRPr="00245F81">
        <w:rPr>
          <w:rFonts w:asciiTheme="minorHAnsi" w:hAnsiTheme="minorHAnsi" w:cstheme="minorHAnsi"/>
          <w:i/>
        </w:rPr>
        <w:t xml:space="preserve">Members? </w:t>
      </w:r>
    </w:p>
    <w:p w:rsidR="00D25451" w:rsidRDefault="00577A1C" w:rsidP="00D65029">
      <w:pPr>
        <w:pStyle w:val="BodyText1"/>
        <w:rPr>
          <w:rFonts w:asciiTheme="minorHAnsi" w:hAnsiTheme="minorHAnsi" w:cstheme="minorHAnsi"/>
        </w:rPr>
      </w:pPr>
      <w:r w:rsidRPr="00245F81">
        <w:rPr>
          <w:rFonts w:asciiTheme="minorHAnsi" w:hAnsiTheme="minorHAnsi" w:cstheme="minorHAnsi"/>
        </w:rPr>
        <w:t>Potential c</w:t>
      </w:r>
      <w:r w:rsidR="00D65029" w:rsidRPr="00245F81">
        <w:rPr>
          <w:rFonts w:asciiTheme="minorHAnsi" w:hAnsiTheme="minorHAnsi" w:cstheme="minorHAnsi"/>
        </w:rPr>
        <w:t>onflict</w:t>
      </w:r>
      <w:r w:rsidR="00503B76" w:rsidRPr="00245F81">
        <w:rPr>
          <w:rFonts w:asciiTheme="minorHAnsi" w:hAnsiTheme="minorHAnsi" w:cstheme="minorHAnsi"/>
        </w:rPr>
        <w:t>s</w:t>
      </w:r>
      <w:r w:rsidR="00D65029" w:rsidRPr="00245F81">
        <w:rPr>
          <w:rFonts w:asciiTheme="minorHAnsi" w:hAnsiTheme="minorHAnsi" w:cstheme="minorHAnsi"/>
        </w:rPr>
        <w:t xml:space="preserve"> of interest </w:t>
      </w:r>
      <w:r w:rsidRPr="00245F81">
        <w:rPr>
          <w:rFonts w:asciiTheme="minorHAnsi" w:hAnsiTheme="minorHAnsi" w:cstheme="minorHAnsi"/>
        </w:rPr>
        <w:t>that arise</w:t>
      </w:r>
      <w:r w:rsidR="00D65029" w:rsidRPr="00245F81">
        <w:rPr>
          <w:rFonts w:asciiTheme="minorHAnsi" w:hAnsiTheme="minorHAnsi" w:cstheme="minorHAnsi"/>
        </w:rPr>
        <w:t xml:space="preserve"> from </w:t>
      </w:r>
      <w:r w:rsidR="00503B76" w:rsidRPr="00245F81">
        <w:rPr>
          <w:rFonts w:asciiTheme="minorHAnsi" w:hAnsiTheme="minorHAnsi" w:cstheme="minorHAnsi"/>
        </w:rPr>
        <w:t xml:space="preserve">the appointment of Directors </w:t>
      </w:r>
      <w:r w:rsidR="00245F81" w:rsidRPr="00245F81">
        <w:rPr>
          <w:rFonts w:asciiTheme="minorHAnsi" w:hAnsiTheme="minorHAnsi" w:cstheme="minorHAnsi"/>
        </w:rPr>
        <w:t>who are or have been employed</w:t>
      </w:r>
      <w:r w:rsidR="00503B76" w:rsidRPr="00245F81">
        <w:rPr>
          <w:rFonts w:asciiTheme="minorHAnsi" w:hAnsiTheme="minorHAnsi" w:cstheme="minorHAnsi"/>
        </w:rPr>
        <w:t xml:space="preserve"> by TIO Members</w:t>
      </w:r>
      <w:r w:rsidR="00D25451" w:rsidRPr="00245F81">
        <w:rPr>
          <w:rFonts w:asciiTheme="minorHAnsi" w:hAnsiTheme="minorHAnsi" w:cstheme="minorHAnsi"/>
        </w:rPr>
        <w:t xml:space="preserve"> must be managed through the same mechanis</w:t>
      </w:r>
      <w:r w:rsidR="00245F81" w:rsidRPr="00245F81">
        <w:rPr>
          <w:rFonts w:asciiTheme="minorHAnsi" w:hAnsiTheme="minorHAnsi" w:cstheme="minorHAnsi"/>
        </w:rPr>
        <w:t xml:space="preserve">ms that safeguard all EDR </w:t>
      </w:r>
      <w:r w:rsidR="009435B2">
        <w:rPr>
          <w:rFonts w:asciiTheme="minorHAnsi" w:hAnsiTheme="minorHAnsi" w:cstheme="minorHAnsi"/>
        </w:rPr>
        <w:t xml:space="preserve">scheme </w:t>
      </w:r>
      <w:r w:rsidR="00245F81" w:rsidRPr="00245F81">
        <w:rPr>
          <w:rFonts w:asciiTheme="minorHAnsi" w:hAnsiTheme="minorHAnsi" w:cstheme="minorHAnsi"/>
        </w:rPr>
        <w:t>Boards</w:t>
      </w:r>
      <w:r w:rsidR="00C65A2E" w:rsidRPr="00245F81">
        <w:rPr>
          <w:rFonts w:asciiTheme="minorHAnsi" w:hAnsiTheme="minorHAnsi" w:cstheme="minorHAnsi"/>
        </w:rPr>
        <w:t xml:space="preserve">. </w:t>
      </w:r>
      <w:r w:rsidR="00D25451" w:rsidRPr="00245F81">
        <w:rPr>
          <w:rFonts w:asciiTheme="minorHAnsi" w:hAnsiTheme="minorHAnsi" w:cstheme="minorHAnsi"/>
        </w:rPr>
        <w:t>ACCAN</w:t>
      </w:r>
      <w:r w:rsidR="00D25451">
        <w:rPr>
          <w:rFonts w:asciiTheme="minorHAnsi" w:hAnsiTheme="minorHAnsi" w:cstheme="minorHAnsi"/>
        </w:rPr>
        <w:t xml:space="preserve"> notes that conflicts of interest </w:t>
      </w:r>
      <w:r w:rsidR="009435B2">
        <w:rPr>
          <w:rFonts w:asciiTheme="minorHAnsi" w:hAnsiTheme="minorHAnsi" w:cstheme="minorHAnsi"/>
        </w:rPr>
        <w:t xml:space="preserve">of TIO Board members </w:t>
      </w:r>
      <w:r w:rsidR="00D25451">
        <w:rPr>
          <w:rFonts w:asciiTheme="minorHAnsi" w:hAnsiTheme="minorHAnsi" w:cstheme="minorHAnsi"/>
        </w:rPr>
        <w:t xml:space="preserve">are adequately managed through internal governance procedures. However, the Constitution could be amended to </w:t>
      </w:r>
      <w:r w:rsidR="00D25451">
        <w:rPr>
          <w:rFonts w:asciiTheme="minorHAnsi" w:hAnsiTheme="minorHAnsi" w:cstheme="minorHAnsi"/>
        </w:rPr>
        <w:lastRenderedPageBreak/>
        <w:t xml:space="preserve">specify that Directors with industry experience must have no current or previous affiliation with complaints management within service providers to further mitigate any risks associated with this. </w:t>
      </w:r>
    </w:p>
    <w:p w:rsidR="00D65029" w:rsidRDefault="00503B76" w:rsidP="00D65029">
      <w:pPr>
        <w:pStyle w:val="BodyText1"/>
        <w:rPr>
          <w:rFonts w:asciiTheme="minorHAnsi" w:hAnsiTheme="minorHAnsi" w:cstheme="minorHAnsi"/>
        </w:rPr>
      </w:pPr>
      <w:r>
        <w:rPr>
          <w:rFonts w:asciiTheme="minorHAnsi" w:hAnsiTheme="minorHAnsi" w:cstheme="minorHAnsi"/>
        </w:rPr>
        <w:t xml:space="preserve">We echo the TIO Options paper which </w:t>
      </w:r>
      <w:r w:rsidR="00304AF8">
        <w:rPr>
          <w:rFonts w:asciiTheme="minorHAnsi" w:hAnsiTheme="minorHAnsi" w:cstheme="minorHAnsi"/>
        </w:rPr>
        <w:t>highlights the importance</w:t>
      </w:r>
      <w:r w:rsidR="00425AC2">
        <w:rPr>
          <w:rFonts w:asciiTheme="minorHAnsi" w:hAnsiTheme="minorHAnsi" w:cstheme="minorHAnsi"/>
        </w:rPr>
        <w:t xml:space="preserve"> of</w:t>
      </w:r>
      <w:r>
        <w:rPr>
          <w:rFonts w:asciiTheme="minorHAnsi" w:hAnsiTheme="minorHAnsi" w:cstheme="minorHAnsi"/>
        </w:rPr>
        <w:t xml:space="preserve"> an industry ombudsman scheme </w:t>
      </w:r>
      <w:r w:rsidR="00425AC2">
        <w:rPr>
          <w:rFonts w:asciiTheme="minorHAnsi" w:hAnsiTheme="minorHAnsi" w:cstheme="minorHAnsi"/>
        </w:rPr>
        <w:t xml:space="preserve">that </w:t>
      </w:r>
      <w:r w:rsidR="00245F81">
        <w:rPr>
          <w:rFonts w:asciiTheme="minorHAnsi" w:hAnsiTheme="minorHAnsi" w:cstheme="minorHAnsi"/>
        </w:rPr>
        <w:t>features</w:t>
      </w:r>
      <w:r>
        <w:rPr>
          <w:rFonts w:asciiTheme="minorHAnsi" w:hAnsiTheme="minorHAnsi" w:cstheme="minorHAnsi"/>
        </w:rPr>
        <w:t xml:space="preserve"> </w:t>
      </w:r>
      <w:r w:rsidR="00425AC2">
        <w:rPr>
          <w:rFonts w:asciiTheme="minorHAnsi" w:hAnsiTheme="minorHAnsi" w:cstheme="minorHAnsi"/>
        </w:rPr>
        <w:t>D</w:t>
      </w:r>
      <w:r>
        <w:rPr>
          <w:rFonts w:asciiTheme="minorHAnsi" w:hAnsiTheme="minorHAnsi" w:cstheme="minorHAnsi"/>
        </w:rPr>
        <w:t xml:space="preserve">irectors </w:t>
      </w:r>
      <w:r w:rsidR="00425AC2">
        <w:rPr>
          <w:rFonts w:asciiTheme="minorHAnsi" w:hAnsiTheme="minorHAnsi" w:cstheme="minorHAnsi"/>
        </w:rPr>
        <w:t>with</w:t>
      </w:r>
      <w:r>
        <w:rPr>
          <w:rFonts w:asciiTheme="minorHAnsi" w:hAnsiTheme="minorHAnsi" w:cstheme="minorHAnsi"/>
        </w:rPr>
        <w:t xml:space="preserve"> deep in</w:t>
      </w:r>
      <w:r w:rsidR="00425AC2">
        <w:rPr>
          <w:rFonts w:asciiTheme="minorHAnsi" w:hAnsiTheme="minorHAnsi" w:cstheme="minorHAnsi"/>
        </w:rPr>
        <w:t>dustry knowledge and experience</w:t>
      </w:r>
      <w:r w:rsidR="009A2D9F">
        <w:rPr>
          <w:rFonts w:asciiTheme="minorHAnsi" w:hAnsiTheme="minorHAnsi" w:cstheme="minorHAnsi"/>
        </w:rPr>
        <w:t>.</w:t>
      </w:r>
      <w:r>
        <w:rPr>
          <w:rStyle w:val="FootnoteReference"/>
          <w:rFonts w:asciiTheme="minorHAnsi" w:hAnsiTheme="minorHAnsi" w:cstheme="minorHAnsi"/>
        </w:rPr>
        <w:footnoteReference w:id="2"/>
      </w:r>
      <w:r w:rsidR="009A2D9F">
        <w:rPr>
          <w:rFonts w:asciiTheme="minorHAnsi" w:hAnsiTheme="minorHAnsi" w:cstheme="minorHAnsi"/>
        </w:rPr>
        <w:t xml:space="preserve"> Directors with </w:t>
      </w:r>
      <w:r w:rsidR="00CE21A6">
        <w:rPr>
          <w:rFonts w:asciiTheme="minorHAnsi" w:hAnsiTheme="minorHAnsi" w:cstheme="minorHAnsi"/>
        </w:rPr>
        <w:t xml:space="preserve">close ties to </w:t>
      </w:r>
      <w:r w:rsidR="009A2D9F">
        <w:rPr>
          <w:rFonts w:asciiTheme="minorHAnsi" w:hAnsiTheme="minorHAnsi" w:cstheme="minorHAnsi"/>
        </w:rPr>
        <w:t xml:space="preserve">industry </w:t>
      </w:r>
      <w:r w:rsidR="00425AC2">
        <w:rPr>
          <w:rFonts w:asciiTheme="minorHAnsi" w:hAnsiTheme="minorHAnsi" w:cstheme="minorHAnsi"/>
        </w:rPr>
        <w:t xml:space="preserve">deliver the </w:t>
      </w:r>
      <w:r w:rsidR="00C4143A">
        <w:rPr>
          <w:rFonts w:asciiTheme="minorHAnsi" w:hAnsiTheme="minorHAnsi" w:cstheme="minorHAnsi"/>
        </w:rPr>
        <w:t>insight</w:t>
      </w:r>
      <w:r w:rsidR="00CE21A6">
        <w:rPr>
          <w:rFonts w:asciiTheme="minorHAnsi" w:hAnsiTheme="minorHAnsi" w:cstheme="minorHAnsi"/>
        </w:rPr>
        <w:t xml:space="preserve"> </w:t>
      </w:r>
      <w:r w:rsidR="001370F2">
        <w:rPr>
          <w:rFonts w:asciiTheme="minorHAnsi" w:hAnsiTheme="minorHAnsi" w:cstheme="minorHAnsi"/>
        </w:rPr>
        <w:t>necessary</w:t>
      </w:r>
      <w:r w:rsidR="00CE21A6">
        <w:rPr>
          <w:rFonts w:asciiTheme="minorHAnsi" w:hAnsiTheme="minorHAnsi" w:cstheme="minorHAnsi"/>
        </w:rPr>
        <w:t xml:space="preserve"> </w:t>
      </w:r>
      <w:r w:rsidR="001370F2">
        <w:rPr>
          <w:rFonts w:asciiTheme="minorHAnsi" w:hAnsiTheme="minorHAnsi" w:cstheme="minorHAnsi"/>
        </w:rPr>
        <w:t>for</w:t>
      </w:r>
      <w:r w:rsidR="00CE21A6">
        <w:rPr>
          <w:rFonts w:asciiTheme="minorHAnsi" w:hAnsiTheme="minorHAnsi" w:cstheme="minorHAnsi"/>
        </w:rPr>
        <w:t xml:space="preserve"> a well-</w:t>
      </w:r>
      <w:r w:rsidR="00C4143A">
        <w:rPr>
          <w:rFonts w:asciiTheme="minorHAnsi" w:hAnsiTheme="minorHAnsi" w:cstheme="minorHAnsi"/>
        </w:rPr>
        <w:t>functioning</w:t>
      </w:r>
      <w:r w:rsidR="001370F2">
        <w:rPr>
          <w:rFonts w:asciiTheme="minorHAnsi" w:hAnsiTheme="minorHAnsi" w:cstheme="minorHAnsi"/>
        </w:rPr>
        <w:t xml:space="preserve"> </w:t>
      </w:r>
      <w:r w:rsidR="00794CB5">
        <w:rPr>
          <w:rFonts w:asciiTheme="minorHAnsi" w:hAnsiTheme="minorHAnsi" w:cstheme="minorHAnsi"/>
        </w:rPr>
        <w:t>EDR scheme</w:t>
      </w:r>
      <w:r w:rsidR="001370F2">
        <w:rPr>
          <w:rFonts w:asciiTheme="minorHAnsi" w:hAnsiTheme="minorHAnsi" w:cstheme="minorHAnsi"/>
        </w:rPr>
        <w:t xml:space="preserve">, as long as they are equally balanced with Directors with consumer </w:t>
      </w:r>
      <w:r w:rsidR="001370F2" w:rsidRPr="000B34D4">
        <w:rPr>
          <w:rFonts w:asciiTheme="minorHAnsi" w:hAnsiTheme="minorHAnsi" w:cstheme="minorHAnsi"/>
        </w:rPr>
        <w:t>experience.</w:t>
      </w:r>
      <w:r w:rsidR="00425AC2" w:rsidRPr="000B34D4">
        <w:rPr>
          <w:rFonts w:asciiTheme="minorHAnsi" w:hAnsiTheme="minorHAnsi" w:cstheme="minorHAnsi"/>
        </w:rPr>
        <w:t xml:space="preserve"> Directors with both industry and consumer experience ensure the scheme enjoys the confidence of both the industry and the consumers</w:t>
      </w:r>
      <w:r w:rsidR="00245F81" w:rsidRPr="000B34D4">
        <w:rPr>
          <w:rFonts w:asciiTheme="minorHAnsi" w:hAnsiTheme="minorHAnsi" w:cstheme="minorHAnsi"/>
        </w:rPr>
        <w:t>; this is essential to the</w:t>
      </w:r>
      <w:r w:rsidR="00A00BA9" w:rsidRPr="000B34D4">
        <w:rPr>
          <w:rFonts w:asciiTheme="minorHAnsi" w:hAnsiTheme="minorHAnsi" w:cstheme="minorHAnsi"/>
        </w:rPr>
        <w:t xml:space="preserve"> effective</w:t>
      </w:r>
      <w:r w:rsidR="00245F81" w:rsidRPr="000B34D4">
        <w:rPr>
          <w:rFonts w:asciiTheme="minorHAnsi" w:hAnsiTheme="minorHAnsi" w:cstheme="minorHAnsi"/>
        </w:rPr>
        <w:t>ness of the TIO</w:t>
      </w:r>
      <w:r w:rsidR="00425AC2" w:rsidRPr="000B34D4">
        <w:rPr>
          <w:rFonts w:asciiTheme="minorHAnsi" w:hAnsiTheme="minorHAnsi" w:cstheme="minorHAnsi"/>
        </w:rPr>
        <w:t xml:space="preserve">. </w:t>
      </w:r>
      <w:r w:rsidR="00794CB5" w:rsidRPr="000B34D4">
        <w:rPr>
          <w:rFonts w:asciiTheme="minorHAnsi" w:hAnsiTheme="minorHAnsi" w:cstheme="minorHAnsi"/>
        </w:rPr>
        <w:t>Additionally,</w:t>
      </w:r>
      <w:r w:rsidR="00A00BA9" w:rsidRPr="000B34D4">
        <w:rPr>
          <w:rFonts w:asciiTheme="minorHAnsi" w:hAnsiTheme="minorHAnsi" w:cstheme="minorHAnsi"/>
        </w:rPr>
        <w:t xml:space="preserve"> we recognise that</w:t>
      </w:r>
      <w:r w:rsidR="00794CB5" w:rsidRPr="000B34D4">
        <w:rPr>
          <w:rFonts w:asciiTheme="minorHAnsi" w:hAnsiTheme="minorHAnsi" w:cstheme="minorHAnsi"/>
        </w:rPr>
        <w:t xml:space="preserve"> Directors </w:t>
      </w:r>
      <w:r w:rsidR="00A00BA9" w:rsidRPr="000B34D4">
        <w:rPr>
          <w:rFonts w:asciiTheme="minorHAnsi" w:hAnsiTheme="minorHAnsi" w:cstheme="minorHAnsi"/>
        </w:rPr>
        <w:t>with</w:t>
      </w:r>
      <w:r w:rsidR="00794CB5" w:rsidRPr="000B34D4">
        <w:rPr>
          <w:rFonts w:asciiTheme="minorHAnsi" w:hAnsiTheme="minorHAnsi" w:cstheme="minorHAnsi"/>
        </w:rPr>
        <w:t xml:space="preserve"> industry</w:t>
      </w:r>
      <w:r w:rsidR="00A00BA9" w:rsidRPr="000B34D4">
        <w:rPr>
          <w:rFonts w:asciiTheme="minorHAnsi" w:hAnsiTheme="minorHAnsi" w:cstheme="minorHAnsi"/>
        </w:rPr>
        <w:t xml:space="preserve"> experience</w:t>
      </w:r>
      <w:r w:rsidR="00794CB5" w:rsidRPr="000B34D4">
        <w:rPr>
          <w:rFonts w:asciiTheme="minorHAnsi" w:hAnsiTheme="minorHAnsi" w:cstheme="minorHAnsi"/>
        </w:rPr>
        <w:t xml:space="preserve"> have the ability to influ</w:t>
      </w:r>
      <w:r w:rsidR="00794CB5">
        <w:rPr>
          <w:rFonts w:asciiTheme="minorHAnsi" w:hAnsiTheme="minorHAnsi" w:cstheme="minorHAnsi"/>
        </w:rPr>
        <w:t xml:space="preserve">ence industry culture </w:t>
      </w:r>
      <w:r w:rsidR="00A00BA9">
        <w:rPr>
          <w:rFonts w:asciiTheme="minorHAnsi" w:hAnsiTheme="minorHAnsi" w:cstheme="minorHAnsi"/>
        </w:rPr>
        <w:t xml:space="preserve">in a positive </w:t>
      </w:r>
      <w:r w:rsidR="00245F81">
        <w:rPr>
          <w:rFonts w:asciiTheme="minorHAnsi" w:hAnsiTheme="minorHAnsi" w:cstheme="minorHAnsi"/>
        </w:rPr>
        <w:t>way</w:t>
      </w:r>
      <w:r w:rsidR="00794CB5">
        <w:rPr>
          <w:rFonts w:asciiTheme="minorHAnsi" w:hAnsiTheme="minorHAnsi" w:cstheme="minorHAnsi"/>
        </w:rPr>
        <w:t xml:space="preserve">.  </w:t>
      </w:r>
    </w:p>
    <w:p w:rsidR="000821A6" w:rsidRDefault="00503B76" w:rsidP="000821A6">
      <w:pPr>
        <w:pStyle w:val="BodyText1"/>
        <w:rPr>
          <w:rFonts w:asciiTheme="minorHAnsi" w:hAnsiTheme="minorHAnsi" w:cstheme="minorHAnsi"/>
        </w:rPr>
      </w:pPr>
      <w:r>
        <w:rPr>
          <w:rFonts w:asciiTheme="minorHAnsi" w:hAnsiTheme="minorHAnsi" w:cstheme="minorHAnsi"/>
        </w:rPr>
        <w:t>ACC</w:t>
      </w:r>
      <w:r w:rsidR="009A2D9F">
        <w:rPr>
          <w:rFonts w:asciiTheme="minorHAnsi" w:hAnsiTheme="minorHAnsi" w:cstheme="minorHAnsi"/>
        </w:rPr>
        <w:t xml:space="preserve">AN proposes that the independence of the TIO Board </w:t>
      </w:r>
      <w:r w:rsidR="00A00BA9">
        <w:rPr>
          <w:rFonts w:asciiTheme="minorHAnsi" w:hAnsiTheme="minorHAnsi" w:cstheme="minorHAnsi"/>
        </w:rPr>
        <w:t>would</w:t>
      </w:r>
      <w:r w:rsidR="009A2D9F">
        <w:rPr>
          <w:rFonts w:asciiTheme="minorHAnsi" w:hAnsiTheme="minorHAnsi" w:cstheme="minorHAnsi"/>
        </w:rPr>
        <w:t xml:space="preserve"> be improved </w:t>
      </w:r>
      <w:r w:rsidR="00CE21A6">
        <w:rPr>
          <w:rFonts w:asciiTheme="minorHAnsi" w:hAnsiTheme="minorHAnsi" w:cstheme="minorHAnsi"/>
        </w:rPr>
        <w:t>through changes to the composition of the Board.</w:t>
      </w:r>
      <w:r w:rsidR="009A2D9F">
        <w:rPr>
          <w:rFonts w:asciiTheme="minorHAnsi" w:hAnsiTheme="minorHAnsi" w:cstheme="minorHAnsi"/>
        </w:rPr>
        <w:t xml:space="preserve"> </w:t>
      </w:r>
      <w:r w:rsidR="008F29E7">
        <w:rPr>
          <w:rFonts w:asciiTheme="minorHAnsi" w:hAnsiTheme="minorHAnsi" w:cstheme="minorHAnsi"/>
        </w:rPr>
        <w:t>We suppo</w:t>
      </w:r>
      <w:r w:rsidR="00CE21A6">
        <w:rPr>
          <w:rFonts w:asciiTheme="minorHAnsi" w:hAnsiTheme="minorHAnsi" w:cstheme="minorHAnsi"/>
        </w:rPr>
        <w:t>rt the ‘pure stakeholder model’</w:t>
      </w:r>
      <w:r w:rsidR="008F29E7">
        <w:rPr>
          <w:rFonts w:asciiTheme="minorHAnsi" w:hAnsiTheme="minorHAnsi" w:cstheme="minorHAnsi"/>
        </w:rPr>
        <w:t xml:space="preserve"> proposed by Consumers’ Federation </w:t>
      </w:r>
      <w:r w:rsidR="0066447B">
        <w:rPr>
          <w:rFonts w:asciiTheme="minorHAnsi" w:hAnsiTheme="minorHAnsi" w:cstheme="minorHAnsi"/>
        </w:rPr>
        <w:t xml:space="preserve">of </w:t>
      </w:r>
      <w:bookmarkStart w:id="0" w:name="_GoBack"/>
      <w:bookmarkEnd w:id="0"/>
      <w:r w:rsidR="008F29E7">
        <w:rPr>
          <w:rFonts w:asciiTheme="minorHAnsi" w:hAnsiTheme="minorHAnsi" w:cstheme="minorHAnsi"/>
        </w:rPr>
        <w:t>Australia</w:t>
      </w:r>
      <w:r w:rsidR="005D0158">
        <w:rPr>
          <w:rFonts w:asciiTheme="minorHAnsi" w:hAnsiTheme="minorHAnsi" w:cstheme="minorHAnsi"/>
        </w:rPr>
        <w:t xml:space="preserve"> in their submission to this review. Under this model</w:t>
      </w:r>
      <w:r w:rsidR="008F29E7">
        <w:rPr>
          <w:rFonts w:asciiTheme="minorHAnsi" w:hAnsiTheme="minorHAnsi" w:cstheme="minorHAnsi"/>
        </w:rPr>
        <w:t>, independent Direct</w:t>
      </w:r>
      <w:r w:rsidR="00096E29">
        <w:rPr>
          <w:rFonts w:asciiTheme="minorHAnsi" w:hAnsiTheme="minorHAnsi" w:cstheme="minorHAnsi"/>
        </w:rPr>
        <w:t>or positions are replaced by those</w:t>
      </w:r>
      <w:r w:rsidR="008F29E7">
        <w:rPr>
          <w:rFonts w:asciiTheme="minorHAnsi" w:hAnsiTheme="minorHAnsi" w:cstheme="minorHAnsi"/>
        </w:rPr>
        <w:t xml:space="preserve"> with consumer and industry experience respectively.  </w:t>
      </w:r>
    </w:p>
    <w:p w:rsidR="00503B76" w:rsidRDefault="004F54A4" w:rsidP="000821A6">
      <w:pPr>
        <w:pStyle w:val="BodyText1"/>
        <w:keepNext/>
        <w:keepLines/>
        <w:rPr>
          <w:rFonts w:asciiTheme="minorHAnsi" w:hAnsiTheme="minorHAnsi" w:cstheme="minorHAnsi"/>
        </w:rPr>
      </w:pPr>
      <w:r>
        <w:rPr>
          <w:rFonts w:asciiTheme="minorHAnsi" w:hAnsiTheme="minorHAnsi" w:cstheme="minorHAnsi"/>
        </w:rPr>
        <w:t>Currently, the TIO is comprised of:</w:t>
      </w:r>
    </w:p>
    <w:p w:rsidR="004F54A4" w:rsidRDefault="004F54A4" w:rsidP="000821A6">
      <w:pPr>
        <w:pStyle w:val="BodyText1"/>
        <w:keepNext/>
        <w:keepLines/>
        <w:numPr>
          <w:ilvl w:val="0"/>
          <w:numId w:val="1"/>
        </w:numPr>
        <w:rPr>
          <w:rFonts w:asciiTheme="minorHAnsi" w:hAnsiTheme="minorHAnsi" w:cstheme="minorHAnsi"/>
        </w:rPr>
      </w:pPr>
      <w:r>
        <w:rPr>
          <w:rFonts w:asciiTheme="minorHAnsi" w:hAnsiTheme="minorHAnsi" w:cstheme="minorHAnsi"/>
        </w:rPr>
        <w:t>The independent Chair</w:t>
      </w:r>
    </w:p>
    <w:p w:rsidR="004F54A4" w:rsidRDefault="004F54A4" w:rsidP="000821A6">
      <w:pPr>
        <w:pStyle w:val="BodyText1"/>
        <w:keepNext/>
        <w:keepLines/>
        <w:numPr>
          <w:ilvl w:val="0"/>
          <w:numId w:val="1"/>
        </w:numPr>
        <w:rPr>
          <w:rFonts w:asciiTheme="minorHAnsi" w:hAnsiTheme="minorHAnsi" w:cstheme="minorHAnsi"/>
        </w:rPr>
      </w:pPr>
      <w:r>
        <w:rPr>
          <w:rFonts w:asciiTheme="minorHAnsi" w:hAnsiTheme="minorHAnsi" w:cstheme="minorHAnsi"/>
        </w:rPr>
        <w:t>Three Directors with consumer experience</w:t>
      </w:r>
    </w:p>
    <w:p w:rsidR="004F54A4" w:rsidRDefault="004F54A4" w:rsidP="000821A6">
      <w:pPr>
        <w:pStyle w:val="BodyText1"/>
        <w:keepNext/>
        <w:keepLines/>
        <w:numPr>
          <w:ilvl w:val="0"/>
          <w:numId w:val="1"/>
        </w:numPr>
        <w:rPr>
          <w:rFonts w:asciiTheme="minorHAnsi" w:hAnsiTheme="minorHAnsi" w:cstheme="minorHAnsi"/>
        </w:rPr>
      </w:pPr>
      <w:r>
        <w:rPr>
          <w:rFonts w:asciiTheme="minorHAnsi" w:hAnsiTheme="minorHAnsi" w:cstheme="minorHAnsi"/>
        </w:rPr>
        <w:t xml:space="preserve">Three Directors with industry experience </w:t>
      </w:r>
    </w:p>
    <w:p w:rsidR="004F54A4" w:rsidRDefault="004F54A4" w:rsidP="000821A6">
      <w:pPr>
        <w:pStyle w:val="BodyText1"/>
        <w:keepNext/>
        <w:keepLines/>
        <w:numPr>
          <w:ilvl w:val="0"/>
          <w:numId w:val="1"/>
        </w:numPr>
        <w:rPr>
          <w:rFonts w:asciiTheme="minorHAnsi" w:hAnsiTheme="minorHAnsi" w:cstheme="minorHAnsi"/>
        </w:rPr>
      </w:pPr>
      <w:r>
        <w:rPr>
          <w:rFonts w:asciiTheme="minorHAnsi" w:hAnsiTheme="minorHAnsi" w:cstheme="minorHAnsi"/>
        </w:rPr>
        <w:t>Two independent Directors.</w:t>
      </w:r>
    </w:p>
    <w:p w:rsidR="004F54A4" w:rsidRDefault="00CE21A6" w:rsidP="000821A6">
      <w:pPr>
        <w:pStyle w:val="BodyText1"/>
        <w:keepNext/>
        <w:keepLines/>
        <w:rPr>
          <w:rFonts w:asciiTheme="minorHAnsi" w:hAnsiTheme="minorHAnsi" w:cstheme="minorHAnsi"/>
        </w:rPr>
      </w:pPr>
      <w:r>
        <w:rPr>
          <w:rFonts w:asciiTheme="minorHAnsi" w:hAnsiTheme="minorHAnsi" w:cstheme="minorHAnsi"/>
        </w:rPr>
        <w:t>We recommend amending the</w:t>
      </w:r>
      <w:r w:rsidR="004F54A4">
        <w:rPr>
          <w:rFonts w:asciiTheme="minorHAnsi" w:hAnsiTheme="minorHAnsi" w:cstheme="minorHAnsi"/>
        </w:rPr>
        <w:t xml:space="preserve"> composition to the following:</w:t>
      </w:r>
    </w:p>
    <w:p w:rsidR="004F54A4" w:rsidRDefault="004F54A4" w:rsidP="000821A6">
      <w:pPr>
        <w:pStyle w:val="BodyText1"/>
        <w:keepNext/>
        <w:keepLines/>
        <w:numPr>
          <w:ilvl w:val="0"/>
          <w:numId w:val="5"/>
        </w:numPr>
        <w:rPr>
          <w:rFonts w:asciiTheme="minorHAnsi" w:hAnsiTheme="minorHAnsi" w:cstheme="minorHAnsi"/>
        </w:rPr>
      </w:pPr>
      <w:r>
        <w:rPr>
          <w:rFonts w:asciiTheme="minorHAnsi" w:hAnsiTheme="minorHAnsi" w:cstheme="minorHAnsi"/>
        </w:rPr>
        <w:t>The independent Chair</w:t>
      </w:r>
    </w:p>
    <w:p w:rsidR="004F54A4" w:rsidRDefault="004F54A4" w:rsidP="000821A6">
      <w:pPr>
        <w:pStyle w:val="BodyText1"/>
        <w:keepNext/>
        <w:keepLines/>
        <w:numPr>
          <w:ilvl w:val="0"/>
          <w:numId w:val="5"/>
        </w:numPr>
        <w:rPr>
          <w:rFonts w:asciiTheme="minorHAnsi" w:hAnsiTheme="minorHAnsi" w:cstheme="minorHAnsi"/>
        </w:rPr>
      </w:pPr>
      <w:r w:rsidRPr="004F54A4">
        <w:rPr>
          <w:rFonts w:asciiTheme="minorHAnsi" w:hAnsiTheme="minorHAnsi" w:cstheme="minorHAnsi"/>
          <w:b/>
        </w:rPr>
        <w:t>Four</w:t>
      </w:r>
      <w:r>
        <w:rPr>
          <w:rFonts w:asciiTheme="minorHAnsi" w:hAnsiTheme="minorHAnsi" w:cstheme="minorHAnsi"/>
        </w:rPr>
        <w:t xml:space="preserve"> directors with consumer experience, </w:t>
      </w:r>
      <w:r w:rsidR="00CE21A6" w:rsidRPr="005D0158">
        <w:rPr>
          <w:rFonts w:asciiTheme="minorHAnsi" w:hAnsiTheme="minorHAnsi" w:cstheme="minorHAnsi"/>
        </w:rPr>
        <w:t xml:space="preserve">one of </w:t>
      </w:r>
      <w:r w:rsidR="005D0158">
        <w:rPr>
          <w:rFonts w:asciiTheme="minorHAnsi" w:hAnsiTheme="minorHAnsi" w:cstheme="minorHAnsi"/>
        </w:rPr>
        <w:t>which</w:t>
      </w:r>
      <w:r w:rsidR="00A00BA9">
        <w:rPr>
          <w:rFonts w:asciiTheme="minorHAnsi" w:hAnsiTheme="minorHAnsi" w:cstheme="minorHAnsi"/>
        </w:rPr>
        <w:t xml:space="preserve"> is</w:t>
      </w:r>
      <w:r w:rsidR="005D0158">
        <w:rPr>
          <w:rFonts w:asciiTheme="minorHAnsi" w:hAnsiTheme="minorHAnsi" w:cstheme="minorHAnsi"/>
        </w:rPr>
        <w:t xml:space="preserve"> </w:t>
      </w:r>
      <w:r w:rsidR="00BF16EE">
        <w:rPr>
          <w:rFonts w:asciiTheme="minorHAnsi" w:hAnsiTheme="minorHAnsi" w:cstheme="minorHAnsi"/>
        </w:rPr>
        <w:t>filled</w:t>
      </w:r>
      <w:r w:rsidR="00CE21A6" w:rsidRPr="005D0158">
        <w:rPr>
          <w:rFonts w:asciiTheme="minorHAnsi" w:hAnsiTheme="minorHAnsi" w:cstheme="minorHAnsi"/>
        </w:rPr>
        <w:t xml:space="preserve"> by </w:t>
      </w:r>
      <w:r w:rsidR="00BF16EE">
        <w:rPr>
          <w:rFonts w:asciiTheme="minorHAnsi" w:hAnsiTheme="minorHAnsi" w:cstheme="minorHAnsi"/>
        </w:rPr>
        <w:t xml:space="preserve">a representative from </w:t>
      </w:r>
      <w:r w:rsidR="00CE21A6" w:rsidRPr="005D0158">
        <w:rPr>
          <w:rFonts w:asciiTheme="minorHAnsi" w:hAnsiTheme="minorHAnsi" w:cstheme="minorHAnsi"/>
        </w:rPr>
        <w:t>the</w:t>
      </w:r>
      <w:r w:rsidRPr="005D0158">
        <w:rPr>
          <w:rFonts w:asciiTheme="minorHAnsi" w:hAnsiTheme="minorHAnsi" w:cstheme="minorHAnsi"/>
        </w:rPr>
        <w:t xml:space="preserve"> peak </w:t>
      </w:r>
      <w:r w:rsidR="00A00BA9">
        <w:rPr>
          <w:rFonts w:asciiTheme="minorHAnsi" w:hAnsiTheme="minorHAnsi" w:cstheme="minorHAnsi"/>
        </w:rPr>
        <w:t xml:space="preserve">body </w:t>
      </w:r>
      <w:r w:rsidRPr="005D0158">
        <w:rPr>
          <w:rFonts w:asciiTheme="minorHAnsi" w:hAnsiTheme="minorHAnsi" w:cstheme="minorHAnsi"/>
        </w:rPr>
        <w:t>for telecommunications consumers</w:t>
      </w:r>
      <w:r>
        <w:rPr>
          <w:rFonts w:asciiTheme="minorHAnsi" w:hAnsiTheme="minorHAnsi" w:cstheme="minorHAnsi"/>
        </w:rPr>
        <w:t xml:space="preserve"> (</w:t>
      </w:r>
      <w:r w:rsidR="00BF16EE">
        <w:rPr>
          <w:rFonts w:asciiTheme="minorHAnsi" w:hAnsiTheme="minorHAnsi" w:cstheme="minorHAnsi"/>
        </w:rPr>
        <w:t xml:space="preserve">currently </w:t>
      </w:r>
      <w:r>
        <w:rPr>
          <w:rFonts w:asciiTheme="minorHAnsi" w:hAnsiTheme="minorHAnsi" w:cstheme="minorHAnsi"/>
        </w:rPr>
        <w:t>ACCAN)</w:t>
      </w:r>
    </w:p>
    <w:p w:rsidR="00CE21A6" w:rsidRPr="00CE21A6" w:rsidRDefault="004F54A4" w:rsidP="000821A6">
      <w:pPr>
        <w:pStyle w:val="BodyText1"/>
        <w:keepNext/>
        <w:keepLines/>
        <w:numPr>
          <w:ilvl w:val="0"/>
          <w:numId w:val="5"/>
        </w:numPr>
        <w:rPr>
          <w:rFonts w:asciiTheme="minorHAnsi" w:hAnsiTheme="minorHAnsi" w:cstheme="minorHAnsi"/>
        </w:rPr>
      </w:pPr>
      <w:r w:rsidRPr="004F54A4">
        <w:rPr>
          <w:rFonts w:asciiTheme="minorHAnsi" w:hAnsiTheme="minorHAnsi" w:cstheme="minorHAnsi"/>
          <w:b/>
        </w:rPr>
        <w:t>Four</w:t>
      </w:r>
      <w:r>
        <w:rPr>
          <w:rFonts w:asciiTheme="minorHAnsi" w:hAnsiTheme="minorHAnsi" w:cstheme="minorHAnsi"/>
        </w:rPr>
        <w:t xml:space="preserve"> directors with industry experience, </w:t>
      </w:r>
      <w:r w:rsidR="005D0158">
        <w:rPr>
          <w:rFonts w:asciiTheme="minorHAnsi" w:hAnsiTheme="minorHAnsi" w:cstheme="minorHAnsi"/>
        </w:rPr>
        <w:t xml:space="preserve">two </w:t>
      </w:r>
      <w:r w:rsidRPr="005D0158">
        <w:rPr>
          <w:rFonts w:asciiTheme="minorHAnsi" w:hAnsiTheme="minorHAnsi" w:cstheme="minorHAnsi"/>
        </w:rPr>
        <w:t xml:space="preserve">nominated by the largest and second largest </w:t>
      </w:r>
      <w:r w:rsidR="005D0158">
        <w:rPr>
          <w:rFonts w:asciiTheme="minorHAnsi" w:hAnsiTheme="minorHAnsi" w:cstheme="minorHAnsi"/>
        </w:rPr>
        <w:t>M</w:t>
      </w:r>
      <w:r w:rsidRPr="005D0158">
        <w:rPr>
          <w:rFonts w:asciiTheme="minorHAnsi" w:hAnsiTheme="minorHAnsi" w:cstheme="minorHAnsi"/>
        </w:rPr>
        <w:t>embers</w:t>
      </w:r>
      <w:r w:rsidR="001370F2">
        <w:rPr>
          <w:rFonts w:asciiTheme="minorHAnsi" w:hAnsiTheme="minorHAnsi" w:cstheme="minorHAnsi"/>
        </w:rPr>
        <w:t>,</w:t>
      </w:r>
      <w:r w:rsidRPr="005D0158">
        <w:rPr>
          <w:rFonts w:asciiTheme="minorHAnsi" w:hAnsiTheme="minorHAnsi" w:cstheme="minorHAnsi"/>
        </w:rPr>
        <w:t xml:space="preserve"> and two </w:t>
      </w:r>
      <w:r w:rsidR="00A00BA9">
        <w:rPr>
          <w:rFonts w:asciiTheme="minorHAnsi" w:hAnsiTheme="minorHAnsi" w:cstheme="minorHAnsi"/>
        </w:rPr>
        <w:t xml:space="preserve">nominated </w:t>
      </w:r>
      <w:r w:rsidRPr="005D0158">
        <w:rPr>
          <w:rFonts w:asciiTheme="minorHAnsi" w:hAnsiTheme="minorHAnsi" w:cstheme="minorHAnsi"/>
        </w:rPr>
        <w:t xml:space="preserve">by </w:t>
      </w:r>
      <w:r w:rsidR="001370F2">
        <w:rPr>
          <w:rFonts w:asciiTheme="minorHAnsi" w:hAnsiTheme="minorHAnsi" w:cstheme="minorHAnsi"/>
        </w:rPr>
        <w:t>Member</w:t>
      </w:r>
      <w:r w:rsidR="00A00BA9">
        <w:rPr>
          <w:rFonts w:asciiTheme="minorHAnsi" w:hAnsiTheme="minorHAnsi" w:cstheme="minorHAnsi"/>
        </w:rPr>
        <w:t>s</w:t>
      </w:r>
      <w:r w:rsidR="001370F2">
        <w:rPr>
          <w:rFonts w:asciiTheme="minorHAnsi" w:hAnsiTheme="minorHAnsi" w:cstheme="minorHAnsi"/>
        </w:rPr>
        <w:t xml:space="preserve"> </w:t>
      </w:r>
      <w:r w:rsidR="00A00BA9">
        <w:rPr>
          <w:rFonts w:asciiTheme="minorHAnsi" w:hAnsiTheme="minorHAnsi" w:cstheme="minorHAnsi"/>
        </w:rPr>
        <w:t>but approved by the Nominations Committee</w:t>
      </w:r>
      <w:r w:rsidRPr="004F54A4">
        <w:rPr>
          <w:rFonts w:asciiTheme="minorHAnsi" w:hAnsiTheme="minorHAnsi" w:cstheme="minorHAnsi"/>
          <w:b/>
        </w:rPr>
        <w:t>.</w:t>
      </w:r>
      <w:r>
        <w:rPr>
          <w:rFonts w:asciiTheme="minorHAnsi" w:hAnsiTheme="minorHAnsi" w:cstheme="minorHAnsi"/>
        </w:rPr>
        <w:t xml:space="preserve"> </w:t>
      </w:r>
    </w:p>
    <w:p w:rsidR="00197E97" w:rsidRDefault="00794CB5" w:rsidP="00CE21A6">
      <w:pPr>
        <w:pStyle w:val="BodyText1"/>
        <w:rPr>
          <w:rFonts w:asciiTheme="minorHAnsi" w:hAnsiTheme="minorHAnsi" w:cstheme="minorHAnsi"/>
        </w:rPr>
      </w:pPr>
      <w:r>
        <w:rPr>
          <w:rFonts w:asciiTheme="minorHAnsi" w:hAnsiTheme="minorHAnsi" w:cstheme="minorHAnsi"/>
        </w:rPr>
        <w:t>A</w:t>
      </w:r>
      <w:r w:rsidR="00C4143A">
        <w:rPr>
          <w:rFonts w:asciiTheme="minorHAnsi" w:hAnsiTheme="minorHAnsi" w:cstheme="minorHAnsi"/>
        </w:rPr>
        <w:t xml:space="preserve"> new approach </w:t>
      </w:r>
      <w:r w:rsidR="00197E97">
        <w:rPr>
          <w:rFonts w:asciiTheme="minorHAnsi" w:hAnsiTheme="minorHAnsi" w:cstheme="minorHAnsi"/>
        </w:rPr>
        <w:t xml:space="preserve">to the composition of the TIO Board </w:t>
      </w:r>
      <w:r w:rsidR="00C4143A">
        <w:rPr>
          <w:rFonts w:asciiTheme="minorHAnsi" w:hAnsiTheme="minorHAnsi" w:cstheme="minorHAnsi"/>
        </w:rPr>
        <w:t xml:space="preserve">is needed </w:t>
      </w:r>
      <w:r w:rsidR="00197E97">
        <w:rPr>
          <w:rFonts w:asciiTheme="minorHAnsi" w:hAnsiTheme="minorHAnsi" w:cstheme="minorHAnsi"/>
        </w:rPr>
        <w:t xml:space="preserve">to </w:t>
      </w:r>
      <w:r w:rsidR="00C4143A">
        <w:rPr>
          <w:rFonts w:asciiTheme="minorHAnsi" w:hAnsiTheme="minorHAnsi" w:cstheme="minorHAnsi"/>
        </w:rPr>
        <w:t xml:space="preserve">address the changing </w:t>
      </w:r>
      <w:r w:rsidR="00197E97">
        <w:rPr>
          <w:rFonts w:asciiTheme="minorHAnsi" w:hAnsiTheme="minorHAnsi" w:cstheme="minorHAnsi"/>
        </w:rPr>
        <w:t>face of Australian telecommunications</w:t>
      </w:r>
      <w:r>
        <w:rPr>
          <w:rFonts w:asciiTheme="minorHAnsi" w:hAnsiTheme="minorHAnsi" w:cstheme="minorHAnsi"/>
        </w:rPr>
        <w:t xml:space="preserve">. We question whether there is a need to have any additional independent Directors </w:t>
      </w:r>
      <w:r w:rsidR="00245F81">
        <w:rPr>
          <w:rFonts w:asciiTheme="minorHAnsi" w:hAnsiTheme="minorHAnsi" w:cstheme="minorHAnsi"/>
        </w:rPr>
        <w:t xml:space="preserve">other </w:t>
      </w:r>
      <w:r>
        <w:rPr>
          <w:rFonts w:asciiTheme="minorHAnsi" w:hAnsiTheme="minorHAnsi" w:cstheme="minorHAnsi"/>
        </w:rPr>
        <w:t xml:space="preserve">than the Chairperson of the Board. </w:t>
      </w:r>
    </w:p>
    <w:p w:rsidR="005D0158" w:rsidRDefault="00197E97" w:rsidP="00CE21A6">
      <w:pPr>
        <w:pStyle w:val="BodyText1"/>
        <w:rPr>
          <w:rFonts w:asciiTheme="minorHAnsi" w:hAnsiTheme="minorHAnsi" w:cstheme="minorHAnsi"/>
        </w:rPr>
      </w:pPr>
      <w:r>
        <w:rPr>
          <w:rFonts w:asciiTheme="minorHAnsi" w:hAnsiTheme="minorHAnsi" w:cstheme="minorHAnsi"/>
        </w:rPr>
        <w:t xml:space="preserve">ACCAN sees a need for a wider range of stakeholder </w:t>
      </w:r>
      <w:r w:rsidR="00794CB5">
        <w:rPr>
          <w:rFonts w:asciiTheme="minorHAnsi" w:hAnsiTheme="minorHAnsi" w:cstheme="minorHAnsi"/>
        </w:rPr>
        <w:t>experiences</w:t>
      </w:r>
      <w:r>
        <w:rPr>
          <w:rFonts w:asciiTheme="minorHAnsi" w:hAnsiTheme="minorHAnsi" w:cstheme="minorHAnsi"/>
        </w:rPr>
        <w:t xml:space="preserve"> to be </w:t>
      </w:r>
      <w:r w:rsidR="00794CB5">
        <w:rPr>
          <w:rFonts w:asciiTheme="minorHAnsi" w:hAnsiTheme="minorHAnsi" w:cstheme="minorHAnsi"/>
        </w:rPr>
        <w:t xml:space="preserve">reflected </w:t>
      </w:r>
      <w:r w:rsidR="00A00BA9">
        <w:rPr>
          <w:rFonts w:asciiTheme="minorHAnsi" w:hAnsiTheme="minorHAnsi" w:cstheme="minorHAnsi"/>
        </w:rPr>
        <w:t>on</w:t>
      </w:r>
      <w:r>
        <w:rPr>
          <w:rFonts w:asciiTheme="minorHAnsi" w:hAnsiTheme="minorHAnsi" w:cstheme="minorHAnsi"/>
        </w:rPr>
        <w:t xml:space="preserve"> the TIO Board. The Australian telecommunications sector is diversifying rapidly</w:t>
      </w:r>
      <w:r w:rsidR="00990802">
        <w:rPr>
          <w:rFonts w:asciiTheme="minorHAnsi" w:hAnsiTheme="minorHAnsi" w:cstheme="minorHAnsi"/>
        </w:rPr>
        <w:t>, along with</w:t>
      </w:r>
      <w:r>
        <w:rPr>
          <w:rFonts w:asciiTheme="minorHAnsi" w:hAnsiTheme="minorHAnsi" w:cstheme="minorHAnsi"/>
        </w:rPr>
        <w:t xml:space="preserve"> </w:t>
      </w:r>
      <w:r w:rsidR="00990802">
        <w:rPr>
          <w:rFonts w:asciiTheme="minorHAnsi" w:hAnsiTheme="minorHAnsi" w:cstheme="minorHAnsi"/>
        </w:rPr>
        <w:t xml:space="preserve">product </w:t>
      </w:r>
      <w:r>
        <w:rPr>
          <w:rFonts w:asciiTheme="minorHAnsi" w:hAnsiTheme="minorHAnsi" w:cstheme="minorHAnsi"/>
        </w:rPr>
        <w:t>offerings and the</w:t>
      </w:r>
      <w:r w:rsidR="00471C94">
        <w:rPr>
          <w:rFonts w:asciiTheme="minorHAnsi" w:hAnsiTheme="minorHAnsi" w:cstheme="minorHAnsi"/>
        </w:rPr>
        <w:t xml:space="preserve"> nature of consumer complaints.</w:t>
      </w:r>
      <w:r>
        <w:rPr>
          <w:rStyle w:val="FootnoteReference"/>
          <w:rFonts w:asciiTheme="minorHAnsi" w:hAnsiTheme="minorHAnsi" w:cstheme="minorHAnsi"/>
        </w:rPr>
        <w:footnoteReference w:id="3"/>
      </w:r>
      <w:r>
        <w:rPr>
          <w:rFonts w:asciiTheme="minorHAnsi" w:hAnsiTheme="minorHAnsi" w:cstheme="minorHAnsi"/>
        </w:rPr>
        <w:t xml:space="preserve"> </w:t>
      </w:r>
      <w:r w:rsidR="003F36BA">
        <w:rPr>
          <w:rFonts w:asciiTheme="minorHAnsi" w:hAnsiTheme="minorHAnsi" w:cstheme="minorHAnsi"/>
        </w:rPr>
        <w:t>Raising</w:t>
      </w:r>
      <w:r w:rsidR="00990802">
        <w:rPr>
          <w:rFonts w:asciiTheme="minorHAnsi" w:hAnsiTheme="minorHAnsi" w:cstheme="minorHAnsi"/>
        </w:rPr>
        <w:t xml:space="preserve"> the level of direct stakeholder </w:t>
      </w:r>
      <w:r w:rsidR="000C5F88">
        <w:rPr>
          <w:rFonts w:asciiTheme="minorHAnsi" w:hAnsiTheme="minorHAnsi" w:cstheme="minorHAnsi"/>
        </w:rPr>
        <w:t>engagement</w:t>
      </w:r>
      <w:r w:rsidR="00990802">
        <w:rPr>
          <w:rFonts w:asciiTheme="minorHAnsi" w:hAnsiTheme="minorHAnsi" w:cstheme="minorHAnsi"/>
        </w:rPr>
        <w:t xml:space="preserve"> will</w:t>
      </w:r>
      <w:r w:rsidR="003F36BA">
        <w:rPr>
          <w:rFonts w:asciiTheme="minorHAnsi" w:hAnsiTheme="minorHAnsi" w:cstheme="minorHAnsi"/>
        </w:rPr>
        <w:t xml:space="preserve"> allow more diverse and nuanced insight into the important strategic matters facing the TIO Board. </w:t>
      </w:r>
      <w:r w:rsidR="00245F81">
        <w:rPr>
          <w:rFonts w:asciiTheme="minorHAnsi" w:hAnsiTheme="minorHAnsi" w:cstheme="minorHAnsi"/>
        </w:rPr>
        <w:t>E</w:t>
      </w:r>
      <w:r w:rsidR="003F36BA">
        <w:rPr>
          <w:rFonts w:asciiTheme="minorHAnsi" w:hAnsiTheme="minorHAnsi" w:cstheme="minorHAnsi"/>
        </w:rPr>
        <w:t xml:space="preserve">xternal </w:t>
      </w:r>
      <w:r w:rsidR="00BE5174">
        <w:rPr>
          <w:rFonts w:asciiTheme="minorHAnsi" w:hAnsiTheme="minorHAnsi" w:cstheme="minorHAnsi"/>
        </w:rPr>
        <w:t xml:space="preserve">industry </w:t>
      </w:r>
      <w:r w:rsidR="003F36BA">
        <w:rPr>
          <w:rFonts w:asciiTheme="minorHAnsi" w:hAnsiTheme="minorHAnsi" w:cstheme="minorHAnsi"/>
        </w:rPr>
        <w:t xml:space="preserve">dynamics call for expertise </w:t>
      </w:r>
      <w:r w:rsidR="00BE5174">
        <w:rPr>
          <w:rFonts w:asciiTheme="minorHAnsi" w:hAnsiTheme="minorHAnsi" w:cstheme="minorHAnsi"/>
        </w:rPr>
        <w:t>that</w:t>
      </w:r>
      <w:r w:rsidR="003F36BA">
        <w:rPr>
          <w:rFonts w:asciiTheme="minorHAnsi" w:hAnsiTheme="minorHAnsi" w:cstheme="minorHAnsi"/>
        </w:rPr>
        <w:t xml:space="preserve"> is </w:t>
      </w:r>
      <w:r w:rsidR="003F36BA" w:rsidRPr="00F75D29">
        <w:rPr>
          <w:rFonts w:asciiTheme="minorHAnsi" w:hAnsiTheme="minorHAnsi" w:cstheme="minorHAnsi"/>
          <w:b/>
        </w:rPr>
        <w:t>embedded</w:t>
      </w:r>
      <w:r w:rsidR="003F36BA">
        <w:rPr>
          <w:rFonts w:asciiTheme="minorHAnsi" w:hAnsiTheme="minorHAnsi" w:cstheme="minorHAnsi"/>
        </w:rPr>
        <w:t xml:space="preserve"> in the issues facing telecommunications, from small Internet Service Providers (ISPs) or grassroots consumer organisations for example. </w:t>
      </w:r>
    </w:p>
    <w:p w:rsidR="000C5F88" w:rsidRDefault="000C5F88" w:rsidP="00CE21A6">
      <w:pPr>
        <w:pStyle w:val="BodyText1"/>
        <w:rPr>
          <w:rFonts w:asciiTheme="minorHAnsi" w:hAnsiTheme="minorHAnsi" w:cstheme="minorHAnsi"/>
        </w:rPr>
      </w:pPr>
      <w:r>
        <w:rPr>
          <w:rFonts w:asciiTheme="minorHAnsi" w:hAnsiTheme="minorHAnsi" w:cstheme="minorHAnsi"/>
        </w:rPr>
        <w:lastRenderedPageBreak/>
        <w:t>In addition to having the largest and second largest providers on the TIO Board, we strongly argue that the communications consumer peak body (ACCAN) should also be given a standing position</w:t>
      </w:r>
      <w:r w:rsidR="00471C94">
        <w:rPr>
          <w:rFonts w:asciiTheme="minorHAnsi" w:hAnsiTheme="minorHAnsi" w:cstheme="minorHAnsi"/>
        </w:rPr>
        <w:t xml:space="preserve"> on the Board. </w:t>
      </w:r>
      <w:r>
        <w:rPr>
          <w:rFonts w:asciiTheme="minorHAnsi" w:hAnsiTheme="minorHAnsi" w:cstheme="minorHAnsi"/>
        </w:rPr>
        <w:t>This is because it is absolutely vital that the expertise from the supply side can be matched and balanced by equally informed and qualified Directors with</w:t>
      </w:r>
      <w:r w:rsidR="00A00BA9">
        <w:rPr>
          <w:rFonts w:asciiTheme="minorHAnsi" w:hAnsiTheme="minorHAnsi" w:cstheme="minorHAnsi"/>
        </w:rPr>
        <w:t xml:space="preserve"> telecommunications</w:t>
      </w:r>
      <w:r>
        <w:rPr>
          <w:rFonts w:asciiTheme="minorHAnsi" w:hAnsiTheme="minorHAnsi" w:cstheme="minorHAnsi"/>
        </w:rPr>
        <w:t xml:space="preserve"> consumer </w:t>
      </w:r>
      <w:r w:rsidR="00A00BA9">
        <w:rPr>
          <w:rFonts w:asciiTheme="minorHAnsi" w:hAnsiTheme="minorHAnsi" w:cstheme="minorHAnsi"/>
        </w:rPr>
        <w:t xml:space="preserve">representative </w:t>
      </w:r>
      <w:r>
        <w:rPr>
          <w:rFonts w:asciiTheme="minorHAnsi" w:hAnsiTheme="minorHAnsi" w:cstheme="minorHAnsi"/>
        </w:rPr>
        <w:t xml:space="preserve">experience. Without this expertise, </w:t>
      </w:r>
      <w:proofErr w:type="gramStart"/>
      <w:r>
        <w:rPr>
          <w:rFonts w:asciiTheme="minorHAnsi" w:hAnsiTheme="minorHAnsi" w:cstheme="minorHAnsi"/>
        </w:rPr>
        <w:t>consumer Directors are</w:t>
      </w:r>
      <w:proofErr w:type="gramEnd"/>
      <w:r>
        <w:rPr>
          <w:rFonts w:asciiTheme="minorHAnsi" w:hAnsiTheme="minorHAnsi" w:cstheme="minorHAnsi"/>
        </w:rPr>
        <w:t xml:space="preserve"> at a distinct disadvantage on the Board.  </w:t>
      </w:r>
    </w:p>
    <w:p w:rsidR="00A972D3" w:rsidRPr="005F2B4C" w:rsidRDefault="00A972D3" w:rsidP="00174D49">
      <w:pPr>
        <w:pStyle w:val="BodyText1"/>
        <w:keepNext/>
        <w:keepLines/>
        <w:rPr>
          <w:rFonts w:asciiTheme="minorHAnsi" w:hAnsiTheme="minorHAnsi" w:cstheme="minorHAnsi"/>
          <w:b/>
          <w:sz w:val="24"/>
        </w:rPr>
      </w:pPr>
      <w:r w:rsidRPr="005F2B4C">
        <w:rPr>
          <w:rFonts w:asciiTheme="minorHAnsi" w:hAnsiTheme="minorHAnsi" w:cstheme="minorHAnsi"/>
          <w:b/>
          <w:sz w:val="24"/>
        </w:rPr>
        <w:t>Right for the largest and second largest Members to nominate Directors</w:t>
      </w:r>
    </w:p>
    <w:p w:rsidR="00A972D3" w:rsidRPr="00CC1AE1" w:rsidRDefault="00A972D3" w:rsidP="00174D49">
      <w:pPr>
        <w:pStyle w:val="BodyText1"/>
        <w:keepNext/>
        <w:keepLines/>
        <w:rPr>
          <w:rFonts w:asciiTheme="minorHAnsi" w:hAnsiTheme="minorHAnsi" w:cstheme="minorHAnsi"/>
          <w:i/>
        </w:rPr>
      </w:pPr>
      <w:r w:rsidRPr="00CC1AE1">
        <w:rPr>
          <w:rFonts w:asciiTheme="minorHAnsi" w:hAnsiTheme="minorHAnsi" w:cstheme="minorHAnsi"/>
          <w:i/>
        </w:rPr>
        <w:t xml:space="preserve">Should the right for the largest and second largest Members to each fill a Director role be removed? </w:t>
      </w:r>
    </w:p>
    <w:p w:rsidR="00F141A6" w:rsidRDefault="00453D53" w:rsidP="00D36F06">
      <w:pPr>
        <w:pStyle w:val="BodyText1"/>
        <w:keepNext/>
        <w:keepLines/>
        <w:rPr>
          <w:rFonts w:asciiTheme="minorHAnsi" w:hAnsiTheme="minorHAnsi" w:cstheme="minorHAnsi"/>
        </w:rPr>
      </w:pPr>
      <w:r>
        <w:rPr>
          <w:rFonts w:asciiTheme="minorHAnsi" w:hAnsiTheme="minorHAnsi" w:cstheme="minorHAnsi"/>
        </w:rPr>
        <w:t xml:space="preserve">The introduction of a </w:t>
      </w:r>
      <w:r w:rsidR="00BE5174">
        <w:rPr>
          <w:rFonts w:asciiTheme="minorHAnsi" w:hAnsiTheme="minorHAnsi" w:cstheme="minorHAnsi"/>
        </w:rPr>
        <w:t>fourth industry Director fille</w:t>
      </w:r>
      <w:r w:rsidR="00A00BA9">
        <w:rPr>
          <w:rFonts w:asciiTheme="minorHAnsi" w:hAnsiTheme="minorHAnsi" w:cstheme="minorHAnsi"/>
        </w:rPr>
        <w:t xml:space="preserve">d by a candidate nominated by </w:t>
      </w:r>
      <w:r w:rsidR="00BE5174">
        <w:rPr>
          <w:rFonts w:asciiTheme="minorHAnsi" w:hAnsiTheme="minorHAnsi" w:cstheme="minorHAnsi"/>
        </w:rPr>
        <w:t>Member</w:t>
      </w:r>
      <w:r w:rsidR="00A00BA9">
        <w:rPr>
          <w:rFonts w:asciiTheme="minorHAnsi" w:hAnsiTheme="minorHAnsi" w:cstheme="minorHAnsi"/>
        </w:rPr>
        <w:t>s</w:t>
      </w:r>
      <w:r w:rsidR="00BE5174">
        <w:rPr>
          <w:rFonts w:asciiTheme="minorHAnsi" w:hAnsiTheme="minorHAnsi" w:cstheme="minorHAnsi"/>
        </w:rPr>
        <w:t xml:space="preserve"> </w:t>
      </w:r>
      <w:r>
        <w:rPr>
          <w:rFonts w:asciiTheme="minorHAnsi" w:hAnsiTheme="minorHAnsi" w:cstheme="minorHAnsi"/>
        </w:rPr>
        <w:t>ensures that a wide breadth of industry voices are present on the TIO Board</w:t>
      </w:r>
      <w:r w:rsidR="00BE5174">
        <w:rPr>
          <w:rFonts w:asciiTheme="minorHAnsi" w:hAnsiTheme="minorHAnsi" w:cstheme="minorHAnsi"/>
        </w:rPr>
        <w:t>.</w:t>
      </w:r>
      <w:r>
        <w:rPr>
          <w:rFonts w:asciiTheme="minorHAnsi" w:hAnsiTheme="minorHAnsi" w:cstheme="minorHAnsi"/>
        </w:rPr>
        <w:t xml:space="preserve"> W</w:t>
      </w:r>
      <w:r w:rsidR="00F141A6">
        <w:rPr>
          <w:rFonts w:asciiTheme="minorHAnsi" w:hAnsiTheme="minorHAnsi" w:cstheme="minorHAnsi"/>
        </w:rPr>
        <w:t>e do not see a need to remove the right of the largest and second largest Members to nominate Directors, as long as:</w:t>
      </w:r>
    </w:p>
    <w:p w:rsidR="00F141A6" w:rsidRPr="00F141A6" w:rsidRDefault="00264174" w:rsidP="00D36F06">
      <w:pPr>
        <w:pStyle w:val="BodyText1"/>
        <w:keepNext/>
        <w:keepLines/>
        <w:numPr>
          <w:ilvl w:val="0"/>
          <w:numId w:val="8"/>
        </w:numPr>
        <w:rPr>
          <w:rFonts w:asciiTheme="minorHAnsi" w:hAnsiTheme="minorHAnsi" w:cstheme="minorHAnsi"/>
        </w:rPr>
      </w:pPr>
      <w:r>
        <w:rPr>
          <w:rFonts w:asciiTheme="minorHAnsi" w:hAnsiTheme="minorHAnsi" w:cstheme="minorHAnsi"/>
        </w:rPr>
        <w:t>A</w:t>
      </w:r>
      <w:r w:rsidR="005D0158">
        <w:rPr>
          <w:rFonts w:asciiTheme="minorHAnsi" w:hAnsiTheme="minorHAnsi" w:cstheme="minorHAnsi"/>
        </w:rPr>
        <w:t xml:space="preserve">dditional positions are introduced </w:t>
      </w:r>
      <w:r w:rsidR="00F141A6" w:rsidRPr="00F141A6">
        <w:rPr>
          <w:rFonts w:asciiTheme="minorHAnsi" w:hAnsiTheme="minorHAnsi" w:cstheme="minorHAnsi"/>
        </w:rPr>
        <w:t xml:space="preserve">for </w:t>
      </w:r>
      <w:r w:rsidR="005F2B4C">
        <w:rPr>
          <w:rFonts w:asciiTheme="minorHAnsi" w:hAnsiTheme="minorHAnsi" w:cstheme="minorHAnsi"/>
        </w:rPr>
        <w:t xml:space="preserve">Directors with industry and </w:t>
      </w:r>
      <w:r w:rsidR="005D0158">
        <w:rPr>
          <w:rFonts w:asciiTheme="minorHAnsi" w:hAnsiTheme="minorHAnsi" w:cstheme="minorHAnsi"/>
        </w:rPr>
        <w:t>consumer experience</w:t>
      </w:r>
      <w:r w:rsidR="00561DE6">
        <w:rPr>
          <w:rFonts w:asciiTheme="minorHAnsi" w:hAnsiTheme="minorHAnsi" w:cstheme="minorHAnsi"/>
        </w:rPr>
        <w:t>, including one position filled by a candidate nominated by ACCAN</w:t>
      </w:r>
    </w:p>
    <w:p w:rsidR="00657AA9" w:rsidRDefault="00264174" w:rsidP="00D36F06">
      <w:pPr>
        <w:pStyle w:val="BodyText1"/>
        <w:keepNext/>
        <w:keepLines/>
        <w:numPr>
          <w:ilvl w:val="0"/>
          <w:numId w:val="8"/>
        </w:numPr>
        <w:rPr>
          <w:rFonts w:asciiTheme="minorHAnsi" w:hAnsiTheme="minorHAnsi" w:cstheme="minorHAnsi"/>
        </w:rPr>
      </w:pPr>
      <w:r>
        <w:rPr>
          <w:rFonts w:asciiTheme="minorHAnsi" w:hAnsiTheme="minorHAnsi" w:cstheme="minorHAnsi"/>
        </w:rPr>
        <w:t>T</w:t>
      </w:r>
      <w:r w:rsidR="00F141A6" w:rsidRPr="00F141A6">
        <w:rPr>
          <w:rFonts w:asciiTheme="minorHAnsi" w:hAnsiTheme="minorHAnsi" w:cstheme="minorHAnsi"/>
        </w:rPr>
        <w:t>wo</w:t>
      </w:r>
      <w:r w:rsidR="00F141A6">
        <w:rPr>
          <w:rFonts w:asciiTheme="minorHAnsi" w:hAnsiTheme="minorHAnsi" w:cstheme="minorHAnsi"/>
        </w:rPr>
        <w:t xml:space="preserve"> of the four</w:t>
      </w:r>
      <w:r w:rsidR="00064391">
        <w:rPr>
          <w:rFonts w:asciiTheme="minorHAnsi" w:hAnsiTheme="minorHAnsi" w:cstheme="minorHAnsi"/>
        </w:rPr>
        <w:t xml:space="preserve"> industry</w:t>
      </w:r>
      <w:r w:rsidR="00F141A6">
        <w:rPr>
          <w:rFonts w:asciiTheme="minorHAnsi" w:hAnsiTheme="minorHAnsi" w:cstheme="minorHAnsi"/>
        </w:rPr>
        <w:t xml:space="preserve"> </w:t>
      </w:r>
      <w:r w:rsidR="005D0158">
        <w:rPr>
          <w:rFonts w:asciiTheme="minorHAnsi" w:hAnsiTheme="minorHAnsi" w:cstheme="minorHAnsi"/>
        </w:rPr>
        <w:t>Director positions</w:t>
      </w:r>
      <w:r w:rsidR="005F2B4C">
        <w:rPr>
          <w:rFonts w:asciiTheme="minorHAnsi" w:hAnsiTheme="minorHAnsi" w:cstheme="minorHAnsi"/>
        </w:rPr>
        <w:t xml:space="preserve"> are </w:t>
      </w:r>
      <w:r w:rsidR="00064391">
        <w:rPr>
          <w:rFonts w:asciiTheme="minorHAnsi" w:hAnsiTheme="minorHAnsi" w:cstheme="minorHAnsi"/>
        </w:rPr>
        <w:t>filled by candidates nominated</w:t>
      </w:r>
      <w:r w:rsidR="00A00BA9">
        <w:rPr>
          <w:rFonts w:asciiTheme="minorHAnsi" w:hAnsiTheme="minorHAnsi" w:cstheme="minorHAnsi"/>
        </w:rPr>
        <w:t xml:space="preserve"> by Members but approved by the </w:t>
      </w:r>
      <w:r w:rsidR="00A00BA9" w:rsidRPr="009B5946">
        <w:rPr>
          <w:rFonts w:asciiTheme="minorHAnsi" w:hAnsiTheme="minorHAnsi" w:cstheme="minorHAnsi"/>
        </w:rPr>
        <w:t>Nominations Committee</w:t>
      </w:r>
      <w:r w:rsidR="0051184E">
        <w:rPr>
          <w:rFonts w:asciiTheme="minorHAnsi" w:hAnsiTheme="minorHAnsi" w:cstheme="minorHAnsi"/>
        </w:rPr>
        <w:t>.</w:t>
      </w:r>
    </w:p>
    <w:p w:rsidR="006E6280" w:rsidRDefault="00761363" w:rsidP="00932DCA">
      <w:pPr>
        <w:pStyle w:val="BodyText1"/>
        <w:rPr>
          <w:rFonts w:asciiTheme="minorHAnsi" w:hAnsiTheme="minorHAnsi" w:cstheme="minorHAnsi"/>
        </w:rPr>
      </w:pPr>
      <w:r>
        <w:rPr>
          <w:rFonts w:asciiTheme="minorHAnsi" w:hAnsiTheme="minorHAnsi" w:cstheme="minorHAnsi"/>
        </w:rPr>
        <w:t xml:space="preserve">ACCAN respects the expertise of Directors with consumer experience who </w:t>
      </w:r>
      <w:r w:rsidR="006E6280">
        <w:rPr>
          <w:rFonts w:asciiTheme="minorHAnsi" w:hAnsiTheme="minorHAnsi" w:cstheme="minorHAnsi"/>
        </w:rPr>
        <w:t xml:space="preserve">currently </w:t>
      </w:r>
      <w:proofErr w:type="gramStart"/>
      <w:r>
        <w:rPr>
          <w:rFonts w:asciiTheme="minorHAnsi" w:hAnsiTheme="minorHAnsi" w:cstheme="minorHAnsi"/>
        </w:rPr>
        <w:t>sit</w:t>
      </w:r>
      <w:proofErr w:type="gramEnd"/>
      <w:r>
        <w:rPr>
          <w:rFonts w:asciiTheme="minorHAnsi" w:hAnsiTheme="minorHAnsi" w:cstheme="minorHAnsi"/>
        </w:rPr>
        <w:t xml:space="preserve"> on the </w:t>
      </w:r>
      <w:r w:rsidR="006E6280">
        <w:rPr>
          <w:rFonts w:asciiTheme="minorHAnsi" w:hAnsiTheme="minorHAnsi" w:cstheme="minorHAnsi"/>
        </w:rPr>
        <w:t>B</w:t>
      </w:r>
      <w:r>
        <w:rPr>
          <w:rFonts w:asciiTheme="minorHAnsi" w:hAnsiTheme="minorHAnsi" w:cstheme="minorHAnsi"/>
        </w:rPr>
        <w:t xml:space="preserve">oard, but we </w:t>
      </w:r>
      <w:r w:rsidR="006E6280">
        <w:rPr>
          <w:rFonts w:asciiTheme="minorHAnsi" w:hAnsiTheme="minorHAnsi" w:cstheme="minorHAnsi"/>
        </w:rPr>
        <w:t>note that none have</w:t>
      </w:r>
      <w:r>
        <w:rPr>
          <w:rFonts w:asciiTheme="minorHAnsi" w:hAnsiTheme="minorHAnsi" w:cstheme="minorHAnsi"/>
        </w:rPr>
        <w:t xml:space="preserve"> </w:t>
      </w:r>
      <w:r w:rsidRPr="00761363">
        <w:rPr>
          <w:rFonts w:asciiTheme="minorHAnsi" w:hAnsiTheme="minorHAnsi" w:cstheme="minorHAnsi"/>
          <w:b/>
        </w:rPr>
        <w:t>telecommunications</w:t>
      </w:r>
      <w:r>
        <w:rPr>
          <w:rFonts w:asciiTheme="minorHAnsi" w:hAnsiTheme="minorHAnsi" w:cstheme="minorHAnsi"/>
        </w:rPr>
        <w:t xml:space="preserve"> </w:t>
      </w:r>
      <w:r w:rsidRPr="006E6280">
        <w:rPr>
          <w:rFonts w:asciiTheme="minorHAnsi" w:hAnsiTheme="minorHAnsi" w:cstheme="minorHAnsi"/>
          <w:b/>
        </w:rPr>
        <w:t>consumer</w:t>
      </w:r>
      <w:r>
        <w:rPr>
          <w:rFonts w:asciiTheme="minorHAnsi" w:hAnsiTheme="minorHAnsi" w:cstheme="minorHAnsi"/>
        </w:rPr>
        <w:t xml:space="preserve"> </w:t>
      </w:r>
      <w:r w:rsidRPr="00344380">
        <w:rPr>
          <w:rFonts w:asciiTheme="minorHAnsi" w:hAnsiTheme="minorHAnsi" w:cstheme="minorHAnsi"/>
          <w:b/>
        </w:rPr>
        <w:t>experience</w:t>
      </w:r>
      <w:r w:rsidR="006E6280">
        <w:rPr>
          <w:rFonts w:asciiTheme="minorHAnsi" w:hAnsiTheme="minorHAnsi" w:cstheme="minorHAnsi"/>
        </w:rPr>
        <w:t>: the Const</w:t>
      </w:r>
      <w:r w:rsidR="000C5F88">
        <w:rPr>
          <w:rFonts w:asciiTheme="minorHAnsi" w:hAnsiTheme="minorHAnsi" w:cstheme="minorHAnsi"/>
        </w:rPr>
        <w:t>itution does not require this. Given that i</w:t>
      </w:r>
      <w:r w:rsidR="00344380">
        <w:rPr>
          <w:rFonts w:asciiTheme="minorHAnsi" w:hAnsiTheme="minorHAnsi" w:cstheme="minorHAnsi"/>
        </w:rPr>
        <w:t xml:space="preserve">ndustry members are able to nominate candidates </w:t>
      </w:r>
      <w:r w:rsidR="000C5F88">
        <w:rPr>
          <w:rFonts w:asciiTheme="minorHAnsi" w:hAnsiTheme="minorHAnsi" w:cstheme="minorHAnsi"/>
        </w:rPr>
        <w:t>to fill Board positions,</w:t>
      </w:r>
      <w:r w:rsidR="00344380">
        <w:rPr>
          <w:rFonts w:asciiTheme="minorHAnsi" w:hAnsiTheme="minorHAnsi" w:cstheme="minorHAnsi"/>
        </w:rPr>
        <w:t xml:space="preserve"> </w:t>
      </w:r>
      <w:r w:rsidR="00A00BA9">
        <w:rPr>
          <w:rFonts w:asciiTheme="minorHAnsi" w:hAnsiTheme="minorHAnsi" w:cstheme="minorHAnsi"/>
        </w:rPr>
        <w:t>ACCAN should be given a standing position as well</w:t>
      </w:r>
      <w:r w:rsidR="009B5946">
        <w:rPr>
          <w:rFonts w:asciiTheme="minorHAnsi" w:hAnsiTheme="minorHAnsi" w:cstheme="minorHAnsi"/>
        </w:rPr>
        <w:t>. This would</w:t>
      </w:r>
      <w:r w:rsidR="00A00BA9">
        <w:rPr>
          <w:rFonts w:asciiTheme="minorHAnsi" w:hAnsiTheme="minorHAnsi" w:cstheme="minorHAnsi"/>
        </w:rPr>
        <w:t xml:space="preserve"> reinforce the Board’s independence and effectiveness</w:t>
      </w:r>
      <w:r w:rsidR="000C5F88">
        <w:rPr>
          <w:rFonts w:asciiTheme="minorHAnsi" w:hAnsiTheme="minorHAnsi" w:cstheme="minorHAnsi"/>
        </w:rPr>
        <w:t>.</w:t>
      </w:r>
    </w:p>
    <w:p w:rsidR="00A972D3" w:rsidRPr="00CC1AE1" w:rsidRDefault="00A972D3" w:rsidP="00A972D3">
      <w:pPr>
        <w:pStyle w:val="BodyText1"/>
        <w:rPr>
          <w:rFonts w:asciiTheme="minorHAnsi" w:hAnsiTheme="minorHAnsi" w:cstheme="minorHAnsi"/>
          <w:b/>
        </w:rPr>
      </w:pPr>
      <w:r w:rsidRPr="00CC1AE1">
        <w:rPr>
          <w:rFonts w:asciiTheme="minorHAnsi" w:hAnsiTheme="minorHAnsi" w:cstheme="minorHAnsi"/>
          <w:b/>
        </w:rPr>
        <w:t xml:space="preserve">External advertising of vacant Board positions </w:t>
      </w:r>
      <w:r w:rsidR="00B044B6">
        <w:rPr>
          <w:rFonts w:asciiTheme="minorHAnsi" w:hAnsiTheme="minorHAnsi" w:cstheme="minorHAnsi"/>
          <w:b/>
        </w:rPr>
        <w:t>and</w:t>
      </w:r>
      <w:r w:rsidRPr="00CC1AE1">
        <w:rPr>
          <w:rFonts w:asciiTheme="minorHAnsi" w:hAnsiTheme="minorHAnsi" w:cstheme="minorHAnsi"/>
          <w:b/>
        </w:rPr>
        <w:t xml:space="preserve"> Compositio</w:t>
      </w:r>
      <w:r w:rsidR="00174D49">
        <w:rPr>
          <w:rFonts w:asciiTheme="minorHAnsi" w:hAnsiTheme="minorHAnsi" w:cstheme="minorHAnsi"/>
          <w:b/>
        </w:rPr>
        <w:t>n of the Nominations Committee</w:t>
      </w:r>
    </w:p>
    <w:p w:rsidR="00C50BE2" w:rsidRPr="00B044B6" w:rsidRDefault="00A972D3" w:rsidP="00B044B6">
      <w:pPr>
        <w:pStyle w:val="BodyText1"/>
        <w:rPr>
          <w:rFonts w:asciiTheme="minorHAnsi" w:hAnsiTheme="minorHAnsi" w:cstheme="minorHAnsi"/>
          <w:i/>
        </w:rPr>
      </w:pPr>
      <w:r w:rsidRPr="00B044B6">
        <w:rPr>
          <w:rFonts w:asciiTheme="minorHAnsi" w:hAnsiTheme="minorHAnsi" w:cstheme="minorHAnsi"/>
          <w:i/>
        </w:rPr>
        <w:t>Should the TIO Constituti</w:t>
      </w:r>
      <w:r w:rsidR="00533C53" w:rsidRPr="00B044B6">
        <w:rPr>
          <w:rFonts w:asciiTheme="minorHAnsi" w:hAnsiTheme="minorHAnsi" w:cstheme="minorHAnsi"/>
          <w:i/>
        </w:rPr>
        <w:t>on require all vacant director positions be externally advertised?</w:t>
      </w:r>
    </w:p>
    <w:p w:rsidR="00794CB5" w:rsidRDefault="00453D53" w:rsidP="00794CB5">
      <w:pPr>
        <w:pStyle w:val="BodyText1"/>
        <w:rPr>
          <w:rFonts w:asciiTheme="minorHAnsi" w:hAnsiTheme="minorHAnsi" w:cstheme="minorHAnsi"/>
        </w:rPr>
      </w:pPr>
      <w:r>
        <w:rPr>
          <w:rFonts w:asciiTheme="minorHAnsi" w:hAnsiTheme="minorHAnsi" w:cstheme="minorHAnsi"/>
        </w:rPr>
        <w:t xml:space="preserve">The TIO Constitution should ensure that </w:t>
      </w:r>
      <w:r w:rsidR="00794CB5">
        <w:rPr>
          <w:rFonts w:asciiTheme="minorHAnsi" w:hAnsiTheme="minorHAnsi" w:cstheme="minorHAnsi"/>
        </w:rPr>
        <w:t xml:space="preserve">all but three Board positions </w:t>
      </w:r>
      <w:r w:rsidR="0051184E">
        <w:rPr>
          <w:rFonts w:asciiTheme="minorHAnsi" w:hAnsiTheme="minorHAnsi" w:cstheme="minorHAnsi"/>
        </w:rPr>
        <w:t>are</w:t>
      </w:r>
      <w:r w:rsidR="00794CB5">
        <w:rPr>
          <w:rFonts w:asciiTheme="minorHAnsi" w:hAnsiTheme="minorHAnsi" w:cstheme="minorHAnsi"/>
        </w:rPr>
        <w:t xml:space="preserve"> externally advertised</w:t>
      </w:r>
      <w:r>
        <w:rPr>
          <w:rFonts w:asciiTheme="minorHAnsi" w:hAnsiTheme="minorHAnsi" w:cstheme="minorHAnsi"/>
        </w:rPr>
        <w:t xml:space="preserve"> when vacant</w:t>
      </w:r>
      <w:r w:rsidR="00794CB5">
        <w:rPr>
          <w:rFonts w:asciiTheme="minorHAnsi" w:hAnsiTheme="minorHAnsi" w:cstheme="minorHAnsi"/>
        </w:rPr>
        <w:t xml:space="preserve">. The positions </w:t>
      </w:r>
      <w:r w:rsidR="00561DE6">
        <w:rPr>
          <w:rFonts w:asciiTheme="minorHAnsi" w:hAnsiTheme="minorHAnsi" w:cstheme="minorHAnsi"/>
        </w:rPr>
        <w:t>that</w:t>
      </w:r>
      <w:r w:rsidR="00794CB5">
        <w:rPr>
          <w:rFonts w:asciiTheme="minorHAnsi" w:hAnsiTheme="minorHAnsi" w:cstheme="minorHAnsi"/>
        </w:rPr>
        <w:t xml:space="preserve"> should be e</w:t>
      </w:r>
      <w:r w:rsidR="000C5F88">
        <w:rPr>
          <w:rFonts w:asciiTheme="minorHAnsi" w:hAnsiTheme="minorHAnsi" w:cstheme="minorHAnsi"/>
        </w:rPr>
        <w:t>xempt from being advertised externally</w:t>
      </w:r>
      <w:r w:rsidR="00794CB5">
        <w:rPr>
          <w:rFonts w:asciiTheme="minorHAnsi" w:hAnsiTheme="minorHAnsi" w:cstheme="minorHAnsi"/>
        </w:rPr>
        <w:t xml:space="preserve"> are: </w:t>
      </w:r>
    </w:p>
    <w:p w:rsidR="00B044B6" w:rsidRDefault="00264174" w:rsidP="00794CB5">
      <w:pPr>
        <w:pStyle w:val="BodyText1"/>
        <w:numPr>
          <w:ilvl w:val="0"/>
          <w:numId w:val="9"/>
        </w:numPr>
        <w:rPr>
          <w:rFonts w:asciiTheme="minorHAnsi" w:hAnsiTheme="minorHAnsi" w:cstheme="minorHAnsi"/>
        </w:rPr>
      </w:pPr>
      <w:r>
        <w:rPr>
          <w:rFonts w:asciiTheme="minorHAnsi" w:hAnsiTheme="minorHAnsi" w:cstheme="minorHAnsi"/>
        </w:rPr>
        <w:t>T</w:t>
      </w:r>
      <w:r w:rsidR="00794CB5">
        <w:rPr>
          <w:rFonts w:asciiTheme="minorHAnsi" w:hAnsiTheme="minorHAnsi" w:cstheme="minorHAnsi"/>
        </w:rPr>
        <w:t xml:space="preserve">he two positions filled by </w:t>
      </w:r>
      <w:r w:rsidR="000C5F88">
        <w:rPr>
          <w:rFonts w:asciiTheme="minorHAnsi" w:hAnsiTheme="minorHAnsi" w:cstheme="minorHAnsi"/>
        </w:rPr>
        <w:t>candidates nominated</w:t>
      </w:r>
      <w:r w:rsidR="00794CB5">
        <w:rPr>
          <w:rFonts w:asciiTheme="minorHAnsi" w:hAnsiTheme="minorHAnsi" w:cstheme="minorHAnsi"/>
        </w:rPr>
        <w:t xml:space="preserve"> by the largest and second largest industry </w:t>
      </w:r>
      <w:r w:rsidR="00561DE6">
        <w:rPr>
          <w:rFonts w:asciiTheme="minorHAnsi" w:hAnsiTheme="minorHAnsi" w:cstheme="minorHAnsi"/>
        </w:rPr>
        <w:t>M</w:t>
      </w:r>
      <w:r w:rsidR="00794CB5">
        <w:rPr>
          <w:rFonts w:asciiTheme="minorHAnsi" w:hAnsiTheme="minorHAnsi" w:cstheme="minorHAnsi"/>
        </w:rPr>
        <w:t>ember</w:t>
      </w:r>
      <w:r w:rsidR="00561DE6">
        <w:rPr>
          <w:rFonts w:asciiTheme="minorHAnsi" w:hAnsiTheme="minorHAnsi" w:cstheme="minorHAnsi"/>
        </w:rPr>
        <w:t>s</w:t>
      </w:r>
    </w:p>
    <w:p w:rsidR="000C5F88" w:rsidRPr="000C5F88" w:rsidRDefault="00264174" w:rsidP="00B044B6">
      <w:pPr>
        <w:pStyle w:val="BodyText1"/>
        <w:numPr>
          <w:ilvl w:val="0"/>
          <w:numId w:val="9"/>
        </w:numPr>
        <w:rPr>
          <w:rFonts w:asciiTheme="minorHAnsi" w:hAnsiTheme="minorHAnsi" w:cstheme="minorHAnsi"/>
          <w:i/>
        </w:rPr>
      </w:pPr>
      <w:r>
        <w:rPr>
          <w:rFonts w:asciiTheme="minorHAnsi" w:hAnsiTheme="minorHAnsi" w:cstheme="minorHAnsi"/>
        </w:rPr>
        <w:t>T</w:t>
      </w:r>
      <w:r w:rsidR="00794CB5" w:rsidRPr="000C5F88">
        <w:rPr>
          <w:rFonts w:asciiTheme="minorHAnsi" w:hAnsiTheme="minorHAnsi" w:cstheme="minorHAnsi"/>
        </w:rPr>
        <w:t>he position filled</w:t>
      </w:r>
      <w:r w:rsidR="000C5F88">
        <w:rPr>
          <w:rFonts w:asciiTheme="minorHAnsi" w:hAnsiTheme="minorHAnsi" w:cstheme="minorHAnsi"/>
        </w:rPr>
        <w:t xml:space="preserve"> by a candidate nominated</w:t>
      </w:r>
      <w:r w:rsidR="0051184E">
        <w:rPr>
          <w:rFonts w:asciiTheme="minorHAnsi" w:hAnsiTheme="minorHAnsi" w:cstheme="minorHAnsi"/>
        </w:rPr>
        <w:t xml:space="preserve"> by ACCAN.</w:t>
      </w:r>
    </w:p>
    <w:p w:rsidR="00533C53" w:rsidRPr="000C5F88" w:rsidRDefault="00533C53" w:rsidP="000C5F88">
      <w:pPr>
        <w:pStyle w:val="BodyText1"/>
        <w:rPr>
          <w:rFonts w:asciiTheme="minorHAnsi" w:hAnsiTheme="minorHAnsi" w:cstheme="minorHAnsi"/>
          <w:i/>
        </w:rPr>
      </w:pPr>
      <w:r w:rsidRPr="000C5F88">
        <w:rPr>
          <w:rFonts w:asciiTheme="minorHAnsi" w:hAnsiTheme="minorHAnsi" w:cstheme="minorHAnsi"/>
          <w:i/>
        </w:rPr>
        <w:t>Should the composition of the Nominations Committee, which recommends to the Board individuals for appointment to Board positions, be altered?</w:t>
      </w:r>
    </w:p>
    <w:p w:rsidR="00345AD8" w:rsidRDefault="002E746E" w:rsidP="00345AD8">
      <w:pPr>
        <w:pStyle w:val="BodyText1"/>
        <w:rPr>
          <w:rFonts w:asciiTheme="minorHAnsi" w:hAnsiTheme="minorHAnsi" w:cstheme="minorHAnsi"/>
        </w:rPr>
      </w:pPr>
      <w:r>
        <w:rPr>
          <w:rFonts w:asciiTheme="minorHAnsi" w:hAnsiTheme="minorHAnsi" w:cstheme="minorHAnsi"/>
        </w:rPr>
        <w:t>We support the replacement of the Nominations Committee with a more independent selection committee.</w:t>
      </w:r>
      <w:r w:rsidR="00160250">
        <w:rPr>
          <w:rFonts w:asciiTheme="minorHAnsi" w:hAnsiTheme="minorHAnsi" w:cstheme="minorHAnsi"/>
        </w:rPr>
        <w:t xml:space="preserve"> </w:t>
      </w:r>
      <w:r w:rsidR="00231EE7">
        <w:rPr>
          <w:rFonts w:asciiTheme="minorHAnsi" w:hAnsiTheme="minorHAnsi" w:cstheme="minorHAnsi"/>
        </w:rPr>
        <w:t>Separation should be strengthened between sitting Directors and the committee that selects nominees for those positions. This separation will improve the independence of the entire Director selection process by reducing the risk of an imbalance of power that favours the candidate preferences of Directors.</w:t>
      </w:r>
      <w:r w:rsidR="00AA4A64">
        <w:rPr>
          <w:rFonts w:asciiTheme="minorHAnsi" w:hAnsiTheme="minorHAnsi" w:cstheme="minorHAnsi"/>
        </w:rPr>
        <w:t xml:space="preserve"> </w:t>
      </w:r>
      <w:r w:rsidR="001370F2">
        <w:rPr>
          <w:rFonts w:asciiTheme="minorHAnsi" w:hAnsiTheme="minorHAnsi" w:cstheme="minorHAnsi"/>
        </w:rPr>
        <w:t>This imbalance may result in individual Directors nominating candidates they feel are suitable, and then securing their selection, reduc</w:t>
      </w:r>
      <w:r w:rsidR="00304AF8">
        <w:rPr>
          <w:rFonts w:asciiTheme="minorHAnsi" w:hAnsiTheme="minorHAnsi" w:cstheme="minorHAnsi"/>
        </w:rPr>
        <w:t>ing the independent rigor</w:t>
      </w:r>
      <w:r w:rsidR="001370F2">
        <w:rPr>
          <w:rFonts w:asciiTheme="minorHAnsi" w:hAnsiTheme="minorHAnsi" w:cstheme="minorHAnsi"/>
        </w:rPr>
        <w:t xml:space="preserve"> of the selection process. </w:t>
      </w:r>
    </w:p>
    <w:p w:rsidR="002E746E" w:rsidRDefault="00160250" w:rsidP="00174D49">
      <w:pPr>
        <w:pStyle w:val="BodyText1"/>
        <w:keepNext/>
        <w:keepLines/>
        <w:rPr>
          <w:rFonts w:asciiTheme="minorHAnsi" w:hAnsiTheme="minorHAnsi" w:cstheme="minorHAnsi"/>
        </w:rPr>
      </w:pPr>
      <w:r>
        <w:rPr>
          <w:rFonts w:asciiTheme="minorHAnsi" w:hAnsiTheme="minorHAnsi" w:cstheme="minorHAnsi"/>
        </w:rPr>
        <w:lastRenderedPageBreak/>
        <w:t xml:space="preserve">We recommend the following </w:t>
      </w:r>
      <w:r w:rsidR="00AA4A64">
        <w:rPr>
          <w:rFonts w:asciiTheme="minorHAnsi" w:hAnsiTheme="minorHAnsi" w:cstheme="minorHAnsi"/>
        </w:rPr>
        <w:t>committee structure</w:t>
      </w:r>
      <w:r>
        <w:rPr>
          <w:rFonts w:asciiTheme="minorHAnsi" w:hAnsiTheme="minorHAnsi" w:cstheme="minorHAnsi"/>
        </w:rPr>
        <w:t xml:space="preserve">: </w:t>
      </w:r>
    </w:p>
    <w:p w:rsidR="00B044B6" w:rsidRDefault="00160250" w:rsidP="00174D49">
      <w:pPr>
        <w:pStyle w:val="BodyText1"/>
        <w:keepNext/>
        <w:keepLines/>
        <w:numPr>
          <w:ilvl w:val="0"/>
          <w:numId w:val="3"/>
        </w:numPr>
        <w:rPr>
          <w:rFonts w:asciiTheme="minorHAnsi" w:hAnsiTheme="minorHAnsi" w:cstheme="minorHAnsi"/>
        </w:rPr>
      </w:pPr>
      <w:r>
        <w:rPr>
          <w:rFonts w:asciiTheme="minorHAnsi" w:hAnsiTheme="minorHAnsi" w:cstheme="minorHAnsi"/>
        </w:rPr>
        <w:t xml:space="preserve">The independent </w:t>
      </w:r>
      <w:r w:rsidR="00B044B6">
        <w:rPr>
          <w:rFonts w:asciiTheme="minorHAnsi" w:hAnsiTheme="minorHAnsi" w:cstheme="minorHAnsi"/>
        </w:rPr>
        <w:t>Chair</w:t>
      </w:r>
    </w:p>
    <w:p w:rsidR="00B044B6" w:rsidRDefault="00160250" w:rsidP="00174D49">
      <w:pPr>
        <w:pStyle w:val="BodyText1"/>
        <w:keepNext/>
        <w:keepLines/>
        <w:numPr>
          <w:ilvl w:val="0"/>
          <w:numId w:val="3"/>
        </w:numPr>
        <w:rPr>
          <w:rFonts w:asciiTheme="minorHAnsi" w:hAnsiTheme="minorHAnsi" w:cstheme="minorHAnsi"/>
        </w:rPr>
      </w:pPr>
      <w:r>
        <w:rPr>
          <w:rFonts w:asciiTheme="minorHAnsi" w:hAnsiTheme="minorHAnsi" w:cstheme="minorHAnsi"/>
        </w:rPr>
        <w:t xml:space="preserve">A </w:t>
      </w:r>
      <w:r w:rsidRPr="00665221">
        <w:rPr>
          <w:rFonts w:asciiTheme="minorHAnsi" w:hAnsiTheme="minorHAnsi" w:cstheme="minorHAnsi"/>
        </w:rPr>
        <w:t>representative</w:t>
      </w:r>
      <w:r>
        <w:rPr>
          <w:rFonts w:asciiTheme="minorHAnsi" w:hAnsiTheme="minorHAnsi" w:cstheme="minorHAnsi"/>
        </w:rPr>
        <w:t xml:space="preserve"> from the teleco</w:t>
      </w:r>
      <w:r w:rsidR="00AA4A64">
        <w:rPr>
          <w:rFonts w:asciiTheme="minorHAnsi" w:hAnsiTheme="minorHAnsi" w:cstheme="minorHAnsi"/>
        </w:rPr>
        <w:t>mmunications consumer peak body (</w:t>
      </w:r>
      <w:r>
        <w:rPr>
          <w:rFonts w:asciiTheme="minorHAnsi" w:hAnsiTheme="minorHAnsi" w:cstheme="minorHAnsi"/>
        </w:rPr>
        <w:t>ACCAN</w:t>
      </w:r>
      <w:r w:rsidR="00AA4A64">
        <w:rPr>
          <w:rFonts w:asciiTheme="minorHAnsi" w:hAnsiTheme="minorHAnsi" w:cstheme="minorHAnsi"/>
        </w:rPr>
        <w:t>)</w:t>
      </w:r>
      <w:r w:rsidR="00561DE6">
        <w:rPr>
          <w:rFonts w:asciiTheme="minorHAnsi" w:hAnsiTheme="minorHAnsi" w:cstheme="minorHAnsi"/>
        </w:rPr>
        <w:t xml:space="preserve"> </w:t>
      </w:r>
    </w:p>
    <w:p w:rsidR="00B044B6" w:rsidRDefault="00160250" w:rsidP="00174D49">
      <w:pPr>
        <w:pStyle w:val="BodyText1"/>
        <w:keepNext/>
        <w:keepLines/>
        <w:numPr>
          <w:ilvl w:val="0"/>
          <w:numId w:val="3"/>
        </w:numPr>
        <w:rPr>
          <w:rFonts w:asciiTheme="minorHAnsi" w:hAnsiTheme="minorHAnsi" w:cstheme="minorHAnsi"/>
        </w:rPr>
      </w:pPr>
      <w:r>
        <w:rPr>
          <w:rFonts w:asciiTheme="minorHAnsi" w:hAnsiTheme="minorHAnsi" w:cstheme="minorHAnsi"/>
        </w:rPr>
        <w:t xml:space="preserve">A </w:t>
      </w:r>
      <w:r w:rsidRPr="00665221">
        <w:rPr>
          <w:rFonts w:asciiTheme="minorHAnsi" w:hAnsiTheme="minorHAnsi" w:cstheme="minorHAnsi"/>
        </w:rPr>
        <w:t>representat</w:t>
      </w:r>
      <w:r w:rsidR="00AA4A64" w:rsidRPr="00665221">
        <w:rPr>
          <w:rFonts w:asciiTheme="minorHAnsi" w:hAnsiTheme="minorHAnsi" w:cstheme="minorHAnsi"/>
        </w:rPr>
        <w:t>ive</w:t>
      </w:r>
      <w:r w:rsidR="00AA4A64">
        <w:rPr>
          <w:rFonts w:asciiTheme="minorHAnsi" w:hAnsiTheme="minorHAnsi" w:cstheme="minorHAnsi"/>
        </w:rPr>
        <w:t xml:space="preserve"> from the industry peak body</w:t>
      </w:r>
      <w:r>
        <w:rPr>
          <w:rFonts w:asciiTheme="minorHAnsi" w:hAnsiTheme="minorHAnsi" w:cstheme="minorHAnsi"/>
        </w:rPr>
        <w:t xml:space="preserve"> </w:t>
      </w:r>
      <w:r w:rsidR="00AA4A64">
        <w:rPr>
          <w:rFonts w:asciiTheme="minorHAnsi" w:hAnsiTheme="minorHAnsi" w:cstheme="minorHAnsi"/>
        </w:rPr>
        <w:t>(</w:t>
      </w:r>
      <w:r>
        <w:rPr>
          <w:rFonts w:asciiTheme="minorHAnsi" w:hAnsiTheme="minorHAnsi" w:cstheme="minorHAnsi"/>
        </w:rPr>
        <w:t>Communications Alliance</w:t>
      </w:r>
      <w:r w:rsidR="00AA4A64">
        <w:rPr>
          <w:rFonts w:asciiTheme="minorHAnsi" w:hAnsiTheme="minorHAnsi" w:cstheme="minorHAnsi"/>
        </w:rPr>
        <w:t>)</w:t>
      </w:r>
    </w:p>
    <w:p w:rsidR="00160250" w:rsidRPr="002111E6" w:rsidRDefault="00160250" w:rsidP="00174D49">
      <w:pPr>
        <w:pStyle w:val="BodyText1"/>
        <w:keepNext/>
        <w:keepLines/>
        <w:numPr>
          <w:ilvl w:val="0"/>
          <w:numId w:val="3"/>
        </w:numPr>
        <w:rPr>
          <w:rFonts w:asciiTheme="minorHAnsi" w:hAnsiTheme="minorHAnsi" w:cstheme="minorHAnsi"/>
        </w:rPr>
      </w:pPr>
      <w:r>
        <w:rPr>
          <w:rFonts w:asciiTheme="minorHAnsi" w:hAnsiTheme="minorHAnsi" w:cstheme="minorHAnsi"/>
        </w:rPr>
        <w:t xml:space="preserve">A </w:t>
      </w:r>
      <w:r w:rsidRPr="00665221">
        <w:rPr>
          <w:rFonts w:asciiTheme="minorHAnsi" w:hAnsiTheme="minorHAnsi" w:cstheme="minorHAnsi"/>
        </w:rPr>
        <w:t>representative</w:t>
      </w:r>
      <w:r>
        <w:rPr>
          <w:rFonts w:asciiTheme="minorHAnsi" w:hAnsiTheme="minorHAnsi" w:cstheme="minorHAnsi"/>
        </w:rPr>
        <w:t xml:space="preserve"> from the </w:t>
      </w:r>
      <w:r w:rsidR="00B044B6">
        <w:rPr>
          <w:rFonts w:asciiTheme="minorHAnsi" w:hAnsiTheme="minorHAnsi" w:cstheme="minorHAnsi"/>
        </w:rPr>
        <w:t>A</w:t>
      </w:r>
      <w:r>
        <w:rPr>
          <w:rFonts w:asciiTheme="minorHAnsi" w:hAnsiTheme="minorHAnsi" w:cstheme="minorHAnsi"/>
        </w:rPr>
        <w:t xml:space="preserve">ustralian </w:t>
      </w:r>
      <w:r w:rsidR="00B044B6">
        <w:rPr>
          <w:rFonts w:asciiTheme="minorHAnsi" w:hAnsiTheme="minorHAnsi" w:cstheme="minorHAnsi"/>
        </w:rPr>
        <w:t>C</w:t>
      </w:r>
      <w:r>
        <w:rPr>
          <w:rFonts w:asciiTheme="minorHAnsi" w:hAnsiTheme="minorHAnsi" w:cstheme="minorHAnsi"/>
        </w:rPr>
        <w:t xml:space="preserve">ommunications and </w:t>
      </w:r>
      <w:r w:rsidR="00B044B6">
        <w:rPr>
          <w:rFonts w:asciiTheme="minorHAnsi" w:hAnsiTheme="minorHAnsi" w:cstheme="minorHAnsi"/>
        </w:rPr>
        <w:t>M</w:t>
      </w:r>
      <w:r>
        <w:rPr>
          <w:rFonts w:asciiTheme="minorHAnsi" w:hAnsiTheme="minorHAnsi" w:cstheme="minorHAnsi"/>
        </w:rPr>
        <w:t xml:space="preserve">edia </w:t>
      </w:r>
      <w:r w:rsidR="00B044B6">
        <w:rPr>
          <w:rFonts w:asciiTheme="minorHAnsi" w:hAnsiTheme="minorHAnsi" w:cstheme="minorHAnsi"/>
        </w:rPr>
        <w:t>A</w:t>
      </w:r>
      <w:r w:rsidR="002111E6">
        <w:rPr>
          <w:rFonts w:asciiTheme="minorHAnsi" w:hAnsiTheme="minorHAnsi" w:cstheme="minorHAnsi"/>
        </w:rPr>
        <w:t xml:space="preserve">uthority (ACMA). </w:t>
      </w:r>
    </w:p>
    <w:p w:rsidR="00160250" w:rsidRDefault="00160250" w:rsidP="00160250">
      <w:pPr>
        <w:pStyle w:val="BodyText1"/>
        <w:rPr>
          <w:rFonts w:asciiTheme="minorHAnsi" w:hAnsiTheme="minorHAnsi" w:cstheme="minorHAnsi"/>
        </w:rPr>
      </w:pPr>
      <w:r w:rsidRPr="0051184E">
        <w:rPr>
          <w:rFonts w:asciiTheme="minorHAnsi" w:hAnsiTheme="minorHAnsi" w:cstheme="minorHAnsi"/>
        </w:rPr>
        <w:t xml:space="preserve">This should </w:t>
      </w:r>
      <w:r w:rsidR="00561DE6" w:rsidRPr="0051184E">
        <w:rPr>
          <w:rFonts w:asciiTheme="minorHAnsi" w:hAnsiTheme="minorHAnsi" w:cstheme="minorHAnsi"/>
        </w:rPr>
        <w:t>be the</w:t>
      </w:r>
      <w:r w:rsidRPr="0051184E">
        <w:rPr>
          <w:rFonts w:asciiTheme="minorHAnsi" w:hAnsiTheme="minorHAnsi" w:cstheme="minorHAnsi"/>
        </w:rPr>
        <w:t xml:space="preserve"> extent of the ACMA’s</w:t>
      </w:r>
      <w:r w:rsidR="00561DE6" w:rsidRPr="0051184E">
        <w:rPr>
          <w:rFonts w:asciiTheme="minorHAnsi" w:hAnsiTheme="minorHAnsi" w:cstheme="minorHAnsi"/>
        </w:rPr>
        <w:t xml:space="preserve"> direct</w:t>
      </w:r>
      <w:r w:rsidRPr="0051184E">
        <w:rPr>
          <w:rFonts w:asciiTheme="minorHAnsi" w:hAnsiTheme="minorHAnsi" w:cstheme="minorHAnsi"/>
        </w:rPr>
        <w:t xml:space="preserve"> involvement </w:t>
      </w:r>
      <w:r w:rsidR="00AA4A64" w:rsidRPr="0051184E">
        <w:rPr>
          <w:rFonts w:asciiTheme="minorHAnsi" w:hAnsiTheme="minorHAnsi" w:cstheme="minorHAnsi"/>
        </w:rPr>
        <w:t>in</w:t>
      </w:r>
      <w:r w:rsidRPr="0051184E">
        <w:rPr>
          <w:rFonts w:asciiTheme="minorHAnsi" w:hAnsiTheme="minorHAnsi" w:cstheme="minorHAnsi"/>
        </w:rPr>
        <w:t xml:space="preserve"> TIO Board</w:t>
      </w:r>
      <w:r w:rsidR="002111E6" w:rsidRPr="0051184E">
        <w:rPr>
          <w:rFonts w:asciiTheme="minorHAnsi" w:hAnsiTheme="minorHAnsi" w:cstheme="minorHAnsi"/>
        </w:rPr>
        <w:t xml:space="preserve"> matters</w:t>
      </w:r>
      <w:r w:rsidRPr="0051184E">
        <w:rPr>
          <w:rFonts w:asciiTheme="minorHAnsi" w:hAnsiTheme="minorHAnsi" w:cstheme="minorHAnsi"/>
        </w:rPr>
        <w:t xml:space="preserve">. </w:t>
      </w:r>
      <w:r w:rsidR="009B5946" w:rsidRPr="0051184E">
        <w:rPr>
          <w:rFonts w:asciiTheme="minorHAnsi" w:hAnsiTheme="minorHAnsi" w:cstheme="minorHAnsi"/>
        </w:rPr>
        <w:t>S</w:t>
      </w:r>
      <w:r w:rsidR="00215BAB" w:rsidRPr="0051184E">
        <w:rPr>
          <w:rFonts w:asciiTheme="minorHAnsi" w:hAnsiTheme="minorHAnsi" w:cstheme="minorHAnsi"/>
        </w:rPr>
        <w:t>eparation betwee</w:t>
      </w:r>
      <w:r w:rsidR="001370F2" w:rsidRPr="0051184E">
        <w:rPr>
          <w:rFonts w:asciiTheme="minorHAnsi" w:hAnsiTheme="minorHAnsi" w:cstheme="minorHAnsi"/>
        </w:rPr>
        <w:t>n</w:t>
      </w:r>
      <w:r w:rsidR="00BC001E" w:rsidRPr="0051184E">
        <w:rPr>
          <w:rFonts w:asciiTheme="minorHAnsi" w:hAnsiTheme="minorHAnsi" w:cstheme="minorHAnsi"/>
        </w:rPr>
        <w:t xml:space="preserve"> government and EDR sch</w:t>
      </w:r>
      <w:r w:rsidR="001370F2" w:rsidRPr="0051184E">
        <w:rPr>
          <w:rFonts w:asciiTheme="minorHAnsi" w:hAnsiTheme="minorHAnsi" w:cstheme="minorHAnsi"/>
        </w:rPr>
        <w:t xml:space="preserve">emes should be maintained to ensure the scheme </w:t>
      </w:r>
      <w:r w:rsidR="002111E6" w:rsidRPr="0051184E">
        <w:rPr>
          <w:rFonts w:asciiTheme="minorHAnsi" w:hAnsiTheme="minorHAnsi" w:cstheme="minorHAnsi"/>
        </w:rPr>
        <w:t xml:space="preserve">is </w:t>
      </w:r>
      <w:r w:rsidR="009B5946" w:rsidRPr="0051184E">
        <w:rPr>
          <w:rFonts w:asciiTheme="minorHAnsi" w:hAnsiTheme="minorHAnsi" w:cstheme="minorHAnsi"/>
        </w:rPr>
        <w:t>independent</w:t>
      </w:r>
      <w:r w:rsidR="005B05B9" w:rsidRPr="0051184E">
        <w:rPr>
          <w:rFonts w:asciiTheme="minorHAnsi" w:hAnsiTheme="minorHAnsi" w:cstheme="minorHAnsi"/>
        </w:rPr>
        <w:t>.</w:t>
      </w:r>
      <w:r w:rsidR="009B5946" w:rsidRPr="0051184E">
        <w:rPr>
          <w:rFonts w:asciiTheme="minorHAnsi" w:hAnsiTheme="minorHAnsi" w:cstheme="minorHAnsi"/>
        </w:rPr>
        <w:t xml:space="preserve"> </w:t>
      </w:r>
      <w:r w:rsidR="00175AD2">
        <w:rPr>
          <w:rFonts w:asciiTheme="minorHAnsi" w:hAnsiTheme="minorHAnsi" w:cstheme="minorHAnsi"/>
        </w:rPr>
        <w:t xml:space="preserve">The </w:t>
      </w:r>
      <w:r w:rsidR="009B5946" w:rsidRPr="0051184E">
        <w:rPr>
          <w:rFonts w:asciiTheme="minorHAnsi" w:hAnsiTheme="minorHAnsi" w:cstheme="minorHAnsi"/>
        </w:rPr>
        <w:t>ACMA</w:t>
      </w:r>
      <w:r w:rsidR="00175AD2">
        <w:rPr>
          <w:rFonts w:asciiTheme="minorHAnsi" w:hAnsiTheme="minorHAnsi" w:cstheme="minorHAnsi"/>
        </w:rPr>
        <w:t>’s</w:t>
      </w:r>
      <w:r w:rsidR="009B5946" w:rsidRPr="0051184E">
        <w:rPr>
          <w:rFonts w:asciiTheme="minorHAnsi" w:hAnsiTheme="minorHAnsi" w:cstheme="minorHAnsi"/>
        </w:rPr>
        <w:t xml:space="preserve"> attendance at TIO Board meetings would reduce the scheme’</w:t>
      </w:r>
      <w:r w:rsidR="00577A1C" w:rsidRPr="0051184E">
        <w:rPr>
          <w:rFonts w:asciiTheme="minorHAnsi" w:hAnsiTheme="minorHAnsi" w:cstheme="minorHAnsi"/>
        </w:rPr>
        <w:t>s independence</w:t>
      </w:r>
      <w:r w:rsidR="009B5946" w:rsidRPr="0051184E">
        <w:rPr>
          <w:rFonts w:asciiTheme="minorHAnsi" w:hAnsiTheme="minorHAnsi" w:cstheme="minorHAnsi"/>
        </w:rPr>
        <w:t xml:space="preserve"> and could be </w:t>
      </w:r>
      <w:r w:rsidR="00577A1C" w:rsidRPr="0051184E">
        <w:rPr>
          <w:rFonts w:asciiTheme="minorHAnsi" w:hAnsiTheme="minorHAnsi" w:cstheme="minorHAnsi"/>
        </w:rPr>
        <w:t>perceived</w:t>
      </w:r>
      <w:r w:rsidR="009B5946" w:rsidRPr="0051184E">
        <w:rPr>
          <w:rFonts w:asciiTheme="minorHAnsi" w:hAnsiTheme="minorHAnsi" w:cstheme="minorHAnsi"/>
        </w:rPr>
        <w:t xml:space="preserve"> as regulatory intervention</w:t>
      </w:r>
      <w:r w:rsidR="00175AD2">
        <w:rPr>
          <w:rFonts w:asciiTheme="minorHAnsi" w:hAnsiTheme="minorHAnsi" w:cstheme="minorHAnsi"/>
        </w:rPr>
        <w:t xml:space="preserve"> in EDR</w:t>
      </w:r>
      <w:r w:rsidR="009B5946" w:rsidRPr="0051184E">
        <w:rPr>
          <w:rFonts w:asciiTheme="minorHAnsi" w:hAnsiTheme="minorHAnsi" w:cstheme="minorHAnsi"/>
        </w:rPr>
        <w:t>. This could potentially und</w:t>
      </w:r>
      <w:r w:rsidR="00304AF8">
        <w:rPr>
          <w:rFonts w:asciiTheme="minorHAnsi" w:hAnsiTheme="minorHAnsi" w:cstheme="minorHAnsi"/>
        </w:rPr>
        <w:t xml:space="preserve">ermine the authority of the TIO and its adherence to the ANZOA principles. </w:t>
      </w:r>
      <w:r w:rsidR="005B05B9">
        <w:rPr>
          <w:rFonts w:asciiTheme="minorHAnsi" w:hAnsiTheme="minorHAnsi" w:cstheme="minorHAnsi"/>
        </w:rPr>
        <w:t xml:space="preserve"> </w:t>
      </w:r>
    </w:p>
    <w:p w:rsidR="00B044B6" w:rsidRPr="00FB15F7" w:rsidRDefault="00FB15F7" w:rsidP="00B044B6">
      <w:pPr>
        <w:pStyle w:val="BodyText1"/>
        <w:rPr>
          <w:rFonts w:asciiTheme="minorHAnsi" w:hAnsiTheme="minorHAnsi" w:cstheme="minorHAnsi"/>
          <w:b/>
        </w:rPr>
      </w:pPr>
      <w:r w:rsidRPr="00FB15F7">
        <w:rPr>
          <w:rFonts w:asciiTheme="minorHAnsi" w:hAnsiTheme="minorHAnsi" w:cstheme="minorHAnsi"/>
          <w:b/>
        </w:rPr>
        <w:t>Other feedback</w:t>
      </w:r>
    </w:p>
    <w:p w:rsidR="004A12AE" w:rsidRPr="004A12AE" w:rsidRDefault="00304AF8" w:rsidP="00A13591">
      <w:pPr>
        <w:pStyle w:val="BodyText1"/>
        <w:rPr>
          <w:rFonts w:asciiTheme="minorHAnsi" w:hAnsiTheme="minorHAnsi" w:cstheme="minorHAnsi"/>
        </w:rPr>
      </w:pPr>
      <w:r>
        <w:rPr>
          <w:rFonts w:asciiTheme="minorHAnsi" w:hAnsiTheme="minorHAnsi" w:cstheme="minorHAnsi"/>
        </w:rPr>
        <w:t>Finally, w</w:t>
      </w:r>
      <w:r w:rsidR="005305B8">
        <w:rPr>
          <w:rFonts w:asciiTheme="minorHAnsi" w:hAnsiTheme="minorHAnsi" w:cstheme="minorHAnsi"/>
        </w:rPr>
        <w:t>e</w:t>
      </w:r>
      <w:r w:rsidR="005B05B9">
        <w:rPr>
          <w:rFonts w:asciiTheme="minorHAnsi" w:hAnsiTheme="minorHAnsi" w:cstheme="minorHAnsi"/>
        </w:rPr>
        <w:t xml:space="preserve"> </w:t>
      </w:r>
      <w:r w:rsidR="005305B8">
        <w:rPr>
          <w:rFonts w:asciiTheme="minorHAnsi" w:hAnsiTheme="minorHAnsi" w:cstheme="minorHAnsi"/>
        </w:rPr>
        <w:t>are concerned</w:t>
      </w:r>
      <w:r w:rsidR="003720C0">
        <w:rPr>
          <w:rFonts w:asciiTheme="minorHAnsi" w:hAnsiTheme="minorHAnsi" w:cstheme="minorHAnsi"/>
        </w:rPr>
        <w:t xml:space="preserve"> that</w:t>
      </w:r>
      <w:r w:rsidR="005B05B9">
        <w:rPr>
          <w:rFonts w:asciiTheme="minorHAnsi" w:hAnsiTheme="minorHAnsi" w:cstheme="minorHAnsi"/>
        </w:rPr>
        <w:t xml:space="preserve"> the process for making c</w:t>
      </w:r>
      <w:r w:rsidR="00B044B6">
        <w:rPr>
          <w:rFonts w:asciiTheme="minorHAnsi" w:hAnsiTheme="minorHAnsi" w:cstheme="minorHAnsi"/>
        </w:rPr>
        <w:t xml:space="preserve">hanges to </w:t>
      </w:r>
      <w:r w:rsidR="005B05B9">
        <w:rPr>
          <w:rFonts w:asciiTheme="minorHAnsi" w:hAnsiTheme="minorHAnsi" w:cstheme="minorHAnsi"/>
        </w:rPr>
        <w:t>the TIO C</w:t>
      </w:r>
      <w:r w:rsidR="00B044B6">
        <w:rPr>
          <w:rFonts w:asciiTheme="minorHAnsi" w:hAnsiTheme="minorHAnsi" w:cstheme="minorHAnsi"/>
        </w:rPr>
        <w:t>onstitution</w:t>
      </w:r>
      <w:r w:rsidR="003720C0">
        <w:rPr>
          <w:rFonts w:asciiTheme="minorHAnsi" w:hAnsiTheme="minorHAnsi" w:cstheme="minorHAnsi"/>
        </w:rPr>
        <w:t xml:space="preserve"> </w:t>
      </w:r>
      <w:r w:rsidR="001370F2">
        <w:rPr>
          <w:rFonts w:asciiTheme="minorHAnsi" w:hAnsiTheme="minorHAnsi" w:cstheme="minorHAnsi"/>
        </w:rPr>
        <w:t>excludes</w:t>
      </w:r>
      <w:r w:rsidR="003720C0">
        <w:rPr>
          <w:rFonts w:asciiTheme="minorHAnsi" w:hAnsiTheme="minorHAnsi" w:cstheme="minorHAnsi"/>
        </w:rPr>
        <w:t xml:space="preserve"> </w:t>
      </w:r>
      <w:r w:rsidR="001370F2">
        <w:rPr>
          <w:rFonts w:asciiTheme="minorHAnsi" w:hAnsiTheme="minorHAnsi" w:cstheme="minorHAnsi"/>
        </w:rPr>
        <w:t>the</w:t>
      </w:r>
      <w:r w:rsidR="003720C0">
        <w:rPr>
          <w:rFonts w:asciiTheme="minorHAnsi" w:hAnsiTheme="minorHAnsi" w:cstheme="minorHAnsi"/>
        </w:rPr>
        <w:t xml:space="preserve"> </w:t>
      </w:r>
      <w:r w:rsidR="001370F2">
        <w:rPr>
          <w:rFonts w:asciiTheme="minorHAnsi" w:hAnsiTheme="minorHAnsi" w:cstheme="minorHAnsi"/>
        </w:rPr>
        <w:t xml:space="preserve">voices of </w:t>
      </w:r>
      <w:r w:rsidR="003720C0">
        <w:rPr>
          <w:rFonts w:asciiTheme="minorHAnsi" w:hAnsiTheme="minorHAnsi" w:cstheme="minorHAnsi"/>
        </w:rPr>
        <w:t>consumers</w:t>
      </w:r>
      <w:r w:rsidR="005B05B9">
        <w:rPr>
          <w:rFonts w:asciiTheme="minorHAnsi" w:hAnsiTheme="minorHAnsi" w:cstheme="minorHAnsi"/>
        </w:rPr>
        <w:t>.</w:t>
      </w:r>
      <w:r w:rsidR="003720C0">
        <w:rPr>
          <w:rFonts w:asciiTheme="minorHAnsi" w:hAnsiTheme="minorHAnsi" w:cstheme="minorHAnsi"/>
        </w:rPr>
        <w:t xml:space="preserve"> </w:t>
      </w:r>
      <w:r w:rsidR="006946FC">
        <w:rPr>
          <w:rFonts w:asciiTheme="minorHAnsi" w:hAnsiTheme="minorHAnsi" w:cstheme="minorHAnsi"/>
        </w:rPr>
        <w:t>Changes</w:t>
      </w:r>
      <w:r w:rsidR="005B05B9">
        <w:rPr>
          <w:rFonts w:asciiTheme="minorHAnsi" w:hAnsiTheme="minorHAnsi" w:cstheme="minorHAnsi"/>
        </w:rPr>
        <w:t xml:space="preserve"> to the Constitution are</w:t>
      </w:r>
      <w:r w:rsidR="003720C0">
        <w:rPr>
          <w:rFonts w:asciiTheme="minorHAnsi" w:hAnsiTheme="minorHAnsi" w:cstheme="minorHAnsi"/>
        </w:rPr>
        <w:t xml:space="preserve"> </w:t>
      </w:r>
      <w:r w:rsidR="005B05B9">
        <w:rPr>
          <w:rFonts w:asciiTheme="minorHAnsi" w:hAnsiTheme="minorHAnsi" w:cstheme="minorHAnsi"/>
        </w:rPr>
        <w:t xml:space="preserve">voted on by Members </w:t>
      </w:r>
      <w:r w:rsidR="005B05B9" w:rsidRPr="001370F2">
        <w:rPr>
          <w:rFonts w:asciiTheme="minorHAnsi" w:hAnsiTheme="minorHAnsi" w:cstheme="minorHAnsi"/>
          <w:b/>
        </w:rPr>
        <w:t>only</w:t>
      </w:r>
      <w:r w:rsidR="003720C0">
        <w:rPr>
          <w:rFonts w:asciiTheme="minorHAnsi" w:hAnsiTheme="minorHAnsi" w:cstheme="minorHAnsi"/>
        </w:rPr>
        <w:t>, meaning that consumers</w:t>
      </w:r>
      <w:r w:rsidR="004A12AE">
        <w:rPr>
          <w:rFonts w:asciiTheme="minorHAnsi" w:hAnsiTheme="minorHAnsi" w:cstheme="minorHAnsi"/>
        </w:rPr>
        <w:t xml:space="preserve"> </w:t>
      </w:r>
      <w:r w:rsidR="003720C0">
        <w:rPr>
          <w:rFonts w:asciiTheme="minorHAnsi" w:hAnsiTheme="minorHAnsi" w:cstheme="minorHAnsi"/>
        </w:rPr>
        <w:t xml:space="preserve">exercise </w:t>
      </w:r>
      <w:r w:rsidR="006946FC">
        <w:rPr>
          <w:rFonts w:asciiTheme="minorHAnsi" w:hAnsiTheme="minorHAnsi" w:cstheme="minorHAnsi"/>
        </w:rPr>
        <w:t>no</w:t>
      </w:r>
      <w:r w:rsidR="005B05B9">
        <w:rPr>
          <w:rFonts w:asciiTheme="minorHAnsi" w:hAnsiTheme="minorHAnsi" w:cstheme="minorHAnsi"/>
        </w:rPr>
        <w:t xml:space="preserve"> decision-making power</w:t>
      </w:r>
      <w:r w:rsidR="006946FC">
        <w:rPr>
          <w:rFonts w:asciiTheme="minorHAnsi" w:hAnsiTheme="minorHAnsi" w:cstheme="minorHAnsi"/>
        </w:rPr>
        <w:t xml:space="preserve"> </w:t>
      </w:r>
      <w:r w:rsidR="004034E4">
        <w:rPr>
          <w:rFonts w:asciiTheme="minorHAnsi" w:hAnsiTheme="minorHAnsi" w:cstheme="minorHAnsi"/>
        </w:rPr>
        <w:t>on</w:t>
      </w:r>
      <w:r w:rsidR="004A12AE">
        <w:rPr>
          <w:rFonts w:asciiTheme="minorHAnsi" w:hAnsiTheme="minorHAnsi" w:cstheme="minorHAnsi"/>
        </w:rPr>
        <w:t xml:space="preserve"> TIO matters</w:t>
      </w:r>
      <w:r w:rsidR="005B05B9">
        <w:rPr>
          <w:rFonts w:asciiTheme="minorHAnsi" w:hAnsiTheme="minorHAnsi" w:cstheme="minorHAnsi"/>
        </w:rPr>
        <w:t xml:space="preserve">. </w:t>
      </w:r>
      <w:r w:rsidR="00F75D29">
        <w:rPr>
          <w:rFonts w:asciiTheme="minorHAnsi" w:hAnsiTheme="minorHAnsi" w:cstheme="minorHAnsi"/>
        </w:rPr>
        <w:t xml:space="preserve">Consumers make up </w:t>
      </w:r>
      <w:r>
        <w:rPr>
          <w:rFonts w:asciiTheme="minorHAnsi" w:hAnsiTheme="minorHAnsi" w:cstheme="minorHAnsi"/>
        </w:rPr>
        <w:t>half of the EDR equation, and</w:t>
      </w:r>
      <w:r w:rsidR="000C5F88">
        <w:rPr>
          <w:rFonts w:asciiTheme="minorHAnsi" w:hAnsiTheme="minorHAnsi" w:cstheme="minorHAnsi"/>
        </w:rPr>
        <w:t xml:space="preserve"> </w:t>
      </w:r>
      <w:r w:rsidR="00F75D29">
        <w:rPr>
          <w:rFonts w:asciiTheme="minorHAnsi" w:hAnsiTheme="minorHAnsi" w:cstheme="minorHAnsi"/>
        </w:rPr>
        <w:t>decision-making</w:t>
      </w:r>
      <w:r w:rsidR="000C5F88">
        <w:rPr>
          <w:rFonts w:asciiTheme="minorHAnsi" w:hAnsiTheme="minorHAnsi" w:cstheme="minorHAnsi"/>
        </w:rPr>
        <w:t xml:space="preserve"> processes</w:t>
      </w:r>
      <w:r w:rsidR="00F75D29">
        <w:rPr>
          <w:rFonts w:asciiTheme="minorHAnsi" w:hAnsiTheme="minorHAnsi" w:cstheme="minorHAnsi"/>
        </w:rPr>
        <w:t xml:space="preserve"> must</w:t>
      </w:r>
      <w:r w:rsidR="001370F2">
        <w:rPr>
          <w:rFonts w:asciiTheme="minorHAnsi" w:hAnsiTheme="minorHAnsi" w:cstheme="minorHAnsi"/>
        </w:rPr>
        <w:t xml:space="preserve"> reflect this. </w:t>
      </w:r>
      <w:r w:rsidR="000C5F88">
        <w:rPr>
          <w:rFonts w:asciiTheme="minorHAnsi" w:hAnsiTheme="minorHAnsi" w:cstheme="minorHAnsi"/>
        </w:rPr>
        <w:t xml:space="preserve">One possible solution </w:t>
      </w:r>
      <w:r w:rsidR="00A13591">
        <w:rPr>
          <w:rFonts w:asciiTheme="minorHAnsi" w:hAnsiTheme="minorHAnsi" w:cstheme="minorHAnsi"/>
        </w:rPr>
        <w:t xml:space="preserve">to rectify this </w:t>
      </w:r>
      <w:r w:rsidR="004034E4">
        <w:rPr>
          <w:rFonts w:asciiTheme="minorHAnsi" w:hAnsiTheme="minorHAnsi" w:cstheme="minorHAnsi"/>
        </w:rPr>
        <w:t xml:space="preserve">imbalance </w:t>
      </w:r>
      <w:r w:rsidR="00A13591">
        <w:rPr>
          <w:rFonts w:asciiTheme="minorHAnsi" w:hAnsiTheme="minorHAnsi" w:cstheme="minorHAnsi"/>
        </w:rPr>
        <w:t>is that c</w:t>
      </w:r>
      <w:r w:rsidR="004A12AE">
        <w:rPr>
          <w:rFonts w:asciiTheme="minorHAnsi" w:hAnsiTheme="minorHAnsi" w:cstheme="minorHAnsi"/>
        </w:rPr>
        <w:t xml:space="preserve">hanges to the TIO Constitution </w:t>
      </w:r>
      <w:r w:rsidR="00A13591">
        <w:rPr>
          <w:rFonts w:asciiTheme="minorHAnsi" w:hAnsiTheme="minorHAnsi" w:cstheme="minorHAnsi"/>
        </w:rPr>
        <w:t>are</w:t>
      </w:r>
      <w:r w:rsidR="004A12AE">
        <w:rPr>
          <w:rFonts w:asciiTheme="minorHAnsi" w:hAnsiTheme="minorHAnsi" w:cstheme="minorHAnsi"/>
        </w:rPr>
        <w:t xml:space="preserve"> approved by the Minister for Communications, Cyber </w:t>
      </w:r>
      <w:r>
        <w:rPr>
          <w:rFonts w:asciiTheme="minorHAnsi" w:hAnsiTheme="minorHAnsi" w:cstheme="minorHAnsi"/>
        </w:rPr>
        <w:t>Safety</w:t>
      </w:r>
      <w:r w:rsidR="004A12AE">
        <w:rPr>
          <w:rFonts w:asciiTheme="minorHAnsi" w:hAnsiTheme="minorHAnsi" w:cstheme="minorHAnsi"/>
        </w:rPr>
        <w:t xml:space="preserve"> and the Arts, the ACMA</w:t>
      </w:r>
      <w:r w:rsidR="00A13591">
        <w:rPr>
          <w:rFonts w:asciiTheme="minorHAnsi" w:hAnsiTheme="minorHAnsi" w:cstheme="minorHAnsi"/>
        </w:rPr>
        <w:t>,</w:t>
      </w:r>
      <w:r w:rsidR="004A12AE">
        <w:rPr>
          <w:rFonts w:asciiTheme="minorHAnsi" w:hAnsiTheme="minorHAnsi" w:cstheme="minorHAnsi"/>
        </w:rPr>
        <w:t xml:space="preserve"> and ACCAN before being accepted by the Board</w:t>
      </w:r>
      <w:r w:rsidR="00A13591">
        <w:rPr>
          <w:rFonts w:asciiTheme="minorHAnsi" w:hAnsiTheme="minorHAnsi" w:cstheme="minorHAnsi"/>
        </w:rPr>
        <w:t>.</w:t>
      </w:r>
    </w:p>
    <w:p w:rsidR="00A13591" w:rsidRDefault="00A13591" w:rsidP="003720C0">
      <w:pPr>
        <w:pStyle w:val="BodyText1"/>
        <w:rPr>
          <w:rFonts w:asciiTheme="minorHAnsi" w:hAnsiTheme="minorHAnsi" w:cstheme="minorHAnsi"/>
        </w:rPr>
      </w:pPr>
      <w:r>
        <w:rPr>
          <w:rFonts w:asciiTheme="minorHAnsi" w:hAnsiTheme="minorHAnsi" w:cstheme="minorHAnsi"/>
        </w:rPr>
        <w:t xml:space="preserve">We </w:t>
      </w:r>
      <w:r w:rsidR="00471C94">
        <w:rPr>
          <w:rFonts w:asciiTheme="minorHAnsi" w:hAnsiTheme="minorHAnsi" w:cstheme="minorHAnsi"/>
        </w:rPr>
        <w:t xml:space="preserve">also </w:t>
      </w:r>
      <w:r>
        <w:rPr>
          <w:rFonts w:asciiTheme="minorHAnsi" w:hAnsiTheme="minorHAnsi" w:cstheme="minorHAnsi"/>
        </w:rPr>
        <w:t xml:space="preserve">recommend the introduction of a two-term limit on those serving as Directors. A concrete term limit </w:t>
      </w:r>
      <w:r w:rsidR="00304AF8">
        <w:rPr>
          <w:rFonts w:asciiTheme="minorHAnsi" w:hAnsiTheme="minorHAnsi" w:cstheme="minorHAnsi"/>
        </w:rPr>
        <w:t>is best practice and will promote diversity on the Board</w:t>
      </w:r>
      <w:r>
        <w:rPr>
          <w:rFonts w:asciiTheme="minorHAnsi" w:hAnsiTheme="minorHAnsi" w:cstheme="minorHAnsi"/>
        </w:rPr>
        <w:t xml:space="preserve">. </w:t>
      </w:r>
    </w:p>
    <w:p w:rsidR="003720C0" w:rsidRDefault="000821A6" w:rsidP="003720C0">
      <w:pPr>
        <w:pStyle w:val="BodyText1"/>
        <w:rPr>
          <w:rFonts w:asciiTheme="minorHAnsi" w:hAnsiTheme="minorHAnsi" w:cstheme="minorHAnsi"/>
        </w:rPr>
      </w:pPr>
      <w:r>
        <w:rPr>
          <w:rFonts w:asciiTheme="minorHAnsi" w:hAnsiTheme="minorHAnsi" w:cstheme="minorHAnsi"/>
        </w:rPr>
        <w:t>We thank the TIO for the opportunity to contribute to this review</w:t>
      </w:r>
      <w:r w:rsidR="001370F2">
        <w:rPr>
          <w:rFonts w:asciiTheme="minorHAnsi" w:hAnsiTheme="minorHAnsi" w:cstheme="minorHAnsi"/>
        </w:rPr>
        <w:t xml:space="preserve"> and are happy to </w:t>
      </w:r>
      <w:r>
        <w:rPr>
          <w:rFonts w:asciiTheme="minorHAnsi" w:hAnsiTheme="minorHAnsi" w:cstheme="minorHAnsi"/>
        </w:rPr>
        <w:t xml:space="preserve">engage in further discussion surrounding changes to the </w:t>
      </w:r>
      <w:r w:rsidR="001370F2">
        <w:rPr>
          <w:rFonts w:asciiTheme="minorHAnsi" w:hAnsiTheme="minorHAnsi" w:cstheme="minorHAnsi"/>
        </w:rPr>
        <w:t xml:space="preserve">TIO </w:t>
      </w:r>
      <w:r>
        <w:rPr>
          <w:rFonts w:asciiTheme="minorHAnsi" w:hAnsiTheme="minorHAnsi" w:cstheme="minorHAnsi"/>
        </w:rPr>
        <w:t>Constitution and governance</w:t>
      </w:r>
      <w:r w:rsidR="001370F2">
        <w:rPr>
          <w:rFonts w:asciiTheme="minorHAnsi" w:hAnsiTheme="minorHAnsi" w:cstheme="minorHAnsi"/>
        </w:rPr>
        <w:t xml:space="preserve"> </w:t>
      </w:r>
      <w:r w:rsidR="00931307">
        <w:rPr>
          <w:rFonts w:asciiTheme="minorHAnsi" w:hAnsiTheme="minorHAnsi" w:cstheme="minorHAnsi"/>
        </w:rPr>
        <w:t>systems</w:t>
      </w:r>
      <w:r>
        <w:rPr>
          <w:rFonts w:asciiTheme="minorHAnsi" w:hAnsiTheme="minorHAnsi" w:cstheme="minorHAnsi"/>
        </w:rPr>
        <w:t xml:space="preserve">. Please contact </w:t>
      </w:r>
      <w:hyperlink r:id="rId10" w:history="1">
        <w:r w:rsidRPr="00923472">
          <w:rPr>
            <w:rStyle w:val="Hyperlink"/>
            <w:rFonts w:asciiTheme="minorHAnsi" w:hAnsiTheme="minorHAnsi" w:cstheme="minorHAnsi"/>
          </w:rPr>
          <w:t>rebekah.sarkoezy@accan.org.au</w:t>
        </w:r>
      </w:hyperlink>
      <w:r>
        <w:rPr>
          <w:rFonts w:asciiTheme="minorHAnsi" w:hAnsiTheme="minorHAnsi" w:cstheme="minorHAnsi"/>
        </w:rPr>
        <w:t xml:space="preserve"> or call 02 9288 4015 if you wish to discuss </w:t>
      </w:r>
      <w:r w:rsidR="006B72DB">
        <w:rPr>
          <w:rFonts w:asciiTheme="minorHAnsi" w:hAnsiTheme="minorHAnsi" w:cstheme="minorHAnsi"/>
        </w:rPr>
        <w:t>this</w:t>
      </w:r>
      <w:r>
        <w:rPr>
          <w:rFonts w:asciiTheme="minorHAnsi" w:hAnsiTheme="minorHAnsi" w:cstheme="minorHAnsi"/>
        </w:rPr>
        <w:t xml:space="preserve"> feedback</w:t>
      </w:r>
      <w:r w:rsidR="006B72DB">
        <w:rPr>
          <w:rFonts w:asciiTheme="minorHAnsi" w:hAnsiTheme="minorHAnsi" w:cstheme="minorHAnsi"/>
        </w:rPr>
        <w:t xml:space="preserve"> with us</w:t>
      </w:r>
      <w:r>
        <w:rPr>
          <w:rFonts w:asciiTheme="minorHAnsi" w:hAnsiTheme="minorHAnsi" w:cstheme="minorHAnsi"/>
        </w:rPr>
        <w:t xml:space="preserve">. </w:t>
      </w:r>
    </w:p>
    <w:p w:rsidR="00C7127B" w:rsidRPr="00CC1AE1" w:rsidRDefault="00C7127B" w:rsidP="00C7127B">
      <w:pPr>
        <w:pStyle w:val="BodyText1"/>
        <w:rPr>
          <w:rFonts w:asciiTheme="minorHAnsi" w:hAnsiTheme="minorHAnsi" w:cstheme="minorHAnsi"/>
          <w:color w:val="auto"/>
        </w:rPr>
      </w:pPr>
    </w:p>
    <w:p w:rsidR="00C7127B" w:rsidRPr="00CC1AE1" w:rsidRDefault="00BC001E" w:rsidP="00C7127B">
      <w:pPr>
        <w:pStyle w:val="BodyText1"/>
        <w:rPr>
          <w:rFonts w:asciiTheme="minorHAnsi" w:hAnsiTheme="minorHAnsi" w:cstheme="minorHAnsi"/>
          <w:color w:val="auto"/>
        </w:rPr>
      </w:pPr>
      <w:r>
        <w:rPr>
          <w:rFonts w:asciiTheme="minorHAnsi" w:hAnsiTheme="minorHAnsi" w:cstheme="minorHAnsi"/>
          <w:color w:val="auto"/>
        </w:rPr>
        <w:t>Yours sincerely</w:t>
      </w:r>
    </w:p>
    <w:p w:rsidR="00C7127B" w:rsidRPr="00CC1AE1" w:rsidRDefault="00C7127B" w:rsidP="00C7127B">
      <w:pPr>
        <w:pStyle w:val="BodyText1"/>
        <w:rPr>
          <w:rFonts w:asciiTheme="minorHAnsi" w:hAnsiTheme="minorHAnsi" w:cstheme="minorHAnsi"/>
          <w:color w:val="auto"/>
        </w:rPr>
      </w:pPr>
    </w:p>
    <w:p w:rsidR="00C7127B" w:rsidRPr="00CC1AE1" w:rsidRDefault="00BC001E" w:rsidP="00C7127B">
      <w:pPr>
        <w:pStyle w:val="BodyText1"/>
        <w:rPr>
          <w:rFonts w:asciiTheme="minorHAnsi" w:hAnsiTheme="minorHAnsi" w:cstheme="minorHAnsi"/>
          <w:color w:val="auto"/>
        </w:rPr>
      </w:pPr>
      <w:r>
        <w:rPr>
          <w:rFonts w:asciiTheme="minorHAnsi" w:hAnsiTheme="minorHAnsi" w:cstheme="minorHAnsi"/>
          <w:color w:val="auto"/>
        </w:rPr>
        <w:t>Rebekah Sarkoezy</w:t>
      </w:r>
    </w:p>
    <w:p w:rsidR="00BC001E" w:rsidRPr="00CC1AE1" w:rsidRDefault="00BC001E" w:rsidP="00C7127B">
      <w:pPr>
        <w:pStyle w:val="BodyText1"/>
        <w:rPr>
          <w:rFonts w:asciiTheme="minorHAnsi" w:hAnsiTheme="minorHAnsi" w:cstheme="minorHAnsi"/>
          <w:color w:val="auto"/>
        </w:rPr>
      </w:pPr>
      <w:r>
        <w:rPr>
          <w:rFonts w:asciiTheme="minorHAnsi" w:hAnsiTheme="minorHAnsi" w:cstheme="minorHAnsi"/>
          <w:color w:val="auto"/>
        </w:rPr>
        <w:t>Policy Officer</w:t>
      </w:r>
    </w:p>
    <w:p w:rsidR="00545597" w:rsidRPr="00CC1AE1" w:rsidRDefault="00545597">
      <w:pPr>
        <w:rPr>
          <w:rFonts w:cstheme="minorHAnsi"/>
        </w:rPr>
      </w:pPr>
    </w:p>
    <w:sectPr w:rsidR="00545597" w:rsidRPr="00CC1AE1" w:rsidSect="00C7127B">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35B2" w:rsidRDefault="009435B2" w:rsidP="00C7127B">
      <w:pPr>
        <w:spacing w:after="0" w:line="240" w:lineRule="auto"/>
      </w:pPr>
      <w:r>
        <w:separator/>
      </w:r>
    </w:p>
  </w:endnote>
  <w:endnote w:type="continuationSeparator" w:id="0">
    <w:p w:rsidR="009435B2" w:rsidRDefault="009435B2" w:rsidP="00C712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B2" w:rsidRDefault="009435B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B2" w:rsidRPr="00E05115" w:rsidRDefault="009435B2" w:rsidP="00C7127B">
    <w:pPr>
      <w:spacing w:after="0" w:line="240" w:lineRule="auto"/>
      <w:rPr>
        <w:color w:val="23B0E6"/>
      </w:rPr>
    </w:pPr>
    <w:r w:rsidRPr="00E05115">
      <w:rPr>
        <w:color w:val="23B0E6"/>
      </w:rPr>
      <w:t>www.accan.org.au | info@accan.org.au | twitter: @ACCAN_AU</w:t>
    </w:r>
    <w:r>
      <w:rPr>
        <w:color w:val="23B0E6"/>
      </w:rPr>
      <w:tab/>
    </w:r>
    <w:r>
      <w:rPr>
        <w:color w:val="23B0E6"/>
      </w:rPr>
      <w:tab/>
    </w:r>
    <w:r>
      <w:rPr>
        <w:color w:val="23B0E6"/>
      </w:rPr>
      <w:tab/>
    </w:r>
    <w:r>
      <w:rPr>
        <w:color w:val="23B0E6"/>
      </w:rPr>
      <w:tab/>
    </w:r>
    <w:r>
      <w:rPr>
        <w:color w:val="23B0E6"/>
      </w:rPr>
      <w:tab/>
    </w:r>
    <w:r w:rsidRPr="00C4251E">
      <w:fldChar w:fldCharType="begin"/>
    </w:r>
    <w:r w:rsidRPr="00C4251E">
      <w:instrText xml:space="preserve"> PAGE   \* MERGEFORMAT </w:instrText>
    </w:r>
    <w:r w:rsidRPr="00C4251E">
      <w:fldChar w:fldCharType="separate"/>
    </w:r>
    <w:r w:rsidR="0066447B">
      <w:rPr>
        <w:noProof/>
      </w:rPr>
      <w:t>4</w:t>
    </w:r>
    <w:r w:rsidRPr="00C4251E">
      <w:rPr>
        <w:noProof/>
      </w:rPr>
      <w:fldChar w:fldCharType="end"/>
    </w:r>
  </w:p>
  <w:p w:rsidR="009435B2" w:rsidRDefault="009435B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B2" w:rsidRPr="00E05115" w:rsidRDefault="009435B2" w:rsidP="007949B6">
    <w:pPr>
      <w:spacing w:after="0"/>
      <w:ind w:hanging="567"/>
      <w:rPr>
        <w:color w:val="23B0E6"/>
      </w:rPr>
    </w:pPr>
    <w:r w:rsidRPr="00E05115">
      <w:rPr>
        <w:color w:val="23B0E6"/>
      </w:rPr>
      <w:t>Australian Communications Consumer Action Network (ACCAN)</w:t>
    </w:r>
  </w:p>
  <w:p w:rsidR="009435B2" w:rsidRDefault="009435B2" w:rsidP="007949B6">
    <w:pPr>
      <w:spacing w:after="0"/>
      <w:ind w:hanging="567"/>
      <w:rPr>
        <w:i/>
        <w:color w:val="23B0E6"/>
      </w:rPr>
    </w:pPr>
    <w:r w:rsidRPr="00E05115">
      <w:rPr>
        <w:i/>
        <w:color w:val="23B0E6"/>
      </w:rPr>
      <w:t xml:space="preserve">Australia’s peak </w:t>
    </w:r>
    <w:r>
      <w:rPr>
        <w:i/>
        <w:color w:val="23B0E6"/>
      </w:rPr>
      <w:t>body representing communications consumers</w:t>
    </w:r>
  </w:p>
  <w:p w:rsidR="009435B2" w:rsidRPr="00E05115" w:rsidRDefault="009435B2" w:rsidP="007949B6">
    <w:pPr>
      <w:spacing w:after="0"/>
      <w:ind w:left="-567" w:hanging="567"/>
      <w:rPr>
        <w:i/>
        <w:color w:val="23B0E6"/>
      </w:rPr>
    </w:pPr>
    <w:r>
      <w:rPr>
        <w:noProof/>
      </w:rPr>
      <mc:AlternateContent>
        <mc:Choice Requires="wps">
          <w:drawing>
            <wp:anchor distT="0" distB="0" distL="114300" distR="114300" simplePos="0" relativeHeight="251665408" behindDoc="0" locked="0" layoutInCell="1" allowOverlap="1" wp14:anchorId="1E2B8020" wp14:editId="05DF144F">
              <wp:simplePos x="0" y="0"/>
              <wp:positionH relativeFrom="column">
                <wp:posOffset>-396240</wp:posOffset>
              </wp:positionH>
              <wp:positionV relativeFrom="paragraph">
                <wp:posOffset>97155</wp:posOffset>
              </wp:positionV>
              <wp:extent cx="6461760" cy="0"/>
              <wp:effectExtent l="0" t="19050" r="15240" b="19050"/>
              <wp:wrapNone/>
              <wp:docPr id="1" name="Straight Connector 1"/>
              <wp:cNvGraphicFramePr/>
              <a:graphic xmlns:a="http://schemas.openxmlformats.org/drawingml/2006/main">
                <a:graphicData uri="http://schemas.microsoft.com/office/word/2010/wordprocessingShape">
                  <wps:wsp>
                    <wps:cNvCnPr/>
                    <wps:spPr>
                      <a:xfrm>
                        <a:off x="0" y="0"/>
                        <a:ext cx="6461760" cy="0"/>
                      </a:xfrm>
                      <a:prstGeom prst="line">
                        <a:avLst/>
                      </a:prstGeom>
                      <a:ln w="38100">
                        <a:solidFill>
                          <a:srgbClr val="23B0E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1"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1.2pt,7.65pt" to="477.6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" strokecolor="#23b0e6" strokeweight="3pt"/>
          </w:pict>
        </mc:Fallback>
      </mc:AlternateContent>
    </w:r>
  </w:p>
  <w:p w:rsidR="009435B2" w:rsidRDefault="009435B2" w:rsidP="007949B6">
    <w:pPr>
      <w:spacing w:after="0"/>
      <w:ind w:hanging="567"/>
    </w:pPr>
    <w:r>
      <w:t>PO Box 639, Broadway NSW 2007</w:t>
    </w:r>
  </w:p>
  <w:p w:rsidR="009435B2" w:rsidRDefault="009435B2" w:rsidP="007949B6">
    <w:pPr>
      <w:spacing w:after="0"/>
      <w:ind w:hanging="567"/>
    </w:pPr>
    <w:r>
      <w:t xml:space="preserve">Tel: (02) 9288 4000 | Fax: (02) 9288 4019 | Contact us through the </w:t>
    </w:r>
    <w:hyperlink r:id="rId1" w:history="1">
      <w:r w:rsidRPr="00FE6EAF">
        <w:rPr>
          <w:rStyle w:val="Hyperlink"/>
        </w:rPr>
        <w:t>National Relay Service</w:t>
      </w:r>
    </w:hyperlink>
  </w:p>
  <w:p w:rsidR="009435B2" w:rsidRPr="007949B6" w:rsidRDefault="009435B2" w:rsidP="007949B6">
    <w:pPr>
      <w:spacing w:after="0"/>
      <w:ind w:hanging="567"/>
      <w:rPr>
        <w:color w:val="23B0E6"/>
      </w:rPr>
    </w:pPr>
    <w:r w:rsidRPr="00E05115">
      <w:rPr>
        <w:color w:val="23B0E6"/>
      </w:rPr>
      <w:t>www.accan.org.au | info@accan.org.au | twitter: @ACCAN_AU</w:t>
    </w:r>
    <w:r>
      <w:rPr>
        <w:color w:val="23B0E6"/>
      </w:rPr>
      <w:t xml:space="preserve"> | www.facebook.com/accanau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35B2" w:rsidRDefault="009435B2" w:rsidP="00C7127B">
      <w:pPr>
        <w:spacing w:after="0" w:line="240" w:lineRule="auto"/>
      </w:pPr>
      <w:r>
        <w:separator/>
      </w:r>
    </w:p>
  </w:footnote>
  <w:footnote w:type="continuationSeparator" w:id="0">
    <w:p w:rsidR="009435B2" w:rsidRDefault="009435B2" w:rsidP="00C7127B">
      <w:pPr>
        <w:spacing w:after="0" w:line="240" w:lineRule="auto"/>
      </w:pPr>
      <w:r>
        <w:continuationSeparator/>
      </w:r>
    </w:p>
  </w:footnote>
  <w:footnote w:id="1">
    <w:p w:rsidR="009435B2" w:rsidRDefault="009435B2" w:rsidP="00425AC2">
      <w:pPr>
        <w:pStyle w:val="FootnoteText"/>
      </w:pPr>
      <w:r>
        <w:rPr>
          <w:rStyle w:val="FootnoteReference"/>
        </w:rPr>
        <w:footnoteRef/>
      </w:r>
      <w:r>
        <w:t xml:space="preserve"> ANZOA 2010, </w:t>
      </w:r>
      <w:hyperlink r:id="rId1" w:history="1">
        <w:r w:rsidRPr="00425AC2">
          <w:rPr>
            <w:rStyle w:val="Hyperlink"/>
          </w:rPr>
          <w:t>Essential Criteria For Describing A Body As An Ombudsman</w:t>
        </w:r>
      </w:hyperlink>
      <w:r>
        <w:t>, p. 2</w:t>
      </w:r>
    </w:p>
  </w:footnote>
  <w:footnote w:id="2">
    <w:p w:rsidR="009435B2" w:rsidRDefault="009435B2">
      <w:pPr>
        <w:pStyle w:val="FootnoteText"/>
      </w:pPr>
      <w:r>
        <w:rPr>
          <w:rStyle w:val="FootnoteReference"/>
        </w:rPr>
        <w:footnoteRef/>
      </w:r>
      <w:r>
        <w:t xml:space="preserve"> TIO 2019, </w:t>
      </w:r>
      <w:hyperlink r:id="rId2" w:history="1">
        <w:r w:rsidRPr="00503B76">
          <w:rPr>
            <w:rStyle w:val="Hyperlink"/>
          </w:rPr>
          <w:t>Options Paper: Possible Amendments to Constitution</w:t>
        </w:r>
      </w:hyperlink>
      <w:r>
        <w:t>, p. 5</w:t>
      </w:r>
    </w:p>
  </w:footnote>
  <w:footnote w:id="3">
    <w:p w:rsidR="009435B2" w:rsidRDefault="009435B2">
      <w:pPr>
        <w:pStyle w:val="FootnoteText"/>
      </w:pPr>
      <w:r>
        <w:rPr>
          <w:rStyle w:val="FootnoteReference"/>
        </w:rPr>
        <w:footnoteRef/>
      </w:r>
      <w:r>
        <w:t xml:space="preserve"> TIO 2019, </w:t>
      </w:r>
      <w:hyperlink r:id="rId3" w:history="1">
        <w:r w:rsidRPr="00197E97">
          <w:rPr>
            <w:rStyle w:val="Hyperlink"/>
          </w:rPr>
          <w:t>Systemic Issues: Sales Practices Driving Consumer Debt</w:t>
        </w:r>
      </w:hyperlink>
      <w:r>
        <w:t>, p. 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B2" w:rsidRDefault="009435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B2" w:rsidRDefault="009435B2" w:rsidP="00983739">
    <w:pPr>
      <w:pStyle w:val="Header"/>
    </w:pPr>
    <w:r>
      <w:rPr>
        <w:noProof/>
      </w:rPr>
      <w:drawing>
        <wp:anchor distT="0" distB="0" distL="114300" distR="114300" simplePos="0" relativeHeight="251659264" behindDoc="1" locked="0" layoutInCell="1" allowOverlap="1" wp14:anchorId="46ACF0D2" wp14:editId="739F88CB">
          <wp:simplePos x="0" y="0"/>
          <wp:positionH relativeFrom="column">
            <wp:posOffset>5029200</wp:posOffset>
          </wp:positionH>
          <wp:positionV relativeFrom="paragraph">
            <wp:posOffset>22860</wp:posOffset>
          </wp:positionV>
          <wp:extent cx="664682" cy="308131"/>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_logo_BLUE_RGB Standalone 11x5.jpg"/>
                  <pic:cNvPicPr/>
                </pic:nvPicPr>
                <pic:blipFill>
                  <a:blip r:embed="rId1">
                    <a:extLst>
                      <a:ext uri="{28A0092B-C50C-407E-A947-70E740481C1C}">
                        <a14:useLocalDpi xmlns:a14="http://schemas.microsoft.com/office/drawing/2010/main" val="0"/>
                      </a:ext>
                    </a:extLst>
                  </a:blip>
                  <a:stretch>
                    <a:fillRect/>
                  </a:stretch>
                </pic:blipFill>
                <pic:spPr>
                  <a:xfrm>
                    <a:off x="0" y="0"/>
                    <a:ext cx="664682" cy="308131"/>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5B2" w:rsidRDefault="009435B2" w:rsidP="007949B6">
    <w:pPr>
      <w:pStyle w:val="Header"/>
      <w:jc w:val="right"/>
    </w:pPr>
    <w:r>
      <w:rPr>
        <w:noProof/>
      </w:rPr>
      <w:drawing>
        <wp:anchor distT="0" distB="0" distL="114300" distR="114300" simplePos="0" relativeHeight="251663360" behindDoc="1" locked="0" layoutInCell="1" allowOverlap="1" wp14:anchorId="35CC6983" wp14:editId="7DF898C8">
          <wp:simplePos x="0" y="0"/>
          <wp:positionH relativeFrom="column">
            <wp:posOffset>4072890</wp:posOffset>
          </wp:positionH>
          <wp:positionV relativeFrom="paragraph">
            <wp:posOffset>332740</wp:posOffset>
          </wp:positionV>
          <wp:extent cx="1630800" cy="756000"/>
          <wp:effectExtent l="0" t="0" r="7620" b="635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CAN_logo_BLUE_RGB Standalone 11x5.jpg"/>
                  <pic:cNvPicPr/>
                </pic:nvPicPr>
                <pic:blipFill>
                  <a:blip r:embed="rId1">
                    <a:extLst>
                      <a:ext uri="{28A0092B-C50C-407E-A947-70E740481C1C}">
                        <a14:useLocalDpi xmlns:a14="http://schemas.microsoft.com/office/drawing/2010/main" val="0"/>
                      </a:ext>
                    </a:extLst>
                  </a:blip>
                  <a:stretch>
                    <a:fillRect/>
                  </a:stretch>
                </pic:blipFill>
                <pic:spPr>
                  <a:xfrm>
                    <a:off x="0" y="0"/>
                    <a:ext cx="1630800" cy="756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E7B50"/>
    <w:multiLevelType w:val="hybridMultilevel"/>
    <w:tmpl w:val="1FB00A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5F749C"/>
    <w:multiLevelType w:val="hybridMultilevel"/>
    <w:tmpl w:val="9C2A7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1B816711"/>
    <w:multiLevelType w:val="hybridMultilevel"/>
    <w:tmpl w:val="AB22DA2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D0E6215"/>
    <w:multiLevelType w:val="hybridMultilevel"/>
    <w:tmpl w:val="148485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nsid w:val="1D840737"/>
    <w:multiLevelType w:val="hybridMultilevel"/>
    <w:tmpl w:val="C3A2C0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2249021D"/>
    <w:multiLevelType w:val="hybridMultilevel"/>
    <w:tmpl w:val="870659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237E5307"/>
    <w:multiLevelType w:val="hybridMultilevel"/>
    <w:tmpl w:val="156062E8"/>
    <w:lvl w:ilvl="0" w:tplc="0C090001">
      <w:start w:val="1"/>
      <w:numFmt w:val="bullet"/>
      <w:lvlText w:val=""/>
      <w:lvlJc w:val="left"/>
      <w:pPr>
        <w:ind w:left="2520" w:hanging="360"/>
      </w:pPr>
      <w:rPr>
        <w:rFonts w:ascii="Symbol" w:hAnsi="Symbol" w:hint="default"/>
      </w:rPr>
    </w:lvl>
    <w:lvl w:ilvl="1" w:tplc="0C090003" w:tentative="1">
      <w:start w:val="1"/>
      <w:numFmt w:val="bullet"/>
      <w:lvlText w:val="o"/>
      <w:lvlJc w:val="left"/>
      <w:pPr>
        <w:ind w:left="3240" w:hanging="360"/>
      </w:pPr>
      <w:rPr>
        <w:rFonts w:ascii="Courier New" w:hAnsi="Courier New" w:cs="Courier New" w:hint="default"/>
      </w:rPr>
    </w:lvl>
    <w:lvl w:ilvl="2" w:tplc="0C090005" w:tentative="1">
      <w:start w:val="1"/>
      <w:numFmt w:val="bullet"/>
      <w:lvlText w:val=""/>
      <w:lvlJc w:val="left"/>
      <w:pPr>
        <w:ind w:left="3960" w:hanging="360"/>
      </w:pPr>
      <w:rPr>
        <w:rFonts w:ascii="Wingdings" w:hAnsi="Wingdings" w:hint="default"/>
      </w:rPr>
    </w:lvl>
    <w:lvl w:ilvl="3" w:tplc="0C090001" w:tentative="1">
      <w:start w:val="1"/>
      <w:numFmt w:val="bullet"/>
      <w:lvlText w:val=""/>
      <w:lvlJc w:val="left"/>
      <w:pPr>
        <w:ind w:left="4680" w:hanging="360"/>
      </w:pPr>
      <w:rPr>
        <w:rFonts w:ascii="Symbol" w:hAnsi="Symbol" w:hint="default"/>
      </w:rPr>
    </w:lvl>
    <w:lvl w:ilvl="4" w:tplc="0C090003" w:tentative="1">
      <w:start w:val="1"/>
      <w:numFmt w:val="bullet"/>
      <w:lvlText w:val="o"/>
      <w:lvlJc w:val="left"/>
      <w:pPr>
        <w:ind w:left="5400" w:hanging="360"/>
      </w:pPr>
      <w:rPr>
        <w:rFonts w:ascii="Courier New" w:hAnsi="Courier New" w:cs="Courier New" w:hint="default"/>
      </w:rPr>
    </w:lvl>
    <w:lvl w:ilvl="5" w:tplc="0C090005" w:tentative="1">
      <w:start w:val="1"/>
      <w:numFmt w:val="bullet"/>
      <w:lvlText w:val=""/>
      <w:lvlJc w:val="left"/>
      <w:pPr>
        <w:ind w:left="6120" w:hanging="360"/>
      </w:pPr>
      <w:rPr>
        <w:rFonts w:ascii="Wingdings" w:hAnsi="Wingdings" w:hint="default"/>
      </w:rPr>
    </w:lvl>
    <w:lvl w:ilvl="6" w:tplc="0C090001" w:tentative="1">
      <w:start w:val="1"/>
      <w:numFmt w:val="bullet"/>
      <w:lvlText w:val=""/>
      <w:lvlJc w:val="left"/>
      <w:pPr>
        <w:ind w:left="6840" w:hanging="360"/>
      </w:pPr>
      <w:rPr>
        <w:rFonts w:ascii="Symbol" w:hAnsi="Symbol" w:hint="default"/>
      </w:rPr>
    </w:lvl>
    <w:lvl w:ilvl="7" w:tplc="0C090003" w:tentative="1">
      <w:start w:val="1"/>
      <w:numFmt w:val="bullet"/>
      <w:lvlText w:val="o"/>
      <w:lvlJc w:val="left"/>
      <w:pPr>
        <w:ind w:left="7560" w:hanging="360"/>
      </w:pPr>
      <w:rPr>
        <w:rFonts w:ascii="Courier New" w:hAnsi="Courier New" w:cs="Courier New" w:hint="default"/>
      </w:rPr>
    </w:lvl>
    <w:lvl w:ilvl="8" w:tplc="0C090005" w:tentative="1">
      <w:start w:val="1"/>
      <w:numFmt w:val="bullet"/>
      <w:lvlText w:val=""/>
      <w:lvlJc w:val="left"/>
      <w:pPr>
        <w:ind w:left="8280" w:hanging="360"/>
      </w:pPr>
      <w:rPr>
        <w:rFonts w:ascii="Wingdings" w:hAnsi="Wingdings" w:hint="default"/>
      </w:rPr>
    </w:lvl>
  </w:abstractNum>
  <w:abstractNum w:abstractNumId="7">
    <w:nsid w:val="3ED53B8C"/>
    <w:multiLevelType w:val="hybridMultilevel"/>
    <w:tmpl w:val="47A0194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42160EA7"/>
    <w:multiLevelType w:val="hybridMultilevel"/>
    <w:tmpl w:val="D228C6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46F43D14"/>
    <w:multiLevelType w:val="hybridMultilevel"/>
    <w:tmpl w:val="C018E7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8"/>
  </w:num>
  <w:num w:numId="4">
    <w:abstractNumId w:val="7"/>
  </w:num>
  <w:num w:numId="5">
    <w:abstractNumId w:val="0"/>
  </w:num>
  <w:num w:numId="6">
    <w:abstractNumId w:val="5"/>
  </w:num>
  <w:num w:numId="7">
    <w:abstractNumId w:val="6"/>
  </w:num>
  <w:num w:numId="8">
    <w:abstractNumId w:val="3"/>
  </w:num>
  <w:num w:numId="9">
    <w:abstractNumId w:val="9"/>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attachedTemplate r:id="rId1"/>
  <w:defaultTabStop w:val="720"/>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49B6"/>
    <w:rsid w:val="000402B6"/>
    <w:rsid w:val="00064391"/>
    <w:rsid w:val="000821A6"/>
    <w:rsid w:val="00096E29"/>
    <w:rsid w:val="000B34D4"/>
    <w:rsid w:val="000C0D1E"/>
    <w:rsid w:val="000C5F88"/>
    <w:rsid w:val="001118DA"/>
    <w:rsid w:val="001370F2"/>
    <w:rsid w:val="00155FA9"/>
    <w:rsid w:val="00160250"/>
    <w:rsid w:val="00174D49"/>
    <w:rsid w:val="00175AD2"/>
    <w:rsid w:val="00197E97"/>
    <w:rsid w:val="001F1F68"/>
    <w:rsid w:val="00210D32"/>
    <w:rsid w:val="002111E6"/>
    <w:rsid w:val="00215BAB"/>
    <w:rsid w:val="002238F1"/>
    <w:rsid w:val="00231EE7"/>
    <w:rsid w:val="00245F81"/>
    <w:rsid w:val="00264174"/>
    <w:rsid w:val="00277C59"/>
    <w:rsid w:val="002B3B95"/>
    <w:rsid w:val="002B4281"/>
    <w:rsid w:val="002C4C29"/>
    <w:rsid w:val="002E746E"/>
    <w:rsid w:val="002F6A07"/>
    <w:rsid w:val="00304AF8"/>
    <w:rsid w:val="00344380"/>
    <w:rsid w:val="00345AD8"/>
    <w:rsid w:val="003720C0"/>
    <w:rsid w:val="003F36BA"/>
    <w:rsid w:val="00402350"/>
    <w:rsid w:val="004034E4"/>
    <w:rsid w:val="00425AC2"/>
    <w:rsid w:val="00453D53"/>
    <w:rsid w:val="00471C94"/>
    <w:rsid w:val="004A12AE"/>
    <w:rsid w:val="004F54A4"/>
    <w:rsid w:val="00503B76"/>
    <w:rsid w:val="0051184E"/>
    <w:rsid w:val="005143EA"/>
    <w:rsid w:val="005305B8"/>
    <w:rsid w:val="00533C53"/>
    <w:rsid w:val="00543749"/>
    <w:rsid w:val="00545597"/>
    <w:rsid w:val="00561DE6"/>
    <w:rsid w:val="00577A1C"/>
    <w:rsid w:val="005B05B9"/>
    <w:rsid w:val="005B229F"/>
    <w:rsid w:val="005D0158"/>
    <w:rsid w:val="005F2B4C"/>
    <w:rsid w:val="00600449"/>
    <w:rsid w:val="00657AA9"/>
    <w:rsid w:val="0066447B"/>
    <w:rsid w:val="00665221"/>
    <w:rsid w:val="006667CA"/>
    <w:rsid w:val="006946FC"/>
    <w:rsid w:val="006B114F"/>
    <w:rsid w:val="006B72DB"/>
    <w:rsid w:val="006E6280"/>
    <w:rsid w:val="00761363"/>
    <w:rsid w:val="007949B6"/>
    <w:rsid w:val="00794CB5"/>
    <w:rsid w:val="007B2537"/>
    <w:rsid w:val="0080522C"/>
    <w:rsid w:val="00853A11"/>
    <w:rsid w:val="008F29E7"/>
    <w:rsid w:val="008F45EB"/>
    <w:rsid w:val="0091652B"/>
    <w:rsid w:val="00931307"/>
    <w:rsid w:val="00932DCA"/>
    <w:rsid w:val="009435B2"/>
    <w:rsid w:val="00983739"/>
    <w:rsid w:val="00990802"/>
    <w:rsid w:val="009A2D9F"/>
    <w:rsid w:val="009B5946"/>
    <w:rsid w:val="00A00BA9"/>
    <w:rsid w:val="00A13591"/>
    <w:rsid w:val="00A265E3"/>
    <w:rsid w:val="00A450B8"/>
    <w:rsid w:val="00A550D0"/>
    <w:rsid w:val="00A972D3"/>
    <w:rsid w:val="00AA1443"/>
    <w:rsid w:val="00AA4A64"/>
    <w:rsid w:val="00B044B6"/>
    <w:rsid w:val="00B67821"/>
    <w:rsid w:val="00BC001E"/>
    <w:rsid w:val="00BE5174"/>
    <w:rsid w:val="00BE5F23"/>
    <w:rsid w:val="00BF16EE"/>
    <w:rsid w:val="00C4143A"/>
    <w:rsid w:val="00C50BE2"/>
    <w:rsid w:val="00C65A2E"/>
    <w:rsid w:val="00C7127B"/>
    <w:rsid w:val="00CA593A"/>
    <w:rsid w:val="00CC1AE1"/>
    <w:rsid w:val="00CC4561"/>
    <w:rsid w:val="00CE21A6"/>
    <w:rsid w:val="00D25451"/>
    <w:rsid w:val="00D36F06"/>
    <w:rsid w:val="00D65029"/>
    <w:rsid w:val="00DC1F1F"/>
    <w:rsid w:val="00F141A6"/>
    <w:rsid w:val="00F306D4"/>
    <w:rsid w:val="00F75D29"/>
    <w:rsid w:val="00FB15F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27B"/>
  </w:style>
  <w:style w:type="paragraph" w:styleId="Footer">
    <w:name w:val="footer"/>
    <w:basedOn w:val="Normal"/>
    <w:link w:val="FooterChar"/>
    <w:uiPriority w:val="99"/>
    <w:unhideWhenUsed/>
    <w:rsid w:val="00C71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27B"/>
  </w:style>
  <w:style w:type="paragraph" w:customStyle="1" w:styleId="BodyText1">
    <w:name w:val="Body Text1"/>
    <w:basedOn w:val="Normal"/>
    <w:qFormat/>
    <w:rsid w:val="00C7127B"/>
    <w:rPr>
      <w:rFonts w:ascii="Arial" w:eastAsia="Calibri" w:hAnsi="Arial" w:cs="Arial"/>
      <w:color w:val="000000"/>
      <w:lang w:eastAsia="en-US"/>
    </w:rPr>
  </w:style>
  <w:style w:type="character" w:styleId="Hyperlink">
    <w:name w:val="Hyperlink"/>
    <w:basedOn w:val="DefaultParagraphFont"/>
    <w:uiPriority w:val="99"/>
    <w:unhideWhenUsed/>
    <w:rsid w:val="00C7127B"/>
    <w:rPr>
      <w:color w:val="0000FF" w:themeColor="hyperlink"/>
      <w:u w:val="single"/>
    </w:rPr>
  </w:style>
  <w:style w:type="paragraph" w:styleId="FootnoteText">
    <w:name w:val="footnote text"/>
    <w:basedOn w:val="Normal"/>
    <w:link w:val="FootnoteTextChar"/>
    <w:uiPriority w:val="99"/>
    <w:semiHidden/>
    <w:unhideWhenUsed/>
    <w:rsid w:val="00503B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3B76"/>
    <w:rPr>
      <w:sz w:val="20"/>
      <w:szCs w:val="20"/>
    </w:rPr>
  </w:style>
  <w:style w:type="character" w:styleId="FootnoteReference">
    <w:name w:val="footnote reference"/>
    <w:basedOn w:val="DefaultParagraphFont"/>
    <w:uiPriority w:val="99"/>
    <w:semiHidden/>
    <w:unhideWhenUsed/>
    <w:rsid w:val="00503B76"/>
    <w:rPr>
      <w:vertAlign w:val="superscript"/>
    </w:rPr>
  </w:style>
  <w:style w:type="character" w:styleId="CommentReference">
    <w:name w:val="annotation reference"/>
    <w:basedOn w:val="DefaultParagraphFont"/>
    <w:uiPriority w:val="99"/>
    <w:semiHidden/>
    <w:unhideWhenUsed/>
    <w:rsid w:val="002E746E"/>
    <w:rPr>
      <w:sz w:val="16"/>
      <w:szCs w:val="16"/>
    </w:rPr>
  </w:style>
  <w:style w:type="paragraph" w:styleId="CommentText">
    <w:name w:val="annotation text"/>
    <w:basedOn w:val="Normal"/>
    <w:link w:val="CommentTextChar"/>
    <w:uiPriority w:val="99"/>
    <w:semiHidden/>
    <w:unhideWhenUsed/>
    <w:rsid w:val="002E746E"/>
    <w:pPr>
      <w:spacing w:line="240" w:lineRule="auto"/>
    </w:pPr>
    <w:rPr>
      <w:sz w:val="20"/>
      <w:szCs w:val="20"/>
    </w:rPr>
  </w:style>
  <w:style w:type="character" w:customStyle="1" w:styleId="CommentTextChar">
    <w:name w:val="Comment Text Char"/>
    <w:basedOn w:val="DefaultParagraphFont"/>
    <w:link w:val="CommentText"/>
    <w:uiPriority w:val="99"/>
    <w:semiHidden/>
    <w:rsid w:val="002E746E"/>
    <w:rPr>
      <w:sz w:val="20"/>
      <w:szCs w:val="20"/>
    </w:rPr>
  </w:style>
  <w:style w:type="paragraph" w:styleId="CommentSubject">
    <w:name w:val="annotation subject"/>
    <w:basedOn w:val="CommentText"/>
    <w:next w:val="CommentText"/>
    <w:link w:val="CommentSubjectChar"/>
    <w:uiPriority w:val="99"/>
    <w:semiHidden/>
    <w:unhideWhenUsed/>
    <w:rsid w:val="002E746E"/>
    <w:rPr>
      <w:b/>
      <w:bCs/>
    </w:rPr>
  </w:style>
  <w:style w:type="character" w:customStyle="1" w:styleId="CommentSubjectChar">
    <w:name w:val="Comment Subject Char"/>
    <w:basedOn w:val="CommentTextChar"/>
    <w:link w:val="CommentSubject"/>
    <w:uiPriority w:val="99"/>
    <w:semiHidden/>
    <w:rsid w:val="002E746E"/>
    <w:rPr>
      <w:b/>
      <w:bCs/>
      <w:sz w:val="20"/>
      <w:szCs w:val="20"/>
    </w:rPr>
  </w:style>
  <w:style w:type="paragraph" w:styleId="BalloonText">
    <w:name w:val="Balloon Text"/>
    <w:basedOn w:val="Normal"/>
    <w:link w:val="BalloonTextChar"/>
    <w:uiPriority w:val="99"/>
    <w:semiHidden/>
    <w:unhideWhenUsed/>
    <w:rsid w:val="002E7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46E"/>
    <w:rPr>
      <w:rFonts w:ascii="Tahoma" w:hAnsi="Tahoma" w:cs="Tahoma"/>
      <w:sz w:val="16"/>
      <w:szCs w:val="16"/>
    </w:rPr>
  </w:style>
  <w:style w:type="character" w:styleId="FollowedHyperlink">
    <w:name w:val="FollowedHyperlink"/>
    <w:basedOn w:val="DefaultParagraphFont"/>
    <w:uiPriority w:val="99"/>
    <w:semiHidden/>
    <w:unhideWhenUsed/>
    <w:rsid w:val="00425AC2"/>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7127B"/>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127B"/>
  </w:style>
  <w:style w:type="paragraph" w:styleId="Footer">
    <w:name w:val="footer"/>
    <w:basedOn w:val="Normal"/>
    <w:link w:val="FooterChar"/>
    <w:uiPriority w:val="99"/>
    <w:unhideWhenUsed/>
    <w:rsid w:val="00C7127B"/>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127B"/>
  </w:style>
  <w:style w:type="paragraph" w:customStyle="1" w:styleId="BodyText1">
    <w:name w:val="Body Text1"/>
    <w:basedOn w:val="Normal"/>
    <w:qFormat/>
    <w:rsid w:val="00C7127B"/>
    <w:rPr>
      <w:rFonts w:ascii="Arial" w:eastAsia="Calibri" w:hAnsi="Arial" w:cs="Arial"/>
      <w:color w:val="000000"/>
      <w:lang w:eastAsia="en-US"/>
    </w:rPr>
  </w:style>
  <w:style w:type="character" w:styleId="Hyperlink">
    <w:name w:val="Hyperlink"/>
    <w:basedOn w:val="DefaultParagraphFont"/>
    <w:uiPriority w:val="99"/>
    <w:unhideWhenUsed/>
    <w:rsid w:val="00C7127B"/>
    <w:rPr>
      <w:color w:val="0000FF" w:themeColor="hyperlink"/>
      <w:u w:val="single"/>
    </w:rPr>
  </w:style>
  <w:style w:type="paragraph" w:styleId="FootnoteText">
    <w:name w:val="footnote text"/>
    <w:basedOn w:val="Normal"/>
    <w:link w:val="FootnoteTextChar"/>
    <w:uiPriority w:val="99"/>
    <w:semiHidden/>
    <w:unhideWhenUsed/>
    <w:rsid w:val="00503B7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03B76"/>
    <w:rPr>
      <w:sz w:val="20"/>
      <w:szCs w:val="20"/>
    </w:rPr>
  </w:style>
  <w:style w:type="character" w:styleId="FootnoteReference">
    <w:name w:val="footnote reference"/>
    <w:basedOn w:val="DefaultParagraphFont"/>
    <w:uiPriority w:val="99"/>
    <w:semiHidden/>
    <w:unhideWhenUsed/>
    <w:rsid w:val="00503B76"/>
    <w:rPr>
      <w:vertAlign w:val="superscript"/>
    </w:rPr>
  </w:style>
  <w:style w:type="character" w:styleId="CommentReference">
    <w:name w:val="annotation reference"/>
    <w:basedOn w:val="DefaultParagraphFont"/>
    <w:uiPriority w:val="99"/>
    <w:semiHidden/>
    <w:unhideWhenUsed/>
    <w:rsid w:val="002E746E"/>
    <w:rPr>
      <w:sz w:val="16"/>
      <w:szCs w:val="16"/>
    </w:rPr>
  </w:style>
  <w:style w:type="paragraph" w:styleId="CommentText">
    <w:name w:val="annotation text"/>
    <w:basedOn w:val="Normal"/>
    <w:link w:val="CommentTextChar"/>
    <w:uiPriority w:val="99"/>
    <w:semiHidden/>
    <w:unhideWhenUsed/>
    <w:rsid w:val="002E746E"/>
    <w:pPr>
      <w:spacing w:line="240" w:lineRule="auto"/>
    </w:pPr>
    <w:rPr>
      <w:sz w:val="20"/>
      <w:szCs w:val="20"/>
    </w:rPr>
  </w:style>
  <w:style w:type="character" w:customStyle="1" w:styleId="CommentTextChar">
    <w:name w:val="Comment Text Char"/>
    <w:basedOn w:val="DefaultParagraphFont"/>
    <w:link w:val="CommentText"/>
    <w:uiPriority w:val="99"/>
    <w:semiHidden/>
    <w:rsid w:val="002E746E"/>
    <w:rPr>
      <w:sz w:val="20"/>
      <w:szCs w:val="20"/>
    </w:rPr>
  </w:style>
  <w:style w:type="paragraph" w:styleId="CommentSubject">
    <w:name w:val="annotation subject"/>
    <w:basedOn w:val="CommentText"/>
    <w:next w:val="CommentText"/>
    <w:link w:val="CommentSubjectChar"/>
    <w:uiPriority w:val="99"/>
    <w:semiHidden/>
    <w:unhideWhenUsed/>
    <w:rsid w:val="002E746E"/>
    <w:rPr>
      <w:b/>
      <w:bCs/>
    </w:rPr>
  </w:style>
  <w:style w:type="character" w:customStyle="1" w:styleId="CommentSubjectChar">
    <w:name w:val="Comment Subject Char"/>
    <w:basedOn w:val="CommentTextChar"/>
    <w:link w:val="CommentSubject"/>
    <w:uiPriority w:val="99"/>
    <w:semiHidden/>
    <w:rsid w:val="002E746E"/>
    <w:rPr>
      <w:b/>
      <w:bCs/>
      <w:sz w:val="20"/>
      <w:szCs w:val="20"/>
    </w:rPr>
  </w:style>
  <w:style w:type="paragraph" w:styleId="BalloonText">
    <w:name w:val="Balloon Text"/>
    <w:basedOn w:val="Normal"/>
    <w:link w:val="BalloonTextChar"/>
    <w:uiPriority w:val="99"/>
    <w:semiHidden/>
    <w:unhideWhenUsed/>
    <w:rsid w:val="002E746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E746E"/>
    <w:rPr>
      <w:rFonts w:ascii="Tahoma" w:hAnsi="Tahoma" w:cs="Tahoma"/>
      <w:sz w:val="16"/>
      <w:szCs w:val="16"/>
    </w:rPr>
  </w:style>
  <w:style w:type="character" w:styleId="FollowedHyperlink">
    <w:name w:val="FollowedHyperlink"/>
    <w:basedOn w:val="DefaultParagraphFont"/>
    <w:uiPriority w:val="99"/>
    <w:semiHidden/>
    <w:unhideWhenUsed/>
    <w:rsid w:val="00425AC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504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mailto:rebekah.sarkoezy@accan.org.au" TargetMode="External"/><Relationship Id="rId4" Type="http://schemas.microsoft.com/office/2007/relationships/stylesWithEffects" Target="stylesWithEffects.xml"/><Relationship Id="rId9" Type="http://schemas.openxmlformats.org/officeDocument/2006/relationships/hyperlink" Target="mailto:OptionsPaper@tio.com.au"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hyperlink" Target="http://relayservice.gov.a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tio.com.au/sites/default/files/2019-05/TIO-Systemic-Insight-Sales-Practices-Driving-Consumer-Debt-f.pdf" TargetMode="External"/><Relationship Id="rId2" Type="http://schemas.openxmlformats.org/officeDocument/2006/relationships/hyperlink" Target="https://www.tio.com.au/sites/default/files/2019-06/TIO%20Limited%20Options%20Paper.pdf" TargetMode="External"/><Relationship Id="rId1" Type="http://schemas.openxmlformats.org/officeDocument/2006/relationships/hyperlink" Target="https://www.ombudsman.gov.au/__data/assets/pdf_file/0015/31434/ANZOA-Essential_criteria_for_describing_a_body_as_an_Ombudsman.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S:\Templates%20&amp;%20Originals\Templates%202018\Short%20Submissio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52E55-C54B-4EE9-87C5-0B00ED295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Submission Template</Template>
  <TotalTime>1068</TotalTime>
  <Pages>4</Pages>
  <Words>1431</Words>
  <Characters>8163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9575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Rebekah Sarkoezy</dc:creator>
  <cp:lastModifiedBy>Rebekah Sarkoezy</cp:lastModifiedBy>
  <cp:revision>42</cp:revision>
  <cp:lastPrinted>2019-06-28T04:56:00Z</cp:lastPrinted>
  <dcterms:created xsi:type="dcterms:W3CDTF">2019-06-16T23:31:00Z</dcterms:created>
  <dcterms:modified xsi:type="dcterms:W3CDTF">2019-06-28T04:56:00Z</dcterms:modified>
</cp:coreProperties>
</file>