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5820C9" w:rsidP="007D3F16">
      <w:pPr>
        <w:spacing w:after="0"/>
        <w:sectPr w:rsidR="005820C9" w:rsidSect="00002D94">
          <w:headerReference w:type="default" r:id="rId8"/>
          <w:footerReference w:type="default" r:id="rId9"/>
          <w:type w:val="continuous"/>
          <w:pgSz w:w="11906" w:h="16838" w:code="9"/>
          <w:pgMar w:top="1824" w:right="707" w:bottom="567" w:left="1134" w:header="567" w:footer="1474" w:gutter="0"/>
          <w:cols w:space="708"/>
          <w:docGrid w:linePitch="360"/>
        </w:sectPr>
      </w:pPr>
      <w:bookmarkStart w:id="0" w:name="_GoBack"/>
      <w:bookmarkEnd w:id="0"/>
    </w:p>
    <w:p w:rsidR="00DD1B6E" w:rsidRDefault="00675B78" w:rsidP="00DD1B6E">
      <w:pPr>
        <w:spacing w:after="0"/>
        <w:rPr>
          <w:sz w:val="23"/>
          <w:szCs w:val="23"/>
        </w:rPr>
      </w:pPr>
      <w:r>
        <w:rPr>
          <w:sz w:val="23"/>
          <w:szCs w:val="23"/>
        </w:rPr>
        <w:lastRenderedPageBreak/>
        <w:t>7</w:t>
      </w:r>
      <w:r w:rsidR="00AE6A6C" w:rsidRPr="00AE6A6C">
        <w:rPr>
          <w:sz w:val="23"/>
          <w:szCs w:val="23"/>
          <w:vertAlign w:val="superscript"/>
        </w:rPr>
        <w:t>th</w:t>
      </w:r>
      <w:r w:rsidR="00AE6A6C">
        <w:rPr>
          <w:sz w:val="23"/>
          <w:szCs w:val="23"/>
        </w:rPr>
        <w:t xml:space="preserve"> January 2014</w:t>
      </w:r>
    </w:p>
    <w:p w:rsidR="00DD1B6E" w:rsidRDefault="00DD1B6E" w:rsidP="00DD1B6E">
      <w:pPr>
        <w:spacing w:after="0"/>
        <w:rPr>
          <w:sz w:val="23"/>
          <w:szCs w:val="23"/>
        </w:rPr>
      </w:pPr>
    </w:p>
    <w:p w:rsidR="00DD1B6E" w:rsidRDefault="00AE6A6C" w:rsidP="00DD1B6E">
      <w:pPr>
        <w:spacing w:after="0"/>
        <w:rPr>
          <w:sz w:val="23"/>
          <w:szCs w:val="23"/>
        </w:rPr>
      </w:pPr>
      <w:r>
        <w:rPr>
          <w:sz w:val="23"/>
          <w:szCs w:val="23"/>
        </w:rPr>
        <w:t>Assistant Secretary</w:t>
      </w:r>
    </w:p>
    <w:p w:rsidR="00AE6A6C" w:rsidRDefault="00AE6A6C" w:rsidP="00DD1B6E">
      <w:pPr>
        <w:spacing w:after="0"/>
        <w:rPr>
          <w:sz w:val="23"/>
          <w:szCs w:val="23"/>
        </w:rPr>
      </w:pPr>
      <w:r>
        <w:rPr>
          <w:sz w:val="23"/>
          <w:szCs w:val="23"/>
        </w:rPr>
        <w:t>Department of Communications</w:t>
      </w:r>
    </w:p>
    <w:p w:rsidR="00DD1B6E" w:rsidRDefault="00AE6A6C" w:rsidP="00DD1B6E">
      <w:pPr>
        <w:spacing w:after="0"/>
        <w:rPr>
          <w:sz w:val="23"/>
          <w:szCs w:val="23"/>
        </w:rPr>
      </w:pPr>
      <w:r>
        <w:rPr>
          <w:sz w:val="23"/>
          <w:szCs w:val="23"/>
        </w:rPr>
        <w:t>Via email: migration@communications.gov.au</w:t>
      </w:r>
    </w:p>
    <w:p w:rsidR="00DD1B6E" w:rsidRDefault="00DD1B6E" w:rsidP="00DD1B6E">
      <w:pPr>
        <w:spacing w:after="0"/>
        <w:rPr>
          <w:rFonts w:cstheme="minorHAnsi"/>
        </w:rPr>
      </w:pPr>
    </w:p>
    <w:p w:rsidR="00DD1B6E" w:rsidRPr="00156DFA" w:rsidRDefault="00DD1B6E" w:rsidP="00156DFA">
      <w:pPr>
        <w:pStyle w:val="BodyText1"/>
        <w:jc w:val="both"/>
        <w:rPr>
          <w:rFonts w:asciiTheme="minorHAnsi" w:hAnsiTheme="minorHAnsi" w:cstheme="minorHAnsi"/>
        </w:rPr>
      </w:pPr>
      <w:r w:rsidRPr="00156DFA">
        <w:rPr>
          <w:rFonts w:asciiTheme="minorHAnsi" w:hAnsiTheme="minorHAnsi" w:cstheme="minorHAnsi"/>
        </w:rPr>
        <w:t xml:space="preserve">ACCAN thanks the </w:t>
      </w:r>
      <w:r w:rsidR="00AE6A6C" w:rsidRPr="00156DFA">
        <w:rPr>
          <w:rFonts w:asciiTheme="minorHAnsi" w:hAnsiTheme="minorHAnsi" w:cstheme="minorHAnsi"/>
        </w:rPr>
        <w:t>Department of Communications</w:t>
      </w:r>
      <w:r w:rsidRPr="00156DFA">
        <w:rPr>
          <w:rFonts w:asciiTheme="minorHAnsi" w:hAnsiTheme="minorHAnsi" w:cstheme="minorHAnsi"/>
        </w:rPr>
        <w:t xml:space="preserve"> for the opportunity to contribute to its </w:t>
      </w:r>
      <w:r w:rsidR="00266183" w:rsidRPr="00156DFA">
        <w:rPr>
          <w:rFonts w:asciiTheme="minorHAnsi" w:hAnsiTheme="minorHAnsi" w:cstheme="minorHAnsi"/>
        </w:rPr>
        <w:t>consultation</w:t>
      </w:r>
      <w:r w:rsidR="00AE6A6C" w:rsidRPr="00156DFA">
        <w:rPr>
          <w:rFonts w:asciiTheme="minorHAnsi" w:hAnsiTheme="minorHAnsi" w:cstheme="minorHAnsi"/>
        </w:rPr>
        <w:t xml:space="preserve"> on the draft </w:t>
      </w:r>
      <w:r w:rsidR="00675B78">
        <w:rPr>
          <w:rFonts w:asciiTheme="minorHAnsi" w:hAnsiTheme="minorHAnsi" w:cstheme="minorHAnsi"/>
        </w:rPr>
        <w:t xml:space="preserve">Telecommunications Migration Plan Principles Determination and Specified Matters Instrument. </w:t>
      </w:r>
      <w:r w:rsidR="00266183" w:rsidRPr="00156DFA">
        <w:rPr>
          <w:rFonts w:asciiTheme="minorHAnsi" w:hAnsiTheme="minorHAnsi" w:cstheme="minorHAnsi"/>
        </w:rPr>
        <w:t xml:space="preserve"> </w:t>
      </w:r>
    </w:p>
    <w:p w:rsidR="0042593B" w:rsidRDefault="00156DFA" w:rsidP="00156DFA">
      <w:pPr>
        <w:pStyle w:val="BodyText1"/>
        <w:jc w:val="both"/>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To date there have been issues</w:t>
      </w:r>
      <w:r w:rsidR="00DD741A">
        <w:rPr>
          <w:rFonts w:asciiTheme="minorHAnsi" w:eastAsiaTheme="minorEastAsia" w:hAnsiTheme="minorHAnsi" w:cstheme="minorHAnsi"/>
          <w:color w:val="auto"/>
          <w:lang w:eastAsia="en-AU"/>
        </w:rPr>
        <w:t xml:space="preserve"> experienced by end users</w:t>
      </w:r>
      <w:r w:rsidR="0042593B">
        <w:rPr>
          <w:rFonts w:asciiTheme="minorHAnsi" w:eastAsiaTheme="minorEastAsia" w:hAnsiTheme="minorHAnsi" w:cstheme="minorHAnsi"/>
          <w:color w:val="auto"/>
          <w:lang w:eastAsia="en-AU"/>
        </w:rPr>
        <w:t xml:space="preserve"> with the migration to the NBN</w:t>
      </w:r>
      <w:r>
        <w:rPr>
          <w:rStyle w:val="FootnoteReference"/>
          <w:rFonts w:asciiTheme="minorHAnsi" w:eastAsiaTheme="minorEastAsia" w:hAnsiTheme="minorHAnsi" w:cstheme="minorHAnsi"/>
          <w:color w:val="auto"/>
          <w:lang w:eastAsia="en-AU"/>
        </w:rPr>
        <w:footnoteReference w:id="1"/>
      </w:r>
      <w:r w:rsidR="00DD741A">
        <w:rPr>
          <w:rFonts w:asciiTheme="minorHAnsi" w:eastAsiaTheme="minorEastAsia" w:hAnsiTheme="minorHAnsi" w:cstheme="minorHAnsi"/>
          <w:color w:val="auto"/>
          <w:lang w:eastAsia="en-AU"/>
        </w:rPr>
        <w:t xml:space="preserve">, </w:t>
      </w:r>
      <w:r>
        <w:rPr>
          <w:rFonts w:asciiTheme="minorHAnsi" w:eastAsiaTheme="minorEastAsia" w:hAnsiTheme="minorHAnsi" w:cstheme="minorHAnsi"/>
          <w:color w:val="auto"/>
          <w:lang w:eastAsia="en-AU"/>
        </w:rPr>
        <w:t>some of which this consultation addresses</w:t>
      </w:r>
      <w:r w:rsidR="00DD741A">
        <w:rPr>
          <w:rFonts w:asciiTheme="minorHAnsi" w:eastAsiaTheme="minorEastAsia" w:hAnsiTheme="minorHAnsi" w:cstheme="minorHAnsi"/>
          <w:color w:val="auto"/>
          <w:lang w:eastAsia="en-AU"/>
        </w:rPr>
        <w:t xml:space="preserve">. </w:t>
      </w:r>
      <w:r w:rsidR="00CF3B0A">
        <w:rPr>
          <w:rFonts w:asciiTheme="minorHAnsi" w:eastAsiaTheme="minorEastAsia" w:hAnsiTheme="minorHAnsi" w:cstheme="minorHAnsi"/>
          <w:color w:val="auto"/>
          <w:lang w:eastAsia="en-AU"/>
        </w:rPr>
        <w:t>We</w:t>
      </w:r>
      <w:r w:rsidR="0042593B">
        <w:rPr>
          <w:rFonts w:asciiTheme="minorHAnsi" w:eastAsiaTheme="minorEastAsia" w:hAnsiTheme="minorHAnsi" w:cstheme="minorHAnsi"/>
          <w:color w:val="auto"/>
          <w:lang w:eastAsia="en-AU"/>
        </w:rPr>
        <w:t xml:space="preserve"> particularly</w:t>
      </w:r>
      <w:r w:rsidR="00CF3B0A">
        <w:rPr>
          <w:rFonts w:asciiTheme="minorHAnsi" w:eastAsiaTheme="minorEastAsia" w:hAnsiTheme="minorHAnsi" w:cstheme="minorHAnsi"/>
          <w:color w:val="auto"/>
          <w:lang w:eastAsia="en-AU"/>
        </w:rPr>
        <w:t xml:space="preserve"> welcome provision</w:t>
      </w:r>
      <w:r w:rsidR="00675B78">
        <w:rPr>
          <w:rFonts w:asciiTheme="minorHAnsi" w:eastAsiaTheme="minorEastAsia" w:hAnsiTheme="minorHAnsi" w:cstheme="minorHAnsi"/>
          <w:color w:val="auto"/>
          <w:lang w:eastAsia="en-AU"/>
        </w:rPr>
        <w:t>s</w:t>
      </w:r>
      <w:r w:rsidR="00CF3B0A">
        <w:rPr>
          <w:rFonts w:asciiTheme="minorHAnsi" w:eastAsiaTheme="minorEastAsia" w:hAnsiTheme="minorHAnsi" w:cstheme="minorHAnsi"/>
          <w:color w:val="auto"/>
          <w:lang w:eastAsia="en-AU"/>
        </w:rPr>
        <w:t xml:space="preserve"> relating to clearer </w:t>
      </w:r>
      <w:r w:rsidR="0042593B">
        <w:rPr>
          <w:rFonts w:asciiTheme="minorHAnsi" w:eastAsiaTheme="minorEastAsia" w:hAnsiTheme="minorHAnsi" w:cstheme="minorHAnsi"/>
          <w:color w:val="auto"/>
          <w:lang w:eastAsia="en-AU"/>
        </w:rPr>
        <w:t>distinguished</w:t>
      </w:r>
      <w:r w:rsidR="00CF3B0A">
        <w:rPr>
          <w:rFonts w:asciiTheme="minorHAnsi" w:eastAsiaTheme="minorEastAsia" w:hAnsiTheme="minorHAnsi" w:cstheme="minorHAnsi"/>
          <w:color w:val="auto"/>
          <w:lang w:eastAsia="en-AU"/>
        </w:rPr>
        <w:t xml:space="preserve"> areas of responsibility, </w:t>
      </w:r>
      <w:r w:rsidR="0042593B">
        <w:rPr>
          <w:rFonts w:asciiTheme="minorHAnsi" w:eastAsiaTheme="minorEastAsia" w:hAnsiTheme="minorHAnsi" w:cstheme="minorHAnsi"/>
          <w:color w:val="auto"/>
          <w:lang w:eastAsia="en-AU"/>
        </w:rPr>
        <w:t xml:space="preserve">increased emphasis on </w:t>
      </w:r>
      <w:r w:rsidR="00604DD0">
        <w:rPr>
          <w:rFonts w:asciiTheme="minorHAnsi" w:eastAsiaTheme="minorEastAsia" w:hAnsiTheme="minorHAnsi" w:cstheme="minorHAnsi"/>
          <w:color w:val="auto"/>
          <w:lang w:eastAsia="en-AU"/>
        </w:rPr>
        <w:t>continuity</w:t>
      </w:r>
      <w:r w:rsidR="0042593B">
        <w:rPr>
          <w:rFonts w:asciiTheme="minorHAnsi" w:eastAsiaTheme="minorEastAsia" w:hAnsiTheme="minorHAnsi" w:cstheme="minorHAnsi"/>
          <w:color w:val="auto"/>
          <w:lang w:eastAsia="en-AU"/>
        </w:rPr>
        <w:t xml:space="preserve"> and restoration </w:t>
      </w:r>
      <w:r w:rsidR="00604DD0">
        <w:rPr>
          <w:rFonts w:asciiTheme="minorHAnsi" w:eastAsiaTheme="minorEastAsia" w:hAnsiTheme="minorHAnsi" w:cstheme="minorHAnsi"/>
          <w:color w:val="auto"/>
          <w:lang w:eastAsia="en-AU"/>
        </w:rPr>
        <w:t xml:space="preserve">of services and </w:t>
      </w:r>
      <w:r w:rsidR="0042593B">
        <w:rPr>
          <w:rFonts w:asciiTheme="minorHAnsi" w:eastAsiaTheme="minorEastAsia" w:hAnsiTheme="minorHAnsi" w:cstheme="minorHAnsi"/>
          <w:color w:val="auto"/>
          <w:lang w:eastAsia="en-AU"/>
        </w:rPr>
        <w:t xml:space="preserve">increased communication </w:t>
      </w:r>
      <w:r w:rsidR="00BA0FC8">
        <w:rPr>
          <w:rFonts w:asciiTheme="minorHAnsi" w:eastAsiaTheme="minorEastAsia" w:hAnsiTheme="minorHAnsi" w:cstheme="minorHAnsi"/>
          <w:color w:val="auto"/>
          <w:lang w:eastAsia="en-AU"/>
        </w:rPr>
        <w:t>procedures</w:t>
      </w:r>
      <w:r w:rsidR="00604DD0">
        <w:rPr>
          <w:rFonts w:asciiTheme="minorHAnsi" w:eastAsiaTheme="minorEastAsia" w:hAnsiTheme="minorHAnsi" w:cstheme="minorHAnsi"/>
          <w:color w:val="auto"/>
          <w:lang w:eastAsia="en-AU"/>
        </w:rPr>
        <w:t>.</w:t>
      </w:r>
      <w:r w:rsidR="0042593B">
        <w:rPr>
          <w:rFonts w:asciiTheme="minorHAnsi" w:eastAsiaTheme="minorEastAsia" w:hAnsiTheme="minorHAnsi" w:cstheme="minorHAnsi"/>
          <w:color w:val="auto"/>
          <w:lang w:eastAsia="en-AU"/>
        </w:rPr>
        <w:t xml:space="preserve"> </w:t>
      </w:r>
      <w:r w:rsidR="00675B78">
        <w:rPr>
          <w:rFonts w:asciiTheme="minorHAnsi" w:eastAsiaTheme="minorEastAsia" w:hAnsiTheme="minorHAnsi" w:cstheme="minorHAnsi"/>
          <w:color w:val="auto"/>
          <w:lang w:eastAsia="en-AU"/>
        </w:rPr>
        <w:t>It is hoped t</w:t>
      </w:r>
      <w:r w:rsidR="0042593B">
        <w:rPr>
          <w:rFonts w:asciiTheme="minorHAnsi" w:eastAsiaTheme="minorEastAsia" w:hAnsiTheme="minorHAnsi" w:cstheme="minorHAnsi"/>
          <w:color w:val="auto"/>
          <w:lang w:eastAsia="en-AU"/>
        </w:rPr>
        <w:t>hese will help to ease issues experienced by end users.</w:t>
      </w:r>
      <w:r w:rsidR="00604DD0">
        <w:rPr>
          <w:rFonts w:asciiTheme="minorHAnsi" w:eastAsiaTheme="minorEastAsia" w:hAnsiTheme="minorHAnsi" w:cstheme="minorHAnsi"/>
          <w:color w:val="auto"/>
          <w:lang w:eastAsia="en-AU"/>
        </w:rPr>
        <w:t xml:space="preserve"> </w:t>
      </w:r>
    </w:p>
    <w:p w:rsidR="00C32DD1" w:rsidRDefault="00DD741A" w:rsidP="00156DFA">
      <w:pPr>
        <w:pStyle w:val="BodyText1"/>
        <w:jc w:val="both"/>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How</w:t>
      </w:r>
      <w:r w:rsidR="00156DFA">
        <w:rPr>
          <w:rFonts w:asciiTheme="minorHAnsi" w:eastAsiaTheme="minorEastAsia" w:hAnsiTheme="minorHAnsi" w:cstheme="minorHAnsi"/>
          <w:color w:val="auto"/>
          <w:lang w:eastAsia="en-AU"/>
        </w:rPr>
        <w:t xml:space="preserve">ever, </w:t>
      </w:r>
      <w:r>
        <w:rPr>
          <w:rFonts w:asciiTheme="minorHAnsi" w:eastAsiaTheme="minorEastAsia" w:hAnsiTheme="minorHAnsi" w:cstheme="minorHAnsi"/>
          <w:color w:val="auto"/>
          <w:lang w:eastAsia="en-AU"/>
        </w:rPr>
        <w:t xml:space="preserve">ACCAN feels that there are some areas which do not fully address problems </w:t>
      </w:r>
      <w:r w:rsidR="00675B78">
        <w:rPr>
          <w:rFonts w:asciiTheme="minorHAnsi" w:eastAsiaTheme="minorEastAsia" w:hAnsiTheme="minorHAnsi" w:cstheme="minorHAnsi"/>
          <w:color w:val="auto"/>
          <w:lang w:eastAsia="en-AU"/>
        </w:rPr>
        <w:t xml:space="preserve">experienced by consumers to date, </w:t>
      </w:r>
      <w:r>
        <w:rPr>
          <w:rFonts w:asciiTheme="minorHAnsi" w:eastAsiaTheme="minorEastAsia" w:hAnsiTheme="minorHAnsi" w:cstheme="minorHAnsi"/>
          <w:color w:val="auto"/>
          <w:lang w:eastAsia="en-AU"/>
        </w:rPr>
        <w:t xml:space="preserve">and </w:t>
      </w:r>
      <w:r w:rsidR="0042593B">
        <w:rPr>
          <w:rFonts w:asciiTheme="minorHAnsi" w:eastAsiaTheme="minorEastAsia" w:hAnsiTheme="minorHAnsi" w:cstheme="minorHAnsi"/>
          <w:color w:val="auto"/>
          <w:lang w:eastAsia="en-AU"/>
        </w:rPr>
        <w:t xml:space="preserve">that </w:t>
      </w:r>
      <w:r>
        <w:rPr>
          <w:rFonts w:asciiTheme="minorHAnsi" w:eastAsiaTheme="minorEastAsia" w:hAnsiTheme="minorHAnsi" w:cstheme="minorHAnsi"/>
          <w:color w:val="auto"/>
          <w:lang w:eastAsia="en-AU"/>
        </w:rPr>
        <w:t>end users</w:t>
      </w:r>
      <w:r w:rsidR="00675B78">
        <w:rPr>
          <w:rFonts w:asciiTheme="minorHAnsi" w:eastAsiaTheme="minorEastAsia" w:hAnsiTheme="minorHAnsi" w:cstheme="minorHAnsi"/>
          <w:color w:val="auto"/>
          <w:lang w:eastAsia="en-AU"/>
        </w:rPr>
        <w:t>’</w:t>
      </w:r>
      <w:r>
        <w:rPr>
          <w:rFonts w:asciiTheme="minorHAnsi" w:eastAsiaTheme="minorEastAsia" w:hAnsiTheme="minorHAnsi" w:cstheme="minorHAnsi"/>
          <w:color w:val="auto"/>
          <w:lang w:eastAsia="en-AU"/>
        </w:rPr>
        <w:t xml:space="preserve"> experience of </w:t>
      </w:r>
      <w:r w:rsidR="0042593B">
        <w:rPr>
          <w:rFonts w:asciiTheme="minorHAnsi" w:eastAsiaTheme="minorEastAsia" w:hAnsiTheme="minorHAnsi" w:cstheme="minorHAnsi"/>
          <w:color w:val="auto"/>
          <w:lang w:eastAsia="en-AU"/>
        </w:rPr>
        <w:t xml:space="preserve">migrating to </w:t>
      </w:r>
      <w:r>
        <w:rPr>
          <w:rFonts w:asciiTheme="minorHAnsi" w:eastAsiaTheme="minorEastAsia" w:hAnsiTheme="minorHAnsi" w:cstheme="minorHAnsi"/>
          <w:color w:val="auto"/>
          <w:lang w:eastAsia="en-AU"/>
        </w:rPr>
        <w:t>NBN will continue to fall short of expectations.</w:t>
      </w:r>
      <w:r w:rsidR="00BA0FC8">
        <w:rPr>
          <w:rFonts w:asciiTheme="minorHAnsi" w:eastAsiaTheme="minorEastAsia" w:hAnsiTheme="minorHAnsi" w:cstheme="minorHAnsi"/>
          <w:color w:val="auto"/>
          <w:lang w:eastAsia="en-AU"/>
        </w:rPr>
        <w:t xml:space="preserve"> Ultimately, the migration process should provide as seamless a transition of services as possible and minimise services down time for consumers. </w:t>
      </w:r>
    </w:p>
    <w:p w:rsidR="00DD741A" w:rsidRDefault="00CF3B0A" w:rsidP="00CF3B0A">
      <w:pPr>
        <w:pStyle w:val="Heading3"/>
        <w:rPr>
          <w:rFonts w:eastAsiaTheme="minorEastAsia"/>
        </w:rPr>
      </w:pPr>
      <w:r>
        <w:rPr>
          <w:rFonts w:eastAsiaTheme="minorEastAsia"/>
        </w:rPr>
        <w:t>Areas of Responsibility</w:t>
      </w:r>
    </w:p>
    <w:p w:rsidR="00C32DD1" w:rsidRDefault="00CF3B0A" w:rsidP="00156DFA">
      <w:pPr>
        <w:pStyle w:val="BodyText1"/>
        <w:jc w:val="both"/>
        <w:rPr>
          <w:rFonts w:asciiTheme="minorHAnsi" w:eastAsiaTheme="minorEastAsia" w:hAnsiTheme="minorHAnsi" w:cstheme="minorHAnsi"/>
          <w:color w:val="auto"/>
          <w:lang w:eastAsia="en-AU"/>
        </w:rPr>
      </w:pPr>
      <w:r>
        <w:rPr>
          <w:rFonts w:asciiTheme="minorHAnsi" w:eastAsiaTheme="minorEastAsia" w:hAnsiTheme="minorHAnsi" w:cstheme="minorHAnsi"/>
          <w:color w:val="auto"/>
          <w:lang w:eastAsia="en-AU"/>
        </w:rPr>
        <w:t xml:space="preserve">End users have experienced frustration </w:t>
      </w:r>
      <w:r w:rsidR="00725796">
        <w:rPr>
          <w:rFonts w:asciiTheme="minorHAnsi" w:eastAsiaTheme="minorEastAsia" w:hAnsiTheme="minorHAnsi" w:cstheme="minorHAnsi"/>
          <w:color w:val="auto"/>
          <w:lang w:eastAsia="en-AU"/>
        </w:rPr>
        <w:t xml:space="preserve">in the NBN switchover </w:t>
      </w:r>
      <w:r>
        <w:rPr>
          <w:rFonts w:asciiTheme="minorHAnsi" w:eastAsiaTheme="minorEastAsia" w:hAnsiTheme="minorHAnsi" w:cstheme="minorHAnsi"/>
          <w:color w:val="auto"/>
          <w:lang w:eastAsia="en-AU"/>
        </w:rPr>
        <w:t>when the</w:t>
      </w:r>
      <w:r w:rsidR="00725796">
        <w:rPr>
          <w:rFonts w:asciiTheme="minorHAnsi" w:eastAsiaTheme="minorEastAsia" w:hAnsiTheme="minorHAnsi" w:cstheme="minorHAnsi"/>
          <w:color w:val="auto"/>
          <w:lang w:eastAsia="en-AU"/>
        </w:rPr>
        <w:t>y</w:t>
      </w:r>
      <w:r>
        <w:rPr>
          <w:rFonts w:asciiTheme="minorHAnsi" w:eastAsiaTheme="minorEastAsia" w:hAnsiTheme="minorHAnsi" w:cstheme="minorHAnsi"/>
          <w:color w:val="auto"/>
          <w:lang w:eastAsia="en-AU"/>
        </w:rPr>
        <w:t xml:space="preserve"> ha</w:t>
      </w:r>
      <w:r w:rsidR="00725796">
        <w:rPr>
          <w:rFonts w:asciiTheme="minorHAnsi" w:eastAsiaTheme="minorEastAsia" w:hAnsiTheme="minorHAnsi" w:cstheme="minorHAnsi"/>
          <w:color w:val="auto"/>
          <w:lang w:eastAsia="en-AU"/>
        </w:rPr>
        <w:t>ve</w:t>
      </w:r>
      <w:r>
        <w:rPr>
          <w:rFonts w:asciiTheme="minorHAnsi" w:eastAsiaTheme="minorEastAsia" w:hAnsiTheme="minorHAnsi" w:cstheme="minorHAnsi"/>
          <w:color w:val="auto"/>
          <w:lang w:eastAsia="en-AU"/>
        </w:rPr>
        <w:t xml:space="preserve"> encountered problems and the body responsible is not easily identifiable</w:t>
      </w:r>
      <w:r w:rsidR="00BA0FC8">
        <w:rPr>
          <w:rFonts w:asciiTheme="minorHAnsi" w:eastAsiaTheme="minorEastAsia" w:hAnsiTheme="minorHAnsi" w:cstheme="minorHAnsi"/>
          <w:color w:val="auto"/>
          <w:lang w:eastAsia="en-AU"/>
        </w:rPr>
        <w:t xml:space="preserve"> or accountable</w:t>
      </w:r>
      <w:r>
        <w:rPr>
          <w:rFonts w:asciiTheme="minorHAnsi" w:eastAsiaTheme="minorEastAsia" w:hAnsiTheme="minorHAnsi" w:cstheme="minorHAnsi"/>
          <w:color w:val="auto"/>
          <w:lang w:eastAsia="en-AU"/>
        </w:rPr>
        <w:t>. The Department of Communications has acknowledged this issue and ha</w:t>
      </w:r>
      <w:r w:rsidR="00725796">
        <w:rPr>
          <w:rFonts w:asciiTheme="minorHAnsi" w:eastAsiaTheme="minorEastAsia" w:hAnsiTheme="minorHAnsi" w:cstheme="minorHAnsi"/>
          <w:color w:val="auto"/>
          <w:lang w:eastAsia="en-AU"/>
        </w:rPr>
        <w:t>s</w:t>
      </w:r>
      <w:r>
        <w:rPr>
          <w:rFonts w:asciiTheme="minorHAnsi" w:eastAsiaTheme="minorEastAsia" w:hAnsiTheme="minorHAnsi" w:cstheme="minorHAnsi"/>
          <w:color w:val="auto"/>
          <w:lang w:eastAsia="en-AU"/>
        </w:rPr>
        <w:t xml:space="preserve"> attempted to outline areas of responsibility. However, there will remain an issue where end users will face consequences due to a lack of</w:t>
      </w:r>
      <w:r w:rsidR="0042593B">
        <w:rPr>
          <w:rFonts w:asciiTheme="minorHAnsi" w:eastAsiaTheme="minorEastAsia" w:hAnsiTheme="minorHAnsi" w:cstheme="minorHAnsi"/>
          <w:color w:val="auto"/>
          <w:lang w:eastAsia="en-AU"/>
        </w:rPr>
        <w:t xml:space="preserve"> a</w:t>
      </w:r>
      <w:r>
        <w:rPr>
          <w:rFonts w:asciiTheme="minorHAnsi" w:eastAsiaTheme="minorEastAsia" w:hAnsiTheme="minorHAnsi" w:cstheme="minorHAnsi"/>
          <w:color w:val="auto"/>
          <w:lang w:eastAsia="en-AU"/>
        </w:rPr>
        <w:t xml:space="preserve"> clearly identifiable responsible body. </w:t>
      </w:r>
      <w:r w:rsidR="00BA0FC8">
        <w:rPr>
          <w:rFonts w:asciiTheme="minorHAnsi" w:eastAsiaTheme="minorEastAsia" w:hAnsiTheme="minorHAnsi" w:cstheme="minorHAnsi"/>
          <w:color w:val="auto"/>
          <w:lang w:eastAsia="en-AU"/>
        </w:rPr>
        <w:t>Where Telstra and NBN Co are dependent on each other to meet obligations</w:t>
      </w:r>
      <w:r w:rsidR="00725796">
        <w:rPr>
          <w:rFonts w:asciiTheme="minorHAnsi" w:eastAsiaTheme="minorEastAsia" w:hAnsiTheme="minorHAnsi" w:cstheme="minorHAnsi"/>
          <w:color w:val="auto"/>
          <w:lang w:eastAsia="en-AU"/>
        </w:rPr>
        <w:t>,</w:t>
      </w:r>
      <w:r w:rsidR="00BA0FC8">
        <w:rPr>
          <w:rFonts w:asciiTheme="minorHAnsi" w:eastAsiaTheme="minorEastAsia" w:hAnsiTheme="minorHAnsi" w:cstheme="minorHAnsi"/>
          <w:color w:val="auto"/>
          <w:lang w:eastAsia="en-AU"/>
        </w:rPr>
        <w:t xml:space="preserve"> situations are likely</w:t>
      </w:r>
      <w:r w:rsidR="008D10A0">
        <w:rPr>
          <w:rFonts w:asciiTheme="minorHAnsi" w:eastAsiaTheme="minorEastAsia" w:hAnsiTheme="minorHAnsi" w:cstheme="minorHAnsi"/>
          <w:color w:val="auto"/>
          <w:lang w:eastAsia="en-AU"/>
        </w:rPr>
        <w:t xml:space="preserve"> to arise</w:t>
      </w:r>
      <w:r w:rsidR="00BA0FC8">
        <w:rPr>
          <w:rFonts w:asciiTheme="minorHAnsi" w:eastAsiaTheme="minorEastAsia" w:hAnsiTheme="minorHAnsi" w:cstheme="minorHAnsi"/>
          <w:color w:val="auto"/>
          <w:lang w:eastAsia="en-AU"/>
        </w:rPr>
        <w:t xml:space="preserve"> where obligations will not be met and no one is responsible. This is further compounded when</w:t>
      </w:r>
      <w:r>
        <w:rPr>
          <w:rFonts w:asciiTheme="minorHAnsi" w:eastAsiaTheme="minorEastAsia" w:hAnsiTheme="minorHAnsi" w:cstheme="minorHAnsi"/>
          <w:color w:val="auto"/>
          <w:lang w:eastAsia="en-AU"/>
        </w:rPr>
        <w:t xml:space="preserve"> the end user does not have a channel of communication with </w:t>
      </w:r>
      <w:r w:rsidR="00BA0FC8">
        <w:rPr>
          <w:rFonts w:asciiTheme="minorHAnsi" w:eastAsiaTheme="minorEastAsia" w:hAnsiTheme="minorHAnsi" w:cstheme="minorHAnsi"/>
          <w:color w:val="auto"/>
          <w:lang w:eastAsia="en-AU"/>
        </w:rPr>
        <w:t>all the bodies involved</w:t>
      </w:r>
      <w:r w:rsidR="00F71DE5">
        <w:rPr>
          <w:rFonts w:asciiTheme="minorHAnsi" w:eastAsiaTheme="minorEastAsia" w:hAnsiTheme="minorHAnsi" w:cstheme="minorHAnsi"/>
          <w:color w:val="auto"/>
          <w:lang w:eastAsia="en-AU"/>
        </w:rPr>
        <w:t xml:space="preserve"> and</w:t>
      </w:r>
      <w:r w:rsidR="00725796">
        <w:rPr>
          <w:rFonts w:asciiTheme="minorHAnsi" w:eastAsiaTheme="minorEastAsia" w:hAnsiTheme="minorHAnsi" w:cstheme="minorHAnsi"/>
          <w:color w:val="auto"/>
          <w:lang w:eastAsia="en-AU"/>
        </w:rPr>
        <w:t xml:space="preserve"> is</w:t>
      </w:r>
      <w:r w:rsidR="00F71DE5">
        <w:rPr>
          <w:rFonts w:asciiTheme="minorHAnsi" w:eastAsiaTheme="minorEastAsia" w:hAnsiTheme="minorHAnsi" w:cstheme="minorHAnsi"/>
          <w:color w:val="auto"/>
          <w:lang w:eastAsia="en-AU"/>
        </w:rPr>
        <w:t xml:space="preserve"> relying on third party retailers</w:t>
      </w:r>
      <w:r w:rsidR="00BA0FC8">
        <w:rPr>
          <w:rFonts w:asciiTheme="minorHAnsi" w:eastAsiaTheme="minorEastAsia" w:hAnsiTheme="minorHAnsi" w:cstheme="minorHAnsi"/>
          <w:color w:val="auto"/>
          <w:lang w:eastAsia="en-AU"/>
        </w:rPr>
        <w:t>. T</w:t>
      </w:r>
      <w:r>
        <w:rPr>
          <w:rFonts w:asciiTheme="minorHAnsi" w:eastAsiaTheme="minorEastAsia" w:hAnsiTheme="minorHAnsi" w:cstheme="minorHAnsi"/>
          <w:color w:val="auto"/>
          <w:lang w:eastAsia="en-AU"/>
        </w:rPr>
        <w:t>here is no clear channel to resolve issues</w:t>
      </w:r>
      <w:r w:rsidR="00F71DE5">
        <w:rPr>
          <w:rFonts w:asciiTheme="minorHAnsi" w:eastAsiaTheme="minorEastAsia" w:hAnsiTheme="minorHAnsi" w:cstheme="minorHAnsi"/>
          <w:color w:val="auto"/>
          <w:lang w:eastAsia="en-AU"/>
        </w:rPr>
        <w:t>,</w:t>
      </w:r>
      <w:r>
        <w:rPr>
          <w:rFonts w:asciiTheme="minorHAnsi" w:eastAsiaTheme="minorEastAsia" w:hAnsiTheme="minorHAnsi" w:cstheme="minorHAnsi"/>
          <w:color w:val="auto"/>
          <w:lang w:eastAsia="en-AU"/>
        </w:rPr>
        <w:t xml:space="preserve"> and to receive information</w:t>
      </w:r>
      <w:r w:rsidR="00BA0FC8">
        <w:rPr>
          <w:rFonts w:asciiTheme="minorHAnsi" w:eastAsiaTheme="minorEastAsia" w:hAnsiTheme="minorHAnsi" w:cstheme="minorHAnsi"/>
          <w:color w:val="auto"/>
          <w:lang w:eastAsia="en-AU"/>
        </w:rPr>
        <w:t xml:space="preserve"> from</w:t>
      </w:r>
      <w:r w:rsidR="00F71DE5">
        <w:rPr>
          <w:rFonts w:asciiTheme="minorHAnsi" w:eastAsiaTheme="minorEastAsia" w:hAnsiTheme="minorHAnsi" w:cstheme="minorHAnsi"/>
          <w:color w:val="auto"/>
          <w:lang w:eastAsia="en-AU"/>
        </w:rPr>
        <w:t>,</w:t>
      </w:r>
      <w:r>
        <w:rPr>
          <w:rFonts w:asciiTheme="minorHAnsi" w:eastAsiaTheme="minorEastAsia" w:hAnsiTheme="minorHAnsi" w:cstheme="minorHAnsi"/>
          <w:color w:val="auto"/>
          <w:lang w:eastAsia="en-AU"/>
        </w:rPr>
        <w:t xml:space="preserve"> for the end user.</w:t>
      </w:r>
      <w:r w:rsidR="00BA0FC8">
        <w:rPr>
          <w:rFonts w:asciiTheme="minorHAnsi" w:eastAsiaTheme="minorEastAsia" w:hAnsiTheme="minorHAnsi" w:cstheme="minorHAnsi"/>
          <w:color w:val="auto"/>
          <w:lang w:eastAsia="en-AU"/>
        </w:rPr>
        <w:t xml:space="preserve"> Any issues that do arise are likely to be dealt with in a more timely fashion when there is a clear line of responsibility and no cracks. Further consideration needs to be given to how bodies are accountable for obligations which they do not have full control over</w:t>
      </w:r>
      <w:r w:rsidR="00725796">
        <w:rPr>
          <w:rFonts w:asciiTheme="minorHAnsi" w:eastAsiaTheme="minorEastAsia" w:hAnsiTheme="minorHAnsi" w:cstheme="minorHAnsi"/>
          <w:color w:val="auto"/>
          <w:lang w:eastAsia="en-AU"/>
        </w:rPr>
        <w:t>,</w:t>
      </w:r>
      <w:r w:rsidR="00BA0FC8">
        <w:rPr>
          <w:rFonts w:asciiTheme="minorHAnsi" w:eastAsiaTheme="minorEastAsia" w:hAnsiTheme="minorHAnsi" w:cstheme="minorHAnsi"/>
          <w:color w:val="auto"/>
          <w:lang w:eastAsia="en-AU"/>
        </w:rPr>
        <w:t xml:space="preserve"> and how this is conveyed to the end users.</w:t>
      </w:r>
    </w:p>
    <w:p w:rsidR="0042593B" w:rsidRDefault="0042593B" w:rsidP="0042593B">
      <w:pPr>
        <w:pStyle w:val="Heading3"/>
      </w:pPr>
      <w:r>
        <w:t>Communicating with End Users</w:t>
      </w:r>
    </w:p>
    <w:p w:rsidR="0042593B" w:rsidRDefault="0042593B" w:rsidP="0042593B">
      <w:pPr>
        <w:pStyle w:val="BodyText1"/>
        <w:jc w:val="both"/>
        <w:rPr>
          <w:rFonts w:asciiTheme="minorHAnsi" w:hAnsiTheme="minorHAnsi" w:cstheme="minorHAnsi"/>
          <w:color w:val="auto"/>
        </w:rPr>
      </w:pPr>
      <w:r>
        <w:rPr>
          <w:rFonts w:asciiTheme="minorHAnsi" w:hAnsiTheme="minorHAnsi" w:cstheme="minorHAnsi"/>
          <w:color w:val="auto"/>
        </w:rPr>
        <w:t>The migration</w:t>
      </w:r>
      <w:r w:rsidR="00F71DE5">
        <w:rPr>
          <w:rFonts w:asciiTheme="minorHAnsi" w:hAnsiTheme="minorHAnsi" w:cstheme="minorHAnsi"/>
          <w:color w:val="auto"/>
        </w:rPr>
        <w:t xml:space="preserve"> process</w:t>
      </w:r>
      <w:r>
        <w:rPr>
          <w:rFonts w:asciiTheme="minorHAnsi" w:hAnsiTheme="minorHAnsi" w:cstheme="minorHAnsi"/>
          <w:color w:val="auto"/>
        </w:rPr>
        <w:t xml:space="preserve"> to NBN is complicated for end users; there are a number of parties involved and steps to be followed. End users need to be kept informed of what is happening and what they need to do and when. This should be provided in a consistent manner from a limited number of channels to avoid confusion and information overload. </w:t>
      </w:r>
      <w:r w:rsidR="00B7084E">
        <w:rPr>
          <w:rFonts w:asciiTheme="minorHAnsi" w:hAnsiTheme="minorHAnsi" w:cstheme="minorHAnsi"/>
          <w:color w:val="auto"/>
        </w:rPr>
        <w:t>For example, end users should be able to obtain the same consistent information from Telstra and NBN</w:t>
      </w:r>
      <w:r w:rsidR="007E5C2B">
        <w:rPr>
          <w:rFonts w:asciiTheme="minorHAnsi" w:hAnsiTheme="minorHAnsi" w:cstheme="minorHAnsi"/>
          <w:color w:val="auto"/>
        </w:rPr>
        <w:t xml:space="preserve">. </w:t>
      </w:r>
      <w:r>
        <w:rPr>
          <w:rFonts w:asciiTheme="minorHAnsi" w:hAnsiTheme="minorHAnsi" w:cstheme="minorHAnsi"/>
          <w:color w:val="auto"/>
        </w:rPr>
        <w:t xml:space="preserve">Communication needs to be the </w:t>
      </w:r>
      <w:r>
        <w:rPr>
          <w:rFonts w:asciiTheme="minorHAnsi" w:hAnsiTheme="minorHAnsi" w:cstheme="minorHAnsi"/>
          <w:color w:val="auto"/>
        </w:rPr>
        <w:lastRenderedPageBreak/>
        <w:t>responsibility of the providers</w:t>
      </w:r>
      <w:r w:rsidR="008D10A0">
        <w:rPr>
          <w:rFonts w:asciiTheme="minorHAnsi" w:hAnsiTheme="minorHAnsi" w:cstheme="minorHAnsi"/>
          <w:color w:val="auto"/>
        </w:rPr>
        <w:t xml:space="preserve"> and along the chain</w:t>
      </w:r>
      <w:r>
        <w:rPr>
          <w:rFonts w:asciiTheme="minorHAnsi" w:hAnsiTheme="minorHAnsi" w:cstheme="minorHAnsi"/>
          <w:color w:val="auto"/>
        </w:rPr>
        <w:t xml:space="preserve">, not the end users. Adequate attempts should be made to contact end users, with consideration given to those that may not be easily contactable or </w:t>
      </w:r>
      <w:r w:rsidR="00F71DE5">
        <w:rPr>
          <w:rFonts w:asciiTheme="minorHAnsi" w:hAnsiTheme="minorHAnsi" w:cstheme="minorHAnsi"/>
          <w:color w:val="auto"/>
        </w:rPr>
        <w:t xml:space="preserve">may </w:t>
      </w:r>
      <w:r>
        <w:rPr>
          <w:rFonts w:asciiTheme="minorHAnsi" w:hAnsiTheme="minorHAnsi" w:cstheme="minorHAnsi"/>
          <w:color w:val="auto"/>
        </w:rPr>
        <w:t xml:space="preserve">need more than time to prepare. The regulations </w:t>
      </w:r>
      <w:r w:rsidR="007E5C2B">
        <w:rPr>
          <w:rFonts w:asciiTheme="minorHAnsi" w:hAnsiTheme="minorHAnsi" w:cstheme="minorHAnsi"/>
          <w:color w:val="auto"/>
        </w:rPr>
        <w:t xml:space="preserve">state who is responsible for the provision of certain </w:t>
      </w:r>
      <w:r w:rsidR="00492444">
        <w:rPr>
          <w:rFonts w:asciiTheme="minorHAnsi" w:hAnsiTheme="minorHAnsi" w:cstheme="minorHAnsi"/>
          <w:color w:val="auto"/>
        </w:rPr>
        <w:t>activities</w:t>
      </w:r>
      <w:r w:rsidR="007E5C2B">
        <w:rPr>
          <w:rFonts w:asciiTheme="minorHAnsi" w:hAnsiTheme="minorHAnsi" w:cstheme="minorHAnsi"/>
          <w:color w:val="auto"/>
        </w:rPr>
        <w:t>, but do not sufficiently acknowledge that</w:t>
      </w:r>
      <w:r w:rsidR="00492444">
        <w:rPr>
          <w:rFonts w:asciiTheme="minorHAnsi" w:hAnsiTheme="minorHAnsi" w:cstheme="minorHAnsi"/>
          <w:color w:val="auto"/>
        </w:rPr>
        <w:t xml:space="preserve"> all parties need to be engaged and prepared to provide consistent information to the public in order to minimise end user confusion. </w:t>
      </w:r>
      <w:r w:rsidR="007E5C2B">
        <w:rPr>
          <w:rFonts w:asciiTheme="minorHAnsi" w:hAnsiTheme="minorHAnsi" w:cstheme="minorHAnsi"/>
          <w:color w:val="auto"/>
        </w:rPr>
        <w:t xml:space="preserve"> </w:t>
      </w:r>
    </w:p>
    <w:p w:rsidR="00CF3B0A" w:rsidRPr="00CF3B0A" w:rsidRDefault="00CF3B0A" w:rsidP="00CF3B0A">
      <w:pPr>
        <w:pStyle w:val="Heading3"/>
      </w:pPr>
      <w:r w:rsidRPr="00CF3B0A">
        <w:t>Continuity of Service</w:t>
      </w:r>
    </w:p>
    <w:p w:rsidR="00C32DD1" w:rsidRDefault="00E71265" w:rsidP="00E71265">
      <w:pPr>
        <w:pStyle w:val="BodyText1"/>
        <w:jc w:val="both"/>
        <w:rPr>
          <w:rFonts w:asciiTheme="minorHAnsi" w:hAnsiTheme="minorHAnsi" w:cstheme="minorHAnsi"/>
          <w:color w:val="auto"/>
        </w:rPr>
      </w:pPr>
      <w:r>
        <w:rPr>
          <w:rFonts w:asciiTheme="minorHAnsi" w:hAnsiTheme="minorHAnsi" w:cstheme="minorHAnsi"/>
          <w:color w:val="auto"/>
        </w:rPr>
        <w:t>Continuity of service is very important for end users, particularly small businesses. ACCAN has concerns that the regulations do not consider sufficiently the impact that discontinuity of service has on consumers</w:t>
      </w:r>
      <w:r w:rsidR="00EF38A8">
        <w:rPr>
          <w:rFonts w:asciiTheme="minorHAnsi" w:hAnsiTheme="minorHAnsi" w:cstheme="minorHAnsi"/>
          <w:color w:val="auto"/>
        </w:rPr>
        <w:t xml:space="preserve">, nor that the MTM carries an increased risk of discontinuity of service due to the complexity of the varying technologies involved. </w:t>
      </w:r>
      <w:r>
        <w:rPr>
          <w:rFonts w:asciiTheme="minorHAnsi" w:hAnsiTheme="minorHAnsi" w:cstheme="minorHAnsi"/>
          <w:color w:val="auto"/>
        </w:rPr>
        <w:t xml:space="preserve"> Outages between conne</w:t>
      </w:r>
      <w:r w:rsidR="003A2051">
        <w:rPr>
          <w:rFonts w:asciiTheme="minorHAnsi" w:hAnsiTheme="minorHAnsi" w:cstheme="minorHAnsi"/>
          <w:color w:val="auto"/>
        </w:rPr>
        <w:t>ction</w:t>
      </w:r>
      <w:r w:rsidR="00F71DE5">
        <w:rPr>
          <w:rFonts w:asciiTheme="minorHAnsi" w:hAnsiTheme="minorHAnsi" w:cstheme="minorHAnsi"/>
          <w:color w:val="auto"/>
        </w:rPr>
        <w:t xml:space="preserve"> and</w:t>
      </w:r>
      <w:r w:rsidR="003A2051">
        <w:rPr>
          <w:rFonts w:asciiTheme="minorHAnsi" w:hAnsiTheme="minorHAnsi" w:cstheme="minorHAnsi"/>
          <w:color w:val="auto"/>
        </w:rPr>
        <w:t xml:space="preserve"> disconnection</w:t>
      </w:r>
      <w:r>
        <w:rPr>
          <w:rFonts w:asciiTheme="minorHAnsi" w:hAnsiTheme="minorHAnsi" w:cstheme="minorHAnsi"/>
          <w:color w:val="auto"/>
        </w:rPr>
        <w:t xml:space="preserve"> can cause significant cost to end users and reduce the economic benefit to society as a whole. </w:t>
      </w:r>
      <w:r w:rsidR="003A2051">
        <w:rPr>
          <w:rFonts w:asciiTheme="minorHAnsi" w:hAnsiTheme="minorHAnsi" w:cstheme="minorHAnsi"/>
          <w:color w:val="auto"/>
        </w:rPr>
        <w:t xml:space="preserve">Further consideration should be given to </w:t>
      </w:r>
      <w:r>
        <w:rPr>
          <w:rFonts w:asciiTheme="minorHAnsi" w:hAnsiTheme="minorHAnsi" w:cstheme="minorHAnsi"/>
          <w:color w:val="auto"/>
        </w:rPr>
        <w:t xml:space="preserve">the coordination between Telstra and third parties to minimise the incidences of this occurring. </w:t>
      </w:r>
      <w:r w:rsidR="00F71DE5">
        <w:rPr>
          <w:rFonts w:asciiTheme="minorHAnsi" w:hAnsiTheme="minorHAnsi" w:cstheme="minorHAnsi"/>
          <w:color w:val="auto"/>
        </w:rPr>
        <w:t>The timing of disconnections and connections should be limited to the availability of services for end users.</w:t>
      </w:r>
    </w:p>
    <w:p w:rsidR="00DF1199" w:rsidRPr="00DF1199" w:rsidRDefault="00DF1199" w:rsidP="00DF1199">
      <w:pPr>
        <w:pStyle w:val="Heading3"/>
        <w:rPr>
          <w:lang w:val="en-AU"/>
        </w:rPr>
      </w:pPr>
      <w:r w:rsidRPr="00DF1199">
        <w:rPr>
          <w:lang w:val="en-AU"/>
        </w:rPr>
        <w:t>Competition</w:t>
      </w:r>
    </w:p>
    <w:p w:rsidR="00E71265" w:rsidRPr="00E71265" w:rsidRDefault="00DF1199" w:rsidP="00E71265">
      <w:pPr>
        <w:jc w:val="both"/>
        <w:rPr>
          <w:lang w:val="en-US" w:eastAsia="en-US"/>
        </w:rPr>
      </w:pPr>
      <w:r w:rsidRPr="00DF1199">
        <w:rPr>
          <w:rFonts w:eastAsia="Times New Roman" w:cstheme="minorHAnsi"/>
        </w:rPr>
        <w:t>It is in end users interest that the broadband market operates on a level playing field and doesn’t produce information asymmetries. ACCAN welcomes the extension of the regulation to all the technologies in the multi technology mix but fears that in some instances the regulations have not been applied fairly across the board. For example Telstra’s reporting obligation on information security systems</w:t>
      </w:r>
      <w:r w:rsidR="00D85BF5">
        <w:rPr>
          <w:rFonts w:cstheme="minorHAnsi"/>
        </w:rPr>
        <w:t xml:space="preserve"> and</w:t>
      </w:r>
      <w:r w:rsidRPr="00DF1199">
        <w:rPr>
          <w:rFonts w:eastAsia="Times New Roman" w:cstheme="minorHAnsi"/>
        </w:rPr>
        <w:t xml:space="preserve"> HFC pre ownership arrangements. ACCAN would like to see evidence that these will not produce information asymmetries and market distortions. </w:t>
      </w:r>
      <w:r w:rsidR="00D85BF5">
        <w:rPr>
          <w:lang w:val="en-US" w:eastAsia="en-US"/>
        </w:rPr>
        <w:t>Also the</w:t>
      </w:r>
      <w:r w:rsidR="00F71DE5">
        <w:rPr>
          <w:lang w:val="en-US" w:eastAsia="en-US"/>
        </w:rPr>
        <w:t xml:space="preserve"> end users ability to choose products on the NBN market</w:t>
      </w:r>
      <w:r w:rsidR="00D85BF5">
        <w:rPr>
          <w:lang w:val="en-US" w:eastAsia="en-US"/>
        </w:rPr>
        <w:t xml:space="preserve"> should not be limited after the switch from HFC</w:t>
      </w:r>
      <w:r w:rsidR="00F71DE5">
        <w:rPr>
          <w:lang w:val="en-US" w:eastAsia="en-US"/>
        </w:rPr>
        <w:t>. The length of contracts and termination fees</w:t>
      </w:r>
      <w:r w:rsidR="00173EBF">
        <w:rPr>
          <w:lang w:val="en-US" w:eastAsia="en-US"/>
        </w:rPr>
        <w:t xml:space="preserve"> that can be offered to end users</w:t>
      </w:r>
      <w:r>
        <w:rPr>
          <w:lang w:val="en-US" w:eastAsia="en-US"/>
        </w:rPr>
        <w:t xml:space="preserve">, under Telstra provided HFC service </w:t>
      </w:r>
      <w:r w:rsidR="002B0D08">
        <w:rPr>
          <w:lang w:val="en-US" w:eastAsia="en-US"/>
        </w:rPr>
        <w:t>prior</w:t>
      </w:r>
      <w:r>
        <w:rPr>
          <w:lang w:val="en-US" w:eastAsia="en-US"/>
        </w:rPr>
        <w:t xml:space="preserve"> to migrat</w:t>
      </w:r>
      <w:r w:rsidR="00173EBF">
        <w:rPr>
          <w:lang w:val="en-US" w:eastAsia="en-US"/>
        </w:rPr>
        <w:t>ion</w:t>
      </w:r>
      <w:r>
        <w:rPr>
          <w:lang w:val="en-US" w:eastAsia="en-US"/>
        </w:rPr>
        <w:t>,</w:t>
      </w:r>
      <w:r w:rsidR="00F71DE5">
        <w:rPr>
          <w:lang w:val="en-US" w:eastAsia="en-US"/>
        </w:rPr>
        <w:t xml:space="preserve"> should be limited so that end users are free to switch providers to NBN services without fearing termination fees and lengthy contracts.</w:t>
      </w:r>
      <w:r w:rsidR="00C946CC">
        <w:rPr>
          <w:lang w:val="en-US" w:eastAsia="en-US"/>
        </w:rPr>
        <w:t xml:space="preserve"> </w:t>
      </w:r>
      <w:r w:rsidR="00492444">
        <w:rPr>
          <w:lang w:val="en-US" w:eastAsia="en-US"/>
        </w:rPr>
        <w:t xml:space="preserve">Without such an approach, our concern is that there </w:t>
      </w:r>
      <w:r w:rsidR="00C946CC">
        <w:rPr>
          <w:lang w:val="en-US" w:eastAsia="en-US"/>
        </w:rPr>
        <w:t xml:space="preserve">would </w:t>
      </w:r>
      <w:r w:rsidR="00492444">
        <w:rPr>
          <w:lang w:val="en-US" w:eastAsia="en-US"/>
        </w:rPr>
        <w:t xml:space="preserve">be </w:t>
      </w:r>
      <w:r w:rsidR="00C946CC">
        <w:rPr>
          <w:lang w:val="en-US" w:eastAsia="en-US"/>
        </w:rPr>
        <w:t>not only reduce</w:t>
      </w:r>
      <w:r w:rsidR="00492444">
        <w:rPr>
          <w:lang w:val="en-US" w:eastAsia="en-US"/>
        </w:rPr>
        <w:t>d</w:t>
      </w:r>
      <w:r w:rsidR="00C946CC">
        <w:rPr>
          <w:lang w:val="en-US" w:eastAsia="en-US"/>
        </w:rPr>
        <w:t xml:space="preserve"> consumer utility but also </w:t>
      </w:r>
      <w:r w:rsidR="00492444">
        <w:rPr>
          <w:lang w:val="en-US" w:eastAsia="en-US"/>
        </w:rPr>
        <w:t xml:space="preserve">reduced </w:t>
      </w:r>
      <w:r w:rsidR="00C946CC">
        <w:rPr>
          <w:lang w:val="en-US" w:eastAsia="en-US"/>
        </w:rPr>
        <w:t xml:space="preserve">potential benefits </w:t>
      </w:r>
      <w:r w:rsidR="0002022C">
        <w:rPr>
          <w:lang w:val="en-US" w:eastAsia="en-US"/>
        </w:rPr>
        <w:t>from</w:t>
      </w:r>
      <w:r w:rsidR="00C946CC">
        <w:rPr>
          <w:lang w:val="en-US" w:eastAsia="en-US"/>
        </w:rPr>
        <w:t xml:space="preserve"> NBN. Likewise options should be available to end</w:t>
      </w:r>
      <w:r w:rsidR="00E71CE3">
        <w:rPr>
          <w:lang w:val="en-US" w:eastAsia="en-US"/>
        </w:rPr>
        <w:t xml:space="preserve"> </w:t>
      </w:r>
      <w:r w:rsidR="00C946CC">
        <w:rPr>
          <w:lang w:val="en-US" w:eastAsia="en-US"/>
        </w:rPr>
        <w:t xml:space="preserve">users in the interim periods. We have seen that consumers are not offered services as NBN will be rolling out into their area soon, leaving end users with a lack of services for a period of time. </w:t>
      </w:r>
    </w:p>
    <w:p w:rsidR="00C32DD1" w:rsidRDefault="003A2051" w:rsidP="00C32DD1">
      <w:pPr>
        <w:pStyle w:val="BodyText1"/>
        <w:rPr>
          <w:rFonts w:asciiTheme="minorHAnsi" w:hAnsiTheme="minorHAnsi" w:cstheme="minorHAnsi"/>
          <w:color w:val="auto"/>
        </w:rPr>
      </w:pPr>
      <w:r>
        <w:rPr>
          <w:rFonts w:asciiTheme="minorHAnsi" w:hAnsiTheme="minorHAnsi" w:cstheme="minorHAnsi"/>
          <w:color w:val="auto"/>
        </w:rPr>
        <w:t>ACCAN would ask that the Department of Communications give further consideration to end users in the regulations to address the issues identified above.</w:t>
      </w:r>
    </w:p>
    <w:p w:rsidR="00DD1B6E" w:rsidRDefault="00F71DE5" w:rsidP="00DD1B6E">
      <w:pPr>
        <w:pStyle w:val="BodyText1"/>
        <w:rPr>
          <w:rFonts w:asciiTheme="minorHAnsi" w:hAnsiTheme="minorHAnsi" w:cstheme="minorHAnsi"/>
          <w:color w:val="auto"/>
        </w:rPr>
      </w:pPr>
      <w:r>
        <w:rPr>
          <w:rFonts w:asciiTheme="minorHAnsi" w:hAnsiTheme="minorHAnsi" w:cstheme="minorHAnsi"/>
          <w:color w:val="auto"/>
        </w:rPr>
        <w:t>Yours s</w:t>
      </w:r>
      <w:r w:rsidR="00B61BF2">
        <w:rPr>
          <w:rFonts w:asciiTheme="minorHAnsi" w:hAnsiTheme="minorHAnsi" w:cstheme="minorHAnsi"/>
          <w:color w:val="auto"/>
        </w:rPr>
        <w:t>incerely</w:t>
      </w:r>
    </w:p>
    <w:p w:rsidR="00B61BF2" w:rsidRDefault="00B61BF2" w:rsidP="003A2051">
      <w:pPr>
        <w:pStyle w:val="BodyText1"/>
        <w:spacing w:after="0"/>
        <w:rPr>
          <w:rFonts w:asciiTheme="minorHAnsi" w:hAnsiTheme="minorHAnsi" w:cstheme="minorHAnsi"/>
          <w:color w:val="auto"/>
        </w:rPr>
      </w:pPr>
      <w:r>
        <w:rPr>
          <w:rFonts w:asciiTheme="minorHAnsi" w:hAnsiTheme="minorHAnsi" w:cstheme="minorHAnsi"/>
          <w:color w:val="auto"/>
        </w:rPr>
        <w:t>Rachel Thomas</w:t>
      </w:r>
    </w:p>
    <w:p w:rsidR="00B61BF2" w:rsidRDefault="00B61BF2" w:rsidP="003A2051">
      <w:pPr>
        <w:pStyle w:val="BodyText1"/>
        <w:spacing w:after="0"/>
        <w:rPr>
          <w:rFonts w:asciiTheme="minorHAnsi" w:hAnsiTheme="minorHAnsi" w:cstheme="minorHAnsi"/>
          <w:color w:val="auto"/>
        </w:rPr>
      </w:pPr>
      <w:r>
        <w:rPr>
          <w:rFonts w:asciiTheme="minorHAnsi" w:hAnsiTheme="minorHAnsi" w:cstheme="minorHAnsi"/>
          <w:color w:val="auto"/>
        </w:rPr>
        <w:t>Policy Officer</w:t>
      </w:r>
    </w:p>
    <w:sectPr w:rsidR="00B61BF2" w:rsidSect="00084A5B">
      <w:headerReference w:type="default" r:id="rId10"/>
      <w:footerReference w:type="default" r:id="rId11"/>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EFF" w:rsidRDefault="00073EFF" w:rsidP="005820C9">
      <w:pPr>
        <w:spacing w:after="0" w:line="240" w:lineRule="auto"/>
      </w:pPr>
      <w:r>
        <w:separator/>
      </w:r>
    </w:p>
  </w:endnote>
  <w:endnote w:type="continuationSeparator" w:id="0">
    <w:p w:rsidR="00073EFF" w:rsidRDefault="00073EFF" w:rsidP="0058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A0" w:rsidRDefault="008D10A0" w:rsidP="00002D94">
    <w:pPr>
      <w:pStyle w:val="Footer"/>
    </w:pPr>
    <w:r>
      <w:rPr>
        <w:noProof/>
        <w:lang w:val="en-AU" w:eastAsia="en-AU"/>
      </w:rPr>
      <mc:AlternateContent>
        <mc:Choice Requires="wpg">
          <w:drawing>
            <wp:anchor distT="0" distB="0" distL="114300" distR="114300" simplePos="0" relativeHeight="251659264" behindDoc="1" locked="0" layoutInCell="1" allowOverlap="1" wp14:anchorId="09D75F90" wp14:editId="2679DD73">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8D10A0" w:rsidRDefault="008D10A0" w:rsidP="001C28E7">
                            <w:pPr>
                              <w:spacing w:after="0" w:line="240" w:lineRule="auto"/>
                              <w:rPr>
                                <w:color w:val="23B0E6"/>
                                <w:sz w:val="20"/>
                                <w:szCs w:val="20"/>
                              </w:rPr>
                            </w:pPr>
                          </w:p>
                          <w:p w:rsidR="008D10A0" w:rsidRPr="00002D94" w:rsidRDefault="008D10A0" w:rsidP="001C28E7">
                            <w:pPr>
                              <w:spacing w:after="0" w:line="240" w:lineRule="auto"/>
                              <w:rPr>
                                <w:color w:val="23B0E6"/>
                                <w:sz w:val="20"/>
                                <w:szCs w:val="20"/>
                              </w:rPr>
                            </w:pPr>
                            <w:r w:rsidRPr="00002D94">
                              <w:rPr>
                                <w:color w:val="23B0E6"/>
                                <w:sz w:val="20"/>
                                <w:szCs w:val="20"/>
                              </w:rPr>
                              <w:t>Australian Communications Consumer Action Network (ACCAN)</w:t>
                            </w:r>
                          </w:p>
                          <w:p w:rsidR="008D10A0" w:rsidRPr="00002D94" w:rsidRDefault="008D10A0" w:rsidP="007D3F16">
                            <w:pPr>
                              <w:spacing w:after="0" w:line="240" w:lineRule="auto"/>
                              <w:rPr>
                                <w:i/>
                                <w:color w:val="23B0E6"/>
                                <w:sz w:val="20"/>
                                <w:szCs w:val="20"/>
                              </w:rPr>
                            </w:pPr>
                            <w:r w:rsidRPr="00002D94">
                              <w:rPr>
                                <w:i/>
                                <w:color w:val="23B0E6"/>
                                <w:sz w:val="20"/>
                                <w:szCs w:val="20"/>
                              </w:rPr>
                              <w:t>Australia’s peak telecommunications consumer organisation</w:t>
                            </w:r>
                          </w:p>
                          <w:p w:rsidR="008D10A0" w:rsidRPr="00002D94" w:rsidRDefault="008D10A0" w:rsidP="007D3F16">
                            <w:pPr>
                              <w:spacing w:after="0" w:line="240" w:lineRule="auto"/>
                              <w:rPr>
                                <w:sz w:val="20"/>
                                <w:szCs w:val="20"/>
                              </w:rPr>
                            </w:pPr>
                            <w:r w:rsidRPr="00002D94">
                              <w:rPr>
                                <w:sz w:val="20"/>
                                <w:szCs w:val="20"/>
                              </w:rPr>
                              <w:t>Suite 4.02, 55 Mountain St, Ultimo NSW 2007</w:t>
                            </w:r>
                          </w:p>
                          <w:p w:rsidR="008D10A0" w:rsidRPr="00002D94" w:rsidRDefault="008D10A0" w:rsidP="007D3F16">
                            <w:pPr>
                              <w:spacing w:after="0" w:line="240" w:lineRule="auto"/>
                              <w:rPr>
                                <w:sz w:val="20"/>
                                <w:szCs w:val="20"/>
                              </w:rPr>
                            </w:pPr>
                            <w:r w:rsidRPr="00002D94">
                              <w:rPr>
                                <w:sz w:val="20"/>
                                <w:szCs w:val="20"/>
                              </w:rPr>
                              <w:t>Tel: (02) 9288 4000 | TTY: (02) 9281 5322 | Fax: (02) 9288 4019</w:t>
                            </w:r>
                          </w:p>
                          <w:p w:rsidR="008D10A0" w:rsidRPr="00002D94" w:rsidRDefault="008D10A0" w:rsidP="007D3F16">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8D10A0" w:rsidRDefault="008D10A0" w:rsidP="001C28E7">
                      <w:pPr>
                        <w:spacing w:after="0" w:line="240" w:lineRule="auto"/>
                        <w:rPr>
                          <w:color w:val="23B0E6"/>
                          <w:sz w:val="20"/>
                          <w:szCs w:val="20"/>
                        </w:rPr>
                      </w:pPr>
                    </w:p>
                    <w:p w:rsidR="008D10A0" w:rsidRPr="00002D94" w:rsidRDefault="008D10A0" w:rsidP="001C28E7">
                      <w:pPr>
                        <w:spacing w:after="0" w:line="240" w:lineRule="auto"/>
                        <w:rPr>
                          <w:color w:val="23B0E6"/>
                          <w:sz w:val="20"/>
                          <w:szCs w:val="20"/>
                        </w:rPr>
                      </w:pPr>
                      <w:r w:rsidRPr="00002D94">
                        <w:rPr>
                          <w:color w:val="23B0E6"/>
                          <w:sz w:val="20"/>
                          <w:szCs w:val="20"/>
                        </w:rPr>
                        <w:t>Australian Communications Consumer Action Network (ACCAN)</w:t>
                      </w:r>
                    </w:p>
                    <w:p w:rsidR="008D10A0" w:rsidRPr="00002D94" w:rsidRDefault="008D10A0" w:rsidP="007D3F16">
                      <w:pPr>
                        <w:spacing w:after="0" w:line="240" w:lineRule="auto"/>
                        <w:rPr>
                          <w:i/>
                          <w:color w:val="23B0E6"/>
                          <w:sz w:val="20"/>
                          <w:szCs w:val="20"/>
                        </w:rPr>
                      </w:pPr>
                      <w:r w:rsidRPr="00002D94">
                        <w:rPr>
                          <w:i/>
                          <w:color w:val="23B0E6"/>
                          <w:sz w:val="20"/>
                          <w:szCs w:val="20"/>
                        </w:rPr>
                        <w:t>Australia’s peak telecommunications consumer organisation</w:t>
                      </w:r>
                    </w:p>
                    <w:p w:rsidR="008D10A0" w:rsidRPr="00002D94" w:rsidRDefault="008D10A0" w:rsidP="007D3F16">
                      <w:pPr>
                        <w:spacing w:after="0" w:line="240" w:lineRule="auto"/>
                        <w:rPr>
                          <w:sz w:val="20"/>
                          <w:szCs w:val="20"/>
                        </w:rPr>
                      </w:pPr>
                      <w:r w:rsidRPr="00002D94">
                        <w:rPr>
                          <w:sz w:val="20"/>
                          <w:szCs w:val="20"/>
                        </w:rPr>
                        <w:t>Suite 4.02, 55 Mountain St, Ultimo NSW 2007</w:t>
                      </w:r>
                    </w:p>
                    <w:p w:rsidR="008D10A0" w:rsidRPr="00002D94" w:rsidRDefault="008D10A0" w:rsidP="007D3F16">
                      <w:pPr>
                        <w:spacing w:after="0" w:line="240" w:lineRule="auto"/>
                        <w:rPr>
                          <w:sz w:val="20"/>
                          <w:szCs w:val="20"/>
                        </w:rPr>
                      </w:pPr>
                      <w:r w:rsidRPr="00002D94">
                        <w:rPr>
                          <w:sz w:val="20"/>
                          <w:szCs w:val="20"/>
                        </w:rPr>
                        <w:t>Tel: (02) 9288 4000 | TTY: (02) 9281 5322 | Fax: (02) 9288 4019</w:t>
                      </w:r>
                    </w:p>
                    <w:p w:rsidR="008D10A0" w:rsidRPr="00002D94" w:rsidRDefault="008D10A0" w:rsidP="007D3F16">
                      <w:pPr>
                        <w:spacing w:after="0"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A0" w:rsidRPr="00E05115" w:rsidRDefault="008D10A0" w:rsidP="00C4251E">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62486E">
      <w:rPr>
        <w:noProof/>
      </w:rPr>
      <w:t>2</w:t>
    </w:r>
    <w:r w:rsidRPr="00C4251E">
      <w:rPr>
        <w:noProof/>
      </w:rPr>
      <w:fldChar w:fldCharType="end"/>
    </w:r>
  </w:p>
  <w:p w:rsidR="008D10A0" w:rsidRDefault="008D1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EFF" w:rsidRDefault="00073EFF" w:rsidP="005820C9">
      <w:pPr>
        <w:spacing w:after="0" w:line="240" w:lineRule="auto"/>
      </w:pPr>
      <w:r>
        <w:separator/>
      </w:r>
    </w:p>
  </w:footnote>
  <w:footnote w:type="continuationSeparator" w:id="0">
    <w:p w:rsidR="00073EFF" w:rsidRDefault="00073EFF" w:rsidP="005820C9">
      <w:pPr>
        <w:spacing w:after="0" w:line="240" w:lineRule="auto"/>
      </w:pPr>
      <w:r>
        <w:continuationSeparator/>
      </w:r>
    </w:p>
  </w:footnote>
  <w:footnote w:id="1">
    <w:p w:rsidR="008D10A0" w:rsidRPr="00156DFA" w:rsidRDefault="008D10A0">
      <w:pPr>
        <w:pStyle w:val="FootnoteText"/>
        <w:rPr>
          <w:lang w:val="en-AU"/>
        </w:rPr>
      </w:pPr>
      <w:r>
        <w:rPr>
          <w:rStyle w:val="FootnoteReference"/>
        </w:rPr>
        <w:footnoteRef/>
      </w:r>
      <w:r>
        <w:t xml:space="preserve"> </w:t>
      </w:r>
      <w:r>
        <w:rPr>
          <w:lang w:val="en-AU"/>
        </w:rPr>
        <w:t>ACCAN Migration Assurance Policy Consultation Paper, September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A0" w:rsidRDefault="008D10A0" w:rsidP="00DD7C1C">
    <w:pPr>
      <w:pStyle w:val="Header"/>
      <w:tabs>
        <w:tab w:val="clear" w:pos="4513"/>
        <w:tab w:val="clear" w:pos="9026"/>
      </w:tabs>
      <w:ind w:right="-1"/>
      <w:jc w:val="right"/>
    </w:pPr>
    <w:r>
      <w:rPr>
        <w:noProof/>
        <w:lang w:val="en-AU" w:eastAsia="en-AU"/>
      </w:rPr>
      <w:drawing>
        <wp:anchor distT="0" distB="0" distL="114300" distR="114300" simplePos="0" relativeHeight="251660288" behindDoc="1" locked="0" layoutInCell="1" allowOverlap="1" wp14:anchorId="464FDAD1" wp14:editId="008A6AA8">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A0" w:rsidRDefault="008D10A0" w:rsidP="005820C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6C"/>
    <w:rsid w:val="00002D94"/>
    <w:rsid w:val="0002022C"/>
    <w:rsid w:val="00027253"/>
    <w:rsid w:val="00067065"/>
    <w:rsid w:val="00073EFF"/>
    <w:rsid w:val="00084A5B"/>
    <w:rsid w:val="001356B4"/>
    <w:rsid w:val="00156DFA"/>
    <w:rsid w:val="001627E8"/>
    <w:rsid w:val="00165C36"/>
    <w:rsid w:val="00173EBF"/>
    <w:rsid w:val="001C28E7"/>
    <w:rsid w:val="00234042"/>
    <w:rsid w:val="00266183"/>
    <w:rsid w:val="002A4C88"/>
    <w:rsid w:val="002B0D08"/>
    <w:rsid w:val="003A2051"/>
    <w:rsid w:val="003B1499"/>
    <w:rsid w:val="003E6503"/>
    <w:rsid w:val="003F3F18"/>
    <w:rsid w:val="0042593B"/>
    <w:rsid w:val="00431F48"/>
    <w:rsid w:val="00432F8C"/>
    <w:rsid w:val="00452E30"/>
    <w:rsid w:val="004552EA"/>
    <w:rsid w:val="00472C7E"/>
    <w:rsid w:val="004850E4"/>
    <w:rsid w:val="00492444"/>
    <w:rsid w:val="004A01EB"/>
    <w:rsid w:val="004B5F63"/>
    <w:rsid w:val="004C3886"/>
    <w:rsid w:val="005820C9"/>
    <w:rsid w:val="005A673E"/>
    <w:rsid w:val="00604DD0"/>
    <w:rsid w:val="0062486E"/>
    <w:rsid w:val="006713DD"/>
    <w:rsid w:val="00675B78"/>
    <w:rsid w:val="006C0779"/>
    <w:rsid w:val="00725796"/>
    <w:rsid w:val="007506AE"/>
    <w:rsid w:val="007A3E1A"/>
    <w:rsid w:val="007D3F16"/>
    <w:rsid w:val="007E5C2B"/>
    <w:rsid w:val="008022E4"/>
    <w:rsid w:val="00874727"/>
    <w:rsid w:val="008A19E7"/>
    <w:rsid w:val="008D10A0"/>
    <w:rsid w:val="008E0334"/>
    <w:rsid w:val="008F7E90"/>
    <w:rsid w:val="009A227B"/>
    <w:rsid w:val="00A4447D"/>
    <w:rsid w:val="00AA686C"/>
    <w:rsid w:val="00AE2840"/>
    <w:rsid w:val="00AE6A6C"/>
    <w:rsid w:val="00B26A29"/>
    <w:rsid w:val="00B4140A"/>
    <w:rsid w:val="00B418A0"/>
    <w:rsid w:val="00B61BF2"/>
    <w:rsid w:val="00B7084E"/>
    <w:rsid w:val="00B87233"/>
    <w:rsid w:val="00B94449"/>
    <w:rsid w:val="00B96502"/>
    <w:rsid w:val="00BA0FC8"/>
    <w:rsid w:val="00BD749D"/>
    <w:rsid w:val="00C32DD1"/>
    <w:rsid w:val="00C4251E"/>
    <w:rsid w:val="00C613FC"/>
    <w:rsid w:val="00C946CC"/>
    <w:rsid w:val="00CA50D5"/>
    <w:rsid w:val="00CF3B0A"/>
    <w:rsid w:val="00CF5B31"/>
    <w:rsid w:val="00D13570"/>
    <w:rsid w:val="00D3636E"/>
    <w:rsid w:val="00D66D95"/>
    <w:rsid w:val="00D85BF5"/>
    <w:rsid w:val="00DD1B6E"/>
    <w:rsid w:val="00DD741A"/>
    <w:rsid w:val="00DD7C1C"/>
    <w:rsid w:val="00DF1199"/>
    <w:rsid w:val="00E05115"/>
    <w:rsid w:val="00E54047"/>
    <w:rsid w:val="00E71265"/>
    <w:rsid w:val="00E71CE3"/>
    <w:rsid w:val="00E81ECD"/>
    <w:rsid w:val="00EF38A8"/>
    <w:rsid w:val="00F26FC5"/>
    <w:rsid w:val="00F47C64"/>
    <w:rsid w:val="00F61950"/>
    <w:rsid w:val="00F71DE5"/>
    <w:rsid w:val="00F76853"/>
    <w:rsid w:val="00F86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B4140A"/>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084A5B"/>
    <w:rPr>
      <w:rFonts w:ascii="Arial" w:eastAsia="Calibr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B4140A"/>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084A5B"/>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7855">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4%20-%20sans%20advocacy\Short%20submission%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FA6CF-F16D-45E6-A7FD-27C938FE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2014</Template>
  <TotalTime>1</TotalTime>
  <Pages>2</Pages>
  <Words>822</Words>
  <Characters>4692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Thomas</dc:creator>
  <cp:lastModifiedBy>Richard Van Der Male</cp:lastModifiedBy>
  <cp:revision>2</cp:revision>
  <cp:lastPrinted>2015-01-07T04:09:00Z</cp:lastPrinted>
  <dcterms:created xsi:type="dcterms:W3CDTF">2015-01-15T22:33:00Z</dcterms:created>
  <dcterms:modified xsi:type="dcterms:W3CDTF">2015-01-15T22:33:00Z</dcterms:modified>
</cp:coreProperties>
</file>