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Default="005820C9" w:rsidP="007D3F16">
      <w:pPr>
        <w:spacing w:after="0"/>
        <w:sectPr w:rsidR="005820C9" w:rsidSect="00002D94">
          <w:headerReference w:type="default" r:id="rId9"/>
          <w:footerReference w:type="default" r:id="rId10"/>
          <w:type w:val="continuous"/>
          <w:pgSz w:w="11906" w:h="16838" w:code="9"/>
          <w:pgMar w:top="1824" w:right="707" w:bottom="567" w:left="1134" w:header="567" w:footer="1474" w:gutter="0"/>
          <w:cols w:space="708"/>
          <w:docGrid w:linePitch="360"/>
        </w:sectPr>
      </w:pPr>
    </w:p>
    <w:p w:rsidR="00DD1B6E" w:rsidRDefault="002F0DE2" w:rsidP="00DD1B6E">
      <w:pPr>
        <w:spacing w:after="0"/>
        <w:rPr>
          <w:sz w:val="23"/>
          <w:szCs w:val="23"/>
        </w:rPr>
      </w:pPr>
      <w:r>
        <w:rPr>
          <w:sz w:val="23"/>
          <w:szCs w:val="23"/>
        </w:rPr>
        <w:lastRenderedPageBreak/>
        <w:t>31</w:t>
      </w:r>
      <w:r>
        <w:rPr>
          <w:sz w:val="23"/>
          <w:szCs w:val="23"/>
          <w:vertAlign w:val="superscript"/>
        </w:rPr>
        <w:t>st</w:t>
      </w:r>
      <w:r w:rsidR="00C969CB">
        <w:rPr>
          <w:sz w:val="23"/>
          <w:szCs w:val="23"/>
        </w:rPr>
        <w:t xml:space="preserve"> July 2017</w:t>
      </w:r>
    </w:p>
    <w:p w:rsidR="00DD1B6E" w:rsidRDefault="00DD1B6E" w:rsidP="00DD1B6E">
      <w:pPr>
        <w:spacing w:after="0"/>
        <w:rPr>
          <w:sz w:val="23"/>
          <w:szCs w:val="23"/>
        </w:rPr>
      </w:pPr>
    </w:p>
    <w:p w:rsidR="00DD1B6E" w:rsidRDefault="00C969CB" w:rsidP="00DD1B6E">
      <w:pPr>
        <w:spacing w:after="0"/>
        <w:rPr>
          <w:sz w:val="23"/>
          <w:szCs w:val="23"/>
        </w:rPr>
      </w:pPr>
      <w:r>
        <w:rPr>
          <w:sz w:val="23"/>
          <w:szCs w:val="23"/>
        </w:rPr>
        <w:t>Director, Implementation</w:t>
      </w:r>
    </w:p>
    <w:p w:rsidR="00C969CB" w:rsidRDefault="00C969CB" w:rsidP="00DD1B6E">
      <w:pPr>
        <w:spacing w:after="0"/>
        <w:rPr>
          <w:sz w:val="23"/>
          <w:szCs w:val="23"/>
        </w:rPr>
      </w:pPr>
      <w:r>
        <w:rPr>
          <w:sz w:val="23"/>
          <w:szCs w:val="23"/>
        </w:rPr>
        <w:t>Consumer Broadband Services</w:t>
      </w:r>
    </w:p>
    <w:p w:rsidR="00AE6A6C" w:rsidRDefault="00AE6A6C" w:rsidP="00DD1B6E">
      <w:pPr>
        <w:spacing w:after="0"/>
        <w:rPr>
          <w:sz w:val="23"/>
          <w:szCs w:val="23"/>
        </w:rPr>
      </w:pPr>
      <w:r>
        <w:rPr>
          <w:sz w:val="23"/>
          <w:szCs w:val="23"/>
        </w:rPr>
        <w:t>Department of Communications</w:t>
      </w:r>
    </w:p>
    <w:p w:rsidR="00DD1B6E" w:rsidRDefault="00AE6A6C" w:rsidP="00DD1B6E">
      <w:pPr>
        <w:spacing w:after="0"/>
        <w:rPr>
          <w:sz w:val="23"/>
          <w:szCs w:val="23"/>
        </w:rPr>
      </w:pPr>
      <w:r>
        <w:rPr>
          <w:sz w:val="23"/>
          <w:szCs w:val="23"/>
        </w:rPr>
        <w:t xml:space="preserve">Via email: </w:t>
      </w:r>
      <w:hyperlink r:id="rId11" w:history="1">
        <w:r w:rsidR="00451B98" w:rsidRPr="00FE60A6">
          <w:rPr>
            <w:rStyle w:val="Hyperlink"/>
            <w:sz w:val="23"/>
            <w:szCs w:val="23"/>
          </w:rPr>
          <w:t>migration@communications.gov.au</w:t>
        </w:r>
      </w:hyperlink>
      <w:r w:rsidR="00451B98">
        <w:rPr>
          <w:sz w:val="23"/>
          <w:szCs w:val="23"/>
        </w:rPr>
        <w:t xml:space="preserve"> </w:t>
      </w:r>
    </w:p>
    <w:p w:rsidR="00DD1B6E" w:rsidRDefault="00DD1B6E" w:rsidP="00DD1B6E">
      <w:pPr>
        <w:spacing w:after="0"/>
        <w:rPr>
          <w:rFonts w:cstheme="minorHAnsi"/>
        </w:rPr>
      </w:pPr>
    </w:p>
    <w:p w:rsidR="00DD1B6E" w:rsidRDefault="00DD1B6E" w:rsidP="00156DFA">
      <w:pPr>
        <w:pStyle w:val="BodyText1"/>
        <w:jc w:val="both"/>
        <w:rPr>
          <w:rFonts w:asciiTheme="minorHAnsi" w:hAnsiTheme="minorHAnsi" w:cstheme="minorHAnsi"/>
        </w:rPr>
      </w:pPr>
      <w:r w:rsidRPr="00156DFA">
        <w:rPr>
          <w:rFonts w:asciiTheme="minorHAnsi" w:hAnsiTheme="minorHAnsi" w:cstheme="minorHAnsi"/>
        </w:rPr>
        <w:t xml:space="preserve">ACCAN thanks the </w:t>
      </w:r>
      <w:r w:rsidR="00AE6A6C" w:rsidRPr="00156DFA">
        <w:rPr>
          <w:rFonts w:asciiTheme="minorHAnsi" w:hAnsiTheme="minorHAnsi" w:cstheme="minorHAnsi"/>
        </w:rPr>
        <w:t>Department of Communications</w:t>
      </w:r>
      <w:r w:rsidRPr="00156DFA">
        <w:rPr>
          <w:rFonts w:asciiTheme="minorHAnsi" w:hAnsiTheme="minorHAnsi" w:cstheme="minorHAnsi"/>
        </w:rPr>
        <w:t xml:space="preserve"> for the opportunity to contribute to its </w:t>
      </w:r>
      <w:r w:rsidR="006B11D8">
        <w:rPr>
          <w:rFonts w:asciiTheme="minorHAnsi" w:hAnsiTheme="minorHAnsi" w:cstheme="minorHAnsi"/>
        </w:rPr>
        <w:t>Migration Assurance Framework.</w:t>
      </w:r>
    </w:p>
    <w:p w:rsidR="006B11D8" w:rsidRDefault="006B11D8" w:rsidP="00156DFA">
      <w:pPr>
        <w:pStyle w:val="BodyText1"/>
        <w:jc w:val="both"/>
        <w:rPr>
          <w:rFonts w:asciiTheme="minorHAnsi" w:hAnsiTheme="minorHAnsi" w:cstheme="minorHAnsi"/>
        </w:rPr>
      </w:pPr>
      <w:r>
        <w:rPr>
          <w:rFonts w:asciiTheme="minorHAnsi" w:hAnsiTheme="minorHAnsi" w:cstheme="minorHAnsi"/>
        </w:rPr>
        <w:t>ACCAN is supportive of measures which ensure “a smooth and timely service transition”.</w:t>
      </w:r>
      <w:r w:rsidR="001A4A29">
        <w:rPr>
          <w:rStyle w:val="FootnoteReference"/>
          <w:rFonts w:asciiTheme="minorHAnsi" w:hAnsiTheme="minorHAnsi" w:cstheme="minorHAnsi"/>
        </w:rPr>
        <w:footnoteReference w:id="1"/>
      </w:r>
      <w:r>
        <w:rPr>
          <w:rFonts w:asciiTheme="minorHAnsi" w:hAnsiTheme="minorHAnsi" w:cstheme="minorHAnsi"/>
        </w:rPr>
        <w:t xml:space="preserve"> </w:t>
      </w:r>
      <w:r w:rsidR="009B1905">
        <w:rPr>
          <w:rFonts w:asciiTheme="minorHAnsi" w:hAnsiTheme="minorHAnsi" w:cstheme="minorHAnsi"/>
        </w:rPr>
        <w:t>The next three years will see an acute number of premises switching to nbn, which will test the procedures that exist.</w:t>
      </w:r>
      <w:r w:rsidR="009B1905">
        <w:rPr>
          <w:rStyle w:val="FootnoteReference"/>
          <w:rFonts w:asciiTheme="minorHAnsi" w:hAnsiTheme="minorHAnsi" w:cstheme="minorHAnsi"/>
        </w:rPr>
        <w:footnoteReference w:id="2"/>
      </w:r>
      <w:r w:rsidR="009B1905">
        <w:rPr>
          <w:rFonts w:asciiTheme="minorHAnsi" w:hAnsiTheme="minorHAnsi" w:cstheme="minorHAnsi"/>
        </w:rPr>
        <w:t xml:space="preserve"> To ensure positive consumer outcomes i</w:t>
      </w:r>
      <w:r w:rsidR="00CF34ED">
        <w:rPr>
          <w:rFonts w:asciiTheme="minorHAnsi" w:hAnsiTheme="minorHAnsi" w:cstheme="minorHAnsi"/>
        </w:rPr>
        <w:t>t is vital that the</w:t>
      </w:r>
      <w:r w:rsidR="009B1905">
        <w:rPr>
          <w:rFonts w:asciiTheme="minorHAnsi" w:hAnsiTheme="minorHAnsi" w:cstheme="minorHAnsi"/>
        </w:rPr>
        <w:t xml:space="preserve">re are rigorous </w:t>
      </w:r>
      <w:r w:rsidR="00D60C48">
        <w:rPr>
          <w:rFonts w:asciiTheme="minorHAnsi" w:hAnsiTheme="minorHAnsi" w:cstheme="minorHAnsi"/>
        </w:rPr>
        <w:t>frameworks</w:t>
      </w:r>
      <w:r w:rsidR="00CF34ED">
        <w:rPr>
          <w:rFonts w:asciiTheme="minorHAnsi" w:hAnsiTheme="minorHAnsi" w:cstheme="minorHAnsi"/>
        </w:rPr>
        <w:t xml:space="preserve"> in place</w:t>
      </w:r>
      <w:r w:rsidR="009B1905">
        <w:rPr>
          <w:rFonts w:asciiTheme="minorHAnsi" w:hAnsiTheme="minorHAnsi" w:cstheme="minorHAnsi"/>
        </w:rPr>
        <w:t>.</w:t>
      </w:r>
      <w:r w:rsidR="00CF34ED">
        <w:rPr>
          <w:rFonts w:asciiTheme="minorHAnsi" w:hAnsiTheme="minorHAnsi" w:cstheme="minorHAnsi"/>
        </w:rPr>
        <w:t xml:space="preserve"> </w:t>
      </w:r>
      <w:r w:rsidR="003251B3" w:rsidRPr="001A4A29">
        <w:rPr>
          <w:rFonts w:asciiTheme="minorHAnsi" w:hAnsiTheme="minorHAnsi" w:cstheme="minorHAnsi"/>
        </w:rPr>
        <w:t>A</w:t>
      </w:r>
      <w:r w:rsidR="003251B3">
        <w:rPr>
          <w:rFonts w:asciiTheme="minorHAnsi" w:hAnsiTheme="minorHAnsi" w:cstheme="minorHAnsi"/>
        </w:rPr>
        <w:t>dditionally we are pleased to see that in</w:t>
      </w:r>
      <w:r w:rsidR="003251B3" w:rsidRPr="001A4A29">
        <w:rPr>
          <w:rFonts w:asciiTheme="minorHAnsi" w:hAnsiTheme="minorHAnsi" w:cstheme="minorHAnsi"/>
        </w:rPr>
        <w:t xml:space="preserve"> the case of a high number of poor consumer outcomes that the Government “may consider regulatory and legislative mechanisms to improve migration processes and the customer experience”.</w:t>
      </w:r>
      <w:r w:rsidR="003251B3">
        <w:rPr>
          <w:rStyle w:val="FootnoteReference"/>
          <w:rFonts w:asciiTheme="minorHAnsi" w:hAnsiTheme="minorHAnsi" w:cstheme="minorHAnsi"/>
        </w:rPr>
        <w:footnoteReference w:id="3"/>
      </w:r>
    </w:p>
    <w:p w:rsidR="00AD4257" w:rsidRDefault="00AD4257" w:rsidP="00AD4257">
      <w:pPr>
        <w:pStyle w:val="BodyText1"/>
        <w:jc w:val="both"/>
        <w:rPr>
          <w:rFonts w:asciiTheme="minorHAnsi" w:hAnsiTheme="minorHAnsi" w:cstheme="minorHAnsi"/>
        </w:rPr>
      </w:pPr>
      <w:r>
        <w:rPr>
          <w:rFonts w:asciiTheme="minorHAnsi" w:hAnsiTheme="minorHAnsi" w:cstheme="minorHAnsi"/>
        </w:rPr>
        <w:t xml:space="preserve">ACCAN strongly agrees that </w:t>
      </w:r>
      <w:r w:rsidRPr="00AD4257">
        <w:rPr>
          <w:rFonts w:asciiTheme="minorHAnsi" w:hAnsiTheme="minorHAnsi" w:cstheme="minorHAnsi"/>
        </w:rPr>
        <w:t>“A smooth migration process also requires appropriate avenues for customers to raise issues or queries if they encounter problems related to their retail service provider, or the connection and operation of their NBN service.”</w:t>
      </w:r>
      <w:r w:rsidRPr="00AD4257">
        <w:rPr>
          <w:rStyle w:val="FootnoteReference"/>
          <w:rFonts w:asciiTheme="minorHAnsi" w:hAnsiTheme="minorHAnsi" w:cstheme="minorHAnsi"/>
        </w:rPr>
        <w:footnoteReference w:id="4"/>
      </w:r>
      <w:r w:rsidR="00380D53">
        <w:rPr>
          <w:rFonts w:asciiTheme="minorHAnsi" w:hAnsiTheme="minorHAnsi" w:cstheme="minorHAnsi"/>
        </w:rPr>
        <w:t xml:space="preserve"> Where issues arise it is important that consumers are not</w:t>
      </w:r>
      <w:r w:rsidR="00B63DEB">
        <w:rPr>
          <w:rFonts w:asciiTheme="minorHAnsi" w:hAnsiTheme="minorHAnsi" w:cstheme="minorHAnsi"/>
        </w:rPr>
        <w:t xml:space="preserve"> passed between RSP and network</w:t>
      </w:r>
      <w:r w:rsidR="00380D53">
        <w:rPr>
          <w:rFonts w:asciiTheme="minorHAnsi" w:hAnsiTheme="minorHAnsi" w:cstheme="minorHAnsi"/>
        </w:rPr>
        <w:t>.</w:t>
      </w:r>
    </w:p>
    <w:p w:rsidR="00B63DEB" w:rsidRPr="00AD4257" w:rsidRDefault="00B63DEB" w:rsidP="00AD4257">
      <w:pPr>
        <w:pStyle w:val="BodyText1"/>
        <w:jc w:val="both"/>
        <w:rPr>
          <w:rFonts w:asciiTheme="minorHAnsi" w:hAnsiTheme="minorHAnsi" w:cstheme="minorHAnsi"/>
        </w:rPr>
      </w:pPr>
      <w:r>
        <w:rPr>
          <w:rFonts w:asciiTheme="minorHAnsi" w:hAnsiTheme="minorHAnsi" w:cstheme="minorHAnsi"/>
        </w:rPr>
        <w:t xml:space="preserve">Consumers regularly contact ACCAN when they experience issues migrating to the NBN. Often </w:t>
      </w:r>
      <w:r w:rsidR="001B00BC">
        <w:rPr>
          <w:rFonts w:asciiTheme="minorHAnsi" w:hAnsiTheme="minorHAnsi" w:cstheme="minorHAnsi"/>
        </w:rPr>
        <w:t>these are</w:t>
      </w:r>
      <w:r>
        <w:rPr>
          <w:rFonts w:asciiTheme="minorHAnsi" w:hAnsiTheme="minorHAnsi" w:cstheme="minorHAnsi"/>
        </w:rPr>
        <w:t xml:space="preserve"> complicated due to non-standard issues arising, or are due to one party not fulfilling their responsibilities. When these occur it can be difficult to get the consumer back on track for </w:t>
      </w:r>
      <w:r w:rsidR="00E57F52">
        <w:rPr>
          <w:rFonts w:asciiTheme="minorHAnsi" w:hAnsiTheme="minorHAnsi" w:cstheme="minorHAnsi"/>
        </w:rPr>
        <w:t>a successful migration</w:t>
      </w:r>
      <w:r>
        <w:rPr>
          <w:rFonts w:asciiTheme="minorHAnsi" w:hAnsiTheme="minorHAnsi" w:cstheme="minorHAnsi"/>
        </w:rPr>
        <w:t xml:space="preserve">. </w:t>
      </w:r>
      <w:r w:rsidR="00E57F52">
        <w:rPr>
          <w:rFonts w:asciiTheme="minorHAnsi" w:hAnsiTheme="minorHAnsi" w:cstheme="minorHAnsi"/>
        </w:rPr>
        <w:t>While we are supportive of setting out the responsibilities for each party, there needs to be flexibility f</w:t>
      </w:r>
      <w:r w:rsidR="003251B3">
        <w:rPr>
          <w:rFonts w:asciiTheme="minorHAnsi" w:hAnsiTheme="minorHAnsi" w:cstheme="minorHAnsi"/>
        </w:rPr>
        <w:t>or when something does go wrong</w:t>
      </w:r>
      <w:r w:rsidR="00500F2D">
        <w:rPr>
          <w:rFonts w:asciiTheme="minorHAnsi" w:hAnsiTheme="minorHAnsi" w:cstheme="minorHAnsi"/>
        </w:rPr>
        <w:t>.</w:t>
      </w:r>
      <w:r w:rsidR="003251B3">
        <w:rPr>
          <w:rFonts w:asciiTheme="minorHAnsi" w:hAnsiTheme="minorHAnsi" w:cstheme="minorHAnsi"/>
        </w:rPr>
        <w:t xml:space="preserve"> All the parties involved should accommodate situations that do arise with the intention of consumers having a successful migration and a positive experience. </w:t>
      </w:r>
    </w:p>
    <w:p w:rsidR="001A4A29" w:rsidRDefault="001A4A29" w:rsidP="00156DFA">
      <w:pPr>
        <w:pStyle w:val="BodyText1"/>
        <w:jc w:val="both"/>
        <w:rPr>
          <w:rFonts w:asciiTheme="minorHAnsi" w:eastAsiaTheme="minorEastAsia" w:hAnsiTheme="minorHAnsi" w:cstheme="minorHAnsi"/>
          <w:color w:val="auto"/>
          <w:lang w:eastAsia="en-AU"/>
        </w:rPr>
      </w:pPr>
      <w:r>
        <w:rPr>
          <w:rFonts w:asciiTheme="minorHAnsi" w:eastAsiaTheme="minorEastAsia" w:hAnsiTheme="minorHAnsi" w:cstheme="minorHAnsi"/>
          <w:color w:val="auto"/>
          <w:lang w:eastAsia="en-AU"/>
        </w:rPr>
        <w:t xml:space="preserve">ACCAN would like to provide the following comments on the </w:t>
      </w:r>
      <w:r w:rsidR="003251B3">
        <w:rPr>
          <w:rFonts w:asciiTheme="minorHAnsi" w:eastAsiaTheme="minorEastAsia" w:hAnsiTheme="minorHAnsi" w:cstheme="minorHAnsi"/>
          <w:color w:val="auto"/>
          <w:lang w:eastAsia="en-AU"/>
        </w:rPr>
        <w:t>MAF,</w:t>
      </w:r>
      <w:r>
        <w:rPr>
          <w:rFonts w:asciiTheme="minorHAnsi" w:eastAsiaTheme="minorEastAsia" w:hAnsiTheme="minorHAnsi" w:cstheme="minorHAnsi"/>
          <w:color w:val="auto"/>
          <w:lang w:eastAsia="en-AU"/>
        </w:rPr>
        <w:t xml:space="preserve"> which are also marked up on the</w:t>
      </w:r>
      <w:r w:rsidR="00B63DEB">
        <w:rPr>
          <w:rFonts w:asciiTheme="minorHAnsi" w:eastAsiaTheme="minorEastAsia" w:hAnsiTheme="minorHAnsi" w:cstheme="minorHAnsi"/>
          <w:color w:val="auto"/>
          <w:lang w:eastAsia="en-AU"/>
        </w:rPr>
        <w:t xml:space="preserve"> attached</w:t>
      </w:r>
      <w:r>
        <w:rPr>
          <w:rFonts w:asciiTheme="minorHAnsi" w:eastAsiaTheme="minorEastAsia" w:hAnsiTheme="minorHAnsi" w:cstheme="minorHAnsi"/>
          <w:color w:val="auto"/>
          <w:lang w:eastAsia="en-AU"/>
        </w:rPr>
        <w:t xml:space="preserve"> document. </w:t>
      </w:r>
    </w:p>
    <w:p w:rsidR="009536EC" w:rsidRDefault="009536EC" w:rsidP="001B00BC">
      <w:pPr>
        <w:pStyle w:val="Heading1"/>
        <w:rPr>
          <w:rFonts w:eastAsiaTheme="minorEastAsia"/>
        </w:rPr>
      </w:pPr>
      <w:r>
        <w:rPr>
          <w:rFonts w:eastAsiaTheme="minorEastAsia"/>
        </w:rPr>
        <w:t>Introduction</w:t>
      </w:r>
    </w:p>
    <w:p w:rsidR="001A4A29" w:rsidRPr="001B00BC" w:rsidRDefault="00B63DEB" w:rsidP="001A4A29">
      <w:pPr>
        <w:pStyle w:val="BodyText1"/>
        <w:numPr>
          <w:ilvl w:val="0"/>
          <w:numId w:val="1"/>
        </w:numPr>
        <w:jc w:val="both"/>
        <w:rPr>
          <w:rFonts w:eastAsiaTheme="minorEastAsia" w:cstheme="minorHAnsi"/>
          <w:lang w:val="en-GB" w:eastAsia="en-AU"/>
        </w:rPr>
      </w:pPr>
      <w:r>
        <w:rPr>
          <w:rFonts w:asciiTheme="minorHAnsi" w:eastAsiaTheme="minorEastAsia" w:hAnsiTheme="minorHAnsi" w:cstheme="minorHAnsi"/>
          <w:color w:val="auto"/>
          <w:lang w:eastAsia="en-AU"/>
        </w:rPr>
        <w:t xml:space="preserve"> </w:t>
      </w:r>
      <w:r w:rsidR="00C6657E" w:rsidRPr="002F0DE2">
        <w:rPr>
          <w:rFonts w:asciiTheme="minorHAnsi" w:eastAsiaTheme="minorEastAsia" w:hAnsiTheme="minorHAnsi" w:cstheme="minorHAnsi"/>
          <w:b/>
          <w:color w:val="auto"/>
          <w:lang w:eastAsia="en-AU"/>
        </w:rPr>
        <w:t>G</w:t>
      </w:r>
      <w:r w:rsidRPr="002F0DE2">
        <w:rPr>
          <w:rFonts w:asciiTheme="minorHAnsi" w:eastAsiaTheme="minorEastAsia" w:hAnsiTheme="minorHAnsi" w:cstheme="minorHAnsi"/>
          <w:b/>
          <w:color w:val="auto"/>
          <w:lang w:eastAsia="en-AU"/>
        </w:rPr>
        <w:t>uiding principles in relation to migration</w:t>
      </w:r>
      <w:r w:rsidR="00C6657E">
        <w:rPr>
          <w:rFonts w:asciiTheme="minorHAnsi" w:eastAsiaTheme="minorEastAsia" w:hAnsiTheme="minorHAnsi" w:cstheme="minorHAnsi"/>
          <w:color w:val="auto"/>
          <w:lang w:eastAsia="en-AU"/>
        </w:rPr>
        <w:t xml:space="preserve"> (MAF p.8)</w:t>
      </w:r>
      <w:r>
        <w:rPr>
          <w:rFonts w:asciiTheme="minorHAnsi" w:eastAsiaTheme="minorEastAsia" w:hAnsiTheme="minorHAnsi" w:cstheme="minorHAnsi"/>
          <w:color w:val="auto"/>
          <w:lang w:eastAsia="en-AU"/>
        </w:rPr>
        <w:t xml:space="preserve">. The first principle states </w:t>
      </w:r>
      <w:r w:rsidR="001A4A29">
        <w:rPr>
          <w:rFonts w:asciiTheme="minorHAnsi" w:eastAsiaTheme="minorEastAsia" w:hAnsiTheme="minorHAnsi" w:cstheme="minorHAnsi"/>
          <w:color w:val="auto"/>
          <w:lang w:eastAsia="en-AU"/>
        </w:rPr>
        <w:t>“</w:t>
      </w:r>
      <w:r>
        <w:rPr>
          <w:rFonts w:asciiTheme="minorHAnsi" w:eastAsiaTheme="minorEastAsia" w:hAnsiTheme="minorHAnsi" w:cstheme="minorHAnsi"/>
          <w:color w:val="auto"/>
          <w:lang w:eastAsia="en-AU"/>
        </w:rPr>
        <w:t xml:space="preserve">it is a customer centric and industry led activity in which interdependencies between the different activities and </w:t>
      </w:r>
      <w:r w:rsidR="001A4A29" w:rsidRPr="001A4A29">
        <w:rPr>
          <w:rFonts w:asciiTheme="minorHAnsi" w:eastAsiaTheme="minorEastAsia" w:hAnsiTheme="minorHAnsi" w:cstheme="minorHAnsi"/>
          <w:color w:val="auto"/>
          <w:lang w:eastAsia="en-AU"/>
        </w:rPr>
        <w:t>parties are closely managed</w:t>
      </w:r>
      <w:r w:rsidR="001A4A29">
        <w:rPr>
          <w:rFonts w:asciiTheme="minorHAnsi" w:eastAsiaTheme="minorEastAsia" w:hAnsiTheme="minorHAnsi" w:cstheme="minorHAnsi"/>
          <w:color w:val="auto"/>
          <w:lang w:eastAsia="en-AU"/>
        </w:rPr>
        <w:t xml:space="preserve">”. </w:t>
      </w:r>
      <w:r>
        <w:rPr>
          <w:rFonts w:asciiTheme="minorHAnsi" w:eastAsiaTheme="minorEastAsia" w:hAnsiTheme="minorHAnsi" w:cstheme="minorHAnsi"/>
          <w:color w:val="auto"/>
          <w:lang w:eastAsia="en-AU"/>
        </w:rPr>
        <w:t xml:space="preserve">ACCAN is unclear about the </w:t>
      </w:r>
      <w:r w:rsidR="00E57F52">
        <w:rPr>
          <w:rFonts w:asciiTheme="minorHAnsi" w:eastAsiaTheme="minorEastAsia" w:hAnsiTheme="minorHAnsi" w:cstheme="minorHAnsi"/>
          <w:color w:val="auto"/>
          <w:lang w:eastAsia="en-AU"/>
        </w:rPr>
        <w:t xml:space="preserve">‘closely managed’ </w:t>
      </w:r>
      <w:r w:rsidR="00E57F52">
        <w:rPr>
          <w:rFonts w:asciiTheme="minorHAnsi" w:eastAsiaTheme="minorEastAsia" w:hAnsiTheme="minorHAnsi" w:cstheme="minorHAnsi"/>
          <w:color w:val="auto"/>
          <w:lang w:eastAsia="en-AU"/>
        </w:rPr>
        <w:lastRenderedPageBreak/>
        <w:t xml:space="preserve">reference to </w:t>
      </w:r>
      <w:r>
        <w:rPr>
          <w:rFonts w:asciiTheme="minorHAnsi" w:eastAsiaTheme="minorEastAsia" w:hAnsiTheme="minorHAnsi" w:cstheme="minorHAnsi"/>
          <w:color w:val="auto"/>
          <w:lang w:eastAsia="en-AU"/>
        </w:rPr>
        <w:t xml:space="preserve">activities and parties. </w:t>
      </w:r>
      <w:r w:rsidR="001A4A29" w:rsidRPr="00C76C2A">
        <w:rPr>
          <w:rFonts w:asciiTheme="minorHAnsi" w:eastAsiaTheme="minorEastAsia" w:hAnsiTheme="minorHAnsi" w:cstheme="minorHAnsi"/>
          <w:lang w:val="en-GB" w:eastAsia="en-AU"/>
        </w:rPr>
        <w:t>There is no body which manages the parties</w:t>
      </w:r>
      <w:r w:rsidR="00E57F52">
        <w:rPr>
          <w:rFonts w:asciiTheme="minorHAnsi" w:eastAsiaTheme="minorEastAsia" w:hAnsiTheme="minorHAnsi" w:cstheme="minorHAnsi"/>
          <w:lang w:val="en-GB" w:eastAsia="en-AU"/>
        </w:rPr>
        <w:t xml:space="preserve"> involved in the migration</w:t>
      </w:r>
      <w:r w:rsidR="001A4A29" w:rsidRPr="00C76C2A">
        <w:rPr>
          <w:rFonts w:asciiTheme="minorHAnsi" w:eastAsiaTheme="minorEastAsia" w:hAnsiTheme="minorHAnsi" w:cstheme="minorHAnsi"/>
          <w:lang w:val="en-GB" w:eastAsia="en-AU"/>
        </w:rPr>
        <w:t>. This might be better expressed as ‘coordinated’, or ‘requires close coordination’?</w:t>
      </w:r>
    </w:p>
    <w:p w:rsidR="009536EC" w:rsidRPr="001A4A29" w:rsidRDefault="009536EC" w:rsidP="001B00BC">
      <w:pPr>
        <w:pStyle w:val="Heading1"/>
        <w:rPr>
          <w:rFonts w:eastAsiaTheme="minorEastAsia"/>
        </w:rPr>
      </w:pPr>
      <w:r>
        <w:rPr>
          <w:rFonts w:eastAsiaTheme="minorEastAsia"/>
        </w:rPr>
        <w:t>Industry Information</w:t>
      </w:r>
    </w:p>
    <w:p w:rsidR="00FD2DD0" w:rsidRDefault="00F253A0" w:rsidP="001A4A29">
      <w:pPr>
        <w:pStyle w:val="BodyText1"/>
        <w:numPr>
          <w:ilvl w:val="0"/>
          <w:numId w:val="1"/>
        </w:numPr>
        <w:jc w:val="both"/>
        <w:rPr>
          <w:rFonts w:asciiTheme="minorHAnsi" w:eastAsiaTheme="minorEastAsia" w:hAnsiTheme="minorHAnsi" w:cstheme="minorHAnsi"/>
          <w:color w:val="auto"/>
          <w:lang w:eastAsia="en-AU"/>
        </w:rPr>
      </w:pPr>
      <w:r w:rsidRPr="002F0DE2">
        <w:rPr>
          <w:rFonts w:asciiTheme="minorHAnsi" w:eastAsiaTheme="minorEastAsia" w:hAnsiTheme="minorHAnsi" w:cstheme="minorHAnsi"/>
          <w:b/>
          <w:color w:val="auto"/>
          <w:lang w:eastAsia="en-AU"/>
        </w:rPr>
        <w:t>Unserviceable premises</w:t>
      </w:r>
      <w:r w:rsidR="0010025A">
        <w:rPr>
          <w:rFonts w:asciiTheme="minorHAnsi" w:eastAsiaTheme="minorEastAsia" w:hAnsiTheme="minorHAnsi" w:cstheme="minorHAnsi"/>
          <w:b/>
          <w:color w:val="auto"/>
          <w:lang w:eastAsia="en-AU"/>
        </w:rPr>
        <w:t>.</w:t>
      </w:r>
      <w:r>
        <w:rPr>
          <w:rFonts w:asciiTheme="minorHAnsi" w:eastAsiaTheme="minorEastAsia" w:hAnsiTheme="minorHAnsi" w:cstheme="minorHAnsi"/>
          <w:color w:val="auto"/>
          <w:lang w:eastAsia="en-AU"/>
        </w:rPr>
        <w:t xml:space="preserve"> </w:t>
      </w:r>
      <w:r w:rsidR="00FD2DD0">
        <w:rPr>
          <w:rFonts w:asciiTheme="minorHAnsi" w:eastAsiaTheme="minorEastAsia" w:hAnsiTheme="minorHAnsi" w:cstheme="minorHAnsi"/>
          <w:color w:val="auto"/>
          <w:lang w:eastAsia="en-AU"/>
        </w:rPr>
        <w:t xml:space="preserve">On Pg. 13 there is a discussion about </w:t>
      </w:r>
      <w:r w:rsidR="00FD2DD0" w:rsidRPr="00F253A0">
        <w:rPr>
          <w:rFonts w:asciiTheme="minorHAnsi" w:eastAsiaTheme="minorEastAsia" w:hAnsiTheme="minorHAnsi" w:cstheme="minorHAnsi"/>
          <w:color w:val="auto"/>
          <w:lang w:eastAsia="en-AU"/>
        </w:rPr>
        <w:t>non serviceable premises still being able to order a service and not being subject to Cease Sale arrangements</w:t>
      </w:r>
      <w:r w:rsidR="00FD2DD0">
        <w:rPr>
          <w:rFonts w:asciiTheme="minorHAnsi" w:eastAsiaTheme="minorEastAsia" w:hAnsiTheme="minorHAnsi" w:cstheme="minorHAnsi"/>
          <w:color w:val="auto"/>
          <w:lang w:eastAsia="en-AU"/>
        </w:rPr>
        <w:t xml:space="preserve">. </w:t>
      </w:r>
      <w:r w:rsidR="00FD2DD0" w:rsidRPr="00FD2DD0">
        <w:rPr>
          <w:rFonts w:asciiTheme="minorHAnsi" w:eastAsiaTheme="minorEastAsia" w:hAnsiTheme="minorHAnsi" w:cstheme="minorHAnsi"/>
          <w:color w:val="auto"/>
          <w:lang w:eastAsia="en-AU"/>
        </w:rPr>
        <w:t xml:space="preserve">ACCAN believes that this </w:t>
      </w:r>
      <w:r w:rsidR="00C76C2A">
        <w:rPr>
          <w:rFonts w:asciiTheme="minorHAnsi" w:eastAsiaTheme="minorEastAsia" w:hAnsiTheme="minorHAnsi" w:cstheme="minorHAnsi"/>
          <w:color w:val="auto"/>
          <w:lang w:eastAsia="en-AU"/>
        </w:rPr>
        <w:t>is a more c</w:t>
      </w:r>
      <w:r w:rsidR="00FD2DD0" w:rsidRPr="00FD2DD0">
        <w:rPr>
          <w:rFonts w:asciiTheme="minorHAnsi" w:eastAsiaTheme="minorEastAsia" w:hAnsiTheme="minorHAnsi" w:cstheme="minorHAnsi"/>
          <w:color w:val="auto"/>
          <w:lang w:eastAsia="en-AU"/>
        </w:rPr>
        <w:t>omplex</w:t>
      </w:r>
      <w:r w:rsidR="00C76C2A">
        <w:rPr>
          <w:rFonts w:asciiTheme="minorHAnsi" w:eastAsiaTheme="minorEastAsia" w:hAnsiTheme="minorHAnsi" w:cstheme="minorHAnsi"/>
          <w:color w:val="auto"/>
          <w:lang w:eastAsia="en-AU"/>
        </w:rPr>
        <w:t xml:space="preserve"> situation on the ground th</w:t>
      </w:r>
      <w:r w:rsidR="00C6657E">
        <w:rPr>
          <w:rFonts w:asciiTheme="minorHAnsi" w:eastAsiaTheme="minorEastAsia" w:hAnsiTheme="minorHAnsi" w:cstheme="minorHAnsi"/>
          <w:color w:val="auto"/>
          <w:lang w:eastAsia="en-AU"/>
        </w:rPr>
        <w:t>a</w:t>
      </w:r>
      <w:r w:rsidR="00C76C2A">
        <w:rPr>
          <w:rFonts w:asciiTheme="minorHAnsi" w:eastAsiaTheme="minorEastAsia" w:hAnsiTheme="minorHAnsi" w:cstheme="minorHAnsi"/>
          <w:color w:val="auto"/>
          <w:lang w:eastAsia="en-AU"/>
        </w:rPr>
        <w:t>n in theory</w:t>
      </w:r>
      <w:r w:rsidR="00FD2DD0" w:rsidRPr="00FD2DD0">
        <w:rPr>
          <w:rFonts w:asciiTheme="minorHAnsi" w:eastAsiaTheme="minorEastAsia" w:hAnsiTheme="minorHAnsi" w:cstheme="minorHAnsi"/>
          <w:color w:val="auto"/>
          <w:lang w:eastAsia="en-AU"/>
        </w:rPr>
        <w:t>. We have been approached by a number of consumers who move</w:t>
      </w:r>
      <w:r w:rsidR="00B82925">
        <w:rPr>
          <w:rFonts w:asciiTheme="minorHAnsi" w:eastAsiaTheme="minorEastAsia" w:hAnsiTheme="minorHAnsi" w:cstheme="minorHAnsi"/>
          <w:color w:val="auto"/>
          <w:lang w:eastAsia="en-AU"/>
        </w:rPr>
        <w:t>d</w:t>
      </w:r>
      <w:r w:rsidR="00FD2DD0" w:rsidRPr="00FD2DD0">
        <w:rPr>
          <w:rFonts w:asciiTheme="minorHAnsi" w:eastAsiaTheme="minorEastAsia" w:hAnsiTheme="minorHAnsi" w:cstheme="minorHAnsi"/>
          <w:color w:val="auto"/>
          <w:lang w:eastAsia="en-AU"/>
        </w:rPr>
        <w:t xml:space="preserve"> into a premises, understanding that the premises is ready for service from </w:t>
      </w:r>
      <w:r w:rsidR="00204471" w:rsidRPr="00FD2DD0">
        <w:rPr>
          <w:rFonts w:asciiTheme="minorHAnsi" w:eastAsiaTheme="minorEastAsia" w:hAnsiTheme="minorHAnsi" w:cstheme="minorHAnsi"/>
          <w:color w:val="auto"/>
          <w:lang w:eastAsia="en-AU"/>
        </w:rPr>
        <w:t>nbn’s</w:t>
      </w:r>
      <w:r w:rsidR="00FD2DD0" w:rsidRPr="00FD2DD0">
        <w:rPr>
          <w:rFonts w:asciiTheme="minorHAnsi" w:eastAsiaTheme="minorEastAsia" w:hAnsiTheme="minorHAnsi" w:cstheme="minorHAnsi"/>
          <w:color w:val="auto"/>
          <w:lang w:eastAsia="en-AU"/>
        </w:rPr>
        <w:t xml:space="preserve"> website, only to find out that after trying to connect that the premises is not serviceable. This can be difficult to resolve</w:t>
      </w:r>
      <w:r w:rsidR="00B82925">
        <w:rPr>
          <w:rFonts w:asciiTheme="minorHAnsi" w:eastAsiaTheme="minorEastAsia" w:hAnsiTheme="minorHAnsi" w:cstheme="minorHAnsi"/>
          <w:color w:val="auto"/>
          <w:lang w:eastAsia="en-AU"/>
        </w:rPr>
        <w:t xml:space="preserve"> as it can be time consuming and complicated to get a premises re-classified</w:t>
      </w:r>
      <w:r w:rsidR="00FD2DD0" w:rsidRPr="00FD2DD0">
        <w:rPr>
          <w:rFonts w:asciiTheme="minorHAnsi" w:eastAsiaTheme="minorEastAsia" w:hAnsiTheme="minorHAnsi" w:cstheme="minorHAnsi"/>
          <w:color w:val="auto"/>
          <w:lang w:eastAsia="en-AU"/>
        </w:rPr>
        <w:t xml:space="preserve">. Clearer information about which premises are not serviceable and quick identification of non-serviceable premises is </w:t>
      </w:r>
      <w:r w:rsidR="00B82925">
        <w:rPr>
          <w:rFonts w:asciiTheme="minorHAnsi" w:eastAsiaTheme="minorEastAsia" w:hAnsiTheme="minorHAnsi" w:cstheme="minorHAnsi"/>
          <w:color w:val="auto"/>
          <w:lang w:eastAsia="en-AU"/>
        </w:rPr>
        <w:t>vital</w:t>
      </w:r>
      <w:r w:rsidR="00FD2DD0" w:rsidRPr="00FD2DD0">
        <w:rPr>
          <w:rFonts w:asciiTheme="minorHAnsi" w:eastAsiaTheme="minorEastAsia" w:hAnsiTheme="minorHAnsi" w:cstheme="minorHAnsi"/>
          <w:color w:val="auto"/>
          <w:lang w:eastAsia="en-AU"/>
        </w:rPr>
        <w:t>.</w:t>
      </w:r>
    </w:p>
    <w:p w:rsidR="001A4A29" w:rsidRDefault="0010025A" w:rsidP="001A4A29">
      <w:pPr>
        <w:pStyle w:val="BodyText1"/>
        <w:numPr>
          <w:ilvl w:val="0"/>
          <w:numId w:val="1"/>
        </w:numPr>
        <w:jc w:val="both"/>
        <w:rPr>
          <w:rFonts w:asciiTheme="minorHAnsi" w:eastAsiaTheme="minorEastAsia" w:hAnsiTheme="minorHAnsi" w:cstheme="minorHAnsi"/>
          <w:color w:val="auto"/>
          <w:lang w:eastAsia="en-AU"/>
        </w:rPr>
      </w:pPr>
      <w:r w:rsidRPr="002F0DE2">
        <w:rPr>
          <w:rFonts w:asciiTheme="minorHAnsi" w:eastAsiaTheme="minorEastAsia" w:hAnsiTheme="minorHAnsi" w:cstheme="minorHAnsi"/>
          <w:b/>
          <w:color w:val="auto"/>
          <w:lang w:eastAsia="en-AU"/>
        </w:rPr>
        <w:t>Unserviceable premises.</w:t>
      </w:r>
      <w:r>
        <w:rPr>
          <w:rFonts w:asciiTheme="minorHAnsi" w:eastAsiaTheme="minorEastAsia" w:hAnsiTheme="minorHAnsi" w:cstheme="minorHAnsi"/>
          <w:color w:val="auto"/>
          <w:lang w:eastAsia="en-AU"/>
        </w:rPr>
        <w:t xml:space="preserve"> </w:t>
      </w:r>
      <w:r w:rsidR="00CB3902">
        <w:rPr>
          <w:rFonts w:asciiTheme="minorHAnsi" w:eastAsiaTheme="minorEastAsia" w:hAnsiTheme="minorHAnsi" w:cstheme="minorHAnsi"/>
          <w:color w:val="auto"/>
          <w:lang w:eastAsia="en-AU"/>
        </w:rPr>
        <w:t>Pg. 13</w:t>
      </w:r>
      <w:r w:rsidR="00CB3902" w:rsidRPr="00CB3902">
        <w:rPr>
          <w:rFonts w:asciiTheme="minorHAnsi" w:eastAsiaTheme="minorEastAsia" w:hAnsiTheme="minorHAnsi" w:cstheme="minorHAnsi"/>
          <w:color w:val="auto"/>
          <w:lang w:eastAsia="en-AU"/>
        </w:rPr>
        <w:t xml:space="preserve">, </w:t>
      </w:r>
      <w:r w:rsidR="00CB3902">
        <w:rPr>
          <w:rFonts w:asciiTheme="minorHAnsi" w:eastAsiaTheme="minorEastAsia" w:hAnsiTheme="minorHAnsi" w:cstheme="minorHAnsi"/>
          <w:color w:val="auto"/>
          <w:lang w:eastAsia="en-AU"/>
        </w:rPr>
        <w:t xml:space="preserve">ACCAN </w:t>
      </w:r>
      <w:r w:rsidR="00C6657E">
        <w:rPr>
          <w:rFonts w:asciiTheme="minorHAnsi" w:eastAsiaTheme="minorEastAsia" w:hAnsiTheme="minorHAnsi" w:cstheme="minorHAnsi"/>
          <w:color w:val="auto"/>
          <w:lang w:eastAsia="en-AU"/>
        </w:rPr>
        <w:t>seeks</w:t>
      </w:r>
      <w:r w:rsidR="00CB3902">
        <w:rPr>
          <w:rFonts w:asciiTheme="minorHAnsi" w:eastAsiaTheme="minorEastAsia" w:hAnsiTheme="minorHAnsi" w:cstheme="minorHAnsi"/>
          <w:color w:val="auto"/>
          <w:lang w:eastAsia="en-AU"/>
        </w:rPr>
        <w:t xml:space="preserve"> clarification </w:t>
      </w:r>
      <w:r w:rsidR="002F0DE2">
        <w:rPr>
          <w:rFonts w:asciiTheme="minorHAnsi" w:eastAsiaTheme="minorEastAsia" w:hAnsiTheme="minorHAnsi" w:cstheme="minorHAnsi"/>
          <w:color w:val="auto"/>
          <w:lang w:eastAsia="en-AU"/>
        </w:rPr>
        <w:t>on the</w:t>
      </w:r>
      <w:r w:rsidR="00CB3902">
        <w:rPr>
          <w:rFonts w:asciiTheme="minorHAnsi" w:eastAsiaTheme="minorEastAsia" w:hAnsiTheme="minorHAnsi" w:cstheme="minorHAnsi"/>
          <w:color w:val="auto"/>
          <w:lang w:eastAsia="en-AU"/>
        </w:rPr>
        <w:t xml:space="preserve"> sentence relating to unserviceable premises “</w:t>
      </w:r>
      <w:r w:rsidR="00CB3902" w:rsidRPr="00CB3902">
        <w:rPr>
          <w:rFonts w:asciiTheme="minorHAnsi" w:eastAsiaTheme="minorEastAsia" w:hAnsiTheme="minorHAnsi" w:cstheme="minorHAnsi"/>
          <w:i/>
          <w:color w:val="auto"/>
          <w:lang w:eastAsia="en-AU"/>
        </w:rPr>
        <w:t>customers will still be required to migrate to an alternative service before the Disconnection Date if they wish to maintain continuity of their fixed line services</w:t>
      </w:r>
      <w:r w:rsidR="00CB3902">
        <w:rPr>
          <w:rFonts w:asciiTheme="minorHAnsi" w:eastAsiaTheme="minorEastAsia" w:hAnsiTheme="minorHAnsi" w:cstheme="minorHAnsi"/>
          <w:color w:val="auto"/>
          <w:lang w:eastAsia="en-AU"/>
        </w:rPr>
        <w:t>”</w:t>
      </w:r>
      <w:r w:rsidR="001B00BC">
        <w:rPr>
          <w:rFonts w:asciiTheme="minorHAnsi" w:eastAsiaTheme="minorEastAsia" w:hAnsiTheme="minorHAnsi" w:cstheme="minorHAnsi"/>
          <w:color w:val="auto"/>
          <w:lang w:eastAsia="en-AU"/>
        </w:rPr>
        <w:t xml:space="preserve">. Is </w:t>
      </w:r>
      <w:r w:rsidR="002F0DE2">
        <w:rPr>
          <w:rFonts w:asciiTheme="minorHAnsi" w:eastAsiaTheme="minorEastAsia" w:hAnsiTheme="minorHAnsi" w:cstheme="minorHAnsi"/>
          <w:color w:val="auto"/>
          <w:lang w:eastAsia="en-AU"/>
        </w:rPr>
        <w:t>the Disconnection</w:t>
      </w:r>
      <w:r w:rsidR="001B00BC">
        <w:rPr>
          <w:rFonts w:asciiTheme="minorHAnsi" w:eastAsiaTheme="minorEastAsia" w:hAnsiTheme="minorHAnsi" w:cstheme="minorHAnsi"/>
          <w:color w:val="auto"/>
          <w:lang w:eastAsia="en-AU"/>
        </w:rPr>
        <w:t xml:space="preserve"> Date</w:t>
      </w:r>
      <w:r w:rsidR="00F253A0">
        <w:rPr>
          <w:rFonts w:asciiTheme="minorHAnsi" w:eastAsiaTheme="minorEastAsia" w:hAnsiTheme="minorHAnsi" w:cstheme="minorHAnsi"/>
          <w:color w:val="auto"/>
          <w:lang w:eastAsia="en-AU"/>
        </w:rPr>
        <w:t xml:space="preserve"> referred to</w:t>
      </w:r>
      <w:r w:rsidR="001B00BC">
        <w:rPr>
          <w:rFonts w:asciiTheme="minorHAnsi" w:eastAsiaTheme="minorEastAsia" w:hAnsiTheme="minorHAnsi" w:cstheme="minorHAnsi"/>
          <w:color w:val="auto"/>
          <w:lang w:eastAsia="en-AU"/>
        </w:rPr>
        <w:t xml:space="preserve"> </w:t>
      </w:r>
      <w:proofErr w:type="gramStart"/>
      <w:r w:rsidR="001B00BC">
        <w:rPr>
          <w:rFonts w:asciiTheme="minorHAnsi" w:eastAsiaTheme="minorEastAsia" w:hAnsiTheme="minorHAnsi" w:cstheme="minorHAnsi"/>
          <w:color w:val="auto"/>
          <w:lang w:eastAsia="en-AU"/>
        </w:rPr>
        <w:t>tailored</w:t>
      </w:r>
      <w:proofErr w:type="gramEnd"/>
      <w:r w:rsidR="001B00BC">
        <w:rPr>
          <w:rFonts w:asciiTheme="minorHAnsi" w:eastAsiaTheme="minorEastAsia" w:hAnsiTheme="minorHAnsi" w:cstheme="minorHAnsi"/>
          <w:color w:val="auto"/>
          <w:lang w:eastAsia="en-AU"/>
        </w:rPr>
        <w:t xml:space="preserve"> to the</w:t>
      </w:r>
      <w:r w:rsidR="00F253A0">
        <w:rPr>
          <w:rFonts w:asciiTheme="minorHAnsi" w:eastAsiaTheme="minorEastAsia" w:hAnsiTheme="minorHAnsi" w:cstheme="minorHAnsi"/>
          <w:color w:val="auto"/>
          <w:lang w:eastAsia="en-AU"/>
        </w:rPr>
        <w:t xml:space="preserve"> specific</w:t>
      </w:r>
      <w:r w:rsidR="001B00BC">
        <w:rPr>
          <w:rFonts w:asciiTheme="minorHAnsi" w:eastAsiaTheme="minorEastAsia" w:hAnsiTheme="minorHAnsi" w:cstheme="minorHAnsi"/>
          <w:color w:val="auto"/>
          <w:lang w:eastAsia="en-AU"/>
        </w:rPr>
        <w:t xml:space="preserve"> unserviceable premises? I.e. </w:t>
      </w:r>
      <w:r w:rsidR="004B372F">
        <w:rPr>
          <w:rFonts w:asciiTheme="minorHAnsi" w:eastAsiaTheme="minorEastAsia" w:hAnsiTheme="minorHAnsi" w:cstheme="minorHAnsi"/>
          <w:color w:val="auto"/>
          <w:lang w:eastAsia="en-AU"/>
        </w:rPr>
        <w:t xml:space="preserve">that </w:t>
      </w:r>
      <w:r w:rsidR="004B372F" w:rsidRPr="00CB3902">
        <w:rPr>
          <w:rFonts w:asciiTheme="minorHAnsi" w:eastAsiaTheme="minorEastAsia" w:hAnsiTheme="minorHAnsi" w:cstheme="minorHAnsi"/>
          <w:color w:val="auto"/>
          <w:lang w:eastAsia="en-AU"/>
        </w:rPr>
        <w:t>the</w:t>
      </w:r>
      <w:r w:rsidR="00CB3902" w:rsidRPr="00CB3902">
        <w:rPr>
          <w:rFonts w:asciiTheme="minorHAnsi" w:eastAsiaTheme="minorEastAsia" w:hAnsiTheme="minorHAnsi" w:cstheme="minorHAnsi"/>
          <w:color w:val="auto"/>
          <w:lang w:eastAsia="en-AU"/>
        </w:rPr>
        <w:t xml:space="preserve"> premises is </w:t>
      </w:r>
      <w:r w:rsidR="00CB3902">
        <w:rPr>
          <w:rFonts w:asciiTheme="minorHAnsi" w:eastAsiaTheme="minorEastAsia" w:hAnsiTheme="minorHAnsi" w:cstheme="minorHAnsi"/>
          <w:color w:val="auto"/>
          <w:lang w:eastAsia="en-AU"/>
        </w:rPr>
        <w:t xml:space="preserve">made </w:t>
      </w:r>
      <w:r w:rsidR="00CB3902" w:rsidRPr="00CB3902">
        <w:rPr>
          <w:rFonts w:asciiTheme="minorHAnsi" w:eastAsiaTheme="minorEastAsia" w:hAnsiTheme="minorHAnsi" w:cstheme="minorHAnsi"/>
          <w:color w:val="auto"/>
          <w:lang w:eastAsia="en-AU"/>
        </w:rPr>
        <w:t>serviceable and the</w:t>
      </w:r>
      <w:r w:rsidR="003251B3">
        <w:rPr>
          <w:rFonts w:asciiTheme="minorHAnsi" w:eastAsiaTheme="minorEastAsia" w:hAnsiTheme="minorHAnsi" w:cstheme="minorHAnsi"/>
          <w:color w:val="auto"/>
          <w:lang w:eastAsia="en-AU"/>
        </w:rPr>
        <w:t xml:space="preserve"> full</w:t>
      </w:r>
      <w:r w:rsidR="00CB3902" w:rsidRPr="00CB3902">
        <w:rPr>
          <w:rFonts w:asciiTheme="minorHAnsi" w:eastAsiaTheme="minorEastAsia" w:hAnsiTheme="minorHAnsi" w:cstheme="minorHAnsi"/>
          <w:color w:val="auto"/>
          <w:lang w:eastAsia="en-AU"/>
        </w:rPr>
        <w:t xml:space="preserve"> migration window is applied</w:t>
      </w:r>
      <w:r w:rsidR="001B00BC">
        <w:rPr>
          <w:rFonts w:asciiTheme="minorHAnsi" w:eastAsiaTheme="minorEastAsia" w:hAnsiTheme="minorHAnsi" w:cstheme="minorHAnsi"/>
          <w:color w:val="auto"/>
          <w:lang w:eastAsia="en-AU"/>
        </w:rPr>
        <w:t xml:space="preserve"> to </w:t>
      </w:r>
      <w:r w:rsidR="00F253A0">
        <w:rPr>
          <w:rFonts w:asciiTheme="minorHAnsi" w:eastAsiaTheme="minorEastAsia" w:hAnsiTheme="minorHAnsi" w:cstheme="minorHAnsi"/>
          <w:color w:val="auto"/>
          <w:lang w:eastAsia="en-AU"/>
        </w:rPr>
        <w:t>it</w:t>
      </w:r>
      <w:r w:rsidR="005332DA">
        <w:rPr>
          <w:rFonts w:asciiTheme="minorHAnsi" w:eastAsiaTheme="minorEastAsia" w:hAnsiTheme="minorHAnsi" w:cstheme="minorHAnsi"/>
          <w:color w:val="auto"/>
          <w:lang w:eastAsia="en-AU"/>
        </w:rPr>
        <w:t xml:space="preserve"> from that date</w:t>
      </w:r>
      <w:r w:rsidR="00CB3902" w:rsidRPr="00CB3902">
        <w:rPr>
          <w:rFonts w:asciiTheme="minorHAnsi" w:eastAsiaTheme="minorEastAsia" w:hAnsiTheme="minorHAnsi" w:cstheme="minorHAnsi"/>
          <w:color w:val="auto"/>
          <w:lang w:eastAsia="en-AU"/>
        </w:rPr>
        <w:t>? Not that the Disconnection Date f</w:t>
      </w:r>
      <w:r w:rsidR="00C6657E">
        <w:rPr>
          <w:rFonts w:asciiTheme="minorHAnsi" w:eastAsiaTheme="minorEastAsia" w:hAnsiTheme="minorHAnsi" w:cstheme="minorHAnsi"/>
          <w:color w:val="auto"/>
          <w:lang w:eastAsia="en-AU"/>
        </w:rPr>
        <w:t>or</w:t>
      </w:r>
      <w:r w:rsidR="00CB3902" w:rsidRPr="00CB3902">
        <w:rPr>
          <w:rFonts w:asciiTheme="minorHAnsi" w:eastAsiaTheme="minorEastAsia" w:hAnsiTheme="minorHAnsi" w:cstheme="minorHAnsi"/>
          <w:color w:val="auto"/>
          <w:lang w:eastAsia="en-AU"/>
        </w:rPr>
        <w:t xml:space="preserve"> the general area applies to the unserviceable premises</w:t>
      </w:r>
      <w:r w:rsidR="001B00BC">
        <w:rPr>
          <w:rFonts w:asciiTheme="minorHAnsi" w:eastAsiaTheme="minorEastAsia" w:hAnsiTheme="minorHAnsi" w:cstheme="minorHAnsi"/>
          <w:color w:val="auto"/>
          <w:lang w:eastAsia="en-AU"/>
        </w:rPr>
        <w:t>, in which case the</w:t>
      </w:r>
      <w:r w:rsidR="00F253A0">
        <w:rPr>
          <w:rFonts w:asciiTheme="minorHAnsi" w:eastAsiaTheme="minorEastAsia" w:hAnsiTheme="minorHAnsi" w:cstheme="minorHAnsi"/>
          <w:color w:val="auto"/>
          <w:lang w:eastAsia="en-AU"/>
        </w:rPr>
        <w:t xml:space="preserve"> premises</w:t>
      </w:r>
      <w:r w:rsidR="001B00BC">
        <w:rPr>
          <w:rFonts w:asciiTheme="minorHAnsi" w:eastAsiaTheme="minorEastAsia" w:hAnsiTheme="minorHAnsi" w:cstheme="minorHAnsi"/>
          <w:color w:val="auto"/>
          <w:lang w:eastAsia="en-AU"/>
        </w:rPr>
        <w:t xml:space="preserve"> may  be left without any fixed line service after the disconnection date</w:t>
      </w:r>
      <w:r w:rsidR="004B372F">
        <w:rPr>
          <w:rFonts w:asciiTheme="minorHAnsi" w:eastAsiaTheme="minorEastAsia" w:hAnsiTheme="minorHAnsi" w:cstheme="minorHAnsi"/>
          <w:color w:val="auto"/>
          <w:lang w:eastAsia="en-AU"/>
        </w:rPr>
        <w:t>.</w:t>
      </w:r>
    </w:p>
    <w:p w:rsidR="001A4A29" w:rsidRDefault="00E42BC6" w:rsidP="001A4A29">
      <w:pPr>
        <w:pStyle w:val="BodyText1"/>
        <w:numPr>
          <w:ilvl w:val="0"/>
          <w:numId w:val="1"/>
        </w:numPr>
        <w:jc w:val="both"/>
        <w:rPr>
          <w:rFonts w:asciiTheme="minorHAnsi" w:eastAsiaTheme="minorEastAsia" w:hAnsiTheme="minorHAnsi" w:cstheme="minorHAnsi"/>
          <w:color w:val="auto"/>
          <w:lang w:eastAsia="en-AU"/>
        </w:rPr>
      </w:pPr>
      <w:r w:rsidRPr="002F0DE2">
        <w:rPr>
          <w:rFonts w:asciiTheme="minorHAnsi" w:eastAsiaTheme="minorEastAsia" w:hAnsiTheme="minorHAnsi" w:cstheme="minorHAnsi"/>
          <w:b/>
          <w:color w:val="auto"/>
          <w:lang w:eastAsia="en-AU"/>
        </w:rPr>
        <w:t>TeleTypewritter</w:t>
      </w:r>
      <w:r w:rsidR="00C6657E" w:rsidRPr="002F0DE2">
        <w:rPr>
          <w:rFonts w:asciiTheme="minorHAnsi" w:eastAsiaTheme="minorEastAsia" w:hAnsiTheme="minorHAnsi" w:cstheme="minorHAnsi"/>
          <w:b/>
          <w:color w:val="auto"/>
          <w:lang w:eastAsia="en-AU"/>
        </w:rPr>
        <w:t>s</w:t>
      </w:r>
      <w:r w:rsidRPr="002F0DE2">
        <w:rPr>
          <w:rFonts w:asciiTheme="minorHAnsi" w:eastAsiaTheme="minorEastAsia" w:hAnsiTheme="minorHAnsi" w:cstheme="minorHAnsi"/>
          <w:b/>
          <w:color w:val="auto"/>
          <w:lang w:eastAsia="en-AU"/>
        </w:rPr>
        <w:t xml:space="preserve"> (TTY)</w:t>
      </w:r>
      <w:r>
        <w:rPr>
          <w:rFonts w:asciiTheme="minorHAnsi" w:eastAsiaTheme="minorEastAsia" w:hAnsiTheme="minorHAnsi" w:cstheme="minorHAnsi"/>
          <w:color w:val="auto"/>
          <w:lang w:eastAsia="en-AU"/>
        </w:rPr>
        <w:t xml:space="preserve">  are important devices that allow consumers </w:t>
      </w:r>
      <w:r w:rsidRPr="00E42BC6">
        <w:rPr>
          <w:rFonts w:asciiTheme="minorHAnsi" w:eastAsiaTheme="minorEastAsia" w:hAnsiTheme="minorHAnsi" w:cstheme="minorHAnsi"/>
          <w:color w:val="auto"/>
          <w:lang w:eastAsia="en-AU"/>
        </w:rPr>
        <w:t xml:space="preserve">who are </w:t>
      </w:r>
      <w:r w:rsidR="00F64B03">
        <w:rPr>
          <w:rFonts w:asciiTheme="minorHAnsi" w:eastAsiaTheme="minorEastAsia" w:hAnsiTheme="minorHAnsi" w:cstheme="minorHAnsi"/>
          <w:color w:val="auto"/>
          <w:lang w:eastAsia="en-AU"/>
        </w:rPr>
        <w:t>D</w:t>
      </w:r>
      <w:r w:rsidRPr="00E42BC6">
        <w:rPr>
          <w:rFonts w:asciiTheme="minorHAnsi" w:eastAsiaTheme="minorEastAsia" w:hAnsiTheme="minorHAnsi" w:cstheme="minorHAnsi"/>
          <w:color w:val="auto"/>
          <w:lang w:eastAsia="en-AU"/>
        </w:rPr>
        <w:t>eaf, hard of hearing, or speech-impaired</w:t>
      </w:r>
      <w:r>
        <w:rPr>
          <w:rFonts w:asciiTheme="minorHAnsi" w:eastAsiaTheme="minorEastAsia" w:hAnsiTheme="minorHAnsi" w:cstheme="minorHAnsi"/>
          <w:color w:val="auto"/>
          <w:lang w:eastAsia="en-AU"/>
        </w:rPr>
        <w:t xml:space="preserve"> communicate in an equivalent manner to</w:t>
      </w:r>
      <w:r w:rsidR="00B82925">
        <w:rPr>
          <w:rFonts w:asciiTheme="minorHAnsi" w:eastAsiaTheme="minorEastAsia" w:hAnsiTheme="minorHAnsi" w:cstheme="minorHAnsi"/>
          <w:color w:val="auto"/>
          <w:lang w:eastAsia="en-AU"/>
        </w:rPr>
        <w:t xml:space="preserve"> a</w:t>
      </w:r>
      <w:r>
        <w:rPr>
          <w:rFonts w:asciiTheme="minorHAnsi" w:eastAsiaTheme="minorEastAsia" w:hAnsiTheme="minorHAnsi" w:cstheme="minorHAnsi"/>
          <w:color w:val="auto"/>
          <w:lang w:eastAsia="en-AU"/>
        </w:rPr>
        <w:t xml:space="preserve"> </w:t>
      </w:r>
      <w:r w:rsidR="00F64B03">
        <w:rPr>
          <w:rFonts w:asciiTheme="minorHAnsi" w:eastAsiaTheme="minorEastAsia" w:hAnsiTheme="minorHAnsi" w:cstheme="minorHAnsi"/>
          <w:color w:val="auto"/>
          <w:lang w:eastAsia="en-AU"/>
        </w:rPr>
        <w:t xml:space="preserve">person with full hearing by </w:t>
      </w:r>
      <w:r>
        <w:rPr>
          <w:rFonts w:asciiTheme="minorHAnsi" w:eastAsiaTheme="minorEastAsia" w:hAnsiTheme="minorHAnsi" w:cstheme="minorHAnsi"/>
          <w:color w:val="auto"/>
          <w:lang w:eastAsia="en-AU"/>
        </w:rPr>
        <w:t xml:space="preserve">telephone. </w:t>
      </w:r>
      <w:r w:rsidRPr="00E42BC6">
        <w:rPr>
          <w:rFonts w:asciiTheme="minorHAnsi" w:eastAsiaTheme="minorEastAsia" w:hAnsiTheme="minorHAnsi" w:cstheme="minorHAnsi"/>
          <w:color w:val="auto"/>
          <w:lang w:eastAsia="en-AU"/>
        </w:rPr>
        <w:t xml:space="preserve"> </w:t>
      </w:r>
      <w:r>
        <w:rPr>
          <w:rFonts w:asciiTheme="minorHAnsi" w:eastAsiaTheme="minorEastAsia" w:hAnsiTheme="minorHAnsi" w:cstheme="minorHAnsi"/>
          <w:color w:val="auto"/>
          <w:lang w:eastAsia="en-AU"/>
        </w:rPr>
        <w:t>The MAF document omits these essential over the top devices. ACCAN believes reference</w:t>
      </w:r>
      <w:r w:rsidR="00F64B03">
        <w:rPr>
          <w:rFonts w:asciiTheme="minorHAnsi" w:eastAsiaTheme="minorEastAsia" w:hAnsiTheme="minorHAnsi" w:cstheme="minorHAnsi"/>
          <w:color w:val="auto"/>
          <w:lang w:eastAsia="en-AU"/>
        </w:rPr>
        <w:t>s</w:t>
      </w:r>
      <w:r>
        <w:rPr>
          <w:rFonts w:asciiTheme="minorHAnsi" w:eastAsiaTheme="minorEastAsia" w:hAnsiTheme="minorHAnsi" w:cstheme="minorHAnsi"/>
          <w:color w:val="auto"/>
          <w:lang w:eastAsia="en-AU"/>
        </w:rPr>
        <w:t xml:space="preserve"> to them should be included on pg. 13, </w:t>
      </w:r>
      <w:r w:rsidR="00BF5D08">
        <w:rPr>
          <w:rFonts w:asciiTheme="minorHAnsi" w:eastAsiaTheme="minorEastAsia" w:hAnsiTheme="minorHAnsi" w:cstheme="minorHAnsi"/>
          <w:color w:val="auto"/>
          <w:lang w:eastAsia="en-AU"/>
        </w:rPr>
        <w:t xml:space="preserve">17, </w:t>
      </w:r>
      <w:r w:rsidR="00B82925">
        <w:rPr>
          <w:rFonts w:asciiTheme="minorHAnsi" w:eastAsiaTheme="minorEastAsia" w:hAnsiTheme="minorHAnsi" w:cstheme="minorHAnsi"/>
          <w:color w:val="auto"/>
          <w:lang w:eastAsia="en-AU"/>
        </w:rPr>
        <w:t>38 and 39.</w:t>
      </w:r>
      <w:r w:rsidR="00864DC5">
        <w:rPr>
          <w:rFonts w:asciiTheme="minorHAnsi" w:eastAsiaTheme="minorEastAsia" w:hAnsiTheme="minorHAnsi" w:cstheme="minorHAnsi"/>
          <w:color w:val="auto"/>
          <w:lang w:eastAsia="en-AU"/>
        </w:rPr>
        <w:t xml:space="preserve"> </w:t>
      </w:r>
    </w:p>
    <w:p w:rsidR="009534CB" w:rsidRDefault="0010025A" w:rsidP="001A4A29">
      <w:pPr>
        <w:pStyle w:val="BodyText1"/>
        <w:numPr>
          <w:ilvl w:val="0"/>
          <w:numId w:val="1"/>
        </w:numPr>
        <w:jc w:val="both"/>
        <w:rPr>
          <w:rFonts w:asciiTheme="minorHAnsi" w:eastAsiaTheme="minorEastAsia" w:hAnsiTheme="minorHAnsi" w:cstheme="minorHAnsi"/>
          <w:color w:val="auto"/>
          <w:lang w:eastAsia="en-AU"/>
        </w:rPr>
      </w:pPr>
      <w:r w:rsidRPr="002F0DE2">
        <w:rPr>
          <w:rFonts w:asciiTheme="minorHAnsi" w:eastAsiaTheme="minorEastAsia" w:hAnsiTheme="minorHAnsi" w:cstheme="minorHAnsi"/>
          <w:b/>
          <w:color w:val="auto"/>
          <w:lang w:eastAsia="en-AU"/>
        </w:rPr>
        <w:t>Consistent information</w:t>
      </w:r>
      <w:r>
        <w:rPr>
          <w:rFonts w:asciiTheme="minorHAnsi" w:eastAsiaTheme="minorEastAsia" w:hAnsiTheme="minorHAnsi" w:cstheme="minorHAnsi"/>
          <w:color w:val="auto"/>
          <w:lang w:eastAsia="en-AU"/>
        </w:rPr>
        <w:t xml:space="preserve"> </w:t>
      </w:r>
      <w:r w:rsidR="009534CB">
        <w:rPr>
          <w:rFonts w:asciiTheme="minorHAnsi" w:eastAsiaTheme="minorEastAsia" w:hAnsiTheme="minorHAnsi" w:cstheme="minorHAnsi"/>
          <w:color w:val="auto"/>
          <w:lang w:eastAsia="en-AU"/>
        </w:rPr>
        <w:t>Pg.</w:t>
      </w:r>
      <w:r w:rsidR="00B82925">
        <w:rPr>
          <w:rFonts w:asciiTheme="minorHAnsi" w:eastAsiaTheme="minorEastAsia" w:hAnsiTheme="minorHAnsi" w:cstheme="minorHAnsi"/>
          <w:color w:val="auto"/>
          <w:lang w:eastAsia="en-AU"/>
        </w:rPr>
        <w:t xml:space="preserve"> </w:t>
      </w:r>
      <w:r w:rsidR="009534CB">
        <w:rPr>
          <w:rFonts w:asciiTheme="minorHAnsi" w:eastAsiaTheme="minorEastAsia" w:hAnsiTheme="minorHAnsi" w:cstheme="minorHAnsi"/>
          <w:color w:val="auto"/>
          <w:lang w:eastAsia="en-AU"/>
        </w:rPr>
        <w:t>15</w:t>
      </w:r>
      <w:r w:rsidR="004B372F">
        <w:rPr>
          <w:rFonts w:asciiTheme="minorHAnsi" w:eastAsiaTheme="minorEastAsia" w:hAnsiTheme="minorHAnsi" w:cstheme="minorHAnsi"/>
          <w:color w:val="auto"/>
          <w:lang w:eastAsia="en-AU"/>
        </w:rPr>
        <w:t>,</w:t>
      </w:r>
      <w:r w:rsidR="009534CB">
        <w:rPr>
          <w:rFonts w:asciiTheme="minorHAnsi" w:eastAsiaTheme="minorEastAsia" w:hAnsiTheme="minorHAnsi" w:cstheme="minorHAnsi"/>
          <w:color w:val="auto"/>
          <w:lang w:eastAsia="en-AU"/>
        </w:rPr>
        <w:t xml:space="preserve"> places emphasis on need for timely information from a range of sources, but </w:t>
      </w:r>
      <w:r w:rsidR="00B82925">
        <w:rPr>
          <w:rFonts w:asciiTheme="minorHAnsi" w:eastAsiaTheme="minorEastAsia" w:hAnsiTheme="minorHAnsi" w:cstheme="minorHAnsi"/>
          <w:color w:val="auto"/>
          <w:lang w:eastAsia="en-AU"/>
        </w:rPr>
        <w:t xml:space="preserve">does </w:t>
      </w:r>
      <w:r w:rsidR="009534CB">
        <w:rPr>
          <w:rFonts w:asciiTheme="minorHAnsi" w:eastAsiaTheme="minorEastAsia" w:hAnsiTheme="minorHAnsi" w:cstheme="minorHAnsi"/>
          <w:color w:val="auto"/>
          <w:lang w:eastAsia="en-AU"/>
        </w:rPr>
        <w:t xml:space="preserve">not </w:t>
      </w:r>
      <w:r w:rsidR="00B82925">
        <w:rPr>
          <w:rFonts w:asciiTheme="minorHAnsi" w:eastAsiaTheme="minorEastAsia" w:hAnsiTheme="minorHAnsi" w:cstheme="minorHAnsi"/>
          <w:color w:val="auto"/>
          <w:lang w:eastAsia="en-AU"/>
        </w:rPr>
        <w:t xml:space="preserve">reference </w:t>
      </w:r>
      <w:r w:rsidR="009534CB">
        <w:rPr>
          <w:rFonts w:asciiTheme="minorHAnsi" w:eastAsiaTheme="minorEastAsia" w:hAnsiTheme="minorHAnsi" w:cstheme="minorHAnsi"/>
          <w:color w:val="auto"/>
          <w:lang w:eastAsia="en-AU"/>
        </w:rPr>
        <w:t xml:space="preserve">competitive retail service providers. Migrating to NBN should increase the range of options for consumers. </w:t>
      </w:r>
      <w:r w:rsidR="00B82925">
        <w:rPr>
          <w:rFonts w:asciiTheme="minorHAnsi" w:eastAsiaTheme="minorEastAsia" w:hAnsiTheme="minorHAnsi" w:cstheme="minorHAnsi"/>
          <w:color w:val="auto"/>
          <w:lang w:eastAsia="en-AU"/>
        </w:rPr>
        <w:t>Consumers often report hearing different information fr</w:t>
      </w:r>
      <w:r w:rsidR="003251B3">
        <w:rPr>
          <w:rFonts w:asciiTheme="minorHAnsi" w:eastAsiaTheme="minorEastAsia" w:hAnsiTheme="minorHAnsi" w:cstheme="minorHAnsi"/>
          <w:color w:val="auto"/>
          <w:lang w:eastAsia="en-AU"/>
        </w:rPr>
        <w:t>om</w:t>
      </w:r>
      <w:r w:rsidR="00B82925">
        <w:rPr>
          <w:rFonts w:asciiTheme="minorHAnsi" w:eastAsiaTheme="minorEastAsia" w:hAnsiTheme="minorHAnsi" w:cstheme="minorHAnsi"/>
          <w:color w:val="auto"/>
          <w:lang w:eastAsia="en-AU"/>
        </w:rPr>
        <w:t xml:space="preserve"> RSPs</w:t>
      </w:r>
      <w:r w:rsidR="004B372F">
        <w:rPr>
          <w:rFonts w:asciiTheme="minorHAnsi" w:eastAsiaTheme="minorEastAsia" w:hAnsiTheme="minorHAnsi" w:cstheme="minorHAnsi"/>
          <w:color w:val="auto"/>
          <w:lang w:eastAsia="en-AU"/>
        </w:rPr>
        <w:t xml:space="preserve"> about their options, sometime leading the consumer to think that they only have the option to go with that RSP</w:t>
      </w:r>
      <w:r w:rsidR="00B82925">
        <w:rPr>
          <w:rFonts w:asciiTheme="minorHAnsi" w:eastAsiaTheme="minorEastAsia" w:hAnsiTheme="minorHAnsi" w:cstheme="minorHAnsi"/>
          <w:color w:val="auto"/>
          <w:lang w:eastAsia="en-AU"/>
        </w:rPr>
        <w:t xml:space="preserve">. This may in part </w:t>
      </w:r>
      <w:r w:rsidR="003251B3">
        <w:rPr>
          <w:rFonts w:asciiTheme="minorHAnsi" w:eastAsiaTheme="minorEastAsia" w:hAnsiTheme="minorHAnsi" w:cstheme="minorHAnsi"/>
          <w:color w:val="auto"/>
          <w:lang w:eastAsia="en-AU"/>
        </w:rPr>
        <w:t xml:space="preserve">be </w:t>
      </w:r>
      <w:r w:rsidR="00B82925">
        <w:rPr>
          <w:rFonts w:asciiTheme="minorHAnsi" w:eastAsiaTheme="minorEastAsia" w:hAnsiTheme="minorHAnsi" w:cstheme="minorHAnsi"/>
          <w:color w:val="auto"/>
          <w:lang w:eastAsia="en-AU"/>
        </w:rPr>
        <w:t xml:space="preserve">an attempt by RSPs to provide information that would result in them gaining the customer as theirs. It is important that </w:t>
      </w:r>
      <w:r w:rsidR="003251B3">
        <w:rPr>
          <w:rFonts w:asciiTheme="minorHAnsi" w:eastAsiaTheme="minorEastAsia" w:hAnsiTheme="minorHAnsi" w:cstheme="minorHAnsi"/>
          <w:color w:val="auto"/>
          <w:lang w:eastAsia="en-AU"/>
        </w:rPr>
        <w:t>information</w:t>
      </w:r>
      <w:r w:rsidR="00B82925">
        <w:rPr>
          <w:rFonts w:asciiTheme="minorHAnsi" w:eastAsiaTheme="minorEastAsia" w:hAnsiTheme="minorHAnsi" w:cstheme="minorHAnsi"/>
          <w:color w:val="auto"/>
          <w:lang w:eastAsia="en-AU"/>
        </w:rPr>
        <w:t xml:space="preserve"> from all providers is consistent</w:t>
      </w:r>
      <w:r w:rsidR="004B372F">
        <w:rPr>
          <w:rFonts w:asciiTheme="minorHAnsi" w:eastAsiaTheme="minorEastAsia" w:hAnsiTheme="minorHAnsi" w:cstheme="minorHAnsi"/>
          <w:color w:val="auto"/>
          <w:lang w:eastAsia="en-AU"/>
        </w:rPr>
        <w:t xml:space="preserve"> and does not lead the consumer to believe that they have to choose one provider</w:t>
      </w:r>
      <w:r w:rsidR="00B82925">
        <w:rPr>
          <w:rFonts w:asciiTheme="minorHAnsi" w:eastAsiaTheme="minorEastAsia" w:hAnsiTheme="minorHAnsi" w:cstheme="minorHAnsi"/>
          <w:color w:val="auto"/>
          <w:lang w:eastAsia="en-AU"/>
        </w:rPr>
        <w:t>.</w:t>
      </w:r>
    </w:p>
    <w:p w:rsidR="00A260A6" w:rsidRDefault="0010025A" w:rsidP="001A4A29">
      <w:pPr>
        <w:pStyle w:val="BodyText1"/>
        <w:numPr>
          <w:ilvl w:val="0"/>
          <w:numId w:val="1"/>
        </w:numPr>
        <w:jc w:val="both"/>
        <w:rPr>
          <w:rFonts w:asciiTheme="minorHAnsi" w:eastAsiaTheme="minorEastAsia" w:hAnsiTheme="minorHAnsi" w:cstheme="minorHAnsi"/>
          <w:color w:val="auto"/>
          <w:lang w:eastAsia="en-AU"/>
        </w:rPr>
      </w:pPr>
      <w:r w:rsidRPr="002F0DE2">
        <w:rPr>
          <w:rFonts w:asciiTheme="minorHAnsi" w:eastAsiaTheme="minorEastAsia" w:hAnsiTheme="minorHAnsi" w:cstheme="minorHAnsi"/>
          <w:b/>
          <w:color w:val="auto"/>
          <w:lang w:eastAsia="en-AU"/>
        </w:rPr>
        <w:t>Independently purchased devices.</w:t>
      </w:r>
      <w:r>
        <w:rPr>
          <w:rFonts w:asciiTheme="minorHAnsi" w:eastAsiaTheme="minorEastAsia" w:hAnsiTheme="minorHAnsi" w:cstheme="minorHAnsi"/>
          <w:color w:val="auto"/>
          <w:lang w:eastAsia="en-AU"/>
        </w:rPr>
        <w:t xml:space="preserve"> </w:t>
      </w:r>
      <w:r w:rsidR="00A260A6">
        <w:rPr>
          <w:rFonts w:asciiTheme="minorHAnsi" w:eastAsiaTheme="minorEastAsia" w:hAnsiTheme="minorHAnsi" w:cstheme="minorHAnsi"/>
          <w:color w:val="auto"/>
          <w:lang w:eastAsia="en-AU"/>
        </w:rPr>
        <w:t>Pg.</w:t>
      </w:r>
      <w:r w:rsidR="00B82925">
        <w:rPr>
          <w:rFonts w:asciiTheme="minorHAnsi" w:eastAsiaTheme="minorEastAsia" w:hAnsiTheme="minorHAnsi" w:cstheme="minorHAnsi"/>
          <w:color w:val="auto"/>
          <w:lang w:eastAsia="en-AU"/>
        </w:rPr>
        <w:t xml:space="preserve"> </w:t>
      </w:r>
      <w:r w:rsidR="00A260A6">
        <w:rPr>
          <w:rFonts w:asciiTheme="minorHAnsi" w:eastAsiaTheme="minorEastAsia" w:hAnsiTheme="minorHAnsi" w:cstheme="minorHAnsi"/>
          <w:color w:val="auto"/>
          <w:lang w:eastAsia="en-AU"/>
        </w:rPr>
        <w:t>16</w:t>
      </w:r>
      <w:r w:rsidR="004B372F">
        <w:rPr>
          <w:rFonts w:asciiTheme="minorHAnsi" w:eastAsiaTheme="minorEastAsia" w:hAnsiTheme="minorHAnsi" w:cstheme="minorHAnsi"/>
          <w:color w:val="auto"/>
          <w:lang w:eastAsia="en-AU"/>
        </w:rPr>
        <w:t>,</w:t>
      </w:r>
      <w:r w:rsidR="00A260A6">
        <w:rPr>
          <w:rFonts w:asciiTheme="minorHAnsi" w:eastAsiaTheme="minorEastAsia" w:hAnsiTheme="minorHAnsi" w:cstheme="minorHAnsi"/>
          <w:color w:val="auto"/>
          <w:lang w:eastAsia="en-AU"/>
        </w:rPr>
        <w:t xml:space="preserve"> </w:t>
      </w:r>
      <w:proofErr w:type="gramStart"/>
      <w:r w:rsidR="00DD3002">
        <w:rPr>
          <w:rFonts w:asciiTheme="minorHAnsi" w:eastAsiaTheme="minorEastAsia" w:hAnsiTheme="minorHAnsi" w:cstheme="minorHAnsi"/>
          <w:color w:val="auto"/>
          <w:lang w:eastAsia="en-AU"/>
        </w:rPr>
        <w:t>A</w:t>
      </w:r>
      <w:proofErr w:type="gramEnd"/>
      <w:r w:rsidR="00DD3002">
        <w:rPr>
          <w:rFonts w:asciiTheme="minorHAnsi" w:eastAsiaTheme="minorEastAsia" w:hAnsiTheme="minorHAnsi" w:cstheme="minorHAnsi"/>
          <w:color w:val="auto"/>
          <w:lang w:eastAsia="en-AU"/>
        </w:rPr>
        <w:t xml:space="preserve"> number of consumers choose to buy their modem/gateway devices from independent suppliers. Consumers should not have to purchase this equipment from their RSP. However, we do recognise that </w:t>
      </w:r>
      <w:r w:rsidR="003251B3">
        <w:rPr>
          <w:rFonts w:asciiTheme="minorHAnsi" w:eastAsiaTheme="minorEastAsia" w:hAnsiTheme="minorHAnsi" w:cstheme="minorHAnsi"/>
          <w:color w:val="auto"/>
          <w:lang w:eastAsia="en-AU"/>
        </w:rPr>
        <w:t>independently purchased</w:t>
      </w:r>
      <w:r w:rsidR="00DD3002">
        <w:rPr>
          <w:rFonts w:asciiTheme="minorHAnsi" w:eastAsiaTheme="minorEastAsia" w:hAnsiTheme="minorHAnsi" w:cstheme="minorHAnsi"/>
          <w:color w:val="auto"/>
          <w:lang w:eastAsia="en-AU"/>
        </w:rPr>
        <w:t xml:space="preserve"> devices may add a complication in the migration. </w:t>
      </w:r>
      <w:r w:rsidR="00A260A6">
        <w:rPr>
          <w:rFonts w:asciiTheme="minorHAnsi" w:eastAsiaTheme="minorEastAsia" w:hAnsiTheme="minorHAnsi" w:cstheme="minorHAnsi"/>
          <w:color w:val="auto"/>
          <w:lang w:eastAsia="en-AU"/>
        </w:rPr>
        <w:t xml:space="preserve">ACCAN questions </w:t>
      </w:r>
      <w:r w:rsidR="00417D0E">
        <w:rPr>
          <w:rFonts w:asciiTheme="minorHAnsi" w:eastAsiaTheme="minorEastAsia" w:hAnsiTheme="minorHAnsi" w:cstheme="minorHAnsi"/>
          <w:color w:val="auto"/>
          <w:lang w:eastAsia="en-AU"/>
        </w:rPr>
        <w:t xml:space="preserve">the sentence </w:t>
      </w:r>
      <w:r w:rsidR="00A260A6">
        <w:rPr>
          <w:rFonts w:asciiTheme="minorHAnsi" w:eastAsiaTheme="minorEastAsia" w:hAnsiTheme="minorHAnsi" w:cstheme="minorHAnsi"/>
          <w:color w:val="auto"/>
          <w:lang w:eastAsia="en-AU"/>
        </w:rPr>
        <w:t>“</w:t>
      </w:r>
      <w:r w:rsidR="00A260A6" w:rsidRPr="00A260A6">
        <w:rPr>
          <w:rFonts w:asciiTheme="minorHAnsi" w:eastAsiaTheme="minorEastAsia" w:hAnsiTheme="minorHAnsi" w:cstheme="minorHAnsi"/>
          <w:color w:val="auto"/>
          <w:lang w:eastAsia="en-AU"/>
        </w:rPr>
        <w:t>Retail service providers are responsible for providing the equipment and ensuring it is installed correctly</w:t>
      </w:r>
      <w:r w:rsidR="00417D0E">
        <w:rPr>
          <w:rFonts w:asciiTheme="minorHAnsi" w:eastAsiaTheme="minorEastAsia" w:hAnsiTheme="minorHAnsi" w:cstheme="minorHAnsi"/>
          <w:color w:val="auto"/>
          <w:lang w:eastAsia="en-AU"/>
        </w:rPr>
        <w:t xml:space="preserve">”. </w:t>
      </w:r>
      <w:r w:rsidR="00A260A6">
        <w:rPr>
          <w:rFonts w:asciiTheme="minorHAnsi" w:eastAsiaTheme="minorEastAsia" w:hAnsiTheme="minorHAnsi" w:cstheme="minorHAnsi"/>
          <w:color w:val="auto"/>
          <w:lang w:eastAsia="en-AU"/>
        </w:rPr>
        <w:t>I</w:t>
      </w:r>
      <w:r w:rsidR="00417D0E">
        <w:rPr>
          <w:rFonts w:asciiTheme="minorHAnsi" w:eastAsiaTheme="minorEastAsia" w:hAnsiTheme="minorHAnsi" w:cstheme="minorHAnsi"/>
          <w:color w:val="auto"/>
          <w:lang w:eastAsia="en-AU"/>
        </w:rPr>
        <w:t>s the RSP responsible for ensuring that third party devices are</w:t>
      </w:r>
      <w:r w:rsidR="00A260A6" w:rsidRPr="00A260A6">
        <w:rPr>
          <w:rFonts w:asciiTheme="minorHAnsi" w:eastAsiaTheme="minorEastAsia" w:hAnsiTheme="minorHAnsi" w:cstheme="minorHAnsi"/>
          <w:color w:val="auto"/>
          <w:lang w:eastAsia="en-AU"/>
        </w:rPr>
        <w:t xml:space="preserve"> compatible and installed correctly?</w:t>
      </w:r>
    </w:p>
    <w:p w:rsidR="00BA506D" w:rsidRDefault="0010025A" w:rsidP="001A4A29">
      <w:pPr>
        <w:pStyle w:val="BodyText1"/>
        <w:numPr>
          <w:ilvl w:val="0"/>
          <w:numId w:val="1"/>
        </w:numPr>
        <w:jc w:val="both"/>
        <w:rPr>
          <w:rFonts w:asciiTheme="minorHAnsi" w:eastAsiaTheme="minorEastAsia" w:hAnsiTheme="minorHAnsi" w:cstheme="minorHAnsi"/>
          <w:color w:val="auto"/>
          <w:lang w:eastAsia="en-AU"/>
        </w:rPr>
      </w:pPr>
      <w:r w:rsidRPr="002F0DE2">
        <w:rPr>
          <w:rFonts w:asciiTheme="minorHAnsi" w:eastAsiaTheme="minorEastAsia" w:hAnsiTheme="minorHAnsi" w:cstheme="minorHAnsi"/>
          <w:b/>
          <w:color w:val="auto"/>
          <w:lang w:eastAsia="en-AU"/>
        </w:rPr>
        <w:lastRenderedPageBreak/>
        <w:t>Consumer testing of services at activation</w:t>
      </w:r>
      <w:r>
        <w:rPr>
          <w:rFonts w:asciiTheme="minorHAnsi" w:eastAsiaTheme="minorEastAsia" w:hAnsiTheme="minorHAnsi" w:cstheme="minorHAnsi"/>
          <w:color w:val="auto"/>
          <w:lang w:eastAsia="en-AU"/>
        </w:rPr>
        <w:t xml:space="preserve">. </w:t>
      </w:r>
      <w:r w:rsidR="00BA506D">
        <w:rPr>
          <w:rFonts w:asciiTheme="minorHAnsi" w:eastAsiaTheme="minorEastAsia" w:hAnsiTheme="minorHAnsi" w:cstheme="minorHAnsi"/>
          <w:color w:val="auto"/>
          <w:lang w:eastAsia="en-AU"/>
        </w:rPr>
        <w:t>Pg. 17</w:t>
      </w:r>
      <w:r w:rsidR="004B372F">
        <w:rPr>
          <w:rFonts w:asciiTheme="minorHAnsi" w:eastAsiaTheme="minorEastAsia" w:hAnsiTheme="minorHAnsi" w:cstheme="minorHAnsi"/>
          <w:color w:val="auto"/>
          <w:lang w:eastAsia="en-AU"/>
        </w:rPr>
        <w:t>,</w:t>
      </w:r>
      <w:r w:rsidR="00BA506D">
        <w:rPr>
          <w:rFonts w:asciiTheme="minorHAnsi" w:eastAsiaTheme="minorEastAsia" w:hAnsiTheme="minorHAnsi" w:cstheme="minorHAnsi"/>
          <w:color w:val="auto"/>
          <w:lang w:eastAsia="en-AU"/>
        </w:rPr>
        <w:t xml:space="preserve"> ACCAN questions the need for “</w:t>
      </w:r>
      <w:r w:rsidR="00BA506D" w:rsidRPr="00BA506D">
        <w:rPr>
          <w:rFonts w:asciiTheme="minorHAnsi" w:eastAsiaTheme="minorEastAsia" w:hAnsiTheme="minorHAnsi" w:cstheme="minorHAnsi"/>
          <w:color w:val="auto"/>
          <w:lang w:eastAsia="en-AU"/>
        </w:rPr>
        <w:t>residents and businesses need to test their services and confirm they have a working NBN connection at the time of activation</w:t>
      </w:r>
      <w:r w:rsidR="00BA506D">
        <w:rPr>
          <w:rFonts w:asciiTheme="minorHAnsi" w:eastAsiaTheme="minorEastAsia" w:hAnsiTheme="minorHAnsi" w:cstheme="minorHAnsi"/>
          <w:color w:val="auto"/>
          <w:lang w:eastAsia="en-AU"/>
        </w:rPr>
        <w:t xml:space="preserve">” for FTTN and FTTB connections. </w:t>
      </w:r>
      <w:r w:rsidR="00417D0E">
        <w:rPr>
          <w:rFonts w:asciiTheme="minorHAnsi" w:eastAsiaTheme="minorEastAsia" w:hAnsiTheme="minorHAnsi" w:cstheme="minorHAnsi"/>
          <w:color w:val="auto"/>
          <w:lang w:eastAsia="en-AU"/>
        </w:rPr>
        <w:t xml:space="preserve">As a home visit may not be required over these technologies the consumer may not be at home at the time of activation. </w:t>
      </w:r>
      <w:r w:rsidR="00BA506D" w:rsidRPr="00BA506D">
        <w:rPr>
          <w:rFonts w:asciiTheme="minorHAnsi" w:eastAsiaTheme="minorEastAsia" w:hAnsiTheme="minorHAnsi" w:cstheme="minorHAnsi"/>
          <w:color w:val="auto"/>
          <w:lang w:eastAsia="en-AU"/>
        </w:rPr>
        <w:t>Realistically</w:t>
      </w:r>
      <w:r w:rsidR="00417D0E">
        <w:rPr>
          <w:rFonts w:asciiTheme="minorHAnsi" w:eastAsiaTheme="minorEastAsia" w:hAnsiTheme="minorHAnsi" w:cstheme="minorHAnsi"/>
          <w:color w:val="auto"/>
          <w:lang w:eastAsia="en-AU"/>
        </w:rPr>
        <w:t>, it might be some time after activation</w:t>
      </w:r>
      <w:r w:rsidR="00BA506D" w:rsidRPr="00BA506D">
        <w:rPr>
          <w:rFonts w:asciiTheme="minorHAnsi" w:eastAsiaTheme="minorEastAsia" w:hAnsiTheme="minorHAnsi" w:cstheme="minorHAnsi"/>
          <w:color w:val="auto"/>
          <w:lang w:eastAsia="en-AU"/>
        </w:rPr>
        <w:t xml:space="preserve">. </w:t>
      </w:r>
      <w:r w:rsidR="00F64B03">
        <w:rPr>
          <w:rFonts w:asciiTheme="minorHAnsi" w:eastAsiaTheme="minorEastAsia" w:hAnsiTheme="minorHAnsi" w:cstheme="minorHAnsi"/>
          <w:color w:val="auto"/>
          <w:lang w:eastAsia="en-AU"/>
        </w:rPr>
        <w:t xml:space="preserve">Changing this wording to </w:t>
      </w:r>
      <w:r w:rsidR="00BA506D" w:rsidRPr="00BA506D">
        <w:rPr>
          <w:rFonts w:asciiTheme="minorHAnsi" w:eastAsiaTheme="minorEastAsia" w:hAnsiTheme="minorHAnsi" w:cstheme="minorHAnsi"/>
          <w:color w:val="auto"/>
          <w:lang w:eastAsia="en-AU"/>
        </w:rPr>
        <w:t>‘</w:t>
      </w:r>
      <w:r w:rsidR="00F64B03">
        <w:rPr>
          <w:rFonts w:asciiTheme="minorHAnsi" w:eastAsiaTheme="minorEastAsia" w:hAnsiTheme="minorHAnsi" w:cstheme="minorHAnsi"/>
          <w:color w:val="auto"/>
          <w:lang w:eastAsia="en-AU"/>
        </w:rPr>
        <w:t>’</w:t>
      </w:r>
      <w:r w:rsidR="00BA506D">
        <w:rPr>
          <w:rFonts w:asciiTheme="minorHAnsi" w:eastAsiaTheme="minorEastAsia" w:hAnsiTheme="minorHAnsi" w:cstheme="minorHAnsi"/>
          <w:color w:val="auto"/>
          <w:lang w:eastAsia="en-AU"/>
        </w:rPr>
        <w:t>RSPs to test service at time of activation and consumers soon a</w:t>
      </w:r>
      <w:r w:rsidR="00BA506D" w:rsidRPr="00BA506D">
        <w:rPr>
          <w:rFonts w:asciiTheme="minorHAnsi" w:eastAsiaTheme="minorEastAsia" w:hAnsiTheme="minorHAnsi" w:cstheme="minorHAnsi"/>
          <w:color w:val="auto"/>
          <w:lang w:eastAsia="en-AU"/>
        </w:rPr>
        <w:t>fter activation’</w:t>
      </w:r>
      <w:r w:rsidR="00F64B03">
        <w:rPr>
          <w:rFonts w:asciiTheme="minorHAnsi" w:eastAsiaTheme="minorEastAsia" w:hAnsiTheme="minorHAnsi" w:cstheme="minorHAnsi"/>
          <w:color w:val="auto"/>
          <w:lang w:eastAsia="en-AU"/>
        </w:rPr>
        <w:t>’</w:t>
      </w:r>
      <w:r w:rsidR="00BA506D">
        <w:rPr>
          <w:rFonts w:asciiTheme="minorHAnsi" w:eastAsiaTheme="minorEastAsia" w:hAnsiTheme="minorHAnsi" w:cstheme="minorHAnsi"/>
          <w:color w:val="auto"/>
          <w:lang w:eastAsia="en-AU"/>
        </w:rPr>
        <w:t xml:space="preserve"> may be more appropriate</w:t>
      </w:r>
      <w:r w:rsidR="00F64B03">
        <w:rPr>
          <w:rFonts w:asciiTheme="minorHAnsi" w:eastAsiaTheme="minorEastAsia" w:hAnsiTheme="minorHAnsi" w:cstheme="minorHAnsi"/>
          <w:color w:val="auto"/>
          <w:lang w:eastAsia="en-AU"/>
        </w:rPr>
        <w:t>.</w:t>
      </w:r>
    </w:p>
    <w:p w:rsidR="004B372F" w:rsidRDefault="004B372F" w:rsidP="004B372F">
      <w:pPr>
        <w:pStyle w:val="Heading1"/>
        <w:rPr>
          <w:rFonts w:eastAsiaTheme="minorEastAsia"/>
        </w:rPr>
      </w:pPr>
      <w:r>
        <w:rPr>
          <w:rFonts w:eastAsiaTheme="minorEastAsia"/>
        </w:rPr>
        <w:t>NBN Co roles and responsibilities</w:t>
      </w:r>
    </w:p>
    <w:p w:rsidR="003E23F1" w:rsidRDefault="0010025A" w:rsidP="001A4A29">
      <w:pPr>
        <w:pStyle w:val="BodyText1"/>
        <w:numPr>
          <w:ilvl w:val="0"/>
          <w:numId w:val="1"/>
        </w:numPr>
        <w:jc w:val="both"/>
        <w:rPr>
          <w:rFonts w:asciiTheme="minorHAnsi" w:eastAsiaTheme="minorEastAsia" w:hAnsiTheme="minorHAnsi" w:cstheme="minorHAnsi"/>
          <w:color w:val="auto"/>
          <w:lang w:eastAsia="en-AU"/>
        </w:rPr>
      </w:pPr>
      <w:r w:rsidRPr="002F0DE2">
        <w:rPr>
          <w:rFonts w:asciiTheme="minorHAnsi" w:eastAsiaTheme="minorEastAsia" w:hAnsiTheme="minorHAnsi" w:cstheme="minorHAnsi"/>
          <w:b/>
          <w:color w:val="auto"/>
          <w:lang w:eastAsia="en-AU"/>
        </w:rPr>
        <w:t xml:space="preserve">Communicating with RSPs and end users about migration. </w:t>
      </w:r>
      <w:r w:rsidR="003E23F1">
        <w:rPr>
          <w:rFonts w:asciiTheme="minorHAnsi" w:eastAsiaTheme="minorEastAsia" w:hAnsiTheme="minorHAnsi" w:cstheme="minorHAnsi"/>
          <w:color w:val="auto"/>
          <w:lang w:eastAsia="en-AU"/>
        </w:rPr>
        <w:t>Pg. 19</w:t>
      </w:r>
      <w:r w:rsidR="004B372F">
        <w:rPr>
          <w:rFonts w:asciiTheme="minorHAnsi" w:eastAsiaTheme="minorEastAsia" w:hAnsiTheme="minorHAnsi" w:cstheme="minorHAnsi"/>
          <w:color w:val="auto"/>
          <w:lang w:eastAsia="en-AU"/>
        </w:rPr>
        <w:t>,</w:t>
      </w:r>
      <w:r w:rsidR="003E23F1">
        <w:rPr>
          <w:rFonts w:asciiTheme="minorHAnsi" w:eastAsiaTheme="minorEastAsia" w:hAnsiTheme="minorHAnsi" w:cstheme="minorHAnsi"/>
          <w:color w:val="auto"/>
          <w:lang w:eastAsia="en-AU"/>
        </w:rPr>
        <w:t xml:space="preserve"> ACCAN sees one of nbn</w:t>
      </w:r>
      <w:r w:rsidR="0089794F">
        <w:rPr>
          <w:rFonts w:asciiTheme="minorHAnsi" w:eastAsiaTheme="minorEastAsia" w:hAnsiTheme="minorHAnsi" w:cstheme="minorHAnsi"/>
          <w:color w:val="auto"/>
          <w:lang w:eastAsia="en-AU"/>
        </w:rPr>
        <w:t>’</w:t>
      </w:r>
      <w:r w:rsidR="003E23F1">
        <w:rPr>
          <w:rFonts w:asciiTheme="minorHAnsi" w:eastAsiaTheme="minorEastAsia" w:hAnsiTheme="minorHAnsi" w:cstheme="minorHAnsi"/>
          <w:color w:val="auto"/>
          <w:lang w:eastAsia="en-AU"/>
        </w:rPr>
        <w:t xml:space="preserve">s main responsibilities as </w:t>
      </w:r>
      <w:r w:rsidR="003E23F1" w:rsidRPr="003E23F1">
        <w:rPr>
          <w:rFonts w:asciiTheme="minorHAnsi" w:eastAsiaTheme="minorEastAsia" w:hAnsiTheme="minorHAnsi" w:cstheme="minorHAnsi"/>
          <w:color w:val="auto"/>
          <w:lang w:eastAsia="en-AU"/>
        </w:rPr>
        <w:t>communicating with RSP</w:t>
      </w:r>
      <w:r w:rsidR="0089794F">
        <w:rPr>
          <w:rFonts w:asciiTheme="minorHAnsi" w:eastAsiaTheme="minorEastAsia" w:hAnsiTheme="minorHAnsi" w:cstheme="minorHAnsi"/>
          <w:color w:val="auto"/>
          <w:lang w:eastAsia="en-AU"/>
        </w:rPr>
        <w:t>s and end users about migration</w:t>
      </w:r>
      <w:r w:rsidR="005616FC">
        <w:rPr>
          <w:rFonts w:asciiTheme="minorHAnsi" w:eastAsiaTheme="minorEastAsia" w:hAnsiTheme="minorHAnsi" w:cstheme="minorHAnsi"/>
          <w:color w:val="auto"/>
          <w:lang w:eastAsia="en-AU"/>
        </w:rPr>
        <w:t>. We</w:t>
      </w:r>
      <w:r w:rsidR="0089794F">
        <w:rPr>
          <w:rFonts w:asciiTheme="minorHAnsi" w:eastAsiaTheme="minorEastAsia" w:hAnsiTheme="minorHAnsi" w:cstheme="minorHAnsi"/>
          <w:color w:val="auto"/>
          <w:lang w:eastAsia="en-AU"/>
        </w:rPr>
        <w:t xml:space="preserve"> believe that </w:t>
      </w:r>
      <w:r w:rsidR="00F64B03">
        <w:rPr>
          <w:rFonts w:asciiTheme="minorHAnsi" w:eastAsiaTheme="minorEastAsia" w:hAnsiTheme="minorHAnsi" w:cstheme="minorHAnsi"/>
          <w:color w:val="auto"/>
          <w:lang w:eastAsia="en-AU"/>
        </w:rPr>
        <w:t>this</w:t>
      </w:r>
      <w:r w:rsidR="0089794F">
        <w:rPr>
          <w:rFonts w:asciiTheme="minorHAnsi" w:eastAsiaTheme="minorEastAsia" w:hAnsiTheme="minorHAnsi" w:cstheme="minorHAnsi"/>
          <w:color w:val="auto"/>
          <w:lang w:eastAsia="en-AU"/>
        </w:rPr>
        <w:t xml:space="preserve"> should be included in the summary box at the start</w:t>
      </w:r>
      <w:r w:rsidR="005616FC">
        <w:rPr>
          <w:rFonts w:asciiTheme="minorHAnsi" w:eastAsiaTheme="minorEastAsia" w:hAnsiTheme="minorHAnsi" w:cstheme="minorHAnsi"/>
          <w:color w:val="auto"/>
          <w:lang w:eastAsia="en-AU"/>
        </w:rPr>
        <w:t xml:space="preserve"> of the section on nbn responsibilities</w:t>
      </w:r>
      <w:r w:rsidR="0089794F">
        <w:rPr>
          <w:rFonts w:asciiTheme="minorHAnsi" w:eastAsiaTheme="minorEastAsia" w:hAnsiTheme="minorHAnsi" w:cstheme="minorHAnsi"/>
          <w:color w:val="auto"/>
          <w:lang w:eastAsia="en-AU"/>
        </w:rPr>
        <w:t>.</w:t>
      </w:r>
    </w:p>
    <w:p w:rsidR="00225BCF" w:rsidRDefault="0010025A" w:rsidP="001A4A29">
      <w:pPr>
        <w:pStyle w:val="BodyText1"/>
        <w:numPr>
          <w:ilvl w:val="0"/>
          <w:numId w:val="1"/>
        </w:numPr>
        <w:jc w:val="both"/>
        <w:rPr>
          <w:rFonts w:asciiTheme="minorHAnsi" w:eastAsiaTheme="minorEastAsia" w:hAnsiTheme="minorHAnsi" w:cstheme="minorHAnsi"/>
          <w:color w:val="auto"/>
          <w:lang w:eastAsia="en-AU"/>
        </w:rPr>
      </w:pPr>
      <w:r w:rsidRPr="002F0DE2">
        <w:rPr>
          <w:rFonts w:asciiTheme="minorHAnsi" w:eastAsiaTheme="minorEastAsia" w:hAnsiTheme="minorHAnsi" w:cstheme="minorHAnsi"/>
          <w:b/>
          <w:color w:val="auto"/>
          <w:lang w:eastAsia="en-AU"/>
        </w:rPr>
        <w:t>Consumers in non-serviceable premises with no existing service</w:t>
      </w:r>
      <w:r>
        <w:rPr>
          <w:rFonts w:asciiTheme="minorHAnsi" w:eastAsiaTheme="minorEastAsia" w:hAnsiTheme="minorHAnsi" w:cstheme="minorHAnsi"/>
          <w:color w:val="auto"/>
          <w:lang w:eastAsia="en-AU"/>
        </w:rPr>
        <w:t xml:space="preserve">. </w:t>
      </w:r>
      <w:r w:rsidR="00225BCF">
        <w:rPr>
          <w:rFonts w:asciiTheme="minorHAnsi" w:eastAsiaTheme="minorEastAsia" w:hAnsiTheme="minorHAnsi" w:cstheme="minorHAnsi"/>
          <w:color w:val="auto"/>
          <w:lang w:eastAsia="en-AU"/>
        </w:rPr>
        <w:t>Pg.19</w:t>
      </w:r>
      <w:r w:rsidR="004B372F">
        <w:rPr>
          <w:rFonts w:asciiTheme="minorHAnsi" w:eastAsiaTheme="minorEastAsia" w:hAnsiTheme="minorHAnsi" w:cstheme="minorHAnsi"/>
          <w:color w:val="auto"/>
          <w:lang w:eastAsia="en-AU"/>
        </w:rPr>
        <w:t>,</w:t>
      </w:r>
      <w:r w:rsidR="00225BCF">
        <w:rPr>
          <w:rFonts w:asciiTheme="minorHAnsi" w:eastAsiaTheme="minorEastAsia" w:hAnsiTheme="minorHAnsi" w:cstheme="minorHAnsi"/>
          <w:color w:val="auto"/>
          <w:lang w:eastAsia="en-AU"/>
        </w:rPr>
        <w:t xml:space="preserve"> ACCAN is concerned for consumers who are in non-serviceable premises and have no existing service. For these consumers there may not be </w:t>
      </w:r>
      <w:r w:rsidR="00A06801">
        <w:rPr>
          <w:rFonts w:asciiTheme="minorHAnsi" w:eastAsiaTheme="minorEastAsia" w:hAnsiTheme="minorHAnsi" w:cstheme="minorHAnsi"/>
          <w:color w:val="auto"/>
          <w:lang w:eastAsia="en-AU"/>
        </w:rPr>
        <w:t xml:space="preserve">many alternative options. As such we believe they should be prioritised </w:t>
      </w:r>
      <w:r w:rsidR="005616FC">
        <w:rPr>
          <w:rFonts w:asciiTheme="minorHAnsi" w:eastAsiaTheme="minorEastAsia" w:hAnsiTheme="minorHAnsi" w:cstheme="minorHAnsi"/>
          <w:color w:val="auto"/>
          <w:lang w:eastAsia="en-AU"/>
        </w:rPr>
        <w:t>in making the premises serviceable</w:t>
      </w:r>
      <w:r w:rsidR="00A06801">
        <w:rPr>
          <w:rFonts w:asciiTheme="minorHAnsi" w:eastAsiaTheme="minorEastAsia" w:hAnsiTheme="minorHAnsi" w:cstheme="minorHAnsi"/>
          <w:color w:val="auto"/>
          <w:lang w:eastAsia="en-AU"/>
        </w:rPr>
        <w:t xml:space="preserve">. </w:t>
      </w:r>
    </w:p>
    <w:p w:rsidR="002523E7" w:rsidRDefault="0010025A" w:rsidP="001A4A29">
      <w:pPr>
        <w:pStyle w:val="BodyText1"/>
        <w:numPr>
          <w:ilvl w:val="0"/>
          <w:numId w:val="1"/>
        </w:numPr>
        <w:jc w:val="both"/>
        <w:rPr>
          <w:rFonts w:asciiTheme="minorHAnsi" w:eastAsiaTheme="minorEastAsia" w:hAnsiTheme="minorHAnsi" w:cstheme="minorHAnsi"/>
          <w:color w:val="auto"/>
          <w:lang w:eastAsia="en-AU"/>
        </w:rPr>
      </w:pPr>
      <w:r w:rsidRPr="002F0DE2">
        <w:rPr>
          <w:rFonts w:asciiTheme="minorHAnsi" w:eastAsiaTheme="minorEastAsia" w:hAnsiTheme="minorHAnsi" w:cstheme="minorHAnsi"/>
          <w:b/>
          <w:color w:val="auto"/>
          <w:lang w:eastAsia="en-AU"/>
        </w:rPr>
        <w:t>Nbn to in</w:t>
      </w:r>
      <w:r w:rsidRPr="00720B19">
        <w:rPr>
          <w:rFonts w:asciiTheme="minorHAnsi" w:eastAsiaTheme="minorEastAsia" w:hAnsiTheme="minorHAnsi" w:cstheme="minorHAnsi"/>
          <w:b/>
          <w:color w:val="auto"/>
          <w:lang w:eastAsia="en-AU"/>
        </w:rPr>
        <w:t>form consumers of all differences between</w:t>
      </w:r>
      <w:r w:rsidR="00720B19" w:rsidRPr="00720B19">
        <w:rPr>
          <w:rFonts w:asciiTheme="minorHAnsi" w:eastAsiaTheme="minorEastAsia" w:hAnsiTheme="minorHAnsi" w:cstheme="minorHAnsi"/>
          <w:b/>
          <w:color w:val="auto"/>
          <w:lang w:eastAsia="en-AU"/>
        </w:rPr>
        <w:t xml:space="preserve"> </w:t>
      </w:r>
      <w:r w:rsidRPr="002F0DE2">
        <w:rPr>
          <w:rFonts w:asciiTheme="minorHAnsi" w:eastAsiaTheme="minorEastAsia" w:hAnsiTheme="minorHAnsi" w:cstheme="minorHAnsi"/>
          <w:b/>
          <w:color w:val="auto"/>
          <w:lang w:eastAsia="en-AU"/>
        </w:rPr>
        <w:t>NBN</w:t>
      </w:r>
      <w:r w:rsidR="00720B19" w:rsidRPr="00720B19">
        <w:rPr>
          <w:rFonts w:asciiTheme="minorHAnsi" w:eastAsiaTheme="minorEastAsia" w:hAnsiTheme="minorHAnsi" w:cstheme="minorHAnsi"/>
          <w:b/>
          <w:color w:val="auto"/>
          <w:lang w:eastAsia="en-AU"/>
        </w:rPr>
        <w:t xml:space="preserve"> and existing services</w:t>
      </w:r>
      <w:r w:rsidRPr="002F0DE2">
        <w:rPr>
          <w:rFonts w:asciiTheme="minorHAnsi" w:eastAsiaTheme="minorEastAsia" w:hAnsiTheme="minorHAnsi" w:cstheme="minorHAnsi"/>
          <w:b/>
          <w:color w:val="auto"/>
          <w:lang w:eastAsia="en-AU"/>
        </w:rPr>
        <w:t>.</w:t>
      </w:r>
      <w:r>
        <w:rPr>
          <w:rFonts w:asciiTheme="minorHAnsi" w:eastAsiaTheme="minorEastAsia" w:hAnsiTheme="minorHAnsi" w:cstheme="minorHAnsi"/>
          <w:color w:val="auto"/>
          <w:lang w:eastAsia="en-AU"/>
        </w:rPr>
        <w:t xml:space="preserve"> </w:t>
      </w:r>
      <w:r w:rsidR="002523E7">
        <w:rPr>
          <w:rFonts w:asciiTheme="minorHAnsi" w:eastAsiaTheme="minorEastAsia" w:hAnsiTheme="minorHAnsi" w:cstheme="minorHAnsi"/>
          <w:color w:val="auto"/>
          <w:lang w:eastAsia="en-AU"/>
        </w:rPr>
        <w:t>Pg. 20</w:t>
      </w:r>
      <w:r w:rsidR="004B372F">
        <w:rPr>
          <w:rFonts w:asciiTheme="minorHAnsi" w:eastAsiaTheme="minorEastAsia" w:hAnsiTheme="minorHAnsi" w:cstheme="minorHAnsi"/>
          <w:color w:val="auto"/>
          <w:lang w:eastAsia="en-AU"/>
        </w:rPr>
        <w:t>,</w:t>
      </w:r>
      <w:r w:rsidR="002523E7">
        <w:rPr>
          <w:rFonts w:asciiTheme="minorHAnsi" w:eastAsiaTheme="minorEastAsia" w:hAnsiTheme="minorHAnsi" w:cstheme="minorHAnsi"/>
          <w:color w:val="auto"/>
          <w:lang w:eastAsia="en-AU"/>
        </w:rPr>
        <w:t xml:space="preserve"> ACCAN believes that nbn should inform consumers of all differences that </w:t>
      </w:r>
      <w:r w:rsidR="00426616">
        <w:rPr>
          <w:rFonts w:asciiTheme="minorHAnsi" w:eastAsiaTheme="minorEastAsia" w:hAnsiTheme="minorHAnsi" w:cstheme="minorHAnsi"/>
          <w:color w:val="auto"/>
          <w:lang w:eastAsia="en-AU"/>
        </w:rPr>
        <w:t xml:space="preserve">using </w:t>
      </w:r>
      <w:r w:rsidR="002523E7">
        <w:rPr>
          <w:rFonts w:asciiTheme="minorHAnsi" w:eastAsiaTheme="minorEastAsia" w:hAnsiTheme="minorHAnsi" w:cstheme="minorHAnsi"/>
          <w:color w:val="auto"/>
          <w:lang w:eastAsia="en-AU"/>
        </w:rPr>
        <w:t xml:space="preserve">its network </w:t>
      </w:r>
      <w:r w:rsidR="00426616">
        <w:rPr>
          <w:rFonts w:asciiTheme="minorHAnsi" w:eastAsiaTheme="minorEastAsia" w:hAnsiTheme="minorHAnsi" w:cstheme="minorHAnsi"/>
          <w:color w:val="auto"/>
          <w:lang w:eastAsia="en-AU"/>
        </w:rPr>
        <w:t xml:space="preserve">will have </w:t>
      </w:r>
      <w:r w:rsidR="00F72187">
        <w:rPr>
          <w:rFonts w:asciiTheme="minorHAnsi" w:eastAsiaTheme="minorEastAsia" w:hAnsiTheme="minorHAnsi" w:cstheme="minorHAnsi"/>
          <w:color w:val="auto"/>
          <w:lang w:eastAsia="en-AU"/>
        </w:rPr>
        <w:t>for the</w:t>
      </w:r>
      <w:r w:rsidR="002523E7">
        <w:rPr>
          <w:rFonts w:asciiTheme="minorHAnsi" w:eastAsiaTheme="minorEastAsia" w:hAnsiTheme="minorHAnsi" w:cstheme="minorHAnsi"/>
          <w:color w:val="auto"/>
          <w:lang w:eastAsia="en-AU"/>
        </w:rPr>
        <w:t xml:space="preserve"> consumer, including</w:t>
      </w:r>
      <w:r w:rsidR="002523E7" w:rsidRPr="002523E7">
        <w:rPr>
          <w:rFonts w:asciiTheme="minorHAnsi" w:eastAsiaTheme="minorEastAsia" w:hAnsiTheme="minorHAnsi" w:cstheme="minorHAnsi"/>
          <w:color w:val="auto"/>
          <w:lang w:eastAsia="en-AU"/>
        </w:rPr>
        <w:t xml:space="preserve"> additional </w:t>
      </w:r>
      <w:r w:rsidR="002523E7">
        <w:rPr>
          <w:rFonts w:asciiTheme="minorHAnsi" w:eastAsiaTheme="minorEastAsia" w:hAnsiTheme="minorHAnsi" w:cstheme="minorHAnsi"/>
          <w:color w:val="auto"/>
          <w:lang w:eastAsia="en-AU"/>
        </w:rPr>
        <w:t>power consumption</w:t>
      </w:r>
      <w:r w:rsidR="005616FC">
        <w:rPr>
          <w:rFonts w:asciiTheme="minorHAnsi" w:eastAsiaTheme="minorEastAsia" w:hAnsiTheme="minorHAnsi" w:cstheme="minorHAnsi"/>
          <w:color w:val="auto"/>
          <w:lang w:eastAsia="en-AU"/>
        </w:rPr>
        <w:t xml:space="preserve"> and network limitations</w:t>
      </w:r>
      <w:r w:rsidR="002523E7">
        <w:rPr>
          <w:rFonts w:asciiTheme="minorHAnsi" w:eastAsiaTheme="minorEastAsia" w:hAnsiTheme="minorHAnsi" w:cstheme="minorHAnsi"/>
          <w:color w:val="auto"/>
          <w:lang w:eastAsia="en-AU"/>
        </w:rPr>
        <w:t>. This will be particularly pertinent with FTTC which is reverse</w:t>
      </w:r>
      <w:r w:rsidR="00426616">
        <w:rPr>
          <w:rFonts w:asciiTheme="minorHAnsi" w:eastAsiaTheme="minorEastAsia" w:hAnsiTheme="minorHAnsi" w:cstheme="minorHAnsi"/>
          <w:color w:val="auto"/>
          <w:lang w:eastAsia="en-AU"/>
        </w:rPr>
        <w:t>-</w:t>
      </w:r>
      <w:r w:rsidR="002523E7">
        <w:rPr>
          <w:rFonts w:asciiTheme="minorHAnsi" w:eastAsiaTheme="minorEastAsia" w:hAnsiTheme="minorHAnsi" w:cstheme="minorHAnsi"/>
          <w:color w:val="auto"/>
          <w:lang w:eastAsia="en-AU"/>
        </w:rPr>
        <w:t>powered</w:t>
      </w:r>
      <w:r w:rsidR="00426616">
        <w:rPr>
          <w:rFonts w:asciiTheme="minorHAnsi" w:eastAsiaTheme="minorEastAsia" w:hAnsiTheme="minorHAnsi" w:cstheme="minorHAnsi"/>
          <w:color w:val="auto"/>
          <w:lang w:eastAsia="en-AU"/>
        </w:rPr>
        <w:t>,</w:t>
      </w:r>
      <w:r w:rsidR="002523E7">
        <w:rPr>
          <w:rFonts w:asciiTheme="minorHAnsi" w:eastAsiaTheme="minorEastAsia" w:hAnsiTheme="minorHAnsi" w:cstheme="minorHAnsi"/>
          <w:color w:val="auto"/>
          <w:lang w:eastAsia="en-AU"/>
        </w:rPr>
        <w:t xml:space="preserve"> and for voice only consumers who may now need multiple devices connected to the energy supply. Also </w:t>
      </w:r>
      <w:r w:rsidR="00B51FC1">
        <w:rPr>
          <w:rFonts w:asciiTheme="minorHAnsi" w:eastAsiaTheme="minorEastAsia" w:hAnsiTheme="minorHAnsi" w:cstheme="minorHAnsi"/>
          <w:color w:val="auto"/>
          <w:lang w:eastAsia="en-AU"/>
        </w:rPr>
        <w:t xml:space="preserve">consumers should have access to information on </w:t>
      </w:r>
      <w:r w:rsidR="002523E7">
        <w:rPr>
          <w:rFonts w:asciiTheme="minorHAnsi" w:eastAsiaTheme="minorEastAsia" w:hAnsiTheme="minorHAnsi" w:cstheme="minorHAnsi"/>
          <w:color w:val="auto"/>
          <w:lang w:eastAsia="en-AU"/>
        </w:rPr>
        <w:t xml:space="preserve">the limitations of </w:t>
      </w:r>
      <w:r w:rsidR="00B51FC1">
        <w:rPr>
          <w:rFonts w:asciiTheme="minorHAnsi" w:eastAsiaTheme="minorEastAsia" w:hAnsiTheme="minorHAnsi" w:cstheme="minorHAnsi"/>
          <w:color w:val="auto"/>
          <w:lang w:eastAsia="en-AU"/>
        </w:rPr>
        <w:t>the nbn</w:t>
      </w:r>
      <w:r w:rsidR="002523E7">
        <w:rPr>
          <w:rFonts w:asciiTheme="minorHAnsi" w:eastAsiaTheme="minorEastAsia" w:hAnsiTheme="minorHAnsi" w:cstheme="minorHAnsi"/>
          <w:color w:val="auto"/>
          <w:lang w:eastAsia="en-AU"/>
        </w:rPr>
        <w:t xml:space="preserve"> network, including the maximum speed that can be achieved in FTTN/B areas.</w:t>
      </w:r>
    </w:p>
    <w:p w:rsidR="004D2C73" w:rsidRDefault="00720B19" w:rsidP="004D2C73">
      <w:pPr>
        <w:pStyle w:val="BodyText1"/>
        <w:numPr>
          <w:ilvl w:val="0"/>
          <w:numId w:val="1"/>
        </w:numPr>
        <w:jc w:val="both"/>
        <w:rPr>
          <w:rFonts w:asciiTheme="minorHAnsi" w:eastAsiaTheme="minorEastAsia" w:hAnsiTheme="minorHAnsi" w:cstheme="minorHAnsi"/>
          <w:color w:val="auto"/>
          <w:lang w:eastAsia="en-AU"/>
        </w:rPr>
      </w:pPr>
      <w:r w:rsidRPr="002F0DE2">
        <w:rPr>
          <w:rFonts w:asciiTheme="minorHAnsi" w:eastAsiaTheme="minorEastAsia" w:hAnsiTheme="minorHAnsi" w:cstheme="minorHAnsi"/>
          <w:b/>
          <w:color w:val="auto"/>
          <w:lang w:eastAsia="en-AU"/>
        </w:rPr>
        <w:t>Installation and activation</w:t>
      </w:r>
      <w:r>
        <w:rPr>
          <w:rFonts w:asciiTheme="minorHAnsi" w:eastAsiaTheme="minorEastAsia" w:hAnsiTheme="minorHAnsi" w:cstheme="minorHAnsi"/>
          <w:b/>
          <w:color w:val="auto"/>
          <w:lang w:eastAsia="en-AU"/>
        </w:rPr>
        <w:t xml:space="preserve"> information</w:t>
      </w:r>
      <w:r w:rsidRPr="002F0DE2">
        <w:rPr>
          <w:rFonts w:asciiTheme="minorHAnsi" w:eastAsiaTheme="minorEastAsia" w:hAnsiTheme="minorHAnsi" w:cstheme="minorHAnsi"/>
          <w:b/>
          <w:color w:val="auto"/>
          <w:lang w:eastAsia="en-AU"/>
        </w:rPr>
        <w:t>.</w:t>
      </w:r>
      <w:r>
        <w:rPr>
          <w:rFonts w:asciiTheme="minorHAnsi" w:eastAsiaTheme="minorEastAsia" w:hAnsiTheme="minorHAnsi" w:cstheme="minorHAnsi"/>
          <w:color w:val="auto"/>
          <w:lang w:eastAsia="en-AU"/>
        </w:rPr>
        <w:t xml:space="preserve"> </w:t>
      </w:r>
      <w:r w:rsidR="004D2C73">
        <w:rPr>
          <w:rFonts w:asciiTheme="minorHAnsi" w:eastAsiaTheme="minorEastAsia" w:hAnsiTheme="minorHAnsi" w:cstheme="minorHAnsi"/>
          <w:color w:val="auto"/>
          <w:lang w:eastAsia="en-AU"/>
        </w:rPr>
        <w:t>Pg. 21</w:t>
      </w:r>
      <w:r w:rsidR="002F0DE2">
        <w:rPr>
          <w:rFonts w:asciiTheme="minorHAnsi" w:eastAsiaTheme="minorEastAsia" w:hAnsiTheme="minorHAnsi" w:cstheme="minorHAnsi"/>
          <w:color w:val="auto"/>
          <w:lang w:eastAsia="en-AU"/>
        </w:rPr>
        <w:t>, ACCAN</w:t>
      </w:r>
      <w:r w:rsidR="004D2C73">
        <w:rPr>
          <w:rFonts w:asciiTheme="minorHAnsi" w:eastAsiaTheme="minorEastAsia" w:hAnsiTheme="minorHAnsi" w:cstheme="minorHAnsi"/>
          <w:color w:val="auto"/>
          <w:lang w:eastAsia="en-AU"/>
        </w:rPr>
        <w:t xml:space="preserve"> believes nbn has a responsibility to</w:t>
      </w:r>
      <w:r w:rsidR="004D2C73" w:rsidRPr="004D2C73">
        <w:rPr>
          <w:rFonts w:asciiTheme="minorHAnsi" w:eastAsiaTheme="minorEastAsia" w:hAnsiTheme="minorHAnsi" w:cstheme="minorHAnsi"/>
          <w:color w:val="auto"/>
          <w:lang w:eastAsia="en-AU"/>
        </w:rPr>
        <w:t xml:space="preserve"> inform RSPs and customers, where possible, of delays in activations and appointment timekeeping.</w:t>
      </w:r>
      <w:r w:rsidR="005616FC">
        <w:rPr>
          <w:rFonts w:asciiTheme="minorHAnsi" w:eastAsiaTheme="minorEastAsia" w:hAnsiTheme="minorHAnsi" w:cstheme="minorHAnsi"/>
          <w:color w:val="auto"/>
          <w:lang w:eastAsia="en-AU"/>
        </w:rPr>
        <w:t xml:space="preserve"> ACCAN has been contacted by a large number of consumers who have taken time off work and waited for technicians to visit, only for no one to show up and no notification of a change. When consumers contact their RSPs, they are not aware of cancellations</w:t>
      </w:r>
      <w:r w:rsidR="00221D2B">
        <w:rPr>
          <w:rFonts w:asciiTheme="minorHAnsi" w:eastAsiaTheme="minorEastAsia" w:hAnsiTheme="minorHAnsi" w:cstheme="minorHAnsi"/>
          <w:color w:val="auto"/>
          <w:lang w:eastAsia="en-AU"/>
        </w:rPr>
        <w:t xml:space="preserve"> either</w:t>
      </w:r>
      <w:r w:rsidR="005616FC">
        <w:rPr>
          <w:rFonts w:asciiTheme="minorHAnsi" w:eastAsiaTheme="minorEastAsia" w:hAnsiTheme="minorHAnsi" w:cstheme="minorHAnsi"/>
          <w:color w:val="auto"/>
          <w:lang w:eastAsia="en-AU"/>
        </w:rPr>
        <w:t xml:space="preserve"> and can take hours for them to ascertain why the appointment was missed. As nbn is responsible for installers they should also be responsible for updating consumers and RSPs with issues with appointment keeping as it arises. </w:t>
      </w:r>
    </w:p>
    <w:p w:rsidR="009536EC" w:rsidRDefault="009536EC" w:rsidP="001B00BC">
      <w:pPr>
        <w:pStyle w:val="Heading1"/>
        <w:rPr>
          <w:rFonts w:eastAsiaTheme="minorEastAsia"/>
        </w:rPr>
      </w:pPr>
      <w:r>
        <w:rPr>
          <w:rFonts w:eastAsiaTheme="minorEastAsia"/>
        </w:rPr>
        <w:t>Telstra (as disconnecting network provider) roles and responsibilites</w:t>
      </w:r>
    </w:p>
    <w:p w:rsidR="00AD2353" w:rsidRDefault="00720B19" w:rsidP="004D2C73">
      <w:pPr>
        <w:pStyle w:val="BodyText1"/>
        <w:numPr>
          <w:ilvl w:val="0"/>
          <w:numId w:val="1"/>
        </w:numPr>
        <w:jc w:val="both"/>
        <w:rPr>
          <w:rFonts w:asciiTheme="minorHAnsi" w:eastAsiaTheme="minorEastAsia" w:hAnsiTheme="minorHAnsi" w:cstheme="minorHAnsi"/>
          <w:color w:val="auto"/>
          <w:lang w:eastAsia="en-AU"/>
        </w:rPr>
      </w:pPr>
      <w:r w:rsidRPr="002F0DE2">
        <w:rPr>
          <w:rFonts w:asciiTheme="minorHAnsi" w:eastAsiaTheme="minorEastAsia" w:hAnsiTheme="minorHAnsi" w:cstheme="minorHAnsi"/>
          <w:b/>
          <w:color w:val="auto"/>
          <w:lang w:eastAsia="en-AU"/>
        </w:rPr>
        <w:t>Telstra process for unserviceable premises.</w:t>
      </w:r>
      <w:r>
        <w:rPr>
          <w:rFonts w:asciiTheme="minorHAnsi" w:eastAsiaTheme="minorEastAsia" w:hAnsiTheme="minorHAnsi" w:cstheme="minorHAnsi"/>
          <w:color w:val="auto"/>
          <w:lang w:eastAsia="en-AU"/>
        </w:rPr>
        <w:t xml:space="preserve"> </w:t>
      </w:r>
      <w:r w:rsidR="00AD2353">
        <w:rPr>
          <w:rFonts w:asciiTheme="minorHAnsi" w:eastAsiaTheme="minorEastAsia" w:hAnsiTheme="minorHAnsi" w:cstheme="minorHAnsi"/>
          <w:color w:val="auto"/>
          <w:lang w:eastAsia="en-AU"/>
        </w:rPr>
        <w:t>Pg. 24</w:t>
      </w:r>
      <w:r w:rsidR="004B372F">
        <w:rPr>
          <w:rFonts w:asciiTheme="minorHAnsi" w:eastAsiaTheme="minorEastAsia" w:hAnsiTheme="minorHAnsi" w:cstheme="minorHAnsi"/>
          <w:color w:val="auto"/>
          <w:lang w:eastAsia="en-AU"/>
        </w:rPr>
        <w:t>,</w:t>
      </w:r>
      <w:r w:rsidR="00AD2353">
        <w:rPr>
          <w:rFonts w:asciiTheme="minorHAnsi" w:eastAsiaTheme="minorEastAsia" w:hAnsiTheme="minorHAnsi" w:cstheme="minorHAnsi"/>
          <w:color w:val="auto"/>
          <w:lang w:eastAsia="en-AU"/>
        </w:rPr>
        <w:t xml:space="preserve"> </w:t>
      </w:r>
      <w:r w:rsidR="00A34EC6">
        <w:rPr>
          <w:rFonts w:asciiTheme="minorHAnsi" w:eastAsiaTheme="minorEastAsia" w:hAnsiTheme="minorHAnsi" w:cstheme="minorHAnsi"/>
          <w:color w:val="auto"/>
          <w:lang w:eastAsia="en-AU"/>
        </w:rPr>
        <w:t xml:space="preserve">ACCAN has a question in relation to the process that Telstra follows when a premise is found to be unserviceable. </w:t>
      </w:r>
      <w:r w:rsidR="00AD2353" w:rsidRPr="00AD2353">
        <w:rPr>
          <w:rFonts w:asciiTheme="minorHAnsi" w:eastAsiaTheme="minorEastAsia" w:hAnsiTheme="minorHAnsi" w:cstheme="minorHAnsi"/>
          <w:color w:val="auto"/>
          <w:lang w:eastAsia="en-AU"/>
        </w:rPr>
        <w:t>Can Telstra reverse disconnection for unserviceable premises?</w:t>
      </w:r>
      <w:r w:rsidR="00A34EC6">
        <w:rPr>
          <w:rFonts w:asciiTheme="minorHAnsi" w:eastAsiaTheme="minorEastAsia" w:hAnsiTheme="minorHAnsi" w:cstheme="minorHAnsi"/>
          <w:color w:val="auto"/>
          <w:lang w:eastAsia="en-AU"/>
        </w:rPr>
        <w:t xml:space="preserve"> Additionally, where there is no lead in cable and the expected timeframe to connect the premises by nbn is a number of months, what services </w:t>
      </w:r>
      <w:r w:rsidR="00221D2B">
        <w:rPr>
          <w:rFonts w:asciiTheme="minorHAnsi" w:eastAsiaTheme="minorEastAsia" w:hAnsiTheme="minorHAnsi" w:cstheme="minorHAnsi"/>
          <w:color w:val="auto"/>
          <w:lang w:eastAsia="en-AU"/>
        </w:rPr>
        <w:t>can</w:t>
      </w:r>
      <w:r w:rsidR="00A34EC6">
        <w:rPr>
          <w:rFonts w:asciiTheme="minorHAnsi" w:eastAsiaTheme="minorEastAsia" w:hAnsiTheme="minorHAnsi" w:cstheme="minorHAnsi"/>
          <w:color w:val="auto"/>
          <w:lang w:eastAsia="en-AU"/>
        </w:rPr>
        <w:t xml:space="preserve"> these consumers receive? </w:t>
      </w:r>
    </w:p>
    <w:p w:rsidR="009536EC" w:rsidRDefault="009536EC" w:rsidP="001B00BC">
      <w:pPr>
        <w:pStyle w:val="Heading1"/>
        <w:rPr>
          <w:rFonts w:eastAsiaTheme="minorEastAsia"/>
        </w:rPr>
      </w:pPr>
      <w:r>
        <w:rPr>
          <w:rFonts w:eastAsiaTheme="minorEastAsia"/>
        </w:rPr>
        <w:lastRenderedPageBreak/>
        <w:t xml:space="preserve">Optus (as disconnecting HFC network provdier) </w:t>
      </w:r>
    </w:p>
    <w:p w:rsidR="005616FC" w:rsidRDefault="00720B19" w:rsidP="004D2C73">
      <w:pPr>
        <w:pStyle w:val="BodyText1"/>
        <w:numPr>
          <w:ilvl w:val="0"/>
          <w:numId w:val="1"/>
        </w:numPr>
        <w:jc w:val="both"/>
        <w:rPr>
          <w:rFonts w:asciiTheme="minorHAnsi" w:eastAsiaTheme="minorEastAsia" w:hAnsiTheme="minorHAnsi" w:cstheme="minorHAnsi"/>
          <w:color w:val="auto"/>
          <w:lang w:eastAsia="en-AU"/>
        </w:rPr>
      </w:pPr>
      <w:r w:rsidRPr="002F0DE2">
        <w:rPr>
          <w:rFonts w:asciiTheme="minorHAnsi" w:eastAsiaTheme="minorEastAsia" w:hAnsiTheme="minorHAnsi" w:cstheme="minorHAnsi"/>
          <w:b/>
          <w:color w:val="auto"/>
          <w:lang w:eastAsia="en-AU"/>
        </w:rPr>
        <w:t>Optus migration window.</w:t>
      </w:r>
      <w:r>
        <w:rPr>
          <w:rFonts w:asciiTheme="minorHAnsi" w:eastAsiaTheme="minorEastAsia" w:hAnsiTheme="minorHAnsi" w:cstheme="minorHAnsi"/>
          <w:color w:val="auto"/>
          <w:lang w:eastAsia="en-AU"/>
        </w:rPr>
        <w:t xml:space="preserve"> </w:t>
      </w:r>
      <w:r w:rsidR="005616FC">
        <w:rPr>
          <w:rFonts w:asciiTheme="minorHAnsi" w:eastAsiaTheme="minorEastAsia" w:hAnsiTheme="minorHAnsi" w:cstheme="minorHAnsi"/>
          <w:color w:val="auto"/>
          <w:lang w:eastAsia="en-AU"/>
        </w:rPr>
        <w:t>Pg. 26</w:t>
      </w:r>
      <w:r w:rsidR="004B372F">
        <w:rPr>
          <w:rFonts w:asciiTheme="minorHAnsi" w:eastAsiaTheme="minorEastAsia" w:hAnsiTheme="minorHAnsi" w:cstheme="minorHAnsi"/>
          <w:color w:val="auto"/>
          <w:lang w:eastAsia="en-AU"/>
        </w:rPr>
        <w:t>,</w:t>
      </w:r>
      <w:r w:rsidR="005616FC">
        <w:rPr>
          <w:rFonts w:asciiTheme="minorHAnsi" w:eastAsiaTheme="minorEastAsia" w:hAnsiTheme="minorHAnsi" w:cstheme="minorHAnsi"/>
          <w:color w:val="auto"/>
          <w:lang w:eastAsia="en-AU"/>
        </w:rPr>
        <w:t xml:space="preserve"> ACCAN has a question in relation to the ‘migration window’ referred to in the section on Optus as a disconnecting HFC network provider. Is this the 18 month migration window as defined on page 7, or the three month period set by Optus?</w:t>
      </w:r>
    </w:p>
    <w:p w:rsidR="003A0633" w:rsidRDefault="00720B19" w:rsidP="004D2C73">
      <w:pPr>
        <w:pStyle w:val="BodyText1"/>
        <w:numPr>
          <w:ilvl w:val="0"/>
          <w:numId w:val="1"/>
        </w:numPr>
        <w:jc w:val="both"/>
        <w:rPr>
          <w:rFonts w:asciiTheme="minorHAnsi" w:eastAsiaTheme="minorEastAsia" w:hAnsiTheme="minorHAnsi" w:cstheme="minorHAnsi"/>
          <w:color w:val="auto"/>
          <w:lang w:eastAsia="en-AU"/>
        </w:rPr>
      </w:pPr>
      <w:r w:rsidRPr="002F0DE2">
        <w:rPr>
          <w:rFonts w:asciiTheme="minorHAnsi" w:eastAsiaTheme="minorEastAsia" w:hAnsiTheme="minorHAnsi" w:cstheme="minorHAnsi"/>
          <w:b/>
          <w:color w:val="auto"/>
          <w:lang w:eastAsia="en-AU"/>
        </w:rPr>
        <w:t>Shortened Optus migration window may be insufficient for consumers.</w:t>
      </w:r>
      <w:r>
        <w:rPr>
          <w:rFonts w:asciiTheme="minorHAnsi" w:eastAsiaTheme="minorEastAsia" w:hAnsiTheme="minorHAnsi" w:cstheme="minorHAnsi"/>
          <w:color w:val="auto"/>
          <w:lang w:eastAsia="en-AU"/>
        </w:rPr>
        <w:t xml:space="preserve"> </w:t>
      </w:r>
      <w:r w:rsidR="003A0633">
        <w:rPr>
          <w:rFonts w:asciiTheme="minorHAnsi" w:eastAsiaTheme="minorEastAsia" w:hAnsiTheme="minorHAnsi" w:cstheme="minorHAnsi"/>
          <w:color w:val="auto"/>
          <w:lang w:eastAsia="en-AU"/>
        </w:rPr>
        <w:t>Pg. 26</w:t>
      </w:r>
      <w:r w:rsidR="004B372F">
        <w:rPr>
          <w:rFonts w:asciiTheme="minorHAnsi" w:eastAsiaTheme="minorEastAsia" w:hAnsiTheme="minorHAnsi" w:cstheme="minorHAnsi"/>
          <w:color w:val="auto"/>
          <w:lang w:eastAsia="en-AU"/>
        </w:rPr>
        <w:t>,</w:t>
      </w:r>
      <w:r w:rsidR="003A0633">
        <w:rPr>
          <w:rFonts w:asciiTheme="minorHAnsi" w:eastAsiaTheme="minorEastAsia" w:hAnsiTheme="minorHAnsi" w:cstheme="minorHAnsi"/>
          <w:color w:val="auto"/>
          <w:lang w:eastAsia="en-AU"/>
        </w:rPr>
        <w:t xml:space="preserve"> </w:t>
      </w:r>
      <w:r w:rsidR="00BA5968">
        <w:rPr>
          <w:rFonts w:asciiTheme="minorHAnsi" w:eastAsiaTheme="minorEastAsia" w:hAnsiTheme="minorHAnsi" w:cstheme="minorHAnsi"/>
          <w:color w:val="auto"/>
          <w:lang w:eastAsia="en-AU"/>
        </w:rPr>
        <w:t xml:space="preserve">Consumers need sufficient time to make a switch to NBN. </w:t>
      </w:r>
      <w:r w:rsidR="003A0633" w:rsidRPr="003A0633">
        <w:rPr>
          <w:rFonts w:asciiTheme="minorHAnsi" w:eastAsiaTheme="minorEastAsia" w:hAnsiTheme="minorHAnsi" w:cstheme="minorHAnsi"/>
          <w:color w:val="auto"/>
          <w:lang w:eastAsia="en-AU"/>
        </w:rPr>
        <w:t>Optus are currently providing 90 days for consumers to switch.  Compared to Telstra’s 18 months this is a lot less.</w:t>
      </w:r>
      <w:r w:rsidR="003A0633">
        <w:rPr>
          <w:rFonts w:asciiTheme="minorHAnsi" w:eastAsiaTheme="minorEastAsia" w:hAnsiTheme="minorHAnsi" w:cstheme="minorHAnsi"/>
          <w:color w:val="auto"/>
          <w:lang w:eastAsia="en-AU"/>
        </w:rPr>
        <w:t xml:space="preserve"> ACCAN questions if this is sufficient time for consumers to migrate.</w:t>
      </w:r>
    </w:p>
    <w:p w:rsidR="009536EC" w:rsidRDefault="009536EC" w:rsidP="001B00BC">
      <w:pPr>
        <w:pStyle w:val="Heading1"/>
        <w:rPr>
          <w:rFonts w:eastAsiaTheme="minorEastAsia"/>
        </w:rPr>
      </w:pPr>
      <w:r>
        <w:rPr>
          <w:rFonts w:eastAsiaTheme="minorEastAsia"/>
        </w:rPr>
        <w:t>Telecommunications Retail service prov</w:t>
      </w:r>
      <w:r w:rsidR="00720B19">
        <w:rPr>
          <w:rFonts w:eastAsiaTheme="minorEastAsia"/>
        </w:rPr>
        <w:t>I</w:t>
      </w:r>
      <w:r>
        <w:rPr>
          <w:rFonts w:eastAsiaTheme="minorEastAsia"/>
        </w:rPr>
        <w:t>ders</w:t>
      </w:r>
      <w:r w:rsidR="00720B19">
        <w:rPr>
          <w:rFonts w:eastAsiaTheme="minorEastAsia"/>
        </w:rPr>
        <w:t xml:space="preserve">’ </w:t>
      </w:r>
      <w:r>
        <w:rPr>
          <w:rFonts w:eastAsiaTheme="minorEastAsia"/>
        </w:rPr>
        <w:t>roles and responsibilities</w:t>
      </w:r>
    </w:p>
    <w:p w:rsidR="00171E2E" w:rsidRDefault="00720B19" w:rsidP="004D2C73">
      <w:pPr>
        <w:pStyle w:val="BodyText1"/>
        <w:numPr>
          <w:ilvl w:val="0"/>
          <w:numId w:val="1"/>
        </w:numPr>
        <w:jc w:val="both"/>
        <w:rPr>
          <w:rFonts w:asciiTheme="minorHAnsi" w:eastAsiaTheme="minorEastAsia" w:hAnsiTheme="minorHAnsi" w:cstheme="minorHAnsi"/>
          <w:color w:val="auto"/>
          <w:lang w:eastAsia="en-AU"/>
        </w:rPr>
      </w:pPr>
      <w:r w:rsidRPr="002F0DE2">
        <w:rPr>
          <w:rFonts w:asciiTheme="minorHAnsi" w:eastAsiaTheme="minorEastAsia" w:hAnsiTheme="minorHAnsi" w:cstheme="minorHAnsi"/>
          <w:b/>
          <w:color w:val="auto"/>
          <w:lang w:eastAsia="en-AU"/>
        </w:rPr>
        <w:t>RSPs to clarify consumers can chose from a range of RSPs over NBN</w:t>
      </w:r>
      <w:r>
        <w:rPr>
          <w:rFonts w:asciiTheme="minorHAnsi" w:eastAsiaTheme="minorEastAsia" w:hAnsiTheme="minorHAnsi" w:cstheme="minorHAnsi"/>
          <w:color w:val="auto"/>
          <w:lang w:eastAsia="en-AU"/>
        </w:rPr>
        <w:t xml:space="preserve">. </w:t>
      </w:r>
      <w:r w:rsidR="00171E2E">
        <w:rPr>
          <w:rFonts w:asciiTheme="minorHAnsi" w:eastAsiaTheme="minorEastAsia" w:hAnsiTheme="minorHAnsi" w:cstheme="minorHAnsi"/>
          <w:color w:val="auto"/>
          <w:lang w:eastAsia="en-AU"/>
        </w:rPr>
        <w:t>Pg. 28</w:t>
      </w:r>
      <w:r w:rsidR="004B372F">
        <w:rPr>
          <w:rFonts w:asciiTheme="minorHAnsi" w:eastAsiaTheme="minorEastAsia" w:hAnsiTheme="minorHAnsi" w:cstheme="minorHAnsi"/>
          <w:color w:val="auto"/>
          <w:lang w:eastAsia="en-AU"/>
        </w:rPr>
        <w:t>,</w:t>
      </w:r>
      <w:r w:rsidR="00171E2E">
        <w:rPr>
          <w:rFonts w:asciiTheme="minorHAnsi" w:eastAsiaTheme="minorEastAsia" w:hAnsiTheme="minorHAnsi" w:cstheme="minorHAnsi"/>
          <w:color w:val="auto"/>
          <w:lang w:eastAsia="en-AU"/>
        </w:rPr>
        <w:t xml:space="preserve"> </w:t>
      </w:r>
      <w:proofErr w:type="gramStart"/>
      <w:r w:rsidR="00FA4F50">
        <w:rPr>
          <w:rFonts w:asciiTheme="minorHAnsi" w:eastAsiaTheme="minorEastAsia" w:hAnsiTheme="minorHAnsi" w:cstheme="minorHAnsi"/>
          <w:color w:val="auto"/>
          <w:lang w:eastAsia="en-AU"/>
        </w:rPr>
        <w:t>W</w:t>
      </w:r>
      <w:r w:rsidR="00171E2E">
        <w:rPr>
          <w:rFonts w:asciiTheme="minorHAnsi" w:eastAsiaTheme="minorEastAsia" w:hAnsiTheme="minorHAnsi" w:cstheme="minorHAnsi"/>
          <w:color w:val="auto"/>
          <w:lang w:eastAsia="en-AU"/>
        </w:rPr>
        <w:t>hile</w:t>
      </w:r>
      <w:proofErr w:type="gramEnd"/>
      <w:r w:rsidR="00171E2E">
        <w:rPr>
          <w:rFonts w:asciiTheme="minorHAnsi" w:eastAsiaTheme="minorEastAsia" w:hAnsiTheme="minorHAnsi" w:cstheme="minorHAnsi"/>
          <w:color w:val="auto"/>
          <w:lang w:eastAsia="en-AU"/>
        </w:rPr>
        <w:t xml:space="preserve"> RSPs will </w:t>
      </w:r>
      <w:r w:rsidR="004E59C2">
        <w:rPr>
          <w:rFonts w:asciiTheme="minorHAnsi" w:eastAsiaTheme="minorEastAsia" w:hAnsiTheme="minorHAnsi" w:cstheme="minorHAnsi"/>
          <w:color w:val="auto"/>
          <w:lang w:eastAsia="en-AU"/>
        </w:rPr>
        <w:t xml:space="preserve">undoubtedly </w:t>
      </w:r>
      <w:r w:rsidR="00171E2E">
        <w:rPr>
          <w:rFonts w:asciiTheme="minorHAnsi" w:eastAsiaTheme="minorEastAsia" w:hAnsiTheme="minorHAnsi" w:cstheme="minorHAnsi"/>
          <w:color w:val="auto"/>
          <w:lang w:eastAsia="en-AU"/>
        </w:rPr>
        <w:t xml:space="preserve">promote their own service, ACCAN believes </w:t>
      </w:r>
      <w:r w:rsidR="00FA4F50">
        <w:rPr>
          <w:rFonts w:asciiTheme="minorHAnsi" w:eastAsiaTheme="minorEastAsia" w:hAnsiTheme="minorHAnsi" w:cstheme="minorHAnsi"/>
          <w:color w:val="auto"/>
          <w:lang w:eastAsia="en-AU"/>
        </w:rPr>
        <w:t>they</w:t>
      </w:r>
      <w:r w:rsidR="00171E2E">
        <w:rPr>
          <w:rFonts w:asciiTheme="minorHAnsi" w:eastAsiaTheme="minorEastAsia" w:hAnsiTheme="minorHAnsi" w:cstheme="minorHAnsi"/>
          <w:color w:val="auto"/>
          <w:lang w:eastAsia="en-AU"/>
        </w:rPr>
        <w:t xml:space="preserve"> should not do so to the extent that it leads consumers to believe that they have to</w:t>
      </w:r>
      <w:r w:rsidR="00221D2B">
        <w:rPr>
          <w:rFonts w:asciiTheme="minorHAnsi" w:eastAsiaTheme="minorEastAsia" w:hAnsiTheme="minorHAnsi" w:cstheme="minorHAnsi"/>
          <w:color w:val="auto"/>
          <w:lang w:eastAsia="en-AU"/>
        </w:rPr>
        <w:t xml:space="preserve"> go with that</w:t>
      </w:r>
      <w:r w:rsidR="00171E2E">
        <w:rPr>
          <w:rFonts w:asciiTheme="minorHAnsi" w:eastAsiaTheme="minorEastAsia" w:hAnsiTheme="minorHAnsi" w:cstheme="minorHAnsi"/>
          <w:color w:val="auto"/>
          <w:lang w:eastAsia="en-AU"/>
        </w:rPr>
        <w:t xml:space="preserve"> provider. </w:t>
      </w:r>
      <w:r w:rsidR="004E59C2">
        <w:rPr>
          <w:rFonts w:asciiTheme="minorHAnsi" w:eastAsiaTheme="minorEastAsia" w:hAnsiTheme="minorHAnsi" w:cstheme="minorHAnsi"/>
          <w:color w:val="auto"/>
          <w:lang w:eastAsia="en-AU"/>
        </w:rPr>
        <w:t xml:space="preserve">We have </w:t>
      </w:r>
      <w:r w:rsidR="00171E2E">
        <w:rPr>
          <w:rFonts w:asciiTheme="minorHAnsi" w:eastAsiaTheme="minorEastAsia" w:hAnsiTheme="minorHAnsi" w:cstheme="minorHAnsi"/>
          <w:color w:val="auto"/>
          <w:lang w:eastAsia="en-AU"/>
        </w:rPr>
        <w:t xml:space="preserve">heard from a number of consumers </w:t>
      </w:r>
      <w:r w:rsidR="00FA4F50">
        <w:rPr>
          <w:rFonts w:asciiTheme="minorHAnsi" w:eastAsiaTheme="minorEastAsia" w:hAnsiTheme="minorHAnsi" w:cstheme="minorHAnsi"/>
          <w:color w:val="auto"/>
          <w:lang w:eastAsia="en-AU"/>
        </w:rPr>
        <w:t>who</w:t>
      </w:r>
      <w:r w:rsidR="00171E2E">
        <w:rPr>
          <w:rFonts w:asciiTheme="minorHAnsi" w:eastAsiaTheme="minorEastAsia" w:hAnsiTheme="minorHAnsi" w:cstheme="minorHAnsi"/>
          <w:color w:val="auto"/>
          <w:lang w:eastAsia="en-AU"/>
        </w:rPr>
        <w:t xml:space="preserve"> </w:t>
      </w:r>
      <w:r w:rsidR="004E59C2">
        <w:rPr>
          <w:rFonts w:asciiTheme="minorHAnsi" w:eastAsiaTheme="minorEastAsia" w:hAnsiTheme="minorHAnsi" w:cstheme="minorHAnsi"/>
          <w:color w:val="auto"/>
          <w:lang w:eastAsia="en-AU"/>
        </w:rPr>
        <w:t xml:space="preserve">have been lead to believe that they need to stay with their current provider or they will lose services. Therefore an </w:t>
      </w:r>
      <w:r w:rsidR="00171E2E" w:rsidRPr="00171E2E">
        <w:rPr>
          <w:rFonts w:asciiTheme="minorHAnsi" w:eastAsiaTheme="minorEastAsia" w:hAnsiTheme="minorHAnsi" w:cstheme="minorHAnsi"/>
          <w:color w:val="auto"/>
          <w:lang w:eastAsia="en-AU"/>
        </w:rPr>
        <w:t>additional</w:t>
      </w:r>
      <w:r w:rsidR="004E59C2">
        <w:rPr>
          <w:rFonts w:asciiTheme="minorHAnsi" w:eastAsiaTheme="minorEastAsia" w:hAnsiTheme="minorHAnsi" w:cstheme="minorHAnsi"/>
          <w:color w:val="auto"/>
          <w:lang w:eastAsia="en-AU"/>
        </w:rPr>
        <w:t xml:space="preserve"> responsibility </w:t>
      </w:r>
      <w:r w:rsidR="004B372F">
        <w:rPr>
          <w:rFonts w:asciiTheme="minorHAnsi" w:eastAsiaTheme="minorEastAsia" w:hAnsiTheme="minorHAnsi" w:cstheme="minorHAnsi"/>
          <w:color w:val="auto"/>
          <w:lang w:eastAsia="en-AU"/>
        </w:rPr>
        <w:t>for RSPs</w:t>
      </w:r>
      <w:r w:rsidR="00FA4F50">
        <w:rPr>
          <w:rFonts w:asciiTheme="minorHAnsi" w:eastAsiaTheme="minorEastAsia" w:hAnsiTheme="minorHAnsi" w:cstheme="minorHAnsi"/>
          <w:color w:val="auto"/>
          <w:lang w:eastAsia="en-AU"/>
        </w:rPr>
        <w:t xml:space="preserve"> should be</w:t>
      </w:r>
      <w:r w:rsidR="004E59C2">
        <w:rPr>
          <w:rFonts w:asciiTheme="minorHAnsi" w:eastAsiaTheme="minorEastAsia" w:hAnsiTheme="minorHAnsi" w:cstheme="minorHAnsi"/>
          <w:color w:val="auto"/>
          <w:lang w:eastAsia="en-AU"/>
        </w:rPr>
        <w:t xml:space="preserve"> that they are</w:t>
      </w:r>
      <w:r w:rsidR="00171E2E" w:rsidRPr="00171E2E">
        <w:rPr>
          <w:rFonts w:asciiTheme="minorHAnsi" w:eastAsiaTheme="minorEastAsia" w:hAnsiTheme="minorHAnsi" w:cstheme="minorHAnsi"/>
          <w:color w:val="auto"/>
          <w:lang w:eastAsia="en-AU"/>
        </w:rPr>
        <w:t xml:space="preserve"> clear in their messaging that a consumer can choose from a range of RSPs over NBN.</w:t>
      </w:r>
    </w:p>
    <w:p w:rsidR="002D4995" w:rsidRDefault="00720B19" w:rsidP="004D2C73">
      <w:pPr>
        <w:pStyle w:val="BodyText1"/>
        <w:numPr>
          <w:ilvl w:val="0"/>
          <w:numId w:val="1"/>
        </w:numPr>
        <w:jc w:val="both"/>
        <w:rPr>
          <w:rFonts w:asciiTheme="minorHAnsi" w:eastAsiaTheme="minorEastAsia" w:hAnsiTheme="minorHAnsi" w:cstheme="minorHAnsi"/>
          <w:color w:val="auto"/>
          <w:lang w:eastAsia="en-AU"/>
        </w:rPr>
      </w:pPr>
      <w:r>
        <w:rPr>
          <w:rFonts w:asciiTheme="minorHAnsi" w:eastAsiaTheme="minorEastAsia" w:hAnsiTheme="minorHAnsi" w:cstheme="minorHAnsi"/>
          <w:b/>
          <w:color w:val="auto"/>
          <w:lang w:eastAsia="en-AU"/>
        </w:rPr>
        <w:t>Information about a</w:t>
      </w:r>
      <w:r w:rsidRPr="002F0DE2">
        <w:rPr>
          <w:rFonts w:asciiTheme="minorHAnsi" w:eastAsiaTheme="minorEastAsia" w:hAnsiTheme="minorHAnsi" w:cstheme="minorHAnsi"/>
          <w:b/>
          <w:color w:val="auto"/>
          <w:lang w:eastAsia="en-AU"/>
        </w:rPr>
        <w:t xml:space="preserve">dditional power sockets and </w:t>
      </w:r>
      <w:r w:rsidR="008A2744">
        <w:rPr>
          <w:rFonts w:asciiTheme="minorHAnsi" w:eastAsiaTheme="minorEastAsia" w:hAnsiTheme="minorHAnsi" w:cstheme="minorHAnsi"/>
          <w:b/>
          <w:color w:val="auto"/>
          <w:lang w:eastAsia="en-AU"/>
        </w:rPr>
        <w:t xml:space="preserve">power </w:t>
      </w:r>
      <w:r w:rsidRPr="002F0DE2">
        <w:rPr>
          <w:rFonts w:asciiTheme="minorHAnsi" w:eastAsiaTheme="minorEastAsia" w:hAnsiTheme="minorHAnsi" w:cstheme="minorHAnsi"/>
          <w:b/>
          <w:color w:val="auto"/>
          <w:lang w:eastAsia="en-AU"/>
        </w:rPr>
        <w:t>usage</w:t>
      </w:r>
      <w:r>
        <w:rPr>
          <w:rFonts w:asciiTheme="minorHAnsi" w:eastAsiaTheme="minorEastAsia" w:hAnsiTheme="minorHAnsi" w:cstheme="minorHAnsi"/>
          <w:color w:val="auto"/>
          <w:lang w:eastAsia="en-AU"/>
        </w:rPr>
        <w:t xml:space="preserve">. </w:t>
      </w:r>
      <w:r w:rsidR="002D4995">
        <w:rPr>
          <w:rFonts w:asciiTheme="minorHAnsi" w:eastAsiaTheme="minorEastAsia" w:hAnsiTheme="minorHAnsi" w:cstheme="minorHAnsi"/>
          <w:color w:val="auto"/>
          <w:lang w:eastAsia="en-AU"/>
        </w:rPr>
        <w:t>Pg. 29</w:t>
      </w:r>
      <w:r w:rsidR="004B372F">
        <w:rPr>
          <w:rFonts w:asciiTheme="minorHAnsi" w:eastAsiaTheme="minorEastAsia" w:hAnsiTheme="minorHAnsi" w:cstheme="minorHAnsi"/>
          <w:color w:val="auto"/>
          <w:lang w:eastAsia="en-AU"/>
        </w:rPr>
        <w:t>,</w:t>
      </w:r>
      <w:r w:rsidR="002D4995">
        <w:rPr>
          <w:rFonts w:asciiTheme="minorHAnsi" w:eastAsiaTheme="minorEastAsia" w:hAnsiTheme="minorHAnsi" w:cstheme="minorHAnsi"/>
          <w:color w:val="auto"/>
          <w:lang w:eastAsia="en-AU"/>
        </w:rPr>
        <w:t xml:space="preserve"> ACCAN believes </w:t>
      </w:r>
      <w:r w:rsidR="004B372F">
        <w:rPr>
          <w:rFonts w:asciiTheme="minorHAnsi" w:eastAsiaTheme="minorEastAsia" w:hAnsiTheme="minorHAnsi" w:cstheme="minorHAnsi"/>
          <w:color w:val="auto"/>
          <w:lang w:eastAsia="en-AU"/>
        </w:rPr>
        <w:t>that RSPs</w:t>
      </w:r>
      <w:r w:rsidR="002D4995">
        <w:rPr>
          <w:rFonts w:asciiTheme="minorHAnsi" w:eastAsiaTheme="minorEastAsia" w:hAnsiTheme="minorHAnsi" w:cstheme="minorHAnsi"/>
          <w:color w:val="auto"/>
          <w:lang w:eastAsia="en-AU"/>
        </w:rPr>
        <w:t xml:space="preserve"> also have a responsibility to inform consumers of the </w:t>
      </w:r>
      <w:r w:rsidR="002D4995" w:rsidRPr="002D4995">
        <w:rPr>
          <w:rFonts w:asciiTheme="minorHAnsi" w:eastAsiaTheme="minorEastAsia" w:hAnsiTheme="minorHAnsi" w:cstheme="minorHAnsi"/>
          <w:color w:val="auto"/>
          <w:lang w:eastAsia="en-AU"/>
        </w:rPr>
        <w:t xml:space="preserve">possible need for additional power sockets to support </w:t>
      </w:r>
      <w:r w:rsidR="00221D2B">
        <w:rPr>
          <w:rFonts w:asciiTheme="minorHAnsi" w:eastAsiaTheme="minorEastAsia" w:hAnsiTheme="minorHAnsi" w:cstheme="minorHAnsi"/>
          <w:color w:val="auto"/>
          <w:lang w:eastAsia="en-AU"/>
        </w:rPr>
        <w:t xml:space="preserve">multiple </w:t>
      </w:r>
      <w:r w:rsidR="002D4995" w:rsidRPr="002D4995">
        <w:rPr>
          <w:rFonts w:asciiTheme="minorHAnsi" w:eastAsiaTheme="minorEastAsia" w:hAnsiTheme="minorHAnsi" w:cstheme="minorHAnsi"/>
          <w:color w:val="auto"/>
          <w:lang w:eastAsia="en-AU"/>
        </w:rPr>
        <w:t>devices</w:t>
      </w:r>
      <w:r w:rsidR="00221D2B">
        <w:rPr>
          <w:rFonts w:asciiTheme="minorHAnsi" w:eastAsiaTheme="minorEastAsia" w:hAnsiTheme="minorHAnsi" w:cstheme="minorHAnsi"/>
          <w:color w:val="auto"/>
          <w:lang w:eastAsia="en-AU"/>
        </w:rPr>
        <w:t xml:space="preserve"> that may be required</w:t>
      </w:r>
      <w:r w:rsidR="002D4995" w:rsidRPr="002D4995">
        <w:rPr>
          <w:rFonts w:asciiTheme="minorHAnsi" w:eastAsiaTheme="minorEastAsia" w:hAnsiTheme="minorHAnsi" w:cstheme="minorHAnsi"/>
          <w:color w:val="auto"/>
          <w:lang w:eastAsia="en-AU"/>
        </w:rPr>
        <w:t xml:space="preserve"> and the </w:t>
      </w:r>
      <w:r w:rsidR="00221D2B">
        <w:rPr>
          <w:rFonts w:asciiTheme="minorHAnsi" w:eastAsiaTheme="minorEastAsia" w:hAnsiTheme="minorHAnsi" w:cstheme="minorHAnsi"/>
          <w:color w:val="auto"/>
          <w:lang w:eastAsia="en-AU"/>
        </w:rPr>
        <w:t xml:space="preserve">potential </w:t>
      </w:r>
      <w:r w:rsidR="002D4995" w:rsidRPr="002D4995">
        <w:rPr>
          <w:rFonts w:asciiTheme="minorHAnsi" w:eastAsiaTheme="minorEastAsia" w:hAnsiTheme="minorHAnsi" w:cstheme="minorHAnsi"/>
          <w:color w:val="auto"/>
          <w:lang w:eastAsia="en-AU"/>
        </w:rPr>
        <w:t>increased power usage of services</w:t>
      </w:r>
      <w:r w:rsidR="002D4995">
        <w:rPr>
          <w:rFonts w:asciiTheme="minorHAnsi" w:eastAsiaTheme="minorEastAsia" w:hAnsiTheme="minorHAnsi" w:cstheme="minorHAnsi"/>
          <w:color w:val="auto"/>
          <w:lang w:eastAsia="en-AU"/>
        </w:rPr>
        <w:t xml:space="preserve"> over NBN</w:t>
      </w:r>
      <w:r w:rsidR="00BA5968">
        <w:rPr>
          <w:rFonts w:asciiTheme="minorHAnsi" w:eastAsiaTheme="minorEastAsia" w:hAnsiTheme="minorHAnsi" w:cstheme="minorHAnsi"/>
          <w:color w:val="auto"/>
          <w:lang w:eastAsia="en-AU"/>
        </w:rPr>
        <w:t>. These are also important differences for consumer services which they may not be aware of.</w:t>
      </w:r>
    </w:p>
    <w:p w:rsidR="00093249" w:rsidRDefault="002F0DE2" w:rsidP="004D2C73">
      <w:pPr>
        <w:pStyle w:val="BodyText1"/>
        <w:numPr>
          <w:ilvl w:val="0"/>
          <w:numId w:val="1"/>
        </w:numPr>
        <w:jc w:val="both"/>
        <w:rPr>
          <w:rFonts w:asciiTheme="minorHAnsi" w:eastAsiaTheme="minorEastAsia" w:hAnsiTheme="minorHAnsi" w:cstheme="minorHAnsi"/>
          <w:color w:val="auto"/>
          <w:lang w:eastAsia="en-AU"/>
        </w:rPr>
      </w:pPr>
      <w:r w:rsidRPr="002F0DE2">
        <w:rPr>
          <w:rFonts w:asciiTheme="minorHAnsi" w:eastAsiaTheme="minorEastAsia" w:hAnsiTheme="minorHAnsi" w:cstheme="minorHAnsi"/>
          <w:b/>
          <w:color w:val="auto"/>
          <w:lang w:eastAsia="en-AU"/>
        </w:rPr>
        <w:t>RSPs to test service are</w:t>
      </w:r>
      <w:r w:rsidR="00720B19" w:rsidRPr="002F0DE2">
        <w:rPr>
          <w:rFonts w:asciiTheme="minorHAnsi" w:eastAsiaTheme="minorEastAsia" w:hAnsiTheme="minorHAnsi" w:cstheme="minorHAnsi"/>
          <w:b/>
          <w:color w:val="auto"/>
          <w:lang w:eastAsia="en-AU"/>
        </w:rPr>
        <w:t xml:space="preserve"> operating</w:t>
      </w:r>
      <w:r w:rsidR="00720B19">
        <w:rPr>
          <w:rFonts w:asciiTheme="minorHAnsi" w:eastAsiaTheme="minorEastAsia" w:hAnsiTheme="minorHAnsi" w:cstheme="minorHAnsi"/>
          <w:color w:val="auto"/>
          <w:lang w:eastAsia="en-AU"/>
        </w:rPr>
        <w:t xml:space="preserve">. </w:t>
      </w:r>
      <w:r w:rsidR="00093249">
        <w:rPr>
          <w:rFonts w:asciiTheme="minorHAnsi" w:eastAsiaTheme="minorEastAsia" w:hAnsiTheme="minorHAnsi" w:cstheme="minorHAnsi"/>
          <w:color w:val="auto"/>
          <w:lang w:eastAsia="en-AU"/>
        </w:rPr>
        <w:t>Pg. 30</w:t>
      </w:r>
      <w:r w:rsidR="004B372F">
        <w:rPr>
          <w:rFonts w:asciiTheme="minorHAnsi" w:eastAsiaTheme="minorEastAsia" w:hAnsiTheme="minorHAnsi" w:cstheme="minorHAnsi"/>
          <w:color w:val="auto"/>
          <w:lang w:eastAsia="en-AU"/>
        </w:rPr>
        <w:t>,</w:t>
      </w:r>
      <w:r w:rsidR="00093249">
        <w:rPr>
          <w:rFonts w:asciiTheme="minorHAnsi" w:eastAsiaTheme="minorEastAsia" w:hAnsiTheme="minorHAnsi" w:cstheme="minorHAnsi"/>
          <w:color w:val="auto"/>
          <w:lang w:eastAsia="en-AU"/>
        </w:rPr>
        <w:t xml:space="preserve"> ACCAN believes that RSPs should also be responsible</w:t>
      </w:r>
      <w:r w:rsidR="00720B19">
        <w:rPr>
          <w:rFonts w:asciiTheme="minorHAnsi" w:eastAsiaTheme="minorEastAsia" w:hAnsiTheme="minorHAnsi" w:cstheme="minorHAnsi"/>
          <w:color w:val="auto"/>
          <w:lang w:eastAsia="en-AU"/>
        </w:rPr>
        <w:t xml:space="preserve"> for</w:t>
      </w:r>
      <w:r w:rsidR="00093249">
        <w:rPr>
          <w:rFonts w:asciiTheme="minorHAnsi" w:eastAsiaTheme="minorEastAsia" w:hAnsiTheme="minorHAnsi" w:cstheme="minorHAnsi"/>
          <w:color w:val="auto"/>
          <w:lang w:eastAsia="en-AU"/>
        </w:rPr>
        <w:t xml:space="preserve"> </w:t>
      </w:r>
      <w:r w:rsidR="00093249" w:rsidRPr="00093249">
        <w:rPr>
          <w:rFonts w:asciiTheme="minorHAnsi" w:eastAsiaTheme="minorEastAsia" w:hAnsiTheme="minorHAnsi" w:cstheme="minorHAnsi"/>
          <w:color w:val="auto"/>
          <w:lang w:eastAsia="en-AU"/>
        </w:rPr>
        <w:t>testing the service to confirm it is operational and ready for consumer use</w:t>
      </w:r>
      <w:r w:rsidR="00850A0A">
        <w:rPr>
          <w:rFonts w:asciiTheme="minorHAnsi" w:eastAsiaTheme="minorEastAsia" w:hAnsiTheme="minorHAnsi" w:cstheme="minorHAnsi"/>
          <w:color w:val="auto"/>
          <w:lang w:eastAsia="en-AU"/>
        </w:rPr>
        <w:t>,</w:t>
      </w:r>
      <w:r w:rsidR="00093249">
        <w:rPr>
          <w:rFonts w:asciiTheme="minorHAnsi" w:eastAsiaTheme="minorEastAsia" w:hAnsiTheme="minorHAnsi" w:cstheme="minorHAnsi"/>
          <w:color w:val="auto"/>
          <w:lang w:eastAsia="en-AU"/>
        </w:rPr>
        <w:t xml:space="preserve"> </w:t>
      </w:r>
      <w:r w:rsidR="00093249" w:rsidRPr="00093249">
        <w:rPr>
          <w:rFonts w:asciiTheme="minorHAnsi" w:eastAsiaTheme="minorEastAsia" w:hAnsiTheme="minorHAnsi" w:cstheme="minorHAnsi"/>
          <w:color w:val="auto"/>
          <w:lang w:eastAsia="en-AU"/>
        </w:rPr>
        <w:t xml:space="preserve">once nbn has notified activation of </w:t>
      </w:r>
      <w:r w:rsidR="00F72187">
        <w:rPr>
          <w:rFonts w:asciiTheme="minorHAnsi" w:eastAsiaTheme="minorEastAsia" w:hAnsiTheme="minorHAnsi" w:cstheme="minorHAnsi"/>
          <w:color w:val="auto"/>
          <w:lang w:eastAsia="en-AU"/>
        </w:rPr>
        <w:t xml:space="preserve">its </w:t>
      </w:r>
      <w:r w:rsidR="00F72187" w:rsidRPr="00093249">
        <w:rPr>
          <w:rFonts w:asciiTheme="minorHAnsi" w:eastAsiaTheme="minorEastAsia" w:hAnsiTheme="minorHAnsi" w:cstheme="minorHAnsi"/>
          <w:color w:val="auto"/>
          <w:lang w:eastAsia="en-AU"/>
        </w:rPr>
        <w:t>network</w:t>
      </w:r>
      <w:r w:rsidR="00093249" w:rsidRPr="00093249">
        <w:rPr>
          <w:rFonts w:asciiTheme="minorHAnsi" w:eastAsiaTheme="minorEastAsia" w:hAnsiTheme="minorHAnsi" w:cstheme="minorHAnsi"/>
          <w:color w:val="auto"/>
          <w:lang w:eastAsia="en-AU"/>
        </w:rPr>
        <w:t>.</w:t>
      </w:r>
      <w:r w:rsidR="00BA5968">
        <w:rPr>
          <w:rFonts w:asciiTheme="minorHAnsi" w:eastAsiaTheme="minorEastAsia" w:hAnsiTheme="minorHAnsi" w:cstheme="minorHAnsi"/>
          <w:color w:val="auto"/>
          <w:lang w:eastAsia="en-AU"/>
        </w:rPr>
        <w:t xml:space="preserve"> A number of circumstances have arisen w</w:t>
      </w:r>
      <w:r w:rsidR="00FA4F50">
        <w:rPr>
          <w:rFonts w:asciiTheme="minorHAnsi" w:eastAsiaTheme="minorEastAsia" w:hAnsiTheme="minorHAnsi" w:cstheme="minorHAnsi"/>
          <w:color w:val="auto"/>
          <w:lang w:eastAsia="en-AU"/>
        </w:rPr>
        <w:t>h</w:t>
      </w:r>
      <w:r w:rsidR="00BA5968">
        <w:rPr>
          <w:rFonts w:asciiTheme="minorHAnsi" w:eastAsiaTheme="minorEastAsia" w:hAnsiTheme="minorHAnsi" w:cstheme="minorHAnsi"/>
          <w:color w:val="auto"/>
          <w:lang w:eastAsia="en-AU"/>
        </w:rPr>
        <w:t xml:space="preserve">ere legacy services were disconnected before the </w:t>
      </w:r>
      <w:r w:rsidR="00FA4F50">
        <w:rPr>
          <w:rFonts w:asciiTheme="minorHAnsi" w:eastAsiaTheme="minorEastAsia" w:hAnsiTheme="minorHAnsi" w:cstheme="minorHAnsi"/>
          <w:color w:val="auto"/>
          <w:lang w:eastAsia="en-AU"/>
        </w:rPr>
        <w:t>NBN</w:t>
      </w:r>
      <w:r w:rsidR="00BA5968">
        <w:rPr>
          <w:rFonts w:asciiTheme="minorHAnsi" w:eastAsiaTheme="minorEastAsia" w:hAnsiTheme="minorHAnsi" w:cstheme="minorHAnsi"/>
          <w:color w:val="auto"/>
          <w:lang w:eastAsia="en-AU"/>
        </w:rPr>
        <w:t xml:space="preserve"> was confirmed to be working. This has left consumers without any services for periods of time. </w:t>
      </w:r>
      <w:r w:rsidR="00221D2B">
        <w:rPr>
          <w:rFonts w:asciiTheme="minorHAnsi" w:eastAsiaTheme="minorEastAsia" w:hAnsiTheme="minorHAnsi" w:cstheme="minorHAnsi"/>
          <w:color w:val="auto"/>
          <w:lang w:eastAsia="en-AU"/>
        </w:rPr>
        <w:t>Ensuring that services are working is essential.</w:t>
      </w:r>
    </w:p>
    <w:p w:rsidR="00C522F3" w:rsidRDefault="00720B19" w:rsidP="004D2C73">
      <w:pPr>
        <w:pStyle w:val="BodyText1"/>
        <w:numPr>
          <w:ilvl w:val="0"/>
          <w:numId w:val="1"/>
        </w:numPr>
        <w:jc w:val="both"/>
        <w:rPr>
          <w:rFonts w:asciiTheme="minorHAnsi" w:eastAsiaTheme="minorEastAsia" w:hAnsiTheme="minorHAnsi" w:cstheme="minorHAnsi"/>
          <w:color w:val="auto"/>
          <w:lang w:eastAsia="en-AU"/>
        </w:rPr>
      </w:pPr>
      <w:r w:rsidRPr="002F0DE2">
        <w:rPr>
          <w:rFonts w:asciiTheme="minorHAnsi" w:eastAsiaTheme="minorEastAsia" w:hAnsiTheme="minorHAnsi" w:cstheme="minorHAnsi"/>
          <w:b/>
          <w:color w:val="auto"/>
          <w:lang w:eastAsia="en-AU"/>
        </w:rPr>
        <w:t>RSPs to ensure consumers have compatible equipment</w:t>
      </w:r>
      <w:r w:rsidR="00957D65" w:rsidRPr="002F0DE2">
        <w:rPr>
          <w:rFonts w:asciiTheme="minorHAnsi" w:eastAsiaTheme="minorEastAsia" w:hAnsiTheme="minorHAnsi" w:cstheme="minorHAnsi"/>
          <w:b/>
          <w:color w:val="auto"/>
          <w:lang w:eastAsia="en-AU"/>
        </w:rPr>
        <w:t xml:space="preserve"> to support the service</w:t>
      </w:r>
      <w:r w:rsidR="00957D65">
        <w:rPr>
          <w:rFonts w:asciiTheme="minorHAnsi" w:eastAsiaTheme="minorEastAsia" w:hAnsiTheme="minorHAnsi" w:cstheme="minorHAnsi"/>
          <w:color w:val="auto"/>
          <w:lang w:eastAsia="en-AU"/>
        </w:rPr>
        <w:t xml:space="preserve">. </w:t>
      </w:r>
      <w:r w:rsidR="00C522F3">
        <w:rPr>
          <w:rFonts w:asciiTheme="minorHAnsi" w:eastAsiaTheme="minorEastAsia" w:hAnsiTheme="minorHAnsi" w:cstheme="minorHAnsi"/>
          <w:color w:val="auto"/>
          <w:lang w:eastAsia="en-AU"/>
        </w:rPr>
        <w:t>Pg. 32</w:t>
      </w:r>
      <w:r w:rsidR="004B372F">
        <w:rPr>
          <w:rFonts w:asciiTheme="minorHAnsi" w:eastAsiaTheme="minorEastAsia" w:hAnsiTheme="minorHAnsi" w:cstheme="minorHAnsi"/>
          <w:color w:val="auto"/>
          <w:lang w:eastAsia="en-AU"/>
        </w:rPr>
        <w:t>,</w:t>
      </w:r>
      <w:r w:rsidR="00C522F3">
        <w:rPr>
          <w:rFonts w:asciiTheme="minorHAnsi" w:eastAsiaTheme="minorEastAsia" w:hAnsiTheme="minorHAnsi" w:cstheme="minorHAnsi"/>
          <w:color w:val="auto"/>
          <w:lang w:eastAsia="en-AU"/>
        </w:rPr>
        <w:t xml:space="preserve"> ACCAN believes that RSPs should </w:t>
      </w:r>
      <w:r w:rsidR="00B83708">
        <w:rPr>
          <w:rFonts w:asciiTheme="minorHAnsi" w:eastAsiaTheme="minorEastAsia" w:hAnsiTheme="minorHAnsi" w:cstheme="minorHAnsi"/>
          <w:color w:val="auto"/>
          <w:lang w:eastAsia="en-AU"/>
        </w:rPr>
        <w:t>ensure that consumers have the appropriate equipment prior to switching</w:t>
      </w:r>
      <w:r w:rsidR="00FA4F50">
        <w:rPr>
          <w:rFonts w:asciiTheme="minorHAnsi" w:eastAsiaTheme="minorEastAsia" w:hAnsiTheme="minorHAnsi" w:cstheme="minorHAnsi"/>
          <w:color w:val="auto"/>
          <w:lang w:eastAsia="en-AU"/>
        </w:rPr>
        <w:t>. T</w:t>
      </w:r>
      <w:r w:rsidR="00B83708">
        <w:rPr>
          <w:rFonts w:asciiTheme="minorHAnsi" w:eastAsiaTheme="minorEastAsia" w:hAnsiTheme="minorHAnsi" w:cstheme="minorHAnsi"/>
          <w:color w:val="auto"/>
          <w:lang w:eastAsia="en-AU"/>
        </w:rPr>
        <w:t xml:space="preserve">his </w:t>
      </w:r>
      <w:r w:rsidR="00221D2B">
        <w:rPr>
          <w:rFonts w:asciiTheme="minorHAnsi" w:eastAsiaTheme="minorEastAsia" w:hAnsiTheme="minorHAnsi" w:cstheme="minorHAnsi"/>
          <w:color w:val="auto"/>
          <w:lang w:eastAsia="en-AU"/>
        </w:rPr>
        <w:t>could also include</w:t>
      </w:r>
      <w:r w:rsidR="00B83708">
        <w:rPr>
          <w:rFonts w:asciiTheme="minorHAnsi" w:eastAsiaTheme="minorEastAsia" w:hAnsiTheme="minorHAnsi" w:cstheme="minorHAnsi"/>
          <w:color w:val="auto"/>
          <w:lang w:eastAsia="en-AU"/>
        </w:rPr>
        <w:t xml:space="preserve"> third party devices which the consumer </w:t>
      </w:r>
      <w:r w:rsidR="00221D2B">
        <w:rPr>
          <w:rFonts w:asciiTheme="minorHAnsi" w:eastAsiaTheme="minorEastAsia" w:hAnsiTheme="minorHAnsi" w:cstheme="minorHAnsi"/>
          <w:color w:val="auto"/>
          <w:lang w:eastAsia="en-AU"/>
        </w:rPr>
        <w:t xml:space="preserve">can </w:t>
      </w:r>
      <w:r w:rsidR="00B83708">
        <w:rPr>
          <w:rFonts w:asciiTheme="minorHAnsi" w:eastAsiaTheme="minorEastAsia" w:hAnsiTheme="minorHAnsi" w:cstheme="minorHAnsi"/>
          <w:color w:val="auto"/>
          <w:lang w:eastAsia="en-AU"/>
        </w:rPr>
        <w:t xml:space="preserve">purchase separately. </w:t>
      </w:r>
      <w:r w:rsidR="00C522F3">
        <w:rPr>
          <w:rFonts w:asciiTheme="minorHAnsi" w:eastAsiaTheme="minorEastAsia" w:hAnsiTheme="minorHAnsi" w:cstheme="minorHAnsi"/>
          <w:color w:val="auto"/>
          <w:lang w:eastAsia="en-AU"/>
        </w:rPr>
        <w:t xml:space="preserve"> </w:t>
      </w:r>
    </w:p>
    <w:p w:rsidR="009536EC" w:rsidRDefault="009536EC" w:rsidP="001B00BC">
      <w:pPr>
        <w:pStyle w:val="Heading1"/>
        <w:rPr>
          <w:rFonts w:eastAsiaTheme="minorEastAsia"/>
        </w:rPr>
      </w:pPr>
      <w:r>
        <w:rPr>
          <w:rFonts w:eastAsiaTheme="minorEastAsia"/>
        </w:rPr>
        <w:t>Customers roles and responsibilities</w:t>
      </w:r>
    </w:p>
    <w:p w:rsidR="008A2744" w:rsidRPr="002F0DE2" w:rsidRDefault="008A2744" w:rsidP="004D2C73">
      <w:pPr>
        <w:pStyle w:val="BodyText1"/>
        <w:numPr>
          <w:ilvl w:val="0"/>
          <w:numId w:val="1"/>
        </w:numPr>
        <w:jc w:val="both"/>
        <w:rPr>
          <w:rFonts w:asciiTheme="minorHAnsi" w:eastAsiaTheme="minorEastAsia" w:hAnsiTheme="minorHAnsi" w:cstheme="minorHAnsi"/>
          <w:color w:val="auto"/>
          <w:lang w:eastAsia="en-AU"/>
        </w:rPr>
      </w:pPr>
      <w:r w:rsidRPr="002F0DE2">
        <w:rPr>
          <w:rFonts w:asciiTheme="minorHAnsi" w:eastAsiaTheme="minorEastAsia" w:hAnsiTheme="minorHAnsi" w:cstheme="minorHAnsi"/>
          <w:b/>
          <w:color w:val="auto"/>
          <w:lang w:eastAsia="en-AU"/>
        </w:rPr>
        <w:t>Cost of migrating</w:t>
      </w:r>
      <w:r>
        <w:rPr>
          <w:rFonts w:asciiTheme="minorHAnsi" w:eastAsiaTheme="minorEastAsia" w:hAnsiTheme="minorHAnsi" w:cstheme="minorHAnsi"/>
          <w:color w:val="auto"/>
          <w:lang w:eastAsia="en-AU"/>
        </w:rPr>
        <w:t xml:space="preserve">. Pg. 40 outlines a responsibility on consumers to cover the costs </w:t>
      </w:r>
      <w:r w:rsidRPr="002F0DE2">
        <w:rPr>
          <w:rFonts w:asciiTheme="minorHAnsi" w:eastAsiaTheme="minorEastAsia" w:hAnsiTheme="minorHAnsi" w:cstheme="minorHAnsi"/>
          <w:i/>
          <w:color w:val="auto"/>
          <w:lang w:eastAsia="en-AU"/>
        </w:rPr>
        <w:t>“associated with additional upgrading of wiring, change of service or customer premises equipment”</w:t>
      </w:r>
      <w:r>
        <w:rPr>
          <w:rFonts w:asciiTheme="minorHAnsi" w:eastAsiaTheme="minorEastAsia" w:hAnsiTheme="minorHAnsi" w:cstheme="minorHAnsi"/>
          <w:i/>
          <w:color w:val="auto"/>
          <w:lang w:eastAsia="en-AU"/>
        </w:rPr>
        <w:t xml:space="preserve">. </w:t>
      </w:r>
      <w:r>
        <w:rPr>
          <w:rFonts w:asciiTheme="minorHAnsi" w:eastAsiaTheme="minorEastAsia" w:hAnsiTheme="minorHAnsi" w:cstheme="minorHAnsi"/>
          <w:color w:val="auto"/>
          <w:lang w:eastAsia="en-AU"/>
        </w:rPr>
        <w:t xml:space="preserve">ACCAN is concerned that for some consumers this cost might be significant and prevent them from continuing to have a service. Part of the TUSMA agreement provided </w:t>
      </w:r>
      <w:r>
        <w:rPr>
          <w:rFonts w:asciiTheme="minorHAnsi" w:eastAsiaTheme="minorEastAsia" w:hAnsiTheme="minorHAnsi" w:cstheme="minorHAnsi"/>
          <w:color w:val="auto"/>
          <w:lang w:eastAsia="en-AU"/>
        </w:rPr>
        <w:lastRenderedPageBreak/>
        <w:t>funding to assist vulnerable voice only consumers with these costs.</w:t>
      </w:r>
      <w:r>
        <w:rPr>
          <w:rStyle w:val="FootnoteReference"/>
          <w:rFonts w:asciiTheme="minorHAnsi" w:eastAsiaTheme="minorEastAsia" w:hAnsiTheme="minorHAnsi" w:cstheme="minorHAnsi"/>
          <w:color w:val="auto"/>
          <w:lang w:eastAsia="en-AU"/>
        </w:rPr>
        <w:footnoteReference w:id="5"/>
      </w:r>
      <w:r>
        <w:rPr>
          <w:rFonts w:asciiTheme="minorHAnsi" w:eastAsiaTheme="minorEastAsia" w:hAnsiTheme="minorHAnsi" w:cstheme="minorHAnsi"/>
          <w:color w:val="auto"/>
          <w:lang w:eastAsia="en-AU"/>
        </w:rPr>
        <w:t xml:space="preserve"> ACCAN believes, if this still exists, should be promoted and easily accessible to these consumers.</w:t>
      </w:r>
    </w:p>
    <w:p w:rsidR="008A17CB" w:rsidRDefault="00957D65" w:rsidP="004D2C73">
      <w:pPr>
        <w:pStyle w:val="BodyText1"/>
        <w:numPr>
          <w:ilvl w:val="0"/>
          <w:numId w:val="1"/>
        </w:numPr>
        <w:jc w:val="both"/>
        <w:rPr>
          <w:rFonts w:asciiTheme="minorHAnsi" w:eastAsiaTheme="minorEastAsia" w:hAnsiTheme="minorHAnsi" w:cstheme="minorHAnsi"/>
          <w:color w:val="auto"/>
          <w:lang w:eastAsia="en-AU"/>
        </w:rPr>
      </w:pPr>
      <w:r w:rsidRPr="002F0DE2">
        <w:rPr>
          <w:rFonts w:asciiTheme="minorHAnsi" w:eastAsiaTheme="minorEastAsia" w:hAnsiTheme="minorHAnsi" w:cstheme="minorHAnsi"/>
          <w:b/>
          <w:color w:val="auto"/>
          <w:lang w:eastAsia="en-AU"/>
        </w:rPr>
        <w:t>Difficulties in obtaining full national number.</w:t>
      </w:r>
      <w:r>
        <w:rPr>
          <w:rFonts w:asciiTheme="minorHAnsi" w:eastAsiaTheme="minorEastAsia" w:hAnsiTheme="minorHAnsi" w:cstheme="minorHAnsi"/>
          <w:color w:val="auto"/>
          <w:lang w:eastAsia="en-AU"/>
        </w:rPr>
        <w:t xml:space="preserve"> </w:t>
      </w:r>
      <w:r w:rsidR="008A17CB">
        <w:rPr>
          <w:rFonts w:asciiTheme="minorHAnsi" w:eastAsiaTheme="minorEastAsia" w:hAnsiTheme="minorHAnsi" w:cstheme="minorHAnsi"/>
          <w:color w:val="auto"/>
          <w:lang w:eastAsia="en-AU"/>
        </w:rPr>
        <w:t>Pg. 42</w:t>
      </w:r>
      <w:bookmarkStart w:id="0" w:name="_GoBack"/>
      <w:bookmarkEnd w:id="0"/>
      <w:r w:rsidR="008A17CB">
        <w:rPr>
          <w:rFonts w:asciiTheme="minorHAnsi" w:eastAsiaTheme="minorEastAsia" w:hAnsiTheme="minorHAnsi" w:cstheme="minorHAnsi"/>
          <w:color w:val="auto"/>
          <w:lang w:eastAsia="en-AU"/>
        </w:rPr>
        <w:t xml:space="preserve"> outlines the need for consumers to advise RSPs of their full national number. </w:t>
      </w:r>
      <w:r w:rsidR="0071347F">
        <w:rPr>
          <w:rFonts w:asciiTheme="minorHAnsi" w:eastAsiaTheme="minorEastAsia" w:hAnsiTheme="minorHAnsi" w:cstheme="minorHAnsi"/>
          <w:color w:val="auto"/>
          <w:lang w:eastAsia="en-AU"/>
        </w:rPr>
        <w:t xml:space="preserve">This number is unlikely to be </w:t>
      </w:r>
      <w:r w:rsidR="008A17CB" w:rsidRPr="008A17CB">
        <w:rPr>
          <w:rFonts w:asciiTheme="minorHAnsi" w:eastAsiaTheme="minorEastAsia" w:hAnsiTheme="minorHAnsi" w:cstheme="minorHAnsi"/>
          <w:color w:val="auto"/>
          <w:lang w:eastAsia="en-AU"/>
        </w:rPr>
        <w:t xml:space="preserve">known by a number of consumers, for example those who </w:t>
      </w:r>
      <w:r w:rsidR="008A17CB">
        <w:rPr>
          <w:rFonts w:asciiTheme="minorHAnsi" w:eastAsiaTheme="minorEastAsia" w:hAnsiTheme="minorHAnsi" w:cstheme="minorHAnsi"/>
          <w:color w:val="auto"/>
          <w:lang w:eastAsia="en-AU"/>
        </w:rPr>
        <w:t xml:space="preserve">have a </w:t>
      </w:r>
      <w:r w:rsidR="008A17CB" w:rsidRPr="008A17CB">
        <w:rPr>
          <w:rFonts w:asciiTheme="minorHAnsi" w:eastAsiaTheme="minorEastAsia" w:hAnsiTheme="minorHAnsi" w:cstheme="minorHAnsi"/>
          <w:color w:val="auto"/>
          <w:lang w:eastAsia="en-AU"/>
        </w:rPr>
        <w:t>naked ADSL service. For consumers who are switching providers they are even more unlikely to know this number and may not wish to contact their current RSP. Is there a means to find this number without having to contact</w:t>
      </w:r>
      <w:r w:rsidR="00221D2B">
        <w:rPr>
          <w:rFonts w:asciiTheme="minorHAnsi" w:eastAsiaTheme="minorEastAsia" w:hAnsiTheme="minorHAnsi" w:cstheme="minorHAnsi"/>
          <w:color w:val="auto"/>
          <w:lang w:eastAsia="en-AU"/>
        </w:rPr>
        <w:t xml:space="preserve"> the</w:t>
      </w:r>
      <w:r w:rsidR="008A17CB" w:rsidRPr="008A17CB">
        <w:rPr>
          <w:rFonts w:asciiTheme="minorHAnsi" w:eastAsiaTheme="minorEastAsia" w:hAnsiTheme="minorHAnsi" w:cstheme="minorHAnsi"/>
          <w:color w:val="auto"/>
          <w:lang w:eastAsia="en-AU"/>
        </w:rPr>
        <w:t xml:space="preserve"> current RSP?</w:t>
      </w:r>
    </w:p>
    <w:p w:rsidR="00C32DD1" w:rsidRDefault="003A2051" w:rsidP="0071347F">
      <w:pPr>
        <w:pStyle w:val="BodyText1"/>
        <w:jc w:val="both"/>
        <w:rPr>
          <w:rFonts w:asciiTheme="minorHAnsi" w:hAnsiTheme="minorHAnsi" w:cstheme="minorHAnsi"/>
          <w:color w:val="auto"/>
        </w:rPr>
      </w:pPr>
      <w:r>
        <w:rPr>
          <w:rFonts w:asciiTheme="minorHAnsi" w:hAnsiTheme="minorHAnsi" w:cstheme="minorHAnsi"/>
          <w:color w:val="auto"/>
        </w:rPr>
        <w:t>ACCAN would ask that the Department of Communications</w:t>
      </w:r>
      <w:r w:rsidR="00221D2B">
        <w:rPr>
          <w:rFonts w:asciiTheme="minorHAnsi" w:hAnsiTheme="minorHAnsi" w:cstheme="minorHAnsi"/>
          <w:color w:val="auto"/>
        </w:rPr>
        <w:t xml:space="preserve"> and the Arts</w:t>
      </w:r>
      <w:r>
        <w:rPr>
          <w:rFonts w:asciiTheme="minorHAnsi" w:hAnsiTheme="minorHAnsi" w:cstheme="minorHAnsi"/>
          <w:color w:val="auto"/>
        </w:rPr>
        <w:t xml:space="preserve"> give further consideration to </w:t>
      </w:r>
      <w:r w:rsidR="00380D53">
        <w:rPr>
          <w:rFonts w:asciiTheme="minorHAnsi" w:hAnsiTheme="minorHAnsi" w:cstheme="minorHAnsi"/>
          <w:color w:val="auto"/>
        </w:rPr>
        <w:t xml:space="preserve">these proposed changes and issues </w:t>
      </w:r>
      <w:r>
        <w:rPr>
          <w:rFonts w:asciiTheme="minorHAnsi" w:hAnsiTheme="minorHAnsi" w:cstheme="minorHAnsi"/>
          <w:color w:val="auto"/>
        </w:rPr>
        <w:t>identified above.</w:t>
      </w:r>
    </w:p>
    <w:p w:rsidR="00DD1B6E" w:rsidRDefault="00F71DE5" w:rsidP="00DD1B6E">
      <w:pPr>
        <w:pStyle w:val="BodyText1"/>
        <w:rPr>
          <w:rFonts w:asciiTheme="minorHAnsi" w:hAnsiTheme="minorHAnsi" w:cstheme="minorHAnsi"/>
          <w:color w:val="auto"/>
        </w:rPr>
      </w:pPr>
      <w:r>
        <w:rPr>
          <w:rFonts w:asciiTheme="minorHAnsi" w:hAnsiTheme="minorHAnsi" w:cstheme="minorHAnsi"/>
          <w:color w:val="auto"/>
        </w:rPr>
        <w:t>Yours s</w:t>
      </w:r>
      <w:r w:rsidR="00B61BF2">
        <w:rPr>
          <w:rFonts w:asciiTheme="minorHAnsi" w:hAnsiTheme="minorHAnsi" w:cstheme="minorHAnsi"/>
          <w:color w:val="auto"/>
        </w:rPr>
        <w:t>incerely</w:t>
      </w:r>
    </w:p>
    <w:p w:rsidR="00C969CB" w:rsidRDefault="00C969CB" w:rsidP="00DD1B6E">
      <w:pPr>
        <w:pStyle w:val="BodyText1"/>
        <w:rPr>
          <w:rFonts w:asciiTheme="minorHAnsi" w:hAnsiTheme="minorHAnsi" w:cstheme="minorHAnsi"/>
          <w:color w:val="auto"/>
        </w:rPr>
      </w:pPr>
      <w:r>
        <w:rPr>
          <w:rFonts w:asciiTheme="minorHAnsi" w:hAnsiTheme="minorHAnsi" w:cstheme="minorHAnsi"/>
          <w:noProof/>
          <w:color w:val="auto"/>
          <w:lang w:val="en-IE" w:eastAsia="en-IE"/>
        </w:rPr>
        <w:drawing>
          <wp:inline distT="0" distB="0" distL="0" distR="0" wp14:anchorId="2578FDCD" wp14:editId="2DAD7B2A">
            <wp:extent cx="1581912" cy="42976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1912" cy="429768"/>
                    </a:xfrm>
                    <a:prstGeom prst="rect">
                      <a:avLst/>
                    </a:prstGeom>
                  </pic:spPr>
                </pic:pic>
              </a:graphicData>
            </a:graphic>
          </wp:inline>
        </w:drawing>
      </w:r>
    </w:p>
    <w:p w:rsidR="00B61BF2" w:rsidRDefault="00B61BF2" w:rsidP="003A2051">
      <w:pPr>
        <w:pStyle w:val="BodyText1"/>
        <w:spacing w:after="0"/>
        <w:rPr>
          <w:rFonts w:asciiTheme="minorHAnsi" w:hAnsiTheme="minorHAnsi" w:cstheme="minorHAnsi"/>
          <w:color w:val="auto"/>
        </w:rPr>
      </w:pPr>
      <w:r>
        <w:rPr>
          <w:rFonts w:asciiTheme="minorHAnsi" w:hAnsiTheme="minorHAnsi" w:cstheme="minorHAnsi"/>
          <w:color w:val="auto"/>
        </w:rPr>
        <w:t>Rachel Thomas</w:t>
      </w:r>
    </w:p>
    <w:p w:rsidR="00B61BF2" w:rsidRDefault="00C969CB" w:rsidP="003A2051">
      <w:pPr>
        <w:pStyle w:val="BodyText1"/>
        <w:spacing w:after="0"/>
        <w:rPr>
          <w:rFonts w:asciiTheme="minorHAnsi" w:hAnsiTheme="minorHAnsi" w:cstheme="minorHAnsi"/>
          <w:color w:val="auto"/>
        </w:rPr>
      </w:pPr>
      <w:r>
        <w:rPr>
          <w:rFonts w:asciiTheme="minorHAnsi" w:hAnsiTheme="minorHAnsi" w:cstheme="minorHAnsi"/>
          <w:color w:val="auto"/>
        </w:rPr>
        <w:t xml:space="preserve">Senior </w:t>
      </w:r>
      <w:r w:rsidR="00B61BF2">
        <w:rPr>
          <w:rFonts w:asciiTheme="minorHAnsi" w:hAnsiTheme="minorHAnsi" w:cstheme="minorHAnsi"/>
          <w:color w:val="auto"/>
        </w:rPr>
        <w:t xml:space="preserve">Policy </w:t>
      </w:r>
      <w:r>
        <w:rPr>
          <w:rFonts w:asciiTheme="minorHAnsi" w:hAnsiTheme="minorHAnsi" w:cstheme="minorHAnsi"/>
          <w:color w:val="auto"/>
        </w:rPr>
        <w:t>Adviser</w:t>
      </w:r>
    </w:p>
    <w:sectPr w:rsidR="00B61BF2" w:rsidSect="00084A5B">
      <w:headerReference w:type="default" r:id="rId13"/>
      <w:footerReference w:type="default" r:id="rId14"/>
      <w:type w:val="continuous"/>
      <w:pgSz w:w="11906" w:h="16838" w:code="9"/>
      <w:pgMar w:top="1440" w:right="1440" w:bottom="1440" w:left="144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270" w:rsidRDefault="002B0270" w:rsidP="005820C9">
      <w:pPr>
        <w:spacing w:after="0" w:line="240" w:lineRule="auto"/>
      </w:pPr>
      <w:r>
        <w:separator/>
      </w:r>
    </w:p>
  </w:endnote>
  <w:endnote w:type="continuationSeparator" w:id="0">
    <w:p w:rsidR="002B0270" w:rsidRDefault="002B0270" w:rsidP="0058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A0" w:rsidRDefault="008D10A0" w:rsidP="00002D94">
    <w:pPr>
      <w:pStyle w:val="Footer"/>
    </w:pPr>
    <w:r>
      <w:rPr>
        <w:noProof/>
        <w:lang w:val="en-IE" w:eastAsia="en-IE"/>
      </w:rPr>
      <mc:AlternateContent>
        <mc:Choice Requires="wpg">
          <w:drawing>
            <wp:anchor distT="0" distB="0" distL="114300" distR="114300" simplePos="0" relativeHeight="251659264" behindDoc="1" locked="0" layoutInCell="1" allowOverlap="1" wp14:anchorId="2BF6CD6F" wp14:editId="3633E009">
              <wp:simplePos x="0" y="0"/>
              <wp:positionH relativeFrom="column">
                <wp:posOffset>-363830</wp:posOffset>
              </wp:positionH>
              <wp:positionV relativeFrom="paragraph">
                <wp:posOffset>-73190</wp:posOffset>
              </wp:positionV>
              <wp:extent cx="6971664" cy="1324082"/>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324082"/>
                        <a:chOff x="-49543" y="-26356"/>
                        <a:chExt cx="6971664" cy="1242669"/>
                      </a:xfrm>
                    </wpg:grpSpPr>
                    <wps:wsp>
                      <wps:cNvPr id="2" name="Text Box 2"/>
                      <wps:cNvSpPr txBox="1">
                        <a:spLocks noChangeArrowheads="1"/>
                      </wps:cNvSpPr>
                      <wps:spPr bwMode="auto">
                        <a:xfrm>
                          <a:off x="-49543" y="-26356"/>
                          <a:ext cx="6971664" cy="1242669"/>
                        </a:xfrm>
                        <a:prstGeom prst="rect">
                          <a:avLst/>
                        </a:prstGeom>
                        <a:noFill/>
                        <a:ln w="9525">
                          <a:noFill/>
                          <a:miter lim="800000"/>
                          <a:headEnd/>
                          <a:tailEnd/>
                        </a:ln>
                      </wps:spPr>
                      <wps:txbx>
                        <w:txbxContent>
                          <w:p w:rsidR="008D10A0" w:rsidRDefault="008D10A0" w:rsidP="001C28E7">
                            <w:pPr>
                              <w:spacing w:after="0" w:line="240" w:lineRule="auto"/>
                              <w:rPr>
                                <w:color w:val="23B0E6"/>
                                <w:sz w:val="20"/>
                                <w:szCs w:val="20"/>
                              </w:rPr>
                            </w:pPr>
                          </w:p>
                          <w:p w:rsidR="008D10A0" w:rsidRPr="00002D94" w:rsidRDefault="008D10A0" w:rsidP="001C28E7">
                            <w:pPr>
                              <w:spacing w:after="0" w:line="240" w:lineRule="auto"/>
                              <w:rPr>
                                <w:color w:val="23B0E6"/>
                                <w:sz w:val="20"/>
                                <w:szCs w:val="20"/>
                              </w:rPr>
                            </w:pPr>
                            <w:r w:rsidRPr="00002D94">
                              <w:rPr>
                                <w:color w:val="23B0E6"/>
                                <w:sz w:val="20"/>
                                <w:szCs w:val="20"/>
                              </w:rPr>
                              <w:t>Australian Communications Consumer Action Network (ACCAN)</w:t>
                            </w:r>
                          </w:p>
                          <w:p w:rsidR="008D10A0" w:rsidRPr="00002D94" w:rsidRDefault="008D10A0" w:rsidP="007D3F16">
                            <w:pPr>
                              <w:spacing w:after="0" w:line="240" w:lineRule="auto"/>
                              <w:rPr>
                                <w:i/>
                                <w:color w:val="23B0E6"/>
                                <w:sz w:val="20"/>
                                <w:szCs w:val="20"/>
                              </w:rPr>
                            </w:pPr>
                            <w:r w:rsidRPr="00002D94">
                              <w:rPr>
                                <w:i/>
                                <w:color w:val="23B0E6"/>
                                <w:sz w:val="20"/>
                                <w:szCs w:val="20"/>
                              </w:rPr>
                              <w:t>Australia’s peak telecommunications consumer organisation</w:t>
                            </w:r>
                          </w:p>
                          <w:p w:rsidR="008D10A0" w:rsidRPr="00002D94" w:rsidRDefault="008D10A0" w:rsidP="007D3F16">
                            <w:pPr>
                              <w:spacing w:after="0" w:line="240" w:lineRule="auto"/>
                              <w:rPr>
                                <w:sz w:val="20"/>
                                <w:szCs w:val="20"/>
                              </w:rPr>
                            </w:pPr>
                            <w:r w:rsidRPr="00002D94">
                              <w:rPr>
                                <w:sz w:val="20"/>
                                <w:szCs w:val="20"/>
                              </w:rPr>
                              <w:t>Suite 4.02, 55 Mountain St, Ultimo NSW 2007</w:t>
                            </w:r>
                          </w:p>
                          <w:p w:rsidR="008D10A0" w:rsidRPr="00002D94" w:rsidRDefault="008D10A0" w:rsidP="007D3F16">
                            <w:pPr>
                              <w:spacing w:after="0" w:line="240" w:lineRule="auto"/>
                              <w:rPr>
                                <w:sz w:val="20"/>
                                <w:szCs w:val="20"/>
                              </w:rPr>
                            </w:pPr>
                            <w:r w:rsidRPr="00002D94">
                              <w:rPr>
                                <w:sz w:val="20"/>
                                <w:szCs w:val="20"/>
                              </w:rPr>
                              <w:t>Tel: (02) 9288 4000 | TTY: (02) 9281 5322 | Fax: (02) 9288 4019</w:t>
                            </w:r>
                          </w:p>
                          <w:p w:rsidR="008D10A0" w:rsidRPr="00002D94" w:rsidRDefault="008D10A0" w:rsidP="007D3F16">
                            <w:pPr>
                              <w:spacing w:after="0" w:line="240" w:lineRule="auto"/>
                              <w:rPr>
                                <w:color w:val="23B0E6"/>
                                <w:sz w:val="20"/>
                                <w:szCs w:val="20"/>
                              </w:rPr>
                            </w:pPr>
                            <w:r w:rsidRPr="00002D94">
                              <w:rPr>
                                <w:color w:val="23B0E6"/>
                                <w:sz w:val="20"/>
                                <w:szCs w:val="20"/>
                              </w:rPr>
                              <w:t>www.accan.org.au | info@accan.org.au | twitter: @ACCAN_AU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8.65pt;margin-top:-5.75pt;width:548.95pt;height:104.25pt;z-index:-251657216;mso-width-relative:margin;mso-height-relative:margin" coordorigin="-495,-263" coordsize="69716,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">
              <v:shapetype id="_x0000_t202" coordsize="21600,21600" o:spt="202" path="m,l,21600r21600,l21600,xe">
                <v:stroke joinstyle="miter"/>
                <v:path gradientshapeok="t" o:connecttype="rect"/>
              </v:shapetype>
              <v:shape id="Text Box 2" o:spid="_x0000_s1027" type="#_x0000_t202" style="position:absolute;left:-495;top:-263;width:69716;height:1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8D10A0" w:rsidRDefault="008D10A0" w:rsidP="001C28E7">
                      <w:pPr>
                        <w:spacing w:after="0" w:line="240" w:lineRule="auto"/>
                        <w:rPr>
                          <w:color w:val="23B0E6"/>
                          <w:sz w:val="20"/>
                          <w:szCs w:val="20"/>
                        </w:rPr>
                      </w:pPr>
                    </w:p>
                    <w:p w:rsidR="008D10A0" w:rsidRPr="00002D94" w:rsidRDefault="008D10A0" w:rsidP="001C28E7">
                      <w:pPr>
                        <w:spacing w:after="0" w:line="240" w:lineRule="auto"/>
                        <w:rPr>
                          <w:color w:val="23B0E6"/>
                          <w:sz w:val="20"/>
                          <w:szCs w:val="20"/>
                        </w:rPr>
                      </w:pPr>
                      <w:r w:rsidRPr="00002D94">
                        <w:rPr>
                          <w:color w:val="23B0E6"/>
                          <w:sz w:val="20"/>
                          <w:szCs w:val="20"/>
                        </w:rPr>
                        <w:t>Australian Communications Consumer Action Network (ACCAN)</w:t>
                      </w:r>
                    </w:p>
                    <w:p w:rsidR="008D10A0" w:rsidRPr="00002D94" w:rsidRDefault="008D10A0" w:rsidP="007D3F16">
                      <w:pPr>
                        <w:spacing w:after="0" w:line="240" w:lineRule="auto"/>
                        <w:rPr>
                          <w:i/>
                          <w:color w:val="23B0E6"/>
                          <w:sz w:val="20"/>
                          <w:szCs w:val="20"/>
                        </w:rPr>
                      </w:pPr>
                      <w:r w:rsidRPr="00002D94">
                        <w:rPr>
                          <w:i/>
                          <w:color w:val="23B0E6"/>
                          <w:sz w:val="20"/>
                          <w:szCs w:val="20"/>
                        </w:rPr>
                        <w:t>Australia’s peak telecommunications consumer organisation</w:t>
                      </w:r>
                    </w:p>
                    <w:p w:rsidR="008D10A0" w:rsidRPr="00002D94" w:rsidRDefault="008D10A0" w:rsidP="007D3F16">
                      <w:pPr>
                        <w:spacing w:after="0" w:line="240" w:lineRule="auto"/>
                        <w:rPr>
                          <w:sz w:val="20"/>
                          <w:szCs w:val="20"/>
                        </w:rPr>
                      </w:pPr>
                      <w:r w:rsidRPr="00002D94">
                        <w:rPr>
                          <w:sz w:val="20"/>
                          <w:szCs w:val="20"/>
                        </w:rPr>
                        <w:t>Suite 4.02, 55 Mountain St, Ultimo NSW 2007</w:t>
                      </w:r>
                    </w:p>
                    <w:p w:rsidR="008D10A0" w:rsidRPr="00002D94" w:rsidRDefault="008D10A0" w:rsidP="007D3F16">
                      <w:pPr>
                        <w:spacing w:after="0" w:line="240" w:lineRule="auto"/>
                        <w:rPr>
                          <w:sz w:val="20"/>
                          <w:szCs w:val="20"/>
                        </w:rPr>
                      </w:pPr>
                      <w:r w:rsidRPr="00002D94">
                        <w:rPr>
                          <w:sz w:val="20"/>
                          <w:szCs w:val="20"/>
                        </w:rPr>
                        <w:t>Tel: (02) 9288 4000 | TTY: (02) 9281 5322 | Fax: (02) 9288 4019</w:t>
                      </w:r>
                    </w:p>
                    <w:p w:rsidR="008D10A0" w:rsidRPr="00002D94" w:rsidRDefault="008D10A0" w:rsidP="007D3F16">
                      <w:pPr>
                        <w:spacing w:after="0" w:line="240" w:lineRule="auto"/>
                        <w:rPr>
                          <w:color w:val="23B0E6"/>
                          <w:sz w:val="20"/>
                          <w:szCs w:val="20"/>
                        </w:rPr>
                      </w:pPr>
                      <w:r w:rsidRPr="00002D94">
                        <w:rPr>
                          <w:color w:val="23B0E6"/>
                          <w:sz w:val="20"/>
                          <w:szCs w:val="20"/>
                        </w:rPr>
                        <w:t>www.accan.org.au | info@accan.org.au | twitter: @ACCAN_AU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A0" w:rsidRPr="00E05115" w:rsidRDefault="008D10A0" w:rsidP="00C4251E">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1C43E0">
      <w:rPr>
        <w:noProof/>
      </w:rPr>
      <w:t>5</w:t>
    </w:r>
    <w:r w:rsidRPr="00C4251E">
      <w:rPr>
        <w:noProof/>
      </w:rPr>
      <w:fldChar w:fldCharType="end"/>
    </w:r>
  </w:p>
  <w:p w:rsidR="008D10A0" w:rsidRDefault="008D1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270" w:rsidRDefault="002B0270" w:rsidP="005820C9">
      <w:pPr>
        <w:spacing w:after="0" w:line="240" w:lineRule="auto"/>
      </w:pPr>
      <w:r>
        <w:separator/>
      </w:r>
    </w:p>
  </w:footnote>
  <w:footnote w:type="continuationSeparator" w:id="0">
    <w:p w:rsidR="002B0270" w:rsidRDefault="002B0270" w:rsidP="005820C9">
      <w:pPr>
        <w:spacing w:after="0" w:line="240" w:lineRule="auto"/>
      </w:pPr>
      <w:r>
        <w:continuationSeparator/>
      </w:r>
    </w:p>
  </w:footnote>
  <w:footnote w:id="1">
    <w:p w:rsidR="001A4A29" w:rsidRPr="001A4A29" w:rsidRDefault="001A4A29">
      <w:pPr>
        <w:pStyle w:val="FootnoteText"/>
        <w:rPr>
          <w:lang w:val="en-AU"/>
        </w:rPr>
      </w:pPr>
      <w:r>
        <w:rPr>
          <w:rStyle w:val="FootnoteReference"/>
        </w:rPr>
        <w:footnoteRef/>
      </w:r>
      <w:r>
        <w:t xml:space="preserve"> </w:t>
      </w:r>
      <w:r>
        <w:rPr>
          <w:lang w:val="en-AU"/>
        </w:rPr>
        <w:t>Pg. 7</w:t>
      </w:r>
    </w:p>
  </w:footnote>
  <w:footnote w:id="2">
    <w:p w:rsidR="009B1905" w:rsidRPr="009B1905" w:rsidRDefault="009B1905">
      <w:pPr>
        <w:pStyle w:val="FootnoteText"/>
        <w:rPr>
          <w:lang w:val="en-AU"/>
        </w:rPr>
      </w:pPr>
      <w:r>
        <w:rPr>
          <w:rStyle w:val="FootnoteReference"/>
        </w:rPr>
        <w:footnoteRef/>
      </w:r>
      <w:r>
        <w:t xml:space="preserve"> </w:t>
      </w:r>
      <w:r>
        <w:rPr>
          <w:lang w:val="en-AU"/>
        </w:rPr>
        <w:t>Nbn Corporate Plan 2017 estimates that 2.1 m premises will activate in 2017-2018, 2.5m premises in 2018-2019 and 1.2m in 2019-2020.</w:t>
      </w:r>
    </w:p>
  </w:footnote>
  <w:footnote w:id="3">
    <w:p w:rsidR="003251B3" w:rsidRPr="001A4A29" w:rsidRDefault="003251B3" w:rsidP="003251B3">
      <w:pPr>
        <w:pStyle w:val="FootnoteText"/>
        <w:rPr>
          <w:lang w:val="en-AU"/>
        </w:rPr>
      </w:pPr>
      <w:r>
        <w:rPr>
          <w:rStyle w:val="FootnoteReference"/>
        </w:rPr>
        <w:footnoteRef/>
      </w:r>
      <w:r>
        <w:t xml:space="preserve"> </w:t>
      </w:r>
      <w:r>
        <w:rPr>
          <w:lang w:val="en-AU"/>
        </w:rPr>
        <w:t>Pg.9</w:t>
      </w:r>
    </w:p>
  </w:footnote>
  <w:footnote w:id="4">
    <w:p w:rsidR="00AD4257" w:rsidRPr="00AD4257" w:rsidRDefault="00AD4257">
      <w:pPr>
        <w:pStyle w:val="FootnoteText"/>
        <w:rPr>
          <w:lang w:val="en-AU"/>
        </w:rPr>
      </w:pPr>
      <w:r>
        <w:rPr>
          <w:rStyle w:val="FootnoteReference"/>
        </w:rPr>
        <w:footnoteRef/>
      </w:r>
      <w:r>
        <w:t xml:space="preserve"> Pg. 15</w:t>
      </w:r>
    </w:p>
  </w:footnote>
  <w:footnote w:id="5">
    <w:p w:rsidR="008A2744" w:rsidRPr="002F0DE2" w:rsidRDefault="008A2744">
      <w:pPr>
        <w:pStyle w:val="FootnoteText"/>
        <w:rPr>
          <w:i/>
          <w:iCs/>
          <w:lang w:val="en-IE"/>
        </w:rPr>
      </w:pPr>
      <w:r>
        <w:rPr>
          <w:rStyle w:val="FootnoteReference"/>
        </w:rPr>
        <w:footnoteRef/>
      </w:r>
      <w:r>
        <w:t xml:space="preserve"> </w:t>
      </w:r>
      <w:r w:rsidRPr="008A2744">
        <w:rPr>
          <w:b/>
          <w:bCs/>
          <w:i/>
          <w:iCs/>
          <w:lang w:val="en-IE"/>
        </w:rPr>
        <w:t xml:space="preserve">Voice-only migration </w:t>
      </w:r>
      <w:r w:rsidRPr="008A2744">
        <w:rPr>
          <w:i/>
          <w:iCs/>
          <w:lang w:val="en-IE"/>
        </w:rPr>
        <w:t>– This estimate of $15 million per annum is based on analysis of the number of voice-only customers likely to require migration assistance and the costs to provide this migration assistance (i.e. targeted customer assistance and funding to undertake basic rewiring tasks). Funding of these activities is only required until the end of the NBN rollout.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A0" w:rsidRDefault="008D10A0" w:rsidP="00DD7C1C">
    <w:pPr>
      <w:pStyle w:val="Header"/>
      <w:tabs>
        <w:tab w:val="clear" w:pos="4513"/>
        <w:tab w:val="clear" w:pos="9026"/>
      </w:tabs>
      <w:ind w:right="-1"/>
      <w:jc w:val="right"/>
    </w:pPr>
    <w:r>
      <w:rPr>
        <w:noProof/>
        <w:lang w:val="en-IE" w:eastAsia="en-IE"/>
      </w:rPr>
      <w:drawing>
        <wp:anchor distT="0" distB="0" distL="114300" distR="114300" simplePos="0" relativeHeight="251660288" behindDoc="1" locked="0" layoutInCell="1" allowOverlap="1" wp14:anchorId="67D729EE" wp14:editId="447086F9">
          <wp:simplePos x="0" y="0"/>
          <wp:positionH relativeFrom="column">
            <wp:posOffset>4785812</wp:posOffset>
          </wp:positionH>
          <wp:positionV relativeFrom="paragraph">
            <wp:posOffset>117807</wp:posOffset>
          </wp:positionV>
          <wp:extent cx="1630800" cy="756000"/>
          <wp:effectExtent l="0" t="0" r="762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A0" w:rsidRDefault="008D10A0" w:rsidP="005820C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1233D"/>
    <w:multiLevelType w:val="hybridMultilevel"/>
    <w:tmpl w:val="24ECC2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6C"/>
    <w:rsid w:val="00002D94"/>
    <w:rsid w:val="0002022C"/>
    <w:rsid w:val="00027253"/>
    <w:rsid w:val="00067065"/>
    <w:rsid w:val="00073EFF"/>
    <w:rsid w:val="00083A6B"/>
    <w:rsid w:val="00084A5B"/>
    <w:rsid w:val="00093249"/>
    <w:rsid w:val="00094269"/>
    <w:rsid w:val="0010025A"/>
    <w:rsid w:val="001356B4"/>
    <w:rsid w:val="00156DFA"/>
    <w:rsid w:val="001627E8"/>
    <w:rsid w:val="00165C36"/>
    <w:rsid w:val="00171E2E"/>
    <w:rsid w:val="00173EBF"/>
    <w:rsid w:val="001A4A29"/>
    <w:rsid w:val="001B00BC"/>
    <w:rsid w:val="001B53F9"/>
    <w:rsid w:val="001C28E7"/>
    <w:rsid w:val="001C43E0"/>
    <w:rsid w:val="00204471"/>
    <w:rsid w:val="00221D2B"/>
    <w:rsid w:val="00225BCF"/>
    <w:rsid w:val="00234042"/>
    <w:rsid w:val="002523E7"/>
    <w:rsid w:val="00266183"/>
    <w:rsid w:val="002A4C88"/>
    <w:rsid w:val="002B0270"/>
    <w:rsid w:val="002B0D08"/>
    <w:rsid w:val="002D4995"/>
    <w:rsid w:val="002F0DE2"/>
    <w:rsid w:val="003144A7"/>
    <w:rsid w:val="003251B3"/>
    <w:rsid w:val="00327B90"/>
    <w:rsid w:val="003316F5"/>
    <w:rsid w:val="00360617"/>
    <w:rsid w:val="00380D53"/>
    <w:rsid w:val="003A0633"/>
    <w:rsid w:val="003A2051"/>
    <w:rsid w:val="003B148F"/>
    <w:rsid w:val="003B1499"/>
    <w:rsid w:val="003E23F1"/>
    <w:rsid w:val="003E6503"/>
    <w:rsid w:val="003F3F18"/>
    <w:rsid w:val="00417D0E"/>
    <w:rsid w:val="0042593B"/>
    <w:rsid w:val="00426616"/>
    <w:rsid w:val="00431F48"/>
    <w:rsid w:val="00432F8C"/>
    <w:rsid w:val="00451B98"/>
    <w:rsid w:val="00452E30"/>
    <w:rsid w:val="004552EA"/>
    <w:rsid w:val="00472C7E"/>
    <w:rsid w:val="004850E4"/>
    <w:rsid w:val="00492444"/>
    <w:rsid w:val="004A01EB"/>
    <w:rsid w:val="004B372F"/>
    <w:rsid w:val="004B5F63"/>
    <w:rsid w:val="004C3886"/>
    <w:rsid w:val="004D2C73"/>
    <w:rsid w:val="004E59C2"/>
    <w:rsid w:val="00500F2D"/>
    <w:rsid w:val="00523BF9"/>
    <w:rsid w:val="005332DA"/>
    <w:rsid w:val="005533B5"/>
    <w:rsid w:val="005616FC"/>
    <w:rsid w:val="005820C9"/>
    <w:rsid w:val="005A673E"/>
    <w:rsid w:val="00604DD0"/>
    <w:rsid w:val="006713DD"/>
    <w:rsid w:val="00675B78"/>
    <w:rsid w:val="006B11D8"/>
    <w:rsid w:val="006C0779"/>
    <w:rsid w:val="0071347F"/>
    <w:rsid w:val="00720B19"/>
    <w:rsid w:val="00725796"/>
    <w:rsid w:val="007506AE"/>
    <w:rsid w:val="0079222E"/>
    <w:rsid w:val="007A3E1A"/>
    <w:rsid w:val="007D3F16"/>
    <w:rsid w:val="007E5C2B"/>
    <w:rsid w:val="008022E4"/>
    <w:rsid w:val="00822EC5"/>
    <w:rsid w:val="00850A0A"/>
    <w:rsid w:val="00864DC5"/>
    <w:rsid w:val="00874727"/>
    <w:rsid w:val="0089794F"/>
    <w:rsid w:val="008A17CB"/>
    <w:rsid w:val="008A19E7"/>
    <w:rsid w:val="008A2744"/>
    <w:rsid w:val="008D10A0"/>
    <w:rsid w:val="008E0334"/>
    <w:rsid w:val="008F7E90"/>
    <w:rsid w:val="009534CB"/>
    <w:rsid w:val="009536EC"/>
    <w:rsid w:val="00957D65"/>
    <w:rsid w:val="009A227B"/>
    <w:rsid w:val="009B1905"/>
    <w:rsid w:val="00A06801"/>
    <w:rsid w:val="00A260A6"/>
    <w:rsid w:val="00A34EC6"/>
    <w:rsid w:val="00A4447D"/>
    <w:rsid w:val="00AA394D"/>
    <w:rsid w:val="00AA686C"/>
    <w:rsid w:val="00AD2353"/>
    <w:rsid w:val="00AD4257"/>
    <w:rsid w:val="00AE2840"/>
    <w:rsid w:val="00AE6A6C"/>
    <w:rsid w:val="00B26A29"/>
    <w:rsid w:val="00B4140A"/>
    <w:rsid w:val="00B418A0"/>
    <w:rsid w:val="00B51FC1"/>
    <w:rsid w:val="00B61BF2"/>
    <w:rsid w:val="00B63DEB"/>
    <w:rsid w:val="00B7084E"/>
    <w:rsid w:val="00B82925"/>
    <w:rsid w:val="00B83708"/>
    <w:rsid w:val="00B87233"/>
    <w:rsid w:val="00B94449"/>
    <w:rsid w:val="00B96502"/>
    <w:rsid w:val="00BA0FC8"/>
    <w:rsid w:val="00BA506D"/>
    <w:rsid w:val="00BA5968"/>
    <w:rsid w:val="00BD749D"/>
    <w:rsid w:val="00BF5D08"/>
    <w:rsid w:val="00C32DD1"/>
    <w:rsid w:val="00C4251E"/>
    <w:rsid w:val="00C522F3"/>
    <w:rsid w:val="00C613FC"/>
    <w:rsid w:val="00C6657E"/>
    <w:rsid w:val="00C76C2A"/>
    <w:rsid w:val="00C946CC"/>
    <w:rsid w:val="00C969CB"/>
    <w:rsid w:val="00CA50D5"/>
    <w:rsid w:val="00CB3902"/>
    <w:rsid w:val="00CF34ED"/>
    <w:rsid w:val="00CF3B0A"/>
    <w:rsid w:val="00CF5B31"/>
    <w:rsid w:val="00D13570"/>
    <w:rsid w:val="00D3636E"/>
    <w:rsid w:val="00D46DB2"/>
    <w:rsid w:val="00D60C48"/>
    <w:rsid w:val="00D66D95"/>
    <w:rsid w:val="00D82F07"/>
    <w:rsid w:val="00D85BF5"/>
    <w:rsid w:val="00DD1B6E"/>
    <w:rsid w:val="00DD3002"/>
    <w:rsid w:val="00DD741A"/>
    <w:rsid w:val="00DD7C1C"/>
    <w:rsid w:val="00DF1199"/>
    <w:rsid w:val="00E05115"/>
    <w:rsid w:val="00E42BC6"/>
    <w:rsid w:val="00E54047"/>
    <w:rsid w:val="00E57F52"/>
    <w:rsid w:val="00E71265"/>
    <w:rsid w:val="00E71CE3"/>
    <w:rsid w:val="00E81ECD"/>
    <w:rsid w:val="00EE47DA"/>
    <w:rsid w:val="00EF38A8"/>
    <w:rsid w:val="00F05386"/>
    <w:rsid w:val="00F0610B"/>
    <w:rsid w:val="00F253A0"/>
    <w:rsid w:val="00F26FC5"/>
    <w:rsid w:val="00F47C64"/>
    <w:rsid w:val="00F61950"/>
    <w:rsid w:val="00F64B03"/>
    <w:rsid w:val="00F71DE5"/>
    <w:rsid w:val="00F72187"/>
    <w:rsid w:val="00F76853"/>
    <w:rsid w:val="00F860D4"/>
    <w:rsid w:val="00FA4F50"/>
    <w:rsid w:val="00FD2DD0"/>
    <w:rsid w:val="00FF0F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B4140A"/>
    <w:pPr>
      <w:spacing w:after="200" w:line="276" w:lineRule="auto"/>
    </w:pPr>
    <w:rPr>
      <w:rFonts w:eastAsiaTheme="minorEastAsia"/>
      <w:lang w:eastAsia="en-AU"/>
    </w:rPr>
  </w:style>
  <w:style w:type="paragraph" w:styleId="Heading1">
    <w:name w:val="heading 1"/>
    <w:basedOn w:val="Normal"/>
    <w:next w:val="Normal"/>
    <w:link w:val="Heading1Char"/>
    <w:uiPriority w:val="9"/>
    <w:rsid w:val="009536EC"/>
    <w:pPr>
      <w:keepNext/>
      <w:keepLines/>
      <w:spacing w:before="480" w:after="0" w:line="240" w:lineRule="auto"/>
      <w:outlineLvl w:val="0"/>
    </w:pPr>
    <w:rPr>
      <w:rFonts w:eastAsiaTheme="majorEastAsia" w:cstheme="majorBidi"/>
      <w:b/>
      <w:bCs/>
      <w:caps/>
      <w:sz w:val="2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6EC"/>
    <w:rPr>
      <w:rFonts w:eastAsiaTheme="majorEastAsia" w:cstheme="majorBidi"/>
      <w:b/>
      <w:bCs/>
      <w:caps/>
      <w:sz w:val="2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084A5B"/>
    <w:rPr>
      <w:rFonts w:ascii="Arial" w:eastAsia="Calibri" w:hAnsi="Arial" w:cs="Arial"/>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B4140A"/>
    <w:pPr>
      <w:spacing w:after="200" w:line="276" w:lineRule="auto"/>
    </w:pPr>
    <w:rPr>
      <w:rFonts w:eastAsiaTheme="minorEastAsia"/>
      <w:lang w:eastAsia="en-AU"/>
    </w:rPr>
  </w:style>
  <w:style w:type="paragraph" w:styleId="Heading1">
    <w:name w:val="heading 1"/>
    <w:basedOn w:val="Normal"/>
    <w:next w:val="Normal"/>
    <w:link w:val="Heading1Char"/>
    <w:uiPriority w:val="9"/>
    <w:rsid w:val="009536EC"/>
    <w:pPr>
      <w:keepNext/>
      <w:keepLines/>
      <w:spacing w:before="480" w:after="0" w:line="240" w:lineRule="auto"/>
      <w:outlineLvl w:val="0"/>
    </w:pPr>
    <w:rPr>
      <w:rFonts w:eastAsiaTheme="majorEastAsia" w:cstheme="majorBidi"/>
      <w:b/>
      <w:bCs/>
      <w:caps/>
      <w:sz w:val="2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6EC"/>
    <w:rPr>
      <w:rFonts w:eastAsiaTheme="majorEastAsia" w:cstheme="majorBidi"/>
      <w:b/>
      <w:bCs/>
      <w:caps/>
      <w:sz w:val="2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084A5B"/>
    <w:rPr>
      <w:rFonts w:ascii="Arial" w:eastAsia="Calibr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7855">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201399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gration@communications.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4%20-%20sans%20advocacy\Short%20submission%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91394-7D37-4CD6-B23D-E613B916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2014</Template>
  <TotalTime>0</TotalTime>
  <Pages>5</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Thomas</dc:creator>
  <cp:lastModifiedBy>Rachel Thomas</cp:lastModifiedBy>
  <cp:revision>3</cp:revision>
  <cp:lastPrinted>2017-07-31T05:04:00Z</cp:lastPrinted>
  <dcterms:created xsi:type="dcterms:W3CDTF">2017-07-31T05:04:00Z</dcterms:created>
  <dcterms:modified xsi:type="dcterms:W3CDTF">2017-07-31T05:04:00Z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