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C9" w:rsidRDefault="005820C9" w:rsidP="007D3F16">
      <w:pPr>
        <w:spacing w:after="0"/>
        <w:sectPr w:rsidR="005820C9" w:rsidSect="00002D94">
          <w:headerReference w:type="default" r:id="rId9"/>
          <w:footerReference w:type="default" r:id="rId10"/>
          <w:type w:val="continuous"/>
          <w:pgSz w:w="11906" w:h="16838" w:code="9"/>
          <w:pgMar w:top="1824" w:right="707" w:bottom="567" w:left="1134" w:header="567" w:footer="1474" w:gutter="0"/>
          <w:cols w:space="708"/>
          <w:docGrid w:linePitch="360"/>
        </w:sectPr>
      </w:pPr>
    </w:p>
    <w:p w:rsidR="00DD1B6E" w:rsidRDefault="00CC4238" w:rsidP="00DD1B6E">
      <w:pPr>
        <w:spacing w:after="0"/>
        <w:rPr>
          <w:sz w:val="23"/>
          <w:szCs w:val="23"/>
        </w:rPr>
      </w:pPr>
      <w:r>
        <w:rPr>
          <w:sz w:val="23"/>
          <w:szCs w:val="23"/>
        </w:rPr>
        <w:lastRenderedPageBreak/>
        <w:t>2</w:t>
      </w:r>
      <w:r w:rsidR="006C0F03">
        <w:rPr>
          <w:sz w:val="23"/>
          <w:szCs w:val="23"/>
        </w:rPr>
        <w:t>7 July 2017</w:t>
      </w:r>
    </w:p>
    <w:p w:rsidR="00DD1B6E" w:rsidRDefault="00DD1B6E" w:rsidP="00DD1B6E">
      <w:pPr>
        <w:spacing w:after="0"/>
        <w:rPr>
          <w:sz w:val="23"/>
          <w:szCs w:val="23"/>
        </w:rPr>
      </w:pPr>
    </w:p>
    <w:p w:rsidR="000B0630" w:rsidRDefault="000B0630" w:rsidP="00CC4238">
      <w:pPr>
        <w:pStyle w:val="BodyText1"/>
        <w:spacing w:after="0"/>
        <w:rPr>
          <w:rFonts w:asciiTheme="minorHAnsi" w:eastAsiaTheme="minorEastAsia" w:hAnsiTheme="minorHAnsi" w:cstheme="minorHAnsi"/>
          <w:color w:val="auto"/>
          <w:lang w:eastAsia="en-AU"/>
        </w:rPr>
      </w:pPr>
      <w:r>
        <w:rPr>
          <w:rFonts w:asciiTheme="minorHAnsi" w:eastAsiaTheme="minorEastAsia" w:hAnsiTheme="minorHAnsi" w:cstheme="minorHAnsi"/>
          <w:color w:val="auto"/>
          <w:lang w:eastAsia="en-AU"/>
        </w:rPr>
        <w:t>Craig Purdon</w:t>
      </w:r>
    </w:p>
    <w:p w:rsidR="000B0630" w:rsidRPr="001641B0" w:rsidRDefault="000B0630" w:rsidP="000B0630">
      <w:pPr>
        <w:pStyle w:val="BodyText1"/>
        <w:rPr>
          <w:rFonts w:asciiTheme="minorHAnsi" w:eastAsiaTheme="minorEastAsia" w:hAnsiTheme="minorHAnsi" w:cstheme="minorHAnsi"/>
          <w:color w:val="auto"/>
          <w:lang w:eastAsia="en-AU"/>
        </w:rPr>
      </w:pPr>
      <w:r>
        <w:rPr>
          <w:rFonts w:asciiTheme="minorHAnsi" w:eastAsiaTheme="minorEastAsia" w:hAnsiTheme="minorHAnsi" w:cstheme="minorHAnsi"/>
          <w:color w:val="auto"/>
          <w:lang w:eastAsia="en-AU"/>
        </w:rPr>
        <w:t>Project Manager</w:t>
      </w:r>
    </w:p>
    <w:p w:rsidR="000B0630" w:rsidRDefault="000B0630" w:rsidP="000B0630">
      <w:pPr>
        <w:spacing w:after="0"/>
        <w:rPr>
          <w:sz w:val="23"/>
          <w:szCs w:val="23"/>
        </w:rPr>
      </w:pPr>
      <w:r>
        <w:rPr>
          <w:sz w:val="23"/>
          <w:szCs w:val="23"/>
        </w:rPr>
        <w:t>Communications Alliance</w:t>
      </w:r>
    </w:p>
    <w:p w:rsidR="000B0630" w:rsidRDefault="000B0630" w:rsidP="000B0630">
      <w:pPr>
        <w:spacing w:after="0"/>
        <w:rPr>
          <w:sz w:val="23"/>
          <w:szCs w:val="23"/>
        </w:rPr>
      </w:pPr>
      <w:r>
        <w:rPr>
          <w:sz w:val="23"/>
          <w:szCs w:val="23"/>
        </w:rPr>
        <w:t>75 Miller Street</w:t>
      </w:r>
    </w:p>
    <w:p w:rsidR="000B0630" w:rsidRDefault="000B0630" w:rsidP="000B0630">
      <w:pPr>
        <w:spacing w:after="0"/>
        <w:rPr>
          <w:sz w:val="23"/>
          <w:szCs w:val="23"/>
        </w:rPr>
      </w:pPr>
      <w:r>
        <w:rPr>
          <w:sz w:val="23"/>
          <w:szCs w:val="23"/>
        </w:rPr>
        <w:t>North Sydney NSW 2060</w:t>
      </w:r>
    </w:p>
    <w:p w:rsidR="000B0630" w:rsidRDefault="000B0630" w:rsidP="000B0630">
      <w:pPr>
        <w:spacing w:after="0"/>
        <w:rPr>
          <w:sz w:val="23"/>
          <w:szCs w:val="23"/>
        </w:rPr>
      </w:pPr>
    </w:p>
    <w:p w:rsidR="00DD1B6E" w:rsidRDefault="00C004A2" w:rsidP="00DD1B6E">
      <w:pPr>
        <w:spacing w:after="0"/>
        <w:rPr>
          <w:sz w:val="23"/>
          <w:szCs w:val="23"/>
        </w:rPr>
      </w:pPr>
      <w:hyperlink r:id="rId11" w:history="1">
        <w:r w:rsidR="000B0630" w:rsidRPr="00C21BBE">
          <w:rPr>
            <w:rStyle w:val="Hyperlink"/>
            <w:sz w:val="23"/>
            <w:szCs w:val="23"/>
          </w:rPr>
          <w:t>c.purdon@commsalliance.com.au</w:t>
        </w:r>
      </w:hyperlink>
      <w:r w:rsidR="000B0630">
        <w:rPr>
          <w:sz w:val="23"/>
          <w:szCs w:val="23"/>
        </w:rPr>
        <w:t xml:space="preserve"> </w:t>
      </w:r>
    </w:p>
    <w:p w:rsidR="00F62758" w:rsidRDefault="00F62758" w:rsidP="00DD1B6E">
      <w:pPr>
        <w:spacing w:after="0"/>
        <w:rPr>
          <w:rFonts w:cstheme="minorHAnsi"/>
        </w:rPr>
      </w:pPr>
    </w:p>
    <w:p w:rsidR="00A63AF9" w:rsidRPr="00F62758" w:rsidRDefault="00A63AF9" w:rsidP="001F5161">
      <w:pPr>
        <w:spacing w:before="240" w:after="120"/>
        <w:rPr>
          <w:rFonts w:ascii="Calibri" w:eastAsiaTheme="majorEastAsia" w:hAnsi="Calibri" w:cstheme="majorBidi"/>
          <w:b/>
          <w:bCs/>
          <w:color w:val="4F81BD" w:themeColor="accent1"/>
          <w:sz w:val="26"/>
          <w:szCs w:val="26"/>
          <w:lang w:val="en-GB"/>
        </w:rPr>
      </w:pPr>
      <w:r w:rsidRPr="00F62758">
        <w:rPr>
          <w:rFonts w:ascii="Calibri" w:eastAsiaTheme="majorEastAsia" w:hAnsi="Calibri" w:cstheme="majorBidi"/>
          <w:b/>
          <w:bCs/>
          <w:color w:val="4F81BD" w:themeColor="accent1"/>
          <w:sz w:val="26"/>
          <w:szCs w:val="26"/>
          <w:lang w:val="en-GB"/>
        </w:rPr>
        <w:t>Introduction</w:t>
      </w:r>
    </w:p>
    <w:p w:rsidR="00F50978" w:rsidRDefault="00A63AF9" w:rsidP="001F5161">
      <w:pPr>
        <w:spacing w:before="240" w:after="120"/>
        <w:rPr>
          <w:rFonts w:ascii="Calibri" w:hAnsi="Calibri"/>
        </w:rPr>
      </w:pPr>
      <w:r w:rsidRPr="009A38FF">
        <w:rPr>
          <w:rFonts w:ascii="Calibri" w:hAnsi="Calibri"/>
        </w:rPr>
        <w:t xml:space="preserve">ACCAN thanks the Communications Alliance for the opportunity to </w:t>
      </w:r>
      <w:r>
        <w:rPr>
          <w:rFonts w:ascii="Calibri" w:hAnsi="Calibri"/>
        </w:rPr>
        <w:t xml:space="preserve">contribute to its </w:t>
      </w:r>
      <w:r w:rsidR="009F4487">
        <w:rPr>
          <w:rFonts w:ascii="Calibri" w:hAnsi="Calibri"/>
        </w:rPr>
        <w:t xml:space="preserve">2017 review of the </w:t>
      </w:r>
      <w:r w:rsidRPr="00C93EF7">
        <w:rPr>
          <w:rFonts w:ascii="Calibri" w:hAnsi="Calibri"/>
          <w:i/>
        </w:rPr>
        <w:t>Mobile Premium Services Code</w:t>
      </w:r>
      <w:r w:rsidR="006C0F03">
        <w:rPr>
          <w:rFonts w:ascii="Century Gothic" w:hAnsi="Century Gothic"/>
          <w:color w:val="000000"/>
          <w:shd w:val="clear" w:color="auto" w:fill="FFFFFF"/>
        </w:rPr>
        <w:t xml:space="preserve"> </w:t>
      </w:r>
      <w:r w:rsidR="008A457E" w:rsidRPr="008A457E">
        <w:rPr>
          <w:rFonts w:ascii="Calibri" w:hAnsi="Calibri"/>
          <w:i/>
        </w:rPr>
        <w:t xml:space="preserve">(C637:2011 Incorporating Variation No.1 – 2014) </w:t>
      </w:r>
      <w:r w:rsidR="008A457E" w:rsidRPr="008A457E">
        <w:rPr>
          <w:rFonts w:ascii="Calibri" w:hAnsi="Calibri"/>
        </w:rPr>
        <w:t>(‘the Code’).</w:t>
      </w:r>
      <w:r w:rsidR="008A457E">
        <w:rPr>
          <w:rFonts w:ascii="Century Gothic" w:hAnsi="Century Gothic"/>
          <w:color w:val="000000"/>
          <w:shd w:val="clear" w:color="auto" w:fill="FFFFFF"/>
        </w:rPr>
        <w:t xml:space="preserve"> </w:t>
      </w:r>
      <w:r w:rsidR="00EB341B" w:rsidRPr="00EB341B">
        <w:rPr>
          <w:rFonts w:ascii="Calibri" w:hAnsi="Calibri"/>
        </w:rPr>
        <w:t xml:space="preserve">ACCAN believes most of the suggested amendments are useful updates which help clarify consumer protection </w:t>
      </w:r>
      <w:r w:rsidR="00BE5B71">
        <w:rPr>
          <w:rFonts w:ascii="Calibri" w:hAnsi="Calibri"/>
        </w:rPr>
        <w:t xml:space="preserve">and privacy </w:t>
      </w:r>
      <w:r w:rsidR="00EB341B" w:rsidRPr="00EB341B">
        <w:rPr>
          <w:rFonts w:ascii="Calibri" w:hAnsi="Calibri"/>
        </w:rPr>
        <w:t>obliga</w:t>
      </w:r>
      <w:r w:rsidR="00F50978">
        <w:rPr>
          <w:rFonts w:ascii="Calibri" w:hAnsi="Calibri"/>
        </w:rPr>
        <w:t>tions.</w:t>
      </w:r>
    </w:p>
    <w:p w:rsidR="00F50978" w:rsidRPr="0004158D" w:rsidRDefault="0004158D" w:rsidP="0004158D">
      <w:pPr>
        <w:spacing w:before="240" w:after="120"/>
        <w:rPr>
          <w:rFonts w:ascii="Calibri" w:hAnsi="Calibri"/>
        </w:rPr>
      </w:pPr>
      <w:r>
        <w:rPr>
          <w:rFonts w:ascii="Calibri" w:hAnsi="Calibri"/>
        </w:rPr>
        <w:t>In particular, ACCAN welcomes t</w:t>
      </w:r>
      <w:r w:rsidR="008A457E" w:rsidRPr="0004158D">
        <w:rPr>
          <w:rFonts w:ascii="Calibri" w:hAnsi="Calibri"/>
        </w:rPr>
        <w:t>he inclusion of the option for End Carriage Suppliers to resolve complaints relating to Mobile Premium Service</w:t>
      </w:r>
      <w:r w:rsidR="00F50978" w:rsidRPr="0004158D">
        <w:rPr>
          <w:rFonts w:ascii="Calibri" w:hAnsi="Calibri"/>
        </w:rPr>
        <w:t xml:space="preserve">s </w:t>
      </w:r>
      <w:r w:rsidR="00AF3C34">
        <w:rPr>
          <w:rFonts w:ascii="Calibri" w:hAnsi="Calibri"/>
        </w:rPr>
        <w:t xml:space="preserve">(MPS) </w:t>
      </w:r>
      <w:r w:rsidR="00F50978" w:rsidRPr="0004158D">
        <w:rPr>
          <w:rFonts w:ascii="Calibri" w:hAnsi="Calibri"/>
        </w:rPr>
        <w:t>directly with the customer</w:t>
      </w:r>
      <w:r w:rsidR="006F0CBD">
        <w:rPr>
          <w:rFonts w:ascii="Calibri" w:hAnsi="Calibri"/>
        </w:rPr>
        <w:t xml:space="preserve">. </w:t>
      </w:r>
      <w:r w:rsidR="009C65FC">
        <w:rPr>
          <w:rFonts w:ascii="Calibri" w:hAnsi="Calibri"/>
        </w:rPr>
        <w:t>A recent ACCAN survey</w:t>
      </w:r>
      <w:r w:rsidR="009C65FC">
        <w:rPr>
          <w:rStyle w:val="FootnoteReference"/>
          <w:rFonts w:ascii="Calibri" w:hAnsi="Calibri"/>
        </w:rPr>
        <w:footnoteReference w:id="1"/>
      </w:r>
      <w:r w:rsidR="009C65FC">
        <w:rPr>
          <w:rFonts w:ascii="Calibri" w:hAnsi="Calibri"/>
        </w:rPr>
        <w:t xml:space="preserve"> shows consumer support for this initiative, with consumers having a strong preference to contact their m</w:t>
      </w:r>
      <w:r w:rsidR="006A476A">
        <w:rPr>
          <w:rFonts w:ascii="Calibri" w:hAnsi="Calibri"/>
        </w:rPr>
        <w:t>obile provider first to dispute</w:t>
      </w:r>
      <w:r w:rsidR="009C65FC">
        <w:rPr>
          <w:rFonts w:ascii="Calibri" w:hAnsi="Calibri"/>
        </w:rPr>
        <w:t xml:space="preserve"> third party charges. We also welcome t</w:t>
      </w:r>
      <w:r w:rsidR="008A457E" w:rsidRPr="0004158D">
        <w:rPr>
          <w:rFonts w:ascii="Calibri" w:hAnsi="Calibri"/>
        </w:rPr>
        <w:t>he addition of the term ‘Personal Information’</w:t>
      </w:r>
      <w:r w:rsidR="00F50978" w:rsidRPr="0004158D">
        <w:rPr>
          <w:rFonts w:ascii="Calibri" w:hAnsi="Calibri"/>
        </w:rPr>
        <w:t xml:space="preserve"> to align with the Privacy Act</w:t>
      </w:r>
      <w:r w:rsidR="00290F66">
        <w:rPr>
          <w:rFonts w:ascii="Calibri" w:hAnsi="Calibri"/>
        </w:rPr>
        <w:t>,</w:t>
      </w:r>
      <w:r w:rsidR="00F50978" w:rsidRPr="0004158D">
        <w:rPr>
          <w:rFonts w:ascii="Calibri" w:hAnsi="Calibri"/>
        </w:rPr>
        <w:t xml:space="preserve"> </w:t>
      </w:r>
      <w:r w:rsidR="008A457E" w:rsidRPr="0004158D">
        <w:rPr>
          <w:rFonts w:ascii="Calibri" w:hAnsi="Calibri"/>
        </w:rPr>
        <w:t xml:space="preserve">and </w:t>
      </w:r>
      <w:r>
        <w:rPr>
          <w:rFonts w:ascii="Calibri" w:hAnsi="Calibri"/>
        </w:rPr>
        <w:t>t</w:t>
      </w:r>
      <w:r w:rsidR="00F50978" w:rsidRPr="0004158D">
        <w:rPr>
          <w:rFonts w:ascii="Calibri" w:hAnsi="Calibri"/>
        </w:rPr>
        <w:t xml:space="preserve">he introduction of clause </w:t>
      </w:r>
      <w:r w:rsidRPr="0004158D">
        <w:rPr>
          <w:rFonts w:ascii="Calibri" w:hAnsi="Calibri"/>
        </w:rPr>
        <w:t>1.9</w:t>
      </w:r>
      <w:r w:rsidR="00F50978" w:rsidRPr="0004158D">
        <w:rPr>
          <w:rFonts w:ascii="Calibri" w:hAnsi="Calibri"/>
        </w:rPr>
        <w:t xml:space="preserve"> </w:t>
      </w:r>
      <w:r w:rsidRPr="0004158D">
        <w:rPr>
          <w:rFonts w:ascii="Calibri" w:hAnsi="Calibri"/>
        </w:rPr>
        <w:t xml:space="preserve">concerning the protection of Personal Information by End Carriage Suppliers in circumstances where they are not required to comply with the </w:t>
      </w:r>
      <w:r w:rsidRPr="0004158D">
        <w:rPr>
          <w:rFonts w:ascii="Calibri" w:hAnsi="Calibri"/>
          <w:i/>
        </w:rPr>
        <w:t>Australian Privacy Principles</w:t>
      </w:r>
      <w:r w:rsidRPr="0004158D">
        <w:rPr>
          <w:rFonts w:ascii="Calibri" w:hAnsi="Calibri"/>
        </w:rPr>
        <w:t>.</w:t>
      </w:r>
    </w:p>
    <w:p w:rsidR="008A457E" w:rsidRDefault="00EB341B" w:rsidP="008A457E">
      <w:pPr>
        <w:spacing w:before="240" w:after="120"/>
        <w:rPr>
          <w:rFonts w:ascii="Calibri" w:hAnsi="Calibri"/>
        </w:rPr>
      </w:pPr>
      <w:r>
        <w:rPr>
          <w:rFonts w:ascii="Calibri" w:hAnsi="Calibri"/>
        </w:rPr>
        <w:t>However,</w:t>
      </w:r>
      <w:r w:rsidR="008A457E">
        <w:rPr>
          <w:rFonts w:ascii="Calibri" w:hAnsi="Calibri"/>
        </w:rPr>
        <w:t xml:space="preserve"> ACCAN remains concerned</w:t>
      </w:r>
      <w:r>
        <w:rPr>
          <w:rFonts w:ascii="Calibri" w:hAnsi="Calibri"/>
        </w:rPr>
        <w:t xml:space="preserve"> that the </w:t>
      </w:r>
      <w:r w:rsidR="006F04CE" w:rsidRPr="006F04CE">
        <w:rPr>
          <w:rFonts w:ascii="Calibri" w:hAnsi="Calibri"/>
        </w:rPr>
        <w:t>Code</w:t>
      </w:r>
      <w:r w:rsidRPr="006F04CE">
        <w:rPr>
          <w:rFonts w:ascii="Calibri" w:hAnsi="Calibri"/>
        </w:rPr>
        <w:t xml:space="preserve"> a</w:t>
      </w:r>
      <w:r>
        <w:rPr>
          <w:rFonts w:ascii="Calibri" w:hAnsi="Calibri"/>
        </w:rPr>
        <w:t xml:space="preserve">nd double opt-in </w:t>
      </w:r>
      <w:r w:rsidR="0004158D">
        <w:rPr>
          <w:rFonts w:ascii="Calibri" w:hAnsi="Calibri"/>
        </w:rPr>
        <w:t xml:space="preserve">requirements </w:t>
      </w:r>
      <w:r>
        <w:rPr>
          <w:rFonts w:ascii="Calibri" w:hAnsi="Calibri"/>
        </w:rPr>
        <w:t xml:space="preserve">for Direct Carrier Billing (DCB) do not adequately prevent </w:t>
      </w:r>
      <w:r w:rsidR="00BE5B71">
        <w:rPr>
          <w:rFonts w:ascii="Calibri" w:hAnsi="Calibri"/>
        </w:rPr>
        <w:t xml:space="preserve">customers being billed for </w:t>
      </w:r>
      <w:r>
        <w:rPr>
          <w:rFonts w:ascii="Calibri" w:hAnsi="Calibri"/>
        </w:rPr>
        <w:t xml:space="preserve">unsolicited third party </w:t>
      </w:r>
      <w:r w:rsidR="00BE5B71">
        <w:rPr>
          <w:rFonts w:ascii="Calibri" w:hAnsi="Calibri"/>
        </w:rPr>
        <w:t>service</w:t>
      </w:r>
      <w:r>
        <w:rPr>
          <w:rFonts w:ascii="Calibri" w:hAnsi="Calibri"/>
        </w:rPr>
        <w:t>s.</w:t>
      </w:r>
      <w:r w:rsidR="008A457E">
        <w:rPr>
          <w:rFonts w:ascii="Calibri" w:hAnsi="Calibri"/>
        </w:rPr>
        <w:t xml:space="preserve"> </w:t>
      </w:r>
    </w:p>
    <w:p w:rsidR="00BC298D" w:rsidRPr="00D606AD" w:rsidRDefault="00BC298D" w:rsidP="008A457E">
      <w:pPr>
        <w:spacing w:before="240" w:after="120"/>
        <w:rPr>
          <w:rFonts w:ascii="Calibri" w:hAnsi="Calibri"/>
          <w:b/>
          <w:color w:val="1F497D" w:themeColor="text2"/>
          <w:sz w:val="26"/>
          <w:szCs w:val="26"/>
        </w:rPr>
      </w:pPr>
      <w:r w:rsidRPr="00D606AD">
        <w:rPr>
          <w:rFonts w:ascii="Calibri" w:hAnsi="Calibri"/>
          <w:b/>
          <w:color w:val="1F497D" w:themeColor="text2"/>
          <w:sz w:val="26"/>
          <w:szCs w:val="26"/>
        </w:rPr>
        <w:t>Findings of ACCAN commissioned survey</w:t>
      </w:r>
    </w:p>
    <w:p w:rsidR="008A457E" w:rsidRDefault="008A457E" w:rsidP="008A457E">
      <w:pPr>
        <w:spacing w:before="240" w:after="120"/>
        <w:rPr>
          <w:rFonts w:ascii="Calibri" w:hAnsi="Calibri"/>
        </w:rPr>
      </w:pPr>
      <w:r>
        <w:rPr>
          <w:rFonts w:ascii="Calibri" w:hAnsi="Calibri"/>
        </w:rPr>
        <w:t xml:space="preserve">Since our initial submission, ACCAN has </w:t>
      </w:r>
      <w:r w:rsidR="009C65FC">
        <w:rPr>
          <w:rFonts w:ascii="Calibri" w:hAnsi="Calibri"/>
        </w:rPr>
        <w:t xml:space="preserve">commissioned </w:t>
      </w:r>
      <w:r>
        <w:rPr>
          <w:rFonts w:ascii="Calibri" w:hAnsi="Calibri"/>
        </w:rPr>
        <w:t xml:space="preserve">a survey </w:t>
      </w:r>
      <w:r w:rsidR="0004158D">
        <w:rPr>
          <w:rFonts w:ascii="Calibri" w:hAnsi="Calibri"/>
        </w:rPr>
        <w:t>measuring</w:t>
      </w:r>
      <w:r>
        <w:rPr>
          <w:rFonts w:ascii="Calibri" w:hAnsi="Calibri"/>
        </w:rPr>
        <w:t xml:space="preserve"> </w:t>
      </w:r>
      <w:r w:rsidR="0004158D">
        <w:rPr>
          <w:rFonts w:ascii="Calibri" w:hAnsi="Calibri"/>
        </w:rPr>
        <w:t>consumer</w:t>
      </w:r>
      <w:r>
        <w:rPr>
          <w:rFonts w:ascii="Calibri" w:hAnsi="Calibri"/>
        </w:rPr>
        <w:t xml:space="preserve"> experience</w:t>
      </w:r>
      <w:r w:rsidR="00F50978">
        <w:rPr>
          <w:rFonts w:ascii="Calibri" w:hAnsi="Calibri"/>
        </w:rPr>
        <w:t>s</w:t>
      </w:r>
      <w:r>
        <w:rPr>
          <w:rFonts w:ascii="Calibri" w:hAnsi="Calibri"/>
        </w:rPr>
        <w:t xml:space="preserve"> of </w:t>
      </w:r>
      <w:r>
        <w:rPr>
          <w:rFonts w:ascii="Calibri" w:hAnsi="Calibri"/>
        </w:rPr>
        <w:t>third party billing</w:t>
      </w:r>
      <w:r w:rsidR="0004158D">
        <w:rPr>
          <w:rFonts w:ascii="Calibri" w:hAnsi="Calibri"/>
        </w:rPr>
        <w:t xml:space="preserve"> among Telstra, Optus and Vod</w:t>
      </w:r>
      <w:r w:rsidR="006A476A">
        <w:rPr>
          <w:rFonts w:ascii="Calibri" w:hAnsi="Calibri"/>
        </w:rPr>
        <w:t xml:space="preserve">afone customers. </w:t>
      </w:r>
      <w:r w:rsidR="001B7543">
        <w:rPr>
          <w:rFonts w:ascii="Calibri" w:hAnsi="Calibri"/>
        </w:rPr>
        <w:t xml:space="preserve"> </w:t>
      </w:r>
      <w:r w:rsidR="006A476A">
        <w:rPr>
          <w:rFonts w:ascii="Calibri" w:hAnsi="Calibri"/>
        </w:rPr>
        <w:t xml:space="preserve">ACCAN’s survey, </w:t>
      </w:r>
      <w:r w:rsidR="00BA0EFD">
        <w:rPr>
          <w:rFonts w:ascii="Calibri" w:hAnsi="Calibri"/>
        </w:rPr>
        <w:t xml:space="preserve">conducted </w:t>
      </w:r>
      <w:r w:rsidR="00644B5A">
        <w:rPr>
          <w:rFonts w:ascii="Calibri" w:hAnsi="Calibri"/>
        </w:rPr>
        <w:t>between 5 -18 April 2017</w:t>
      </w:r>
      <w:r w:rsidR="00A83707">
        <w:rPr>
          <w:rFonts w:ascii="Calibri" w:hAnsi="Calibri"/>
        </w:rPr>
        <w:t>,</w:t>
      </w:r>
      <w:r w:rsidR="006A476A">
        <w:rPr>
          <w:rFonts w:ascii="Calibri" w:hAnsi="Calibri"/>
        </w:rPr>
        <w:t xml:space="preserve"> </w:t>
      </w:r>
      <w:r w:rsidR="00644B5A">
        <w:rPr>
          <w:rFonts w:ascii="Calibri" w:hAnsi="Calibri"/>
        </w:rPr>
        <w:t>focused on respondent</w:t>
      </w:r>
      <w:r w:rsidR="00BA0EFD">
        <w:rPr>
          <w:rFonts w:ascii="Calibri" w:hAnsi="Calibri"/>
        </w:rPr>
        <w:t>s</w:t>
      </w:r>
      <w:r w:rsidR="00644B5A">
        <w:rPr>
          <w:rFonts w:ascii="Calibri" w:hAnsi="Calibri"/>
        </w:rPr>
        <w:t>’</w:t>
      </w:r>
      <w:r w:rsidR="00723FB9">
        <w:rPr>
          <w:rFonts w:ascii="Calibri" w:hAnsi="Calibri"/>
        </w:rPr>
        <w:t xml:space="preserve"> experience of third party billing in the preceding six</w:t>
      </w:r>
      <w:r w:rsidR="00BA0EFD">
        <w:rPr>
          <w:rFonts w:ascii="Calibri" w:hAnsi="Calibri"/>
        </w:rPr>
        <w:t xml:space="preserve"> months. This was</w:t>
      </w:r>
      <w:r w:rsidR="0004158D">
        <w:rPr>
          <w:rFonts w:ascii="Calibri" w:hAnsi="Calibri"/>
        </w:rPr>
        <w:t xml:space="preserve"> in part to assess the effectiveness of the double opt-in </w:t>
      </w:r>
      <w:r w:rsidR="00723FB9">
        <w:rPr>
          <w:rFonts w:ascii="Calibri" w:hAnsi="Calibri"/>
        </w:rPr>
        <w:t xml:space="preserve">step </w:t>
      </w:r>
      <w:r w:rsidR="0004158D">
        <w:rPr>
          <w:rFonts w:ascii="Calibri" w:hAnsi="Calibri"/>
        </w:rPr>
        <w:t>require</w:t>
      </w:r>
      <w:r w:rsidR="00723FB9">
        <w:rPr>
          <w:rFonts w:ascii="Calibri" w:hAnsi="Calibri"/>
        </w:rPr>
        <w:t>d by Telstra and Optus</w:t>
      </w:r>
      <w:r w:rsidR="0004158D">
        <w:rPr>
          <w:rFonts w:ascii="Calibri" w:hAnsi="Calibri"/>
        </w:rPr>
        <w:t xml:space="preserve"> </w:t>
      </w:r>
      <w:r w:rsidR="00723FB9">
        <w:rPr>
          <w:rFonts w:ascii="Calibri" w:hAnsi="Calibri"/>
        </w:rPr>
        <w:t>for</w:t>
      </w:r>
      <w:r w:rsidR="0004158D">
        <w:rPr>
          <w:rFonts w:ascii="Calibri" w:hAnsi="Calibri"/>
        </w:rPr>
        <w:t xml:space="preserve"> Direct Carrier Billing (DCB) that was introduced in mid-2016. </w:t>
      </w:r>
      <w:r>
        <w:rPr>
          <w:rFonts w:ascii="Calibri" w:hAnsi="Calibri"/>
        </w:rPr>
        <w:t xml:space="preserve"> </w:t>
      </w:r>
      <w:r w:rsidR="00F50978">
        <w:rPr>
          <w:rFonts w:ascii="Calibri" w:hAnsi="Calibri"/>
        </w:rPr>
        <w:t>The findings of this research</w:t>
      </w:r>
      <w:r>
        <w:rPr>
          <w:rFonts w:ascii="Calibri" w:hAnsi="Calibri"/>
        </w:rPr>
        <w:t xml:space="preserve"> </w:t>
      </w:r>
      <w:r w:rsidR="00D818D1">
        <w:rPr>
          <w:rFonts w:ascii="Calibri" w:hAnsi="Calibri"/>
        </w:rPr>
        <w:t xml:space="preserve">provide evidence </w:t>
      </w:r>
      <w:r>
        <w:rPr>
          <w:rFonts w:ascii="Calibri" w:hAnsi="Calibri"/>
        </w:rPr>
        <w:t xml:space="preserve">that there are </w:t>
      </w:r>
      <w:r w:rsidR="00F50978">
        <w:rPr>
          <w:rFonts w:ascii="Calibri" w:hAnsi="Calibri"/>
        </w:rPr>
        <w:t>c</w:t>
      </w:r>
      <w:r>
        <w:rPr>
          <w:rFonts w:ascii="Calibri" w:hAnsi="Calibri"/>
        </w:rPr>
        <w:t>ases where c</w:t>
      </w:r>
      <w:r w:rsidRPr="008A457E">
        <w:rPr>
          <w:rFonts w:ascii="Calibri" w:hAnsi="Calibri"/>
        </w:rPr>
        <w:t xml:space="preserve">onsumers </w:t>
      </w:r>
      <w:r w:rsidR="00F50978">
        <w:rPr>
          <w:rFonts w:ascii="Calibri" w:hAnsi="Calibri"/>
        </w:rPr>
        <w:t>have received third party billing charges without knowingly subscribing</w:t>
      </w:r>
      <w:r w:rsidRPr="008A457E">
        <w:rPr>
          <w:rFonts w:ascii="Calibri" w:hAnsi="Calibri"/>
        </w:rPr>
        <w:t xml:space="preserve">, or </w:t>
      </w:r>
      <w:r w:rsidR="00F50978">
        <w:rPr>
          <w:rFonts w:ascii="Calibri" w:hAnsi="Calibri"/>
        </w:rPr>
        <w:t xml:space="preserve">have </w:t>
      </w:r>
      <w:r w:rsidRPr="008A457E">
        <w:rPr>
          <w:rFonts w:ascii="Calibri" w:hAnsi="Calibri"/>
        </w:rPr>
        <w:t xml:space="preserve">been subscribed by minors who had access to caregivers’ phones.  </w:t>
      </w:r>
    </w:p>
    <w:p w:rsidR="00D818D1" w:rsidRDefault="0034774A" w:rsidP="00033637">
      <w:pPr>
        <w:spacing w:before="240" w:after="120"/>
        <w:rPr>
          <w:rFonts w:ascii="Calibri" w:hAnsi="Calibri"/>
        </w:rPr>
      </w:pPr>
      <w:r>
        <w:rPr>
          <w:rFonts w:ascii="Calibri" w:hAnsi="Calibri"/>
        </w:rPr>
        <w:lastRenderedPageBreak/>
        <w:t>The survey</w:t>
      </w:r>
      <w:r w:rsidR="00D818D1">
        <w:rPr>
          <w:rFonts w:ascii="Calibri" w:hAnsi="Calibri"/>
        </w:rPr>
        <w:t xml:space="preserve"> findings </w:t>
      </w:r>
      <w:r>
        <w:rPr>
          <w:rFonts w:ascii="Calibri" w:hAnsi="Calibri"/>
        </w:rPr>
        <w:t xml:space="preserve">that raise </w:t>
      </w:r>
      <w:r w:rsidR="002C1759">
        <w:rPr>
          <w:rFonts w:ascii="Calibri" w:hAnsi="Calibri"/>
        </w:rPr>
        <w:t xml:space="preserve">particular </w:t>
      </w:r>
      <w:r>
        <w:rPr>
          <w:rFonts w:ascii="Calibri" w:hAnsi="Calibri"/>
        </w:rPr>
        <w:t xml:space="preserve">concerns about the effectiveness of current safeguards </w:t>
      </w:r>
      <w:r w:rsidR="00D818D1">
        <w:rPr>
          <w:rFonts w:ascii="Calibri" w:hAnsi="Calibri"/>
        </w:rPr>
        <w:t>include the following:</w:t>
      </w:r>
    </w:p>
    <w:p w:rsidR="00D818D1" w:rsidRPr="007E2D9C" w:rsidRDefault="00D818D1" w:rsidP="007E2D9C">
      <w:pPr>
        <w:pStyle w:val="ListParagraph"/>
        <w:numPr>
          <w:ilvl w:val="0"/>
          <w:numId w:val="5"/>
        </w:numPr>
        <w:spacing w:before="240" w:after="120"/>
        <w:rPr>
          <w:rFonts w:ascii="Calibri" w:hAnsi="Calibri"/>
        </w:rPr>
      </w:pPr>
      <w:r w:rsidRPr="007E2D9C">
        <w:rPr>
          <w:rFonts w:ascii="Calibri" w:hAnsi="Calibri"/>
        </w:rPr>
        <w:t xml:space="preserve">12% </w:t>
      </w:r>
      <w:r>
        <w:rPr>
          <w:rFonts w:ascii="Calibri" w:hAnsi="Calibri"/>
        </w:rPr>
        <w:t xml:space="preserve">of respondents had received unexpected third party charges in the last 6 months; </w:t>
      </w:r>
    </w:p>
    <w:p w:rsidR="00D818D1" w:rsidRPr="00C108FE" w:rsidRDefault="00D818D1" w:rsidP="00D818D1">
      <w:pPr>
        <w:pStyle w:val="ListParagraph"/>
        <w:numPr>
          <w:ilvl w:val="0"/>
          <w:numId w:val="5"/>
        </w:numPr>
        <w:spacing w:before="240" w:after="120"/>
        <w:rPr>
          <w:rFonts w:ascii="Calibri" w:hAnsi="Calibri"/>
        </w:rPr>
      </w:pPr>
      <w:r w:rsidRPr="00C108FE">
        <w:rPr>
          <w:rFonts w:ascii="Calibri" w:hAnsi="Calibri"/>
        </w:rPr>
        <w:t>70% of unexpectedly charged post-paid account holders</w:t>
      </w:r>
      <w:r>
        <w:rPr>
          <w:rFonts w:ascii="Calibri" w:hAnsi="Calibri"/>
        </w:rPr>
        <w:t xml:space="preserve"> only</w:t>
      </w:r>
      <w:r w:rsidRPr="00C108FE">
        <w:rPr>
          <w:rFonts w:ascii="Calibri" w:hAnsi="Calibri"/>
        </w:rPr>
        <w:t xml:space="preserve"> became aware of the charge</w:t>
      </w:r>
      <w:r w:rsidR="00723FB9">
        <w:rPr>
          <w:rFonts w:ascii="Calibri" w:hAnsi="Calibri"/>
        </w:rPr>
        <w:t>s</w:t>
      </w:r>
      <w:r w:rsidRPr="00C108FE">
        <w:rPr>
          <w:rFonts w:ascii="Calibri" w:hAnsi="Calibri"/>
        </w:rPr>
        <w:t xml:space="preserve"> on </w:t>
      </w:r>
      <w:r w:rsidR="00723FB9">
        <w:rPr>
          <w:rFonts w:ascii="Calibri" w:hAnsi="Calibri"/>
        </w:rPr>
        <w:t xml:space="preserve">receipt of </w:t>
      </w:r>
      <w:r w:rsidRPr="00C108FE">
        <w:rPr>
          <w:rFonts w:ascii="Calibri" w:hAnsi="Calibri"/>
        </w:rPr>
        <w:t>their bill, and 28% of pre-paid customers became aware due to their credit</w:t>
      </w:r>
      <w:r w:rsidR="00723FB9">
        <w:rPr>
          <w:rFonts w:ascii="Calibri" w:hAnsi="Calibri"/>
        </w:rPr>
        <w:t xml:space="preserve"> disappearing unusually quickly;</w:t>
      </w:r>
    </w:p>
    <w:p w:rsidR="00D818D1" w:rsidRDefault="000775DA" w:rsidP="00D818D1">
      <w:pPr>
        <w:pStyle w:val="ListParagraph"/>
        <w:numPr>
          <w:ilvl w:val="0"/>
          <w:numId w:val="4"/>
        </w:numPr>
        <w:spacing w:before="240" w:after="120"/>
        <w:rPr>
          <w:rFonts w:ascii="Calibri" w:hAnsi="Calibri"/>
        </w:rPr>
      </w:pPr>
      <w:r>
        <w:rPr>
          <w:rFonts w:ascii="Calibri" w:hAnsi="Calibri"/>
        </w:rPr>
        <w:t>Most mobile account holders (77%) who had received a confirmation SMS tried to prevent the charge by replying ‘STOP’; but despite taking this action, seven out of 10 (or 71</w:t>
      </w:r>
      <w:r w:rsidR="00723FB9">
        <w:rPr>
          <w:rFonts w:ascii="Calibri" w:hAnsi="Calibri"/>
        </w:rPr>
        <w:t>%) said they were still charged;</w:t>
      </w:r>
    </w:p>
    <w:p w:rsidR="000775DA" w:rsidRDefault="000775DA" w:rsidP="00D818D1">
      <w:pPr>
        <w:pStyle w:val="ListParagraph"/>
        <w:numPr>
          <w:ilvl w:val="0"/>
          <w:numId w:val="4"/>
        </w:numPr>
        <w:spacing w:before="240" w:after="120"/>
        <w:rPr>
          <w:rFonts w:ascii="Calibri" w:hAnsi="Calibri"/>
        </w:rPr>
      </w:pPr>
      <w:r>
        <w:rPr>
          <w:rFonts w:ascii="Calibri" w:hAnsi="Calibri"/>
        </w:rPr>
        <w:t>37% of respondents who had been unexpectedly charged indicated they were not informed when the charge had gone through; they were not asked to confirm the charge; they did not understand they would be charged</w:t>
      </w:r>
      <w:r w:rsidR="006D6022">
        <w:rPr>
          <w:rFonts w:ascii="Calibri" w:hAnsi="Calibri"/>
        </w:rPr>
        <w:t>, nor the amount; and they did not con</w:t>
      </w:r>
      <w:r w:rsidR="00FB1F2E">
        <w:rPr>
          <w:rFonts w:ascii="Calibri" w:hAnsi="Calibri"/>
        </w:rPr>
        <w:t>sent to the purchase;</w:t>
      </w:r>
    </w:p>
    <w:p w:rsidR="00FB1F2E" w:rsidRDefault="00FB1F2E" w:rsidP="00D818D1">
      <w:pPr>
        <w:pStyle w:val="ListParagraph"/>
        <w:numPr>
          <w:ilvl w:val="0"/>
          <w:numId w:val="4"/>
        </w:numPr>
        <w:spacing w:before="240" w:after="120"/>
        <w:rPr>
          <w:rFonts w:ascii="Calibri" w:hAnsi="Calibri"/>
        </w:rPr>
      </w:pPr>
      <w:r>
        <w:rPr>
          <w:rFonts w:ascii="Calibri" w:hAnsi="Calibri"/>
        </w:rPr>
        <w:t>23% of respondents who were unexpectedly charged did not contact the third party provider because they were unable to find contact details;</w:t>
      </w:r>
    </w:p>
    <w:p w:rsidR="00F3421A" w:rsidRPr="00E66CAF" w:rsidRDefault="0034774A" w:rsidP="00E66CAF">
      <w:pPr>
        <w:pStyle w:val="ListParagraph"/>
        <w:numPr>
          <w:ilvl w:val="0"/>
          <w:numId w:val="4"/>
        </w:numPr>
        <w:spacing w:before="240" w:after="120"/>
        <w:rPr>
          <w:rFonts w:ascii="Calibri" w:hAnsi="Calibri"/>
        </w:rPr>
      </w:pPr>
      <w:r>
        <w:rPr>
          <w:rFonts w:ascii="Calibri" w:hAnsi="Calibri"/>
        </w:rPr>
        <w:t>49% of respondents were unaware that their mobile phone account could be used to pay for third party goods or services</w:t>
      </w:r>
      <w:r w:rsidR="00723FB9">
        <w:rPr>
          <w:rFonts w:ascii="Calibri" w:hAnsi="Calibri"/>
        </w:rPr>
        <w:t>.</w:t>
      </w:r>
    </w:p>
    <w:p w:rsidR="00780379" w:rsidRDefault="00370FA1" w:rsidP="00370FA1">
      <w:pPr>
        <w:spacing w:before="240" w:after="120"/>
        <w:rPr>
          <w:rFonts w:ascii="Calibri" w:hAnsi="Calibri"/>
        </w:rPr>
      </w:pPr>
      <w:r>
        <w:rPr>
          <w:rFonts w:ascii="Calibri" w:hAnsi="Calibri"/>
        </w:rPr>
        <w:t>Additionally, t</w:t>
      </w:r>
      <w:r w:rsidR="00D55960">
        <w:rPr>
          <w:rFonts w:ascii="Calibri" w:hAnsi="Calibri"/>
        </w:rPr>
        <w:t>he ACC</w:t>
      </w:r>
      <w:r w:rsidR="00672F8A">
        <w:rPr>
          <w:rFonts w:ascii="Calibri" w:hAnsi="Calibri"/>
        </w:rPr>
        <w:t xml:space="preserve">AN survey found </w:t>
      </w:r>
      <w:r w:rsidR="00780379">
        <w:rPr>
          <w:rFonts w:ascii="Calibri" w:hAnsi="Calibri"/>
        </w:rPr>
        <w:t>many</w:t>
      </w:r>
      <w:r w:rsidR="00D55960">
        <w:rPr>
          <w:rFonts w:ascii="Calibri" w:hAnsi="Calibri"/>
        </w:rPr>
        <w:t xml:space="preserve"> respondents were responsible for multiple services (59% of post-paid and 47% of pre-paid</w:t>
      </w:r>
      <w:r w:rsidR="00D55960" w:rsidRPr="00D55960">
        <w:rPr>
          <w:rFonts w:ascii="Calibri" w:hAnsi="Calibri"/>
        </w:rPr>
        <w:t xml:space="preserve"> </w:t>
      </w:r>
      <w:r>
        <w:rPr>
          <w:rFonts w:ascii="Calibri" w:hAnsi="Calibri"/>
        </w:rPr>
        <w:t xml:space="preserve">account holders), and </w:t>
      </w:r>
      <w:r w:rsidR="00780379">
        <w:rPr>
          <w:rFonts w:ascii="Calibri" w:hAnsi="Calibri"/>
        </w:rPr>
        <w:t xml:space="preserve">49% of respondents were unaware that their mobile account could be used for third party billing. </w:t>
      </w:r>
      <w:r w:rsidR="00266849">
        <w:rPr>
          <w:rFonts w:ascii="Calibri" w:hAnsi="Calibri"/>
        </w:rPr>
        <w:t>On top of the poor compliance with existing safeguards and gaps identified above, t</w:t>
      </w:r>
      <w:r w:rsidR="00780379">
        <w:rPr>
          <w:rFonts w:ascii="Calibri" w:hAnsi="Calibri"/>
        </w:rPr>
        <w:t>hese figures are</w:t>
      </w:r>
      <w:r w:rsidR="00723FB9">
        <w:rPr>
          <w:rFonts w:ascii="Calibri" w:hAnsi="Calibri"/>
        </w:rPr>
        <w:t xml:space="preserve"> concerning because they indicate</w:t>
      </w:r>
      <w:r w:rsidR="00780379">
        <w:rPr>
          <w:rFonts w:ascii="Calibri" w:hAnsi="Calibri"/>
        </w:rPr>
        <w:t xml:space="preserve">: </w:t>
      </w:r>
    </w:p>
    <w:p w:rsidR="00266849" w:rsidRDefault="00266849" w:rsidP="00780379">
      <w:pPr>
        <w:pStyle w:val="ListParagraph"/>
        <w:numPr>
          <w:ilvl w:val="0"/>
          <w:numId w:val="8"/>
        </w:numPr>
        <w:spacing w:before="240" w:after="120"/>
        <w:rPr>
          <w:rFonts w:ascii="Calibri" w:hAnsi="Calibri"/>
        </w:rPr>
      </w:pPr>
      <w:r>
        <w:rPr>
          <w:rFonts w:ascii="Calibri" w:hAnsi="Calibri"/>
        </w:rPr>
        <w:t>Third party charges are being incurred by pa</w:t>
      </w:r>
      <w:r w:rsidR="00723FB9">
        <w:rPr>
          <w:rFonts w:ascii="Calibri" w:hAnsi="Calibri"/>
        </w:rPr>
        <w:t>rties who are not the account holder</w:t>
      </w:r>
      <w:r>
        <w:rPr>
          <w:rFonts w:ascii="Calibri" w:hAnsi="Calibri"/>
        </w:rPr>
        <w:t xml:space="preserve"> (</w:t>
      </w:r>
      <w:proofErr w:type="spellStart"/>
      <w:r>
        <w:rPr>
          <w:rFonts w:ascii="Calibri" w:hAnsi="Calibri"/>
        </w:rPr>
        <w:t>eg</w:t>
      </w:r>
      <w:proofErr w:type="spellEnd"/>
      <w:r>
        <w:rPr>
          <w:rFonts w:ascii="Calibri" w:hAnsi="Calibri"/>
        </w:rPr>
        <w:t>: children, employees using business accounts)</w:t>
      </w:r>
      <w:r w:rsidR="00723FB9">
        <w:rPr>
          <w:rFonts w:ascii="Calibri" w:hAnsi="Calibri"/>
        </w:rPr>
        <w:t>;</w:t>
      </w:r>
    </w:p>
    <w:p w:rsidR="00723FB9" w:rsidRDefault="00723FB9" w:rsidP="00780379">
      <w:pPr>
        <w:pStyle w:val="ListParagraph"/>
        <w:numPr>
          <w:ilvl w:val="0"/>
          <w:numId w:val="8"/>
        </w:numPr>
        <w:spacing w:before="240" w:after="120"/>
        <w:rPr>
          <w:rFonts w:ascii="Calibri" w:hAnsi="Calibri"/>
        </w:rPr>
      </w:pPr>
      <w:r>
        <w:rPr>
          <w:rFonts w:ascii="Calibri" w:hAnsi="Calibri"/>
        </w:rPr>
        <w:t>The account holder is liable for the third party charges;</w:t>
      </w:r>
    </w:p>
    <w:p w:rsidR="00723FB9" w:rsidRDefault="00723FB9" w:rsidP="00780379">
      <w:pPr>
        <w:pStyle w:val="ListParagraph"/>
        <w:numPr>
          <w:ilvl w:val="0"/>
          <w:numId w:val="8"/>
        </w:numPr>
        <w:spacing w:before="240" w:after="120"/>
        <w:rPr>
          <w:rFonts w:ascii="Calibri" w:hAnsi="Calibri"/>
        </w:rPr>
      </w:pPr>
      <w:r>
        <w:rPr>
          <w:rFonts w:ascii="Calibri" w:hAnsi="Calibri"/>
        </w:rPr>
        <w:t>The account holder is forced to either pay the charges, or spend considerable time and effort disputing them;</w:t>
      </w:r>
    </w:p>
    <w:p w:rsidR="00266849" w:rsidRDefault="00266849" w:rsidP="00780379">
      <w:pPr>
        <w:pStyle w:val="ListParagraph"/>
        <w:numPr>
          <w:ilvl w:val="0"/>
          <w:numId w:val="8"/>
        </w:numPr>
        <w:spacing w:before="240" w:after="120"/>
        <w:rPr>
          <w:rFonts w:ascii="Calibri" w:hAnsi="Calibri"/>
        </w:rPr>
      </w:pPr>
      <w:r>
        <w:rPr>
          <w:rFonts w:ascii="Calibri" w:hAnsi="Calibri"/>
        </w:rPr>
        <w:t xml:space="preserve">There is an </w:t>
      </w:r>
      <w:r w:rsidR="00723FB9">
        <w:rPr>
          <w:rFonts w:ascii="Calibri" w:hAnsi="Calibri"/>
        </w:rPr>
        <w:t>almost 50% chance that the account holder</w:t>
      </w:r>
      <w:r w:rsidR="00FB1F2E">
        <w:rPr>
          <w:rFonts w:ascii="Calibri" w:hAnsi="Calibri"/>
        </w:rPr>
        <w:t xml:space="preserve"> may be</w:t>
      </w:r>
      <w:r>
        <w:rPr>
          <w:rFonts w:ascii="Calibri" w:hAnsi="Calibri"/>
        </w:rPr>
        <w:t xml:space="preserve"> unaware the mobile service can be used for third party billing</w:t>
      </w:r>
      <w:r w:rsidR="00723FB9">
        <w:rPr>
          <w:rFonts w:ascii="Calibri" w:hAnsi="Calibri"/>
        </w:rPr>
        <w:t xml:space="preserve"> prior to receipt of the bill or unusually fast credit expiry.</w:t>
      </w:r>
    </w:p>
    <w:p w:rsidR="00BF307B" w:rsidRPr="007E2D9C" w:rsidRDefault="00BF307B" w:rsidP="00BF307B">
      <w:pPr>
        <w:pStyle w:val="ListParagraph"/>
        <w:spacing w:before="240" w:after="120"/>
        <w:rPr>
          <w:rFonts w:ascii="Calibri" w:hAnsi="Calibri"/>
          <w:b/>
        </w:rPr>
      </w:pPr>
    </w:p>
    <w:p w:rsidR="007E2D9C" w:rsidRPr="003F003A" w:rsidRDefault="003F003A" w:rsidP="003F003A">
      <w:pPr>
        <w:pStyle w:val="ListParagraph"/>
        <w:spacing w:before="240" w:after="120"/>
        <w:ind w:left="0"/>
        <w:rPr>
          <w:rFonts w:ascii="Calibri" w:hAnsi="Calibri"/>
          <w:b/>
          <w:color w:val="1F497D" w:themeColor="text2"/>
          <w:sz w:val="26"/>
          <w:szCs w:val="26"/>
        </w:rPr>
      </w:pPr>
      <w:r w:rsidRPr="003F003A">
        <w:rPr>
          <w:rFonts w:ascii="Calibri" w:hAnsi="Calibri"/>
          <w:b/>
          <w:color w:val="1F497D" w:themeColor="text2"/>
          <w:sz w:val="26"/>
          <w:szCs w:val="26"/>
        </w:rPr>
        <w:t>Improved consumer safeguards</w:t>
      </w:r>
    </w:p>
    <w:p w:rsidR="00033637" w:rsidRDefault="0004158D" w:rsidP="00033637">
      <w:pPr>
        <w:spacing w:before="240" w:after="120"/>
        <w:rPr>
          <w:rFonts w:ascii="Calibri" w:hAnsi="Calibri"/>
        </w:rPr>
      </w:pPr>
      <w:r>
        <w:rPr>
          <w:rFonts w:ascii="Calibri" w:hAnsi="Calibri"/>
        </w:rPr>
        <w:t>Given the result</w:t>
      </w:r>
      <w:r w:rsidR="00033637">
        <w:rPr>
          <w:rFonts w:ascii="Calibri" w:hAnsi="Calibri"/>
        </w:rPr>
        <w:t>s of the consumer survey, ACCAN</w:t>
      </w:r>
      <w:r>
        <w:rPr>
          <w:rFonts w:ascii="Calibri" w:hAnsi="Calibri"/>
        </w:rPr>
        <w:t xml:space="preserve"> </w:t>
      </w:r>
      <w:r w:rsidR="00D1543B">
        <w:rPr>
          <w:rFonts w:ascii="Calibri" w:hAnsi="Calibri"/>
        </w:rPr>
        <w:t xml:space="preserve">urges the Communications Alliance to consider </w:t>
      </w:r>
      <w:r w:rsidR="006F0EEA">
        <w:rPr>
          <w:rFonts w:ascii="Calibri" w:hAnsi="Calibri"/>
        </w:rPr>
        <w:t xml:space="preserve">a range of responses to introduce </w:t>
      </w:r>
      <w:r w:rsidR="00D1543B">
        <w:rPr>
          <w:rFonts w:ascii="Calibri" w:hAnsi="Calibri"/>
        </w:rPr>
        <w:t>stronger regulation of third party billing services.</w:t>
      </w:r>
      <w:r w:rsidR="00033637">
        <w:rPr>
          <w:rFonts w:ascii="Calibri" w:hAnsi="Calibri"/>
        </w:rPr>
        <w:t xml:space="preserve"> Possible alternatives include:</w:t>
      </w:r>
    </w:p>
    <w:p w:rsidR="006F0EEA" w:rsidRDefault="006F0EEA" w:rsidP="00A86C94">
      <w:pPr>
        <w:pStyle w:val="ListParagraph"/>
        <w:numPr>
          <w:ilvl w:val="0"/>
          <w:numId w:val="9"/>
        </w:numPr>
        <w:spacing w:before="240" w:after="120" w:line="276" w:lineRule="auto"/>
        <w:rPr>
          <w:rFonts w:ascii="Calibri" w:hAnsi="Calibri"/>
        </w:rPr>
      </w:pPr>
      <w:r>
        <w:rPr>
          <w:rFonts w:ascii="Calibri" w:hAnsi="Calibri"/>
        </w:rPr>
        <w:t>R</w:t>
      </w:r>
      <w:r w:rsidR="001D4588">
        <w:rPr>
          <w:rFonts w:ascii="Calibri" w:hAnsi="Calibri"/>
        </w:rPr>
        <w:t xml:space="preserve">eintroducing </w:t>
      </w:r>
      <w:r>
        <w:rPr>
          <w:rFonts w:ascii="Calibri" w:hAnsi="Calibri"/>
        </w:rPr>
        <w:t xml:space="preserve">a MPS Compliance </w:t>
      </w:r>
      <w:r w:rsidR="00A86C94">
        <w:rPr>
          <w:rFonts w:ascii="Calibri" w:hAnsi="Calibri"/>
        </w:rPr>
        <w:t xml:space="preserve">Monitoring and </w:t>
      </w:r>
      <w:r>
        <w:rPr>
          <w:rFonts w:ascii="Calibri" w:hAnsi="Calibri"/>
        </w:rPr>
        <w:t>Reporting regime</w:t>
      </w:r>
      <w:r w:rsidR="00A86C94">
        <w:rPr>
          <w:rFonts w:ascii="Calibri" w:hAnsi="Calibri"/>
        </w:rPr>
        <w:t xml:space="preserve"> requirement in the MPS Code</w:t>
      </w:r>
      <w:r>
        <w:rPr>
          <w:rFonts w:ascii="Calibri" w:hAnsi="Calibri"/>
        </w:rPr>
        <w:t>, consisting of independent monitoring to confirm and encourage compliance with the MPS Code, accompanied by published reporting requirements to the ACMA;</w:t>
      </w:r>
    </w:p>
    <w:p w:rsidR="00033637" w:rsidRDefault="006F0EEA" w:rsidP="00A86C94">
      <w:pPr>
        <w:pStyle w:val="ListParagraph"/>
        <w:numPr>
          <w:ilvl w:val="0"/>
          <w:numId w:val="9"/>
        </w:numPr>
        <w:spacing w:before="240" w:after="120" w:line="276" w:lineRule="auto"/>
        <w:rPr>
          <w:rFonts w:ascii="Calibri" w:hAnsi="Calibri"/>
        </w:rPr>
      </w:pPr>
      <w:r>
        <w:rPr>
          <w:rFonts w:ascii="Calibri" w:hAnsi="Calibri"/>
        </w:rPr>
        <w:t xml:space="preserve">Revising the scope of the MPS Code to include </w:t>
      </w:r>
      <w:r w:rsidR="00033637" w:rsidRPr="00033637">
        <w:rPr>
          <w:rFonts w:ascii="Calibri" w:hAnsi="Calibri"/>
        </w:rPr>
        <w:t xml:space="preserve">all forms of third party services under the </w:t>
      </w:r>
      <w:r w:rsidR="00033637" w:rsidRPr="00033637">
        <w:rPr>
          <w:rFonts w:ascii="Calibri" w:hAnsi="Calibri"/>
          <w:i/>
        </w:rPr>
        <w:t>MPS Code</w:t>
      </w:r>
      <w:r w:rsidR="00033637" w:rsidRPr="00033637">
        <w:rPr>
          <w:rFonts w:ascii="Calibri" w:hAnsi="Calibri"/>
        </w:rPr>
        <w:t>;</w:t>
      </w:r>
    </w:p>
    <w:p w:rsidR="00033637" w:rsidRPr="00033637" w:rsidRDefault="001D4588" w:rsidP="00A86C94">
      <w:pPr>
        <w:pStyle w:val="ListParagraph"/>
        <w:numPr>
          <w:ilvl w:val="0"/>
          <w:numId w:val="9"/>
        </w:numPr>
        <w:spacing w:before="240" w:after="120" w:line="276" w:lineRule="auto"/>
        <w:rPr>
          <w:rFonts w:ascii="Calibri" w:hAnsi="Calibri"/>
        </w:rPr>
      </w:pPr>
      <w:r>
        <w:rPr>
          <w:rFonts w:ascii="Calibri" w:hAnsi="Calibri"/>
        </w:rPr>
        <w:t>L</w:t>
      </w:r>
      <w:r w:rsidR="00033637" w:rsidRPr="00033637">
        <w:rPr>
          <w:rFonts w:ascii="Calibri" w:hAnsi="Calibri"/>
        </w:rPr>
        <w:t xml:space="preserve">owering the spending cap for </w:t>
      </w:r>
      <w:r w:rsidR="00033637" w:rsidRPr="00033637">
        <w:rPr>
          <w:rFonts w:ascii="Calibri" w:eastAsiaTheme="minorEastAsia" w:hAnsi="Calibri"/>
          <w:lang w:val="en-AU"/>
        </w:rPr>
        <w:t>default third party services</w:t>
      </w:r>
      <w:r w:rsidR="00033637" w:rsidRPr="00033637">
        <w:rPr>
          <w:rFonts w:ascii="Calibri" w:hAnsi="Calibri"/>
        </w:rPr>
        <w:t xml:space="preserve"> to $0</w:t>
      </w:r>
      <w:r w:rsidR="00033637" w:rsidRPr="00033637">
        <w:rPr>
          <w:rFonts w:ascii="Calibri" w:eastAsiaTheme="minorEastAsia" w:hAnsi="Calibri"/>
          <w:lang w:val="en-AU"/>
        </w:rPr>
        <w:t xml:space="preserve"> </w:t>
      </w:r>
      <w:r w:rsidR="00033637" w:rsidRPr="00033637">
        <w:rPr>
          <w:rFonts w:ascii="Calibri" w:hAnsi="Calibri"/>
        </w:rPr>
        <w:t>for both pre-paid and post-paid mobile customers;</w:t>
      </w:r>
    </w:p>
    <w:p w:rsidR="00033637" w:rsidRDefault="001D4588" w:rsidP="00A86C94">
      <w:pPr>
        <w:pStyle w:val="ListParagraph"/>
        <w:numPr>
          <w:ilvl w:val="0"/>
          <w:numId w:val="9"/>
        </w:numPr>
        <w:spacing w:before="240" w:after="120" w:line="276" w:lineRule="auto"/>
        <w:rPr>
          <w:rFonts w:ascii="Calibri" w:hAnsi="Calibri"/>
        </w:rPr>
      </w:pPr>
      <w:r>
        <w:rPr>
          <w:rFonts w:ascii="Calibri" w:hAnsi="Calibri"/>
        </w:rPr>
        <w:t>M</w:t>
      </w:r>
      <w:r w:rsidR="001F3C0D">
        <w:rPr>
          <w:rFonts w:ascii="Calibri" w:hAnsi="Calibri"/>
        </w:rPr>
        <w:t>aking third party charging</w:t>
      </w:r>
      <w:r w:rsidR="00033637" w:rsidRPr="00033637">
        <w:rPr>
          <w:rFonts w:ascii="Calibri" w:hAnsi="Calibri"/>
        </w:rPr>
        <w:t xml:space="preserve"> an opt-in service, </w:t>
      </w:r>
      <w:r w:rsidR="001F3C0D">
        <w:rPr>
          <w:rFonts w:ascii="Calibri" w:hAnsi="Calibri"/>
        </w:rPr>
        <w:t>requiring account holder activation, rather than the current</w:t>
      </w:r>
      <w:r w:rsidR="00033637" w:rsidRPr="00033637">
        <w:rPr>
          <w:rFonts w:ascii="Calibri" w:hAnsi="Calibri"/>
        </w:rPr>
        <w:t xml:space="preserve"> default </w:t>
      </w:r>
      <w:r w:rsidR="00033637">
        <w:rPr>
          <w:rFonts w:ascii="Calibri" w:hAnsi="Calibri"/>
        </w:rPr>
        <w:t>requiring customers to</w:t>
      </w:r>
      <w:r w:rsidR="00CC4238">
        <w:rPr>
          <w:rFonts w:ascii="Calibri" w:hAnsi="Calibri"/>
        </w:rPr>
        <w:t xml:space="preserve"> opt-out.</w:t>
      </w:r>
    </w:p>
    <w:p w:rsidR="00A86C94" w:rsidRPr="00033637" w:rsidRDefault="00A86C94" w:rsidP="00A86C94">
      <w:pPr>
        <w:pStyle w:val="ListParagraph"/>
        <w:spacing w:before="240" w:after="120" w:line="276" w:lineRule="auto"/>
        <w:rPr>
          <w:rFonts w:ascii="Calibri" w:hAnsi="Calibri"/>
        </w:rPr>
      </w:pPr>
    </w:p>
    <w:p w:rsidR="00A86C94" w:rsidRDefault="00A86C94" w:rsidP="00A86C94">
      <w:pPr>
        <w:pStyle w:val="ListParagraph"/>
        <w:numPr>
          <w:ilvl w:val="0"/>
          <w:numId w:val="10"/>
        </w:numPr>
        <w:spacing w:before="240" w:after="120"/>
        <w:rPr>
          <w:rFonts w:ascii="Calibri" w:eastAsiaTheme="majorEastAsia" w:hAnsi="Calibri" w:cstheme="majorBidi"/>
          <w:b/>
          <w:bCs/>
          <w:color w:val="4F81BD" w:themeColor="accent1"/>
          <w:sz w:val="26"/>
          <w:szCs w:val="26"/>
        </w:rPr>
      </w:pPr>
      <w:r w:rsidRPr="00A86C94">
        <w:rPr>
          <w:rFonts w:ascii="Calibri" w:eastAsiaTheme="majorEastAsia" w:hAnsi="Calibri" w:cstheme="majorBidi"/>
          <w:b/>
          <w:bCs/>
          <w:color w:val="4F81BD" w:themeColor="accent1"/>
          <w:sz w:val="26"/>
          <w:szCs w:val="26"/>
        </w:rPr>
        <w:lastRenderedPageBreak/>
        <w:t>Re-introduction of MPS Code compliance monitoring and reporting</w:t>
      </w:r>
    </w:p>
    <w:p w:rsidR="00A86C94" w:rsidRDefault="00A86C94" w:rsidP="00A86C94">
      <w:pPr>
        <w:pStyle w:val="ListParagraph"/>
        <w:spacing w:before="240" w:after="120"/>
        <w:ind w:left="0"/>
        <w:rPr>
          <w:rFonts w:ascii="Calibri" w:eastAsiaTheme="majorEastAsia" w:hAnsi="Calibri" w:cstheme="majorBidi"/>
          <w:b/>
          <w:bCs/>
          <w:color w:val="4F81BD" w:themeColor="accent1"/>
          <w:sz w:val="26"/>
          <w:szCs w:val="26"/>
        </w:rPr>
      </w:pPr>
    </w:p>
    <w:p w:rsidR="00A86C94" w:rsidRDefault="00A86C94" w:rsidP="00A86C94">
      <w:pPr>
        <w:rPr>
          <w:rFonts w:eastAsiaTheme="majorEastAsia"/>
        </w:rPr>
      </w:pPr>
      <w:r>
        <w:rPr>
          <w:rFonts w:eastAsiaTheme="majorEastAsia"/>
        </w:rPr>
        <w:t xml:space="preserve">The findings of the ACCAN survey indicate poor compliance with the MPS Code in the following areas: </w:t>
      </w:r>
    </w:p>
    <w:p w:rsidR="00A86C94" w:rsidRPr="00A86C94" w:rsidRDefault="00A86C94" w:rsidP="00A86C94">
      <w:pPr>
        <w:numPr>
          <w:ilvl w:val="0"/>
          <w:numId w:val="6"/>
        </w:numPr>
        <w:rPr>
          <w:rFonts w:eastAsiaTheme="majorEastAsia"/>
          <w:lang w:val="en-GB"/>
        </w:rPr>
      </w:pPr>
      <w:r w:rsidRPr="00A86C94">
        <w:rPr>
          <w:rFonts w:eastAsiaTheme="majorEastAsia"/>
          <w:lang w:val="en-GB"/>
        </w:rPr>
        <w:t>Services may be operating in breach of paragraph 5.1 of the MPS Code, as it appears for 12% of respondents they were supplied without request (5.1.1(a), 5.1.2); charged without request (5.1.1(b)).</w:t>
      </w:r>
    </w:p>
    <w:p w:rsidR="00A86C94" w:rsidRPr="00A86C94" w:rsidRDefault="00A86C94" w:rsidP="00A86C94">
      <w:pPr>
        <w:numPr>
          <w:ilvl w:val="0"/>
          <w:numId w:val="6"/>
        </w:numPr>
        <w:rPr>
          <w:rFonts w:eastAsiaTheme="majorEastAsia"/>
          <w:lang w:val="en-GB"/>
        </w:rPr>
      </w:pPr>
      <w:r w:rsidRPr="00A86C94">
        <w:rPr>
          <w:rFonts w:eastAsiaTheme="majorEastAsia"/>
          <w:lang w:val="en-GB"/>
        </w:rPr>
        <w:t xml:space="preserve">A high number of respondents reported that the STOP mechanism was ineffective, suggesting possible breaches of </w:t>
      </w:r>
      <w:r w:rsidR="00FA0C93">
        <w:rPr>
          <w:rFonts w:eastAsiaTheme="majorEastAsia"/>
          <w:lang w:val="en-GB"/>
        </w:rPr>
        <w:t>7.1.2</w:t>
      </w:r>
      <w:r w:rsidRPr="00A86C94">
        <w:rPr>
          <w:rFonts w:eastAsiaTheme="majorEastAsia"/>
          <w:lang w:val="en-GB"/>
        </w:rPr>
        <w:t>, 7.2.1, and 7.2.2 of the MPS Code.</w:t>
      </w:r>
    </w:p>
    <w:p w:rsidR="00A86C94" w:rsidRDefault="00A86C94" w:rsidP="00A86C94">
      <w:pPr>
        <w:numPr>
          <w:ilvl w:val="0"/>
          <w:numId w:val="6"/>
        </w:numPr>
        <w:rPr>
          <w:rFonts w:eastAsiaTheme="majorEastAsia"/>
          <w:lang w:val="en-GB"/>
        </w:rPr>
      </w:pPr>
      <w:r w:rsidRPr="00A86C94">
        <w:rPr>
          <w:rFonts w:eastAsiaTheme="majorEastAsia"/>
          <w:lang w:val="en-GB"/>
        </w:rPr>
        <w:t>There appear to be deficiencies in the third party contact detail information provided to consumers, as nearly a quarter of respondents gave this as a reason for not contacting the third party provider about their dispute. This suggests potential breac</w:t>
      </w:r>
      <w:r w:rsidR="00FA0C93">
        <w:rPr>
          <w:rFonts w:eastAsiaTheme="majorEastAsia"/>
          <w:lang w:val="en-GB"/>
        </w:rPr>
        <w:t>hes of 4.1 (</w:t>
      </w:r>
      <w:r w:rsidRPr="00A86C94">
        <w:rPr>
          <w:rFonts w:eastAsiaTheme="majorEastAsia"/>
          <w:lang w:val="en-GB"/>
        </w:rPr>
        <w:t>registration and customer information requirements); 4.3.2/4.4.1 (helpline to be given in confirmation purchase confirmation message); 6.1.2 (complaint handling and inquiry procedures not accessible).</w:t>
      </w:r>
    </w:p>
    <w:p w:rsidR="00FA0C93" w:rsidRPr="00A86C94" w:rsidRDefault="00FA0C93" w:rsidP="00FA0C93">
      <w:pPr>
        <w:rPr>
          <w:rFonts w:eastAsiaTheme="majorEastAsia"/>
          <w:lang w:val="en-GB"/>
        </w:rPr>
      </w:pPr>
      <w:r>
        <w:rPr>
          <w:rFonts w:eastAsiaTheme="majorEastAsia"/>
          <w:lang w:val="en-GB"/>
        </w:rPr>
        <w:t xml:space="preserve">Since the 2014 amendment to the MPS Code, there has been no requirement for </w:t>
      </w:r>
      <w:r w:rsidR="001F3C0D">
        <w:rPr>
          <w:rFonts w:eastAsiaTheme="majorEastAsia"/>
          <w:lang w:val="en-GB"/>
        </w:rPr>
        <w:t xml:space="preserve">the industry to conduct MPS Code compliance reporting. Our survey findings suggest that there is sufficient Code non-compliance and consumer detriment to warrant the re-introduction of these requirements to encourage better practice across the third party billing sector. </w:t>
      </w:r>
    </w:p>
    <w:p w:rsidR="00A86C94" w:rsidRPr="001F3C0D" w:rsidRDefault="001F3C0D" w:rsidP="00A86C94">
      <w:pPr>
        <w:rPr>
          <w:rFonts w:eastAsiaTheme="majorEastAsia"/>
          <w:b/>
        </w:rPr>
      </w:pPr>
      <w:r w:rsidRPr="001F3C0D">
        <w:rPr>
          <w:rFonts w:eastAsiaTheme="majorEastAsia"/>
          <w:b/>
        </w:rPr>
        <w:t>Recommendation</w:t>
      </w:r>
      <w:r w:rsidR="00FD7A8D">
        <w:rPr>
          <w:rFonts w:eastAsiaTheme="majorEastAsia"/>
          <w:b/>
        </w:rPr>
        <w:t xml:space="preserve"> 1</w:t>
      </w:r>
      <w:r w:rsidRPr="001F3C0D">
        <w:rPr>
          <w:rFonts w:eastAsiaTheme="majorEastAsia"/>
          <w:b/>
        </w:rPr>
        <w:t xml:space="preserve">: That the MPS Code be amended to introduce an explicit requirement that the industry conduct independent monitoring of Code compliance, accompanied by an obligation for </w:t>
      </w:r>
      <w:r w:rsidRPr="001F3C0D">
        <w:rPr>
          <w:rFonts w:eastAsiaTheme="majorEastAsia"/>
          <w:b/>
        </w:rPr>
        <w:t>publically available reporting on a regular basis to the ACMA.</w:t>
      </w:r>
    </w:p>
    <w:p w:rsidR="009071C6" w:rsidRPr="001D5E0B" w:rsidRDefault="00EF17D8" w:rsidP="00DD71D6">
      <w:pPr>
        <w:pStyle w:val="ListParagraph"/>
        <w:numPr>
          <w:ilvl w:val="0"/>
          <w:numId w:val="10"/>
        </w:numPr>
        <w:spacing w:before="240" w:after="120"/>
        <w:rPr>
          <w:rFonts w:ascii="Calibri" w:eastAsiaTheme="majorEastAsia" w:hAnsi="Calibri" w:cstheme="majorBidi"/>
          <w:b/>
          <w:bCs/>
          <w:color w:val="4F81BD" w:themeColor="accent1"/>
          <w:sz w:val="26"/>
          <w:szCs w:val="26"/>
        </w:rPr>
      </w:pPr>
      <w:r w:rsidRPr="00DD71D6">
        <w:rPr>
          <w:rFonts w:ascii="Calibri" w:eastAsiaTheme="majorEastAsia" w:hAnsi="Calibri" w:cstheme="majorBidi"/>
          <w:b/>
          <w:bCs/>
          <w:color w:val="4F81BD" w:themeColor="accent1"/>
          <w:sz w:val="26"/>
          <w:szCs w:val="26"/>
        </w:rPr>
        <w:t xml:space="preserve">Regulation of all third party billing services under the </w:t>
      </w:r>
      <w:r w:rsidR="006F04CE" w:rsidRPr="00DD71D6">
        <w:rPr>
          <w:rFonts w:ascii="Calibri" w:eastAsiaTheme="majorEastAsia" w:hAnsi="Calibri" w:cstheme="majorBidi"/>
          <w:b/>
          <w:bCs/>
          <w:i/>
          <w:color w:val="4F81BD" w:themeColor="accent1"/>
          <w:sz w:val="26"/>
          <w:szCs w:val="26"/>
        </w:rPr>
        <w:t>MPS Code</w:t>
      </w:r>
    </w:p>
    <w:p w:rsidR="004353CE" w:rsidRDefault="001B7543" w:rsidP="008705B2">
      <w:pPr>
        <w:spacing w:before="240" w:after="120"/>
        <w:rPr>
          <w:rFonts w:ascii="Calibri" w:hAnsi="Calibri"/>
        </w:rPr>
      </w:pPr>
      <w:r>
        <w:rPr>
          <w:rFonts w:ascii="Calibri" w:hAnsi="Calibri"/>
        </w:rPr>
        <w:t>C</w:t>
      </w:r>
      <w:r w:rsidR="003F003A">
        <w:rPr>
          <w:rFonts w:ascii="Calibri" w:hAnsi="Calibri"/>
        </w:rPr>
        <w:t xml:space="preserve">onsumers and industry both struggle to distinguish MPS from DCB. </w:t>
      </w:r>
      <w:r w:rsidR="00F62758">
        <w:rPr>
          <w:rFonts w:ascii="Calibri" w:hAnsi="Calibri"/>
        </w:rPr>
        <w:t>ACCAN ha</w:t>
      </w:r>
      <w:r w:rsidR="002D617D">
        <w:rPr>
          <w:rFonts w:ascii="Calibri" w:hAnsi="Calibri"/>
        </w:rPr>
        <w:t>s</w:t>
      </w:r>
      <w:r w:rsidR="00F62758">
        <w:rPr>
          <w:rFonts w:ascii="Calibri" w:hAnsi="Calibri"/>
        </w:rPr>
        <w:t xml:space="preserve"> previously submitted that </w:t>
      </w:r>
      <w:r w:rsidR="004353CE">
        <w:rPr>
          <w:rFonts w:ascii="Calibri" w:hAnsi="Calibri"/>
        </w:rPr>
        <w:t>Direct Carrier Billing (DCB), a service where</w:t>
      </w:r>
      <w:r w:rsidR="004353CE" w:rsidRPr="00D1543B">
        <w:rPr>
          <w:rFonts w:ascii="Calibri" w:hAnsi="Calibri"/>
        </w:rPr>
        <w:t xml:space="preserve"> mobile providers allow third party businesses to bill customers for services via the customer’s phone bill</w:t>
      </w:r>
      <w:r w:rsidR="004353CE">
        <w:rPr>
          <w:rFonts w:ascii="Calibri" w:hAnsi="Calibri"/>
        </w:rPr>
        <w:t xml:space="preserve">, should be regulated under </w:t>
      </w:r>
      <w:r w:rsidR="00D1543B" w:rsidRPr="00D1543B">
        <w:rPr>
          <w:rFonts w:ascii="Calibri" w:hAnsi="Calibri"/>
        </w:rPr>
        <w:t xml:space="preserve">the </w:t>
      </w:r>
      <w:r w:rsidR="00370FA1">
        <w:rPr>
          <w:rFonts w:ascii="Calibri" w:hAnsi="Calibri"/>
        </w:rPr>
        <w:t>Code</w:t>
      </w:r>
      <w:r w:rsidR="004353CE">
        <w:rPr>
          <w:rFonts w:ascii="Calibri" w:hAnsi="Calibri"/>
        </w:rPr>
        <w:t>.</w:t>
      </w:r>
      <w:r>
        <w:rPr>
          <w:rStyle w:val="FootnoteReference"/>
          <w:rFonts w:ascii="Calibri" w:hAnsi="Calibri"/>
        </w:rPr>
        <w:footnoteReference w:id="2"/>
      </w:r>
      <w:r w:rsidR="004353CE">
        <w:rPr>
          <w:rFonts w:ascii="Calibri" w:hAnsi="Calibri"/>
        </w:rPr>
        <w:t xml:space="preserve"> </w:t>
      </w:r>
      <w:r w:rsidR="006F04CE">
        <w:rPr>
          <w:rFonts w:ascii="Calibri" w:hAnsi="Calibri"/>
        </w:rPr>
        <w:t>DCB</w:t>
      </w:r>
      <w:r w:rsidR="004353CE" w:rsidRPr="00D1543B">
        <w:rPr>
          <w:rFonts w:ascii="Calibri" w:hAnsi="Calibri"/>
        </w:rPr>
        <w:t xml:space="preserve"> operates on a very similar basis to MPS, however </w:t>
      </w:r>
      <w:r w:rsidR="003F003A">
        <w:rPr>
          <w:rFonts w:ascii="Calibri" w:hAnsi="Calibri"/>
        </w:rPr>
        <w:t xml:space="preserve">is excluded from </w:t>
      </w:r>
      <w:r w:rsidR="00033637">
        <w:rPr>
          <w:rFonts w:ascii="Calibri" w:hAnsi="Calibri"/>
        </w:rPr>
        <w:t xml:space="preserve">the current scope of the Code. </w:t>
      </w:r>
      <w:r w:rsidR="004353CE">
        <w:rPr>
          <w:rFonts w:ascii="Calibri" w:hAnsi="Calibri"/>
        </w:rPr>
        <w:t>On the basis of this argument, it seems l</w:t>
      </w:r>
      <w:r w:rsidR="003922D8">
        <w:rPr>
          <w:rFonts w:ascii="Calibri" w:hAnsi="Calibri"/>
        </w:rPr>
        <w:t xml:space="preserve">ogical that the </w:t>
      </w:r>
      <w:r w:rsidR="004353CE">
        <w:rPr>
          <w:rFonts w:ascii="Calibri" w:hAnsi="Calibri"/>
        </w:rPr>
        <w:t xml:space="preserve">two </w:t>
      </w:r>
      <w:r w:rsidR="00634C7C">
        <w:rPr>
          <w:rFonts w:ascii="Calibri" w:hAnsi="Calibri"/>
        </w:rPr>
        <w:t>type</w:t>
      </w:r>
      <w:r w:rsidR="004353CE">
        <w:rPr>
          <w:rFonts w:ascii="Calibri" w:hAnsi="Calibri"/>
        </w:rPr>
        <w:t xml:space="preserve">s of third party billing services </w:t>
      </w:r>
      <w:r w:rsidR="001924C7">
        <w:rPr>
          <w:rFonts w:ascii="Calibri" w:hAnsi="Calibri"/>
        </w:rPr>
        <w:t>should be</w:t>
      </w:r>
      <w:r w:rsidR="004353CE">
        <w:rPr>
          <w:rFonts w:ascii="Calibri" w:hAnsi="Calibri"/>
        </w:rPr>
        <w:t xml:space="preserve"> subject to the same type of regulation.</w:t>
      </w:r>
    </w:p>
    <w:p w:rsidR="00F773A9" w:rsidRDefault="00F773A9" w:rsidP="00F773A9">
      <w:pPr>
        <w:spacing w:before="240" w:after="120"/>
        <w:rPr>
          <w:rFonts w:ascii="Calibri" w:hAnsi="Calibri"/>
        </w:rPr>
      </w:pPr>
      <w:r>
        <w:rPr>
          <w:rFonts w:ascii="Calibri" w:hAnsi="Calibri"/>
        </w:rPr>
        <w:t xml:space="preserve">In response to ACCAN’s submission that DCB be regulated by the </w:t>
      </w:r>
      <w:r w:rsidRPr="006F04CE">
        <w:rPr>
          <w:rFonts w:ascii="Calibri" w:hAnsi="Calibri"/>
        </w:rPr>
        <w:t>Code</w:t>
      </w:r>
      <w:r>
        <w:rPr>
          <w:rFonts w:ascii="Calibri" w:hAnsi="Calibri"/>
        </w:rPr>
        <w:t xml:space="preserve">, Communications Alliance </w:t>
      </w:r>
      <w:r w:rsidR="0086305C">
        <w:rPr>
          <w:rFonts w:ascii="Calibri" w:hAnsi="Calibri"/>
        </w:rPr>
        <w:t xml:space="preserve">has </w:t>
      </w:r>
      <w:r>
        <w:rPr>
          <w:rFonts w:ascii="Calibri" w:hAnsi="Calibri"/>
        </w:rPr>
        <w:t>cited a low volume of Telecommunications Industry Ombudsman (TIO) complaints about DCB charges as a justification for excluding it from the Terms of Reference of the Code review. ACCAN submits that t</w:t>
      </w:r>
      <w:r w:rsidRPr="001B6E11">
        <w:rPr>
          <w:rFonts w:ascii="Calibri" w:hAnsi="Calibri"/>
        </w:rPr>
        <w:t xml:space="preserve">he </w:t>
      </w:r>
      <w:r w:rsidR="00067C8F">
        <w:rPr>
          <w:rFonts w:ascii="Calibri" w:hAnsi="Calibri"/>
        </w:rPr>
        <w:t xml:space="preserve">TIO </w:t>
      </w:r>
      <w:r w:rsidRPr="001B6E11">
        <w:rPr>
          <w:rFonts w:ascii="Calibri" w:hAnsi="Calibri"/>
        </w:rPr>
        <w:t xml:space="preserve">complaints data </w:t>
      </w:r>
      <w:r w:rsidR="00030EAB">
        <w:rPr>
          <w:rFonts w:ascii="Calibri" w:hAnsi="Calibri"/>
        </w:rPr>
        <w:t xml:space="preserve">relied upon </w:t>
      </w:r>
      <w:r>
        <w:rPr>
          <w:rFonts w:ascii="Calibri" w:hAnsi="Calibri"/>
        </w:rPr>
        <w:t xml:space="preserve">by Communications </w:t>
      </w:r>
      <w:r>
        <w:rPr>
          <w:rFonts w:ascii="Calibri" w:hAnsi="Calibri"/>
        </w:rPr>
        <w:t xml:space="preserve">Alliance </w:t>
      </w:r>
      <w:r w:rsidR="0086305C">
        <w:rPr>
          <w:rFonts w:ascii="Calibri" w:hAnsi="Calibri"/>
        </w:rPr>
        <w:t xml:space="preserve">does </w:t>
      </w:r>
      <w:r w:rsidR="0086305C">
        <w:rPr>
          <w:rFonts w:ascii="Calibri" w:hAnsi="Calibri"/>
        </w:rPr>
        <w:t>not r</w:t>
      </w:r>
      <w:r w:rsidR="007B15E3">
        <w:rPr>
          <w:rFonts w:ascii="Calibri" w:hAnsi="Calibri"/>
        </w:rPr>
        <w:t xml:space="preserve">epresent </w:t>
      </w:r>
      <w:r w:rsidR="0086305C">
        <w:rPr>
          <w:rFonts w:ascii="Calibri" w:hAnsi="Calibri"/>
        </w:rPr>
        <w:t>complaint</w:t>
      </w:r>
      <w:r w:rsidR="007B15E3">
        <w:rPr>
          <w:rFonts w:ascii="Calibri" w:hAnsi="Calibri"/>
        </w:rPr>
        <w:t xml:space="preserve"> levels</w:t>
      </w:r>
      <w:r w:rsidR="0086305C">
        <w:rPr>
          <w:rFonts w:ascii="Calibri" w:hAnsi="Calibri"/>
        </w:rPr>
        <w:t xml:space="preserve"> accurately</w:t>
      </w:r>
      <w:r>
        <w:rPr>
          <w:rFonts w:ascii="Calibri" w:hAnsi="Calibri"/>
        </w:rPr>
        <w:t xml:space="preserve"> for several reasons:</w:t>
      </w:r>
    </w:p>
    <w:p w:rsidR="00F773A9" w:rsidRPr="00086E02" w:rsidRDefault="00F773A9" w:rsidP="00086E02">
      <w:pPr>
        <w:pStyle w:val="ListParagraph"/>
        <w:numPr>
          <w:ilvl w:val="0"/>
          <w:numId w:val="1"/>
        </w:numPr>
        <w:spacing w:before="240" w:after="240" w:line="276" w:lineRule="auto"/>
        <w:rPr>
          <w:rFonts w:ascii="Calibri" w:hAnsi="Calibri"/>
        </w:rPr>
      </w:pPr>
      <w:r w:rsidRPr="00086E02">
        <w:rPr>
          <w:rFonts w:ascii="Calibri" w:hAnsi="Calibri"/>
        </w:rPr>
        <w:t xml:space="preserve">The TIO’s third party billing complaints have, up until this point, failed to distinguish MPS charges from DCB charges, so the volume of DCB complaints is not accurately measured by </w:t>
      </w:r>
      <w:r w:rsidRPr="00536C27">
        <w:rPr>
          <w:rFonts w:ascii="Calibri" w:hAnsi="Calibri"/>
        </w:rPr>
        <w:t xml:space="preserve">the </w:t>
      </w:r>
      <w:r w:rsidRPr="00536C27">
        <w:rPr>
          <w:rFonts w:ascii="Calibri" w:hAnsi="Calibri"/>
        </w:rPr>
        <w:lastRenderedPageBreak/>
        <w:t>TIO un</w:t>
      </w:r>
      <w:r w:rsidRPr="00086E02">
        <w:rPr>
          <w:rFonts w:ascii="Calibri" w:hAnsi="Calibri"/>
        </w:rPr>
        <w:t xml:space="preserve">der the third party billing category. </w:t>
      </w:r>
      <w:r w:rsidR="00B94048">
        <w:t>ACCAN</w:t>
      </w:r>
      <w:r>
        <w:t xml:space="preserve"> </w:t>
      </w:r>
      <w:r w:rsidR="00086E02">
        <w:t xml:space="preserve">has been advised by the TIO that </w:t>
      </w:r>
      <w:r>
        <w:t xml:space="preserve">MPS/DCB complaints are </w:t>
      </w:r>
      <w:r w:rsidR="00086E02">
        <w:t xml:space="preserve">at times categorised as billing issues. This means they are </w:t>
      </w:r>
      <w:r w:rsidR="003F003A">
        <w:t xml:space="preserve">hidden in </w:t>
      </w:r>
      <w:r>
        <w:t>generic billing complaints data, which comprised 42% of overall TIO complaints in 2015-2016. Complaints data generically categorised as “billing” fails to accurately reflect the actual volume of MPS/DCB third party billing complaints by consumers.</w:t>
      </w:r>
    </w:p>
    <w:p w:rsidR="00F773A9" w:rsidRPr="003F003A" w:rsidRDefault="00086E02" w:rsidP="00F773A9">
      <w:pPr>
        <w:pStyle w:val="ListParagraph"/>
        <w:numPr>
          <w:ilvl w:val="0"/>
          <w:numId w:val="1"/>
        </w:numPr>
        <w:spacing w:before="240" w:after="240" w:line="276" w:lineRule="auto"/>
        <w:rPr>
          <w:rFonts w:eastAsia="Times New Roman" w:cs="Times New Roman"/>
        </w:rPr>
      </w:pPr>
      <w:r>
        <w:rPr>
          <w:rFonts w:ascii="Calibri" w:hAnsi="Calibri"/>
        </w:rPr>
        <w:t>Our survey found o</w:t>
      </w:r>
      <w:r w:rsidR="00F773A9">
        <w:rPr>
          <w:rFonts w:ascii="Calibri" w:hAnsi="Calibri"/>
        </w:rPr>
        <w:t>nly</w:t>
      </w:r>
      <w:r w:rsidR="00F773A9" w:rsidRPr="001F5161">
        <w:rPr>
          <w:rFonts w:ascii="Calibri" w:hAnsi="Calibri"/>
        </w:rPr>
        <w:t xml:space="preserve"> </w:t>
      </w:r>
      <w:r>
        <w:rPr>
          <w:rFonts w:ascii="Calibri" w:hAnsi="Calibri"/>
        </w:rPr>
        <w:t xml:space="preserve">a small number of </w:t>
      </w:r>
      <w:r w:rsidR="00F773A9" w:rsidRPr="001F5161">
        <w:rPr>
          <w:rFonts w:ascii="Calibri" w:hAnsi="Calibri"/>
        </w:rPr>
        <w:t xml:space="preserve">respondents who had received unexpected third party billing charges complained to the </w:t>
      </w:r>
      <w:r w:rsidR="00F773A9" w:rsidRPr="001F5161">
        <w:rPr>
          <w:rFonts w:ascii="Calibri" w:hAnsi="Calibri"/>
        </w:rPr>
        <w:t>T</w:t>
      </w:r>
      <w:r w:rsidR="00F773A9">
        <w:rPr>
          <w:rFonts w:ascii="Calibri" w:hAnsi="Calibri"/>
        </w:rPr>
        <w:t>IO</w:t>
      </w:r>
      <w:r w:rsidR="00E66CAF">
        <w:rPr>
          <w:rFonts w:ascii="Calibri" w:hAnsi="Calibri"/>
        </w:rPr>
        <w:t xml:space="preserve"> </w:t>
      </w:r>
      <w:r>
        <w:rPr>
          <w:rFonts w:ascii="Calibri" w:hAnsi="Calibri"/>
        </w:rPr>
        <w:t>(</w:t>
      </w:r>
      <w:r w:rsidRPr="001F5161">
        <w:rPr>
          <w:rFonts w:ascii="Calibri" w:hAnsi="Calibri"/>
        </w:rPr>
        <w:t>6%</w:t>
      </w:r>
      <w:r>
        <w:rPr>
          <w:rFonts w:ascii="Calibri" w:hAnsi="Calibri"/>
        </w:rPr>
        <w:t>).</w:t>
      </w:r>
    </w:p>
    <w:p w:rsidR="00086E02" w:rsidRPr="00FB5E3D" w:rsidRDefault="00511BC0" w:rsidP="00F773A9">
      <w:pPr>
        <w:pStyle w:val="ListParagraph"/>
        <w:numPr>
          <w:ilvl w:val="0"/>
          <w:numId w:val="1"/>
        </w:numPr>
        <w:spacing w:before="240" w:after="240" w:line="276" w:lineRule="auto"/>
        <w:rPr>
          <w:rFonts w:eastAsia="Times New Roman" w:cs="Times New Roman"/>
        </w:rPr>
      </w:pPr>
      <w:r>
        <w:rPr>
          <w:rFonts w:ascii="Calibri" w:hAnsi="Calibri"/>
        </w:rPr>
        <w:t xml:space="preserve">By contrast, 52% of respondents </w:t>
      </w:r>
      <w:r w:rsidR="00086E02">
        <w:rPr>
          <w:rFonts w:ascii="Calibri" w:hAnsi="Calibri"/>
        </w:rPr>
        <w:t>who</w:t>
      </w:r>
      <w:r>
        <w:rPr>
          <w:rFonts w:ascii="Calibri" w:hAnsi="Calibri"/>
        </w:rPr>
        <w:t xml:space="preserve"> were unexpectedly charged</w:t>
      </w:r>
      <w:r w:rsidR="00086E02">
        <w:rPr>
          <w:rFonts w:ascii="Calibri" w:hAnsi="Calibri"/>
        </w:rPr>
        <w:t xml:space="preserve"> complained to th</w:t>
      </w:r>
      <w:r>
        <w:rPr>
          <w:rFonts w:ascii="Calibri" w:hAnsi="Calibri"/>
        </w:rPr>
        <w:t xml:space="preserve">eir </w:t>
      </w:r>
      <w:r w:rsidR="00B94048">
        <w:rPr>
          <w:rFonts w:ascii="Calibri" w:hAnsi="Calibri"/>
        </w:rPr>
        <w:t>mobile phone provider</w:t>
      </w:r>
      <w:r>
        <w:rPr>
          <w:rFonts w:ascii="Calibri" w:hAnsi="Calibri"/>
        </w:rPr>
        <w:t xml:space="preserve">, and 15% complained to the third party provider. Mobile phone providers were almost always the first party consumers </w:t>
      </w:r>
      <w:r w:rsidR="00536C27">
        <w:rPr>
          <w:rFonts w:ascii="Calibri" w:hAnsi="Calibri"/>
        </w:rPr>
        <w:t>turn to for resolution of these matters (in 97% of cases</w:t>
      </w:r>
      <w:r w:rsidR="00536C27">
        <w:rPr>
          <w:rFonts w:ascii="Calibri" w:hAnsi="Calibri"/>
        </w:rPr>
        <w:t>)</w:t>
      </w:r>
      <w:r w:rsidR="00E66CAF">
        <w:rPr>
          <w:rFonts w:ascii="Calibri" w:hAnsi="Calibri"/>
        </w:rPr>
        <w:t>.</w:t>
      </w:r>
      <w:r w:rsidR="00536C27">
        <w:rPr>
          <w:rStyle w:val="FootnoteReference"/>
          <w:rFonts w:ascii="Calibri" w:hAnsi="Calibri"/>
        </w:rPr>
        <w:footnoteReference w:id="3"/>
      </w:r>
    </w:p>
    <w:p w:rsidR="00F773A9" w:rsidRDefault="00E7114B" w:rsidP="008705B2">
      <w:pPr>
        <w:spacing w:before="240" w:after="120"/>
        <w:rPr>
          <w:rFonts w:ascii="Calibri" w:hAnsi="Calibri"/>
        </w:rPr>
      </w:pPr>
      <w:r>
        <w:rPr>
          <w:rFonts w:ascii="Calibri" w:hAnsi="Calibri"/>
        </w:rPr>
        <w:t>These findings indicate that a sizable number of consumers are dissatisfie</w:t>
      </w:r>
      <w:r w:rsidR="00B94048">
        <w:rPr>
          <w:rFonts w:ascii="Calibri" w:hAnsi="Calibri"/>
        </w:rPr>
        <w:t xml:space="preserve">d and complaining about </w:t>
      </w:r>
      <w:r>
        <w:rPr>
          <w:rFonts w:ascii="Calibri" w:hAnsi="Calibri"/>
        </w:rPr>
        <w:t xml:space="preserve">third party billing. </w:t>
      </w:r>
      <w:r w:rsidR="00F773A9">
        <w:rPr>
          <w:rFonts w:ascii="Calibri" w:hAnsi="Calibri"/>
        </w:rPr>
        <w:t>The inaccuracy of the complaints</w:t>
      </w:r>
      <w:r w:rsidR="00F95861">
        <w:rPr>
          <w:rFonts w:ascii="Calibri" w:hAnsi="Calibri"/>
        </w:rPr>
        <w:t xml:space="preserve"> data, </w:t>
      </w:r>
      <w:r w:rsidR="00D94C78">
        <w:rPr>
          <w:rFonts w:ascii="Calibri" w:hAnsi="Calibri"/>
        </w:rPr>
        <w:t>highlighted</w:t>
      </w:r>
      <w:r w:rsidR="00F95861">
        <w:rPr>
          <w:rFonts w:ascii="Calibri" w:hAnsi="Calibri"/>
        </w:rPr>
        <w:t xml:space="preserve"> by ACCAN’s survey, </w:t>
      </w:r>
      <w:r w:rsidR="00F773A9">
        <w:rPr>
          <w:rFonts w:ascii="Calibri" w:hAnsi="Calibri"/>
        </w:rPr>
        <w:t>undermines the Communic</w:t>
      </w:r>
      <w:r w:rsidR="00F95861">
        <w:rPr>
          <w:rFonts w:ascii="Calibri" w:hAnsi="Calibri"/>
        </w:rPr>
        <w:t xml:space="preserve">ations Alliance’s </w:t>
      </w:r>
      <w:r w:rsidR="00D94C78">
        <w:rPr>
          <w:rFonts w:ascii="Calibri" w:hAnsi="Calibri"/>
        </w:rPr>
        <w:t xml:space="preserve">justification for </w:t>
      </w:r>
      <w:r w:rsidR="00E54143">
        <w:rPr>
          <w:rFonts w:ascii="Calibri" w:hAnsi="Calibri"/>
        </w:rPr>
        <w:t>excluding regulation of DCB under</w:t>
      </w:r>
      <w:r w:rsidR="00EC0E9E">
        <w:rPr>
          <w:rFonts w:ascii="Calibri" w:hAnsi="Calibri"/>
        </w:rPr>
        <w:t xml:space="preserve"> the </w:t>
      </w:r>
      <w:r w:rsidR="00B94048">
        <w:rPr>
          <w:rFonts w:ascii="Calibri" w:hAnsi="Calibri"/>
        </w:rPr>
        <w:t xml:space="preserve">Code </w:t>
      </w:r>
      <w:r w:rsidR="00E54143">
        <w:rPr>
          <w:rFonts w:ascii="Calibri" w:hAnsi="Calibri"/>
        </w:rPr>
        <w:t>from the</w:t>
      </w:r>
      <w:r w:rsidR="00EC0E9E">
        <w:rPr>
          <w:rFonts w:ascii="Calibri" w:hAnsi="Calibri"/>
        </w:rPr>
        <w:t xml:space="preserve"> review</w:t>
      </w:r>
      <w:r w:rsidR="00E54143">
        <w:rPr>
          <w:rFonts w:ascii="Calibri" w:hAnsi="Calibri"/>
        </w:rPr>
        <w:t>’s Terms of Reference</w:t>
      </w:r>
      <w:r w:rsidR="00EC0E9E">
        <w:rPr>
          <w:rFonts w:ascii="Calibri" w:hAnsi="Calibri"/>
        </w:rPr>
        <w:t>.</w:t>
      </w:r>
    </w:p>
    <w:p w:rsidR="00CD2F6D" w:rsidRDefault="00E66CAF" w:rsidP="00CD2F6D">
      <w:pPr>
        <w:spacing w:before="240" w:after="120"/>
        <w:rPr>
          <w:rFonts w:ascii="Calibri" w:hAnsi="Calibri"/>
        </w:rPr>
      </w:pPr>
      <w:r>
        <w:rPr>
          <w:rFonts w:ascii="Calibri" w:hAnsi="Calibri"/>
        </w:rPr>
        <w:t>R</w:t>
      </w:r>
      <w:r w:rsidR="00CD2F6D">
        <w:rPr>
          <w:rFonts w:ascii="Calibri" w:hAnsi="Calibri"/>
        </w:rPr>
        <w:t xml:space="preserve">egulation </w:t>
      </w:r>
      <w:r w:rsidR="00CD2F6D">
        <w:rPr>
          <w:rFonts w:ascii="Calibri" w:hAnsi="Calibri"/>
        </w:rPr>
        <w:t xml:space="preserve">of DCB services is an important issue because </w:t>
      </w:r>
      <w:r w:rsidR="00B94048">
        <w:rPr>
          <w:rFonts w:ascii="Calibri" w:hAnsi="Calibri"/>
        </w:rPr>
        <w:t xml:space="preserve">they have </w:t>
      </w:r>
      <w:r w:rsidR="00CD2F6D">
        <w:rPr>
          <w:rFonts w:ascii="Calibri" w:hAnsi="Calibri"/>
        </w:rPr>
        <w:t>far greater</w:t>
      </w:r>
      <w:r w:rsidR="00CD2F6D" w:rsidRPr="00D1543B">
        <w:rPr>
          <w:rFonts w:ascii="Calibri" w:hAnsi="Calibri"/>
        </w:rPr>
        <w:t xml:space="preserve"> audience reach</w:t>
      </w:r>
      <w:r w:rsidR="001B7543">
        <w:rPr>
          <w:rFonts w:ascii="Calibri" w:hAnsi="Calibri"/>
        </w:rPr>
        <w:t xml:space="preserve"> than</w:t>
      </w:r>
      <w:r w:rsidR="00CD2F6D" w:rsidRPr="00D1543B">
        <w:rPr>
          <w:rFonts w:ascii="Calibri" w:hAnsi="Calibri"/>
        </w:rPr>
        <w:t xml:space="preserve"> </w:t>
      </w:r>
      <w:r w:rsidR="00CD2F6D">
        <w:rPr>
          <w:rFonts w:ascii="Calibri" w:hAnsi="Calibri"/>
        </w:rPr>
        <w:t>MPS services. DCB</w:t>
      </w:r>
      <w:r w:rsidR="00CD2F6D" w:rsidRPr="00D1543B">
        <w:rPr>
          <w:rFonts w:ascii="Calibri" w:hAnsi="Calibri"/>
        </w:rPr>
        <w:t xml:space="preserve"> provides access to content that is very popular</w:t>
      </w:r>
      <w:r w:rsidR="00CD2F6D">
        <w:rPr>
          <w:rFonts w:ascii="Calibri" w:hAnsi="Calibri"/>
        </w:rPr>
        <w:t xml:space="preserve"> including the </w:t>
      </w:r>
      <w:r w:rsidR="00CD2F6D" w:rsidRPr="00D1543B">
        <w:rPr>
          <w:rFonts w:ascii="Calibri" w:hAnsi="Calibri"/>
        </w:rPr>
        <w:t>entire Google Play catalogue of movies, TV shows, music and music streaming services, eBooks and high quality apps including games.</w:t>
      </w:r>
      <w:r w:rsidR="00CD2F6D">
        <w:rPr>
          <w:rStyle w:val="FootnoteReference"/>
          <w:rFonts w:ascii="Calibri" w:hAnsi="Calibri"/>
        </w:rPr>
        <w:footnoteReference w:id="4"/>
      </w:r>
      <w:r w:rsidR="00CD2F6D">
        <w:rPr>
          <w:rFonts w:ascii="Calibri" w:hAnsi="Calibri"/>
        </w:rPr>
        <w:t xml:space="preserve"> DCB also has a very high potential for future expansion in Australia.</w:t>
      </w:r>
      <w:r w:rsidR="00CD2F6D" w:rsidRPr="00D1543B">
        <w:rPr>
          <w:rFonts w:ascii="Calibri" w:hAnsi="Calibri"/>
        </w:rPr>
        <w:t xml:space="preserve">  In the UK, </w:t>
      </w:r>
      <w:r w:rsidR="00CD2F6D">
        <w:rPr>
          <w:rFonts w:ascii="Calibri" w:hAnsi="Calibri"/>
        </w:rPr>
        <w:t xml:space="preserve">for example, </w:t>
      </w:r>
      <w:r w:rsidR="00CD2F6D" w:rsidRPr="00D1543B">
        <w:rPr>
          <w:rFonts w:ascii="Calibri" w:hAnsi="Calibri"/>
        </w:rPr>
        <w:t>consumers can charge bus tickets and magazines to their phone bills.</w:t>
      </w:r>
      <w:r w:rsidR="00CD2F6D">
        <w:rPr>
          <w:rStyle w:val="FootnoteReference"/>
          <w:rFonts w:ascii="Calibri" w:hAnsi="Calibri"/>
        </w:rPr>
        <w:footnoteReference w:id="5"/>
      </w:r>
      <w:r w:rsidR="00B94048">
        <w:rPr>
          <w:rFonts w:ascii="Calibri" w:hAnsi="Calibri"/>
        </w:rPr>
        <w:t xml:space="preserve"> If there is no change in consumer safeguards for </w:t>
      </w:r>
      <w:r w:rsidR="00CD2F6D">
        <w:rPr>
          <w:rFonts w:ascii="Calibri" w:hAnsi="Calibri"/>
        </w:rPr>
        <w:t>DCB services, it follows that an increased market for DCB services will proportionally increase the number of people who may be unexpectedly charged for these services.</w:t>
      </w:r>
    </w:p>
    <w:p w:rsidR="003922D8" w:rsidRPr="003922D8" w:rsidRDefault="00F0555D" w:rsidP="008705B2">
      <w:pPr>
        <w:spacing w:before="240" w:after="120"/>
        <w:rPr>
          <w:rFonts w:ascii="Calibri" w:hAnsi="Calibri"/>
        </w:rPr>
      </w:pPr>
      <w:r>
        <w:rPr>
          <w:rFonts w:ascii="Calibri" w:hAnsi="Calibri"/>
        </w:rPr>
        <w:t xml:space="preserve">Communications Alliance has deemed a double opt-in arrangement </w:t>
      </w:r>
      <w:r w:rsidRPr="003922D8">
        <w:rPr>
          <w:rFonts w:ascii="Calibri" w:hAnsi="Calibri"/>
        </w:rPr>
        <w:t>for DCB services, intro</w:t>
      </w:r>
      <w:r w:rsidR="003922D8" w:rsidRPr="003922D8">
        <w:rPr>
          <w:rFonts w:ascii="Calibri" w:hAnsi="Calibri"/>
        </w:rPr>
        <w:t>duced in mid-2016</w:t>
      </w:r>
      <w:r w:rsidR="001B7543">
        <w:rPr>
          <w:rFonts w:ascii="Calibri" w:hAnsi="Calibri"/>
        </w:rPr>
        <w:t xml:space="preserve"> by Telstra and Optus</w:t>
      </w:r>
      <w:r w:rsidR="003922D8" w:rsidRPr="003922D8">
        <w:rPr>
          <w:rFonts w:ascii="Calibri" w:hAnsi="Calibri"/>
        </w:rPr>
        <w:t>, as providing adequate consumer safeguards</w:t>
      </w:r>
      <w:r w:rsidRPr="003922D8">
        <w:rPr>
          <w:rFonts w:ascii="Calibri" w:hAnsi="Calibri"/>
        </w:rPr>
        <w:t xml:space="preserve"> for </w:t>
      </w:r>
      <w:r w:rsidR="00367163" w:rsidRPr="003922D8">
        <w:rPr>
          <w:rFonts w:ascii="Calibri" w:hAnsi="Calibri"/>
        </w:rPr>
        <w:t>DCB</w:t>
      </w:r>
      <w:r w:rsidRPr="003922D8">
        <w:rPr>
          <w:rFonts w:ascii="Calibri" w:hAnsi="Calibri"/>
        </w:rPr>
        <w:t xml:space="preserve"> charges. </w:t>
      </w:r>
      <w:r w:rsidR="00E54143" w:rsidRPr="003922D8">
        <w:rPr>
          <w:rFonts w:ascii="Calibri" w:hAnsi="Calibri"/>
        </w:rPr>
        <w:t xml:space="preserve">But ACCAN’s survey revealed that at </w:t>
      </w:r>
      <w:r w:rsidR="00F62758" w:rsidRPr="003922D8">
        <w:rPr>
          <w:rFonts w:ascii="Calibri" w:hAnsi="Calibri"/>
        </w:rPr>
        <w:t xml:space="preserve">least 12% of </w:t>
      </w:r>
      <w:r w:rsidR="007267D0" w:rsidRPr="003922D8">
        <w:rPr>
          <w:rFonts w:ascii="Calibri" w:hAnsi="Calibri"/>
        </w:rPr>
        <w:t xml:space="preserve">Telstra, Optus and Vodafone </w:t>
      </w:r>
      <w:r w:rsidR="00F62758" w:rsidRPr="003922D8">
        <w:rPr>
          <w:rFonts w:ascii="Calibri" w:hAnsi="Calibri"/>
        </w:rPr>
        <w:t>pre-paid and post-paid mobile phone account holders continue to receive unexpected third party charges</w:t>
      </w:r>
      <w:r w:rsidR="007267D0" w:rsidRPr="003922D8">
        <w:rPr>
          <w:rFonts w:ascii="Calibri" w:hAnsi="Calibri"/>
        </w:rPr>
        <w:t>.</w:t>
      </w:r>
      <w:r w:rsidRPr="003922D8">
        <w:rPr>
          <w:rFonts w:ascii="Calibri" w:hAnsi="Calibri"/>
        </w:rPr>
        <w:t xml:space="preserve"> </w:t>
      </w:r>
      <w:r w:rsidR="003922D8">
        <w:t>When extrapolated across the total number of Telstra, Optus and Vodafone mobile phone account holders, 12% equates to almost 1.9m people receiving unexpected MPS and DCB third party charges on their mobile bills</w:t>
      </w:r>
      <w:r w:rsidR="003922D8">
        <w:rPr>
          <w:rFonts w:ascii="Calibri" w:hAnsi="Calibri"/>
        </w:rPr>
        <w:t xml:space="preserve">. </w:t>
      </w:r>
      <w:r w:rsidR="003922D8">
        <w:t>ACCAN estimates that collectively Telstra, Optus and Vodafone customers may have been charged as much as $20m unexpectedly for third party services, comprising MPS and DCB, in the six month period covered by the survey.</w:t>
      </w:r>
    </w:p>
    <w:p w:rsidR="00370FA1" w:rsidRDefault="00370FA1" w:rsidP="00370FA1">
      <w:pPr>
        <w:spacing w:before="240" w:after="120"/>
        <w:rPr>
          <w:rFonts w:ascii="Calibri" w:hAnsi="Calibri"/>
        </w:rPr>
      </w:pPr>
      <w:r w:rsidRPr="00F3421A">
        <w:rPr>
          <w:rFonts w:ascii="Calibri" w:hAnsi="Calibri"/>
        </w:rPr>
        <w:t>The</w:t>
      </w:r>
      <w:r>
        <w:rPr>
          <w:rFonts w:ascii="Calibri" w:hAnsi="Calibri"/>
        </w:rPr>
        <w:t xml:space="preserve"> ACCAN</w:t>
      </w:r>
      <w:r w:rsidRPr="00F3421A">
        <w:rPr>
          <w:rFonts w:ascii="Calibri" w:hAnsi="Calibri"/>
        </w:rPr>
        <w:t xml:space="preserve"> survey did not distinguish between MPS and DCB services because it was not practicable to do so. From a consumer perspective, the distinction between the two is confusing </w:t>
      </w:r>
      <w:r>
        <w:rPr>
          <w:rFonts w:ascii="Calibri" w:hAnsi="Calibri"/>
        </w:rPr>
        <w:t>in practice</w:t>
      </w:r>
      <w:r w:rsidRPr="00F3421A">
        <w:rPr>
          <w:rFonts w:ascii="Calibri" w:hAnsi="Calibri"/>
        </w:rPr>
        <w:t xml:space="preserve">. Both use 19x SMS for the delivery of service messages; the opt-out response of sending a STOP SMS to a 19x is identical, and </w:t>
      </w:r>
      <w:r>
        <w:rPr>
          <w:rFonts w:ascii="Calibri" w:hAnsi="Calibri"/>
        </w:rPr>
        <w:t xml:space="preserve">both are </w:t>
      </w:r>
      <w:r w:rsidRPr="00F3421A">
        <w:rPr>
          <w:rFonts w:ascii="Calibri" w:hAnsi="Calibri"/>
        </w:rPr>
        <w:t>treated the same for billing purposes</w:t>
      </w:r>
      <w:r>
        <w:rPr>
          <w:rFonts w:ascii="Calibri" w:hAnsi="Calibri"/>
        </w:rPr>
        <w:t>.</w:t>
      </w:r>
      <w:r w:rsidRPr="00F3421A">
        <w:rPr>
          <w:rFonts w:ascii="Calibri" w:hAnsi="Calibri"/>
        </w:rPr>
        <w:t xml:space="preserve"> Furthermore, consumer </w:t>
      </w:r>
      <w:r w:rsidRPr="00F3421A">
        <w:rPr>
          <w:rFonts w:ascii="Calibri" w:hAnsi="Calibri"/>
        </w:rPr>
        <w:lastRenderedPageBreak/>
        <w:t>experience of the sign up process is that there can be many similarities.</w:t>
      </w:r>
      <w:r>
        <w:rPr>
          <w:rFonts w:ascii="Calibri" w:hAnsi="Calibri"/>
        </w:rPr>
        <w:t xml:space="preserve"> </w:t>
      </w:r>
      <w:r w:rsidRPr="00BF307B">
        <w:rPr>
          <w:rFonts w:ascii="Calibri" w:hAnsi="Calibri"/>
        </w:rPr>
        <w:t>ACCAN notes that during recent Working Group discussions for revision of the Code, representatives of the telecommunications industry acknowledged that DCB and MPS services are so similar it is virtually impossible to d</w:t>
      </w:r>
      <w:r>
        <w:rPr>
          <w:rFonts w:ascii="Calibri" w:hAnsi="Calibri"/>
        </w:rPr>
        <w:t xml:space="preserve">istinguish the two </w:t>
      </w:r>
      <w:r w:rsidRPr="00BF307B">
        <w:rPr>
          <w:rFonts w:ascii="Calibri" w:hAnsi="Calibri"/>
        </w:rPr>
        <w:t>for the purposes of TIO complaints reporting.</w:t>
      </w:r>
      <w:r>
        <w:rPr>
          <w:rFonts w:ascii="Calibri" w:hAnsi="Calibri"/>
        </w:rPr>
        <w:t xml:space="preserve"> </w:t>
      </w:r>
    </w:p>
    <w:p w:rsidR="00B94048" w:rsidRDefault="00B94048" w:rsidP="00370FA1">
      <w:pPr>
        <w:spacing w:before="240" w:after="120"/>
        <w:rPr>
          <w:rFonts w:ascii="Calibri" w:hAnsi="Calibri"/>
        </w:rPr>
      </w:pPr>
      <w:r>
        <w:rPr>
          <w:rFonts w:ascii="Calibri" w:hAnsi="Calibri"/>
        </w:rPr>
        <w:t>Furthermore, there is little transparency about revenue derived from third party billing overall, o</w:t>
      </w:r>
      <w:r w:rsidR="001B7543">
        <w:rPr>
          <w:rFonts w:ascii="Calibri" w:hAnsi="Calibri"/>
        </w:rPr>
        <w:t xml:space="preserve">r </w:t>
      </w:r>
      <w:proofErr w:type="gramStart"/>
      <w:r w:rsidR="001B7543">
        <w:rPr>
          <w:rFonts w:ascii="Calibri" w:hAnsi="Calibri"/>
        </w:rPr>
        <w:t xml:space="preserve">of </w:t>
      </w:r>
      <w:r>
        <w:rPr>
          <w:rFonts w:ascii="Calibri" w:hAnsi="Calibri"/>
        </w:rPr>
        <w:t xml:space="preserve"> a</w:t>
      </w:r>
      <w:proofErr w:type="gramEnd"/>
      <w:r>
        <w:rPr>
          <w:rFonts w:ascii="Calibri" w:hAnsi="Calibri"/>
        </w:rPr>
        <w:t xml:space="preserve"> breakdown of revenue generated from MPS and DCB. However, the impact of the introduction of the double opt-in requirement by Telstra</w:t>
      </w:r>
      <w:r w:rsidR="00331BEF">
        <w:rPr>
          <w:rFonts w:ascii="Calibri" w:hAnsi="Calibri"/>
        </w:rPr>
        <w:t xml:space="preserve"> and Optus in 2016</w:t>
      </w:r>
      <w:r>
        <w:rPr>
          <w:rFonts w:ascii="Calibri" w:hAnsi="Calibri"/>
        </w:rPr>
        <w:t xml:space="preserve"> caused a sufficient drop in the revenue </w:t>
      </w:r>
      <w:r w:rsidR="00331BEF">
        <w:rPr>
          <w:rFonts w:ascii="Calibri" w:hAnsi="Calibri"/>
        </w:rPr>
        <w:t>of one prominent third party provider/aggregator to necessitate a statement to that effect to the Australian Stock Exchange</w:t>
      </w:r>
      <w:r w:rsidR="00652407">
        <w:rPr>
          <w:rStyle w:val="FootnoteReference"/>
          <w:rFonts w:ascii="Calibri" w:hAnsi="Calibri"/>
        </w:rPr>
        <w:footnoteReference w:id="6"/>
      </w:r>
      <w:r w:rsidR="00331BEF">
        <w:rPr>
          <w:rFonts w:ascii="Calibri" w:hAnsi="Calibri"/>
        </w:rPr>
        <w:t xml:space="preserve">. This suggests DCB represents a sizable share of the third party market. </w:t>
      </w:r>
    </w:p>
    <w:p w:rsidR="00370FA1" w:rsidRDefault="00DB0D4D" w:rsidP="00370FA1">
      <w:pPr>
        <w:spacing w:before="240" w:after="120"/>
        <w:rPr>
          <w:rFonts w:ascii="Calibri" w:hAnsi="Calibri"/>
        </w:rPr>
      </w:pPr>
      <w:r>
        <w:rPr>
          <w:rFonts w:ascii="Calibri" w:hAnsi="Calibri"/>
        </w:rPr>
        <w:t xml:space="preserve">Based on the survey results </w:t>
      </w:r>
      <w:r w:rsidR="00370FA1">
        <w:rPr>
          <w:rFonts w:ascii="Calibri" w:hAnsi="Calibri"/>
        </w:rPr>
        <w:t>it appears th</w:t>
      </w:r>
      <w:r w:rsidR="007D450F">
        <w:rPr>
          <w:rFonts w:ascii="Calibri" w:hAnsi="Calibri"/>
        </w:rPr>
        <w:t>at the</w:t>
      </w:r>
      <w:r>
        <w:rPr>
          <w:rFonts w:ascii="Calibri" w:hAnsi="Calibri"/>
        </w:rPr>
        <w:t xml:space="preserve"> </w:t>
      </w:r>
      <w:r w:rsidR="00370FA1">
        <w:rPr>
          <w:rFonts w:ascii="Calibri" w:hAnsi="Calibri"/>
        </w:rPr>
        <w:t xml:space="preserve">double opt-in </w:t>
      </w:r>
      <w:r>
        <w:rPr>
          <w:rFonts w:ascii="Calibri" w:hAnsi="Calibri"/>
        </w:rPr>
        <w:t xml:space="preserve">requirement for DCB is not consistently occurring, given that 70% of post-paid respondents only became aware of the charges when they saw their bills, and 28% of pre-paid respondents became aware due to their credit disappearing unusually quickly. </w:t>
      </w:r>
      <w:r w:rsidR="00370FA1">
        <w:rPr>
          <w:rFonts w:ascii="Calibri" w:hAnsi="Calibri"/>
        </w:rPr>
        <w:t xml:space="preserve"> If consumers were attempting to prevent DCB charges by texting STOP there is no guarantee that this would be effective as there is no obligation for DCB services to comply with a STOP request</w:t>
      </w:r>
      <w:r>
        <w:rPr>
          <w:rFonts w:ascii="Calibri" w:hAnsi="Calibri"/>
        </w:rPr>
        <w:t>, nor with the other protections available to users of MPS</w:t>
      </w:r>
      <w:r w:rsidR="00370FA1">
        <w:rPr>
          <w:rFonts w:ascii="Calibri" w:hAnsi="Calibri"/>
        </w:rPr>
        <w:t xml:space="preserve">. </w:t>
      </w:r>
      <w:r w:rsidR="00150C6C">
        <w:rPr>
          <w:rFonts w:ascii="Calibri" w:hAnsi="Calibri"/>
        </w:rPr>
        <w:t>This calls into question the efficacy of the double-opt in requirement in preventing unexpected third party charges, and strongly suggests further measures are required.</w:t>
      </w:r>
    </w:p>
    <w:p w:rsidR="00AB3B9D" w:rsidRDefault="003922D8" w:rsidP="008705B2">
      <w:pPr>
        <w:spacing w:before="240" w:after="120"/>
        <w:rPr>
          <w:rFonts w:ascii="Calibri" w:hAnsi="Calibri"/>
        </w:rPr>
      </w:pPr>
      <w:r>
        <w:rPr>
          <w:rFonts w:ascii="Calibri" w:hAnsi="Calibri"/>
        </w:rPr>
        <w:t xml:space="preserve">It is interesting to note that despite </w:t>
      </w:r>
      <w:r w:rsidR="00AB3B9D">
        <w:rPr>
          <w:rFonts w:ascii="Calibri" w:hAnsi="Calibri"/>
        </w:rPr>
        <w:t xml:space="preserve">the introduction of </w:t>
      </w:r>
      <w:r>
        <w:rPr>
          <w:rFonts w:ascii="Calibri" w:hAnsi="Calibri"/>
        </w:rPr>
        <w:t xml:space="preserve">the </w:t>
      </w:r>
      <w:r w:rsidR="00AB3B9D">
        <w:rPr>
          <w:rFonts w:ascii="Calibri" w:hAnsi="Calibri"/>
        </w:rPr>
        <w:t>double opt-in in mid</w:t>
      </w:r>
      <w:r w:rsidR="00126BD2">
        <w:rPr>
          <w:rFonts w:ascii="Calibri" w:hAnsi="Calibri"/>
        </w:rPr>
        <w:t>-2016</w:t>
      </w:r>
      <w:r w:rsidR="00AB3B9D">
        <w:rPr>
          <w:rFonts w:ascii="Calibri" w:hAnsi="Calibri"/>
        </w:rPr>
        <w:t>, that this is not regarded as standard industry practice for DCB services. For example, one mobile payment provider is currently promoting DCB as delivering ‘easier to opt-in to services – No need for an SMS from the user’s handset for permission’ as a business benefit. Likewise for consumers</w:t>
      </w:r>
      <w:r w:rsidR="006F0CBD">
        <w:rPr>
          <w:rFonts w:ascii="Calibri" w:hAnsi="Calibri"/>
        </w:rPr>
        <w:t xml:space="preserve">, </w:t>
      </w:r>
      <w:r w:rsidR="00AB3B9D">
        <w:rPr>
          <w:rFonts w:ascii="Calibri" w:hAnsi="Calibri"/>
        </w:rPr>
        <w:t xml:space="preserve"> benefits</w:t>
      </w:r>
      <w:r w:rsidR="006F0CBD">
        <w:rPr>
          <w:rFonts w:ascii="Calibri" w:hAnsi="Calibri"/>
        </w:rPr>
        <w:t xml:space="preserve"> identified</w:t>
      </w:r>
      <w:r w:rsidR="00AB3B9D">
        <w:rPr>
          <w:rFonts w:ascii="Calibri" w:hAnsi="Calibri"/>
        </w:rPr>
        <w:t xml:space="preserve">  are that DCB is ‘easy to use – consumers enjoy the benefits of ‘click and buy’ purchasing without the need to send text messages or receive multiple SMS billing messages’. I</w:t>
      </w:r>
      <w:r w:rsidR="006F0CBD">
        <w:rPr>
          <w:rFonts w:ascii="Calibri" w:hAnsi="Calibri"/>
        </w:rPr>
        <w:t>t is ‘a simple and anonymous way</w:t>
      </w:r>
      <w:r w:rsidR="00AB3B9D">
        <w:rPr>
          <w:rFonts w:ascii="Calibri" w:hAnsi="Calibri"/>
        </w:rPr>
        <w:t xml:space="preserve"> of making a purchase’.</w:t>
      </w:r>
      <w:r w:rsidR="00AB3B9D">
        <w:rPr>
          <w:rStyle w:val="FootnoteReference"/>
          <w:rFonts w:ascii="Calibri" w:hAnsi="Calibri"/>
        </w:rPr>
        <w:footnoteReference w:id="7"/>
      </w:r>
      <w:r w:rsidR="00AB3B9D">
        <w:rPr>
          <w:rFonts w:ascii="Calibri" w:hAnsi="Calibri"/>
        </w:rPr>
        <w:t xml:space="preserve"> </w:t>
      </w:r>
    </w:p>
    <w:p w:rsidR="00F773A9" w:rsidRPr="00FD7A8D" w:rsidRDefault="00FD7A8D" w:rsidP="008705B2">
      <w:pPr>
        <w:spacing w:before="240" w:after="120"/>
        <w:rPr>
          <w:rFonts w:ascii="Calibri" w:hAnsi="Calibri"/>
          <w:b/>
        </w:rPr>
      </w:pPr>
      <w:r w:rsidRPr="00FD7A8D">
        <w:rPr>
          <w:rFonts w:ascii="Calibri" w:hAnsi="Calibri"/>
          <w:b/>
        </w:rPr>
        <w:t>Recommendation</w:t>
      </w:r>
      <w:r>
        <w:rPr>
          <w:rFonts w:ascii="Calibri" w:hAnsi="Calibri"/>
          <w:b/>
        </w:rPr>
        <w:t xml:space="preserve"> 2</w:t>
      </w:r>
      <w:r w:rsidRPr="00FD7A8D">
        <w:rPr>
          <w:rFonts w:ascii="Calibri" w:hAnsi="Calibri"/>
          <w:b/>
        </w:rPr>
        <w:t xml:space="preserve">: </w:t>
      </w:r>
      <w:r>
        <w:rPr>
          <w:rFonts w:ascii="Calibri" w:hAnsi="Calibri"/>
          <w:b/>
        </w:rPr>
        <w:t xml:space="preserve">Consideration </w:t>
      </w:r>
      <w:r w:rsidR="00C411E0">
        <w:rPr>
          <w:rFonts w:ascii="Calibri" w:hAnsi="Calibri"/>
          <w:b/>
        </w:rPr>
        <w:t>is</w:t>
      </w:r>
      <w:r>
        <w:rPr>
          <w:rFonts w:ascii="Calibri" w:hAnsi="Calibri"/>
          <w:b/>
        </w:rPr>
        <w:t xml:space="preserve"> given </w:t>
      </w:r>
      <w:r>
        <w:rPr>
          <w:rFonts w:ascii="Calibri" w:hAnsi="Calibri"/>
          <w:b/>
        </w:rPr>
        <w:t xml:space="preserve">to widening the scope of the MPS Code to incorporate DCB services. </w:t>
      </w:r>
    </w:p>
    <w:p w:rsidR="0055155C" w:rsidRPr="00F31229" w:rsidRDefault="0055155C" w:rsidP="00F31229">
      <w:pPr>
        <w:pStyle w:val="ListParagraph"/>
        <w:numPr>
          <w:ilvl w:val="0"/>
          <w:numId w:val="10"/>
        </w:numPr>
        <w:spacing w:before="240" w:after="120"/>
        <w:rPr>
          <w:rFonts w:ascii="Calibri" w:eastAsiaTheme="majorEastAsia" w:hAnsi="Calibri" w:cstheme="majorBidi"/>
          <w:b/>
          <w:bCs/>
          <w:color w:val="4F81BD" w:themeColor="accent1"/>
          <w:sz w:val="26"/>
          <w:szCs w:val="26"/>
        </w:rPr>
      </w:pPr>
      <w:r w:rsidRPr="00F31229">
        <w:rPr>
          <w:rFonts w:ascii="Calibri" w:eastAsiaTheme="majorEastAsia" w:hAnsi="Calibri" w:cstheme="majorBidi"/>
          <w:b/>
          <w:bCs/>
          <w:color w:val="4F81BD" w:themeColor="accent1"/>
          <w:sz w:val="26"/>
          <w:szCs w:val="26"/>
        </w:rPr>
        <w:t xml:space="preserve">Reducing the </w:t>
      </w:r>
      <w:r w:rsidR="00F47F62" w:rsidRPr="00F31229">
        <w:rPr>
          <w:rFonts w:ascii="Calibri" w:eastAsiaTheme="majorEastAsia" w:hAnsi="Calibri" w:cstheme="majorBidi"/>
          <w:b/>
          <w:bCs/>
          <w:color w:val="4F81BD" w:themeColor="accent1"/>
          <w:sz w:val="26"/>
          <w:szCs w:val="26"/>
        </w:rPr>
        <w:t xml:space="preserve">default </w:t>
      </w:r>
      <w:r w:rsidR="00FB5E3D" w:rsidRPr="00F31229">
        <w:rPr>
          <w:rFonts w:ascii="Calibri" w:eastAsiaTheme="majorEastAsia" w:hAnsi="Calibri" w:cstheme="majorBidi"/>
          <w:b/>
          <w:bCs/>
          <w:color w:val="4F81BD" w:themeColor="accent1"/>
          <w:sz w:val="26"/>
          <w:szCs w:val="26"/>
        </w:rPr>
        <w:t xml:space="preserve">third party services </w:t>
      </w:r>
      <w:r w:rsidR="00F47F62" w:rsidRPr="00F31229">
        <w:rPr>
          <w:rFonts w:ascii="Calibri" w:eastAsiaTheme="majorEastAsia" w:hAnsi="Calibri" w:cstheme="majorBidi"/>
          <w:b/>
          <w:bCs/>
          <w:color w:val="4F81BD" w:themeColor="accent1"/>
          <w:sz w:val="26"/>
          <w:szCs w:val="26"/>
        </w:rPr>
        <w:t xml:space="preserve">spending cap </w:t>
      </w:r>
      <w:r w:rsidRPr="00F31229">
        <w:rPr>
          <w:rFonts w:ascii="Calibri" w:eastAsiaTheme="majorEastAsia" w:hAnsi="Calibri" w:cstheme="majorBidi"/>
          <w:b/>
          <w:bCs/>
          <w:color w:val="4F81BD" w:themeColor="accent1"/>
          <w:sz w:val="26"/>
          <w:szCs w:val="26"/>
        </w:rPr>
        <w:t xml:space="preserve">to $0 </w:t>
      </w:r>
    </w:p>
    <w:p w:rsidR="007D450F" w:rsidRDefault="007D450F" w:rsidP="0055155C">
      <w:pPr>
        <w:spacing w:before="240" w:after="120"/>
        <w:rPr>
          <w:rFonts w:eastAsia="Times New Roman" w:cs="Times New Roman"/>
        </w:rPr>
      </w:pPr>
      <w:r>
        <w:rPr>
          <w:rFonts w:eastAsia="Times New Roman" w:cs="Times New Roman"/>
        </w:rPr>
        <w:t>As noted above, one of the findings of the ACCAN survey is that a large number of consumers are responsible for multiple mobile services, indicating that the account holder is not necessarily the user of the</w:t>
      </w:r>
      <w:r w:rsidR="00AD7EAA">
        <w:rPr>
          <w:rFonts w:eastAsia="Times New Roman" w:cs="Times New Roman"/>
        </w:rPr>
        <w:t xml:space="preserve"> service. This finding shows</w:t>
      </w:r>
      <w:r>
        <w:rPr>
          <w:rFonts w:eastAsia="Times New Roman" w:cs="Times New Roman"/>
        </w:rPr>
        <w:t xml:space="preserve"> that broad measures are needed to address the detriment experienced. </w:t>
      </w:r>
    </w:p>
    <w:p w:rsidR="0055155C" w:rsidRDefault="00622D58" w:rsidP="0055155C">
      <w:pPr>
        <w:spacing w:before="240" w:after="120"/>
        <w:rPr>
          <w:rFonts w:eastAsia="Times New Roman" w:cs="Times New Roman"/>
        </w:rPr>
      </w:pPr>
      <w:r>
        <w:rPr>
          <w:rFonts w:eastAsia="Times New Roman" w:cs="Times New Roman"/>
        </w:rPr>
        <w:t xml:space="preserve">Currently, Telstra caps </w:t>
      </w:r>
      <w:r w:rsidRPr="00AE7E69">
        <w:rPr>
          <w:rFonts w:eastAsia="Times New Roman" w:cs="Times New Roman"/>
        </w:rPr>
        <w:t xml:space="preserve">the amount </w:t>
      </w:r>
      <w:r>
        <w:rPr>
          <w:rFonts w:eastAsia="Times New Roman" w:cs="Times New Roman"/>
        </w:rPr>
        <w:t xml:space="preserve">consumers </w:t>
      </w:r>
      <w:r w:rsidRPr="00AE7E69">
        <w:rPr>
          <w:rFonts w:eastAsia="Times New Roman" w:cs="Times New Roman"/>
        </w:rPr>
        <w:t>spend on Premium SMS and Telstra Carrier Billing</w:t>
      </w:r>
      <w:r>
        <w:rPr>
          <w:rFonts w:eastAsia="Times New Roman" w:cs="Times New Roman"/>
        </w:rPr>
        <w:t xml:space="preserve"> at</w:t>
      </w:r>
      <w:r w:rsidR="00BD7892">
        <w:rPr>
          <w:rFonts w:eastAsia="Times New Roman" w:cs="Times New Roman"/>
        </w:rPr>
        <w:t xml:space="preserve"> $100 per month for post-paid customers and $</w:t>
      </w:r>
      <w:r w:rsidR="00BD7892">
        <w:rPr>
          <w:rFonts w:eastAsia="Times New Roman" w:cs="Times New Roman"/>
        </w:rPr>
        <w:t>500 for pre-</w:t>
      </w:r>
      <w:r w:rsidR="00BD7892">
        <w:rPr>
          <w:rFonts w:eastAsia="Times New Roman" w:cs="Times New Roman"/>
        </w:rPr>
        <w:t>p</w:t>
      </w:r>
      <w:r w:rsidRPr="00AE7E69">
        <w:rPr>
          <w:rFonts w:eastAsia="Times New Roman" w:cs="Times New Roman"/>
        </w:rPr>
        <w:t>aid customers, but consumers may also qualify to have other limits applied.</w:t>
      </w:r>
      <w:r w:rsidR="00E116B7">
        <w:rPr>
          <w:rFonts w:eastAsia="Times New Roman" w:cs="Times New Roman"/>
        </w:rPr>
        <w:t xml:space="preserve"> </w:t>
      </w:r>
      <w:r w:rsidR="00A63AF9" w:rsidRPr="00355EEF">
        <w:rPr>
          <w:rFonts w:eastAsia="Times New Roman" w:cs="Times New Roman"/>
        </w:rPr>
        <w:t xml:space="preserve">ACCAN </w:t>
      </w:r>
      <w:r w:rsidR="00F47F62">
        <w:rPr>
          <w:rFonts w:eastAsia="Times New Roman" w:cs="Times New Roman"/>
        </w:rPr>
        <w:t xml:space="preserve">submits that </w:t>
      </w:r>
      <w:r w:rsidR="0035504C">
        <w:rPr>
          <w:rFonts w:eastAsia="Times New Roman" w:cs="Times New Roman"/>
        </w:rPr>
        <w:t xml:space="preserve">the </w:t>
      </w:r>
      <w:r w:rsidR="005457A7">
        <w:rPr>
          <w:rFonts w:eastAsia="Times New Roman" w:cs="Times New Roman"/>
        </w:rPr>
        <w:t xml:space="preserve">third party services </w:t>
      </w:r>
      <w:r w:rsidR="00F47F62">
        <w:rPr>
          <w:rFonts w:eastAsia="Times New Roman" w:cs="Times New Roman"/>
        </w:rPr>
        <w:t xml:space="preserve">spending cap for all mobile customers </w:t>
      </w:r>
      <w:r w:rsidR="005457A7">
        <w:rPr>
          <w:rFonts w:eastAsia="Times New Roman" w:cs="Times New Roman"/>
        </w:rPr>
        <w:t>should be set at the default value of</w:t>
      </w:r>
      <w:r w:rsidR="00F47F62">
        <w:rPr>
          <w:rFonts w:eastAsia="Times New Roman" w:cs="Times New Roman"/>
        </w:rPr>
        <w:t xml:space="preserve"> $0, with customers </w:t>
      </w:r>
      <w:r w:rsidR="003E2B7B">
        <w:rPr>
          <w:rFonts w:eastAsia="Times New Roman" w:cs="Times New Roman"/>
        </w:rPr>
        <w:t>able</w:t>
      </w:r>
      <w:r w:rsidR="00F47F62">
        <w:rPr>
          <w:rFonts w:eastAsia="Times New Roman" w:cs="Times New Roman"/>
        </w:rPr>
        <w:t xml:space="preserve"> to </w:t>
      </w:r>
      <w:r w:rsidR="0055155C">
        <w:rPr>
          <w:rFonts w:eastAsia="Times New Roman" w:cs="Times New Roman"/>
        </w:rPr>
        <w:t xml:space="preserve">increase their </w:t>
      </w:r>
      <w:r w:rsidR="0055155C">
        <w:rPr>
          <w:rFonts w:eastAsia="Times New Roman" w:cs="Times New Roman"/>
        </w:rPr>
        <w:lastRenderedPageBreak/>
        <w:t xml:space="preserve">spending limit on request. </w:t>
      </w:r>
      <w:r w:rsidR="008372F9">
        <w:rPr>
          <w:rFonts w:eastAsia="Times New Roman" w:cs="Times New Roman"/>
        </w:rPr>
        <w:t>This approach would provide more adequate control over unexpected third party bil</w:t>
      </w:r>
      <w:r w:rsidR="00B72A84">
        <w:rPr>
          <w:rFonts w:eastAsia="Times New Roman" w:cs="Times New Roman"/>
        </w:rPr>
        <w:t>ling charges from the moment</w:t>
      </w:r>
      <w:r w:rsidR="008372F9">
        <w:rPr>
          <w:rFonts w:eastAsia="Times New Roman" w:cs="Times New Roman"/>
        </w:rPr>
        <w:t xml:space="preserve"> </w:t>
      </w:r>
      <w:r w:rsidR="00B72A84">
        <w:rPr>
          <w:rFonts w:eastAsia="Times New Roman" w:cs="Times New Roman"/>
        </w:rPr>
        <w:t>a mobile phone plan</w:t>
      </w:r>
      <w:r w:rsidR="0055155C">
        <w:rPr>
          <w:rFonts w:eastAsia="Times New Roman" w:cs="Times New Roman"/>
        </w:rPr>
        <w:t xml:space="preserve"> is purchased by a consumer.</w:t>
      </w:r>
      <w:r w:rsidR="000000FD">
        <w:rPr>
          <w:rFonts w:eastAsia="Times New Roman" w:cs="Times New Roman"/>
        </w:rPr>
        <w:t xml:space="preserve"> </w:t>
      </w:r>
    </w:p>
    <w:p w:rsidR="000000FD" w:rsidRDefault="008244C1" w:rsidP="0055155C">
      <w:pPr>
        <w:spacing w:before="240" w:after="120"/>
        <w:rPr>
          <w:rFonts w:eastAsia="Times New Roman" w:cs="Times New Roman"/>
        </w:rPr>
      </w:pPr>
      <w:r>
        <w:rPr>
          <w:rFonts w:eastAsia="Times New Roman" w:cs="Times New Roman"/>
        </w:rPr>
        <w:t xml:space="preserve">The implications of the current $100 post-paid/$500 pre-paid </w:t>
      </w:r>
      <w:r w:rsidR="00CC401A">
        <w:rPr>
          <w:rFonts w:eastAsia="Times New Roman" w:cs="Times New Roman"/>
        </w:rPr>
        <w:t xml:space="preserve">monthly </w:t>
      </w:r>
      <w:r>
        <w:rPr>
          <w:rFonts w:eastAsia="Times New Roman" w:cs="Times New Roman"/>
        </w:rPr>
        <w:t xml:space="preserve">caps on third party billing charges are best understood when considered in conjunction </w:t>
      </w:r>
      <w:r w:rsidR="00CC401A">
        <w:rPr>
          <w:rFonts w:eastAsia="Times New Roman" w:cs="Times New Roman"/>
        </w:rPr>
        <w:t xml:space="preserve">with </w:t>
      </w:r>
      <w:r w:rsidR="00B72A84">
        <w:rPr>
          <w:rFonts w:eastAsia="Times New Roman" w:cs="Times New Roman"/>
        </w:rPr>
        <w:t xml:space="preserve">survey </w:t>
      </w:r>
      <w:r w:rsidR="00CC401A">
        <w:rPr>
          <w:rFonts w:eastAsia="Times New Roman" w:cs="Times New Roman"/>
        </w:rPr>
        <w:t xml:space="preserve">data on when </w:t>
      </w:r>
      <w:r>
        <w:rPr>
          <w:rFonts w:eastAsia="Times New Roman" w:cs="Times New Roman"/>
        </w:rPr>
        <w:t xml:space="preserve">consumers first became aware of unexpected third party charges. </w:t>
      </w:r>
      <w:r w:rsidR="00CC401A">
        <w:rPr>
          <w:rFonts w:eastAsia="Times New Roman" w:cs="Times New Roman"/>
        </w:rPr>
        <w:t>In ACCAN’s survey, o</w:t>
      </w:r>
      <w:r>
        <w:rPr>
          <w:rFonts w:eastAsia="Times New Roman" w:cs="Times New Roman"/>
        </w:rPr>
        <w:t>f the 12% of respondents who had experienced unexpected charges, 70% of post-paid account holders first noticed the unexpected charge on their bill. 28% of pre-paid account holders</w:t>
      </w:r>
      <w:r w:rsidR="000000FD">
        <w:rPr>
          <w:rFonts w:eastAsia="Times New Roman" w:cs="Times New Roman"/>
        </w:rPr>
        <w:t xml:space="preserve"> who had received unexpected charges only</w:t>
      </w:r>
      <w:r>
        <w:rPr>
          <w:rFonts w:eastAsia="Times New Roman" w:cs="Times New Roman"/>
        </w:rPr>
        <w:t xml:space="preserve"> realised </w:t>
      </w:r>
      <w:r w:rsidR="000000FD">
        <w:rPr>
          <w:rFonts w:eastAsia="Times New Roman" w:cs="Times New Roman"/>
        </w:rPr>
        <w:t xml:space="preserve">due to the fact their </w:t>
      </w:r>
      <w:r>
        <w:rPr>
          <w:rFonts w:eastAsia="Times New Roman" w:cs="Times New Roman"/>
        </w:rPr>
        <w:t>credit</w:t>
      </w:r>
      <w:r w:rsidR="000000FD">
        <w:rPr>
          <w:rFonts w:eastAsia="Times New Roman" w:cs="Times New Roman"/>
        </w:rPr>
        <w:t xml:space="preserve"> was</w:t>
      </w:r>
      <w:r>
        <w:rPr>
          <w:rFonts w:eastAsia="Times New Roman" w:cs="Times New Roman"/>
        </w:rPr>
        <w:t xml:space="preserve"> being used up more quickly than usual.</w:t>
      </w:r>
    </w:p>
    <w:p w:rsidR="00F31229" w:rsidRDefault="005438C3" w:rsidP="00F31229">
      <w:pPr>
        <w:spacing w:before="240" w:after="120"/>
        <w:rPr>
          <w:rFonts w:eastAsia="Times New Roman" w:cs="Times New Roman"/>
        </w:rPr>
      </w:pPr>
      <w:r>
        <w:rPr>
          <w:rFonts w:eastAsia="Times New Roman" w:cs="Times New Roman"/>
        </w:rPr>
        <w:t>Consequently, t</w:t>
      </w:r>
      <w:r w:rsidR="000C372A">
        <w:rPr>
          <w:rFonts w:eastAsia="Times New Roman" w:cs="Times New Roman"/>
        </w:rPr>
        <w:t xml:space="preserve">he current </w:t>
      </w:r>
      <w:r>
        <w:rPr>
          <w:rFonts w:eastAsia="Times New Roman" w:cs="Times New Roman"/>
        </w:rPr>
        <w:t xml:space="preserve">third party spending </w:t>
      </w:r>
      <w:r w:rsidR="000C372A">
        <w:rPr>
          <w:rFonts w:eastAsia="Times New Roman" w:cs="Times New Roman"/>
        </w:rPr>
        <w:t xml:space="preserve">caps </w:t>
      </w:r>
      <w:r>
        <w:rPr>
          <w:rFonts w:eastAsia="Times New Roman" w:cs="Times New Roman"/>
        </w:rPr>
        <w:t xml:space="preserve">mean that </w:t>
      </w:r>
      <w:r w:rsidR="000C372A">
        <w:rPr>
          <w:rFonts w:eastAsia="Times New Roman" w:cs="Times New Roman"/>
        </w:rPr>
        <w:t xml:space="preserve">70% of post-paid </w:t>
      </w:r>
      <w:r>
        <w:rPr>
          <w:rFonts w:eastAsia="Times New Roman" w:cs="Times New Roman"/>
        </w:rPr>
        <w:t xml:space="preserve">respondents were potentially exposed to up to $100 worth of unexpected charges in a month before they were notified in their bill, and </w:t>
      </w:r>
      <w:r w:rsidR="000C372A">
        <w:rPr>
          <w:rFonts w:eastAsia="Times New Roman" w:cs="Times New Roman"/>
        </w:rPr>
        <w:t xml:space="preserve">28% of pre-paid respondents were potentially exposed to </w:t>
      </w:r>
      <w:r>
        <w:rPr>
          <w:rFonts w:eastAsia="Times New Roman" w:cs="Times New Roman"/>
        </w:rPr>
        <w:t>up to $5</w:t>
      </w:r>
      <w:r w:rsidR="008244C1">
        <w:rPr>
          <w:rFonts w:eastAsia="Times New Roman" w:cs="Times New Roman"/>
        </w:rPr>
        <w:t>00 worth of</w:t>
      </w:r>
      <w:r>
        <w:rPr>
          <w:rFonts w:eastAsia="Times New Roman" w:cs="Times New Roman"/>
        </w:rPr>
        <w:t xml:space="preserve"> unexpected</w:t>
      </w:r>
      <w:r w:rsidR="008244C1">
        <w:rPr>
          <w:rFonts w:eastAsia="Times New Roman" w:cs="Times New Roman"/>
        </w:rPr>
        <w:t xml:space="preserve"> third party</w:t>
      </w:r>
      <w:r>
        <w:rPr>
          <w:rFonts w:eastAsia="Times New Roman" w:cs="Times New Roman"/>
        </w:rPr>
        <w:t xml:space="preserve"> charges without being informed why their credit was reducing</w:t>
      </w:r>
      <w:r w:rsidR="008244C1">
        <w:rPr>
          <w:rFonts w:eastAsia="Times New Roman" w:cs="Times New Roman"/>
        </w:rPr>
        <w:t>. Setting the default third party services spending cap at $0 would provide a degree of preventative protection.</w:t>
      </w:r>
    </w:p>
    <w:p w:rsidR="00F31229" w:rsidRPr="00F31229" w:rsidRDefault="00F31229" w:rsidP="00F31229">
      <w:pPr>
        <w:spacing w:before="240" w:after="120"/>
        <w:rPr>
          <w:rFonts w:eastAsia="Times New Roman" w:cs="Times New Roman"/>
          <w:b/>
        </w:rPr>
      </w:pPr>
      <w:r w:rsidRPr="00F31229">
        <w:rPr>
          <w:rFonts w:eastAsia="Times New Roman" w:cs="Times New Roman"/>
          <w:b/>
        </w:rPr>
        <w:t>Recommendation</w:t>
      </w:r>
      <w:r w:rsidR="000A3222">
        <w:rPr>
          <w:rFonts w:eastAsia="Times New Roman" w:cs="Times New Roman"/>
          <w:b/>
        </w:rPr>
        <w:t xml:space="preserve"> 3</w:t>
      </w:r>
      <w:r w:rsidRPr="00F31229">
        <w:rPr>
          <w:rFonts w:eastAsia="Times New Roman" w:cs="Times New Roman"/>
          <w:b/>
        </w:rPr>
        <w:t xml:space="preserve">: </w:t>
      </w:r>
      <w:r w:rsidR="00F21AAE">
        <w:rPr>
          <w:rFonts w:eastAsia="Times New Roman" w:cs="Times New Roman"/>
          <w:b/>
        </w:rPr>
        <w:t>Consi</w:t>
      </w:r>
      <w:r w:rsidR="00613294">
        <w:rPr>
          <w:rFonts w:eastAsia="Times New Roman" w:cs="Times New Roman"/>
          <w:b/>
        </w:rPr>
        <w:t xml:space="preserve">deration </w:t>
      </w:r>
      <w:r w:rsidR="00C411E0">
        <w:rPr>
          <w:rFonts w:eastAsia="Times New Roman" w:cs="Times New Roman"/>
          <w:b/>
        </w:rPr>
        <w:t>is</w:t>
      </w:r>
      <w:r w:rsidR="00613294">
        <w:rPr>
          <w:rFonts w:eastAsia="Times New Roman" w:cs="Times New Roman"/>
          <w:b/>
        </w:rPr>
        <w:t xml:space="preserve"> given</w:t>
      </w:r>
      <w:r w:rsidR="00C411E0">
        <w:rPr>
          <w:rFonts w:eastAsia="Times New Roman" w:cs="Times New Roman"/>
          <w:b/>
        </w:rPr>
        <w:t xml:space="preserve"> to</w:t>
      </w:r>
      <w:r w:rsidR="00613294">
        <w:rPr>
          <w:rFonts w:eastAsia="Times New Roman" w:cs="Times New Roman"/>
          <w:b/>
        </w:rPr>
        <w:t xml:space="preserve"> lowering</w:t>
      </w:r>
      <w:r w:rsidRPr="00F31229">
        <w:rPr>
          <w:rFonts w:eastAsia="Times New Roman" w:cs="Times New Roman"/>
          <w:b/>
        </w:rPr>
        <w:t xml:space="preserve"> </w:t>
      </w:r>
      <w:r w:rsidRPr="00F31229">
        <w:rPr>
          <w:rFonts w:eastAsia="Times New Roman" w:cs="Times New Roman"/>
          <w:b/>
        </w:rPr>
        <w:t>the default spending cap</w:t>
      </w:r>
      <w:r w:rsidR="000A3222">
        <w:rPr>
          <w:rFonts w:eastAsia="Times New Roman" w:cs="Times New Roman"/>
          <w:b/>
        </w:rPr>
        <w:t xml:space="preserve"> for third party billing</w:t>
      </w:r>
      <w:r w:rsidRPr="00F31229">
        <w:rPr>
          <w:rFonts w:eastAsia="Times New Roman" w:cs="Times New Roman"/>
          <w:b/>
        </w:rPr>
        <w:t xml:space="preserve"> </w:t>
      </w:r>
      <w:r w:rsidR="000A3222">
        <w:rPr>
          <w:rFonts w:eastAsia="Times New Roman" w:cs="Times New Roman"/>
          <w:b/>
        </w:rPr>
        <w:t>to $0 on</w:t>
      </w:r>
      <w:r w:rsidRPr="00F31229">
        <w:rPr>
          <w:rFonts w:eastAsia="Times New Roman" w:cs="Times New Roman"/>
          <w:b/>
        </w:rPr>
        <w:t xml:space="preserve"> all post -paid and pre-paid mobile accounts. </w:t>
      </w:r>
    </w:p>
    <w:p w:rsidR="0055155C" w:rsidRPr="00F21AAE" w:rsidRDefault="0055155C" w:rsidP="00F21AAE">
      <w:pPr>
        <w:pStyle w:val="ListParagraph"/>
        <w:numPr>
          <w:ilvl w:val="0"/>
          <w:numId w:val="10"/>
        </w:numPr>
        <w:spacing w:before="240" w:after="120"/>
        <w:rPr>
          <w:rFonts w:ascii="Calibri" w:eastAsiaTheme="majorEastAsia" w:hAnsi="Calibri" w:cstheme="majorBidi"/>
          <w:b/>
          <w:bCs/>
          <w:color w:val="4F81BD" w:themeColor="accent1"/>
          <w:sz w:val="26"/>
          <w:szCs w:val="26"/>
        </w:rPr>
      </w:pPr>
      <w:r w:rsidRPr="00F21AAE">
        <w:rPr>
          <w:rFonts w:ascii="Calibri" w:eastAsiaTheme="majorEastAsia" w:hAnsi="Calibri" w:cstheme="majorBidi"/>
          <w:b/>
          <w:bCs/>
          <w:color w:val="4F81BD" w:themeColor="accent1"/>
          <w:sz w:val="26"/>
          <w:szCs w:val="26"/>
        </w:rPr>
        <w:t xml:space="preserve">Changing Third Party Billing to become an ‘opt-in’ service </w:t>
      </w:r>
    </w:p>
    <w:p w:rsidR="00F31229" w:rsidRDefault="0035504C" w:rsidP="00F31229">
      <w:pPr>
        <w:spacing w:before="240" w:after="120"/>
        <w:rPr>
          <w:rFonts w:eastAsia="Times New Roman" w:cs="Times New Roman"/>
        </w:rPr>
      </w:pPr>
      <w:r w:rsidRPr="00355EEF">
        <w:rPr>
          <w:rFonts w:eastAsia="Times New Roman" w:cs="Times New Roman"/>
        </w:rPr>
        <w:t xml:space="preserve">ACCAN </w:t>
      </w:r>
      <w:r>
        <w:rPr>
          <w:rFonts w:eastAsia="Times New Roman" w:cs="Times New Roman"/>
        </w:rPr>
        <w:t xml:space="preserve">submits that third party billing services should </w:t>
      </w:r>
      <w:r w:rsidR="005F1F87">
        <w:rPr>
          <w:rFonts w:eastAsia="Times New Roman" w:cs="Times New Roman"/>
        </w:rPr>
        <w:t xml:space="preserve">become an </w:t>
      </w:r>
      <w:r>
        <w:rPr>
          <w:rFonts w:eastAsia="Times New Roman" w:cs="Times New Roman"/>
        </w:rPr>
        <w:t>opt-in service</w:t>
      </w:r>
      <w:r w:rsidR="008244C1">
        <w:rPr>
          <w:rFonts w:eastAsia="Times New Roman" w:cs="Times New Roman"/>
        </w:rPr>
        <w:t xml:space="preserve"> </w:t>
      </w:r>
      <w:r w:rsidR="005F1F87">
        <w:rPr>
          <w:rFonts w:eastAsia="Times New Roman" w:cs="Times New Roman"/>
        </w:rPr>
        <w:t xml:space="preserve">that </w:t>
      </w:r>
      <w:r w:rsidR="008244C1">
        <w:rPr>
          <w:rFonts w:eastAsia="Times New Roman" w:cs="Times New Roman"/>
        </w:rPr>
        <w:t>customers have the option to sign up for</w:t>
      </w:r>
      <w:r w:rsidR="005F1F87">
        <w:rPr>
          <w:rFonts w:eastAsia="Times New Roman" w:cs="Times New Roman"/>
        </w:rPr>
        <w:t xml:space="preserve">, rather than a default service included in all mobile telecommunications sales contracts as is currently the case. </w:t>
      </w:r>
      <w:r w:rsidR="005457A7">
        <w:rPr>
          <w:rFonts w:eastAsia="Times New Roman" w:cs="Times New Roman"/>
        </w:rPr>
        <w:t xml:space="preserve">This proposal is supported by </w:t>
      </w:r>
      <w:r w:rsidR="00F47F62">
        <w:rPr>
          <w:rFonts w:eastAsia="Times New Roman" w:cs="Times New Roman"/>
        </w:rPr>
        <w:t>ACCAN’s recent consumer survey</w:t>
      </w:r>
      <w:r w:rsidR="00622D58">
        <w:rPr>
          <w:rFonts w:eastAsia="Times New Roman" w:cs="Times New Roman"/>
        </w:rPr>
        <w:t>, which</w:t>
      </w:r>
      <w:r w:rsidR="00F47F62">
        <w:rPr>
          <w:rFonts w:eastAsia="Times New Roman" w:cs="Times New Roman"/>
        </w:rPr>
        <w:t xml:space="preserve"> found </w:t>
      </w:r>
      <w:r w:rsidR="0003658F">
        <w:rPr>
          <w:rFonts w:eastAsia="Times New Roman" w:cs="Times New Roman"/>
        </w:rPr>
        <w:t xml:space="preserve">it to be the top preference for </w:t>
      </w:r>
      <w:r w:rsidR="00F47F62">
        <w:rPr>
          <w:rFonts w:eastAsia="Times New Roman" w:cs="Times New Roman"/>
        </w:rPr>
        <w:t>respondents who had experienced unexpected charges</w:t>
      </w:r>
      <w:r w:rsidR="0003658F">
        <w:rPr>
          <w:rFonts w:eastAsia="Times New Roman" w:cs="Times New Roman"/>
        </w:rPr>
        <w:t xml:space="preserve">. </w:t>
      </w:r>
    </w:p>
    <w:p w:rsidR="00F21AAE" w:rsidRDefault="00F31229" w:rsidP="00F31229">
      <w:pPr>
        <w:spacing w:before="240" w:after="120"/>
        <w:rPr>
          <w:rFonts w:eastAsia="Times New Roman" w:cs="Times New Roman"/>
          <w:b/>
        </w:rPr>
      </w:pPr>
      <w:r w:rsidRPr="00F21AAE">
        <w:rPr>
          <w:rFonts w:eastAsia="Times New Roman" w:cs="Times New Roman"/>
          <w:b/>
        </w:rPr>
        <w:t>Recommendation</w:t>
      </w:r>
      <w:r w:rsidR="000A3222">
        <w:rPr>
          <w:rFonts w:eastAsia="Times New Roman" w:cs="Times New Roman"/>
          <w:b/>
        </w:rPr>
        <w:t xml:space="preserve"> 4</w:t>
      </w:r>
      <w:r w:rsidR="002F3539">
        <w:rPr>
          <w:rFonts w:eastAsia="Times New Roman" w:cs="Times New Roman"/>
          <w:b/>
        </w:rPr>
        <w:t xml:space="preserve">: </w:t>
      </w:r>
      <w:r w:rsidR="002F3539">
        <w:rPr>
          <w:rFonts w:eastAsia="Times New Roman" w:cs="Times New Roman"/>
          <w:b/>
        </w:rPr>
        <w:t>C</w:t>
      </w:r>
      <w:r w:rsidR="00613294">
        <w:rPr>
          <w:rFonts w:eastAsia="Times New Roman" w:cs="Times New Roman"/>
          <w:b/>
        </w:rPr>
        <w:t xml:space="preserve">onsideration </w:t>
      </w:r>
      <w:r w:rsidR="00C411E0">
        <w:rPr>
          <w:rFonts w:eastAsia="Times New Roman" w:cs="Times New Roman"/>
          <w:b/>
        </w:rPr>
        <w:t>is</w:t>
      </w:r>
      <w:r w:rsidR="00613294">
        <w:rPr>
          <w:rFonts w:eastAsia="Times New Roman" w:cs="Times New Roman"/>
          <w:b/>
        </w:rPr>
        <w:t xml:space="preserve"> given </w:t>
      </w:r>
      <w:r w:rsidR="00613294">
        <w:rPr>
          <w:rFonts w:eastAsia="Times New Roman" w:cs="Times New Roman"/>
          <w:b/>
        </w:rPr>
        <w:t xml:space="preserve">to third party charging </w:t>
      </w:r>
      <w:r w:rsidR="00613294">
        <w:rPr>
          <w:rFonts w:eastAsia="Times New Roman" w:cs="Times New Roman"/>
          <w:b/>
        </w:rPr>
        <w:t>becoming</w:t>
      </w:r>
      <w:r w:rsidRPr="00F21AAE">
        <w:rPr>
          <w:rFonts w:eastAsia="Times New Roman" w:cs="Times New Roman"/>
          <w:b/>
        </w:rPr>
        <w:t xml:space="preserve"> opt</w:t>
      </w:r>
      <w:r w:rsidRPr="00F21AAE">
        <w:rPr>
          <w:rFonts w:eastAsia="Times New Roman" w:cs="Times New Roman"/>
          <w:b/>
        </w:rPr>
        <w:t>-in</w:t>
      </w:r>
      <w:r w:rsidR="000A3222">
        <w:rPr>
          <w:rFonts w:eastAsia="Times New Roman" w:cs="Times New Roman"/>
          <w:b/>
        </w:rPr>
        <w:t xml:space="preserve">, </w:t>
      </w:r>
      <w:r w:rsidRPr="00F21AAE">
        <w:rPr>
          <w:rFonts w:eastAsia="Times New Roman" w:cs="Times New Roman"/>
          <w:b/>
        </w:rPr>
        <w:t xml:space="preserve">requiring </w:t>
      </w:r>
      <w:r w:rsidR="00F21AAE" w:rsidRPr="00F21AAE">
        <w:rPr>
          <w:rFonts w:eastAsia="Times New Roman" w:cs="Times New Roman"/>
          <w:b/>
        </w:rPr>
        <w:t xml:space="preserve">direct </w:t>
      </w:r>
      <w:r w:rsidRPr="00F21AAE">
        <w:rPr>
          <w:rFonts w:eastAsia="Times New Roman" w:cs="Times New Roman"/>
          <w:b/>
        </w:rPr>
        <w:t>account holder activation</w:t>
      </w:r>
      <w:r w:rsidR="00F21AAE" w:rsidRPr="00F21AAE">
        <w:rPr>
          <w:rFonts w:eastAsia="Times New Roman" w:cs="Times New Roman"/>
          <w:b/>
        </w:rPr>
        <w:t xml:space="preserve"> with the mobile provider.</w:t>
      </w:r>
    </w:p>
    <w:p w:rsidR="00BE5B71" w:rsidRDefault="00BE5B71" w:rsidP="007550F8">
      <w:pPr>
        <w:spacing w:before="240" w:after="120"/>
        <w:rPr>
          <w:rFonts w:eastAsia="Times New Roman" w:cs="Times New Roman"/>
        </w:rPr>
      </w:pPr>
      <w:r w:rsidRPr="00BE5B71">
        <w:rPr>
          <w:rFonts w:ascii="Calibri" w:eastAsiaTheme="majorEastAsia" w:hAnsi="Calibri" w:cstheme="majorBidi"/>
          <w:b/>
          <w:bCs/>
          <w:color w:val="4F81BD" w:themeColor="accent1"/>
          <w:sz w:val="26"/>
          <w:szCs w:val="26"/>
          <w:lang w:val="en-GB"/>
        </w:rPr>
        <w:t>Conclusion</w:t>
      </w:r>
    </w:p>
    <w:p w:rsidR="009D4F9F" w:rsidRPr="007550F8" w:rsidRDefault="00B22ACC" w:rsidP="007550F8">
      <w:pPr>
        <w:spacing w:before="240" w:after="120"/>
        <w:rPr>
          <w:rFonts w:eastAsia="Times New Roman" w:cs="Times New Roman"/>
        </w:rPr>
      </w:pPr>
      <w:r>
        <w:rPr>
          <w:rFonts w:eastAsia="Times New Roman" w:cs="Times New Roman"/>
        </w:rPr>
        <w:t xml:space="preserve">ACCAN </w:t>
      </w:r>
      <w:r>
        <w:rPr>
          <w:rFonts w:eastAsia="Times New Roman" w:cs="Times New Roman"/>
        </w:rPr>
        <w:t>welcomes</w:t>
      </w:r>
      <w:r w:rsidR="00C411E0">
        <w:rPr>
          <w:rFonts w:eastAsia="Times New Roman" w:cs="Times New Roman"/>
        </w:rPr>
        <w:t xml:space="preserve"> most of the</w:t>
      </w:r>
      <w:r w:rsidR="00BE5B71">
        <w:rPr>
          <w:rFonts w:eastAsia="Times New Roman" w:cs="Times New Roman"/>
        </w:rPr>
        <w:t xml:space="preserve"> amendments </w:t>
      </w:r>
      <w:r w:rsidR="00BE5B71">
        <w:rPr>
          <w:rFonts w:eastAsia="Times New Roman" w:cs="Times New Roman"/>
        </w:rPr>
        <w:t xml:space="preserve">to the </w:t>
      </w:r>
      <w:r w:rsidR="006F04CE">
        <w:rPr>
          <w:rFonts w:eastAsia="Times New Roman" w:cs="Times New Roman"/>
        </w:rPr>
        <w:t>Code</w:t>
      </w:r>
      <w:r w:rsidR="001223B5">
        <w:rPr>
          <w:rFonts w:eastAsia="Times New Roman" w:cs="Times New Roman"/>
        </w:rPr>
        <w:t xml:space="preserve"> proposed by the review</w:t>
      </w:r>
      <w:r w:rsidR="00BE5B71">
        <w:rPr>
          <w:rFonts w:eastAsia="Times New Roman" w:cs="Times New Roman"/>
        </w:rPr>
        <w:t>, in particular the introduction of privacy provisions and a reversion to</w:t>
      </w:r>
      <w:r>
        <w:rPr>
          <w:rFonts w:eastAsia="Times New Roman" w:cs="Times New Roman"/>
        </w:rPr>
        <w:t xml:space="preserve"> mobile service providers resolving customers’ third party billing complaints</w:t>
      </w:r>
      <w:r w:rsidR="00027140">
        <w:rPr>
          <w:rFonts w:eastAsia="Times New Roman" w:cs="Times New Roman"/>
        </w:rPr>
        <w:t xml:space="preserve"> directly</w:t>
      </w:r>
      <w:r>
        <w:rPr>
          <w:rFonts w:eastAsia="Times New Roman" w:cs="Times New Roman"/>
        </w:rPr>
        <w:t xml:space="preserve">. </w:t>
      </w:r>
      <w:r w:rsidR="00027140">
        <w:rPr>
          <w:rFonts w:eastAsia="Times New Roman" w:cs="Times New Roman"/>
        </w:rPr>
        <w:t xml:space="preserve">However, in light of our </w:t>
      </w:r>
      <w:r w:rsidR="00E21BDB">
        <w:rPr>
          <w:rFonts w:eastAsia="Times New Roman" w:cs="Times New Roman"/>
        </w:rPr>
        <w:t xml:space="preserve">recent </w:t>
      </w:r>
      <w:r w:rsidR="009D4F9F">
        <w:rPr>
          <w:rFonts w:eastAsia="Times New Roman" w:cs="Times New Roman"/>
        </w:rPr>
        <w:t xml:space="preserve">consumer survey </w:t>
      </w:r>
      <w:r w:rsidR="00027140">
        <w:rPr>
          <w:rFonts w:eastAsia="Times New Roman" w:cs="Times New Roman"/>
        </w:rPr>
        <w:t xml:space="preserve">research, </w:t>
      </w:r>
      <w:r w:rsidR="00E21BDB">
        <w:rPr>
          <w:rFonts w:eastAsia="Times New Roman" w:cs="Times New Roman"/>
        </w:rPr>
        <w:t>which suggests Optus, Vodafone and Telstra customers have been charged up to $20 million in unexpected charges over the last six months, we</w:t>
      </w:r>
      <w:r w:rsidR="00E21BDB" w:rsidRPr="00BE5B71">
        <w:rPr>
          <w:rFonts w:eastAsia="Times New Roman" w:cs="Times New Roman"/>
        </w:rPr>
        <w:t xml:space="preserve"> </w:t>
      </w:r>
      <w:r w:rsidR="00BE5B71" w:rsidRPr="00BE5B71">
        <w:rPr>
          <w:rFonts w:eastAsia="Times New Roman" w:cs="Times New Roman"/>
        </w:rPr>
        <w:t xml:space="preserve">urge </w:t>
      </w:r>
      <w:r w:rsidR="00027140">
        <w:rPr>
          <w:rFonts w:eastAsia="Times New Roman" w:cs="Times New Roman"/>
        </w:rPr>
        <w:t xml:space="preserve">the </w:t>
      </w:r>
      <w:r w:rsidR="00BE5B71" w:rsidRPr="00BE5B71">
        <w:rPr>
          <w:rFonts w:eastAsia="Times New Roman" w:cs="Times New Roman"/>
        </w:rPr>
        <w:t xml:space="preserve">Communications Alliance to reconsider its draft Code amendments </w:t>
      </w:r>
      <w:r w:rsidR="00027140">
        <w:rPr>
          <w:rFonts w:eastAsia="Times New Roman" w:cs="Times New Roman"/>
        </w:rPr>
        <w:t>with regard to</w:t>
      </w:r>
      <w:r w:rsidR="00BE5B71" w:rsidRPr="00BE5B71">
        <w:rPr>
          <w:rFonts w:eastAsia="Times New Roman" w:cs="Times New Roman"/>
        </w:rPr>
        <w:t xml:space="preserve"> the proposals above. </w:t>
      </w:r>
    </w:p>
    <w:p w:rsidR="00DD1B6E" w:rsidRDefault="001F5161" w:rsidP="001F5161">
      <w:pPr>
        <w:pStyle w:val="BodyText1"/>
        <w:spacing w:before="240" w:after="120"/>
        <w:rPr>
          <w:rFonts w:asciiTheme="minorHAnsi" w:hAnsiTheme="minorHAnsi" w:cstheme="minorHAnsi"/>
          <w:color w:val="auto"/>
        </w:rPr>
      </w:pPr>
      <w:r>
        <w:rPr>
          <w:rFonts w:asciiTheme="minorHAnsi" w:hAnsiTheme="minorHAnsi" w:cstheme="minorHAnsi"/>
          <w:color w:val="auto"/>
        </w:rPr>
        <w:t>Sincerely</w:t>
      </w:r>
    </w:p>
    <w:p w:rsidR="00543E51" w:rsidRDefault="00067D8E" w:rsidP="001F5161">
      <w:pPr>
        <w:pStyle w:val="BodyText1"/>
        <w:spacing w:before="240" w:after="120"/>
        <w:rPr>
          <w:rFonts w:asciiTheme="minorHAnsi" w:hAnsiTheme="minorHAnsi" w:cstheme="minorHAnsi"/>
          <w:color w:val="auto"/>
        </w:rPr>
      </w:pPr>
      <w:bookmarkStart w:id="0" w:name="_GoBack"/>
      <w:bookmarkEnd w:id="0"/>
      <w:r>
        <w:rPr>
          <w:rFonts w:asciiTheme="minorHAnsi" w:hAnsiTheme="minorHAnsi" w:cstheme="minorHAnsi"/>
          <w:noProof/>
          <w:color w:val="auto"/>
          <w:lang w:val="en-US"/>
        </w:rPr>
        <w:drawing>
          <wp:inline distT="0" distB="0" distL="0" distR="0" wp14:anchorId="04BACBC4">
            <wp:extent cx="1866900" cy="571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66900" cy="571500"/>
                    </a:xfrm>
                    <a:prstGeom prst="rect">
                      <a:avLst/>
                    </a:prstGeom>
                    <a:noFill/>
                  </pic:spPr>
                </pic:pic>
              </a:graphicData>
            </a:graphic>
          </wp:inline>
        </w:drawing>
      </w:r>
    </w:p>
    <w:p w:rsidR="00DD1B6E" w:rsidRDefault="001F5161" w:rsidP="00067D8E">
      <w:pPr>
        <w:pStyle w:val="BodyText1"/>
        <w:spacing w:after="0" w:line="240" w:lineRule="auto"/>
        <w:rPr>
          <w:rFonts w:asciiTheme="minorHAnsi" w:hAnsiTheme="minorHAnsi" w:cstheme="minorHAnsi"/>
          <w:color w:val="auto"/>
        </w:rPr>
      </w:pPr>
      <w:r>
        <w:rPr>
          <w:rFonts w:asciiTheme="minorHAnsi" w:hAnsiTheme="minorHAnsi" w:cstheme="minorHAnsi"/>
          <w:color w:val="auto"/>
        </w:rPr>
        <w:t>Teresa Corbin</w:t>
      </w:r>
    </w:p>
    <w:p w:rsidR="00DD1B6E" w:rsidRPr="00C32DD1" w:rsidRDefault="00067D8E" w:rsidP="00067D8E">
      <w:pPr>
        <w:pStyle w:val="BodyText1"/>
        <w:spacing w:after="120" w:line="240" w:lineRule="auto"/>
        <w:rPr>
          <w:rFonts w:asciiTheme="minorHAnsi" w:hAnsiTheme="minorHAnsi" w:cstheme="minorHAnsi"/>
          <w:color w:val="auto"/>
        </w:rPr>
      </w:pPr>
      <w:r>
        <w:rPr>
          <w:rFonts w:asciiTheme="minorHAnsi" w:hAnsiTheme="minorHAnsi" w:cstheme="minorHAnsi"/>
          <w:color w:val="auto"/>
        </w:rPr>
        <w:t>Chief Executive Officer</w:t>
      </w:r>
    </w:p>
    <w:sectPr w:rsidR="00DD1B6E" w:rsidRPr="00C32DD1" w:rsidSect="00084A5B">
      <w:headerReference w:type="default" r:id="rId13"/>
      <w:footerReference w:type="default" r:id="rId14"/>
      <w:type w:val="continuous"/>
      <w:pgSz w:w="11906" w:h="16838" w:code="9"/>
      <w:pgMar w:top="1440" w:right="1440" w:bottom="1440" w:left="1440"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A1E" w:rsidRDefault="00A33A1E" w:rsidP="005820C9">
      <w:pPr>
        <w:spacing w:after="0" w:line="240" w:lineRule="auto"/>
      </w:pPr>
      <w:r>
        <w:separator/>
      </w:r>
    </w:p>
  </w:endnote>
  <w:endnote w:type="continuationSeparator" w:id="0">
    <w:p w:rsidR="00A33A1E" w:rsidRDefault="00A33A1E" w:rsidP="00582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407" w:rsidRDefault="00652407" w:rsidP="00002D94">
    <w:pPr>
      <w:pStyle w:val="Footer"/>
    </w:pPr>
    <w:r>
      <w:rPr>
        <w:noProof/>
        <w:lang w:val="en-US"/>
      </w:rPr>
      <mc:AlternateContent>
        <mc:Choice Requires="wpg">
          <w:drawing>
            <wp:anchor distT="0" distB="0" distL="114300" distR="114300" simplePos="0" relativeHeight="251659264" behindDoc="1" locked="0" layoutInCell="1" allowOverlap="1" wp14:anchorId="09D75F90" wp14:editId="2679DD73">
              <wp:simplePos x="0" y="0"/>
              <wp:positionH relativeFrom="column">
                <wp:posOffset>-363830</wp:posOffset>
              </wp:positionH>
              <wp:positionV relativeFrom="paragraph">
                <wp:posOffset>-73190</wp:posOffset>
              </wp:positionV>
              <wp:extent cx="6971664" cy="1324082"/>
              <wp:effectExtent l="0" t="0" r="0" b="0"/>
              <wp:wrapNone/>
              <wp:docPr id="3" name="Group 3"/>
              <wp:cNvGraphicFramePr/>
              <a:graphic xmlns:a="http://schemas.openxmlformats.org/drawingml/2006/main">
                <a:graphicData uri="http://schemas.microsoft.com/office/word/2010/wordprocessingGroup">
                  <wpg:wgp>
                    <wpg:cNvGrpSpPr/>
                    <wpg:grpSpPr>
                      <a:xfrm>
                        <a:off x="0" y="0"/>
                        <a:ext cx="6971664" cy="1324082"/>
                        <a:chOff x="-49543" y="-26356"/>
                        <a:chExt cx="6971664" cy="1242669"/>
                      </a:xfrm>
                    </wpg:grpSpPr>
                    <wps:wsp>
                      <wps:cNvPr id="2" name="Text Box 2"/>
                      <wps:cNvSpPr txBox="1">
                        <a:spLocks noChangeArrowheads="1"/>
                      </wps:cNvSpPr>
                      <wps:spPr bwMode="auto">
                        <a:xfrm>
                          <a:off x="-49543" y="-26356"/>
                          <a:ext cx="6971664" cy="1242669"/>
                        </a:xfrm>
                        <a:prstGeom prst="rect">
                          <a:avLst/>
                        </a:prstGeom>
                        <a:noFill/>
                        <a:ln w="9525">
                          <a:noFill/>
                          <a:miter lim="800000"/>
                          <a:headEnd/>
                          <a:tailEnd/>
                        </a:ln>
                      </wps:spPr>
                      <wps:txbx>
                        <w:txbxContent>
                          <w:p w:rsidR="00652407" w:rsidRDefault="00652407" w:rsidP="001C28E7">
                            <w:pPr>
                              <w:spacing w:after="0" w:line="240" w:lineRule="auto"/>
                              <w:rPr>
                                <w:color w:val="23B0E6"/>
                                <w:sz w:val="20"/>
                                <w:szCs w:val="20"/>
                              </w:rPr>
                            </w:pPr>
                          </w:p>
                          <w:p w:rsidR="00652407" w:rsidRPr="00002D94" w:rsidRDefault="00652407" w:rsidP="001C28E7">
                            <w:pPr>
                              <w:spacing w:after="0" w:line="240" w:lineRule="auto"/>
                              <w:rPr>
                                <w:color w:val="23B0E6"/>
                                <w:sz w:val="20"/>
                                <w:szCs w:val="20"/>
                              </w:rPr>
                            </w:pPr>
                            <w:r w:rsidRPr="00002D94">
                              <w:rPr>
                                <w:color w:val="23B0E6"/>
                                <w:sz w:val="20"/>
                                <w:szCs w:val="20"/>
                              </w:rPr>
                              <w:t>Australian Communications Consumer Action Network (ACCAN)</w:t>
                            </w:r>
                          </w:p>
                          <w:p w:rsidR="00652407" w:rsidRPr="00002D94" w:rsidRDefault="00652407" w:rsidP="007D3F16">
                            <w:pPr>
                              <w:spacing w:after="0" w:line="240" w:lineRule="auto"/>
                              <w:rPr>
                                <w:i/>
                                <w:color w:val="23B0E6"/>
                                <w:sz w:val="20"/>
                                <w:szCs w:val="20"/>
                              </w:rPr>
                            </w:pPr>
                            <w:r w:rsidRPr="00002D94">
                              <w:rPr>
                                <w:i/>
                                <w:color w:val="23B0E6"/>
                                <w:sz w:val="20"/>
                                <w:szCs w:val="20"/>
                              </w:rPr>
                              <w:t>Australia’s peak telecommunications consumer organisation</w:t>
                            </w:r>
                          </w:p>
                          <w:p w:rsidR="00652407" w:rsidRPr="00002D94" w:rsidRDefault="00652407" w:rsidP="007D3F16">
                            <w:pPr>
                              <w:spacing w:after="0" w:line="240" w:lineRule="auto"/>
                              <w:rPr>
                                <w:sz w:val="20"/>
                                <w:szCs w:val="20"/>
                              </w:rPr>
                            </w:pPr>
                            <w:r w:rsidRPr="00002D94">
                              <w:rPr>
                                <w:sz w:val="20"/>
                                <w:szCs w:val="20"/>
                              </w:rPr>
                              <w:t>Suite 4.02, 55 Mountain St, Ultimo NSW 2007</w:t>
                            </w:r>
                          </w:p>
                          <w:p w:rsidR="00652407" w:rsidRPr="00002D94" w:rsidRDefault="00652407" w:rsidP="007D3F16">
                            <w:pPr>
                              <w:spacing w:after="0" w:line="240" w:lineRule="auto"/>
                              <w:rPr>
                                <w:sz w:val="20"/>
                                <w:szCs w:val="20"/>
                              </w:rPr>
                            </w:pPr>
                            <w:r w:rsidRPr="00002D94">
                              <w:rPr>
                                <w:sz w:val="20"/>
                                <w:szCs w:val="20"/>
                              </w:rPr>
                              <w:t>Tel: (02) 9288 4000 | TTY: (02) 9281 5322 | Fax: (02) 9288 4019</w:t>
                            </w:r>
                          </w:p>
                          <w:p w:rsidR="00652407" w:rsidRPr="00002D94" w:rsidRDefault="00652407" w:rsidP="007D3F16">
                            <w:pPr>
                              <w:spacing w:after="0" w:line="240" w:lineRule="auto"/>
                              <w:rPr>
                                <w:color w:val="23B0E6"/>
                                <w:sz w:val="20"/>
                                <w:szCs w:val="20"/>
                              </w:rPr>
                            </w:pPr>
                            <w:r w:rsidRPr="00002D94">
                              <w:rPr>
                                <w:color w:val="23B0E6"/>
                                <w:sz w:val="20"/>
                                <w:szCs w:val="20"/>
                              </w:rPr>
                              <w:t>www.accan.org.au | info@accan.org.au | twitter: @ACCAN_AU</w:t>
                            </w:r>
                          </w:p>
                        </w:txbxContent>
                      </wps:txbx>
                      <wps:bodyPr rot="0" vert="horz" wrap="square" lIns="91440" tIns="45720" rIns="91440" bIns="45720" anchor="t" anchorCtr="0">
                        <a:noAutofit/>
                      </wps:bodyPr>
                    </wps:wsp>
                    <wps:wsp>
                      <wps:cNvPr id="1" name="Straight Connector 1"/>
                      <wps:cNvCnPr/>
                      <wps:spPr>
                        <a:xfrm>
                          <a:off x="30738" y="316628"/>
                          <a:ext cx="6701051"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28.65pt;margin-top:-5.75pt;width:548.95pt;height:104.25pt;z-index:-251657216;mso-width-relative:margin;mso-height-relative:margin" coordorigin="-495,-263" coordsize="69716,12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">
              <v:shapetype id="_x0000_t202" coordsize="21600,21600" o:spt="202" path="m,l,21600r21600,l21600,xe">
                <v:stroke joinstyle="miter"/>
                <v:path gradientshapeok="t" o:connecttype="rect"/>
              </v:shapetype>
              <v:shape id="Text Box 2" o:spid="_x0000_s1027" type="#_x0000_t202" style="position:absolute;left:-495;top:-263;width:69716;height:1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652407" w:rsidRDefault="00652407" w:rsidP="001C28E7">
                      <w:pPr>
                        <w:spacing w:after="0" w:line="240" w:lineRule="auto"/>
                        <w:rPr>
                          <w:color w:val="23B0E6"/>
                          <w:sz w:val="20"/>
                          <w:szCs w:val="20"/>
                        </w:rPr>
                      </w:pPr>
                    </w:p>
                    <w:p w:rsidR="00652407" w:rsidRPr="00002D94" w:rsidRDefault="00652407" w:rsidP="001C28E7">
                      <w:pPr>
                        <w:spacing w:after="0" w:line="240" w:lineRule="auto"/>
                        <w:rPr>
                          <w:color w:val="23B0E6"/>
                          <w:sz w:val="20"/>
                          <w:szCs w:val="20"/>
                        </w:rPr>
                      </w:pPr>
                      <w:r w:rsidRPr="00002D94">
                        <w:rPr>
                          <w:color w:val="23B0E6"/>
                          <w:sz w:val="20"/>
                          <w:szCs w:val="20"/>
                        </w:rPr>
                        <w:t>Australian Communications Consumer Action Network (ACCAN)</w:t>
                      </w:r>
                    </w:p>
                    <w:p w:rsidR="00652407" w:rsidRPr="00002D94" w:rsidRDefault="00652407" w:rsidP="007D3F16">
                      <w:pPr>
                        <w:spacing w:after="0" w:line="240" w:lineRule="auto"/>
                        <w:rPr>
                          <w:i/>
                          <w:color w:val="23B0E6"/>
                          <w:sz w:val="20"/>
                          <w:szCs w:val="20"/>
                        </w:rPr>
                      </w:pPr>
                      <w:r w:rsidRPr="00002D94">
                        <w:rPr>
                          <w:i/>
                          <w:color w:val="23B0E6"/>
                          <w:sz w:val="20"/>
                          <w:szCs w:val="20"/>
                        </w:rPr>
                        <w:t>Australia’s peak telecommunications consumer organisation</w:t>
                      </w:r>
                    </w:p>
                    <w:p w:rsidR="00652407" w:rsidRPr="00002D94" w:rsidRDefault="00652407" w:rsidP="007D3F16">
                      <w:pPr>
                        <w:spacing w:after="0" w:line="240" w:lineRule="auto"/>
                        <w:rPr>
                          <w:sz w:val="20"/>
                          <w:szCs w:val="20"/>
                        </w:rPr>
                      </w:pPr>
                      <w:r w:rsidRPr="00002D94">
                        <w:rPr>
                          <w:sz w:val="20"/>
                          <w:szCs w:val="20"/>
                        </w:rPr>
                        <w:t>Suite 4.02, 55 Mountain St, Ultimo NSW 2007</w:t>
                      </w:r>
                    </w:p>
                    <w:p w:rsidR="00652407" w:rsidRPr="00002D94" w:rsidRDefault="00652407" w:rsidP="007D3F16">
                      <w:pPr>
                        <w:spacing w:after="0" w:line="240" w:lineRule="auto"/>
                        <w:rPr>
                          <w:sz w:val="20"/>
                          <w:szCs w:val="20"/>
                        </w:rPr>
                      </w:pPr>
                      <w:r w:rsidRPr="00002D94">
                        <w:rPr>
                          <w:sz w:val="20"/>
                          <w:szCs w:val="20"/>
                        </w:rPr>
                        <w:t>Tel: (02) 9288 4000 | TTY: (02) 9281 5322 | Fax: (02) 9288 4019</w:t>
                      </w:r>
                    </w:p>
                    <w:p w:rsidR="00652407" w:rsidRPr="00002D94" w:rsidRDefault="00652407" w:rsidP="007D3F16">
                      <w:pPr>
                        <w:spacing w:after="0" w:line="240" w:lineRule="auto"/>
                        <w:rPr>
                          <w:color w:val="23B0E6"/>
                          <w:sz w:val="20"/>
                          <w:szCs w:val="20"/>
                        </w:rPr>
                      </w:pPr>
                      <w:r w:rsidRPr="00002D94">
                        <w:rPr>
                          <w:color w:val="23B0E6"/>
                          <w:sz w:val="20"/>
                          <w:szCs w:val="20"/>
                        </w:rPr>
                        <w:t>www.accan.org.au | info@accan.org.au | twitter: @ACCAN_AU</w:t>
                      </w:r>
                    </w:p>
                  </w:txbxContent>
                </v:textbox>
              </v:shape>
              <v:line id="Straight Connector 1" o:spid="_x0000_s1028" style="position:absolute;visibility:visible;mso-wrap-style:square" from="307,3166" to="67317,3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2chsEAAADaAAAADwAAAGRycy9kb3ducmV2LnhtbERPS2rDMBDdF3oHMYXuGjmhmOBaCU3A&#10;paumcXOAqTX+YGtkLDmxe/ooUMhqeLzvpNvJdOJMg2ssK1guIhDEhdUNVwpOP9nLGoTzyBo7y6Rg&#10;JgfbzeNDiom2Fz7SOfeVCCHsElRQe98nUrqiJoNuYXviwJV2MOgDHCqpB7yEcNPJVRTF0mDDoaHG&#10;nvY1FW0+GgUH2Y5/r8U8lr+ZNx+nr138LY9KPT9N728gPE3+Lv53f+owH26v3K7cX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nZyGwQAAANoAAAAPAAAAAAAAAAAAAAAA&#10;AKECAABkcnMvZG93bnJldi54bWxQSwUGAAAAAAQABAD5AAAAjwMAAAAA&#10;" strokecolor="#23b0e6" strokeweight="3pt"/>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407" w:rsidRPr="00E05115" w:rsidRDefault="00652407" w:rsidP="00C4251E">
    <w:pPr>
      <w:spacing w:after="0"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sidR="00067D8E">
      <w:rPr>
        <w:noProof/>
      </w:rPr>
      <w:t>6</w:t>
    </w:r>
    <w:r w:rsidRPr="00C4251E">
      <w:rPr>
        <w:noProof/>
      </w:rPr>
      <w:fldChar w:fldCharType="end"/>
    </w:r>
  </w:p>
  <w:p w:rsidR="00652407" w:rsidRDefault="006524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A1E" w:rsidRDefault="00A33A1E" w:rsidP="005820C9">
      <w:pPr>
        <w:spacing w:after="0" w:line="240" w:lineRule="auto"/>
      </w:pPr>
      <w:r>
        <w:separator/>
      </w:r>
    </w:p>
  </w:footnote>
  <w:footnote w:type="continuationSeparator" w:id="0">
    <w:p w:rsidR="00A33A1E" w:rsidRDefault="00A33A1E" w:rsidP="005820C9">
      <w:pPr>
        <w:spacing w:after="0" w:line="240" w:lineRule="auto"/>
      </w:pPr>
      <w:r>
        <w:continuationSeparator/>
      </w:r>
    </w:p>
  </w:footnote>
  <w:footnote w:id="1">
    <w:p w:rsidR="00652407" w:rsidRPr="001D5E0B" w:rsidRDefault="00652407">
      <w:pPr>
        <w:pStyle w:val="FootnoteText"/>
        <w:rPr>
          <w:lang w:val="en-AU"/>
        </w:rPr>
      </w:pPr>
      <w:r>
        <w:rPr>
          <w:rStyle w:val="FootnoteReference"/>
        </w:rPr>
        <w:footnoteRef/>
      </w:r>
      <w:r>
        <w:t xml:space="preserve"> </w:t>
      </w:r>
      <w:hyperlink r:id="rId1" w:history="1">
        <w:r w:rsidRPr="009C65FC">
          <w:rPr>
            <w:rStyle w:val="Hyperlink"/>
          </w:rPr>
          <w:t>http://accan.org.au/our-work/research/1400-third-party-charges-consumer-experiences-and-expectations</w:t>
        </w:r>
      </w:hyperlink>
    </w:p>
  </w:footnote>
  <w:footnote w:id="2">
    <w:p w:rsidR="001B7543" w:rsidRPr="001B7543" w:rsidRDefault="001B7543">
      <w:pPr>
        <w:pStyle w:val="FootnoteText"/>
        <w:rPr>
          <w:lang w:val="en-AU"/>
        </w:rPr>
      </w:pPr>
      <w:r>
        <w:rPr>
          <w:rStyle w:val="FootnoteReference"/>
        </w:rPr>
        <w:footnoteRef/>
      </w:r>
      <w:r>
        <w:t xml:space="preserve"> </w:t>
      </w:r>
      <w:r w:rsidRPr="001B7543">
        <w:t>http://accan.org.au/our-work/submissions/1316-review-of-the-mobile-premium-services-code</w:t>
      </w:r>
    </w:p>
  </w:footnote>
  <w:footnote w:id="3">
    <w:p w:rsidR="00652407" w:rsidRPr="00543E51" w:rsidRDefault="00652407">
      <w:pPr>
        <w:pStyle w:val="FootnoteText"/>
        <w:rPr>
          <w:lang w:val="en-AU"/>
        </w:rPr>
      </w:pPr>
      <w:r>
        <w:rPr>
          <w:rStyle w:val="FootnoteReference"/>
        </w:rPr>
        <w:footnoteRef/>
      </w:r>
      <w:r>
        <w:t xml:space="preserve"> </w:t>
      </w:r>
      <w:r>
        <w:rPr>
          <w:lang w:val="en-AU"/>
        </w:rPr>
        <w:t xml:space="preserve">Mobile Third Party Billing: Consumer Experiences and Expectations: </w:t>
      </w:r>
      <w:hyperlink r:id="rId2" w:history="1">
        <w:r w:rsidRPr="00536C27">
          <w:rPr>
            <w:rStyle w:val="Hyperlink"/>
            <w:lang w:val="en-AU"/>
          </w:rPr>
          <w:t>http://accan.org.au/our-work/research/1400-third-party-charges-consumer-experiences-and-expectations</w:t>
        </w:r>
      </w:hyperlink>
      <w:r>
        <w:rPr>
          <w:lang w:val="en-AU"/>
        </w:rPr>
        <w:t>, 5.4.2, 5.4.3</w:t>
      </w:r>
    </w:p>
  </w:footnote>
  <w:footnote w:id="4">
    <w:p w:rsidR="00652407" w:rsidRPr="00CD0053" w:rsidRDefault="00652407" w:rsidP="00CD2F6D">
      <w:pPr>
        <w:pStyle w:val="FootnoteText"/>
        <w:rPr>
          <w:lang w:val="en-US"/>
        </w:rPr>
      </w:pPr>
      <w:r>
        <w:rPr>
          <w:rStyle w:val="FootnoteReference"/>
        </w:rPr>
        <w:footnoteRef/>
      </w:r>
      <w:r>
        <w:t xml:space="preserve"> </w:t>
      </w:r>
      <w:r w:rsidRPr="00CD0053">
        <w:t>Optus, Google Play Store Billing, “What stuff can I buy on Google Play?</w:t>
      </w:r>
      <w:proofErr w:type="gramStart"/>
      <w:r w:rsidRPr="00CD0053">
        <w:t>”,</w:t>
      </w:r>
      <w:proofErr w:type="gramEnd"/>
      <w:r w:rsidRPr="00CD0053">
        <w:t xml:space="preserve"> available at &lt;http://www.optus.com.au/shop/mobile/apps/Google-Play-Store-Billing&gt;.</w:t>
      </w:r>
    </w:p>
  </w:footnote>
  <w:footnote w:id="5">
    <w:p w:rsidR="00652407" w:rsidRPr="00CD0053" w:rsidRDefault="00652407" w:rsidP="00CD2F6D">
      <w:pPr>
        <w:pStyle w:val="FootnoteText"/>
        <w:rPr>
          <w:lang w:val="en-US"/>
        </w:rPr>
      </w:pPr>
      <w:r>
        <w:rPr>
          <w:rStyle w:val="FootnoteReference"/>
        </w:rPr>
        <w:footnoteRef/>
      </w:r>
      <w:r>
        <w:t xml:space="preserve"> </w:t>
      </w:r>
      <w:r w:rsidRPr="00CD0053">
        <w:t>Will Hernandez, ‘</w:t>
      </w:r>
      <w:proofErr w:type="spellStart"/>
      <w:r w:rsidRPr="00CD0053">
        <w:t>Boku</w:t>
      </w:r>
      <w:proofErr w:type="spellEnd"/>
      <w:r w:rsidRPr="00CD0053">
        <w:t xml:space="preserve"> brings direct carrier billing into the physical world thanks to license’, Mobile Payments Today, 2 October 2014, available at &lt;</w:t>
      </w:r>
      <w:r w:rsidRPr="00CD0053">
        <w:rPr>
          <w:u w:val="single"/>
        </w:rPr>
        <w:t>http://www.mobilepaymentstoday.com/articles/boku-brings-directcarrier-billing-into-the-physical-world-thanks-to-license/</w:t>
      </w:r>
      <w:r w:rsidRPr="00CD0053">
        <w:t>&gt;.</w:t>
      </w:r>
    </w:p>
  </w:footnote>
  <w:footnote w:id="6">
    <w:p w:rsidR="00652407" w:rsidRPr="00543E51" w:rsidRDefault="00652407">
      <w:pPr>
        <w:pStyle w:val="FootnoteText"/>
        <w:rPr>
          <w:lang w:val="en-AU"/>
        </w:rPr>
      </w:pPr>
      <w:r>
        <w:rPr>
          <w:rStyle w:val="FootnoteReference"/>
        </w:rPr>
        <w:footnoteRef/>
      </w:r>
      <w:r w:rsidR="001A4CB9">
        <w:t xml:space="preserve"> See Market Update 17/11/2016 </w:t>
      </w:r>
      <w:hyperlink r:id="rId3" w:history="1">
        <w:r w:rsidR="001A4CB9" w:rsidRPr="001A4CB9">
          <w:rPr>
            <w:rStyle w:val="Hyperlink"/>
          </w:rPr>
          <w:t>http://mobileembrace.com/investors-2/</w:t>
        </w:r>
      </w:hyperlink>
    </w:p>
  </w:footnote>
  <w:footnote w:id="7">
    <w:p w:rsidR="00652407" w:rsidRPr="00543E51" w:rsidRDefault="00652407">
      <w:pPr>
        <w:pStyle w:val="FootnoteText"/>
        <w:rPr>
          <w:lang w:val="en-AU"/>
        </w:rPr>
      </w:pPr>
      <w:r>
        <w:rPr>
          <w:rStyle w:val="FootnoteReference"/>
        </w:rPr>
        <w:footnoteRef/>
      </w:r>
      <w:r>
        <w:t xml:space="preserve"> See Oxygen8 Australia website: </w:t>
      </w:r>
      <w:hyperlink r:id="rId4" w:history="1">
        <w:r w:rsidRPr="004B69CB">
          <w:rPr>
            <w:rStyle w:val="Hyperlink"/>
          </w:rPr>
          <w:t>http://au.oxygen8.com/solutions/mobile-payments/directbilling/</w:t>
        </w:r>
      </w:hyperlink>
      <w:r>
        <w:t>, accessed 26 July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407" w:rsidRDefault="00652407" w:rsidP="00DD7C1C">
    <w:pPr>
      <w:pStyle w:val="Header"/>
      <w:tabs>
        <w:tab w:val="clear" w:pos="4513"/>
        <w:tab w:val="clear" w:pos="9026"/>
      </w:tabs>
      <w:ind w:right="-1"/>
      <w:jc w:val="right"/>
    </w:pPr>
    <w:r>
      <w:rPr>
        <w:noProof/>
        <w:lang w:val="en-US"/>
      </w:rPr>
      <w:drawing>
        <wp:anchor distT="0" distB="0" distL="114300" distR="114300" simplePos="0" relativeHeight="251660288" behindDoc="1" locked="0" layoutInCell="1" allowOverlap="1" wp14:anchorId="464FDAD1" wp14:editId="008A6AA8">
          <wp:simplePos x="0" y="0"/>
          <wp:positionH relativeFrom="column">
            <wp:posOffset>4785812</wp:posOffset>
          </wp:positionH>
          <wp:positionV relativeFrom="paragraph">
            <wp:posOffset>117807</wp:posOffset>
          </wp:positionV>
          <wp:extent cx="1630800" cy="756000"/>
          <wp:effectExtent l="0" t="0" r="762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407" w:rsidRDefault="00652407" w:rsidP="005820C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462D1"/>
    <w:multiLevelType w:val="hybridMultilevel"/>
    <w:tmpl w:val="909E74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D053ED"/>
    <w:multiLevelType w:val="hybridMultilevel"/>
    <w:tmpl w:val="9634C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C02A97"/>
    <w:multiLevelType w:val="hybridMultilevel"/>
    <w:tmpl w:val="47F86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932498"/>
    <w:multiLevelType w:val="hybridMultilevel"/>
    <w:tmpl w:val="65D655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BD220A9"/>
    <w:multiLevelType w:val="hybridMultilevel"/>
    <w:tmpl w:val="7C684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D24AD5"/>
    <w:multiLevelType w:val="multilevel"/>
    <w:tmpl w:val="CE50924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4B642A6"/>
    <w:multiLevelType w:val="hybridMultilevel"/>
    <w:tmpl w:val="1D080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5DF2D0C"/>
    <w:multiLevelType w:val="hybridMultilevel"/>
    <w:tmpl w:val="A96E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BF1A02"/>
    <w:multiLevelType w:val="hybridMultilevel"/>
    <w:tmpl w:val="DD6C3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2B6ECE"/>
    <w:multiLevelType w:val="hybridMultilevel"/>
    <w:tmpl w:val="03B47A0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4445FA"/>
    <w:multiLevelType w:val="hybridMultilevel"/>
    <w:tmpl w:val="B4B044D8"/>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num w:numId="1">
    <w:abstractNumId w:val="6"/>
  </w:num>
  <w:num w:numId="2">
    <w:abstractNumId w:val="8"/>
  </w:num>
  <w:num w:numId="3">
    <w:abstractNumId w:val="2"/>
  </w:num>
  <w:num w:numId="4">
    <w:abstractNumId w:val="4"/>
  </w:num>
  <w:num w:numId="5">
    <w:abstractNumId w:val="7"/>
  </w:num>
  <w:num w:numId="6">
    <w:abstractNumId w:val="3"/>
  </w:num>
  <w:num w:numId="7">
    <w:abstractNumId w:val="9"/>
  </w:num>
  <w:num w:numId="8">
    <w:abstractNumId w:val="10"/>
  </w:num>
  <w:num w:numId="9">
    <w:abstractNumId w:val="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4CB"/>
    <w:rsid w:val="000000FD"/>
    <w:rsid w:val="00002D94"/>
    <w:rsid w:val="0001573C"/>
    <w:rsid w:val="00027140"/>
    <w:rsid w:val="00027253"/>
    <w:rsid w:val="00030EAB"/>
    <w:rsid w:val="00033637"/>
    <w:rsid w:val="0003658F"/>
    <w:rsid w:val="00036DCB"/>
    <w:rsid w:val="0004158D"/>
    <w:rsid w:val="00053FA1"/>
    <w:rsid w:val="00067026"/>
    <w:rsid w:val="00067C8F"/>
    <w:rsid w:val="00067D8E"/>
    <w:rsid w:val="000775DA"/>
    <w:rsid w:val="00084A5B"/>
    <w:rsid w:val="00086E02"/>
    <w:rsid w:val="000A3222"/>
    <w:rsid w:val="000A59A9"/>
    <w:rsid w:val="000B0630"/>
    <w:rsid w:val="000C372A"/>
    <w:rsid w:val="000D5026"/>
    <w:rsid w:val="0010468C"/>
    <w:rsid w:val="001223B5"/>
    <w:rsid w:val="00126BD2"/>
    <w:rsid w:val="001416DE"/>
    <w:rsid w:val="00150C6C"/>
    <w:rsid w:val="00161238"/>
    <w:rsid w:val="001627E8"/>
    <w:rsid w:val="00165BC9"/>
    <w:rsid w:val="00176E95"/>
    <w:rsid w:val="001924C7"/>
    <w:rsid w:val="001A4CB9"/>
    <w:rsid w:val="001B6E11"/>
    <w:rsid w:val="001B7543"/>
    <w:rsid w:val="001C28E7"/>
    <w:rsid w:val="001D4588"/>
    <w:rsid w:val="001D5E0B"/>
    <w:rsid w:val="001E0152"/>
    <w:rsid w:val="001F3C0D"/>
    <w:rsid w:val="001F5161"/>
    <w:rsid w:val="001F744D"/>
    <w:rsid w:val="00234042"/>
    <w:rsid w:val="00266849"/>
    <w:rsid w:val="00267BD8"/>
    <w:rsid w:val="00282183"/>
    <w:rsid w:val="00284D7D"/>
    <w:rsid w:val="00290F66"/>
    <w:rsid w:val="002B03A2"/>
    <w:rsid w:val="002C1759"/>
    <w:rsid w:val="002D617D"/>
    <w:rsid w:val="002F3539"/>
    <w:rsid w:val="00331BEF"/>
    <w:rsid w:val="00345D0B"/>
    <w:rsid w:val="0034774A"/>
    <w:rsid w:val="00353564"/>
    <w:rsid w:val="00353C27"/>
    <w:rsid w:val="0035504C"/>
    <w:rsid w:val="00367163"/>
    <w:rsid w:val="00370FA1"/>
    <w:rsid w:val="00390245"/>
    <w:rsid w:val="003922D8"/>
    <w:rsid w:val="003B1499"/>
    <w:rsid w:val="003E2B7B"/>
    <w:rsid w:val="003E58A6"/>
    <w:rsid w:val="003E6503"/>
    <w:rsid w:val="003F003A"/>
    <w:rsid w:val="004353CE"/>
    <w:rsid w:val="004552EA"/>
    <w:rsid w:val="0047191E"/>
    <w:rsid w:val="00472C7E"/>
    <w:rsid w:val="004763FB"/>
    <w:rsid w:val="004850E4"/>
    <w:rsid w:val="004A01EB"/>
    <w:rsid w:val="004A0DA8"/>
    <w:rsid w:val="004B5F63"/>
    <w:rsid w:val="004C269D"/>
    <w:rsid w:val="004C3886"/>
    <w:rsid w:val="004D7D63"/>
    <w:rsid w:val="004E2BFA"/>
    <w:rsid w:val="004E6F8C"/>
    <w:rsid w:val="0050643A"/>
    <w:rsid w:val="00511BC0"/>
    <w:rsid w:val="00536C27"/>
    <w:rsid w:val="005438C3"/>
    <w:rsid w:val="00543E51"/>
    <w:rsid w:val="005457A7"/>
    <w:rsid w:val="0055155C"/>
    <w:rsid w:val="005525E4"/>
    <w:rsid w:val="00561D7D"/>
    <w:rsid w:val="0057197C"/>
    <w:rsid w:val="005808DE"/>
    <w:rsid w:val="005820C9"/>
    <w:rsid w:val="00591121"/>
    <w:rsid w:val="005A673E"/>
    <w:rsid w:val="005A6979"/>
    <w:rsid w:val="005B4582"/>
    <w:rsid w:val="005C4A18"/>
    <w:rsid w:val="005F1F87"/>
    <w:rsid w:val="00607655"/>
    <w:rsid w:val="00613294"/>
    <w:rsid w:val="00622D58"/>
    <w:rsid w:val="00630B2D"/>
    <w:rsid w:val="00634C7C"/>
    <w:rsid w:val="00644B5A"/>
    <w:rsid w:val="00652407"/>
    <w:rsid w:val="00665BA7"/>
    <w:rsid w:val="00672F8A"/>
    <w:rsid w:val="006A0D62"/>
    <w:rsid w:val="006A476A"/>
    <w:rsid w:val="006C0F03"/>
    <w:rsid w:val="006D6022"/>
    <w:rsid w:val="006F04CE"/>
    <w:rsid w:val="006F0CBD"/>
    <w:rsid w:val="006F0EEA"/>
    <w:rsid w:val="0070165B"/>
    <w:rsid w:val="00704D01"/>
    <w:rsid w:val="007155E0"/>
    <w:rsid w:val="00723FB9"/>
    <w:rsid w:val="007267D0"/>
    <w:rsid w:val="007506AE"/>
    <w:rsid w:val="007550F8"/>
    <w:rsid w:val="00757871"/>
    <w:rsid w:val="00780379"/>
    <w:rsid w:val="007A3E1A"/>
    <w:rsid w:val="007B15E3"/>
    <w:rsid w:val="007D1644"/>
    <w:rsid w:val="007D3F16"/>
    <w:rsid w:val="007D450F"/>
    <w:rsid w:val="007D549C"/>
    <w:rsid w:val="007E2D9C"/>
    <w:rsid w:val="0082065D"/>
    <w:rsid w:val="008244C1"/>
    <w:rsid w:val="00835E69"/>
    <w:rsid w:val="008372F9"/>
    <w:rsid w:val="008378C3"/>
    <w:rsid w:val="0086305C"/>
    <w:rsid w:val="008705B2"/>
    <w:rsid w:val="00871B83"/>
    <w:rsid w:val="008737E8"/>
    <w:rsid w:val="00874727"/>
    <w:rsid w:val="00886D5F"/>
    <w:rsid w:val="008A19E7"/>
    <w:rsid w:val="008A457E"/>
    <w:rsid w:val="008F7E90"/>
    <w:rsid w:val="009071C6"/>
    <w:rsid w:val="00910B81"/>
    <w:rsid w:val="00922B80"/>
    <w:rsid w:val="00987427"/>
    <w:rsid w:val="009A227B"/>
    <w:rsid w:val="009A313E"/>
    <w:rsid w:val="009B21DA"/>
    <w:rsid w:val="009C65FC"/>
    <w:rsid w:val="009D4F9F"/>
    <w:rsid w:val="009F4487"/>
    <w:rsid w:val="00A16AFB"/>
    <w:rsid w:val="00A22F1D"/>
    <w:rsid w:val="00A2735E"/>
    <w:rsid w:val="00A2770B"/>
    <w:rsid w:val="00A33A1E"/>
    <w:rsid w:val="00A4447D"/>
    <w:rsid w:val="00A63AF9"/>
    <w:rsid w:val="00A83707"/>
    <w:rsid w:val="00A86C94"/>
    <w:rsid w:val="00AA686C"/>
    <w:rsid w:val="00AB3B9D"/>
    <w:rsid w:val="00AD7EAA"/>
    <w:rsid w:val="00AE2840"/>
    <w:rsid w:val="00AF3C34"/>
    <w:rsid w:val="00B22ACC"/>
    <w:rsid w:val="00B36D79"/>
    <w:rsid w:val="00B4140A"/>
    <w:rsid w:val="00B418A0"/>
    <w:rsid w:val="00B72A84"/>
    <w:rsid w:val="00B87233"/>
    <w:rsid w:val="00B94048"/>
    <w:rsid w:val="00B94449"/>
    <w:rsid w:val="00BA0EFD"/>
    <w:rsid w:val="00BB43D8"/>
    <w:rsid w:val="00BC298D"/>
    <w:rsid w:val="00BD7892"/>
    <w:rsid w:val="00BE5B71"/>
    <w:rsid w:val="00BF307B"/>
    <w:rsid w:val="00C20A57"/>
    <w:rsid w:val="00C32DD1"/>
    <w:rsid w:val="00C411E0"/>
    <w:rsid w:val="00C4251E"/>
    <w:rsid w:val="00C613FC"/>
    <w:rsid w:val="00C76E46"/>
    <w:rsid w:val="00CC401A"/>
    <w:rsid w:val="00CC4238"/>
    <w:rsid w:val="00CD0053"/>
    <w:rsid w:val="00CD2F6D"/>
    <w:rsid w:val="00CD7788"/>
    <w:rsid w:val="00CF5B31"/>
    <w:rsid w:val="00D1543B"/>
    <w:rsid w:val="00D25A59"/>
    <w:rsid w:val="00D3636E"/>
    <w:rsid w:val="00D401B7"/>
    <w:rsid w:val="00D55960"/>
    <w:rsid w:val="00D606AD"/>
    <w:rsid w:val="00D66D95"/>
    <w:rsid w:val="00D818D1"/>
    <w:rsid w:val="00D94C78"/>
    <w:rsid w:val="00DA5867"/>
    <w:rsid w:val="00DB0D4D"/>
    <w:rsid w:val="00DD1B6E"/>
    <w:rsid w:val="00DD71D6"/>
    <w:rsid w:val="00DD7C1C"/>
    <w:rsid w:val="00E05115"/>
    <w:rsid w:val="00E102B7"/>
    <w:rsid w:val="00E116B7"/>
    <w:rsid w:val="00E21BDB"/>
    <w:rsid w:val="00E2637B"/>
    <w:rsid w:val="00E4012A"/>
    <w:rsid w:val="00E54047"/>
    <w:rsid w:val="00E54143"/>
    <w:rsid w:val="00E66CAF"/>
    <w:rsid w:val="00E7114B"/>
    <w:rsid w:val="00E81ECD"/>
    <w:rsid w:val="00EB341B"/>
    <w:rsid w:val="00EC0E9E"/>
    <w:rsid w:val="00EC152D"/>
    <w:rsid w:val="00EF17D8"/>
    <w:rsid w:val="00F0555D"/>
    <w:rsid w:val="00F21AAE"/>
    <w:rsid w:val="00F31229"/>
    <w:rsid w:val="00F3421A"/>
    <w:rsid w:val="00F47C64"/>
    <w:rsid w:val="00F47F62"/>
    <w:rsid w:val="00F50978"/>
    <w:rsid w:val="00F6002F"/>
    <w:rsid w:val="00F61950"/>
    <w:rsid w:val="00F62758"/>
    <w:rsid w:val="00F725EF"/>
    <w:rsid w:val="00F76853"/>
    <w:rsid w:val="00F773A9"/>
    <w:rsid w:val="00F860D4"/>
    <w:rsid w:val="00F904CB"/>
    <w:rsid w:val="00F95861"/>
    <w:rsid w:val="00FA0C93"/>
    <w:rsid w:val="00FB1F2E"/>
    <w:rsid w:val="00FB490E"/>
    <w:rsid w:val="00FB5E3D"/>
    <w:rsid w:val="00FB618D"/>
    <w:rsid w:val="00FD7A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Date/Address"/>
    <w:qFormat/>
    <w:rsid w:val="00353C27"/>
    <w:pPr>
      <w:spacing w:after="200" w:line="276" w:lineRule="auto"/>
    </w:pPr>
    <w:rPr>
      <w:rFonts w:eastAsiaTheme="minorEastAsia"/>
      <w:lang w:eastAsia="en-AU"/>
    </w:rPr>
  </w:style>
  <w:style w:type="paragraph" w:styleId="Heading1">
    <w:name w:val="heading 1"/>
    <w:basedOn w:val="Normal"/>
    <w:next w:val="Normal"/>
    <w:link w:val="Heading1Char"/>
    <w:uiPriority w:val="9"/>
    <w:qFormat/>
    <w:rsid w:val="008F7E90"/>
    <w:pPr>
      <w:keepNext/>
      <w:keepLines/>
      <w:spacing w:before="480" w:after="0" w:line="240" w:lineRule="auto"/>
      <w:outlineLvl w:val="0"/>
    </w:pPr>
    <w:rPr>
      <w:rFonts w:eastAsiaTheme="majorEastAsia" w:cstheme="majorBidi"/>
      <w:b/>
      <w:bCs/>
      <w:caps/>
      <w:sz w:val="44"/>
      <w:szCs w:val="28"/>
      <w:lang w:val="en-GB" w:eastAsia="en-US"/>
    </w:rPr>
  </w:style>
  <w:style w:type="paragraph" w:styleId="Heading2">
    <w:name w:val="heading 2"/>
    <w:basedOn w:val="Normal"/>
    <w:next w:val="Normal"/>
    <w:link w:val="Heading2Char"/>
    <w:rsid w:val="008F7E90"/>
    <w:pPr>
      <w:keepNext/>
      <w:spacing w:after="120" w:line="240" w:lineRule="auto"/>
      <w:outlineLvl w:val="1"/>
    </w:pPr>
    <w:rPr>
      <w:rFonts w:eastAsia="Times New Roman" w:cs="Times New Roman"/>
      <w:b/>
      <w:bCs/>
      <w:iCs/>
      <w:sz w:val="36"/>
      <w:szCs w:val="24"/>
      <w:lang w:val="en-US" w:eastAsia="en-US"/>
    </w:rPr>
  </w:style>
  <w:style w:type="paragraph" w:styleId="Heading3">
    <w:name w:val="heading 3"/>
    <w:basedOn w:val="Normal"/>
    <w:next w:val="Normal"/>
    <w:link w:val="Heading3Char"/>
    <w:rsid w:val="008F7E90"/>
    <w:pPr>
      <w:keepNext/>
      <w:spacing w:after="0" w:line="240" w:lineRule="auto"/>
      <w:outlineLvl w:val="2"/>
    </w:pPr>
    <w:rPr>
      <w:rFonts w:eastAsia="Times New Roman" w:cs="Times New Roman"/>
      <w:b/>
      <w:bCs/>
      <w:iCs/>
      <w:sz w:val="28"/>
      <w:szCs w:val="24"/>
      <w:lang w:val="en-US" w:eastAsia="en-US"/>
    </w:rPr>
  </w:style>
  <w:style w:type="paragraph" w:styleId="Heading4">
    <w:name w:val="heading 4"/>
    <w:basedOn w:val="Normal"/>
    <w:next w:val="Normal"/>
    <w:link w:val="Heading4Char"/>
    <w:uiPriority w:val="9"/>
    <w:unhideWhenUsed/>
    <w:rsid w:val="008F7E90"/>
    <w:pPr>
      <w:keepNext/>
      <w:keepLines/>
      <w:spacing w:before="120" w:after="0" w:line="240" w:lineRule="auto"/>
      <w:outlineLvl w:val="3"/>
    </w:pPr>
    <w:rPr>
      <w:rFonts w:eastAsiaTheme="majorEastAsia" w:cstheme="majorBidi"/>
      <w:bCs/>
      <w:iCs/>
      <w:sz w:val="24"/>
      <w:lang w:val="en-GB" w:eastAsia="en-US"/>
    </w:rPr>
  </w:style>
  <w:style w:type="paragraph" w:styleId="Heading5">
    <w:name w:val="heading 5"/>
    <w:basedOn w:val="Normal"/>
    <w:next w:val="Normal"/>
    <w:link w:val="Heading5Char"/>
    <w:uiPriority w:val="9"/>
    <w:unhideWhenUsed/>
    <w:rsid w:val="008F7E90"/>
    <w:pPr>
      <w:keepNext/>
      <w:keepLines/>
      <w:spacing w:before="200" w:after="0" w:line="240" w:lineRule="auto"/>
      <w:outlineLvl w:val="4"/>
    </w:pPr>
    <w:rPr>
      <w:rFonts w:eastAsiaTheme="majorEastAsia" w:cstheme="majorBidi"/>
      <w:u w:val="single"/>
      <w:lang w:val="en-GB" w:eastAsia="en-US"/>
    </w:rPr>
  </w:style>
  <w:style w:type="paragraph" w:styleId="Heading6">
    <w:name w:val="heading 6"/>
    <w:basedOn w:val="Normal"/>
    <w:next w:val="Normal"/>
    <w:link w:val="Heading6Char"/>
    <w:uiPriority w:val="9"/>
    <w:unhideWhenUsed/>
    <w:rsid w:val="008F7E90"/>
    <w:pPr>
      <w:keepNext/>
      <w:keepLines/>
      <w:spacing w:before="200" w:after="0" w:line="240" w:lineRule="auto"/>
      <w:outlineLvl w:val="5"/>
    </w:pPr>
    <w:rPr>
      <w:rFonts w:eastAsiaTheme="majorEastAsia" w:cstheme="majorBidi"/>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E90"/>
    <w:rPr>
      <w:rFonts w:eastAsiaTheme="majorEastAsia" w:cstheme="majorBidi"/>
      <w:b/>
      <w:bCs/>
      <w:caps/>
      <w:sz w:val="44"/>
      <w:szCs w:val="28"/>
      <w:lang w:val="en-GB"/>
    </w:rPr>
  </w:style>
  <w:style w:type="character" w:customStyle="1" w:styleId="Heading2Char">
    <w:name w:val="Heading 2 Char"/>
    <w:basedOn w:val="DefaultParagraphFont"/>
    <w:link w:val="Heading2"/>
    <w:rsid w:val="008F7E90"/>
    <w:rPr>
      <w:rFonts w:eastAsia="Times New Roman" w:cs="Times New Roman"/>
      <w:b/>
      <w:bCs/>
      <w:iCs/>
      <w:sz w:val="36"/>
      <w:szCs w:val="24"/>
      <w:lang w:val="en-US"/>
    </w:rPr>
  </w:style>
  <w:style w:type="character" w:customStyle="1" w:styleId="Heading3Char">
    <w:name w:val="Heading 3 Char"/>
    <w:basedOn w:val="DefaultParagraphFont"/>
    <w:link w:val="Heading3"/>
    <w:rsid w:val="008F7E90"/>
    <w:rPr>
      <w:rFonts w:eastAsia="Times New Roman" w:cs="Times New Roman"/>
      <w:b/>
      <w:bCs/>
      <w:iCs/>
      <w:sz w:val="28"/>
      <w:szCs w:val="24"/>
      <w:lang w:val="en-US"/>
    </w:rPr>
  </w:style>
  <w:style w:type="character" w:customStyle="1" w:styleId="Heading4Char">
    <w:name w:val="Heading 4 Char"/>
    <w:basedOn w:val="DefaultParagraphFont"/>
    <w:link w:val="Heading4"/>
    <w:uiPriority w:val="9"/>
    <w:rsid w:val="008F7E90"/>
    <w:rPr>
      <w:rFonts w:eastAsiaTheme="majorEastAsia" w:cstheme="majorBidi"/>
      <w:bCs/>
      <w:iCs/>
      <w:sz w:val="24"/>
      <w:lang w:val="en-GB"/>
    </w:rPr>
  </w:style>
  <w:style w:type="character" w:customStyle="1" w:styleId="Heading5Char">
    <w:name w:val="Heading 5 Char"/>
    <w:basedOn w:val="DefaultParagraphFont"/>
    <w:link w:val="Heading5"/>
    <w:uiPriority w:val="9"/>
    <w:rsid w:val="008F7E90"/>
    <w:rPr>
      <w:rFonts w:eastAsiaTheme="majorEastAsia" w:cstheme="majorBidi"/>
      <w:u w:val="single"/>
      <w:lang w:val="en-GB"/>
    </w:rPr>
  </w:style>
  <w:style w:type="character" w:customStyle="1" w:styleId="Heading6Char">
    <w:name w:val="Heading 6 Char"/>
    <w:basedOn w:val="DefaultParagraphFont"/>
    <w:link w:val="Heading6"/>
    <w:uiPriority w:val="9"/>
    <w:rsid w:val="008F7E90"/>
    <w:rPr>
      <w:rFonts w:eastAsiaTheme="majorEastAsia" w:cstheme="majorBidi"/>
      <w:i/>
      <w:iCs/>
      <w:lang w:val="en-GB"/>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line="240" w:lineRule="auto"/>
    </w:pPr>
    <w:rPr>
      <w:rFonts w:ascii="Tahoma" w:eastAsia="Times New Roman" w:hAnsi="Tahoma" w:cs="Times New Roman"/>
      <w:sz w:val="20"/>
      <w:szCs w:val="24"/>
      <w:lang w:val="en-US" w:eastAsia="en-US"/>
    </w:rPr>
  </w:style>
  <w:style w:type="paragraph" w:customStyle="1" w:styleId="SurveyquestionforLines">
    <w:name w:val="Survey question for Lines"/>
    <w:basedOn w:val="Normal"/>
    <w:rsid w:val="008F7E90"/>
    <w:pPr>
      <w:keepNext/>
      <w:spacing w:before="320" w:after="0" w:line="240" w:lineRule="auto"/>
    </w:pPr>
    <w:rPr>
      <w:rFonts w:ascii="Tahoma" w:eastAsia="Times New Roman" w:hAnsi="Tahoma" w:cs="Times New Roman"/>
      <w:b/>
      <w:sz w:val="20"/>
      <w:szCs w:val="24"/>
      <w:lang w:val="en-US" w:eastAsia="en-US"/>
    </w:rPr>
  </w:style>
  <w:style w:type="paragraph" w:customStyle="1" w:styleId="Line">
    <w:name w:val="Line"/>
    <w:basedOn w:val="Normal"/>
    <w:rsid w:val="008F7E90"/>
    <w:pPr>
      <w:tabs>
        <w:tab w:val="left" w:leader="underscore" w:pos="8640"/>
      </w:tabs>
      <w:spacing w:before="60" w:after="0" w:line="240" w:lineRule="auto"/>
    </w:pPr>
    <w:rPr>
      <w:rFonts w:ascii="Tahoma" w:eastAsia="Times New Roman" w:hAnsi="Tahoma" w:cs="Times New Roman"/>
      <w:sz w:val="20"/>
      <w:szCs w:val="24"/>
      <w:lang w:val="en-US" w:eastAsia="en-US"/>
    </w:rPr>
  </w:style>
  <w:style w:type="paragraph" w:customStyle="1" w:styleId="Thankyou">
    <w:name w:val="Thankyou"/>
    <w:basedOn w:val="Normal"/>
    <w:rsid w:val="008F7E90"/>
    <w:pPr>
      <w:keepNext/>
      <w:spacing w:before="240" w:after="0" w:line="240" w:lineRule="auto"/>
      <w:jc w:val="center"/>
    </w:pPr>
    <w:rPr>
      <w:rFonts w:ascii="Tahoma" w:eastAsia="Times New Roman" w:hAnsi="Tahoma" w:cs="Times New Roman"/>
      <w:sz w:val="20"/>
      <w:szCs w:val="24"/>
      <w:lang w:val="en-US" w:eastAsia="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basedOn w:val="Normal"/>
    <w:link w:val="Head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HeaderChar">
    <w:name w:val="Header Char"/>
    <w:basedOn w:val="DefaultParagraphFont"/>
    <w:link w:val="Header"/>
    <w:uiPriority w:val="99"/>
    <w:rsid w:val="008F7E90"/>
    <w:rPr>
      <w:lang w:val="en-GB"/>
    </w:rPr>
  </w:style>
  <w:style w:type="paragraph" w:styleId="TOC1">
    <w:name w:val="toc 1"/>
    <w:basedOn w:val="Normal"/>
    <w:next w:val="Normal"/>
    <w:autoRedefine/>
    <w:uiPriority w:val="39"/>
    <w:unhideWhenUsed/>
    <w:rsid w:val="008F7E90"/>
    <w:pPr>
      <w:spacing w:after="100" w:line="240" w:lineRule="auto"/>
    </w:pPr>
    <w:rPr>
      <w:rFonts w:eastAsiaTheme="minorHAnsi"/>
      <w:lang w:val="en-GB" w:eastAsia="en-US"/>
    </w:rPr>
  </w:style>
  <w:style w:type="paragraph" w:styleId="TOC2">
    <w:name w:val="toc 2"/>
    <w:basedOn w:val="Normal"/>
    <w:next w:val="Normal"/>
    <w:autoRedefine/>
    <w:uiPriority w:val="39"/>
    <w:unhideWhenUsed/>
    <w:rsid w:val="008F7E90"/>
    <w:pPr>
      <w:spacing w:after="100" w:line="240" w:lineRule="auto"/>
      <w:ind w:left="220"/>
    </w:pPr>
    <w:rPr>
      <w:rFonts w:eastAsiaTheme="minorHAnsi"/>
      <w:lang w:val="en-GB" w:eastAsia="en-US"/>
    </w:rPr>
  </w:style>
  <w:style w:type="paragraph" w:styleId="TOC3">
    <w:name w:val="toc 3"/>
    <w:basedOn w:val="Normal"/>
    <w:next w:val="Normal"/>
    <w:autoRedefine/>
    <w:uiPriority w:val="39"/>
    <w:unhideWhenUsed/>
    <w:rsid w:val="008F7E90"/>
    <w:pPr>
      <w:spacing w:after="100" w:line="240" w:lineRule="auto"/>
      <w:ind w:left="440"/>
    </w:pPr>
    <w:rPr>
      <w:rFonts w:eastAsiaTheme="minorHAnsi"/>
      <w:lang w:val="en-GB" w:eastAsia="en-US"/>
    </w:rPr>
  </w:style>
  <w:style w:type="paragraph" w:styleId="TOC4">
    <w:name w:val="toc 4"/>
    <w:basedOn w:val="Normal"/>
    <w:next w:val="Normal"/>
    <w:autoRedefine/>
    <w:uiPriority w:val="39"/>
    <w:unhideWhenUsed/>
    <w:rsid w:val="008F7E90"/>
    <w:pPr>
      <w:spacing w:after="100" w:line="240" w:lineRule="auto"/>
      <w:ind w:left="660"/>
    </w:pPr>
    <w:rPr>
      <w:rFonts w:eastAsiaTheme="minorHAnsi"/>
      <w:lang w:val="en-GB" w:eastAsia="en-US"/>
    </w:rPr>
  </w:style>
  <w:style w:type="paragraph" w:styleId="FootnoteText">
    <w:name w:val="footnote text"/>
    <w:basedOn w:val="Normal"/>
    <w:link w:val="FootnoteTextChar"/>
    <w:uiPriority w:val="99"/>
    <w:unhideWhenUsed/>
    <w:rsid w:val="008F7E90"/>
    <w:pPr>
      <w:spacing w:after="0" w:line="240" w:lineRule="auto"/>
    </w:pPr>
    <w:rPr>
      <w:rFonts w:eastAsiaTheme="minorHAnsi"/>
      <w:sz w:val="20"/>
      <w:szCs w:val="20"/>
      <w:lang w:val="en-GB" w:eastAsia="en-US"/>
    </w:rPr>
  </w:style>
  <w:style w:type="character" w:customStyle="1" w:styleId="FootnoteTextChar">
    <w:name w:val="Footnote Text Char"/>
    <w:basedOn w:val="DefaultParagraphFont"/>
    <w:link w:val="FootnoteText"/>
    <w:uiPriority w:val="99"/>
    <w:rsid w:val="008F7E90"/>
    <w:rPr>
      <w:sz w:val="20"/>
      <w:szCs w:val="20"/>
      <w:lang w:val="en-GB"/>
    </w:rPr>
  </w:style>
  <w:style w:type="paragraph" w:styleId="CommentText">
    <w:name w:val="annotation text"/>
    <w:basedOn w:val="Normal"/>
    <w:link w:val="CommentTextChar"/>
    <w:uiPriority w:val="99"/>
    <w:unhideWhenUsed/>
    <w:rsid w:val="008F7E90"/>
    <w:pPr>
      <w:spacing w:after="0" w:line="240" w:lineRule="auto"/>
    </w:pPr>
    <w:rPr>
      <w:rFonts w:eastAsiaTheme="minorHAnsi"/>
      <w:sz w:val="20"/>
      <w:szCs w:val="20"/>
      <w:lang w:val="en-GB" w:eastAsia="en-US"/>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F7E90"/>
    <w:rPr>
      <w:lang w:val="en-GB"/>
    </w:rPr>
  </w:style>
  <w:style w:type="paragraph" w:styleId="Caption">
    <w:name w:val="caption"/>
    <w:basedOn w:val="Normal"/>
    <w:next w:val="Normal"/>
    <w:uiPriority w:val="35"/>
    <w:unhideWhenUsed/>
    <w:rsid w:val="008F7E90"/>
    <w:pPr>
      <w:spacing w:line="240" w:lineRule="auto"/>
    </w:pPr>
    <w:rPr>
      <w:rFonts w:eastAsiaTheme="minorHAnsi"/>
      <w:b/>
      <w:bCs/>
      <w:color w:val="4F81BD" w:themeColor="accent1"/>
      <w:sz w:val="18"/>
      <w:szCs w:val="18"/>
      <w:lang w:val="en-GB"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pPr>
      <w:spacing w:after="0" w:line="240" w:lineRule="auto"/>
    </w:pPr>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basedOn w:val="Normal"/>
    <w:next w:val="Normal"/>
    <w:link w:val="TitleChar"/>
    <w:rsid w:val="008F7E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leChar">
    <w:name w:val="Title Char"/>
    <w:basedOn w:val="DefaultParagraphFont"/>
    <w:link w:val="Title"/>
    <w:rsid w:val="008F7E90"/>
    <w:rPr>
      <w:rFonts w:asciiTheme="majorHAnsi" w:eastAsiaTheme="majorEastAsia" w:hAnsiTheme="majorHAnsi" w:cstheme="majorBidi"/>
      <w:color w:val="17365D" w:themeColor="text2" w:themeShade="BF"/>
      <w:spacing w:val="5"/>
      <w:kern w:val="28"/>
      <w:sz w:val="52"/>
      <w:szCs w:val="52"/>
      <w:lang w:val="en-GB"/>
    </w:rPr>
  </w:style>
  <w:style w:type="paragraph" w:styleId="BodyText">
    <w:name w:val="Body Text"/>
    <w:basedOn w:val="Normal"/>
    <w:link w:val="BodyTextChar"/>
    <w:rsid w:val="008F7E90"/>
    <w:pPr>
      <w:spacing w:after="0" w:line="240" w:lineRule="auto"/>
    </w:pPr>
    <w:rPr>
      <w:rFonts w:ascii="Times New Roman" w:eastAsia="Times New Roman" w:hAnsi="Times New Roman" w:cs="Times New Roman"/>
      <w:szCs w:val="24"/>
      <w:lang w:val="en-US" w:eastAsia="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line="240" w:lineRule="auto"/>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pPr>
      <w:spacing w:after="0" w:line="240" w:lineRule="auto"/>
    </w:pPr>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8F7E90"/>
    <w:pPr>
      <w:spacing w:after="0" w:line="240" w:lineRule="auto"/>
      <w:ind w:left="720"/>
      <w:contextualSpacing/>
    </w:pPr>
    <w:rPr>
      <w:rFonts w:eastAsiaTheme="minorHAnsi"/>
      <w:lang w:val="en-GB" w:eastAsia="en-US"/>
    </w:rPr>
  </w:style>
  <w:style w:type="paragraph" w:styleId="TOCHeading">
    <w:name w:val="TOC Heading"/>
    <w:basedOn w:val="Heading1"/>
    <w:next w:val="Normal"/>
    <w:uiPriority w:val="39"/>
    <w:semiHidden/>
    <w:unhideWhenUsed/>
    <w:qFormat/>
    <w:rsid w:val="00353C27"/>
    <w:pPr>
      <w:spacing w:line="276" w:lineRule="auto"/>
      <w:outlineLvl w:val="9"/>
    </w:pPr>
    <w:rPr>
      <w:lang w:val="en-US"/>
    </w:r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rsid w:val="00084A5B"/>
    <w:rPr>
      <w:rFonts w:ascii="Arial" w:eastAsia="Calibri" w:hAnsi="Arial" w:cs="Times New Roman"/>
      <w:sz w:val="24"/>
    </w:rPr>
  </w:style>
  <w:style w:type="paragraph" w:customStyle="1" w:styleId="BodyText1">
    <w:name w:val="Body Text1"/>
    <w:basedOn w:val="Normal"/>
    <w:qFormat/>
    <w:rsid w:val="00353C27"/>
    <w:rPr>
      <w:rFonts w:ascii="Arial" w:eastAsia="Calibri" w:hAnsi="Arial" w:cs="Arial"/>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Date/Address"/>
    <w:qFormat/>
    <w:rsid w:val="00353C27"/>
    <w:pPr>
      <w:spacing w:after="200" w:line="276" w:lineRule="auto"/>
    </w:pPr>
    <w:rPr>
      <w:rFonts w:eastAsiaTheme="minorEastAsia"/>
      <w:lang w:eastAsia="en-AU"/>
    </w:rPr>
  </w:style>
  <w:style w:type="paragraph" w:styleId="Heading1">
    <w:name w:val="heading 1"/>
    <w:basedOn w:val="Normal"/>
    <w:next w:val="Normal"/>
    <w:link w:val="Heading1Char"/>
    <w:uiPriority w:val="9"/>
    <w:qFormat/>
    <w:rsid w:val="008F7E90"/>
    <w:pPr>
      <w:keepNext/>
      <w:keepLines/>
      <w:spacing w:before="480" w:after="0" w:line="240" w:lineRule="auto"/>
      <w:outlineLvl w:val="0"/>
    </w:pPr>
    <w:rPr>
      <w:rFonts w:eastAsiaTheme="majorEastAsia" w:cstheme="majorBidi"/>
      <w:b/>
      <w:bCs/>
      <w:caps/>
      <w:sz w:val="44"/>
      <w:szCs w:val="28"/>
      <w:lang w:val="en-GB" w:eastAsia="en-US"/>
    </w:rPr>
  </w:style>
  <w:style w:type="paragraph" w:styleId="Heading2">
    <w:name w:val="heading 2"/>
    <w:basedOn w:val="Normal"/>
    <w:next w:val="Normal"/>
    <w:link w:val="Heading2Char"/>
    <w:rsid w:val="008F7E90"/>
    <w:pPr>
      <w:keepNext/>
      <w:spacing w:after="120" w:line="240" w:lineRule="auto"/>
      <w:outlineLvl w:val="1"/>
    </w:pPr>
    <w:rPr>
      <w:rFonts w:eastAsia="Times New Roman" w:cs="Times New Roman"/>
      <w:b/>
      <w:bCs/>
      <w:iCs/>
      <w:sz w:val="36"/>
      <w:szCs w:val="24"/>
      <w:lang w:val="en-US" w:eastAsia="en-US"/>
    </w:rPr>
  </w:style>
  <w:style w:type="paragraph" w:styleId="Heading3">
    <w:name w:val="heading 3"/>
    <w:basedOn w:val="Normal"/>
    <w:next w:val="Normal"/>
    <w:link w:val="Heading3Char"/>
    <w:rsid w:val="008F7E90"/>
    <w:pPr>
      <w:keepNext/>
      <w:spacing w:after="0" w:line="240" w:lineRule="auto"/>
      <w:outlineLvl w:val="2"/>
    </w:pPr>
    <w:rPr>
      <w:rFonts w:eastAsia="Times New Roman" w:cs="Times New Roman"/>
      <w:b/>
      <w:bCs/>
      <w:iCs/>
      <w:sz w:val="28"/>
      <w:szCs w:val="24"/>
      <w:lang w:val="en-US" w:eastAsia="en-US"/>
    </w:rPr>
  </w:style>
  <w:style w:type="paragraph" w:styleId="Heading4">
    <w:name w:val="heading 4"/>
    <w:basedOn w:val="Normal"/>
    <w:next w:val="Normal"/>
    <w:link w:val="Heading4Char"/>
    <w:uiPriority w:val="9"/>
    <w:unhideWhenUsed/>
    <w:rsid w:val="008F7E90"/>
    <w:pPr>
      <w:keepNext/>
      <w:keepLines/>
      <w:spacing w:before="120" w:after="0" w:line="240" w:lineRule="auto"/>
      <w:outlineLvl w:val="3"/>
    </w:pPr>
    <w:rPr>
      <w:rFonts w:eastAsiaTheme="majorEastAsia" w:cstheme="majorBidi"/>
      <w:bCs/>
      <w:iCs/>
      <w:sz w:val="24"/>
      <w:lang w:val="en-GB" w:eastAsia="en-US"/>
    </w:rPr>
  </w:style>
  <w:style w:type="paragraph" w:styleId="Heading5">
    <w:name w:val="heading 5"/>
    <w:basedOn w:val="Normal"/>
    <w:next w:val="Normal"/>
    <w:link w:val="Heading5Char"/>
    <w:uiPriority w:val="9"/>
    <w:unhideWhenUsed/>
    <w:rsid w:val="008F7E90"/>
    <w:pPr>
      <w:keepNext/>
      <w:keepLines/>
      <w:spacing w:before="200" w:after="0" w:line="240" w:lineRule="auto"/>
      <w:outlineLvl w:val="4"/>
    </w:pPr>
    <w:rPr>
      <w:rFonts w:eastAsiaTheme="majorEastAsia" w:cstheme="majorBidi"/>
      <w:u w:val="single"/>
      <w:lang w:val="en-GB" w:eastAsia="en-US"/>
    </w:rPr>
  </w:style>
  <w:style w:type="paragraph" w:styleId="Heading6">
    <w:name w:val="heading 6"/>
    <w:basedOn w:val="Normal"/>
    <w:next w:val="Normal"/>
    <w:link w:val="Heading6Char"/>
    <w:uiPriority w:val="9"/>
    <w:unhideWhenUsed/>
    <w:rsid w:val="008F7E90"/>
    <w:pPr>
      <w:keepNext/>
      <w:keepLines/>
      <w:spacing w:before="200" w:after="0" w:line="240" w:lineRule="auto"/>
      <w:outlineLvl w:val="5"/>
    </w:pPr>
    <w:rPr>
      <w:rFonts w:eastAsiaTheme="majorEastAsia" w:cstheme="majorBidi"/>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E90"/>
    <w:rPr>
      <w:rFonts w:eastAsiaTheme="majorEastAsia" w:cstheme="majorBidi"/>
      <w:b/>
      <w:bCs/>
      <w:caps/>
      <w:sz w:val="44"/>
      <w:szCs w:val="28"/>
      <w:lang w:val="en-GB"/>
    </w:rPr>
  </w:style>
  <w:style w:type="character" w:customStyle="1" w:styleId="Heading2Char">
    <w:name w:val="Heading 2 Char"/>
    <w:basedOn w:val="DefaultParagraphFont"/>
    <w:link w:val="Heading2"/>
    <w:rsid w:val="008F7E90"/>
    <w:rPr>
      <w:rFonts w:eastAsia="Times New Roman" w:cs="Times New Roman"/>
      <w:b/>
      <w:bCs/>
      <w:iCs/>
      <w:sz w:val="36"/>
      <w:szCs w:val="24"/>
      <w:lang w:val="en-US"/>
    </w:rPr>
  </w:style>
  <w:style w:type="character" w:customStyle="1" w:styleId="Heading3Char">
    <w:name w:val="Heading 3 Char"/>
    <w:basedOn w:val="DefaultParagraphFont"/>
    <w:link w:val="Heading3"/>
    <w:rsid w:val="008F7E90"/>
    <w:rPr>
      <w:rFonts w:eastAsia="Times New Roman" w:cs="Times New Roman"/>
      <w:b/>
      <w:bCs/>
      <w:iCs/>
      <w:sz w:val="28"/>
      <w:szCs w:val="24"/>
      <w:lang w:val="en-US"/>
    </w:rPr>
  </w:style>
  <w:style w:type="character" w:customStyle="1" w:styleId="Heading4Char">
    <w:name w:val="Heading 4 Char"/>
    <w:basedOn w:val="DefaultParagraphFont"/>
    <w:link w:val="Heading4"/>
    <w:uiPriority w:val="9"/>
    <w:rsid w:val="008F7E90"/>
    <w:rPr>
      <w:rFonts w:eastAsiaTheme="majorEastAsia" w:cstheme="majorBidi"/>
      <w:bCs/>
      <w:iCs/>
      <w:sz w:val="24"/>
      <w:lang w:val="en-GB"/>
    </w:rPr>
  </w:style>
  <w:style w:type="character" w:customStyle="1" w:styleId="Heading5Char">
    <w:name w:val="Heading 5 Char"/>
    <w:basedOn w:val="DefaultParagraphFont"/>
    <w:link w:val="Heading5"/>
    <w:uiPriority w:val="9"/>
    <w:rsid w:val="008F7E90"/>
    <w:rPr>
      <w:rFonts w:eastAsiaTheme="majorEastAsia" w:cstheme="majorBidi"/>
      <w:u w:val="single"/>
      <w:lang w:val="en-GB"/>
    </w:rPr>
  </w:style>
  <w:style w:type="character" w:customStyle="1" w:styleId="Heading6Char">
    <w:name w:val="Heading 6 Char"/>
    <w:basedOn w:val="DefaultParagraphFont"/>
    <w:link w:val="Heading6"/>
    <w:uiPriority w:val="9"/>
    <w:rsid w:val="008F7E90"/>
    <w:rPr>
      <w:rFonts w:eastAsiaTheme="majorEastAsia" w:cstheme="majorBidi"/>
      <w:i/>
      <w:iCs/>
      <w:lang w:val="en-GB"/>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line="240" w:lineRule="auto"/>
    </w:pPr>
    <w:rPr>
      <w:rFonts w:ascii="Tahoma" w:eastAsia="Times New Roman" w:hAnsi="Tahoma" w:cs="Times New Roman"/>
      <w:sz w:val="20"/>
      <w:szCs w:val="24"/>
      <w:lang w:val="en-US" w:eastAsia="en-US"/>
    </w:rPr>
  </w:style>
  <w:style w:type="paragraph" w:customStyle="1" w:styleId="SurveyquestionforLines">
    <w:name w:val="Survey question for Lines"/>
    <w:basedOn w:val="Normal"/>
    <w:rsid w:val="008F7E90"/>
    <w:pPr>
      <w:keepNext/>
      <w:spacing w:before="320" w:after="0" w:line="240" w:lineRule="auto"/>
    </w:pPr>
    <w:rPr>
      <w:rFonts w:ascii="Tahoma" w:eastAsia="Times New Roman" w:hAnsi="Tahoma" w:cs="Times New Roman"/>
      <w:b/>
      <w:sz w:val="20"/>
      <w:szCs w:val="24"/>
      <w:lang w:val="en-US" w:eastAsia="en-US"/>
    </w:rPr>
  </w:style>
  <w:style w:type="paragraph" w:customStyle="1" w:styleId="Line">
    <w:name w:val="Line"/>
    <w:basedOn w:val="Normal"/>
    <w:rsid w:val="008F7E90"/>
    <w:pPr>
      <w:tabs>
        <w:tab w:val="left" w:leader="underscore" w:pos="8640"/>
      </w:tabs>
      <w:spacing w:before="60" w:after="0" w:line="240" w:lineRule="auto"/>
    </w:pPr>
    <w:rPr>
      <w:rFonts w:ascii="Tahoma" w:eastAsia="Times New Roman" w:hAnsi="Tahoma" w:cs="Times New Roman"/>
      <w:sz w:val="20"/>
      <w:szCs w:val="24"/>
      <w:lang w:val="en-US" w:eastAsia="en-US"/>
    </w:rPr>
  </w:style>
  <w:style w:type="paragraph" w:customStyle="1" w:styleId="Thankyou">
    <w:name w:val="Thankyou"/>
    <w:basedOn w:val="Normal"/>
    <w:rsid w:val="008F7E90"/>
    <w:pPr>
      <w:keepNext/>
      <w:spacing w:before="240" w:after="0" w:line="240" w:lineRule="auto"/>
      <w:jc w:val="center"/>
    </w:pPr>
    <w:rPr>
      <w:rFonts w:ascii="Tahoma" w:eastAsia="Times New Roman" w:hAnsi="Tahoma" w:cs="Times New Roman"/>
      <w:sz w:val="20"/>
      <w:szCs w:val="24"/>
      <w:lang w:val="en-US" w:eastAsia="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basedOn w:val="Normal"/>
    <w:link w:val="Head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HeaderChar">
    <w:name w:val="Header Char"/>
    <w:basedOn w:val="DefaultParagraphFont"/>
    <w:link w:val="Header"/>
    <w:uiPriority w:val="99"/>
    <w:rsid w:val="008F7E90"/>
    <w:rPr>
      <w:lang w:val="en-GB"/>
    </w:rPr>
  </w:style>
  <w:style w:type="paragraph" w:styleId="TOC1">
    <w:name w:val="toc 1"/>
    <w:basedOn w:val="Normal"/>
    <w:next w:val="Normal"/>
    <w:autoRedefine/>
    <w:uiPriority w:val="39"/>
    <w:unhideWhenUsed/>
    <w:rsid w:val="008F7E90"/>
    <w:pPr>
      <w:spacing w:after="100" w:line="240" w:lineRule="auto"/>
    </w:pPr>
    <w:rPr>
      <w:rFonts w:eastAsiaTheme="minorHAnsi"/>
      <w:lang w:val="en-GB" w:eastAsia="en-US"/>
    </w:rPr>
  </w:style>
  <w:style w:type="paragraph" w:styleId="TOC2">
    <w:name w:val="toc 2"/>
    <w:basedOn w:val="Normal"/>
    <w:next w:val="Normal"/>
    <w:autoRedefine/>
    <w:uiPriority w:val="39"/>
    <w:unhideWhenUsed/>
    <w:rsid w:val="008F7E90"/>
    <w:pPr>
      <w:spacing w:after="100" w:line="240" w:lineRule="auto"/>
      <w:ind w:left="220"/>
    </w:pPr>
    <w:rPr>
      <w:rFonts w:eastAsiaTheme="minorHAnsi"/>
      <w:lang w:val="en-GB" w:eastAsia="en-US"/>
    </w:rPr>
  </w:style>
  <w:style w:type="paragraph" w:styleId="TOC3">
    <w:name w:val="toc 3"/>
    <w:basedOn w:val="Normal"/>
    <w:next w:val="Normal"/>
    <w:autoRedefine/>
    <w:uiPriority w:val="39"/>
    <w:unhideWhenUsed/>
    <w:rsid w:val="008F7E90"/>
    <w:pPr>
      <w:spacing w:after="100" w:line="240" w:lineRule="auto"/>
      <w:ind w:left="440"/>
    </w:pPr>
    <w:rPr>
      <w:rFonts w:eastAsiaTheme="minorHAnsi"/>
      <w:lang w:val="en-GB" w:eastAsia="en-US"/>
    </w:rPr>
  </w:style>
  <w:style w:type="paragraph" w:styleId="TOC4">
    <w:name w:val="toc 4"/>
    <w:basedOn w:val="Normal"/>
    <w:next w:val="Normal"/>
    <w:autoRedefine/>
    <w:uiPriority w:val="39"/>
    <w:unhideWhenUsed/>
    <w:rsid w:val="008F7E90"/>
    <w:pPr>
      <w:spacing w:after="100" w:line="240" w:lineRule="auto"/>
      <w:ind w:left="660"/>
    </w:pPr>
    <w:rPr>
      <w:rFonts w:eastAsiaTheme="minorHAnsi"/>
      <w:lang w:val="en-GB" w:eastAsia="en-US"/>
    </w:rPr>
  </w:style>
  <w:style w:type="paragraph" w:styleId="FootnoteText">
    <w:name w:val="footnote text"/>
    <w:basedOn w:val="Normal"/>
    <w:link w:val="FootnoteTextChar"/>
    <w:uiPriority w:val="99"/>
    <w:unhideWhenUsed/>
    <w:rsid w:val="008F7E90"/>
    <w:pPr>
      <w:spacing w:after="0" w:line="240" w:lineRule="auto"/>
    </w:pPr>
    <w:rPr>
      <w:rFonts w:eastAsiaTheme="minorHAnsi"/>
      <w:sz w:val="20"/>
      <w:szCs w:val="20"/>
      <w:lang w:val="en-GB" w:eastAsia="en-US"/>
    </w:rPr>
  </w:style>
  <w:style w:type="character" w:customStyle="1" w:styleId="FootnoteTextChar">
    <w:name w:val="Footnote Text Char"/>
    <w:basedOn w:val="DefaultParagraphFont"/>
    <w:link w:val="FootnoteText"/>
    <w:uiPriority w:val="99"/>
    <w:rsid w:val="008F7E90"/>
    <w:rPr>
      <w:sz w:val="20"/>
      <w:szCs w:val="20"/>
      <w:lang w:val="en-GB"/>
    </w:rPr>
  </w:style>
  <w:style w:type="paragraph" w:styleId="CommentText">
    <w:name w:val="annotation text"/>
    <w:basedOn w:val="Normal"/>
    <w:link w:val="CommentTextChar"/>
    <w:uiPriority w:val="99"/>
    <w:unhideWhenUsed/>
    <w:rsid w:val="008F7E90"/>
    <w:pPr>
      <w:spacing w:after="0" w:line="240" w:lineRule="auto"/>
    </w:pPr>
    <w:rPr>
      <w:rFonts w:eastAsiaTheme="minorHAnsi"/>
      <w:sz w:val="20"/>
      <w:szCs w:val="20"/>
      <w:lang w:val="en-GB" w:eastAsia="en-US"/>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F7E90"/>
    <w:rPr>
      <w:lang w:val="en-GB"/>
    </w:rPr>
  </w:style>
  <w:style w:type="paragraph" w:styleId="Caption">
    <w:name w:val="caption"/>
    <w:basedOn w:val="Normal"/>
    <w:next w:val="Normal"/>
    <w:uiPriority w:val="35"/>
    <w:unhideWhenUsed/>
    <w:rsid w:val="008F7E90"/>
    <w:pPr>
      <w:spacing w:line="240" w:lineRule="auto"/>
    </w:pPr>
    <w:rPr>
      <w:rFonts w:eastAsiaTheme="minorHAnsi"/>
      <w:b/>
      <w:bCs/>
      <w:color w:val="4F81BD" w:themeColor="accent1"/>
      <w:sz w:val="18"/>
      <w:szCs w:val="18"/>
      <w:lang w:val="en-GB"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pPr>
      <w:spacing w:after="0" w:line="240" w:lineRule="auto"/>
    </w:pPr>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basedOn w:val="Normal"/>
    <w:next w:val="Normal"/>
    <w:link w:val="TitleChar"/>
    <w:rsid w:val="008F7E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leChar">
    <w:name w:val="Title Char"/>
    <w:basedOn w:val="DefaultParagraphFont"/>
    <w:link w:val="Title"/>
    <w:rsid w:val="008F7E90"/>
    <w:rPr>
      <w:rFonts w:asciiTheme="majorHAnsi" w:eastAsiaTheme="majorEastAsia" w:hAnsiTheme="majorHAnsi" w:cstheme="majorBidi"/>
      <w:color w:val="17365D" w:themeColor="text2" w:themeShade="BF"/>
      <w:spacing w:val="5"/>
      <w:kern w:val="28"/>
      <w:sz w:val="52"/>
      <w:szCs w:val="52"/>
      <w:lang w:val="en-GB"/>
    </w:rPr>
  </w:style>
  <w:style w:type="paragraph" w:styleId="BodyText">
    <w:name w:val="Body Text"/>
    <w:basedOn w:val="Normal"/>
    <w:link w:val="BodyTextChar"/>
    <w:rsid w:val="008F7E90"/>
    <w:pPr>
      <w:spacing w:after="0" w:line="240" w:lineRule="auto"/>
    </w:pPr>
    <w:rPr>
      <w:rFonts w:ascii="Times New Roman" w:eastAsia="Times New Roman" w:hAnsi="Times New Roman" w:cs="Times New Roman"/>
      <w:szCs w:val="24"/>
      <w:lang w:val="en-US" w:eastAsia="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line="240" w:lineRule="auto"/>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pPr>
      <w:spacing w:after="0" w:line="240" w:lineRule="auto"/>
    </w:pPr>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8F7E90"/>
    <w:pPr>
      <w:spacing w:after="0" w:line="240" w:lineRule="auto"/>
      <w:ind w:left="720"/>
      <w:contextualSpacing/>
    </w:pPr>
    <w:rPr>
      <w:rFonts w:eastAsiaTheme="minorHAnsi"/>
      <w:lang w:val="en-GB" w:eastAsia="en-US"/>
    </w:rPr>
  </w:style>
  <w:style w:type="paragraph" w:styleId="TOCHeading">
    <w:name w:val="TOC Heading"/>
    <w:basedOn w:val="Heading1"/>
    <w:next w:val="Normal"/>
    <w:uiPriority w:val="39"/>
    <w:semiHidden/>
    <w:unhideWhenUsed/>
    <w:qFormat/>
    <w:rsid w:val="00353C27"/>
    <w:pPr>
      <w:spacing w:line="276" w:lineRule="auto"/>
      <w:outlineLvl w:val="9"/>
    </w:pPr>
    <w:rPr>
      <w:lang w:val="en-US"/>
    </w:r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rsid w:val="00084A5B"/>
    <w:rPr>
      <w:rFonts w:ascii="Arial" w:eastAsia="Calibri" w:hAnsi="Arial" w:cs="Times New Roman"/>
      <w:sz w:val="24"/>
    </w:rPr>
  </w:style>
  <w:style w:type="paragraph" w:customStyle="1" w:styleId="BodyText1">
    <w:name w:val="Body Text1"/>
    <w:basedOn w:val="Normal"/>
    <w:qFormat/>
    <w:rsid w:val="00353C27"/>
    <w:rPr>
      <w:rFonts w:ascii="Arial" w:eastAsia="Calibri"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97855">
      <w:bodyDiv w:val="1"/>
      <w:marLeft w:val="0"/>
      <w:marRight w:val="0"/>
      <w:marTop w:val="0"/>
      <w:marBottom w:val="0"/>
      <w:divBdr>
        <w:top w:val="none" w:sz="0" w:space="0" w:color="auto"/>
        <w:left w:val="none" w:sz="0" w:space="0" w:color="auto"/>
        <w:bottom w:val="none" w:sz="0" w:space="0" w:color="auto"/>
        <w:right w:val="none" w:sz="0" w:space="0" w:color="auto"/>
      </w:divBdr>
    </w:div>
    <w:div w:id="318384842">
      <w:bodyDiv w:val="1"/>
      <w:marLeft w:val="0"/>
      <w:marRight w:val="0"/>
      <w:marTop w:val="0"/>
      <w:marBottom w:val="0"/>
      <w:divBdr>
        <w:top w:val="none" w:sz="0" w:space="0" w:color="auto"/>
        <w:left w:val="none" w:sz="0" w:space="0" w:color="auto"/>
        <w:bottom w:val="none" w:sz="0" w:space="0" w:color="auto"/>
        <w:right w:val="none" w:sz="0" w:space="0" w:color="auto"/>
      </w:divBdr>
    </w:div>
    <w:div w:id="34193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purdon@commsalliance.com.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mobileembrace.com/investors-2/" TargetMode="External"/><Relationship Id="rId2" Type="http://schemas.openxmlformats.org/officeDocument/2006/relationships/hyperlink" Target="http://accan.org.au/our-work/research/1400-third-party-charges-consumer-experiences-and-expectations" TargetMode="External"/><Relationship Id="rId1" Type="http://schemas.openxmlformats.org/officeDocument/2006/relationships/hyperlink" Target="http://accan.org.au/our-work/research/1400-third-party-charges-consumer-experiences-and-expectations" TargetMode="External"/><Relationship Id="rId4" Type="http://schemas.openxmlformats.org/officeDocument/2006/relationships/hyperlink" Target="http://au.oxygen8.com/solutions/mobile-payments/directbill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accan01\accan%20docs\Templates%20&amp;%20Originals\Templates%202015\Short%20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07C7B-E7D1-4963-A9A1-311DEB01C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Submission Template.dotx</Template>
  <TotalTime>16</TotalTime>
  <Pages>6</Pages>
  <Words>2470</Words>
  <Characters>14079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Whitelock</dc:creator>
  <cp:lastModifiedBy>Una Lawrence</cp:lastModifiedBy>
  <cp:revision>6</cp:revision>
  <cp:lastPrinted>2017-07-28T00:21:00Z</cp:lastPrinted>
  <dcterms:created xsi:type="dcterms:W3CDTF">2017-07-28T02:16:00Z</dcterms:created>
  <dcterms:modified xsi:type="dcterms:W3CDTF">2017-07-28T02:31:00Z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