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Default="005820C9" w:rsidP="007D3F16">
      <w:pPr>
        <w:spacing w:after="0"/>
        <w:sectPr w:rsidR="005820C9" w:rsidSect="00002D94">
          <w:headerReference w:type="default" r:id="rId9"/>
          <w:footerReference w:type="default" r:id="rId10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D1B6E" w:rsidRDefault="00E40134" w:rsidP="00DD1B6E">
      <w:pPr>
        <w:spacing w:after="0"/>
        <w:rPr>
          <w:sz w:val="23"/>
          <w:szCs w:val="23"/>
        </w:rPr>
      </w:pPr>
      <w:r>
        <w:rPr>
          <w:sz w:val="23"/>
          <w:szCs w:val="23"/>
        </w:rPr>
        <w:lastRenderedPageBreak/>
        <w:t>12 February, 2016</w:t>
      </w:r>
    </w:p>
    <w:p w:rsidR="00DD1B6E" w:rsidRDefault="00DD1B6E" w:rsidP="00DD1B6E">
      <w:pPr>
        <w:spacing w:after="0"/>
        <w:rPr>
          <w:sz w:val="23"/>
          <w:szCs w:val="23"/>
        </w:rPr>
      </w:pPr>
    </w:p>
    <w:p w:rsidR="00E40134" w:rsidRPr="00E40134" w:rsidRDefault="00E40134" w:rsidP="00E40134">
      <w:pPr>
        <w:spacing w:after="0"/>
        <w:rPr>
          <w:sz w:val="23"/>
          <w:szCs w:val="23"/>
        </w:rPr>
      </w:pPr>
      <w:r w:rsidRPr="00E40134">
        <w:rPr>
          <w:sz w:val="23"/>
          <w:szCs w:val="23"/>
        </w:rPr>
        <w:t>Copyright Law and Policy Section</w:t>
      </w:r>
    </w:p>
    <w:p w:rsidR="00DD1B6E" w:rsidRDefault="00E40134" w:rsidP="00E40134">
      <w:pPr>
        <w:spacing w:after="0"/>
        <w:rPr>
          <w:sz w:val="23"/>
          <w:szCs w:val="23"/>
        </w:rPr>
      </w:pPr>
      <w:r w:rsidRPr="00E40134">
        <w:rPr>
          <w:sz w:val="23"/>
          <w:szCs w:val="23"/>
        </w:rPr>
        <w:t>Department of Communications and the Arts</w:t>
      </w:r>
    </w:p>
    <w:p w:rsidR="00E40134" w:rsidRDefault="00E40134" w:rsidP="00E40134">
      <w:pPr>
        <w:spacing w:after="0"/>
        <w:rPr>
          <w:sz w:val="23"/>
          <w:szCs w:val="23"/>
        </w:rPr>
      </w:pPr>
    </w:p>
    <w:p w:rsidR="00DD1B6E" w:rsidRDefault="00E40134" w:rsidP="00DD1B6E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Via email: </w:t>
      </w:r>
      <w:hyperlink r:id="rId11" w:history="1">
        <w:r w:rsidRPr="00E85361">
          <w:rPr>
            <w:rStyle w:val="Hyperlink"/>
            <w:sz w:val="23"/>
            <w:szCs w:val="23"/>
          </w:rPr>
          <w:t>copyright@communications.gov.au</w:t>
        </w:r>
      </w:hyperlink>
    </w:p>
    <w:p w:rsidR="00DD1B6E" w:rsidRDefault="00DD1B6E" w:rsidP="00DD1B6E">
      <w:pPr>
        <w:spacing w:after="0"/>
        <w:rPr>
          <w:rFonts w:cstheme="minorHAnsi"/>
        </w:rPr>
      </w:pPr>
    </w:p>
    <w:p w:rsidR="00DD1B6E" w:rsidRDefault="008A6AA1" w:rsidP="00DD1B6E">
      <w:pPr>
        <w:pStyle w:val="BodyText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DD1B6E" w:rsidRPr="0024565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ustralian </w:t>
      </w:r>
      <w:r w:rsidR="00DD1B6E" w:rsidRPr="0024565A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ommunications </w:t>
      </w:r>
      <w:r w:rsidR="00DD1B6E" w:rsidRPr="0024565A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onsumer </w:t>
      </w:r>
      <w:r w:rsidR="00DD1B6E" w:rsidRPr="0024565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ction </w:t>
      </w:r>
      <w:r w:rsidR="00DD1B6E" w:rsidRPr="0024565A">
        <w:rPr>
          <w:rFonts w:asciiTheme="minorHAnsi" w:hAnsiTheme="minorHAnsi"/>
        </w:rPr>
        <w:t>N</w:t>
      </w:r>
      <w:r>
        <w:rPr>
          <w:rFonts w:asciiTheme="minorHAnsi" w:hAnsiTheme="minorHAnsi"/>
        </w:rPr>
        <w:t>etwork (ACCAN)</w:t>
      </w:r>
      <w:r w:rsidR="00DD1B6E" w:rsidRPr="0024565A">
        <w:rPr>
          <w:rFonts w:asciiTheme="minorHAnsi" w:hAnsiTheme="minorHAnsi"/>
        </w:rPr>
        <w:t xml:space="preserve"> thanks the </w:t>
      </w:r>
      <w:r w:rsidR="00E40134" w:rsidRPr="0024565A">
        <w:rPr>
          <w:rFonts w:asciiTheme="minorHAnsi" w:hAnsiTheme="minorHAnsi"/>
        </w:rPr>
        <w:t>Department of Communications and the Arts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DoCA</w:t>
      </w:r>
      <w:proofErr w:type="spellEnd"/>
      <w:r>
        <w:rPr>
          <w:rFonts w:asciiTheme="minorHAnsi" w:hAnsiTheme="minorHAnsi"/>
        </w:rPr>
        <w:t>)</w:t>
      </w:r>
      <w:r w:rsidR="00DD1B6E" w:rsidRPr="0024565A">
        <w:rPr>
          <w:rFonts w:asciiTheme="minorHAnsi" w:hAnsiTheme="minorHAnsi"/>
        </w:rPr>
        <w:t xml:space="preserve"> for the opportunity to contribute to </w:t>
      </w:r>
      <w:r w:rsidR="00E40134" w:rsidRPr="0024565A">
        <w:rPr>
          <w:rFonts w:asciiTheme="minorHAnsi" w:hAnsiTheme="minorHAnsi"/>
        </w:rPr>
        <w:t>the</w:t>
      </w:r>
      <w:r w:rsidR="00DD1B6E" w:rsidRPr="0024565A">
        <w:rPr>
          <w:rFonts w:asciiTheme="minorHAnsi" w:hAnsiTheme="minorHAnsi"/>
        </w:rPr>
        <w:t xml:space="preserve"> </w:t>
      </w:r>
      <w:r w:rsidR="00E40134" w:rsidRPr="0024565A">
        <w:rPr>
          <w:rFonts w:asciiTheme="minorHAnsi" w:hAnsiTheme="minorHAnsi"/>
        </w:rPr>
        <w:t>consultation on the Copyright Amendment (Disability Access and Other Measures) Bill 2016</w:t>
      </w:r>
      <w:r w:rsidR="003979D7">
        <w:rPr>
          <w:rFonts w:asciiTheme="minorHAnsi" w:hAnsiTheme="minorHAnsi"/>
        </w:rPr>
        <w:t xml:space="preserve"> (the Act)</w:t>
      </w:r>
      <w:r w:rsidR="00E40134" w:rsidRPr="0024565A">
        <w:rPr>
          <w:rFonts w:asciiTheme="minorHAnsi" w:hAnsiTheme="minorHAnsi"/>
        </w:rPr>
        <w:t>. We are broadly supportive of the proposed changes</w:t>
      </w:r>
      <w:r w:rsidR="00722352" w:rsidRPr="0024565A">
        <w:rPr>
          <w:rFonts w:asciiTheme="minorHAnsi" w:hAnsiTheme="minorHAnsi"/>
        </w:rPr>
        <w:t>,</w:t>
      </w:r>
      <w:r w:rsidR="00E40134" w:rsidRPr="0024565A">
        <w:rPr>
          <w:rFonts w:asciiTheme="minorHAnsi" w:hAnsiTheme="minorHAnsi"/>
        </w:rPr>
        <w:t xml:space="preserve"> as they overcom</w:t>
      </w:r>
      <w:r w:rsidR="00722352" w:rsidRPr="0024565A">
        <w:rPr>
          <w:rFonts w:asciiTheme="minorHAnsi" w:hAnsiTheme="minorHAnsi"/>
        </w:rPr>
        <w:t>e some of</w:t>
      </w:r>
      <w:r w:rsidR="00E40134" w:rsidRPr="0024565A">
        <w:rPr>
          <w:rFonts w:asciiTheme="minorHAnsi" w:hAnsiTheme="minorHAnsi"/>
        </w:rPr>
        <w:t xml:space="preserve"> the barriers faced</w:t>
      </w:r>
      <w:r w:rsidR="0043058A">
        <w:rPr>
          <w:rFonts w:asciiTheme="minorHAnsi" w:hAnsiTheme="minorHAnsi"/>
        </w:rPr>
        <w:t xml:space="preserve"> by</w:t>
      </w:r>
      <w:r w:rsidR="00E40134" w:rsidRPr="0024565A">
        <w:rPr>
          <w:rFonts w:asciiTheme="minorHAnsi" w:hAnsiTheme="minorHAnsi"/>
        </w:rPr>
        <w:t xml:space="preserve"> </w:t>
      </w:r>
      <w:r w:rsidR="00722352" w:rsidRPr="0024565A">
        <w:rPr>
          <w:rFonts w:asciiTheme="minorHAnsi" w:hAnsiTheme="minorHAnsi"/>
        </w:rPr>
        <w:t>people with a disability</w:t>
      </w:r>
      <w:r w:rsidR="00A0736D">
        <w:rPr>
          <w:rFonts w:asciiTheme="minorHAnsi" w:hAnsiTheme="minorHAnsi"/>
        </w:rPr>
        <w:t xml:space="preserve"> – and the organisations who provide services to them –</w:t>
      </w:r>
      <w:r w:rsidR="00722352" w:rsidRPr="0024565A">
        <w:rPr>
          <w:rFonts w:asciiTheme="minorHAnsi" w:hAnsiTheme="minorHAnsi"/>
        </w:rPr>
        <w:t xml:space="preserve"> in obtaining material in accessible formats.</w:t>
      </w:r>
    </w:p>
    <w:p w:rsidR="008A6AA1" w:rsidRPr="0024565A" w:rsidRDefault="008A6AA1" w:rsidP="00DD1B6E">
      <w:pPr>
        <w:pStyle w:val="BodyText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ACCAN has responded to a selection of </w:t>
      </w:r>
      <w:r w:rsidR="001C209C">
        <w:rPr>
          <w:rFonts w:asciiTheme="minorHAnsi" w:hAnsiTheme="minorHAnsi"/>
        </w:rPr>
        <w:t xml:space="preserve">the most relevant </w:t>
      </w:r>
      <w:r>
        <w:rPr>
          <w:rFonts w:asciiTheme="minorHAnsi" w:hAnsiTheme="minorHAnsi"/>
        </w:rPr>
        <w:t>questions</w:t>
      </w:r>
      <w:r w:rsidR="001C209C">
        <w:rPr>
          <w:rFonts w:asciiTheme="minorHAnsi" w:hAnsiTheme="minorHAnsi"/>
        </w:rPr>
        <w:t xml:space="preserve"> to our work and experience</w:t>
      </w:r>
      <w:r>
        <w:rPr>
          <w:rFonts w:asciiTheme="minorHAnsi" w:hAnsiTheme="minorHAnsi"/>
        </w:rPr>
        <w:t xml:space="preserve"> from the consultation document.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4F83" w:rsidTr="00215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C4F83" w:rsidRDefault="003C4F83" w:rsidP="003C4F83">
            <w:pPr>
              <w:pStyle w:val="Heading2"/>
              <w:outlineLvl w:val="1"/>
              <w:rPr>
                <w:b/>
              </w:rPr>
            </w:pPr>
            <w:r w:rsidRPr="003C4F83">
              <w:rPr>
                <w:b/>
              </w:rPr>
              <w:t>Q 1: Do you think the proposed provisions are sufficiently clear and will operate effectively to meet the objective of ensuring access to accessible format copies of works?</w:t>
            </w:r>
          </w:p>
          <w:p w:rsidR="0024565A" w:rsidRPr="0024565A" w:rsidRDefault="0024565A" w:rsidP="0024565A"/>
        </w:tc>
      </w:tr>
    </w:tbl>
    <w:p w:rsidR="003C4F83" w:rsidRPr="003C4F83" w:rsidRDefault="003C4F83" w:rsidP="003C4F83">
      <w:pPr>
        <w:pStyle w:val="Heading3"/>
        <w:rPr>
          <w:lang w:eastAsia="en-AU"/>
        </w:rPr>
      </w:pPr>
      <w:r w:rsidRPr="003C4F83">
        <w:rPr>
          <w:lang w:eastAsia="en-AU"/>
        </w:rPr>
        <w:t>Definition of ‘person with a disability’</w:t>
      </w:r>
    </w:p>
    <w:p w:rsidR="003C4F83" w:rsidRPr="0024565A" w:rsidRDefault="003C4F83" w:rsidP="003C4F83">
      <w:pPr>
        <w:pStyle w:val="BodyText1"/>
        <w:rPr>
          <w:rFonts w:asciiTheme="minorHAnsi" w:hAnsiTheme="minorHAnsi" w:cstheme="minorHAnsi"/>
          <w:lang w:eastAsia="en-AU"/>
        </w:rPr>
      </w:pPr>
      <w:r w:rsidRPr="0024565A">
        <w:rPr>
          <w:rFonts w:asciiTheme="minorHAnsi" w:hAnsiTheme="minorHAnsi" w:cstheme="minorHAnsi"/>
          <w:lang w:eastAsia="en-AU"/>
        </w:rPr>
        <w:t>The proposed amendments introduce a consolidated definition of ‘person with a disability’</w:t>
      </w:r>
      <w:r w:rsidR="003979D7">
        <w:rPr>
          <w:rFonts w:asciiTheme="minorHAnsi" w:hAnsiTheme="minorHAnsi" w:cstheme="minorHAnsi"/>
          <w:lang w:eastAsia="en-AU"/>
        </w:rPr>
        <w:t>,</w:t>
      </w:r>
      <w:r w:rsidRPr="0024565A">
        <w:rPr>
          <w:rFonts w:asciiTheme="minorHAnsi" w:hAnsiTheme="minorHAnsi" w:cstheme="minorHAnsi"/>
          <w:lang w:eastAsia="en-AU"/>
        </w:rPr>
        <w:t xml:space="preserve"> modelled on the existing</w:t>
      </w:r>
      <w:r w:rsidR="003979D7">
        <w:rPr>
          <w:rFonts w:asciiTheme="minorHAnsi" w:hAnsiTheme="minorHAnsi" w:cstheme="minorHAnsi"/>
          <w:lang w:eastAsia="en-AU"/>
        </w:rPr>
        <w:t xml:space="preserve"> definition in</w:t>
      </w:r>
      <w:r w:rsidRPr="0024565A">
        <w:rPr>
          <w:rFonts w:asciiTheme="minorHAnsi" w:hAnsiTheme="minorHAnsi" w:cstheme="minorHAnsi"/>
          <w:lang w:eastAsia="en-AU"/>
        </w:rPr>
        <w:t xml:space="preserve"> s</w:t>
      </w:r>
      <w:r w:rsidR="003979D7">
        <w:rPr>
          <w:rFonts w:asciiTheme="minorHAnsi" w:hAnsiTheme="minorHAnsi" w:cstheme="minorHAnsi"/>
          <w:lang w:eastAsia="en-AU"/>
        </w:rPr>
        <w:t xml:space="preserve">ection </w:t>
      </w:r>
      <w:proofErr w:type="gramStart"/>
      <w:r w:rsidRPr="0024565A">
        <w:rPr>
          <w:rFonts w:asciiTheme="minorHAnsi" w:hAnsiTheme="minorHAnsi" w:cstheme="minorHAnsi"/>
          <w:lang w:eastAsia="en-AU"/>
        </w:rPr>
        <w:t>200AB(</w:t>
      </w:r>
      <w:proofErr w:type="gramEnd"/>
      <w:r w:rsidRPr="0024565A">
        <w:rPr>
          <w:rFonts w:asciiTheme="minorHAnsi" w:hAnsiTheme="minorHAnsi" w:cstheme="minorHAnsi"/>
          <w:lang w:eastAsia="en-AU"/>
        </w:rPr>
        <w:t xml:space="preserve">4) of the Act as </w:t>
      </w:r>
      <w:r w:rsidR="003979D7">
        <w:rPr>
          <w:rFonts w:asciiTheme="minorHAnsi" w:hAnsiTheme="minorHAnsi" w:cstheme="minorHAnsi"/>
          <w:lang w:eastAsia="en-AU"/>
        </w:rPr>
        <w:t>“</w:t>
      </w:r>
      <w:r w:rsidRPr="0024565A">
        <w:rPr>
          <w:rFonts w:asciiTheme="minorHAnsi" w:hAnsiTheme="minorHAnsi" w:cstheme="minorHAnsi"/>
          <w:i/>
          <w:lang w:eastAsia="en-AU"/>
        </w:rPr>
        <w:t>a person with a disability that causes the person difficulty in reading, viewing or hearing copyright material in a particular form</w:t>
      </w:r>
      <w:r w:rsidR="003979D7">
        <w:rPr>
          <w:rFonts w:asciiTheme="minorHAnsi" w:hAnsiTheme="minorHAnsi" w:cstheme="minorHAnsi"/>
          <w:i/>
          <w:lang w:eastAsia="en-AU"/>
        </w:rPr>
        <w:t>”</w:t>
      </w:r>
      <w:r w:rsidRPr="0024565A">
        <w:rPr>
          <w:rFonts w:asciiTheme="minorHAnsi" w:hAnsiTheme="minorHAnsi" w:cstheme="minorHAnsi"/>
          <w:lang w:eastAsia="en-AU"/>
        </w:rPr>
        <w:t>.</w:t>
      </w:r>
      <w:r w:rsidR="002151AC" w:rsidRPr="0024565A">
        <w:rPr>
          <w:rFonts w:asciiTheme="minorHAnsi" w:hAnsiTheme="minorHAnsi" w:cstheme="minorHAnsi"/>
          <w:lang w:eastAsia="en-AU"/>
        </w:rPr>
        <w:t xml:space="preserve"> </w:t>
      </w:r>
    </w:p>
    <w:p w:rsidR="002151AC" w:rsidRDefault="002151AC" w:rsidP="003C4F83">
      <w:pPr>
        <w:pStyle w:val="BodyText1"/>
        <w:rPr>
          <w:rFonts w:asciiTheme="minorHAnsi" w:hAnsiTheme="minorHAnsi" w:cstheme="minorHAnsi"/>
          <w:lang w:eastAsia="en-AU"/>
        </w:rPr>
      </w:pPr>
      <w:r w:rsidRPr="0024565A">
        <w:rPr>
          <w:rFonts w:asciiTheme="minorHAnsi" w:hAnsiTheme="minorHAnsi" w:cstheme="minorHAnsi"/>
          <w:lang w:eastAsia="en-AU"/>
        </w:rPr>
        <w:t>Much of the</w:t>
      </w:r>
      <w:r w:rsidR="001C209C">
        <w:rPr>
          <w:rFonts w:asciiTheme="minorHAnsi" w:hAnsiTheme="minorHAnsi" w:cstheme="minorHAnsi"/>
          <w:lang w:eastAsia="en-AU"/>
        </w:rPr>
        <w:t xml:space="preserve"> current</w:t>
      </w:r>
      <w:r w:rsidRPr="0024565A">
        <w:rPr>
          <w:rFonts w:asciiTheme="minorHAnsi" w:hAnsiTheme="minorHAnsi" w:cstheme="minorHAnsi"/>
          <w:lang w:eastAsia="en-AU"/>
        </w:rPr>
        <w:t xml:space="preserve"> theory of disability focuses on the importance of acknowledging that a disability is a result of social structures and their manifestation in</w:t>
      </w:r>
      <w:r w:rsidR="003979D7">
        <w:rPr>
          <w:rFonts w:asciiTheme="minorHAnsi" w:hAnsiTheme="minorHAnsi" w:cstheme="minorHAnsi"/>
          <w:lang w:eastAsia="en-AU"/>
        </w:rPr>
        <w:t xml:space="preserve"> the</w:t>
      </w:r>
      <w:r w:rsidRPr="0024565A">
        <w:rPr>
          <w:rFonts w:asciiTheme="minorHAnsi" w:hAnsiTheme="minorHAnsi" w:cstheme="minorHAnsi"/>
          <w:lang w:eastAsia="en-AU"/>
        </w:rPr>
        <w:t xml:space="preserve"> physical world that </w:t>
      </w:r>
      <w:r w:rsidR="002752C7">
        <w:rPr>
          <w:rFonts w:asciiTheme="minorHAnsi" w:hAnsiTheme="minorHAnsi" w:cstheme="minorHAnsi"/>
          <w:lang w:eastAsia="en-AU"/>
        </w:rPr>
        <w:t>create barriers to</w:t>
      </w:r>
      <w:r w:rsidRPr="0024565A">
        <w:rPr>
          <w:rFonts w:asciiTheme="minorHAnsi" w:hAnsiTheme="minorHAnsi" w:cstheme="minorHAnsi"/>
          <w:lang w:eastAsia="en-AU"/>
        </w:rPr>
        <w:t xml:space="preserve"> access.</w:t>
      </w:r>
      <w:r w:rsidR="002752C7">
        <w:rPr>
          <w:rStyle w:val="FootnoteReference"/>
          <w:rFonts w:asciiTheme="minorHAnsi" w:hAnsiTheme="minorHAnsi" w:cstheme="minorHAnsi"/>
          <w:lang w:eastAsia="en-AU"/>
        </w:rPr>
        <w:footnoteReference w:id="1"/>
      </w:r>
      <w:r w:rsidRPr="0024565A">
        <w:rPr>
          <w:rFonts w:asciiTheme="minorHAnsi" w:hAnsiTheme="minorHAnsi" w:cstheme="minorHAnsi"/>
          <w:lang w:eastAsia="en-AU"/>
        </w:rPr>
        <w:t xml:space="preserve"> </w:t>
      </w:r>
      <w:r w:rsidR="00027B56" w:rsidRPr="0024565A">
        <w:rPr>
          <w:rFonts w:asciiTheme="minorHAnsi" w:hAnsiTheme="minorHAnsi" w:cstheme="minorHAnsi"/>
          <w:lang w:eastAsia="en-AU"/>
        </w:rPr>
        <w:t>T</w:t>
      </w:r>
      <w:r w:rsidRPr="0024565A">
        <w:rPr>
          <w:rFonts w:asciiTheme="minorHAnsi" w:hAnsiTheme="minorHAnsi" w:cstheme="minorHAnsi"/>
          <w:lang w:eastAsia="en-AU"/>
        </w:rPr>
        <w:t xml:space="preserve">he proposed definition is fairly neutral on this point, </w:t>
      </w:r>
      <w:r w:rsidR="00027B56" w:rsidRPr="0024565A">
        <w:rPr>
          <w:rFonts w:asciiTheme="minorHAnsi" w:hAnsiTheme="minorHAnsi" w:cstheme="minorHAnsi"/>
          <w:lang w:eastAsia="en-AU"/>
        </w:rPr>
        <w:t>simply noting that the disability causes difficulty</w:t>
      </w:r>
      <w:r w:rsidR="002752C7">
        <w:rPr>
          <w:rFonts w:asciiTheme="minorHAnsi" w:hAnsiTheme="minorHAnsi" w:cstheme="minorHAnsi"/>
          <w:lang w:eastAsia="en-AU"/>
        </w:rPr>
        <w:t xml:space="preserve"> </w:t>
      </w:r>
      <w:r w:rsidR="002752C7" w:rsidRPr="002752C7">
        <w:rPr>
          <w:rFonts w:asciiTheme="minorHAnsi" w:hAnsiTheme="minorHAnsi" w:cstheme="minorHAnsi"/>
          <w:lang w:eastAsia="en-AU"/>
        </w:rPr>
        <w:t>reading, viewing or hearing copyright material in a particular form.</w:t>
      </w:r>
      <w:r w:rsidR="002752C7">
        <w:rPr>
          <w:rFonts w:asciiTheme="minorHAnsi" w:hAnsiTheme="minorHAnsi" w:cstheme="minorHAnsi"/>
          <w:lang w:eastAsia="en-AU"/>
        </w:rPr>
        <w:t xml:space="preserve"> </w:t>
      </w:r>
    </w:p>
    <w:p w:rsidR="002752C7" w:rsidRPr="0024565A" w:rsidRDefault="002752C7" w:rsidP="003C4F83">
      <w:pPr>
        <w:pStyle w:val="BodyText1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While we think the proposed definition is fit for purpose, it would be encouraging to have a strong recognition in the explanatory memorandum and second reading speech that these barriers are created by inaccessible forms of material, rather than by a person with a disability.</w:t>
      </w:r>
    </w:p>
    <w:p w:rsidR="007F274B" w:rsidRDefault="007F274B" w:rsidP="007F274B">
      <w:pPr>
        <w:pStyle w:val="Heading3"/>
        <w:rPr>
          <w:lang w:eastAsia="en-AU"/>
        </w:rPr>
      </w:pPr>
      <w:r>
        <w:rPr>
          <w:lang w:eastAsia="en-AU"/>
        </w:rPr>
        <w:t>Guidelines on fair dealing</w:t>
      </w:r>
    </w:p>
    <w:p w:rsidR="007F274B" w:rsidRDefault="00DB1270" w:rsidP="007F274B">
      <w:pPr>
        <w:rPr>
          <w:lang w:eastAsia="en-AU"/>
        </w:rPr>
      </w:pPr>
      <w:r>
        <w:rPr>
          <w:lang w:eastAsia="en-AU"/>
        </w:rPr>
        <w:t>Due to the difficulty in unpacking a new set of legal terms</w:t>
      </w:r>
      <w:r w:rsidR="001C209C">
        <w:rPr>
          <w:lang w:eastAsia="en-AU"/>
        </w:rPr>
        <w:t>,</w:t>
      </w:r>
      <w:r w:rsidR="0024565A">
        <w:rPr>
          <w:lang w:eastAsia="en-AU"/>
        </w:rPr>
        <w:t xml:space="preserve"> some may find it easier to</w:t>
      </w:r>
      <w:r w:rsidR="007F274B">
        <w:rPr>
          <w:lang w:eastAsia="en-AU"/>
        </w:rPr>
        <w:t xml:space="preserve"> </w:t>
      </w:r>
      <w:r>
        <w:rPr>
          <w:lang w:eastAsia="en-AU"/>
        </w:rPr>
        <w:t>apply</w:t>
      </w:r>
      <w:r w:rsidR="0024565A">
        <w:rPr>
          <w:lang w:eastAsia="en-AU"/>
        </w:rPr>
        <w:t xml:space="preserve"> the</w:t>
      </w:r>
      <w:r w:rsidR="007F274B">
        <w:rPr>
          <w:lang w:eastAsia="en-AU"/>
        </w:rPr>
        <w:t xml:space="preserve"> existing provisions</w:t>
      </w:r>
      <w:r>
        <w:rPr>
          <w:lang w:eastAsia="en-AU"/>
        </w:rPr>
        <w:t xml:space="preserve"> in section 200AB rather than fair dealing. On balance ACCAN believes the fair </w:t>
      </w:r>
      <w:r>
        <w:rPr>
          <w:lang w:eastAsia="en-AU"/>
        </w:rPr>
        <w:lastRenderedPageBreak/>
        <w:t>dealing test has the potential to provide greater certainty, especially if it is supported by clear, simple English guidelines on how it should be applied in practice.</w:t>
      </w:r>
    </w:p>
    <w:p w:rsidR="00DB1270" w:rsidRDefault="00DB1270" w:rsidP="007F274B">
      <w:pPr>
        <w:rPr>
          <w:lang w:eastAsia="en-AU"/>
        </w:rPr>
      </w:pPr>
      <w:r>
        <w:rPr>
          <w:lang w:eastAsia="en-AU"/>
        </w:rPr>
        <w:t>Without guidelines terms like ‘the purpose and character of the dealing’ are confusing for an individual consumer. However</w:t>
      </w:r>
      <w:r w:rsidR="00D80EE0">
        <w:rPr>
          <w:lang w:eastAsia="en-AU"/>
        </w:rPr>
        <w:t>,</w:t>
      </w:r>
      <w:r>
        <w:rPr>
          <w:lang w:eastAsia="en-AU"/>
        </w:rPr>
        <w:t xml:space="preserve"> if interpretive guidance</w:t>
      </w:r>
      <w:r w:rsidR="00D80EE0">
        <w:rPr>
          <w:lang w:eastAsia="en-AU"/>
        </w:rPr>
        <w:t xml:space="preserve"> is provided</w:t>
      </w:r>
      <w:r w:rsidR="00A2237E">
        <w:rPr>
          <w:lang w:eastAsia="en-AU"/>
        </w:rPr>
        <w:t xml:space="preserve"> </w:t>
      </w:r>
      <w:r w:rsidR="00D80EE0">
        <w:rPr>
          <w:lang w:eastAsia="en-AU"/>
        </w:rPr>
        <w:t>(</w:t>
      </w:r>
      <w:r>
        <w:rPr>
          <w:lang w:eastAsia="en-AU"/>
        </w:rPr>
        <w:t>such as explaining that a consumer with a disability should be able to convert a copy of a book they have purchased into a readable format</w:t>
      </w:r>
      <w:r w:rsidR="00D80EE0">
        <w:rPr>
          <w:lang w:eastAsia="en-AU"/>
        </w:rPr>
        <w:t>)</w:t>
      </w:r>
      <w:r>
        <w:rPr>
          <w:lang w:eastAsia="en-AU"/>
        </w:rPr>
        <w:t xml:space="preserve"> </w:t>
      </w:r>
      <w:r w:rsidR="00D80EE0">
        <w:rPr>
          <w:lang w:eastAsia="en-AU"/>
        </w:rPr>
        <w:t>there is less potential for</w:t>
      </w:r>
      <w:r>
        <w:rPr>
          <w:lang w:eastAsia="en-AU"/>
        </w:rPr>
        <w:t xml:space="preserve"> confusion.</w:t>
      </w:r>
      <w:r w:rsidR="008A6AA1">
        <w:rPr>
          <w:lang w:eastAsia="en-AU"/>
        </w:rPr>
        <w:t xml:space="preserve"> Therefore we agree with </w:t>
      </w:r>
      <w:proofErr w:type="spellStart"/>
      <w:r w:rsidR="008A6AA1">
        <w:rPr>
          <w:lang w:eastAsia="en-AU"/>
        </w:rPr>
        <w:t>DoCA’s</w:t>
      </w:r>
      <w:proofErr w:type="spellEnd"/>
      <w:r w:rsidR="008A6AA1">
        <w:rPr>
          <w:lang w:eastAsia="en-AU"/>
        </w:rPr>
        <w:t xml:space="preserve"> suggestion that it prepare a set of guidelines in consultation with affected stakeholders.</w:t>
      </w:r>
      <w:r w:rsidR="005D3960">
        <w:rPr>
          <w:lang w:eastAsia="en-AU"/>
        </w:rPr>
        <w:t xml:space="preserve"> We would add that these guidelines should also be produced in simple English to aid comprehension for individual consumers.</w:t>
      </w:r>
    </w:p>
    <w:p w:rsidR="008A6AA1" w:rsidRDefault="008A6AA1" w:rsidP="008A6AA1">
      <w:pPr>
        <w:pStyle w:val="Recommendation"/>
      </w:pPr>
      <w:r w:rsidRPr="00753E46">
        <w:rPr>
          <w:rFonts w:eastAsiaTheme="majorEastAsia" w:cstheme="majorBidi"/>
          <w:kern w:val="28"/>
        </w:rPr>
        <w:t xml:space="preserve">The Department prepare </w:t>
      </w:r>
      <w:r w:rsidR="001C209C">
        <w:rPr>
          <w:rFonts w:eastAsiaTheme="majorEastAsia" w:cstheme="majorBidi"/>
          <w:kern w:val="28"/>
        </w:rPr>
        <w:t>simple</w:t>
      </w:r>
      <w:r w:rsidR="005D3960">
        <w:rPr>
          <w:rFonts w:eastAsiaTheme="majorEastAsia" w:cstheme="majorBidi"/>
          <w:kern w:val="28"/>
        </w:rPr>
        <w:t xml:space="preserve"> English </w:t>
      </w:r>
      <w:r w:rsidRPr="00753E46">
        <w:rPr>
          <w:rFonts w:eastAsiaTheme="majorEastAsia" w:cstheme="majorBidi"/>
          <w:kern w:val="28"/>
        </w:rPr>
        <w:t>guidelines in consultation with affected stakeholders that would identify best practice approaches to dealing with accessible copies and other relevant matters relating to the practical application of the amendments.</w:t>
      </w:r>
    </w:p>
    <w:p w:rsidR="00C32DD1" w:rsidRDefault="00DC078A" w:rsidP="00DC078A">
      <w:pPr>
        <w:pStyle w:val="Heading3"/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>Commercial availability test</w:t>
      </w:r>
    </w:p>
    <w:p w:rsidR="00DC078A" w:rsidRDefault="00DC078A" w:rsidP="00DC078A">
      <w:pPr>
        <w:rPr>
          <w:lang w:eastAsia="en-AU"/>
        </w:rPr>
      </w:pPr>
      <w:r>
        <w:rPr>
          <w:lang w:eastAsia="en-AU"/>
        </w:rPr>
        <w:t xml:space="preserve">The commercial availability test outlined in section </w:t>
      </w:r>
      <w:proofErr w:type="gramStart"/>
      <w:r>
        <w:rPr>
          <w:lang w:eastAsia="en-AU"/>
        </w:rPr>
        <w:t>113F(</w:t>
      </w:r>
      <w:proofErr w:type="gramEnd"/>
      <w:r>
        <w:rPr>
          <w:lang w:eastAsia="en-AU"/>
        </w:rPr>
        <w:t xml:space="preserve">b) is an unnecessary burden on already resource limited organisations and is unlikely to offer </w:t>
      </w:r>
      <w:r w:rsidR="00F5209A">
        <w:rPr>
          <w:lang w:eastAsia="en-AU"/>
        </w:rPr>
        <w:t xml:space="preserve">any additional benefit to rights holders. This section may force </w:t>
      </w:r>
      <w:r w:rsidR="001C209C">
        <w:rPr>
          <w:lang w:eastAsia="en-AU"/>
        </w:rPr>
        <w:t xml:space="preserve">an </w:t>
      </w:r>
      <w:r w:rsidR="00F5209A">
        <w:rPr>
          <w:lang w:eastAsia="en-AU"/>
        </w:rPr>
        <w:t>organisation serving people with a disability to constantly check if material</w:t>
      </w:r>
      <w:r w:rsidR="0043058A">
        <w:rPr>
          <w:lang w:eastAsia="en-AU"/>
        </w:rPr>
        <w:t xml:space="preserve"> it has converted</w:t>
      </w:r>
      <w:r w:rsidR="00F5209A">
        <w:rPr>
          <w:lang w:eastAsia="en-AU"/>
        </w:rPr>
        <w:t xml:space="preserve"> </w:t>
      </w:r>
      <w:r w:rsidR="001C209C">
        <w:rPr>
          <w:lang w:eastAsia="en-AU"/>
        </w:rPr>
        <w:t>has</w:t>
      </w:r>
      <w:r w:rsidR="00F5209A">
        <w:rPr>
          <w:lang w:eastAsia="en-AU"/>
        </w:rPr>
        <w:t xml:space="preserve"> </w:t>
      </w:r>
      <w:r w:rsidR="0043058A">
        <w:rPr>
          <w:lang w:eastAsia="en-AU"/>
        </w:rPr>
        <w:t>subsequently been commercially produced. If an organisation fails to do this, and delete its copies, it may be in breach of this provision</w:t>
      </w:r>
      <w:r w:rsidR="00F5209A">
        <w:rPr>
          <w:lang w:eastAsia="en-AU"/>
        </w:rPr>
        <w:t xml:space="preserve">. </w:t>
      </w:r>
      <w:r w:rsidR="0043058A">
        <w:rPr>
          <w:lang w:eastAsia="en-AU"/>
        </w:rPr>
        <w:t xml:space="preserve">For organisations managing significant libraries this is likely to become overly burdensome </w:t>
      </w:r>
      <w:r w:rsidR="00F5209A">
        <w:rPr>
          <w:lang w:eastAsia="en-AU"/>
        </w:rPr>
        <w:t>and ultimately</w:t>
      </w:r>
      <w:r w:rsidR="0043058A">
        <w:rPr>
          <w:lang w:eastAsia="en-AU"/>
        </w:rPr>
        <w:t xml:space="preserve"> </w:t>
      </w:r>
      <w:r w:rsidR="001C209C">
        <w:rPr>
          <w:lang w:eastAsia="en-AU"/>
        </w:rPr>
        <w:t>weaken</w:t>
      </w:r>
      <w:r w:rsidR="00F5209A">
        <w:rPr>
          <w:lang w:eastAsia="en-AU"/>
        </w:rPr>
        <w:t xml:space="preserve"> the purpose of the fair dealing exception.</w:t>
      </w:r>
    </w:p>
    <w:p w:rsidR="0028410B" w:rsidRDefault="00F5209A" w:rsidP="00DC078A">
      <w:pPr>
        <w:rPr>
          <w:lang w:eastAsia="en-AU"/>
        </w:rPr>
      </w:pPr>
      <w:r>
        <w:rPr>
          <w:lang w:eastAsia="en-AU"/>
        </w:rPr>
        <w:t>It also fails to offer any additional benefit to rights holders. Given the e</w:t>
      </w:r>
      <w:r w:rsidR="00B7052E">
        <w:rPr>
          <w:lang w:eastAsia="en-AU"/>
        </w:rPr>
        <w:t>ffort</w:t>
      </w:r>
      <w:r>
        <w:rPr>
          <w:lang w:eastAsia="en-AU"/>
        </w:rPr>
        <w:t xml:space="preserve"> in converting material to an accessible format, in practice a resource strapped organisation is unlikely to go to th</w:t>
      </w:r>
      <w:r w:rsidR="00B7052E">
        <w:rPr>
          <w:lang w:eastAsia="en-AU"/>
        </w:rPr>
        <w:t>e</w:t>
      </w:r>
      <w:r>
        <w:rPr>
          <w:lang w:eastAsia="en-AU"/>
        </w:rPr>
        <w:t xml:space="preserve"> expense of converting if there is an alternative available at a commercial price. The only time an organisation might </w:t>
      </w:r>
      <w:r w:rsidR="00B7052E">
        <w:rPr>
          <w:lang w:eastAsia="en-AU"/>
        </w:rPr>
        <w:t>consider</w:t>
      </w:r>
      <w:r>
        <w:rPr>
          <w:lang w:eastAsia="en-AU"/>
        </w:rPr>
        <w:t xml:space="preserve"> produc</w:t>
      </w:r>
      <w:r w:rsidR="00B7052E">
        <w:rPr>
          <w:lang w:eastAsia="en-AU"/>
        </w:rPr>
        <w:t>ing</w:t>
      </w:r>
      <w:r>
        <w:rPr>
          <w:lang w:eastAsia="en-AU"/>
        </w:rPr>
        <w:t xml:space="preserve"> its own version is where an existing copy costs well above an ordinary commercial price, in which case the exemption would apply anyway.</w:t>
      </w:r>
      <w:r w:rsidR="0028410B">
        <w:rPr>
          <w:lang w:eastAsia="en-AU"/>
        </w:rPr>
        <w:t xml:space="preserve"> Therefore we see little value in the inclusion of this test.</w:t>
      </w:r>
    </w:p>
    <w:p w:rsidR="00F5209A" w:rsidRPr="00DC078A" w:rsidRDefault="00F5209A" w:rsidP="0028410B">
      <w:pPr>
        <w:pStyle w:val="Recommendation"/>
        <w:rPr>
          <w:lang w:eastAsia="en-AU"/>
        </w:rPr>
      </w:pPr>
      <w:r>
        <w:rPr>
          <w:lang w:eastAsia="en-AU"/>
        </w:rPr>
        <w:t xml:space="preserve"> </w:t>
      </w:r>
      <w:r w:rsidR="0028410B">
        <w:rPr>
          <w:lang w:eastAsia="en-AU"/>
        </w:rPr>
        <w:t xml:space="preserve">The commercial availability test outlined in section </w:t>
      </w:r>
      <w:proofErr w:type="gramStart"/>
      <w:r w:rsidR="0028410B">
        <w:rPr>
          <w:lang w:eastAsia="en-AU"/>
        </w:rPr>
        <w:t>113F(</w:t>
      </w:r>
      <w:proofErr w:type="gramEnd"/>
      <w:r w:rsidR="0028410B">
        <w:rPr>
          <w:lang w:eastAsia="en-AU"/>
        </w:rPr>
        <w:t>b) should be removed.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4F83" w:rsidTr="00215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C4F83" w:rsidRDefault="003C4F83" w:rsidP="003C4F83">
            <w:pPr>
              <w:pStyle w:val="Heading2"/>
              <w:outlineLvl w:val="1"/>
              <w:rPr>
                <w:rFonts w:eastAsia="Calibri"/>
                <w:b/>
              </w:rPr>
            </w:pPr>
            <w:r w:rsidRPr="00AA26A9">
              <w:rPr>
                <w:rFonts w:eastAsia="Calibri"/>
                <w:b/>
              </w:rPr>
              <w:t>Q 2: Do you prefer the terminology ‘organisation assisting a person with a disability’?</w:t>
            </w:r>
          </w:p>
          <w:p w:rsidR="0024565A" w:rsidRPr="0024565A" w:rsidRDefault="0024565A" w:rsidP="0024565A"/>
        </w:tc>
      </w:tr>
    </w:tbl>
    <w:p w:rsidR="003C4F83" w:rsidRDefault="003C4F83" w:rsidP="00C32DD1">
      <w:pPr>
        <w:pStyle w:val="BodyText1"/>
        <w:rPr>
          <w:rFonts w:asciiTheme="minorHAnsi" w:eastAsiaTheme="minorEastAsia" w:hAnsiTheme="minorHAnsi" w:cstheme="minorHAnsi"/>
          <w:color w:val="auto"/>
          <w:lang w:eastAsia="en-AU"/>
        </w:rPr>
      </w:pPr>
    </w:p>
    <w:p w:rsidR="00907044" w:rsidRPr="0024565A" w:rsidRDefault="00AA26A9" w:rsidP="00AA26A9">
      <w:pPr>
        <w:pStyle w:val="BodyText1"/>
        <w:rPr>
          <w:rFonts w:asciiTheme="minorHAnsi" w:hAnsiTheme="minorHAnsi" w:cstheme="minorHAnsi"/>
        </w:rPr>
      </w:pPr>
      <w:r w:rsidRPr="0024565A">
        <w:rPr>
          <w:rFonts w:asciiTheme="minorHAnsi" w:hAnsiTheme="minorHAnsi" w:cstheme="minorHAnsi"/>
        </w:rPr>
        <w:t xml:space="preserve">ACCAN prefers the terminology ‘organisation assisting a person with a disability’. </w:t>
      </w:r>
      <w:r w:rsidR="00990B4E">
        <w:rPr>
          <w:rFonts w:asciiTheme="minorHAnsi" w:hAnsiTheme="minorHAnsi" w:cstheme="minorHAnsi"/>
        </w:rPr>
        <w:t>‘</w:t>
      </w:r>
      <w:r w:rsidRPr="0024565A">
        <w:rPr>
          <w:rFonts w:asciiTheme="minorHAnsi" w:hAnsiTheme="minorHAnsi" w:cstheme="minorHAnsi"/>
        </w:rPr>
        <w:t>Organisation</w:t>
      </w:r>
      <w:r w:rsidR="00990B4E">
        <w:rPr>
          <w:rFonts w:asciiTheme="minorHAnsi" w:hAnsiTheme="minorHAnsi" w:cstheme="minorHAnsi"/>
        </w:rPr>
        <w:t>’</w:t>
      </w:r>
      <w:r w:rsidRPr="0024565A">
        <w:rPr>
          <w:rFonts w:asciiTheme="minorHAnsi" w:hAnsiTheme="minorHAnsi" w:cstheme="minorHAnsi"/>
        </w:rPr>
        <w:t xml:space="preserve"> better represents the range of organisations which are involved in making accessible material available to people with a disability. </w:t>
      </w:r>
    </w:p>
    <w:p w:rsidR="00AA26A9" w:rsidRPr="0024565A" w:rsidRDefault="00AA26A9" w:rsidP="00AA26A9">
      <w:pPr>
        <w:pStyle w:val="BodyText1"/>
        <w:rPr>
          <w:rFonts w:asciiTheme="minorHAnsi" w:hAnsiTheme="minorHAnsi" w:cstheme="minorHAnsi"/>
        </w:rPr>
      </w:pPr>
      <w:r w:rsidRPr="0024565A">
        <w:rPr>
          <w:rFonts w:asciiTheme="minorHAnsi" w:hAnsiTheme="minorHAnsi" w:cstheme="minorHAnsi"/>
        </w:rPr>
        <w:lastRenderedPageBreak/>
        <w:t>The word ‘institution’ also has a number of negat</w:t>
      </w:r>
      <w:r w:rsidR="00907044" w:rsidRPr="0024565A">
        <w:rPr>
          <w:rFonts w:asciiTheme="minorHAnsi" w:hAnsiTheme="minorHAnsi" w:cstheme="minorHAnsi"/>
        </w:rPr>
        <w:t xml:space="preserve">ive connotations </w:t>
      </w:r>
      <w:r w:rsidR="00990B4E">
        <w:rPr>
          <w:rFonts w:asciiTheme="minorHAnsi" w:hAnsiTheme="minorHAnsi" w:cstheme="minorHAnsi"/>
        </w:rPr>
        <w:t>in</w:t>
      </w:r>
      <w:r w:rsidR="00907044" w:rsidRPr="0024565A">
        <w:rPr>
          <w:rFonts w:asciiTheme="minorHAnsi" w:hAnsiTheme="minorHAnsi" w:cstheme="minorHAnsi"/>
        </w:rPr>
        <w:t xml:space="preserve"> this sector due to its historical use to describe places built to house people with mental disabilities.</w:t>
      </w:r>
    </w:p>
    <w:p w:rsidR="00AA26A9" w:rsidRDefault="00AA26A9" w:rsidP="00AA26A9">
      <w:pPr>
        <w:pStyle w:val="BodyText1"/>
        <w:rPr>
          <w:rFonts w:asciiTheme="minorHAnsi" w:hAnsiTheme="minorHAnsi" w:cstheme="minorHAnsi"/>
        </w:rPr>
      </w:pPr>
      <w:r w:rsidRPr="0024565A">
        <w:rPr>
          <w:rFonts w:asciiTheme="minorHAnsi" w:hAnsiTheme="minorHAnsi" w:cstheme="minorHAnsi"/>
        </w:rPr>
        <w:t>The ordinary dictionary definition of institution tends to place it as a subset of organisation</w:t>
      </w:r>
      <w:r w:rsidR="00907044" w:rsidRPr="0024565A">
        <w:rPr>
          <w:rFonts w:asciiTheme="minorHAnsi" w:hAnsiTheme="minorHAnsi" w:cstheme="minorHAnsi"/>
        </w:rPr>
        <w:t>s</w:t>
      </w:r>
      <w:r w:rsidRPr="0024565A">
        <w:rPr>
          <w:rFonts w:asciiTheme="minorHAnsi" w:hAnsiTheme="minorHAnsi" w:cstheme="minorHAnsi"/>
        </w:rPr>
        <w:t xml:space="preserve"> founded for a religious, educational, professional or social purpose.</w:t>
      </w:r>
      <w:r w:rsidR="00907044" w:rsidRPr="0024565A">
        <w:rPr>
          <w:rStyle w:val="FootnoteReference"/>
          <w:rFonts w:asciiTheme="minorHAnsi" w:hAnsiTheme="minorHAnsi" w:cstheme="minorHAnsi"/>
        </w:rPr>
        <w:footnoteReference w:id="2"/>
      </w:r>
      <w:r w:rsidRPr="0024565A">
        <w:rPr>
          <w:rFonts w:asciiTheme="minorHAnsi" w:hAnsiTheme="minorHAnsi" w:cstheme="minorHAnsi"/>
        </w:rPr>
        <w:t xml:space="preserve"> In contrast ‘organisation’ is broader and has the ordinary definition of an organised group of people with a particular purpose, such as business or government.</w:t>
      </w:r>
      <w:r w:rsidR="00907044" w:rsidRPr="0024565A">
        <w:rPr>
          <w:rStyle w:val="FootnoteReference"/>
          <w:rFonts w:asciiTheme="minorHAnsi" w:hAnsiTheme="minorHAnsi" w:cstheme="minorHAnsi"/>
        </w:rPr>
        <w:footnoteReference w:id="3"/>
      </w:r>
    </w:p>
    <w:p w:rsidR="0028410B" w:rsidRPr="00DC078A" w:rsidRDefault="0028410B" w:rsidP="0028410B">
      <w:pPr>
        <w:pStyle w:val="Recommendation"/>
      </w:pPr>
      <w:r w:rsidRPr="0028410B">
        <w:rPr>
          <w:rFonts w:eastAsiaTheme="majorEastAsia"/>
        </w:rPr>
        <w:t xml:space="preserve">That the terminology </w:t>
      </w:r>
      <w:r w:rsidRPr="0028410B">
        <w:rPr>
          <w:rFonts w:eastAsia="Calibri"/>
        </w:rPr>
        <w:t>‘</w:t>
      </w:r>
      <w:r w:rsidRPr="0028410B">
        <w:rPr>
          <w:rFonts w:eastAsia="Calibri"/>
          <w:i/>
        </w:rPr>
        <w:t>organisation</w:t>
      </w:r>
      <w:r w:rsidRPr="0028410B">
        <w:rPr>
          <w:rFonts w:eastAsia="Calibri"/>
        </w:rPr>
        <w:t xml:space="preserve"> assisting a person with a disability’ replaces ‘</w:t>
      </w:r>
      <w:r w:rsidRPr="0028410B">
        <w:rPr>
          <w:rFonts w:eastAsia="Calibri"/>
          <w:i/>
        </w:rPr>
        <w:t>institution</w:t>
      </w:r>
      <w:r w:rsidRPr="0028410B">
        <w:rPr>
          <w:rFonts w:eastAsia="Calibri"/>
        </w:rPr>
        <w:t xml:space="preserve"> assisting a person with a disability’.</w:t>
      </w:r>
    </w:p>
    <w:p w:rsidR="00A21227" w:rsidRPr="0024565A" w:rsidRDefault="00990B4E" w:rsidP="00AA26A9">
      <w:pPr>
        <w:pStyle w:val="BodyTex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recommend that the</w:t>
      </w:r>
      <w:r w:rsidR="00A21227">
        <w:rPr>
          <w:rFonts w:asciiTheme="minorHAnsi" w:hAnsiTheme="minorHAnsi" w:cstheme="minorHAnsi"/>
        </w:rPr>
        <w:t xml:space="preserve"> fair dealing clause </w:t>
      </w:r>
      <w:r>
        <w:rPr>
          <w:rFonts w:asciiTheme="minorHAnsi" w:hAnsiTheme="minorHAnsi" w:cstheme="minorHAnsi"/>
        </w:rPr>
        <w:t xml:space="preserve">is amended </w:t>
      </w:r>
      <w:r w:rsidR="00A21227">
        <w:rPr>
          <w:rFonts w:asciiTheme="minorHAnsi" w:hAnsiTheme="minorHAnsi" w:cstheme="minorHAnsi"/>
        </w:rPr>
        <w:t>to clarify that it can be used by third parties providing services to people with a disability. For example, this would require a change from the current section 113E wording “</w:t>
      </w:r>
      <w:r w:rsidR="00A21227" w:rsidRPr="00A21227">
        <w:rPr>
          <w:rFonts w:asciiTheme="minorHAnsi" w:hAnsiTheme="minorHAnsi" w:cstheme="minorHAnsi"/>
        </w:rPr>
        <w:t>Fair dealing for purpose of access by persons with a disability</w:t>
      </w:r>
      <w:r w:rsidR="00A21227">
        <w:rPr>
          <w:rFonts w:asciiTheme="minorHAnsi" w:hAnsiTheme="minorHAnsi" w:cstheme="minorHAnsi"/>
        </w:rPr>
        <w:t>” to “</w:t>
      </w:r>
      <w:r w:rsidR="00A21227" w:rsidRPr="00A21227">
        <w:rPr>
          <w:rFonts w:asciiTheme="minorHAnsi" w:hAnsiTheme="minorHAnsi" w:cstheme="minorHAnsi"/>
        </w:rPr>
        <w:t xml:space="preserve">Fair dealing for purpose of access </w:t>
      </w:r>
      <w:r w:rsidR="00A21227" w:rsidRPr="00DC078A">
        <w:rPr>
          <w:rFonts w:asciiTheme="minorHAnsi" w:hAnsiTheme="minorHAnsi" w:cstheme="minorHAnsi"/>
          <w:i/>
        </w:rPr>
        <w:t>for or</w:t>
      </w:r>
      <w:r w:rsidR="00A21227">
        <w:rPr>
          <w:rFonts w:asciiTheme="minorHAnsi" w:hAnsiTheme="minorHAnsi" w:cstheme="minorHAnsi"/>
        </w:rPr>
        <w:t xml:space="preserve"> </w:t>
      </w:r>
      <w:r w:rsidR="00A21227" w:rsidRPr="00A21227">
        <w:rPr>
          <w:rFonts w:asciiTheme="minorHAnsi" w:hAnsiTheme="minorHAnsi" w:cstheme="minorHAnsi"/>
        </w:rPr>
        <w:t>by persons with a disability</w:t>
      </w:r>
      <w:r w:rsidR="00A21227">
        <w:rPr>
          <w:rFonts w:asciiTheme="minorHAnsi" w:hAnsiTheme="minorHAnsi" w:cstheme="minorHAnsi"/>
        </w:rPr>
        <w:t>”</w:t>
      </w:r>
      <w:r w:rsidR="00F44147">
        <w:rPr>
          <w:rFonts w:asciiTheme="minorHAnsi" w:hAnsiTheme="minorHAnsi" w:cstheme="minorHAnsi"/>
        </w:rPr>
        <w:t>.</w:t>
      </w:r>
    </w:p>
    <w:p w:rsidR="00DC078A" w:rsidRDefault="00DC078A" w:rsidP="005D3960">
      <w:pPr>
        <w:pStyle w:val="Recommendation"/>
      </w:pPr>
      <w:r>
        <w:rPr>
          <w:rFonts w:eastAsiaTheme="majorEastAsia"/>
        </w:rPr>
        <w:t>That the language of the fair dealing clause</w:t>
      </w:r>
      <w:r w:rsidR="00A2237E">
        <w:rPr>
          <w:rFonts w:eastAsiaTheme="majorEastAsia"/>
        </w:rPr>
        <w:t xml:space="preserve"> </w:t>
      </w:r>
      <w:r w:rsidR="00A2237E">
        <w:rPr>
          <w:rFonts w:asciiTheme="minorHAnsi" w:hAnsiTheme="minorHAnsi" w:cstheme="minorHAnsi"/>
        </w:rPr>
        <w:t>“</w:t>
      </w:r>
      <w:r w:rsidR="00A2237E" w:rsidRPr="00A21227">
        <w:rPr>
          <w:rFonts w:asciiTheme="minorHAnsi" w:hAnsiTheme="minorHAnsi" w:cstheme="minorHAnsi"/>
        </w:rPr>
        <w:t xml:space="preserve">Fair dealing for purpose of access </w:t>
      </w:r>
      <w:r w:rsidR="00A2237E" w:rsidRPr="00DC078A">
        <w:rPr>
          <w:rFonts w:asciiTheme="minorHAnsi" w:hAnsiTheme="minorHAnsi" w:cstheme="minorHAnsi"/>
          <w:i/>
        </w:rPr>
        <w:t>for or</w:t>
      </w:r>
      <w:r w:rsidR="00A2237E">
        <w:rPr>
          <w:rFonts w:asciiTheme="minorHAnsi" w:hAnsiTheme="minorHAnsi" w:cstheme="minorHAnsi"/>
        </w:rPr>
        <w:t xml:space="preserve"> </w:t>
      </w:r>
      <w:r w:rsidR="00A2237E" w:rsidRPr="00A21227">
        <w:rPr>
          <w:rFonts w:asciiTheme="minorHAnsi" w:hAnsiTheme="minorHAnsi" w:cstheme="minorHAnsi"/>
        </w:rPr>
        <w:t>by persons with a disability</w:t>
      </w:r>
      <w:r w:rsidR="00A2237E">
        <w:rPr>
          <w:rFonts w:asciiTheme="minorHAnsi" w:hAnsiTheme="minorHAnsi" w:cstheme="minorHAnsi"/>
        </w:rPr>
        <w:t>”</w:t>
      </w:r>
      <w:r>
        <w:rPr>
          <w:rFonts w:eastAsiaTheme="majorEastAsia"/>
        </w:rPr>
        <w:t xml:space="preserve"> </w:t>
      </w:r>
      <w:r w:rsidR="00A2237E">
        <w:rPr>
          <w:rFonts w:eastAsiaTheme="majorEastAsia"/>
        </w:rPr>
        <w:t xml:space="preserve">replaces </w:t>
      </w:r>
      <w:r w:rsidR="00A2237E">
        <w:rPr>
          <w:rFonts w:asciiTheme="minorHAnsi" w:hAnsiTheme="minorHAnsi" w:cstheme="minorHAnsi"/>
        </w:rPr>
        <w:t>“</w:t>
      </w:r>
      <w:r w:rsidR="00A2237E" w:rsidRPr="00A21227">
        <w:rPr>
          <w:rFonts w:asciiTheme="minorHAnsi" w:hAnsiTheme="minorHAnsi" w:cstheme="minorHAnsi"/>
        </w:rPr>
        <w:t>Fair dealing for purpose of access by persons with a disability</w:t>
      </w:r>
      <w:r w:rsidR="00A2237E">
        <w:rPr>
          <w:rFonts w:asciiTheme="minorHAnsi" w:hAnsiTheme="minorHAnsi" w:cstheme="minorHAnsi"/>
        </w:rPr>
        <w:t>”.</w:t>
      </w:r>
    </w:p>
    <w:p w:rsidR="00F44147" w:rsidRDefault="00F44147" w:rsidP="00F44147">
      <w:pPr>
        <w:pStyle w:val="Heading3"/>
      </w:pPr>
      <w:r>
        <w:t>Copyright regulations</w:t>
      </w:r>
    </w:p>
    <w:p w:rsidR="00F44147" w:rsidRPr="0024565A" w:rsidRDefault="00B7052E" w:rsidP="00AA26A9">
      <w:pPr>
        <w:pStyle w:val="BodyTex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ACCAN is</w:t>
      </w:r>
      <w:r w:rsidR="00F44147">
        <w:rPr>
          <w:rFonts w:asciiTheme="minorHAnsi" w:hAnsiTheme="minorHAnsi" w:cstheme="minorHAnsi"/>
        </w:rPr>
        <w:t xml:space="preserve"> also interested in how </w:t>
      </w:r>
      <w:proofErr w:type="spellStart"/>
      <w:r w:rsidR="00F44147">
        <w:rPr>
          <w:rFonts w:asciiTheme="minorHAnsi" w:hAnsiTheme="minorHAnsi" w:cstheme="minorHAnsi"/>
        </w:rPr>
        <w:t>DoCA</w:t>
      </w:r>
      <w:proofErr w:type="spellEnd"/>
      <w:r w:rsidR="00F44147">
        <w:rPr>
          <w:rFonts w:asciiTheme="minorHAnsi" w:hAnsiTheme="minorHAnsi" w:cstheme="minorHAnsi"/>
        </w:rPr>
        <w:t xml:space="preserve"> is proposing to amend the </w:t>
      </w:r>
      <w:r w:rsidR="00F44147" w:rsidRPr="00F44147">
        <w:rPr>
          <w:rFonts w:asciiTheme="minorHAnsi" w:hAnsiTheme="minorHAnsi" w:cstheme="minorHAnsi"/>
        </w:rPr>
        <w:t>Copyright International Protection Regulations</w:t>
      </w:r>
      <w:r w:rsidR="00F44147">
        <w:rPr>
          <w:rFonts w:asciiTheme="minorHAnsi" w:hAnsiTheme="minorHAnsi" w:cstheme="minorHAnsi"/>
        </w:rPr>
        <w:t xml:space="preserve"> to clarify </w:t>
      </w:r>
      <w:r w:rsidR="00F44147" w:rsidRPr="00F44147">
        <w:rPr>
          <w:rFonts w:asciiTheme="minorHAnsi" w:hAnsiTheme="minorHAnsi" w:cstheme="minorHAnsi"/>
        </w:rPr>
        <w:t>that it is not an infringement of copyright to exchange literary and artistic works across borders for the purposes of compliance with the Marrakesh Treaty.</w:t>
      </w:r>
      <w:r w:rsidR="00F44147">
        <w:rPr>
          <w:rFonts w:asciiTheme="minorHAnsi" w:hAnsiTheme="minorHAnsi" w:cstheme="minorHAnsi"/>
        </w:rPr>
        <w:t xml:space="preserve"> ACCAN believes strong competitive markets are fostered when consumers have a choice in suppl</w:t>
      </w:r>
      <w:r w:rsidR="009E35C0">
        <w:rPr>
          <w:rFonts w:asciiTheme="minorHAnsi" w:hAnsiTheme="minorHAnsi" w:cstheme="minorHAnsi"/>
        </w:rPr>
        <w:t>y</w:t>
      </w:r>
      <w:r w:rsidR="00F44147">
        <w:rPr>
          <w:rFonts w:asciiTheme="minorHAnsi" w:hAnsiTheme="minorHAnsi" w:cstheme="minorHAnsi"/>
        </w:rPr>
        <w:t xml:space="preserve">. The </w:t>
      </w:r>
      <w:r w:rsidR="00547CC7">
        <w:rPr>
          <w:rFonts w:asciiTheme="minorHAnsi" w:hAnsiTheme="minorHAnsi" w:cstheme="minorHAnsi"/>
        </w:rPr>
        <w:t>c</w:t>
      </w:r>
      <w:r w:rsidR="00F44147">
        <w:rPr>
          <w:rFonts w:asciiTheme="minorHAnsi" w:hAnsiTheme="minorHAnsi" w:cstheme="minorHAnsi"/>
        </w:rPr>
        <w:t xml:space="preserve">opyright law should not be used </w:t>
      </w:r>
      <w:r w:rsidR="009E35C0">
        <w:rPr>
          <w:rFonts w:asciiTheme="minorHAnsi" w:hAnsiTheme="minorHAnsi" w:cstheme="minorHAnsi"/>
        </w:rPr>
        <w:t>as a tool for rights holders to divide the market into geographies that serve to limit consumer choice, rather than protect copyright.</w:t>
      </w:r>
    </w:p>
    <w:p w:rsidR="00C32DD1" w:rsidRDefault="00F44147" w:rsidP="00C32DD1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ACCAN would like to thank </w:t>
      </w:r>
      <w:proofErr w:type="spellStart"/>
      <w:r>
        <w:rPr>
          <w:rFonts w:asciiTheme="minorHAnsi" w:hAnsiTheme="minorHAnsi" w:cstheme="minorHAnsi"/>
        </w:rPr>
        <w:t>DoCA</w:t>
      </w:r>
      <w:proofErr w:type="spellEnd"/>
      <w:r>
        <w:rPr>
          <w:rFonts w:asciiTheme="minorHAnsi" w:hAnsiTheme="minorHAnsi" w:cstheme="minorHAnsi"/>
        </w:rPr>
        <w:t xml:space="preserve"> for consulting on this important amendment to the Copyright Act. Without </w:t>
      </w:r>
      <w:r w:rsidR="009E35C0">
        <w:rPr>
          <w:rFonts w:asciiTheme="minorHAnsi" w:hAnsiTheme="minorHAnsi" w:cstheme="minorHAnsi"/>
        </w:rPr>
        <w:t>clear fair dealing provisions</w:t>
      </w:r>
      <w:r>
        <w:rPr>
          <w:rFonts w:asciiTheme="minorHAnsi" w:hAnsiTheme="minorHAnsi" w:cstheme="minorHAnsi"/>
        </w:rPr>
        <w:t xml:space="preserve"> </w:t>
      </w:r>
      <w:r w:rsidR="009E35C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eople with a disability </w:t>
      </w:r>
      <w:r w:rsidR="009E35C0">
        <w:rPr>
          <w:rFonts w:asciiTheme="minorHAnsi" w:hAnsiTheme="minorHAnsi" w:cstheme="minorHAnsi"/>
        </w:rPr>
        <w:t>face significant barriers to accessing copyright protected materials</w:t>
      </w:r>
      <w:r>
        <w:rPr>
          <w:rFonts w:asciiTheme="minorHAnsi" w:hAnsiTheme="minorHAnsi" w:cstheme="minorHAnsi"/>
        </w:rPr>
        <w:t>.</w:t>
      </w:r>
      <w:r w:rsidR="009E35C0">
        <w:rPr>
          <w:rFonts w:asciiTheme="minorHAnsi" w:hAnsiTheme="minorHAnsi" w:cstheme="minorHAnsi"/>
        </w:rPr>
        <w:t xml:space="preserve"> We look forward to working with </w:t>
      </w:r>
      <w:proofErr w:type="spellStart"/>
      <w:r w:rsidR="00547CC7">
        <w:rPr>
          <w:rFonts w:asciiTheme="minorHAnsi" w:hAnsiTheme="minorHAnsi" w:cstheme="minorHAnsi"/>
        </w:rPr>
        <w:t>DoCA</w:t>
      </w:r>
      <w:proofErr w:type="spellEnd"/>
      <w:r w:rsidR="00547CC7">
        <w:rPr>
          <w:rFonts w:asciiTheme="minorHAnsi" w:hAnsiTheme="minorHAnsi" w:cstheme="minorHAnsi"/>
        </w:rPr>
        <w:t xml:space="preserve"> </w:t>
      </w:r>
      <w:r w:rsidR="009E35C0">
        <w:rPr>
          <w:rFonts w:asciiTheme="minorHAnsi" w:hAnsiTheme="minorHAnsi" w:cstheme="minorHAnsi"/>
        </w:rPr>
        <w:t>further in developing guidelines to clearly explain these changes.</w:t>
      </w:r>
    </w:p>
    <w:p w:rsidR="00C32DD1" w:rsidRDefault="00C32DD1" w:rsidP="00C32DD1">
      <w:pPr>
        <w:pStyle w:val="BodyText1"/>
        <w:rPr>
          <w:rFonts w:asciiTheme="minorHAnsi" w:hAnsiTheme="minorHAnsi" w:cstheme="minorHAnsi"/>
          <w:color w:val="auto"/>
        </w:rPr>
      </w:pPr>
    </w:p>
    <w:p w:rsidR="00DD1B6E" w:rsidRDefault="00DD1B6E" w:rsidP="00DD1B6E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Sincerely</w:t>
      </w:r>
      <w:r w:rsidR="004D0F21">
        <w:rPr>
          <w:rFonts w:asciiTheme="minorHAnsi" w:hAnsiTheme="minorHAnsi" w:cstheme="minorHAnsi"/>
          <w:color w:val="auto"/>
        </w:rPr>
        <w:t>,</w:t>
      </w:r>
    </w:p>
    <w:p w:rsidR="004D0F21" w:rsidRDefault="004D0F21" w:rsidP="00DD1B6E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cstheme="minorHAnsi"/>
          <w:noProof/>
        </w:rPr>
        <w:drawing>
          <wp:inline distT="0" distB="0" distL="0" distR="0" wp14:anchorId="16BC1AEC" wp14:editId="49619904">
            <wp:extent cx="1368353" cy="4000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6E" w:rsidRDefault="004D0F21" w:rsidP="004D0F21">
      <w:pPr>
        <w:pStyle w:val="BodyText1"/>
        <w:spacing w:after="0"/>
        <w:rPr>
          <w:rFonts w:asciiTheme="minorHAnsi" w:hAnsiTheme="minorHAnsi" w:cstheme="minorHAnsi"/>
          <w:color w:val="auto"/>
        </w:rPr>
      </w:pPr>
      <w:r w:rsidRPr="004D0F21">
        <w:rPr>
          <w:rFonts w:asciiTheme="minorHAnsi" w:hAnsiTheme="minorHAnsi" w:cstheme="minorHAnsi"/>
          <w:color w:val="auto"/>
        </w:rPr>
        <w:t>Xavier O'Halloran</w:t>
      </w:r>
    </w:p>
    <w:p w:rsidR="00DD1B6E" w:rsidRPr="00C32DD1" w:rsidRDefault="004D0F21" w:rsidP="004D0F2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ACCAN Policy Officer</w:t>
      </w:r>
      <w:bookmarkStart w:id="0" w:name="_GoBack"/>
      <w:bookmarkEnd w:id="0"/>
    </w:p>
    <w:sectPr w:rsidR="00DD1B6E" w:rsidRPr="00C32DD1" w:rsidSect="00084A5B">
      <w:headerReference w:type="default" r:id="rId13"/>
      <w:footerReference w:type="default" r:id="rId14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E9" w:rsidRDefault="001B34E9" w:rsidP="005820C9">
      <w:pPr>
        <w:spacing w:after="0" w:line="240" w:lineRule="auto"/>
      </w:pPr>
      <w:r>
        <w:separator/>
      </w:r>
    </w:p>
  </w:endnote>
  <w:endnote w:type="continuationSeparator" w:id="0">
    <w:p w:rsidR="001B34E9" w:rsidRDefault="001B34E9" w:rsidP="0058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94" w:rsidRDefault="00084A5B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5F90" wp14:editId="2679DD73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94" w:rsidRDefault="00002D94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:rsidR="00084A5B" w:rsidRPr="00002D94" w:rsidRDefault="00084A5B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084A5B" w:rsidRPr="00002D94" w:rsidRDefault="00084A5B" w:rsidP="007D3F1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:rsidR="00084A5B" w:rsidRPr="00002D94" w:rsidRDefault="00084A5B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084A5B" w:rsidRPr="00002D94" w:rsidRDefault="00084A5B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084A5B" w:rsidRPr="00002D94" w:rsidRDefault="00084A5B" w:rsidP="007D3F16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002D94" w:rsidRDefault="00002D94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:rsidR="00084A5B" w:rsidRPr="00002D94" w:rsidRDefault="00084A5B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084A5B" w:rsidRPr="00002D94" w:rsidRDefault="00084A5B" w:rsidP="007D3F16">
                      <w:pPr>
                        <w:spacing w:after="0"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:rsidR="00084A5B" w:rsidRPr="00002D94" w:rsidRDefault="00084A5B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084A5B" w:rsidRPr="00002D94" w:rsidRDefault="00084A5B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084A5B" w:rsidRPr="00002D94" w:rsidRDefault="00084A5B" w:rsidP="007D3F16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5B" w:rsidRPr="00E05115" w:rsidRDefault="00084A5B" w:rsidP="00C4251E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4D0F21">
      <w:rPr>
        <w:noProof/>
      </w:rPr>
      <w:t>3</w:t>
    </w:r>
    <w:r w:rsidRPr="00C4251E">
      <w:rPr>
        <w:noProof/>
      </w:rPr>
      <w:fldChar w:fldCharType="end"/>
    </w:r>
  </w:p>
  <w:p w:rsidR="00084A5B" w:rsidRDefault="00084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E9" w:rsidRDefault="001B34E9" w:rsidP="005820C9">
      <w:pPr>
        <w:spacing w:after="0" w:line="240" w:lineRule="auto"/>
      </w:pPr>
      <w:r>
        <w:separator/>
      </w:r>
    </w:p>
  </w:footnote>
  <w:footnote w:type="continuationSeparator" w:id="0">
    <w:p w:rsidR="001B34E9" w:rsidRDefault="001B34E9" w:rsidP="005820C9">
      <w:pPr>
        <w:spacing w:after="0" w:line="240" w:lineRule="auto"/>
      </w:pPr>
      <w:r>
        <w:continuationSeparator/>
      </w:r>
    </w:p>
  </w:footnote>
  <w:footnote w:id="1">
    <w:p w:rsidR="002752C7" w:rsidRPr="002752C7" w:rsidRDefault="002752C7" w:rsidP="002752C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Oliver, M., 2004, ‘</w:t>
      </w:r>
      <w:r w:rsidRPr="002752C7">
        <w:rPr>
          <w:lang w:val="en-AU"/>
        </w:rPr>
        <w:t>The Social Model in Action: if I had a hammer</w:t>
      </w:r>
      <w:r>
        <w:rPr>
          <w:lang w:val="en-AU"/>
        </w:rPr>
        <w:t xml:space="preserve">’, Chapter 2 </w:t>
      </w:r>
      <w:r w:rsidRPr="002752C7">
        <w:rPr>
          <w:lang w:val="en-AU"/>
        </w:rPr>
        <w:t>(In ‘Implementing the Social Model of Disability:</w:t>
      </w:r>
      <w:r>
        <w:rPr>
          <w:lang w:val="en-AU"/>
        </w:rPr>
        <w:t xml:space="preserve"> </w:t>
      </w:r>
      <w:r w:rsidRPr="002752C7">
        <w:rPr>
          <w:lang w:val="en-AU"/>
        </w:rPr>
        <w:t xml:space="preserve">Theory and Research’ edited by Colin Barnes and </w:t>
      </w:r>
      <w:proofErr w:type="spellStart"/>
      <w:r w:rsidRPr="002752C7">
        <w:rPr>
          <w:lang w:val="en-AU"/>
        </w:rPr>
        <w:t>Geof</w:t>
      </w:r>
      <w:proofErr w:type="spellEnd"/>
      <w:r>
        <w:rPr>
          <w:lang w:val="en-AU"/>
        </w:rPr>
        <w:t xml:space="preserve"> </w:t>
      </w:r>
      <w:r w:rsidRPr="002752C7">
        <w:rPr>
          <w:lang w:val="en-AU"/>
        </w:rPr>
        <w:t>Mercer</w:t>
      </w:r>
      <w:r>
        <w:rPr>
          <w:lang w:val="en-AU"/>
        </w:rPr>
        <w:t>,</w:t>
      </w:r>
      <w:r w:rsidRPr="002752C7">
        <w:rPr>
          <w:lang w:val="en-AU"/>
        </w:rPr>
        <w:t xml:space="preserve"> 2004</w:t>
      </w:r>
      <w:r>
        <w:rPr>
          <w:lang w:val="en-AU"/>
        </w:rPr>
        <w:t xml:space="preserve">, </w:t>
      </w:r>
      <w:r w:rsidRPr="002752C7">
        <w:rPr>
          <w:lang w:val="en-AU"/>
        </w:rPr>
        <w:t>Leeds: T</w:t>
      </w:r>
      <w:r>
        <w:rPr>
          <w:lang w:val="en-AU"/>
        </w:rPr>
        <w:t>he Disability Press, pp. 18-31</w:t>
      </w:r>
    </w:p>
  </w:footnote>
  <w:footnote w:id="2">
    <w:p w:rsidR="00907044" w:rsidRPr="00907044" w:rsidRDefault="0090704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Oxford Dictionaries, ‘institution’ definition.</w:t>
      </w:r>
    </w:p>
  </w:footnote>
  <w:footnote w:id="3">
    <w:p w:rsidR="00907044" w:rsidRPr="00907044" w:rsidRDefault="0090704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Oxford Dictionaries, ‘organisation’ definition.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5B" w:rsidRDefault="00084A5B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64FDAD1" wp14:editId="008A6AA8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5B" w:rsidRDefault="00084A5B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370"/>
    <w:multiLevelType w:val="multilevel"/>
    <w:tmpl w:val="F2FC669E"/>
    <w:styleLink w:val="Recommendations"/>
    <w:lvl w:ilvl="0">
      <w:start w:val="1"/>
      <w:numFmt w:val="decimal"/>
      <w:pStyle w:val="Recommendation"/>
      <w:lvlText w:val="Recommendation %1:"/>
      <w:lvlJc w:val="left"/>
      <w:pPr>
        <w:ind w:left="851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">
    <w:nsid w:val="49242F33"/>
    <w:multiLevelType w:val="hybridMultilevel"/>
    <w:tmpl w:val="3CE816C2"/>
    <w:lvl w:ilvl="0" w:tplc="4ECC6258">
      <w:start w:val="1"/>
      <w:numFmt w:val="decimal"/>
      <w:pStyle w:val="Numberedparagraph"/>
      <w:lvlText w:val="%1."/>
      <w:lvlJc w:val="left"/>
      <w:pPr>
        <w:ind w:left="360" w:hanging="360"/>
      </w:pPr>
      <w:rPr>
        <w:b w:val="0"/>
        <w:i w:val="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D61BD"/>
    <w:multiLevelType w:val="hybridMultilevel"/>
    <w:tmpl w:val="A4DE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34"/>
    <w:rsid w:val="00002D94"/>
    <w:rsid w:val="00027253"/>
    <w:rsid w:val="00027B56"/>
    <w:rsid w:val="00084A5B"/>
    <w:rsid w:val="001627E8"/>
    <w:rsid w:val="001B34E9"/>
    <w:rsid w:val="001C209C"/>
    <w:rsid w:val="001C28E7"/>
    <w:rsid w:val="001D352C"/>
    <w:rsid w:val="002151AC"/>
    <w:rsid w:val="00234042"/>
    <w:rsid w:val="0024565A"/>
    <w:rsid w:val="002752C7"/>
    <w:rsid w:val="0028410B"/>
    <w:rsid w:val="00353C27"/>
    <w:rsid w:val="003979D7"/>
    <w:rsid w:val="003B1499"/>
    <w:rsid w:val="003C4F83"/>
    <w:rsid w:val="003E6503"/>
    <w:rsid w:val="0043058A"/>
    <w:rsid w:val="004552EA"/>
    <w:rsid w:val="00472C7E"/>
    <w:rsid w:val="004850E4"/>
    <w:rsid w:val="004A01EB"/>
    <w:rsid w:val="004B5F63"/>
    <w:rsid w:val="004C3886"/>
    <w:rsid w:val="004D0F21"/>
    <w:rsid w:val="00547CC7"/>
    <w:rsid w:val="005820C9"/>
    <w:rsid w:val="005A673E"/>
    <w:rsid w:val="005D3960"/>
    <w:rsid w:val="00722352"/>
    <w:rsid w:val="007506AE"/>
    <w:rsid w:val="007A3E1A"/>
    <w:rsid w:val="007D3F16"/>
    <w:rsid w:val="007D549C"/>
    <w:rsid w:val="007F274B"/>
    <w:rsid w:val="00874727"/>
    <w:rsid w:val="008A19E7"/>
    <w:rsid w:val="008A6AA1"/>
    <w:rsid w:val="008F7E90"/>
    <w:rsid w:val="00907044"/>
    <w:rsid w:val="00966F66"/>
    <w:rsid w:val="00990B4E"/>
    <w:rsid w:val="009A227B"/>
    <w:rsid w:val="009E35C0"/>
    <w:rsid w:val="00A00A8F"/>
    <w:rsid w:val="00A0736D"/>
    <w:rsid w:val="00A21227"/>
    <w:rsid w:val="00A2237E"/>
    <w:rsid w:val="00A4447D"/>
    <w:rsid w:val="00AA26A9"/>
    <w:rsid w:val="00AA686C"/>
    <w:rsid w:val="00AE2840"/>
    <w:rsid w:val="00B4140A"/>
    <w:rsid w:val="00B418A0"/>
    <w:rsid w:val="00B7052E"/>
    <w:rsid w:val="00B87233"/>
    <w:rsid w:val="00B94449"/>
    <w:rsid w:val="00C32DD1"/>
    <w:rsid w:val="00C4251E"/>
    <w:rsid w:val="00C613FC"/>
    <w:rsid w:val="00CF5B31"/>
    <w:rsid w:val="00D3636E"/>
    <w:rsid w:val="00D66D95"/>
    <w:rsid w:val="00D80EE0"/>
    <w:rsid w:val="00DB1270"/>
    <w:rsid w:val="00DC078A"/>
    <w:rsid w:val="00DD1B6E"/>
    <w:rsid w:val="00DD7C1C"/>
    <w:rsid w:val="00E05115"/>
    <w:rsid w:val="00E40134"/>
    <w:rsid w:val="00E54047"/>
    <w:rsid w:val="00E5546C"/>
    <w:rsid w:val="00E81ECD"/>
    <w:rsid w:val="00F44147"/>
    <w:rsid w:val="00F47C64"/>
    <w:rsid w:val="00F5209A"/>
    <w:rsid w:val="00F61950"/>
    <w:rsid w:val="00F76853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3C4F83"/>
  </w:style>
  <w:style w:type="paragraph" w:styleId="Heading1">
    <w:name w:val="heading 1"/>
    <w:basedOn w:val="Normal"/>
    <w:next w:val="Normal"/>
    <w:link w:val="Heading1Char"/>
    <w:uiPriority w:val="9"/>
    <w:qFormat/>
    <w:rsid w:val="003C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4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4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C4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4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4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C4F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C4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F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F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F8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4F83"/>
    <w:pPr>
      <w:spacing w:after="0" w:line="240" w:lineRule="auto"/>
    </w:pPr>
  </w:style>
  <w:style w:type="paragraph" w:customStyle="1" w:styleId="BodyText1">
    <w:name w:val="Body Text1"/>
    <w:basedOn w:val="Normal"/>
    <w:rsid w:val="00353C27"/>
    <w:rPr>
      <w:rFonts w:ascii="Arial" w:eastAsia="Calibri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F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4F8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C4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4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F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4F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4F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4F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4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4F83"/>
    <w:rPr>
      <w:b/>
      <w:bCs/>
      <w:smallCaps/>
      <w:spacing w:val="5"/>
    </w:rPr>
  </w:style>
  <w:style w:type="table" w:styleId="LightShading-Accent1">
    <w:name w:val="Light Shading Accent 1"/>
    <w:basedOn w:val="TableNormal"/>
    <w:uiPriority w:val="60"/>
    <w:rsid w:val="002151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2151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5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215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Recommendation">
    <w:name w:val="Recommendation"/>
    <w:basedOn w:val="Normal"/>
    <w:link w:val="RecommendationChar"/>
    <w:qFormat/>
    <w:rsid w:val="008A6AA1"/>
    <w:pPr>
      <w:numPr>
        <w:numId w:val="2"/>
      </w:numPr>
      <w:pBdr>
        <w:top w:val="single" w:sz="8" w:space="6" w:color="44C8F5"/>
        <w:left w:val="single" w:sz="8" w:space="5" w:color="44C8F5"/>
        <w:bottom w:val="single" w:sz="8" w:space="6" w:color="44C8F5"/>
        <w:right w:val="single" w:sz="8" w:space="5" w:color="44C8F5"/>
      </w:pBdr>
      <w:spacing w:before="100" w:beforeAutospacing="1" w:after="100" w:afterAutospacing="1" w:line="240" w:lineRule="auto"/>
      <w:ind w:right="851"/>
    </w:pPr>
    <w:rPr>
      <w:rFonts w:ascii="Calibri" w:hAnsi="Calibri"/>
    </w:rPr>
  </w:style>
  <w:style w:type="character" w:customStyle="1" w:styleId="RecommendationChar">
    <w:name w:val="Recommendation Char"/>
    <w:basedOn w:val="DefaultParagraphFont"/>
    <w:link w:val="Recommendation"/>
    <w:rsid w:val="008A6AA1"/>
    <w:rPr>
      <w:rFonts w:ascii="Calibri" w:hAnsi="Calibri"/>
    </w:rPr>
  </w:style>
  <w:style w:type="numbering" w:customStyle="1" w:styleId="Recommendations">
    <w:name w:val="Recommendations"/>
    <w:uiPriority w:val="99"/>
    <w:rsid w:val="008A6AA1"/>
    <w:pPr>
      <w:numPr>
        <w:numId w:val="2"/>
      </w:numPr>
    </w:pPr>
  </w:style>
  <w:style w:type="paragraph" w:customStyle="1" w:styleId="Numberedparagraph">
    <w:name w:val="Numbered paragraph"/>
    <w:basedOn w:val="Normal"/>
    <w:autoRedefine/>
    <w:qFormat/>
    <w:rsid w:val="008A6AA1"/>
    <w:pPr>
      <w:numPr>
        <w:numId w:val="3"/>
      </w:numPr>
      <w:spacing w:before="120" w:after="120" w:line="360" w:lineRule="auto"/>
      <w:ind w:left="357" w:hanging="357"/>
      <w:jc w:val="both"/>
    </w:pPr>
    <w:rPr>
      <w:rFonts w:eastAsiaTheme="majorEastAsia" w:cstheme="majorBid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3C4F83"/>
  </w:style>
  <w:style w:type="paragraph" w:styleId="Heading1">
    <w:name w:val="heading 1"/>
    <w:basedOn w:val="Normal"/>
    <w:next w:val="Normal"/>
    <w:link w:val="Heading1Char"/>
    <w:uiPriority w:val="9"/>
    <w:qFormat/>
    <w:rsid w:val="003C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4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4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C4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4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4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C4F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C4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F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F8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F8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4F83"/>
    <w:pPr>
      <w:spacing w:after="0" w:line="240" w:lineRule="auto"/>
    </w:pPr>
  </w:style>
  <w:style w:type="paragraph" w:customStyle="1" w:styleId="BodyText1">
    <w:name w:val="Body Text1"/>
    <w:basedOn w:val="Normal"/>
    <w:rsid w:val="00353C27"/>
    <w:rPr>
      <w:rFonts w:ascii="Arial" w:eastAsia="Calibri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F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4F8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C4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4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F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4F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4F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4F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4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4F83"/>
    <w:rPr>
      <w:b/>
      <w:bCs/>
      <w:smallCaps/>
      <w:spacing w:val="5"/>
    </w:rPr>
  </w:style>
  <w:style w:type="table" w:styleId="LightShading-Accent1">
    <w:name w:val="Light Shading Accent 1"/>
    <w:basedOn w:val="TableNormal"/>
    <w:uiPriority w:val="60"/>
    <w:rsid w:val="002151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2151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5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215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2151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Recommendation">
    <w:name w:val="Recommendation"/>
    <w:basedOn w:val="Normal"/>
    <w:link w:val="RecommendationChar"/>
    <w:qFormat/>
    <w:rsid w:val="008A6AA1"/>
    <w:pPr>
      <w:numPr>
        <w:numId w:val="2"/>
      </w:numPr>
      <w:pBdr>
        <w:top w:val="single" w:sz="8" w:space="6" w:color="44C8F5"/>
        <w:left w:val="single" w:sz="8" w:space="5" w:color="44C8F5"/>
        <w:bottom w:val="single" w:sz="8" w:space="6" w:color="44C8F5"/>
        <w:right w:val="single" w:sz="8" w:space="5" w:color="44C8F5"/>
      </w:pBdr>
      <w:spacing w:before="100" w:beforeAutospacing="1" w:after="100" w:afterAutospacing="1" w:line="240" w:lineRule="auto"/>
      <w:ind w:right="851"/>
    </w:pPr>
    <w:rPr>
      <w:rFonts w:ascii="Calibri" w:hAnsi="Calibri"/>
    </w:rPr>
  </w:style>
  <w:style w:type="character" w:customStyle="1" w:styleId="RecommendationChar">
    <w:name w:val="Recommendation Char"/>
    <w:basedOn w:val="DefaultParagraphFont"/>
    <w:link w:val="Recommendation"/>
    <w:rsid w:val="008A6AA1"/>
    <w:rPr>
      <w:rFonts w:ascii="Calibri" w:hAnsi="Calibri"/>
    </w:rPr>
  </w:style>
  <w:style w:type="numbering" w:customStyle="1" w:styleId="Recommendations">
    <w:name w:val="Recommendations"/>
    <w:uiPriority w:val="99"/>
    <w:rsid w:val="008A6AA1"/>
    <w:pPr>
      <w:numPr>
        <w:numId w:val="2"/>
      </w:numPr>
    </w:pPr>
  </w:style>
  <w:style w:type="paragraph" w:customStyle="1" w:styleId="Numberedparagraph">
    <w:name w:val="Numbered paragraph"/>
    <w:basedOn w:val="Normal"/>
    <w:autoRedefine/>
    <w:qFormat/>
    <w:rsid w:val="008A6AA1"/>
    <w:pPr>
      <w:numPr>
        <w:numId w:val="3"/>
      </w:numPr>
      <w:spacing w:before="120" w:after="120" w:line="360" w:lineRule="auto"/>
      <w:ind w:left="357" w:hanging="357"/>
      <w:jc w:val="both"/>
    </w:pPr>
    <w:rPr>
      <w:rFonts w:eastAsiaTheme="majorEastAsia" w:cstheme="majorBid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pyright@communications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5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1985-9F61-4D83-AB8C-2E19123E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O'Halloran</dc:creator>
  <cp:lastModifiedBy>Xavier O'Halloran</cp:lastModifiedBy>
  <cp:revision>2</cp:revision>
  <cp:lastPrinted>2012-12-11T06:08:00Z</cp:lastPrinted>
  <dcterms:created xsi:type="dcterms:W3CDTF">2016-02-12T00:11:00Z</dcterms:created>
  <dcterms:modified xsi:type="dcterms:W3CDTF">2016-02-12T00:11:00Z</dcterms:modified>
</cp:coreProperties>
</file>